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29C2F" w14:textId="35812705" w:rsidR="009D41D2" w:rsidRDefault="00460C44" w:rsidP="009D41D2">
      <w:pPr>
        <w:pStyle w:val="DisseminationLimitingMarker"/>
      </w:pPr>
      <w:r>
        <w:t xml:space="preserve">Conservation </w:t>
      </w:r>
      <w:r w:rsidR="002319AB">
        <w:t>A</w:t>
      </w:r>
      <w:r>
        <w:t>dvic</w:t>
      </w:r>
      <w:r w:rsidR="007C5B94">
        <w:t>e</w:t>
      </w:r>
      <w:r>
        <w:t xml:space="preserve"> for </w:t>
      </w:r>
      <w:r w:rsidR="00B16806">
        <w:br/>
      </w:r>
      <w:proofErr w:type="spellStart"/>
      <w:r w:rsidR="00F25128">
        <w:rPr>
          <w:rStyle w:val="Emphasis"/>
        </w:rPr>
        <w:t>Stipiturus</w:t>
      </w:r>
      <w:proofErr w:type="spellEnd"/>
      <w:r w:rsidR="00F25128">
        <w:rPr>
          <w:rStyle w:val="Emphasis"/>
        </w:rPr>
        <w:t xml:space="preserve"> </w:t>
      </w:r>
      <w:proofErr w:type="spellStart"/>
      <w:r w:rsidR="00F25128">
        <w:rPr>
          <w:rStyle w:val="Emphasis"/>
        </w:rPr>
        <w:t>malachurus</w:t>
      </w:r>
      <w:proofErr w:type="spellEnd"/>
      <w:r w:rsidR="00F25128">
        <w:rPr>
          <w:rStyle w:val="Emphasis"/>
        </w:rPr>
        <w:t xml:space="preserve"> </w:t>
      </w:r>
      <w:proofErr w:type="spellStart"/>
      <w:r w:rsidR="00F25128">
        <w:rPr>
          <w:rStyle w:val="Emphasis"/>
        </w:rPr>
        <w:t>parimeda</w:t>
      </w:r>
      <w:proofErr w:type="spellEnd"/>
      <w:r w:rsidR="00F12081">
        <w:br/>
      </w:r>
      <w:r w:rsidRPr="002B01EE">
        <w:t>(</w:t>
      </w:r>
      <w:r w:rsidR="00F25128">
        <w:t xml:space="preserve">Eyre Peninsula </w:t>
      </w:r>
      <w:r w:rsidR="009C03F1">
        <w:t>southern emu</w:t>
      </w:r>
      <w:r w:rsidR="00C0355C">
        <w:t>-wren</w:t>
      </w:r>
      <w:r w:rsidRPr="002B01EE">
        <w:t>)</w:t>
      </w:r>
    </w:p>
    <w:p w14:paraId="0791027B" w14:textId="77777777" w:rsidR="00380066" w:rsidRPr="00B42392" w:rsidRDefault="00380066" w:rsidP="008F2811">
      <w:pPr>
        <w:pStyle w:val="Header"/>
        <w:jc w:val="left"/>
      </w:pPr>
    </w:p>
    <w:p w14:paraId="74DEA873" w14:textId="77777777" w:rsidR="00380066" w:rsidRDefault="00B42392" w:rsidP="001C7420">
      <w:r>
        <w:rPr>
          <w:noProof/>
          <w:lang w:eastAsia="en-AU"/>
        </w:rPr>
        <mc:AlternateContent>
          <mc:Choice Requires="wps">
            <w:drawing>
              <wp:inline distT="0" distB="0" distL="0" distR="0" wp14:anchorId="72952EF3" wp14:editId="60370847">
                <wp:extent cx="5232400" cy="2362200"/>
                <wp:effectExtent l="0" t="0" r="2540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2362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CD09B24" w14:textId="77777777" w:rsidR="00B42392" w:rsidRDefault="00B42392" w:rsidP="00B42392">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29DC988F" w14:textId="77777777" w:rsidR="00B42392" w:rsidRDefault="00B42392" w:rsidP="00B42392">
                            <w:pPr>
                              <w:pStyle w:val="Consultationtext"/>
                            </w:pPr>
                            <w:r w:rsidRPr="004A3350">
                              <w:t xml:space="preserve">The purpose of this consultation document is to elicit additional information to better understand the </w:t>
                            </w:r>
                            <w:r>
                              <w:t>eligibility</w:t>
                            </w:r>
                            <w:r w:rsidRPr="004A3350">
                              <w:t xml:space="preserve"> of the species </w:t>
                            </w:r>
                            <w:r>
                              <w:t xml:space="preserve">for listing </w:t>
                            </w:r>
                            <w:r w:rsidRPr="004A3350">
                              <w:t>and inform conservation actions</w:t>
                            </w:r>
                            <w:r>
                              <w:t xml:space="preserve">, </w:t>
                            </w:r>
                            <w:r w:rsidRPr="004A3350">
                              <w:t xml:space="preserve">further </w:t>
                            </w:r>
                            <w:proofErr w:type="gramStart"/>
                            <w:r w:rsidRPr="004A3350">
                              <w:t>planning</w:t>
                            </w:r>
                            <w:proofErr w:type="gramEnd"/>
                            <w:r>
                              <w:t xml:space="preserve"> and the potential need for a Recovery Plan</w:t>
                            </w:r>
                            <w:r w:rsidRPr="004A3350">
                              <w:t>.</w:t>
                            </w:r>
                          </w:p>
                          <w:p w14:paraId="0ED56FAF" w14:textId="77777777" w:rsidR="00B42392" w:rsidRDefault="00B42392" w:rsidP="00B42392">
                            <w:pPr>
                              <w:pStyle w:val="Consultationtext"/>
                            </w:pPr>
                            <w:r w:rsidRPr="004A3350">
                              <w:t xml:space="preserve">The draft assessment below should therefore be considered </w:t>
                            </w:r>
                            <w:r w:rsidRPr="00B038DF">
                              <w:rPr>
                                <w:b/>
                                <w:bCs/>
                              </w:rPr>
                              <w:t>tentative</w:t>
                            </w:r>
                            <w:r w:rsidRPr="004A3350">
                              <w:t xml:space="preserve"> at this stage, as it may change </w:t>
                            </w:r>
                            <w:proofErr w:type="gramStart"/>
                            <w:r w:rsidRPr="004A3350">
                              <w:t>as a result of</w:t>
                            </w:r>
                            <w:proofErr w:type="gramEnd"/>
                            <w:r w:rsidRPr="004A3350">
                              <w:t xml:space="preserve"> responses to this consultation process.</w:t>
                            </w:r>
                          </w:p>
                          <w:p w14:paraId="2D2A35DC" w14:textId="77777777" w:rsidR="00B42392" w:rsidRPr="00C877B7" w:rsidRDefault="00B42392" w:rsidP="00B42392">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txbxContent>
                      </wps:txbx>
                      <wps:bodyPr rot="0" vert="horz" wrap="square" lIns="91440" tIns="45720" rIns="91440" bIns="45720" anchor="t" anchorCtr="0">
                        <a:noAutofit/>
                      </wps:bodyPr>
                    </wps:wsp>
                  </a:graphicData>
                </a:graphic>
              </wp:inline>
            </w:drawing>
          </mc:Choice>
          <mc:Fallback>
            <w:pict>
              <v:shapetype w14:anchorId="72952EF3" id="_x0000_t202" coordsize="21600,21600" o:spt="202" path="m,l,21600r21600,l21600,xe">
                <v:stroke joinstyle="miter"/>
                <v:path gradientshapeok="t" o:connecttype="rect"/>
              </v:shapetype>
              <v:shape id="Text Box 2" o:spid="_x0000_s1026" type="#_x0000_t202" style="width:412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" fillcolor="white [3201]" strokecolor="black [3200]" strokeweight="2pt">
                <v:textbox>
                  <w:txbxContent>
                    <w:p w14:paraId="3CD09B24" w14:textId="77777777" w:rsidR="00B42392" w:rsidRDefault="00B42392" w:rsidP="00B42392">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29DC988F" w14:textId="77777777" w:rsidR="00B42392" w:rsidRDefault="00B42392" w:rsidP="00B42392">
                      <w:pPr>
                        <w:pStyle w:val="Consultationtext"/>
                      </w:pPr>
                      <w:r w:rsidRPr="004A3350">
                        <w:t xml:space="preserve">The purpose of this consultation document is to elicit additional information to better understand the </w:t>
                      </w:r>
                      <w:r>
                        <w:t>eligibility</w:t>
                      </w:r>
                      <w:r w:rsidRPr="004A3350">
                        <w:t xml:space="preserve"> of the species </w:t>
                      </w:r>
                      <w:r>
                        <w:t xml:space="preserve">for listing </w:t>
                      </w:r>
                      <w:r w:rsidRPr="004A3350">
                        <w:t>and inform conservation actions</w:t>
                      </w:r>
                      <w:r>
                        <w:t xml:space="preserve">, </w:t>
                      </w:r>
                      <w:r w:rsidRPr="004A3350">
                        <w:t xml:space="preserve">further </w:t>
                      </w:r>
                      <w:proofErr w:type="gramStart"/>
                      <w:r w:rsidRPr="004A3350">
                        <w:t>planning</w:t>
                      </w:r>
                      <w:proofErr w:type="gramEnd"/>
                      <w:r>
                        <w:t xml:space="preserve"> and the potential need for a Recovery Plan</w:t>
                      </w:r>
                      <w:r w:rsidRPr="004A3350">
                        <w:t>.</w:t>
                      </w:r>
                    </w:p>
                    <w:p w14:paraId="0ED56FAF" w14:textId="77777777" w:rsidR="00B42392" w:rsidRDefault="00B42392" w:rsidP="00B42392">
                      <w:pPr>
                        <w:pStyle w:val="Consultationtext"/>
                      </w:pPr>
                      <w:r w:rsidRPr="004A3350">
                        <w:t xml:space="preserve">The draft assessment below should therefore be considered </w:t>
                      </w:r>
                      <w:r w:rsidRPr="00B038DF">
                        <w:rPr>
                          <w:b/>
                          <w:bCs/>
                        </w:rPr>
                        <w:t>tentative</w:t>
                      </w:r>
                      <w:r w:rsidRPr="004A3350">
                        <w:t xml:space="preserve"> at this stage, as it may change </w:t>
                      </w:r>
                      <w:proofErr w:type="gramStart"/>
                      <w:r w:rsidRPr="004A3350">
                        <w:t>as a result of</w:t>
                      </w:r>
                      <w:proofErr w:type="gramEnd"/>
                      <w:r w:rsidRPr="004A3350">
                        <w:t xml:space="preserve"> responses to this consultation process.</w:t>
                      </w:r>
                    </w:p>
                    <w:p w14:paraId="2D2A35DC" w14:textId="77777777" w:rsidR="00B42392" w:rsidRPr="00C877B7" w:rsidRDefault="00B42392" w:rsidP="00B42392">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txbxContent>
                </v:textbox>
                <w10:anchorlock/>
              </v:shape>
            </w:pict>
          </mc:Fallback>
        </mc:AlternateContent>
      </w:r>
    </w:p>
    <w:p w14:paraId="4F528160" w14:textId="2650627A" w:rsidR="0016081E" w:rsidRDefault="0016081E" w:rsidP="001C7420">
      <w:r w:rsidRPr="00093FBE">
        <w:t xml:space="preserve">This document combines the </w:t>
      </w:r>
      <w:r w:rsidR="00093FBE" w:rsidRPr="00093FBE">
        <w:t>draft</w:t>
      </w:r>
      <w:r w:rsidRPr="00093FBE">
        <w:t xml:space="preserve"> conservation advice and listing assessment for the </w:t>
      </w:r>
      <w:r w:rsidR="00A62F8B" w:rsidRPr="00093FBE">
        <w:t>subspecies</w:t>
      </w:r>
      <w:r w:rsidRPr="00093FBE">
        <w:t>. It provides</w:t>
      </w:r>
      <w:r w:rsidRPr="009D41D2">
        <w:t xml:space="preserve"> a foundation for conservation action</w:t>
      </w:r>
      <w:r w:rsidR="004D0D1F">
        <w:t>s</w:t>
      </w:r>
      <w:r w:rsidRPr="009D41D2">
        <w:t xml:space="preserve"> and further planning.</w:t>
      </w:r>
    </w:p>
    <w:p w14:paraId="029507F5" w14:textId="2A5EE479" w:rsidR="00082BAA" w:rsidRDefault="00082BAA" w:rsidP="005633B0">
      <w:pPr>
        <w:pStyle w:val="FigureTableNoteSource"/>
        <w:jc w:val="center"/>
        <w:rPr>
          <w:highlight w:val="yellow"/>
        </w:rPr>
      </w:pPr>
      <w:bookmarkStart w:id="0" w:name="_Hlk46319602"/>
      <w:r>
        <w:rPr>
          <w:noProof/>
        </w:rPr>
        <w:drawing>
          <wp:inline distT="0" distB="0" distL="0" distR="0" wp14:anchorId="156FBEB8" wp14:editId="55B72C3A">
            <wp:extent cx="5759450" cy="3441700"/>
            <wp:effectExtent l="0" t="0" r="0" b="6350"/>
            <wp:docPr id="6" name="Picture 6" descr="A close up of a spi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pider&#10;&#10;Description automatically generated with medium confidence"/>
                    <pic:cNvPicPr/>
                  </pic:nvPicPr>
                  <pic:blipFill rotWithShape="1">
                    <a:blip r:embed="rId13" cstate="print">
                      <a:extLst>
                        <a:ext uri="{28A0092B-C50C-407E-A947-70E740481C1C}">
                          <a14:useLocalDpi xmlns:a14="http://schemas.microsoft.com/office/drawing/2010/main" val="0"/>
                        </a:ext>
                      </a:extLst>
                    </a:blip>
                    <a:srcRect t="10354"/>
                    <a:stretch/>
                  </pic:blipFill>
                  <pic:spPr bwMode="auto">
                    <a:xfrm>
                      <a:off x="0" y="0"/>
                      <a:ext cx="5759450" cy="3441700"/>
                    </a:xfrm>
                    <a:prstGeom prst="rect">
                      <a:avLst/>
                    </a:prstGeom>
                    <a:ln>
                      <a:noFill/>
                    </a:ln>
                    <a:extLst>
                      <a:ext uri="{53640926-AAD7-44D8-BBD7-CCE9431645EC}">
                        <a14:shadowObscured xmlns:a14="http://schemas.microsoft.com/office/drawing/2010/main"/>
                      </a:ext>
                    </a:extLst>
                  </pic:spPr>
                </pic:pic>
              </a:graphicData>
            </a:graphic>
          </wp:inline>
        </w:drawing>
      </w:r>
    </w:p>
    <w:p w14:paraId="35824B95" w14:textId="181BF28D" w:rsidR="006137FD" w:rsidRDefault="00C571F8" w:rsidP="005633B0">
      <w:pPr>
        <w:pStyle w:val="FigureTableNoteSource"/>
        <w:jc w:val="center"/>
      </w:pPr>
      <w:r>
        <w:t>S</w:t>
      </w:r>
      <w:r w:rsidR="009C03F1">
        <w:t>outhern emu</w:t>
      </w:r>
      <w:r w:rsidR="00C0355C">
        <w:t>-wren</w:t>
      </w:r>
      <w:r w:rsidR="00344617">
        <w:t xml:space="preserve"> </w:t>
      </w:r>
      <w:r w:rsidR="00A81027">
        <w:t>©</w:t>
      </w:r>
      <w:r w:rsidR="000A6133">
        <w:t xml:space="preserve"> Copyright, </w:t>
      </w:r>
      <w:r w:rsidR="00971704">
        <w:t>Shutterstock</w:t>
      </w:r>
    </w:p>
    <w:bookmarkEnd w:id="0"/>
    <w:p w14:paraId="6C84335F" w14:textId="219D95A3" w:rsidR="006D3581" w:rsidRPr="00AC3A2A" w:rsidRDefault="006D3581" w:rsidP="006D3581">
      <w:pPr>
        <w:pStyle w:val="Heading2"/>
        <w:ind w:left="720" w:hanging="720"/>
      </w:pPr>
      <w:r>
        <w:lastRenderedPageBreak/>
        <w:t>Conservation status</w:t>
      </w:r>
    </w:p>
    <w:p w14:paraId="585CC154" w14:textId="636EAF7B" w:rsidR="00E61E77" w:rsidRPr="00DE2687" w:rsidRDefault="00776FB9" w:rsidP="00B86BDB">
      <w:pPr>
        <w:pStyle w:val="Consultationtext"/>
        <w:rPr>
          <w:color w:val="auto"/>
        </w:rPr>
      </w:pPr>
      <w:proofErr w:type="spellStart"/>
      <w:r w:rsidRPr="00DE2687">
        <w:rPr>
          <w:rStyle w:val="Emphasis"/>
          <w:color w:val="auto"/>
        </w:rPr>
        <w:t>Stipiturus</w:t>
      </w:r>
      <w:proofErr w:type="spellEnd"/>
      <w:r w:rsidRPr="00DE2687">
        <w:rPr>
          <w:rStyle w:val="Emphasis"/>
          <w:color w:val="auto"/>
        </w:rPr>
        <w:t xml:space="preserve"> </w:t>
      </w:r>
      <w:proofErr w:type="spellStart"/>
      <w:r w:rsidRPr="00DE2687">
        <w:rPr>
          <w:rStyle w:val="Emphasis"/>
          <w:color w:val="auto"/>
        </w:rPr>
        <w:t>malachurus</w:t>
      </w:r>
      <w:proofErr w:type="spellEnd"/>
      <w:r w:rsidRPr="00DE2687">
        <w:rPr>
          <w:rStyle w:val="Emphasis"/>
          <w:color w:val="auto"/>
        </w:rPr>
        <w:t xml:space="preserve"> </w:t>
      </w:r>
      <w:proofErr w:type="spellStart"/>
      <w:r w:rsidRPr="00DE2687">
        <w:rPr>
          <w:rStyle w:val="Emphasis"/>
          <w:color w:val="auto"/>
        </w:rPr>
        <w:t>parimeda</w:t>
      </w:r>
      <w:proofErr w:type="spellEnd"/>
      <w:r w:rsidR="00E61E77" w:rsidRPr="00DE2687">
        <w:rPr>
          <w:color w:val="auto"/>
        </w:rPr>
        <w:t xml:space="preserve"> (</w:t>
      </w:r>
      <w:r w:rsidRPr="00DE2687">
        <w:rPr>
          <w:color w:val="auto"/>
        </w:rPr>
        <w:t xml:space="preserve">Eyre Peninsula </w:t>
      </w:r>
      <w:r w:rsidR="009C03F1">
        <w:rPr>
          <w:color w:val="auto"/>
        </w:rPr>
        <w:t>southern emu</w:t>
      </w:r>
      <w:r w:rsidR="00C0355C">
        <w:rPr>
          <w:color w:val="auto"/>
        </w:rPr>
        <w:t>-wren</w:t>
      </w:r>
      <w:r w:rsidR="00E61E77" w:rsidRPr="00DE2687">
        <w:rPr>
          <w:color w:val="auto"/>
        </w:rPr>
        <w:t xml:space="preserve">) is proposed to be </w:t>
      </w:r>
      <w:r w:rsidR="002A0B5E" w:rsidRPr="00DE2687">
        <w:rPr>
          <w:color w:val="auto"/>
        </w:rPr>
        <w:t xml:space="preserve">transferred </w:t>
      </w:r>
      <w:r w:rsidR="00E61E77" w:rsidRPr="00DE2687">
        <w:rPr>
          <w:color w:val="auto"/>
        </w:rPr>
        <w:t>from th</w:t>
      </w:r>
      <w:bookmarkStart w:id="1" w:name="_Hlk57798064"/>
      <w:r w:rsidR="00251F5A" w:rsidRPr="00DE2687">
        <w:rPr>
          <w:color w:val="auto"/>
        </w:rPr>
        <w:t>e</w:t>
      </w:r>
      <w:r w:rsidR="00E83AA3" w:rsidRPr="00DE2687">
        <w:rPr>
          <w:color w:val="auto"/>
        </w:rPr>
        <w:t xml:space="preserve"> </w:t>
      </w:r>
      <w:sdt>
        <w:sdtPr>
          <w:rPr>
            <w:color w:val="auto"/>
          </w:rPr>
          <w:id w:val="-720434868"/>
          <w:placeholder>
            <w:docPart w:val="8103322B078641A9A98DC1B474F29AB8"/>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00F81EF2" w:rsidRPr="00DE2687">
            <w:rPr>
              <w:color w:val="auto"/>
            </w:rPr>
            <w:t>Vulnerable</w:t>
          </w:r>
        </w:sdtContent>
      </w:sdt>
      <w:bookmarkEnd w:id="1"/>
      <w:r w:rsidR="00E83AA3" w:rsidRPr="00DE2687">
        <w:rPr>
          <w:color w:val="auto"/>
        </w:rPr>
        <w:t xml:space="preserve"> </w:t>
      </w:r>
      <w:r w:rsidR="00E61E77" w:rsidRPr="00DE2687">
        <w:rPr>
          <w:color w:val="auto"/>
        </w:rPr>
        <w:t>category</w:t>
      </w:r>
      <w:r w:rsidR="00A876F6" w:rsidRPr="00DE2687">
        <w:rPr>
          <w:color w:val="auto"/>
        </w:rPr>
        <w:t xml:space="preserve"> to the </w:t>
      </w:r>
      <w:sdt>
        <w:sdtPr>
          <w:rPr>
            <w:color w:val="auto"/>
          </w:rPr>
          <w:id w:val="454379346"/>
          <w:placeholder>
            <w:docPart w:val="C4F3B210625A49D1A68855672522768C"/>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00DE2687" w:rsidRPr="00DE2687">
            <w:rPr>
              <w:color w:val="auto"/>
            </w:rPr>
            <w:t>Endangered</w:t>
          </w:r>
        </w:sdtContent>
      </w:sdt>
      <w:r w:rsidR="00A876F6" w:rsidRPr="00DE2687">
        <w:rPr>
          <w:color w:val="auto"/>
        </w:rPr>
        <w:t xml:space="preserve"> category </w:t>
      </w:r>
      <w:r w:rsidR="00E61E77" w:rsidRPr="00DE2687">
        <w:rPr>
          <w:color w:val="auto"/>
        </w:rPr>
        <w:t xml:space="preserve">of the threatened species list under the </w:t>
      </w:r>
      <w:r w:rsidR="00E61E77" w:rsidRPr="00DE2687">
        <w:rPr>
          <w:rStyle w:val="Emphasis"/>
          <w:color w:val="auto"/>
        </w:rPr>
        <w:t>Environment Protection and Biodiversity Conservation Act 1999.</w:t>
      </w:r>
    </w:p>
    <w:p w14:paraId="7302C9BB" w14:textId="6E47682E" w:rsidR="004D2790" w:rsidRDefault="00DE2687" w:rsidP="004D2790">
      <w:proofErr w:type="spellStart"/>
      <w:r>
        <w:rPr>
          <w:rStyle w:val="Emphasis"/>
        </w:rPr>
        <w:t>Stipiturus</w:t>
      </w:r>
      <w:proofErr w:type="spellEnd"/>
      <w:r>
        <w:rPr>
          <w:rStyle w:val="Emphasis"/>
        </w:rPr>
        <w:t xml:space="preserve"> </w:t>
      </w:r>
      <w:proofErr w:type="spellStart"/>
      <w:r>
        <w:rPr>
          <w:rStyle w:val="Emphasis"/>
        </w:rPr>
        <w:t>malachurus</w:t>
      </w:r>
      <w:proofErr w:type="spellEnd"/>
      <w:r>
        <w:rPr>
          <w:rStyle w:val="Emphasis"/>
        </w:rPr>
        <w:t xml:space="preserve"> </w:t>
      </w:r>
      <w:proofErr w:type="spellStart"/>
      <w:r>
        <w:rPr>
          <w:rStyle w:val="Emphasis"/>
        </w:rPr>
        <w:t>parimeda</w:t>
      </w:r>
      <w:proofErr w:type="spellEnd"/>
      <w:r w:rsidR="004D2790">
        <w:t xml:space="preserve"> </w:t>
      </w:r>
      <w:r>
        <w:t>is being</w:t>
      </w:r>
      <w:r w:rsidR="004D2790">
        <w:t xml:space="preserve"> </w:t>
      </w:r>
      <w:r w:rsidR="004D2790" w:rsidRPr="009638AE">
        <w:t>assessed</w:t>
      </w:r>
      <w:r w:rsidR="004D2790">
        <w:t xml:space="preserve"> by the Threatened Species Scientific </w:t>
      </w:r>
      <w:r w:rsidR="004D2790" w:rsidRPr="00DE2687">
        <w:t>Committee</w:t>
      </w:r>
      <w:r w:rsidR="005306BA" w:rsidRPr="00DE2687">
        <w:t xml:space="preserve"> to be eligible for listing</w:t>
      </w:r>
      <w:r w:rsidR="001573B8" w:rsidRPr="00DE2687">
        <w:t xml:space="preserve"> </w:t>
      </w:r>
      <w:r w:rsidR="005306BA" w:rsidRPr="00DE2687">
        <w:t xml:space="preserve">as </w:t>
      </w:r>
      <w:sdt>
        <w:sdtPr>
          <w:id w:val="257643898"/>
          <w:placeholder>
            <w:docPart w:val="3D0059D951D64E7187A8BEC276E4D5DE"/>
          </w:placeholder>
          <w:dropDownList>
            <w:listItem w:displayText="Critically Endangered" w:value="Critically Endangered"/>
            <w:listItem w:displayText="Endangered" w:value="Endangered"/>
            <w:listItem w:displayText="Vulnerable" w:value="Vulnerable"/>
            <w:listItem w:displayText="Conservation Dependent" w:value="Conservation Dependent"/>
            <w:listItem w:displayText="Extinct in the Wild" w:value="Extinct in the Wild"/>
          </w:dropDownList>
        </w:sdtPr>
        <w:sdtEndPr/>
        <w:sdtContent>
          <w:r w:rsidRPr="00DE2687">
            <w:t>Endangered</w:t>
          </w:r>
        </w:sdtContent>
      </w:sdt>
      <w:r w:rsidR="005306BA">
        <w:t xml:space="preserve"> </w:t>
      </w:r>
      <w:r w:rsidR="004D2790">
        <w:t xml:space="preserve">under </w:t>
      </w:r>
      <w:r w:rsidR="004D2790" w:rsidRPr="005277E5">
        <w:t>criteria</w:t>
      </w:r>
      <w:r w:rsidR="004D2790">
        <w:t xml:space="preserve"> </w:t>
      </w:r>
      <w:r w:rsidR="00BF757D">
        <w:t>2 and 3</w:t>
      </w:r>
      <w:r w:rsidR="004D2790">
        <w:t xml:space="preserve">. The Committee’s </w:t>
      </w:r>
      <w:r w:rsidR="004D2790" w:rsidRPr="009638AE">
        <w:t>assessment</w:t>
      </w:r>
      <w:r w:rsidR="004D2790">
        <w:t xml:space="preserve"> is at Attachment A</w:t>
      </w:r>
      <w:r w:rsidR="00972E40">
        <w:t xml:space="preserve">. </w:t>
      </w:r>
      <w:r w:rsidR="004D2790">
        <w:t>The Committee</w:t>
      </w:r>
      <w:r w:rsidR="003B2A51">
        <w:t>’s</w:t>
      </w:r>
      <w:r w:rsidR="004D2790">
        <w:t xml:space="preserve"> </w:t>
      </w:r>
      <w:r w:rsidR="004D2790" w:rsidRPr="009638AE">
        <w:t>assessment</w:t>
      </w:r>
      <w:r w:rsidR="004D2790">
        <w:t xml:space="preserve"> of the species</w:t>
      </w:r>
      <w:r w:rsidR="009468FD">
        <w:t>’</w:t>
      </w:r>
      <w:r w:rsidR="004D2790">
        <w:t xml:space="preserve"> eligibility against each of the listing criteria is:</w:t>
      </w:r>
    </w:p>
    <w:p w14:paraId="5F58B327" w14:textId="0A6BCF21" w:rsidR="004D2790" w:rsidRPr="005277E5" w:rsidRDefault="004D2790" w:rsidP="006B6B55">
      <w:pPr>
        <w:pStyle w:val="ListBullet"/>
      </w:pPr>
      <w:r w:rsidRPr="005277E5">
        <w:t xml:space="preserve">Criterion 1: </w:t>
      </w:r>
      <w:sdt>
        <w:sdtPr>
          <w:id w:val="77107183"/>
          <w:placeholder>
            <w:docPart w:val="E31E8892A8DC4CE686A1166C712F1348"/>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813214">
            <w:t>Insufficient data</w:t>
          </w:r>
        </w:sdtContent>
      </w:sdt>
    </w:p>
    <w:p w14:paraId="68DDD866" w14:textId="017D12BB" w:rsidR="004D2790" w:rsidRPr="005277E5" w:rsidRDefault="004D2790" w:rsidP="006B6B55">
      <w:pPr>
        <w:pStyle w:val="ListBullet"/>
      </w:pPr>
      <w:r w:rsidRPr="005277E5">
        <w:t>Criterion 2: B1</w:t>
      </w:r>
      <w:r w:rsidR="00903833" w:rsidRPr="005277E5">
        <w:t>ab(</w:t>
      </w:r>
      <w:proofErr w:type="spellStart"/>
      <w:proofErr w:type="gramStart"/>
      <w:r w:rsidR="00903833" w:rsidRPr="005277E5">
        <w:t>ii,iii</w:t>
      </w:r>
      <w:proofErr w:type="gramEnd"/>
      <w:r w:rsidR="00903833" w:rsidRPr="005277E5">
        <w:t>,iv,v</w:t>
      </w:r>
      <w:proofErr w:type="spellEnd"/>
      <w:r w:rsidR="00903833" w:rsidRPr="005277E5">
        <w:t>)+</w:t>
      </w:r>
      <w:r w:rsidRPr="005277E5">
        <w:t>2</w:t>
      </w:r>
      <w:r w:rsidR="006D6C77" w:rsidRPr="005277E5">
        <w:t>a</w:t>
      </w:r>
      <w:r w:rsidRPr="005277E5">
        <w:t>b(</w:t>
      </w:r>
      <w:proofErr w:type="spellStart"/>
      <w:r w:rsidR="006D6C77" w:rsidRPr="005277E5">
        <w:t>ii,iii,iv,v</w:t>
      </w:r>
      <w:proofErr w:type="spellEnd"/>
      <w:r w:rsidRPr="005277E5">
        <w:t>)</w:t>
      </w:r>
      <w:r w:rsidR="00D17C18" w:rsidRPr="005277E5">
        <w:t>:</w:t>
      </w:r>
      <w:r w:rsidR="00A85421" w:rsidRPr="005277E5">
        <w:t xml:space="preserve"> </w:t>
      </w:r>
      <w:sdt>
        <w:sdtPr>
          <w:id w:val="-1042367401"/>
          <w:placeholder>
            <w:docPart w:val="D217EAE77AE049DFAAB7FB06C2A55358"/>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5277E5" w:rsidRPr="005277E5">
            <w:t>Endangered</w:t>
          </w:r>
        </w:sdtContent>
      </w:sdt>
    </w:p>
    <w:p w14:paraId="21C3BD37" w14:textId="5BC1E23C" w:rsidR="004D2790" w:rsidRPr="005277E5" w:rsidRDefault="004D2790" w:rsidP="006B6B55">
      <w:pPr>
        <w:pStyle w:val="ListBullet"/>
      </w:pPr>
      <w:r w:rsidRPr="005277E5">
        <w:t>Criterion 3: C</w:t>
      </w:r>
      <w:r w:rsidR="00903833" w:rsidRPr="005277E5">
        <w:t>2a(</w:t>
      </w:r>
      <w:proofErr w:type="spellStart"/>
      <w:r w:rsidR="00903833" w:rsidRPr="005277E5">
        <w:t>i</w:t>
      </w:r>
      <w:proofErr w:type="spellEnd"/>
      <w:r w:rsidR="00903833" w:rsidRPr="005277E5">
        <w:t>)</w:t>
      </w:r>
      <w:r w:rsidR="00D17C18" w:rsidRPr="005277E5">
        <w:t>:</w:t>
      </w:r>
      <w:r w:rsidR="008B00FB" w:rsidRPr="005277E5">
        <w:t xml:space="preserve"> </w:t>
      </w:r>
      <w:sdt>
        <w:sdtPr>
          <w:id w:val="-151294044"/>
          <w:placeholder>
            <w:docPart w:val="77BBBD97678C4C10950B924FB291B6F0"/>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5277E5" w:rsidRPr="005277E5">
            <w:t>Endangered</w:t>
          </w:r>
        </w:sdtContent>
      </w:sdt>
    </w:p>
    <w:p w14:paraId="6D3E99A1" w14:textId="34CDA463" w:rsidR="002E32CA" w:rsidRPr="005277E5" w:rsidRDefault="004D2790" w:rsidP="006B6B55">
      <w:pPr>
        <w:pStyle w:val="ListBullet"/>
      </w:pPr>
      <w:r w:rsidRPr="005277E5">
        <w:t>Criterion 4: D</w:t>
      </w:r>
      <w:r w:rsidR="00D17C18" w:rsidRPr="005277E5">
        <w:t>:</w:t>
      </w:r>
      <w:r w:rsidRPr="005277E5">
        <w:t xml:space="preserve"> </w:t>
      </w:r>
      <w:sdt>
        <w:sdtPr>
          <w:id w:val="-2084978900"/>
          <w:placeholder>
            <w:docPart w:val="703D0D386FB448329095062685DA01BB"/>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5277E5" w:rsidRPr="005277E5">
            <w:t>Vulnerable</w:t>
          </w:r>
        </w:sdtContent>
      </w:sdt>
    </w:p>
    <w:p w14:paraId="1D48A704" w14:textId="0775258E" w:rsidR="005306BA" w:rsidRPr="005277E5" w:rsidRDefault="004D2790" w:rsidP="006B6B55">
      <w:pPr>
        <w:pStyle w:val="ListBullet"/>
      </w:pPr>
      <w:r w:rsidRPr="005277E5">
        <w:t xml:space="preserve">Criterion 5: </w:t>
      </w:r>
      <w:sdt>
        <w:sdtPr>
          <w:id w:val="1205373663"/>
          <w:placeholder>
            <w:docPart w:val="AA3F430C24A344B7B131049C4B98C880"/>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5277E5" w:rsidRPr="005277E5">
            <w:t>Insufficient data</w:t>
          </w:r>
        </w:sdtContent>
      </w:sdt>
    </w:p>
    <w:p w14:paraId="1402A798" w14:textId="112E2F41" w:rsidR="005F0505" w:rsidRDefault="004D2790" w:rsidP="005306BA">
      <w:r>
        <w:t xml:space="preserve">The main factors that make the </w:t>
      </w:r>
      <w:r w:rsidRPr="005277E5">
        <w:t xml:space="preserve">species </w:t>
      </w:r>
      <w:r w:rsidR="00CA32C5" w:rsidRPr="005277E5">
        <w:t>proposed for</w:t>
      </w:r>
      <w:r w:rsidR="00794BA6" w:rsidRPr="005277E5">
        <w:t xml:space="preserve"> </w:t>
      </w:r>
      <w:r w:rsidR="00FA0C5B" w:rsidRPr="005277E5">
        <w:t>listing</w:t>
      </w:r>
      <w:r w:rsidRPr="005277E5">
        <w:t xml:space="preserve"> in the</w:t>
      </w:r>
      <w:r>
        <w:t xml:space="preserve"> </w:t>
      </w:r>
      <w:sdt>
        <w:sdtPr>
          <w:id w:val="-775248640"/>
          <w:placeholder>
            <w:docPart w:val="7163FDDE01344F30BE6491AA91745DAD"/>
          </w:placeholder>
          <w:dropDownList>
            <w:listItem w:displayText="Critically Endangered" w:value="Critically Endangered"/>
            <w:listItem w:displayText="Endangered" w:value="Endangered"/>
            <w:listItem w:displayText="Vulnerable" w:value="Vulnerable"/>
            <w:listItem w:displayText="Conservation Dependent" w:value="Conservation Dependent"/>
            <w:listItem w:displayText="Extinct in the Wild" w:value="Extinct in the Wild"/>
          </w:dropDownList>
        </w:sdtPr>
        <w:sdtEndPr/>
        <w:sdtContent>
          <w:r w:rsidR="005277E5">
            <w:t>Endangered</w:t>
          </w:r>
        </w:sdtContent>
      </w:sdt>
      <w:r w:rsidR="00624A10">
        <w:t xml:space="preserve"> </w:t>
      </w:r>
      <w:r>
        <w:t xml:space="preserve">category </w:t>
      </w:r>
      <w:proofErr w:type="gramStart"/>
      <w:r>
        <w:t>are</w:t>
      </w:r>
      <w:proofErr w:type="gramEnd"/>
      <w:r w:rsidR="00DE05A3">
        <w:t xml:space="preserve"> the </w:t>
      </w:r>
      <w:r w:rsidR="001215C4">
        <w:t>restricted distribution and small, continuing declining population. The subspeci</w:t>
      </w:r>
      <w:r w:rsidR="001215C4" w:rsidRPr="00FA588E">
        <w:t xml:space="preserve">es has a restricted extent of occurrence (EOO) and area of occupancy (AOO) of </w:t>
      </w:r>
      <w:r w:rsidR="00C63F50" w:rsidRPr="00FA588E">
        <w:rPr>
          <w:bCs/>
          <w:lang w:eastAsia="ja-JP"/>
        </w:rPr>
        <w:t>2,100 and 54 km</w:t>
      </w:r>
      <w:r w:rsidR="00C63F50" w:rsidRPr="00FA588E">
        <w:rPr>
          <w:bCs/>
          <w:vertAlign w:val="superscript"/>
          <w:lang w:eastAsia="ja-JP"/>
        </w:rPr>
        <w:t>2</w:t>
      </w:r>
      <w:r w:rsidR="00C63F50" w:rsidRPr="00331807">
        <w:rPr>
          <w:bCs/>
          <w:lang w:eastAsia="ja-JP"/>
        </w:rPr>
        <w:t>, respectively (Table 3)</w:t>
      </w:r>
      <w:r w:rsidR="00C63F50">
        <w:rPr>
          <w:bCs/>
          <w:lang w:eastAsia="ja-JP"/>
        </w:rPr>
        <w:t xml:space="preserve">. </w:t>
      </w:r>
      <w:r w:rsidR="00DD500B">
        <w:rPr>
          <w:bCs/>
          <w:lang w:eastAsia="ja-JP"/>
        </w:rPr>
        <w:t xml:space="preserve">The subspecies is considered severely fragmented as the 11 subpopulations (see Distribution) are isolated by cleared land and is assumed there is little genetic exchange among them (Van </w:t>
      </w:r>
      <w:proofErr w:type="spellStart"/>
      <w:r w:rsidR="00DD500B">
        <w:rPr>
          <w:bCs/>
          <w:lang w:eastAsia="ja-JP"/>
        </w:rPr>
        <w:t>Weenen</w:t>
      </w:r>
      <w:proofErr w:type="spellEnd"/>
      <w:r w:rsidR="00DD500B">
        <w:rPr>
          <w:bCs/>
          <w:lang w:eastAsia="ja-JP"/>
        </w:rPr>
        <w:t xml:space="preserve"> &amp; Garnett 2021). </w:t>
      </w:r>
      <w:r w:rsidR="00C63F50">
        <w:rPr>
          <w:bCs/>
          <w:lang w:eastAsia="ja-JP"/>
        </w:rPr>
        <w:t xml:space="preserve">The subspecies is considered severely fragmented as the 11 </w:t>
      </w:r>
      <w:r w:rsidR="002F1FEC">
        <w:rPr>
          <w:bCs/>
          <w:lang w:eastAsia="ja-JP"/>
        </w:rPr>
        <w:t>subpopulations</w:t>
      </w:r>
      <w:r w:rsidR="00C63F50">
        <w:rPr>
          <w:bCs/>
          <w:lang w:eastAsia="ja-JP"/>
        </w:rPr>
        <w:t xml:space="preserve"> (see Distribution) are isolated by cleared land</w:t>
      </w:r>
      <w:r w:rsidR="00C63F50" w:rsidRPr="684FBFA3">
        <w:rPr>
          <w:lang w:eastAsia="ja-JP"/>
        </w:rPr>
        <w:t>, all contain fewer than 250 mature individuals, and it</w:t>
      </w:r>
      <w:r w:rsidR="00C63F50">
        <w:rPr>
          <w:bCs/>
          <w:lang w:eastAsia="ja-JP"/>
        </w:rPr>
        <w:t xml:space="preserve"> is assumed there is little genetic exchange among them (Van </w:t>
      </w:r>
      <w:proofErr w:type="spellStart"/>
      <w:r w:rsidR="00C63F50">
        <w:rPr>
          <w:bCs/>
          <w:lang w:eastAsia="ja-JP"/>
        </w:rPr>
        <w:t>Weenen</w:t>
      </w:r>
      <w:proofErr w:type="spellEnd"/>
      <w:r w:rsidR="00C63F50">
        <w:rPr>
          <w:bCs/>
          <w:lang w:eastAsia="ja-JP"/>
        </w:rPr>
        <w:t xml:space="preserve"> &amp; Garnett 2021).</w:t>
      </w:r>
      <w:r w:rsidR="007C7A9D">
        <w:rPr>
          <w:bCs/>
          <w:lang w:eastAsia="ja-JP"/>
        </w:rPr>
        <w:t xml:space="preserve"> Continuing decline is assumed to be occurring </w:t>
      </w:r>
      <w:r w:rsidR="007E63B9">
        <w:rPr>
          <w:bCs/>
          <w:lang w:eastAsia="ja-JP"/>
        </w:rPr>
        <w:t>on the AOO, area, extent and quality of habitat</w:t>
      </w:r>
      <w:r w:rsidR="005F0505">
        <w:rPr>
          <w:bCs/>
          <w:lang w:eastAsia="ja-JP"/>
        </w:rPr>
        <w:t xml:space="preserve">, number of subpopulations, and number of mature individuals (Van </w:t>
      </w:r>
      <w:proofErr w:type="spellStart"/>
      <w:r w:rsidR="005F0505">
        <w:rPr>
          <w:bCs/>
          <w:lang w:eastAsia="ja-JP"/>
        </w:rPr>
        <w:t>Weenen</w:t>
      </w:r>
      <w:proofErr w:type="spellEnd"/>
      <w:r w:rsidR="005F0505">
        <w:rPr>
          <w:bCs/>
          <w:lang w:eastAsia="ja-JP"/>
        </w:rPr>
        <w:t xml:space="preserve"> &amp; Garnett 2021</w:t>
      </w:r>
      <w:r w:rsidR="002F1FEC">
        <w:rPr>
          <w:bCs/>
          <w:lang w:eastAsia="ja-JP"/>
        </w:rPr>
        <w:t>). The</w:t>
      </w:r>
      <w:r w:rsidR="00AE5DB1">
        <w:rPr>
          <w:bCs/>
          <w:lang w:eastAsia="ja-JP"/>
        </w:rPr>
        <w:t xml:space="preserve"> estimated number of mature individuals is 750,</w:t>
      </w:r>
      <w:r w:rsidR="00A8694B">
        <w:rPr>
          <w:bCs/>
          <w:lang w:eastAsia="ja-JP"/>
        </w:rPr>
        <w:t xml:space="preserve"> with an observed and inferred continuing decline</w:t>
      </w:r>
      <w:r w:rsidR="00974283" w:rsidRPr="684FBFA3">
        <w:rPr>
          <w:lang w:eastAsia="ja-JP"/>
        </w:rPr>
        <w:t xml:space="preserve"> (Table 3).</w:t>
      </w:r>
    </w:p>
    <w:p w14:paraId="112C4F8E" w14:textId="77777777" w:rsidR="004D2790" w:rsidRDefault="004D2790" w:rsidP="004D2790">
      <w:r>
        <w:t xml:space="preserve">Species can also be listed as threatened under state and territory legislation. For information on the current listing status of this species under relevant state or territory legislation, see </w:t>
      </w:r>
      <w:r w:rsidR="00624A10">
        <w:t xml:space="preserve">the </w:t>
      </w:r>
      <w:hyperlink r:id="rId14" w:history="1">
        <w:r w:rsidR="00624A10" w:rsidRPr="00624A10">
          <w:rPr>
            <w:rStyle w:val="Hyperlink"/>
          </w:rPr>
          <w:t>Species Profile and Threat Database</w:t>
        </w:r>
      </w:hyperlink>
      <w:r w:rsidR="00624A10">
        <w:t>.</w:t>
      </w:r>
    </w:p>
    <w:p w14:paraId="6BF4C357" w14:textId="3CBD584D" w:rsidR="006D3581" w:rsidRDefault="006D3581" w:rsidP="006D3581">
      <w:pPr>
        <w:pStyle w:val="Heading2"/>
        <w:ind w:left="720" w:hanging="720"/>
      </w:pPr>
      <w:r>
        <w:t>Species information</w:t>
      </w:r>
    </w:p>
    <w:p w14:paraId="27F6C8C2" w14:textId="7C207EBF" w:rsidR="006D3581" w:rsidRDefault="006D3581" w:rsidP="00476948">
      <w:pPr>
        <w:pStyle w:val="Heading3"/>
      </w:pPr>
      <w:r>
        <w:t>Taxonomy</w:t>
      </w:r>
    </w:p>
    <w:p w14:paraId="04A5EB12" w14:textId="122FFA26" w:rsidR="00D4368A" w:rsidRPr="00D4368A" w:rsidRDefault="00D4368A" w:rsidP="00D4368A">
      <w:pPr>
        <w:rPr>
          <w:lang w:val="en-US"/>
        </w:rPr>
      </w:pPr>
      <w:r w:rsidRPr="00D4368A">
        <w:rPr>
          <w:lang w:val="en-US"/>
        </w:rPr>
        <w:t xml:space="preserve">Conventionally accepted as </w:t>
      </w:r>
      <w:proofErr w:type="spellStart"/>
      <w:r w:rsidRPr="00D4368A">
        <w:rPr>
          <w:i/>
          <w:iCs/>
          <w:lang w:val="en-US"/>
        </w:rPr>
        <w:t>Stipiturus</w:t>
      </w:r>
      <w:proofErr w:type="spellEnd"/>
      <w:r w:rsidRPr="00D4368A">
        <w:rPr>
          <w:i/>
          <w:iCs/>
          <w:lang w:val="en-US"/>
        </w:rPr>
        <w:t xml:space="preserve"> </w:t>
      </w:r>
      <w:proofErr w:type="spellStart"/>
      <w:r w:rsidRPr="00D4368A">
        <w:rPr>
          <w:i/>
          <w:iCs/>
          <w:lang w:val="en-US"/>
        </w:rPr>
        <w:t>malachurus</w:t>
      </w:r>
      <w:proofErr w:type="spellEnd"/>
      <w:r w:rsidRPr="00D4368A">
        <w:rPr>
          <w:i/>
          <w:iCs/>
          <w:lang w:val="en-US"/>
        </w:rPr>
        <w:t xml:space="preserve"> </w:t>
      </w:r>
      <w:proofErr w:type="spellStart"/>
      <w:r w:rsidRPr="00D4368A">
        <w:rPr>
          <w:i/>
          <w:iCs/>
          <w:lang w:val="en-US"/>
        </w:rPr>
        <w:t>parimeda</w:t>
      </w:r>
      <w:proofErr w:type="spellEnd"/>
      <w:r w:rsidRPr="00D4368A">
        <w:rPr>
          <w:lang w:val="en-US"/>
        </w:rPr>
        <w:t xml:space="preserve"> </w:t>
      </w:r>
      <w:proofErr w:type="spellStart"/>
      <w:r w:rsidRPr="00D4368A">
        <w:rPr>
          <w:lang w:val="en-US"/>
        </w:rPr>
        <w:t>Schodde</w:t>
      </w:r>
      <w:proofErr w:type="spellEnd"/>
      <w:r w:rsidRPr="00D4368A">
        <w:rPr>
          <w:lang w:val="en-US"/>
        </w:rPr>
        <w:t xml:space="preserve"> &amp; Weatherly 1981.</w:t>
      </w:r>
    </w:p>
    <w:p w14:paraId="05AB53C3" w14:textId="528C2864" w:rsidR="00F47DA5" w:rsidRPr="00F47DA5" w:rsidRDefault="00D4368A" w:rsidP="00D4368A">
      <w:r w:rsidRPr="00D4368A">
        <w:rPr>
          <w:lang w:val="en-US"/>
        </w:rPr>
        <w:t xml:space="preserve">The subspecies is one of eight </w:t>
      </w:r>
      <w:r w:rsidRPr="003D1566">
        <w:t>recognised</w:t>
      </w:r>
      <w:r w:rsidRPr="003D1566">
        <w:rPr>
          <w:lang w:val="en-US"/>
        </w:rPr>
        <w:t xml:space="preserve"> of the </w:t>
      </w:r>
      <w:r w:rsidR="009C03F1">
        <w:rPr>
          <w:lang w:val="en-US"/>
        </w:rPr>
        <w:t>southern emu</w:t>
      </w:r>
      <w:r w:rsidR="00C0355C">
        <w:rPr>
          <w:lang w:val="en-US"/>
        </w:rPr>
        <w:t>-wren</w:t>
      </w:r>
      <w:r w:rsidRPr="003D1566">
        <w:rPr>
          <w:lang w:val="en-US"/>
        </w:rPr>
        <w:t xml:space="preserve">. Subspecies </w:t>
      </w:r>
      <w:r w:rsidRPr="003D1566">
        <w:rPr>
          <w:i/>
          <w:iCs/>
          <w:lang w:val="en-US"/>
        </w:rPr>
        <w:t xml:space="preserve">S. m. intermedius </w:t>
      </w:r>
      <w:r w:rsidRPr="003D1566">
        <w:rPr>
          <w:lang w:val="en-US"/>
        </w:rPr>
        <w:t>(Mount Lofty Ranges)</w:t>
      </w:r>
      <w:r w:rsidR="008C1AF5" w:rsidRPr="003D1566">
        <w:rPr>
          <w:lang w:val="en-US"/>
        </w:rPr>
        <w:t xml:space="preserve"> and </w:t>
      </w:r>
      <w:r w:rsidR="008C7E1A" w:rsidRPr="003D1566">
        <w:rPr>
          <w:i/>
          <w:iCs/>
          <w:lang w:val="en-US"/>
        </w:rPr>
        <w:t xml:space="preserve">S. m. </w:t>
      </w:r>
      <w:proofErr w:type="spellStart"/>
      <w:r w:rsidR="008C7E1A" w:rsidRPr="003D1566">
        <w:rPr>
          <w:i/>
          <w:iCs/>
          <w:lang w:val="en-US"/>
        </w:rPr>
        <w:t>halmaturinus</w:t>
      </w:r>
      <w:proofErr w:type="spellEnd"/>
      <w:r w:rsidR="008C7E1A" w:rsidRPr="003D1566">
        <w:rPr>
          <w:lang w:val="en-US"/>
        </w:rPr>
        <w:t xml:space="preserve"> (Kangaroo Island)</w:t>
      </w:r>
      <w:r w:rsidRPr="003D1566">
        <w:rPr>
          <w:lang w:val="en-US"/>
        </w:rPr>
        <w:t xml:space="preserve"> </w:t>
      </w:r>
      <w:r w:rsidR="007627BE">
        <w:rPr>
          <w:lang w:val="en-US"/>
        </w:rPr>
        <w:t>are</w:t>
      </w:r>
      <w:r w:rsidRPr="00D4368A">
        <w:rPr>
          <w:lang w:val="en-US"/>
        </w:rPr>
        <w:t xml:space="preserve"> Endangered, the nominate subspecies </w:t>
      </w:r>
      <w:r w:rsidRPr="00D4368A">
        <w:rPr>
          <w:i/>
          <w:iCs/>
          <w:lang w:val="en-US"/>
        </w:rPr>
        <w:t xml:space="preserve">S. m. </w:t>
      </w:r>
      <w:proofErr w:type="spellStart"/>
      <w:r w:rsidRPr="00D4368A">
        <w:rPr>
          <w:i/>
          <w:iCs/>
          <w:lang w:val="en-US"/>
        </w:rPr>
        <w:t>malachurus</w:t>
      </w:r>
      <w:proofErr w:type="spellEnd"/>
      <w:r w:rsidRPr="00D4368A">
        <w:rPr>
          <w:i/>
          <w:iCs/>
          <w:lang w:val="en-US"/>
        </w:rPr>
        <w:t xml:space="preserve"> </w:t>
      </w:r>
      <w:r w:rsidRPr="00D4368A">
        <w:rPr>
          <w:lang w:val="en-US"/>
        </w:rPr>
        <w:t xml:space="preserve">and the other </w:t>
      </w:r>
      <w:r w:rsidR="004B50F9">
        <w:rPr>
          <w:lang w:val="en-US"/>
        </w:rPr>
        <w:t>four</w:t>
      </w:r>
      <w:r w:rsidRPr="00D4368A">
        <w:rPr>
          <w:lang w:val="en-US"/>
        </w:rPr>
        <w:t xml:space="preserve"> subspecies are </w:t>
      </w:r>
      <w:r w:rsidR="004B50F9">
        <w:rPr>
          <w:lang w:val="en-US"/>
        </w:rPr>
        <w:t>not listed threatened under the EPBC Act</w:t>
      </w:r>
      <w:r>
        <w:rPr>
          <w:lang w:val="en-US"/>
        </w:rPr>
        <w:t>.</w:t>
      </w:r>
    </w:p>
    <w:p w14:paraId="361A9A56" w14:textId="65EA39A2" w:rsidR="008064B3" w:rsidRDefault="008064B3" w:rsidP="008064B3">
      <w:pPr>
        <w:pStyle w:val="Heading3"/>
      </w:pPr>
      <w:bookmarkStart w:id="2" w:name="_Ref445985062"/>
      <w:bookmarkStart w:id="3" w:name="_Toc409769199"/>
      <w:bookmarkStart w:id="4" w:name="_Toc454439316"/>
      <w:r w:rsidRPr="008064B3">
        <w:t>Description</w:t>
      </w:r>
    </w:p>
    <w:p w14:paraId="65B1E37A" w14:textId="5CA9304C" w:rsidR="000E2AE4" w:rsidRDefault="009D5F62" w:rsidP="000E2AE4">
      <w:pPr>
        <w:rPr>
          <w:lang w:val="en-US"/>
        </w:rPr>
      </w:pPr>
      <w:r>
        <w:t xml:space="preserve">The Eyre Peninsula </w:t>
      </w:r>
      <w:r w:rsidR="009C03F1">
        <w:t>southern emu</w:t>
      </w:r>
      <w:r w:rsidR="00C0355C">
        <w:t>-wren</w:t>
      </w:r>
      <w:r>
        <w:t xml:space="preserve"> is a small bird with an overall length of 17-19 cm (including tail) and body mass</w:t>
      </w:r>
      <w:r w:rsidR="0035341C" w:rsidRPr="0035341C">
        <w:t xml:space="preserve"> between 5</w:t>
      </w:r>
      <w:r w:rsidR="00FA588E">
        <w:t xml:space="preserve"> - </w:t>
      </w:r>
      <w:r w:rsidR="0035341C" w:rsidRPr="0035341C">
        <w:t xml:space="preserve">9 g. It has short, rounded wings and a relatively long </w:t>
      </w:r>
      <w:r w:rsidR="0035341C" w:rsidRPr="0035341C">
        <w:lastRenderedPageBreak/>
        <w:t>tail (11</w:t>
      </w:r>
      <w:r w:rsidR="00FA588E">
        <w:t xml:space="preserve"> - </w:t>
      </w:r>
      <w:r w:rsidR="0035341C" w:rsidRPr="0035341C">
        <w:t xml:space="preserve">13 cm) comprised of six </w:t>
      </w:r>
      <w:r w:rsidR="009C03F1">
        <w:t>e</w:t>
      </w:r>
      <w:r w:rsidR="0035341C" w:rsidRPr="0035341C">
        <w:t xml:space="preserve">mu-like feathers. </w:t>
      </w:r>
      <w:r w:rsidR="0035341C" w:rsidRPr="0035341C">
        <w:rPr>
          <w:lang w:val="en-US"/>
        </w:rPr>
        <w:t xml:space="preserve">Like the other two species of </w:t>
      </w:r>
      <w:r w:rsidR="009C03F1">
        <w:rPr>
          <w:lang w:val="en-US"/>
        </w:rPr>
        <w:t>e</w:t>
      </w:r>
      <w:r w:rsidR="0035341C" w:rsidRPr="0035341C">
        <w:rPr>
          <w:lang w:val="en-US"/>
        </w:rPr>
        <w:t xml:space="preserve">mu-wrens </w:t>
      </w:r>
      <w:proofErr w:type="spellStart"/>
      <w:r w:rsidR="0035341C" w:rsidRPr="0035341C">
        <w:rPr>
          <w:i/>
          <w:iCs/>
          <w:lang w:val="en-US"/>
        </w:rPr>
        <w:t>Stipiturus</w:t>
      </w:r>
      <w:proofErr w:type="spellEnd"/>
      <w:r w:rsidR="0035341C" w:rsidRPr="0035341C">
        <w:rPr>
          <w:lang w:val="en-US"/>
        </w:rPr>
        <w:t>, they are sexually dimorphic</w:t>
      </w:r>
      <w:r w:rsidR="00C44C2A">
        <w:rPr>
          <w:lang w:val="en-US"/>
        </w:rPr>
        <w:t xml:space="preserve"> (</w:t>
      </w:r>
      <w:r w:rsidR="00C44C2A" w:rsidRPr="00C567DA">
        <w:rPr>
          <w:lang w:val="en-US"/>
        </w:rPr>
        <w:t xml:space="preserve">Higgins et al. 2002; </w:t>
      </w:r>
      <w:r w:rsidR="00E01F18" w:rsidRPr="00C567DA">
        <w:rPr>
          <w:lang w:val="en-US"/>
        </w:rPr>
        <w:t xml:space="preserve">Pickett 2002; </w:t>
      </w:r>
      <w:proofErr w:type="spellStart"/>
      <w:r w:rsidR="00C44C2A" w:rsidRPr="00C567DA">
        <w:rPr>
          <w:lang w:val="en-US"/>
        </w:rPr>
        <w:t>Menkhorst</w:t>
      </w:r>
      <w:proofErr w:type="spellEnd"/>
      <w:r w:rsidR="00C44C2A" w:rsidRPr="00C567DA">
        <w:rPr>
          <w:lang w:val="en-US"/>
        </w:rPr>
        <w:t xml:space="preserve"> et al. 2017).</w:t>
      </w:r>
    </w:p>
    <w:p w14:paraId="064B95A9" w14:textId="484929FC" w:rsidR="00C44C2A" w:rsidRPr="008A65A0" w:rsidRDefault="00BE09DB" w:rsidP="000E2AE4">
      <w:pPr>
        <w:rPr>
          <w:lang w:val="en-US"/>
        </w:rPr>
      </w:pPr>
      <w:r>
        <w:t xml:space="preserve">The plumage of the Eyre Peninsula </w:t>
      </w:r>
      <w:r w:rsidR="009C03F1">
        <w:t>southern emu</w:t>
      </w:r>
      <w:r w:rsidR="00C0355C">
        <w:t>-wren</w:t>
      </w:r>
      <w:r>
        <w:t xml:space="preserve"> </w:t>
      </w:r>
      <w:r w:rsidR="00EF16BF">
        <w:t xml:space="preserve">is very pale in comparison to most other subspecies of </w:t>
      </w:r>
      <w:r w:rsidR="009C03F1">
        <w:t>southern emu</w:t>
      </w:r>
      <w:r w:rsidR="00C0355C">
        <w:t>-wren</w:t>
      </w:r>
      <w:r w:rsidR="00EF16BF">
        <w:t xml:space="preserve">s. </w:t>
      </w:r>
      <w:r w:rsidR="008A65A0" w:rsidRPr="008A65A0">
        <w:rPr>
          <w:lang w:val="en-US"/>
        </w:rPr>
        <w:t xml:space="preserve">The upperparts of adult birds are pale olive-grey or </w:t>
      </w:r>
      <w:proofErr w:type="gramStart"/>
      <w:r w:rsidR="008A65A0" w:rsidRPr="008A65A0">
        <w:rPr>
          <w:lang w:val="en-US"/>
        </w:rPr>
        <w:t>brown-grey</w:t>
      </w:r>
      <w:proofErr w:type="gramEnd"/>
      <w:r w:rsidR="008A65A0" w:rsidRPr="008A65A0">
        <w:rPr>
          <w:lang w:val="en-US"/>
        </w:rPr>
        <w:t xml:space="preserve">, with brown to dark brown streaking across the head, neck and back, and dull white streaks on the ear-coverts. The underparts are a pallid light-yellowish brown or tawny </w:t>
      </w:r>
      <w:proofErr w:type="spellStart"/>
      <w:r w:rsidR="008A65A0" w:rsidRPr="008A65A0">
        <w:rPr>
          <w:lang w:val="en-US"/>
        </w:rPr>
        <w:t>colour</w:t>
      </w:r>
      <w:proofErr w:type="spellEnd"/>
      <w:r w:rsidR="008A65A0" w:rsidRPr="008A65A0">
        <w:rPr>
          <w:lang w:val="en-US"/>
        </w:rPr>
        <w:t xml:space="preserve">, except for the white belly. The bill is black, the iris dark brown, and the legs and feet are a brownish </w:t>
      </w:r>
      <w:proofErr w:type="spellStart"/>
      <w:r w:rsidR="008A65A0" w:rsidRPr="008A65A0">
        <w:rPr>
          <w:lang w:val="en-US"/>
        </w:rPr>
        <w:t>colour</w:t>
      </w:r>
      <w:proofErr w:type="spellEnd"/>
      <w:r w:rsidR="008A65A0" w:rsidRPr="008A65A0">
        <w:rPr>
          <w:lang w:val="en-US"/>
        </w:rPr>
        <w:t xml:space="preserve">. The adult male differs from the adult female in having a uniform rufous forehead and forecrown (olive-grey or </w:t>
      </w:r>
      <w:proofErr w:type="gramStart"/>
      <w:r w:rsidR="008A65A0" w:rsidRPr="008A65A0">
        <w:rPr>
          <w:lang w:val="en-US"/>
        </w:rPr>
        <w:t>brown-grey</w:t>
      </w:r>
      <w:proofErr w:type="gramEnd"/>
      <w:r w:rsidR="008A65A0" w:rsidRPr="008A65A0">
        <w:rPr>
          <w:lang w:val="en-US"/>
        </w:rPr>
        <w:t xml:space="preserve"> in the </w:t>
      </w:r>
      <w:r w:rsidR="008A65A0" w:rsidRPr="003C5139">
        <w:rPr>
          <w:lang w:val="en-US"/>
        </w:rPr>
        <w:t>female), a large patch of light grey-blue or pale sky-blue on the chin, throat and upper breast (yellow-brown or tawny in the female), and a sky-blue stripe above the eye (yellow-brown or tawny in the female). The plumages of juvenile and immature birds have not been described (</w:t>
      </w:r>
      <w:proofErr w:type="spellStart"/>
      <w:r w:rsidR="008A65A0" w:rsidRPr="003C5139">
        <w:rPr>
          <w:lang w:val="en-US"/>
        </w:rPr>
        <w:t>Schodde</w:t>
      </w:r>
      <w:proofErr w:type="spellEnd"/>
      <w:r w:rsidR="008A65A0" w:rsidRPr="003C5139">
        <w:rPr>
          <w:lang w:val="en-US"/>
        </w:rPr>
        <w:t xml:space="preserve"> &amp; </w:t>
      </w:r>
      <w:proofErr w:type="spellStart"/>
      <w:r w:rsidR="008A65A0" w:rsidRPr="003C5139">
        <w:rPr>
          <w:lang w:val="en-US"/>
        </w:rPr>
        <w:t>Weatherley</w:t>
      </w:r>
      <w:proofErr w:type="spellEnd"/>
      <w:r w:rsidR="008A65A0" w:rsidRPr="003C5139">
        <w:rPr>
          <w:lang w:val="en-US"/>
        </w:rPr>
        <w:t xml:space="preserve"> 1981; Higgins</w:t>
      </w:r>
      <w:r w:rsidR="008A65A0" w:rsidRPr="00C567DA">
        <w:rPr>
          <w:lang w:val="en-US"/>
        </w:rPr>
        <w:t xml:space="preserve"> et al. 2001; Pickett 2002).</w:t>
      </w:r>
    </w:p>
    <w:p w14:paraId="2737DAB9" w14:textId="30FA8552" w:rsidR="008064B3" w:rsidRDefault="008064B3" w:rsidP="009D58FD">
      <w:pPr>
        <w:pStyle w:val="Heading3"/>
      </w:pPr>
      <w:r w:rsidRPr="008064B3">
        <w:t>Distribution</w:t>
      </w:r>
    </w:p>
    <w:p w14:paraId="4108BF7C" w14:textId="5DE16659" w:rsidR="00224FD1" w:rsidRPr="00224FD1" w:rsidRDefault="009D58FD" w:rsidP="00224FD1">
      <w:r>
        <w:t xml:space="preserve">The Eyre Peninsula </w:t>
      </w:r>
      <w:r w:rsidR="009C03F1">
        <w:t>southern emu</w:t>
      </w:r>
      <w:r w:rsidR="00C0355C">
        <w:t>-wren</w:t>
      </w:r>
      <w:r>
        <w:t xml:space="preserve"> </w:t>
      </w:r>
      <w:r w:rsidR="00224FD1" w:rsidRPr="00224FD1">
        <w:t>can be found at the southern tip of Eyre Peninsula, South Au</w:t>
      </w:r>
      <w:r w:rsidR="00224FD1" w:rsidRPr="00DF4679">
        <w:t>stralia. The subspecies is known from 11 sites, all likely to be isolated (</w:t>
      </w:r>
      <w:r w:rsidR="00720F55" w:rsidRPr="00DF4679">
        <w:t xml:space="preserve">Pickett 2009; </w:t>
      </w:r>
      <w:r w:rsidR="00224FD1" w:rsidRPr="00DF4679">
        <w:t>DEWNR 2015):</w:t>
      </w:r>
    </w:p>
    <w:p w14:paraId="07A6D782" w14:textId="77777777" w:rsidR="00224FD1" w:rsidRPr="006B6B55" w:rsidRDefault="00224FD1" w:rsidP="006B6B55">
      <w:pPr>
        <w:pStyle w:val="ListNumber"/>
      </w:pPr>
      <w:r w:rsidRPr="00DF44D2">
        <w:t xml:space="preserve">South </w:t>
      </w:r>
      <w:r w:rsidRPr="006B6B55">
        <w:t>Block (private land).</w:t>
      </w:r>
    </w:p>
    <w:p w14:paraId="26A65970" w14:textId="77777777" w:rsidR="00224FD1" w:rsidRPr="006B6B55" w:rsidRDefault="00224FD1" w:rsidP="006B6B55">
      <w:pPr>
        <w:pStyle w:val="ListNumber"/>
      </w:pPr>
      <w:r w:rsidRPr="006B6B55">
        <w:t>Marble Range (heritage agreement, private land).</w:t>
      </w:r>
    </w:p>
    <w:p w14:paraId="56C1F4E7" w14:textId="77777777" w:rsidR="00224FD1" w:rsidRPr="006B6B55" w:rsidRDefault="00224FD1" w:rsidP="006B6B55">
      <w:pPr>
        <w:pStyle w:val="ListNumber"/>
      </w:pPr>
      <w:r w:rsidRPr="006B6B55">
        <w:t>Edillilie – Salt Creek – Duck Lake (road reserve).</w:t>
      </w:r>
    </w:p>
    <w:p w14:paraId="69DD2C3D" w14:textId="77777777" w:rsidR="00224FD1" w:rsidRPr="006B6B55" w:rsidRDefault="00224FD1" w:rsidP="006B6B55">
      <w:pPr>
        <w:pStyle w:val="ListNumber"/>
      </w:pPr>
      <w:proofErr w:type="spellStart"/>
      <w:r w:rsidRPr="006B6B55">
        <w:t>Keillidie</w:t>
      </w:r>
      <w:proofErr w:type="spellEnd"/>
      <w:r w:rsidRPr="006B6B55">
        <w:t xml:space="preserve"> Bay – Wanilla (</w:t>
      </w:r>
      <w:proofErr w:type="spellStart"/>
      <w:r w:rsidRPr="006B6B55">
        <w:t>Kellidie</w:t>
      </w:r>
      <w:proofErr w:type="spellEnd"/>
      <w:r w:rsidRPr="006B6B55">
        <w:t xml:space="preserve"> Bay Conservation Park, </w:t>
      </w:r>
      <w:proofErr w:type="spellStart"/>
      <w:r w:rsidRPr="006B6B55">
        <w:t>Murrunatta</w:t>
      </w:r>
      <w:proofErr w:type="spellEnd"/>
      <w:r w:rsidRPr="006B6B55">
        <w:t xml:space="preserve"> Conservation Park, road reserve, private land).</w:t>
      </w:r>
    </w:p>
    <w:p w14:paraId="64F716B2" w14:textId="77777777" w:rsidR="00224FD1" w:rsidRPr="006B6B55" w:rsidRDefault="00224FD1" w:rsidP="006B6B55">
      <w:pPr>
        <w:pStyle w:val="ListNumber"/>
      </w:pPr>
      <w:proofErr w:type="spellStart"/>
      <w:r w:rsidRPr="006B6B55">
        <w:t>Yangie</w:t>
      </w:r>
      <w:proofErr w:type="spellEnd"/>
      <w:r w:rsidRPr="006B6B55">
        <w:t xml:space="preserve"> Bay (Coffin Bay National Park).</w:t>
      </w:r>
    </w:p>
    <w:p w14:paraId="762E9223" w14:textId="77777777" w:rsidR="00224FD1" w:rsidRPr="006B6B55" w:rsidRDefault="00224FD1" w:rsidP="006B6B55">
      <w:pPr>
        <w:pStyle w:val="ListNumber"/>
      </w:pPr>
      <w:r w:rsidRPr="006B6B55">
        <w:t>Point Avoid (Coffin Bay National Park).</w:t>
      </w:r>
    </w:p>
    <w:p w14:paraId="73A942FF" w14:textId="77777777" w:rsidR="00224FD1" w:rsidRPr="006B6B55" w:rsidRDefault="00224FD1" w:rsidP="006B6B55">
      <w:pPr>
        <w:pStyle w:val="ListNumber"/>
      </w:pPr>
      <w:r w:rsidRPr="006B6B55">
        <w:t xml:space="preserve">Shoal Point – </w:t>
      </w:r>
      <w:proofErr w:type="spellStart"/>
      <w:r w:rsidRPr="006B6B55">
        <w:t>D’Anville</w:t>
      </w:r>
      <w:proofErr w:type="spellEnd"/>
      <w:r w:rsidRPr="006B6B55">
        <w:t xml:space="preserve"> Bay – Whalers Way – Fishery Bay (SA Water reserve, heritage agreement area, private land).</w:t>
      </w:r>
    </w:p>
    <w:p w14:paraId="3F7C1B43" w14:textId="77777777" w:rsidR="00224FD1" w:rsidRPr="006B6B55" w:rsidRDefault="00224FD1" w:rsidP="006B6B55">
      <w:pPr>
        <w:pStyle w:val="ListNumber"/>
      </w:pPr>
      <w:r w:rsidRPr="006B6B55">
        <w:t>Sleaford Bay West – Tulka (Lincoln National Park, Sleaford Conservation Park, road reserve, private land).</w:t>
      </w:r>
    </w:p>
    <w:p w14:paraId="172E9F1A" w14:textId="77777777" w:rsidR="00224FD1" w:rsidRPr="006B6B55" w:rsidRDefault="00224FD1" w:rsidP="006B6B55">
      <w:pPr>
        <w:pStyle w:val="ListNumber"/>
      </w:pPr>
      <w:proofErr w:type="spellStart"/>
      <w:r w:rsidRPr="006B6B55">
        <w:t>Wanna</w:t>
      </w:r>
      <w:proofErr w:type="spellEnd"/>
      <w:r w:rsidRPr="006B6B55">
        <w:t xml:space="preserve"> – Cape </w:t>
      </w:r>
      <w:proofErr w:type="spellStart"/>
      <w:r w:rsidRPr="006B6B55">
        <w:t>Tournefort</w:t>
      </w:r>
      <w:proofErr w:type="spellEnd"/>
      <w:r w:rsidRPr="006B6B55">
        <w:t xml:space="preserve"> (Lincoln National Park).</w:t>
      </w:r>
    </w:p>
    <w:p w14:paraId="729A600A" w14:textId="77777777" w:rsidR="00224FD1" w:rsidRPr="006B6B55" w:rsidRDefault="00224FD1" w:rsidP="006B6B55">
      <w:pPr>
        <w:pStyle w:val="ListNumber"/>
      </w:pPr>
      <w:r w:rsidRPr="006B6B55">
        <w:t xml:space="preserve">Carcass Point – McLaren Point – Point </w:t>
      </w:r>
      <w:proofErr w:type="spellStart"/>
      <w:r w:rsidRPr="006B6B55">
        <w:t>Haselgrove</w:t>
      </w:r>
      <w:proofErr w:type="spellEnd"/>
      <w:r w:rsidRPr="006B6B55">
        <w:t xml:space="preserve"> – Taylors Landing (Lincoln National Park).</w:t>
      </w:r>
    </w:p>
    <w:p w14:paraId="2763574C" w14:textId="77777777" w:rsidR="00224FD1" w:rsidRPr="006801EA" w:rsidRDefault="00224FD1" w:rsidP="006B6B55">
      <w:pPr>
        <w:pStyle w:val="ListNumber"/>
      </w:pPr>
      <w:r w:rsidRPr="006B6B55">
        <w:t xml:space="preserve">West Point – </w:t>
      </w:r>
      <w:proofErr w:type="spellStart"/>
      <w:r w:rsidRPr="006B6B55">
        <w:t>Jussieu</w:t>
      </w:r>
      <w:proofErr w:type="spellEnd"/>
      <w:r w:rsidRPr="006B6B55">
        <w:t xml:space="preserve"> Bay</w:t>
      </w:r>
      <w:r w:rsidRPr="006801EA">
        <w:t xml:space="preserve"> (Memory Cove Wilderness Protection Area).</w:t>
      </w:r>
    </w:p>
    <w:p w14:paraId="2918B53C" w14:textId="67402B62" w:rsidR="00224FD1" w:rsidRPr="00224FD1" w:rsidRDefault="00224FD1" w:rsidP="00224FD1">
      <w:r w:rsidRPr="00224FD1">
        <w:t>Most (68</w:t>
      </w:r>
      <w:r>
        <w:t>%</w:t>
      </w:r>
      <w:r w:rsidRPr="00224FD1">
        <w:t xml:space="preserve">) of the sites </w:t>
      </w:r>
      <w:proofErr w:type="gramStart"/>
      <w:r w:rsidRPr="00224FD1">
        <w:t>are located in</w:t>
      </w:r>
      <w:proofErr w:type="gramEnd"/>
      <w:r w:rsidRPr="00224FD1">
        <w:t xml:space="preserve"> nature conservation areas, with the other sites on private property (1</w:t>
      </w:r>
      <w:r w:rsidR="000E1F1B">
        <w:t>9</w:t>
      </w:r>
      <w:r w:rsidR="000E1F1B" w:rsidRPr="000E1F1B">
        <w:t>%</w:t>
      </w:r>
      <w:r w:rsidRPr="00224FD1">
        <w:t xml:space="preserve">), on roadsides in the care and </w:t>
      </w:r>
      <w:r w:rsidRPr="00D022A5">
        <w:t>control of the District Council of Lower Eyre Peninsula (10</w:t>
      </w:r>
      <w:r w:rsidR="000E1F1B" w:rsidRPr="00D022A5">
        <w:t>%</w:t>
      </w:r>
      <w:r w:rsidRPr="00D022A5">
        <w:t>) and within SA Water reserves (3</w:t>
      </w:r>
      <w:r w:rsidR="000E1F1B" w:rsidRPr="00D022A5">
        <w:t>%</w:t>
      </w:r>
      <w:r w:rsidRPr="00D022A5">
        <w:t xml:space="preserve">). </w:t>
      </w:r>
      <w:r w:rsidR="5C6CEBEB">
        <w:t>Undoubtedly the subspecies was</w:t>
      </w:r>
      <w:r w:rsidRPr="00D022A5">
        <w:t xml:space="preserve"> more widespread historically, but no further historical records are available (</w:t>
      </w:r>
      <w:proofErr w:type="spellStart"/>
      <w:r w:rsidRPr="00D022A5">
        <w:t>Schodde</w:t>
      </w:r>
      <w:proofErr w:type="spellEnd"/>
      <w:r w:rsidRPr="00D022A5">
        <w:t xml:space="preserve"> &amp; Mason 1999). Range</w:t>
      </w:r>
      <w:r w:rsidRPr="00224FD1">
        <w:t xml:space="preserve"> decline and fragmentation of its former range is most likely due to extensive clearance for </w:t>
      </w:r>
      <w:r w:rsidRPr="00EC5883">
        <w:t>agriculture (Garnett &amp; Crowley 2000), although large scale fires may be another contributing factor (Pickett 2009; Garnett et al. 2011).</w:t>
      </w:r>
      <w:r w:rsidR="00996291">
        <w:t xml:space="preserve"> </w:t>
      </w:r>
      <w:r w:rsidR="00996291">
        <w:rPr>
          <w:lang w:eastAsia="ja-JP"/>
        </w:rPr>
        <w:t xml:space="preserve">Van </w:t>
      </w:r>
      <w:proofErr w:type="spellStart"/>
      <w:r w:rsidR="00996291">
        <w:rPr>
          <w:lang w:eastAsia="ja-JP"/>
        </w:rPr>
        <w:t>Weenen</w:t>
      </w:r>
      <w:proofErr w:type="spellEnd"/>
      <w:r w:rsidR="00996291">
        <w:rPr>
          <w:lang w:eastAsia="ja-JP"/>
        </w:rPr>
        <w:t xml:space="preserve"> &amp; Garnett (2021) </w:t>
      </w:r>
      <w:proofErr w:type="gramStart"/>
      <w:r w:rsidR="00996291">
        <w:rPr>
          <w:lang w:eastAsia="ja-JP"/>
        </w:rPr>
        <w:t>made the assumption</w:t>
      </w:r>
      <w:proofErr w:type="gramEnd"/>
      <w:r w:rsidR="00996291">
        <w:rPr>
          <w:lang w:eastAsia="ja-JP"/>
        </w:rPr>
        <w:t xml:space="preserve"> that three out of the 11 locations have been extirpated, based on historical rate of decline.</w:t>
      </w:r>
    </w:p>
    <w:p w14:paraId="15D968B8" w14:textId="33ED823C" w:rsidR="009D58FD" w:rsidRPr="009D58FD" w:rsidRDefault="009D58FD" w:rsidP="009D58FD"/>
    <w:p w14:paraId="24CEABA6" w14:textId="10D83A52" w:rsidR="00E362EF" w:rsidRDefault="007C5B94" w:rsidP="008064B3">
      <w:pPr>
        <w:pStyle w:val="Caption"/>
      </w:pPr>
      <w:r>
        <w:t xml:space="preserve">Map </w:t>
      </w:r>
      <w:r>
        <w:rPr>
          <w:noProof/>
        </w:rPr>
        <w:fldChar w:fldCharType="begin"/>
      </w:r>
      <w:r>
        <w:rPr>
          <w:noProof/>
        </w:rPr>
        <w:instrText xml:space="preserve"> SEQ Map \* ARABIC </w:instrText>
      </w:r>
      <w:r>
        <w:rPr>
          <w:noProof/>
        </w:rPr>
        <w:fldChar w:fldCharType="separate"/>
      </w:r>
      <w:r w:rsidR="004D0D1F">
        <w:rPr>
          <w:noProof/>
        </w:rPr>
        <w:t>1</w:t>
      </w:r>
      <w:r>
        <w:rPr>
          <w:noProof/>
        </w:rPr>
        <w:fldChar w:fldCharType="end"/>
      </w:r>
      <w:bookmarkEnd w:id="2"/>
      <w:r>
        <w:t xml:space="preserve"> </w:t>
      </w:r>
      <w:bookmarkEnd w:id="3"/>
      <w:bookmarkEnd w:id="4"/>
      <w:r w:rsidR="008064B3">
        <w:t xml:space="preserve">Modelled distribution </w:t>
      </w:r>
      <w:r w:rsidR="004C7F78">
        <w:t xml:space="preserve">of </w:t>
      </w:r>
      <w:r w:rsidR="00D41A94">
        <w:t xml:space="preserve">Eyre Peninsula </w:t>
      </w:r>
      <w:r w:rsidR="009C03F1">
        <w:t>southern emu</w:t>
      </w:r>
      <w:r w:rsidR="00C0355C">
        <w:t>-wren</w:t>
      </w:r>
    </w:p>
    <w:p w14:paraId="279BBAE0" w14:textId="4C8365D5" w:rsidR="00E362EF" w:rsidRDefault="2B09DC1B">
      <w:pPr>
        <w:pStyle w:val="Picture"/>
      </w:pPr>
      <w:r>
        <w:drawing>
          <wp:inline distT="0" distB="0" distL="0" distR="0" wp14:anchorId="75D76CF0" wp14:editId="6F92640C">
            <wp:extent cx="5759449" cy="8157211"/>
            <wp:effectExtent l="0" t="0" r="0" b="0"/>
            <wp:docPr id="7" name="Picture 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5">
                      <a:extLst>
                        <a:ext uri="{28A0092B-C50C-407E-A947-70E740481C1C}">
                          <a14:useLocalDpi xmlns:a14="http://schemas.microsoft.com/office/drawing/2010/main" val="0"/>
                        </a:ext>
                      </a:extLst>
                    </a:blip>
                    <a:stretch>
                      <a:fillRect/>
                    </a:stretch>
                  </pic:blipFill>
                  <pic:spPr>
                    <a:xfrm>
                      <a:off x="0" y="0"/>
                      <a:ext cx="5759449" cy="8157211"/>
                    </a:xfrm>
                    <a:prstGeom prst="rect">
                      <a:avLst/>
                    </a:prstGeom>
                  </pic:spPr>
                </pic:pic>
              </a:graphicData>
            </a:graphic>
          </wp:inline>
        </w:drawing>
      </w:r>
    </w:p>
    <w:p w14:paraId="1C5CE65D" w14:textId="356187F2" w:rsidR="00E362EF" w:rsidRDefault="007C5B94">
      <w:pPr>
        <w:pStyle w:val="FigureTableNoteSource"/>
      </w:pPr>
      <w:r w:rsidRPr="002A3B07">
        <w:rPr>
          <w:b/>
          <w:bCs/>
        </w:rPr>
        <w:lastRenderedPageBreak/>
        <w:t>Source:</w:t>
      </w:r>
      <w:r>
        <w:t xml:space="preserve"> </w:t>
      </w:r>
      <w:r w:rsidR="00A12094">
        <w:t xml:space="preserve">Base map </w:t>
      </w:r>
      <w:r w:rsidR="008064B3">
        <w:t xml:space="preserve">Geoscience Australia; </w:t>
      </w:r>
      <w:r w:rsidR="00A12094">
        <w:t xml:space="preserve">species distribution data </w:t>
      </w:r>
      <w:hyperlink r:id="rId16" w:history="1">
        <w:r w:rsidR="008064B3" w:rsidRPr="008064B3">
          <w:rPr>
            <w:rStyle w:val="Hyperlink"/>
          </w:rPr>
          <w:t>Species of National Environmental Significance</w:t>
        </w:r>
      </w:hyperlink>
      <w:r w:rsidR="008064B3">
        <w:t xml:space="preserve"> database.</w:t>
      </w:r>
    </w:p>
    <w:p w14:paraId="32FE4019" w14:textId="7D241DF6" w:rsidR="00C304AA" w:rsidRDefault="00C304AA" w:rsidP="00C304AA">
      <w:pPr>
        <w:pStyle w:val="Heading3"/>
        <w:ind w:left="964" w:hanging="964"/>
      </w:pPr>
      <w:r>
        <w:t>Cultural and community significance</w:t>
      </w:r>
    </w:p>
    <w:p w14:paraId="78531648" w14:textId="2E82CFE4" w:rsidR="009D7D88" w:rsidRPr="0009653F" w:rsidRDefault="009D7D88" w:rsidP="0027576A">
      <w:r>
        <w:t>The southern emu-wren has a relatively</w:t>
      </w:r>
      <w:r w:rsidR="009D09E4">
        <w:t xml:space="preserve"> high profile, especially locally within each subspecies’ regions. The </w:t>
      </w:r>
      <w:r w:rsidR="0009653F">
        <w:t xml:space="preserve">2019/2020 bushfires severely impacted Kangaroo Island, resulting in the subspecies </w:t>
      </w:r>
      <w:r w:rsidR="0009653F">
        <w:rPr>
          <w:i/>
          <w:iCs/>
        </w:rPr>
        <w:t xml:space="preserve">S. m. </w:t>
      </w:r>
      <w:proofErr w:type="spellStart"/>
      <w:r w:rsidR="0009653F">
        <w:rPr>
          <w:i/>
          <w:iCs/>
        </w:rPr>
        <w:t>halmaturinus</w:t>
      </w:r>
      <w:proofErr w:type="spellEnd"/>
      <w:r w:rsidR="0009653F">
        <w:t xml:space="preserve"> being identified as a priority species for conservation planning. The related mallee emu-wren (</w:t>
      </w:r>
      <w:proofErr w:type="spellStart"/>
      <w:r w:rsidR="0009653F">
        <w:rPr>
          <w:i/>
          <w:iCs/>
        </w:rPr>
        <w:t>Stipiturus</w:t>
      </w:r>
      <w:proofErr w:type="spellEnd"/>
      <w:r w:rsidR="0009653F">
        <w:rPr>
          <w:i/>
          <w:iCs/>
        </w:rPr>
        <w:t xml:space="preserve"> mallee</w:t>
      </w:r>
      <w:r w:rsidR="0009653F">
        <w:t xml:space="preserve">) was a priority bird in the </w:t>
      </w:r>
      <w:hyperlink r:id="rId17" w:history="1">
        <w:r w:rsidR="0009653F" w:rsidRPr="0009653F">
          <w:rPr>
            <w:rStyle w:val="Hyperlink"/>
          </w:rPr>
          <w:t>Threatened Species Strategy 2015-2020</w:t>
        </w:r>
      </w:hyperlink>
      <w:r w:rsidR="0009653F">
        <w:t>.</w:t>
      </w:r>
    </w:p>
    <w:p w14:paraId="6D9E6598" w14:textId="10550FDE" w:rsidR="0027576A" w:rsidRPr="0027576A" w:rsidRDefault="0027576A" w:rsidP="0027576A">
      <w:r>
        <w:t xml:space="preserve">The Eyre Peninsula </w:t>
      </w:r>
      <w:r w:rsidR="009C03F1">
        <w:t>southern emu</w:t>
      </w:r>
      <w:r w:rsidR="00C0355C">
        <w:t>-wren</w:t>
      </w:r>
      <w:r>
        <w:t xml:space="preserve"> </w:t>
      </w:r>
      <w:r w:rsidR="4D9B81BC">
        <w:t>occurs</w:t>
      </w:r>
      <w:r>
        <w:t xml:space="preserve"> on</w:t>
      </w:r>
      <w:r w:rsidR="00921EFE">
        <w:t xml:space="preserve"> the lands of </w:t>
      </w:r>
      <w:r w:rsidR="238528D5">
        <w:t xml:space="preserve">the </w:t>
      </w:r>
      <w:proofErr w:type="spellStart"/>
      <w:r w:rsidR="00921EFE">
        <w:t>Barngarla</w:t>
      </w:r>
      <w:proofErr w:type="spellEnd"/>
      <w:r w:rsidR="00921EFE">
        <w:t xml:space="preserve"> and </w:t>
      </w:r>
      <w:proofErr w:type="spellStart"/>
      <w:r w:rsidR="00921EFE">
        <w:t>Nauo</w:t>
      </w:r>
      <w:proofErr w:type="spellEnd"/>
      <w:r w:rsidR="00921EFE">
        <w:t xml:space="preserve"> Indigenous Peoples. </w:t>
      </w:r>
      <w:r w:rsidR="00DC4299">
        <w:t>Aboriginal Nations in the Eyre Peninsula all have significant cultural stories associated with the region.</w:t>
      </w:r>
      <w:r w:rsidR="238528D5">
        <w:t xml:space="preserve"> </w:t>
      </w:r>
      <w:r w:rsidR="00921EFE">
        <w:t>Further research into the subject area may benefit the conservation planning of the subspecies by providing insights about traditional land management.</w:t>
      </w:r>
    </w:p>
    <w:p w14:paraId="51363F34" w14:textId="47701941" w:rsidR="000F78FF" w:rsidRPr="0027576A" w:rsidRDefault="000F78FF" w:rsidP="0027576A">
      <w:r w:rsidRPr="005F7FB7">
        <w:t>This statement of significance is not intended to be comprehensive, applicable to, or speak for, all Indigenous Australians and it is acknowledged that Indigenous groups and individuals are the custodians of this knowledge</w:t>
      </w:r>
      <w:r>
        <w:t>.</w:t>
      </w:r>
    </w:p>
    <w:p w14:paraId="37D2FB4C" w14:textId="123418DA" w:rsidR="0033112A" w:rsidRDefault="00C304AA" w:rsidP="00CE29CA">
      <w:pPr>
        <w:pStyle w:val="Heading3"/>
        <w:ind w:left="964" w:hanging="964"/>
      </w:pPr>
      <w:r>
        <w:t>Relevant biology and ecology</w:t>
      </w:r>
    </w:p>
    <w:p w14:paraId="73AA0DC0" w14:textId="38846531" w:rsidR="007B1112" w:rsidRPr="007B1112" w:rsidRDefault="007B1112" w:rsidP="007B1112">
      <w:r>
        <w:t xml:space="preserve">Published information on the Eyre Peninsula </w:t>
      </w:r>
      <w:r w:rsidR="009C03F1">
        <w:t>southern emu</w:t>
      </w:r>
      <w:r w:rsidR="00C0355C">
        <w:t>-wren</w:t>
      </w:r>
      <w:r>
        <w:t xml:space="preserve"> is limited, consequently, data from other subspecies has been </w:t>
      </w:r>
      <w:r w:rsidR="239C0FBD">
        <w:t>used</w:t>
      </w:r>
      <w:r>
        <w:t xml:space="preserve"> here to infer relevant biological and ecological information</w:t>
      </w:r>
      <w:r w:rsidR="000B7E09">
        <w:t>.</w:t>
      </w:r>
    </w:p>
    <w:p w14:paraId="30F268E4" w14:textId="18B20E29" w:rsidR="00402054" w:rsidRDefault="00402054" w:rsidP="006B6B55">
      <w:pPr>
        <w:pStyle w:val="Heading4"/>
      </w:pPr>
      <w:r w:rsidRPr="006B6B55">
        <w:t>Habitat</w:t>
      </w:r>
    </w:p>
    <w:p w14:paraId="669B9349" w14:textId="59DF4F53" w:rsidR="00103A46" w:rsidRDefault="0027325E" w:rsidP="00103A46">
      <w:r>
        <w:t xml:space="preserve">The </w:t>
      </w:r>
      <w:r w:rsidR="009C03F1">
        <w:t>southern emu</w:t>
      </w:r>
      <w:r w:rsidR="00C0355C">
        <w:t>-wren</w:t>
      </w:r>
      <w:r>
        <w:t xml:space="preserve"> </w:t>
      </w:r>
      <w:r w:rsidR="009D468E">
        <w:t xml:space="preserve">inhabits a range of habitats characteristically comprising low dense vegetations, such as shrub thickets, </w:t>
      </w:r>
      <w:r w:rsidR="008C3648">
        <w:t>sedgelands</w:t>
      </w:r>
      <w:r w:rsidR="009D468E">
        <w:t xml:space="preserve">, </w:t>
      </w:r>
      <w:r w:rsidR="00EE53E0">
        <w:t xml:space="preserve">and </w:t>
      </w:r>
      <w:r w:rsidR="009D468E">
        <w:t xml:space="preserve">heathy shrubland, mallee, </w:t>
      </w:r>
      <w:proofErr w:type="gramStart"/>
      <w:r w:rsidR="009D468E">
        <w:t>woodland</w:t>
      </w:r>
      <w:proofErr w:type="gramEnd"/>
      <w:r w:rsidR="009D468E">
        <w:t xml:space="preserve"> or forest </w:t>
      </w:r>
      <w:r w:rsidR="00EE53E0" w:rsidRPr="001617A0">
        <w:t>(</w:t>
      </w:r>
      <w:proofErr w:type="spellStart"/>
      <w:r w:rsidR="00EE53E0" w:rsidRPr="001617A0">
        <w:t>Schodde</w:t>
      </w:r>
      <w:proofErr w:type="spellEnd"/>
      <w:r w:rsidR="00EE53E0" w:rsidRPr="001617A0">
        <w:t xml:space="preserve"> 1982; Rowley &amp; </w:t>
      </w:r>
      <w:proofErr w:type="spellStart"/>
      <w:r w:rsidR="00EE53E0" w:rsidRPr="001617A0">
        <w:t>Rossell</w:t>
      </w:r>
      <w:proofErr w:type="spellEnd"/>
      <w:r w:rsidR="00EE53E0" w:rsidRPr="001617A0">
        <w:t xml:space="preserve"> 1997; </w:t>
      </w:r>
      <w:r w:rsidR="00086EF5">
        <w:t>Higgins</w:t>
      </w:r>
      <w:r w:rsidR="00BD7DD5">
        <w:t xml:space="preserve"> et al. 2001</w:t>
      </w:r>
      <w:r w:rsidR="00EE53E0">
        <w:t>).</w:t>
      </w:r>
    </w:p>
    <w:p w14:paraId="05D44A63" w14:textId="5CA4B905" w:rsidR="0018518A" w:rsidRDefault="0018518A" w:rsidP="00103A46">
      <w:r>
        <w:t xml:space="preserve">Eyre Peninsula </w:t>
      </w:r>
      <w:r w:rsidR="009C03F1">
        <w:t>southern emu</w:t>
      </w:r>
      <w:r w:rsidR="00C0355C">
        <w:t>-wren</w:t>
      </w:r>
      <w:r>
        <w:t xml:space="preserve"> has been recorded in shrubland, mallee and sedgeland</w:t>
      </w:r>
      <w:r w:rsidR="003C3134">
        <w:t xml:space="preserve">, all of which are characterised by one or two low, dense layers of </w:t>
      </w:r>
      <w:r w:rsidR="003C3134" w:rsidRPr="00C64A6D">
        <w:t>vegetations (Pickett 2002).</w:t>
      </w:r>
      <w:r w:rsidR="003C3134">
        <w:t xml:space="preserve"> It has been suggested </w:t>
      </w:r>
      <w:r w:rsidR="00DA7F5F">
        <w:t xml:space="preserve">that </w:t>
      </w:r>
      <w:r w:rsidR="009C03F1">
        <w:t>e</w:t>
      </w:r>
      <w:r w:rsidR="00DA7F5F">
        <w:t>mu-wrens (</w:t>
      </w:r>
      <w:proofErr w:type="spellStart"/>
      <w:r w:rsidR="00DA7F5F" w:rsidRPr="00C20D60">
        <w:rPr>
          <w:i/>
          <w:iCs/>
        </w:rPr>
        <w:t>Stipiturus</w:t>
      </w:r>
      <w:proofErr w:type="spellEnd"/>
      <w:r w:rsidR="00DA7F5F" w:rsidRPr="00C20D60">
        <w:rPr>
          <w:i/>
          <w:iCs/>
        </w:rPr>
        <w:t xml:space="preserve"> </w:t>
      </w:r>
      <w:r w:rsidR="00DA7F5F" w:rsidRPr="00C20D60">
        <w:t xml:space="preserve">spp.) </w:t>
      </w:r>
      <w:r w:rsidR="00695715" w:rsidRPr="00C20D60">
        <w:t>are more likely to choose habitats based on vegetation structure rather than floristics (Wilson &amp; Paton 2004; Maguire 2006b).</w:t>
      </w:r>
      <w:r w:rsidR="00691A32" w:rsidRPr="00C20D60">
        <w:t xml:space="preserve"> </w:t>
      </w:r>
      <w:r w:rsidR="23556D10">
        <w:t>Dense vegetation is important for shelter and because it has</w:t>
      </w:r>
      <w:r w:rsidR="00691A32" w:rsidRPr="00C20D60">
        <w:t xml:space="preserve"> higher insect abundance</w:t>
      </w:r>
      <w:r w:rsidR="00691A32" w:rsidRPr="00747BCC">
        <w:t xml:space="preserve"> (Maguire 2006a).</w:t>
      </w:r>
    </w:p>
    <w:p w14:paraId="21C0232B" w14:textId="7473939A" w:rsidR="008C3648" w:rsidRPr="007627BE" w:rsidRDefault="00412E80" w:rsidP="006B6B55">
      <w:pPr>
        <w:pStyle w:val="Heading5"/>
      </w:pPr>
      <w:r w:rsidRPr="006B6B55">
        <w:t>Shrubland</w:t>
      </w:r>
    </w:p>
    <w:p w14:paraId="10F266FF" w14:textId="1F3B6EE0" w:rsidR="00A61EBC" w:rsidRDefault="00D73370" w:rsidP="00A61EBC">
      <w:r>
        <w:t xml:space="preserve">Habitats include wet and dry heathlands. They are usually dominated by </w:t>
      </w:r>
      <w:r w:rsidR="00125894">
        <w:t xml:space="preserve">one or two major plant species. The most common include </w:t>
      </w:r>
      <w:r w:rsidR="001D736F">
        <w:t xml:space="preserve">myrtles such as </w:t>
      </w:r>
      <w:r w:rsidR="0034543F">
        <w:t>mallee honey-myrtle (</w:t>
      </w:r>
      <w:r w:rsidR="0034543F">
        <w:rPr>
          <w:i/>
          <w:iCs/>
        </w:rPr>
        <w:t xml:space="preserve">Melaleuca </w:t>
      </w:r>
      <w:proofErr w:type="spellStart"/>
      <w:r w:rsidR="0034543F">
        <w:rPr>
          <w:i/>
          <w:iCs/>
        </w:rPr>
        <w:t>brevifolia</w:t>
      </w:r>
      <w:proofErr w:type="spellEnd"/>
      <w:r w:rsidR="0034543F">
        <w:t>) and less frequently, totem poles (</w:t>
      </w:r>
      <w:r w:rsidR="0034543F">
        <w:rPr>
          <w:i/>
          <w:iCs/>
        </w:rPr>
        <w:t>M. decussata</w:t>
      </w:r>
      <w:r w:rsidR="0034543F">
        <w:t xml:space="preserve">) and </w:t>
      </w:r>
      <w:r w:rsidR="00AB22A7">
        <w:t>black paperbark</w:t>
      </w:r>
      <w:r w:rsidR="0034543F">
        <w:t xml:space="preserve"> </w:t>
      </w:r>
      <w:r w:rsidR="00BA5E61">
        <w:t>(</w:t>
      </w:r>
      <w:r w:rsidR="00AB22A7">
        <w:rPr>
          <w:i/>
          <w:iCs/>
        </w:rPr>
        <w:t>M. lanceolata</w:t>
      </w:r>
      <w:r w:rsidR="00AB22A7">
        <w:t>).</w:t>
      </w:r>
      <w:r w:rsidR="008817BF">
        <w:t xml:space="preserve"> Other prominent species are samphire (</w:t>
      </w:r>
      <w:proofErr w:type="spellStart"/>
      <w:r w:rsidR="008817BF">
        <w:rPr>
          <w:i/>
          <w:iCs/>
        </w:rPr>
        <w:t>Gahnia</w:t>
      </w:r>
      <w:proofErr w:type="spellEnd"/>
      <w:r w:rsidR="008817BF">
        <w:rPr>
          <w:i/>
          <w:iCs/>
        </w:rPr>
        <w:t xml:space="preserve"> </w:t>
      </w:r>
      <w:r w:rsidR="008817BF">
        <w:t>spp.), coast beard-heath (</w:t>
      </w:r>
      <w:proofErr w:type="spellStart"/>
      <w:r w:rsidR="008817BF">
        <w:rPr>
          <w:i/>
          <w:iCs/>
        </w:rPr>
        <w:t>Leucopogon</w:t>
      </w:r>
      <w:proofErr w:type="spellEnd"/>
      <w:r w:rsidR="008817BF">
        <w:rPr>
          <w:i/>
          <w:iCs/>
        </w:rPr>
        <w:t xml:space="preserve"> </w:t>
      </w:r>
      <w:proofErr w:type="spellStart"/>
      <w:r w:rsidR="008817BF">
        <w:rPr>
          <w:i/>
          <w:iCs/>
        </w:rPr>
        <w:t>parviflorus</w:t>
      </w:r>
      <w:proofErr w:type="spellEnd"/>
      <w:r w:rsidR="008817BF">
        <w:t>)</w:t>
      </w:r>
      <w:r w:rsidR="00067491">
        <w:t>, dysentery bush (</w:t>
      </w:r>
      <w:proofErr w:type="spellStart"/>
      <w:r w:rsidR="00067491">
        <w:rPr>
          <w:i/>
          <w:iCs/>
        </w:rPr>
        <w:t>Alyxia</w:t>
      </w:r>
      <w:proofErr w:type="spellEnd"/>
      <w:r w:rsidR="00067491">
        <w:rPr>
          <w:i/>
          <w:iCs/>
        </w:rPr>
        <w:t xml:space="preserve"> </w:t>
      </w:r>
      <w:proofErr w:type="spellStart"/>
      <w:r w:rsidR="00413809">
        <w:rPr>
          <w:i/>
          <w:iCs/>
        </w:rPr>
        <w:t>buxifolia</w:t>
      </w:r>
      <w:proofErr w:type="spellEnd"/>
      <w:r w:rsidR="00413809">
        <w:t>) and</w:t>
      </w:r>
      <w:r w:rsidR="009A561C">
        <w:t xml:space="preserve"> </w:t>
      </w:r>
      <w:r w:rsidR="00413809">
        <w:t>coast velvet bush (</w:t>
      </w:r>
      <w:proofErr w:type="spellStart"/>
      <w:r w:rsidR="00413809">
        <w:rPr>
          <w:i/>
          <w:iCs/>
        </w:rPr>
        <w:t>Lasiopetalum</w:t>
      </w:r>
      <w:proofErr w:type="spellEnd"/>
      <w:r w:rsidR="00413809">
        <w:rPr>
          <w:i/>
          <w:iCs/>
        </w:rPr>
        <w:t xml:space="preserve"> </w:t>
      </w:r>
      <w:proofErr w:type="spellStart"/>
      <w:r w:rsidR="00413809">
        <w:rPr>
          <w:i/>
          <w:iCs/>
        </w:rPr>
        <w:t>discolor</w:t>
      </w:r>
      <w:proofErr w:type="spellEnd"/>
      <w:r w:rsidR="00413809">
        <w:t>).</w:t>
      </w:r>
    </w:p>
    <w:p w14:paraId="236C368D" w14:textId="4108B602" w:rsidR="004864A6" w:rsidRPr="00F54BE6" w:rsidRDefault="004864A6" w:rsidP="00A61EBC">
      <w:r>
        <w:t>Shrubland and heathland habitats can also contain a variety of other shrubs and trees such as umbrella bush (</w:t>
      </w:r>
      <w:r>
        <w:rPr>
          <w:i/>
          <w:iCs/>
        </w:rPr>
        <w:t xml:space="preserve">Acacia </w:t>
      </w:r>
      <w:proofErr w:type="spellStart"/>
      <w:r>
        <w:rPr>
          <w:i/>
          <w:iCs/>
        </w:rPr>
        <w:t>ligulata</w:t>
      </w:r>
      <w:proofErr w:type="spellEnd"/>
      <w:r>
        <w:t>)</w:t>
      </w:r>
      <w:r w:rsidR="00940699">
        <w:t xml:space="preserve">, </w:t>
      </w:r>
      <w:r w:rsidR="004B0EDF">
        <w:t>eucalypts (</w:t>
      </w:r>
      <w:r w:rsidR="6022F1FA" w:rsidRPr="48D710CD">
        <w:rPr>
          <w:i/>
          <w:iCs/>
        </w:rPr>
        <w:t xml:space="preserve">Eucalyptus </w:t>
      </w:r>
      <w:r w:rsidR="6022F1FA">
        <w:t xml:space="preserve">spp.), </w:t>
      </w:r>
      <w:r w:rsidR="004B0EDF">
        <w:rPr>
          <w:i/>
          <w:iCs/>
        </w:rPr>
        <w:t>Casuarina</w:t>
      </w:r>
      <w:r w:rsidR="6022F1FA" w:rsidRPr="00D24DBC">
        <w:t xml:space="preserve"> spp.</w:t>
      </w:r>
      <w:r w:rsidR="6022F1FA">
        <w:t>,</w:t>
      </w:r>
      <w:r w:rsidR="004B0EDF">
        <w:t xml:space="preserve"> </w:t>
      </w:r>
      <w:proofErr w:type="spellStart"/>
      <w:r w:rsidR="004B0EDF">
        <w:rPr>
          <w:i/>
          <w:iCs/>
        </w:rPr>
        <w:t>Allocasuarina</w:t>
      </w:r>
      <w:proofErr w:type="spellEnd"/>
      <w:r w:rsidR="004B0EDF" w:rsidRPr="48D710CD">
        <w:rPr>
          <w:i/>
        </w:rPr>
        <w:t xml:space="preserve"> </w:t>
      </w:r>
      <w:r w:rsidR="004B0EDF">
        <w:t>spp</w:t>
      </w:r>
      <w:r w:rsidR="6022F1FA" w:rsidRPr="00D24DBC">
        <w:t>.</w:t>
      </w:r>
      <w:r w:rsidR="6022F1FA" w:rsidRPr="48D710CD">
        <w:rPr>
          <w:i/>
          <w:iCs/>
        </w:rPr>
        <w:t>,</w:t>
      </w:r>
      <w:r w:rsidR="00621BCA">
        <w:t xml:space="preserve"> </w:t>
      </w:r>
      <w:r w:rsidR="00F54BE6">
        <w:t>bristly bush-pea (</w:t>
      </w:r>
      <w:proofErr w:type="spellStart"/>
      <w:r w:rsidR="00F54BE6">
        <w:rPr>
          <w:i/>
          <w:iCs/>
        </w:rPr>
        <w:t>Pultenaea</w:t>
      </w:r>
      <w:proofErr w:type="spellEnd"/>
      <w:r w:rsidR="00F54BE6">
        <w:rPr>
          <w:i/>
          <w:iCs/>
        </w:rPr>
        <w:t xml:space="preserve"> </w:t>
      </w:r>
      <w:proofErr w:type="spellStart"/>
      <w:r w:rsidR="00F54BE6">
        <w:rPr>
          <w:i/>
          <w:iCs/>
        </w:rPr>
        <w:t>acerosa</w:t>
      </w:r>
      <w:proofErr w:type="spellEnd"/>
      <w:r w:rsidR="00F54BE6">
        <w:t xml:space="preserve">) and </w:t>
      </w:r>
      <w:r w:rsidR="00F54BE6" w:rsidRPr="0008666A">
        <w:t xml:space="preserve">Tate’s </w:t>
      </w:r>
      <w:r w:rsidR="009C03F1">
        <w:t>g</w:t>
      </w:r>
      <w:r w:rsidR="00F54BE6" w:rsidRPr="0008666A">
        <w:t>rasstree (</w:t>
      </w:r>
      <w:r w:rsidR="00F54BE6" w:rsidRPr="0008666A">
        <w:rPr>
          <w:i/>
          <w:iCs/>
        </w:rPr>
        <w:t xml:space="preserve">Xanthorrhoea </w:t>
      </w:r>
      <w:proofErr w:type="spellStart"/>
      <w:r w:rsidR="00F54BE6" w:rsidRPr="0008666A">
        <w:rPr>
          <w:i/>
          <w:iCs/>
        </w:rPr>
        <w:t>semiplana</w:t>
      </w:r>
      <w:proofErr w:type="spellEnd"/>
      <w:r w:rsidR="00F54BE6" w:rsidRPr="0008666A">
        <w:t xml:space="preserve">). The understorey vegetation in these habitats </w:t>
      </w:r>
      <w:r w:rsidR="47983F62">
        <w:t>ii</w:t>
      </w:r>
      <w:r w:rsidR="00F54BE6" w:rsidRPr="0008666A">
        <w:t xml:space="preserve"> comprised mainly of low sedges and rushes (</w:t>
      </w:r>
      <w:r w:rsidR="00F54BE6" w:rsidRPr="0008666A">
        <w:rPr>
          <w:i/>
          <w:iCs/>
        </w:rPr>
        <w:t>Juncus</w:t>
      </w:r>
      <w:r w:rsidR="00F54BE6" w:rsidRPr="0008666A">
        <w:t xml:space="preserve"> spp.) and can include species such as samphire (</w:t>
      </w:r>
      <w:proofErr w:type="spellStart"/>
      <w:r w:rsidR="00F54BE6" w:rsidRPr="0008666A">
        <w:t>Possingham</w:t>
      </w:r>
      <w:proofErr w:type="spellEnd"/>
      <w:r w:rsidR="00F54BE6" w:rsidRPr="0008666A">
        <w:t xml:space="preserve"> 1993; Pickett 2002).</w:t>
      </w:r>
    </w:p>
    <w:p w14:paraId="2AF0B3F7" w14:textId="3E65F56A" w:rsidR="00A61EBC" w:rsidRPr="007627BE" w:rsidRDefault="00A61EBC" w:rsidP="006B6B55">
      <w:pPr>
        <w:pStyle w:val="Heading5"/>
      </w:pPr>
      <w:r w:rsidRPr="006B6B55">
        <w:t>Mallee</w:t>
      </w:r>
    </w:p>
    <w:p w14:paraId="33EAD8C4" w14:textId="6AAF8868" w:rsidR="007F265F" w:rsidRDefault="00523F06" w:rsidP="00A61EBC">
      <w:r>
        <w:t xml:space="preserve">Mallee habitats used by </w:t>
      </w:r>
      <w:r w:rsidR="00E861F9">
        <w:t xml:space="preserve">the Eyre Peninsula </w:t>
      </w:r>
      <w:r w:rsidR="009C03F1">
        <w:t>southern emu</w:t>
      </w:r>
      <w:r w:rsidR="00C0355C">
        <w:t>-wren</w:t>
      </w:r>
      <w:r w:rsidR="00E861F9">
        <w:t xml:space="preserve"> can be open or </w:t>
      </w:r>
      <w:proofErr w:type="gramStart"/>
      <w:r w:rsidR="00E861F9">
        <w:t>closed, and</w:t>
      </w:r>
      <w:proofErr w:type="gramEnd"/>
      <w:r w:rsidR="00E861F9">
        <w:t xml:space="preserve"> can include low mallee. They are typically dominated by </w:t>
      </w:r>
      <w:r w:rsidR="001F5E3A">
        <w:t>soap mallee (</w:t>
      </w:r>
      <w:r w:rsidR="001F5E3A">
        <w:rPr>
          <w:i/>
          <w:iCs/>
        </w:rPr>
        <w:t xml:space="preserve">Eucalyptus </w:t>
      </w:r>
      <w:proofErr w:type="spellStart"/>
      <w:r w:rsidR="001F5E3A">
        <w:rPr>
          <w:i/>
          <w:iCs/>
        </w:rPr>
        <w:t>diversifolia</w:t>
      </w:r>
      <w:proofErr w:type="spellEnd"/>
      <w:r w:rsidR="001F5E3A">
        <w:t xml:space="preserve">) and </w:t>
      </w:r>
      <w:r w:rsidR="001F5E3A">
        <w:lastRenderedPageBreak/>
        <w:t>ridge-fruited mallee (</w:t>
      </w:r>
      <w:r w:rsidR="005659FA">
        <w:rPr>
          <w:i/>
          <w:iCs/>
        </w:rPr>
        <w:t>E. incrassate</w:t>
      </w:r>
      <w:r w:rsidR="005659FA">
        <w:t>) in association with a variety of shrubs including myrtle species</w:t>
      </w:r>
      <w:r w:rsidR="007F265F">
        <w:t xml:space="preserve"> and coast beard heath, and a lower layer (often dense) of heathy shrubs and sedges.</w:t>
      </w:r>
    </w:p>
    <w:p w14:paraId="6884C6DC" w14:textId="4887CCDA" w:rsidR="00A61EBC" w:rsidRPr="00A832C4" w:rsidRDefault="007F265F" w:rsidP="00A61EBC">
      <w:r>
        <w:t xml:space="preserve">In </w:t>
      </w:r>
      <w:r w:rsidR="00A832C4">
        <w:t>some</w:t>
      </w:r>
      <w:r>
        <w:t xml:space="preserve"> locations,</w:t>
      </w:r>
      <w:r w:rsidR="00837C00">
        <w:t xml:space="preserve"> mallee habitats include areas</w:t>
      </w:r>
      <w:r w:rsidR="003A1946">
        <w:t xml:space="preserve"> of more typical inland mallee that are dominated by ridge-fruited mallee and have a dense understory of heathy shrubs such as </w:t>
      </w:r>
      <w:r w:rsidR="003A1946">
        <w:rPr>
          <w:i/>
          <w:iCs/>
        </w:rPr>
        <w:t>Banksia</w:t>
      </w:r>
      <w:r w:rsidR="003A1946">
        <w:t xml:space="preserve"> spp., </w:t>
      </w:r>
      <w:r w:rsidR="00A832C4">
        <w:t>green tea-tree (</w:t>
      </w:r>
      <w:r w:rsidR="00A832C4">
        <w:rPr>
          <w:i/>
          <w:iCs/>
        </w:rPr>
        <w:t xml:space="preserve">Leptospermum </w:t>
      </w:r>
      <w:proofErr w:type="spellStart"/>
      <w:r w:rsidR="00A832C4">
        <w:rPr>
          <w:i/>
          <w:iCs/>
        </w:rPr>
        <w:t>coriaceum</w:t>
      </w:r>
      <w:proofErr w:type="spellEnd"/>
      <w:r w:rsidR="00A832C4">
        <w:t xml:space="preserve">) and </w:t>
      </w:r>
      <w:r w:rsidR="4C40B40B">
        <w:t>hummock grasses (</w:t>
      </w:r>
      <w:proofErr w:type="spellStart"/>
      <w:r w:rsidR="00A832C4">
        <w:rPr>
          <w:i/>
          <w:iCs/>
        </w:rPr>
        <w:t>Triodia</w:t>
      </w:r>
      <w:proofErr w:type="spellEnd"/>
      <w:r w:rsidR="00A832C4">
        <w:rPr>
          <w:i/>
          <w:iCs/>
        </w:rPr>
        <w:t xml:space="preserve"> </w:t>
      </w:r>
      <w:r w:rsidR="00A832C4">
        <w:t>spp</w:t>
      </w:r>
      <w:r w:rsidR="4C40B40B">
        <w:t>.)</w:t>
      </w:r>
      <w:r w:rsidR="00A832C4">
        <w:t xml:space="preserve"> (Pickett 2002).</w:t>
      </w:r>
    </w:p>
    <w:p w14:paraId="7B5EE408" w14:textId="48CDE094" w:rsidR="00A61EBC" w:rsidRPr="007627BE" w:rsidRDefault="00A61EBC" w:rsidP="006B6B55">
      <w:pPr>
        <w:pStyle w:val="Heading5"/>
      </w:pPr>
      <w:r w:rsidRPr="006B6B55">
        <w:t>Sedgeland</w:t>
      </w:r>
    </w:p>
    <w:p w14:paraId="1D2D74DF" w14:textId="456C771B" w:rsidR="00A61EBC" w:rsidRPr="00573AA8" w:rsidRDefault="00832C21" w:rsidP="00A61EBC">
      <w:r>
        <w:t>The</w:t>
      </w:r>
      <w:r w:rsidR="00573AA8">
        <w:t xml:space="preserve"> sedgeland habitats of the </w:t>
      </w:r>
      <w:r w:rsidR="00E861F9">
        <w:t xml:space="preserve">Eyre Peninsula </w:t>
      </w:r>
      <w:r w:rsidR="009C03F1">
        <w:t>southern emu</w:t>
      </w:r>
      <w:r w:rsidR="00C0355C">
        <w:t>-wren</w:t>
      </w:r>
      <w:r w:rsidR="00573AA8">
        <w:t xml:space="preserve"> are dominated by coast saw-sedge (</w:t>
      </w:r>
      <w:proofErr w:type="spellStart"/>
      <w:r w:rsidR="00573AA8">
        <w:rPr>
          <w:i/>
          <w:iCs/>
        </w:rPr>
        <w:t>Gahnia</w:t>
      </w:r>
      <w:proofErr w:type="spellEnd"/>
      <w:r w:rsidR="00573AA8">
        <w:rPr>
          <w:i/>
          <w:iCs/>
        </w:rPr>
        <w:t xml:space="preserve"> </w:t>
      </w:r>
      <w:proofErr w:type="spellStart"/>
      <w:r w:rsidR="00573AA8">
        <w:rPr>
          <w:i/>
          <w:iCs/>
        </w:rPr>
        <w:t>trifida</w:t>
      </w:r>
      <w:proofErr w:type="spellEnd"/>
      <w:r w:rsidR="00573AA8">
        <w:t xml:space="preserve">) and usually have a dense understorey of bare </w:t>
      </w:r>
      <w:proofErr w:type="spellStart"/>
      <w:r w:rsidR="00573AA8">
        <w:t>twigrush</w:t>
      </w:r>
      <w:proofErr w:type="spellEnd"/>
      <w:r w:rsidR="00573AA8">
        <w:t xml:space="preserve"> (</w:t>
      </w:r>
      <w:proofErr w:type="spellStart"/>
      <w:r w:rsidR="00573AA8">
        <w:rPr>
          <w:i/>
          <w:iCs/>
        </w:rPr>
        <w:t>Baumea</w:t>
      </w:r>
      <w:proofErr w:type="spellEnd"/>
      <w:r w:rsidR="00573AA8">
        <w:rPr>
          <w:i/>
          <w:iCs/>
        </w:rPr>
        <w:t xml:space="preserve"> </w:t>
      </w:r>
      <w:proofErr w:type="spellStart"/>
      <w:r w:rsidR="00573AA8">
        <w:rPr>
          <w:i/>
          <w:iCs/>
        </w:rPr>
        <w:t>juncea</w:t>
      </w:r>
      <w:proofErr w:type="spellEnd"/>
      <w:r w:rsidR="00573AA8">
        <w:t>) or other sedges and rushes. These habitats are located around seasonal swamps in coastal regions of the subspecies’ range (Picket 2002).</w:t>
      </w:r>
    </w:p>
    <w:p w14:paraId="1CF5AA10" w14:textId="64AD5D2A" w:rsidR="00402054" w:rsidRPr="00F255A9" w:rsidRDefault="00CE29CA" w:rsidP="00103A46">
      <w:pPr>
        <w:pStyle w:val="Heading4"/>
      </w:pPr>
      <w:r w:rsidRPr="00F255A9">
        <w:t>Diet</w:t>
      </w:r>
    </w:p>
    <w:p w14:paraId="3E889465" w14:textId="0E80B0FD" w:rsidR="00BC322A" w:rsidRPr="00ED659D" w:rsidRDefault="009C03F1" w:rsidP="00BC322A">
      <w:r>
        <w:t>Southern emu</w:t>
      </w:r>
      <w:r w:rsidR="00BC322A" w:rsidRPr="00F255A9">
        <w:t>-wrens feed almost entirely upon insects, including seed or chinch</w:t>
      </w:r>
      <w:r w:rsidR="00BC322A" w:rsidRPr="00BF07BE">
        <w:t xml:space="preserve"> bugs (Hemiptera: </w:t>
      </w:r>
      <w:proofErr w:type="spellStart"/>
      <w:r w:rsidR="00BC322A" w:rsidRPr="00BF07BE">
        <w:t>Lyagaeidae</w:t>
      </w:r>
      <w:proofErr w:type="spellEnd"/>
      <w:r w:rsidR="00BC322A" w:rsidRPr="00BF07BE">
        <w:t xml:space="preserve">, including </w:t>
      </w:r>
      <w:proofErr w:type="spellStart"/>
      <w:r w:rsidR="00BC322A" w:rsidRPr="00BF07BE">
        <w:t>Nysius</w:t>
      </w:r>
      <w:proofErr w:type="spellEnd"/>
      <w:r w:rsidR="00BC322A" w:rsidRPr="00BF07BE">
        <w:t xml:space="preserve">), psyllids (Hemiptera: Psyllidae), katydids (Orthoptera: Tettigoniidae) and beetles (Coleoptera), including weevils (Coleoptera: Curculionidae). Other items recorded in their diet include eggs of katydids (and possibly other insects or spiders), and wasp cocoons (Hymenoptera). They forage systematically around and up through shrubs to the top, before moving to the next shrub, sometimes </w:t>
      </w:r>
      <w:r w:rsidR="00BC322A">
        <w:t xml:space="preserve">also </w:t>
      </w:r>
      <w:r w:rsidR="00BC322A" w:rsidRPr="00BF07BE">
        <w:t>capturing flying insects</w:t>
      </w:r>
      <w:r w:rsidR="00F255A9">
        <w:t xml:space="preserve"> (</w:t>
      </w:r>
      <w:r w:rsidR="00C120B4">
        <w:t xml:space="preserve">Lea &amp; Gray 1935; </w:t>
      </w:r>
      <w:r w:rsidR="00F255A9">
        <w:t>Higgins et al. 2001).</w:t>
      </w:r>
    </w:p>
    <w:p w14:paraId="7F4BF1FC" w14:textId="19BD7AAA" w:rsidR="00EF1524" w:rsidRDefault="00CE29CA" w:rsidP="00103A46">
      <w:pPr>
        <w:pStyle w:val="Heading4"/>
      </w:pPr>
      <w:r w:rsidRPr="00131032">
        <w:t>Breeding</w:t>
      </w:r>
    </w:p>
    <w:p w14:paraId="0E6AC69D" w14:textId="5DF56224" w:rsidR="001739B2" w:rsidRPr="00BF07BE" w:rsidRDefault="009C03F1" w:rsidP="001739B2">
      <w:pPr>
        <w:rPr>
          <w:lang w:val="en-US"/>
        </w:rPr>
      </w:pPr>
      <w:r>
        <w:rPr>
          <w:lang w:val="en-US"/>
        </w:rPr>
        <w:t>Southern emu</w:t>
      </w:r>
      <w:r w:rsidR="001354D0" w:rsidRPr="00BF07BE">
        <w:rPr>
          <w:lang w:val="en-US"/>
        </w:rPr>
        <w:t>-wren</w:t>
      </w:r>
      <w:r w:rsidR="001354D0">
        <w:rPr>
          <w:lang w:val="en-US"/>
        </w:rPr>
        <w:t>s</w:t>
      </w:r>
      <w:r w:rsidR="001354D0" w:rsidRPr="00BF07BE">
        <w:rPr>
          <w:lang w:val="en-US"/>
        </w:rPr>
        <w:t xml:space="preserve"> </w:t>
      </w:r>
      <w:r w:rsidR="001739B2" w:rsidRPr="00BF07BE">
        <w:rPr>
          <w:lang w:val="en-US"/>
        </w:rPr>
        <w:t>are monogamous pair breeders, producing one (mostly) or two broods, from</w:t>
      </w:r>
      <w:r w:rsidR="001739B2">
        <w:rPr>
          <w:lang w:val="en-US"/>
        </w:rPr>
        <w:t xml:space="preserve"> the</w:t>
      </w:r>
      <w:r w:rsidR="001739B2" w:rsidRPr="00BF07BE">
        <w:rPr>
          <w:lang w:val="en-US"/>
        </w:rPr>
        <w:t xml:space="preserve"> beginning of August until the end of March. This includes nesting and rearing young until independence, but most young hatch during September-December. Cooperative breeding and extra-pair paternity ha</w:t>
      </w:r>
      <w:r w:rsidR="001739B2">
        <w:rPr>
          <w:lang w:val="en-US"/>
        </w:rPr>
        <w:t>ve</w:t>
      </w:r>
      <w:r w:rsidR="001739B2" w:rsidRPr="00BF07BE">
        <w:rPr>
          <w:lang w:val="en-US"/>
        </w:rPr>
        <w:t xml:space="preserve"> been recorded in the other subspecies of </w:t>
      </w:r>
      <w:r>
        <w:rPr>
          <w:lang w:val="en-US"/>
        </w:rPr>
        <w:t>southern emu</w:t>
      </w:r>
      <w:r w:rsidR="001739B2" w:rsidRPr="00BF07BE">
        <w:rPr>
          <w:lang w:val="en-US"/>
        </w:rPr>
        <w:t>-</w:t>
      </w:r>
      <w:proofErr w:type="gramStart"/>
      <w:r w:rsidR="001739B2" w:rsidRPr="00BF07BE">
        <w:rPr>
          <w:lang w:val="en-US"/>
        </w:rPr>
        <w:t>wrens</w:t>
      </w:r>
      <w:r w:rsidR="6394EA79" w:rsidRPr="48D710CD">
        <w:rPr>
          <w:lang w:val="en-US"/>
        </w:rPr>
        <w:t>, and</w:t>
      </w:r>
      <w:proofErr w:type="gramEnd"/>
      <w:r w:rsidR="6394EA79" w:rsidRPr="48D710CD">
        <w:rPr>
          <w:lang w:val="en-US"/>
        </w:rPr>
        <w:t xml:space="preserve"> may also occur in the </w:t>
      </w:r>
      <w:r w:rsidR="000574EB">
        <w:rPr>
          <w:lang w:val="en-US"/>
        </w:rPr>
        <w:t>Eyre</w:t>
      </w:r>
      <w:r w:rsidR="4D9B81BC">
        <w:t xml:space="preserve"> Peninsula </w:t>
      </w:r>
      <w:r w:rsidR="069D7967">
        <w:t>southern emu</w:t>
      </w:r>
      <w:r w:rsidR="4595326E">
        <w:t>-</w:t>
      </w:r>
      <w:r w:rsidR="000574EB">
        <w:t>wren.</w:t>
      </w:r>
      <w:r w:rsidR="001739B2" w:rsidRPr="00BF07BE">
        <w:rPr>
          <w:lang w:val="en-US"/>
        </w:rPr>
        <w:t xml:space="preserve"> They occupy territories during the breeding season, each pair usually </w:t>
      </w:r>
      <w:r w:rsidR="6394EA79" w:rsidRPr="48D710CD">
        <w:rPr>
          <w:lang w:val="en-US"/>
        </w:rPr>
        <w:t>occupying</w:t>
      </w:r>
      <w:r w:rsidR="001739B2" w:rsidRPr="00BF07BE">
        <w:rPr>
          <w:lang w:val="en-US"/>
        </w:rPr>
        <w:t xml:space="preserve"> around one hectare of good quality habitat, with little overlap with the ranges of neighboring pairs</w:t>
      </w:r>
      <w:r w:rsidR="00131032">
        <w:rPr>
          <w:lang w:val="en-US"/>
        </w:rPr>
        <w:t xml:space="preserve"> (Higgins et al. 2001)</w:t>
      </w:r>
      <w:r w:rsidR="001739B2" w:rsidRPr="00BF07BE">
        <w:rPr>
          <w:lang w:val="en-US"/>
        </w:rPr>
        <w:t>.</w:t>
      </w:r>
    </w:p>
    <w:p w14:paraId="3152206B" w14:textId="2D8A53E0" w:rsidR="001739B2" w:rsidRPr="00BF07BE" w:rsidRDefault="069D7967" w:rsidP="001739B2">
      <w:pPr>
        <w:rPr>
          <w:lang w:val="en-US"/>
        </w:rPr>
      </w:pPr>
      <w:r w:rsidRPr="48D710CD">
        <w:rPr>
          <w:lang w:val="en-US"/>
        </w:rPr>
        <w:t>Southern emu</w:t>
      </w:r>
      <w:r w:rsidR="2DD32D57" w:rsidRPr="48D710CD">
        <w:rPr>
          <w:lang w:val="en-US"/>
        </w:rPr>
        <w:t>-wrens</w:t>
      </w:r>
      <w:r w:rsidR="001354D0">
        <w:rPr>
          <w:lang w:val="en-US"/>
        </w:rPr>
        <w:t xml:space="preserve"> </w:t>
      </w:r>
      <w:r w:rsidR="00131032" w:rsidRPr="00BF07BE">
        <w:rPr>
          <w:lang w:val="en-US"/>
        </w:rPr>
        <w:t>construct</w:t>
      </w:r>
      <w:r w:rsidR="001739B2" w:rsidRPr="00BF07BE">
        <w:rPr>
          <w:lang w:val="en-US"/>
        </w:rPr>
        <w:t xml:space="preserve"> domed nests, mainly from loosely woven fine-leaved grasses and sedges, usually near (around 0.3 m) the ground or sometimes water, in dense vegetation. Both parents feed the young but only the female incubates the eggs and </w:t>
      </w:r>
      <w:r w:rsidR="6394EA79" w:rsidRPr="48D710CD">
        <w:rPr>
          <w:lang w:val="en-US"/>
        </w:rPr>
        <w:t>broods</w:t>
      </w:r>
      <w:r w:rsidR="001739B2" w:rsidRPr="00BF07BE">
        <w:rPr>
          <w:lang w:val="en-US"/>
        </w:rPr>
        <w:t xml:space="preserve"> the nestlings. The usual clutch size is three eggs, which are laid on successive days. </w:t>
      </w:r>
      <w:r w:rsidR="6394EA79" w:rsidRPr="48D710CD">
        <w:rPr>
          <w:lang w:val="en-US"/>
        </w:rPr>
        <w:t>The incubation</w:t>
      </w:r>
      <w:r w:rsidR="001739B2" w:rsidRPr="00BF07BE">
        <w:rPr>
          <w:lang w:val="en-US"/>
        </w:rPr>
        <w:t xml:space="preserve"> period is around 10-20 days and nestling period around two weeks. Young remain in highly cryptic dense cover for up to two weeks after fledging, until </w:t>
      </w:r>
      <w:r w:rsidR="6394EA79" w:rsidRPr="48D710CD">
        <w:rPr>
          <w:lang w:val="en-US"/>
        </w:rPr>
        <w:t xml:space="preserve">they are </w:t>
      </w:r>
      <w:r w:rsidR="001739B2" w:rsidRPr="00BF07BE">
        <w:rPr>
          <w:lang w:val="en-US"/>
        </w:rPr>
        <w:t xml:space="preserve">more capable of flight and foraging. </w:t>
      </w:r>
      <w:r w:rsidR="6394EA79" w:rsidRPr="48D710CD">
        <w:rPr>
          <w:lang w:val="en-US"/>
        </w:rPr>
        <w:t>Young</w:t>
      </w:r>
      <w:r w:rsidR="001739B2" w:rsidRPr="00BF07BE">
        <w:rPr>
          <w:lang w:val="en-US"/>
        </w:rPr>
        <w:t xml:space="preserve"> are independent by about three months of age and can breed in the breeding season following </w:t>
      </w:r>
      <w:r w:rsidR="001354D0" w:rsidRPr="00BF07BE">
        <w:rPr>
          <w:lang w:val="en-US"/>
        </w:rPr>
        <w:t>hatching</w:t>
      </w:r>
      <w:r w:rsidR="001354D0">
        <w:t xml:space="preserve"> (Fletcher 1915; Higgins et al. 2001; Maguire &amp; Mulder 2004)</w:t>
      </w:r>
      <w:r w:rsidR="001739B2" w:rsidRPr="00BF07BE">
        <w:rPr>
          <w:lang w:val="en-US"/>
        </w:rPr>
        <w:t xml:space="preserve">. They have an estimated generation length of </w:t>
      </w:r>
      <w:r w:rsidR="001739B2">
        <w:rPr>
          <w:lang w:val="en-US"/>
        </w:rPr>
        <w:t>2.1 years (Bird et al. 2020).</w:t>
      </w:r>
      <w:r w:rsidR="001739B2" w:rsidRPr="00BF07BE">
        <w:rPr>
          <w:lang w:val="en-US"/>
        </w:rPr>
        <w:t xml:space="preserve"> </w:t>
      </w:r>
    </w:p>
    <w:p w14:paraId="4E3E0C50" w14:textId="4646A0F0" w:rsidR="002261AF" w:rsidRPr="002261AF" w:rsidRDefault="002261AF" w:rsidP="0094511F">
      <w:pPr>
        <w:pStyle w:val="Heading4"/>
      </w:pPr>
      <w:r>
        <w:t>Movement</w:t>
      </w:r>
    </w:p>
    <w:p w14:paraId="79D43377" w14:textId="1F4EDC85" w:rsidR="00103A46" w:rsidRPr="00103A46" w:rsidRDefault="00576A09" w:rsidP="00103A46">
      <w:r>
        <w:t xml:space="preserve">Movement and dispersal of </w:t>
      </w:r>
      <w:r w:rsidR="009C03F1">
        <w:t>southern emu</w:t>
      </w:r>
      <w:r w:rsidR="00C0355C">
        <w:t>-wren</w:t>
      </w:r>
      <w:r w:rsidR="00047E26">
        <w:t xml:space="preserve"> is poorly known</w:t>
      </w:r>
      <w:r w:rsidR="5A0F8404">
        <w:t xml:space="preserve">, but the species </w:t>
      </w:r>
      <w:r w:rsidR="000574EB">
        <w:t>is</w:t>
      </w:r>
      <w:r w:rsidR="00047E26">
        <w:t xml:space="preserve"> generally </w:t>
      </w:r>
      <w:r w:rsidR="002A6650">
        <w:t>thought to be</w:t>
      </w:r>
      <w:r w:rsidR="00047E26">
        <w:t xml:space="preserve"> </w:t>
      </w:r>
      <w:r w:rsidR="00DF0C93">
        <w:t xml:space="preserve">sedentary (Higgins et al. 2001). </w:t>
      </w:r>
      <w:r w:rsidR="009017CF">
        <w:t xml:space="preserve">As they are not </w:t>
      </w:r>
      <w:r w:rsidR="00F902DA">
        <w:t xml:space="preserve">great flyers due to their long tails and </w:t>
      </w:r>
      <w:r w:rsidR="650A9EB1">
        <w:t>they prefer</w:t>
      </w:r>
      <w:r w:rsidR="00F902DA">
        <w:t xml:space="preserve"> dense cover, </w:t>
      </w:r>
      <w:r w:rsidR="650A9EB1">
        <w:t xml:space="preserve">the </w:t>
      </w:r>
      <w:r w:rsidR="00F902DA">
        <w:t xml:space="preserve">Eyre Peninsula </w:t>
      </w:r>
      <w:r w:rsidR="009C03F1">
        <w:t>southern emu</w:t>
      </w:r>
      <w:r w:rsidR="00C0355C">
        <w:t>-wren</w:t>
      </w:r>
      <w:r w:rsidR="00F902DA">
        <w:t xml:space="preserve"> is </w:t>
      </w:r>
      <w:r w:rsidR="650A9EB1">
        <w:t>presumed to be poor at dispersing, although t</w:t>
      </w:r>
      <w:r w:rsidR="7E10EA71">
        <w:t>here</w:t>
      </w:r>
      <w:r w:rsidR="00197D76">
        <w:t xml:space="preserve"> is little available empirical information regarding dispersal</w:t>
      </w:r>
      <w:r w:rsidR="002E5E92">
        <w:t>. In the Mount Lofty Ranges subspecies (</w:t>
      </w:r>
      <w:r w:rsidR="00622A3D">
        <w:rPr>
          <w:i/>
          <w:iCs/>
        </w:rPr>
        <w:t>S. m. inter</w:t>
      </w:r>
      <w:r w:rsidR="004862B0">
        <w:rPr>
          <w:i/>
          <w:iCs/>
        </w:rPr>
        <w:t>medius</w:t>
      </w:r>
      <w:r w:rsidR="004862B0">
        <w:t>),</w:t>
      </w:r>
      <w:r w:rsidR="002E5E92">
        <w:t xml:space="preserve"> </w:t>
      </w:r>
      <w:r w:rsidR="00197D76" w:rsidRPr="003E2F1F">
        <w:t xml:space="preserve">movements of up to </w:t>
      </w:r>
      <w:r w:rsidR="00B50466" w:rsidRPr="003E2F1F">
        <w:t xml:space="preserve">2.5 km </w:t>
      </w:r>
      <w:r w:rsidR="002E5E92" w:rsidRPr="003E2F1F">
        <w:t xml:space="preserve">have been </w:t>
      </w:r>
      <w:r w:rsidR="002E5E92" w:rsidRPr="003E2F1F">
        <w:lastRenderedPageBreak/>
        <w:t>recorded</w:t>
      </w:r>
      <w:r w:rsidR="004862B0" w:rsidRPr="003E2F1F">
        <w:t xml:space="preserve"> </w:t>
      </w:r>
      <w:r w:rsidR="001340CF" w:rsidRPr="003E2F1F">
        <w:t>between sites connected by dense vegetation (</w:t>
      </w:r>
      <w:r w:rsidR="00791874">
        <w:t xml:space="preserve">Pickett 2000; </w:t>
      </w:r>
      <w:r w:rsidR="008823B5" w:rsidRPr="003E2F1F">
        <w:rPr>
          <w:lang w:val="en-US"/>
        </w:rPr>
        <w:t>MLRSEW &amp; FPS Recovery Team 2007).</w:t>
      </w:r>
    </w:p>
    <w:p w14:paraId="5C87E65F" w14:textId="252012FF" w:rsidR="00C304AA" w:rsidRDefault="00C304AA" w:rsidP="00C304AA">
      <w:pPr>
        <w:pStyle w:val="Heading3"/>
        <w:ind w:left="964" w:hanging="964"/>
      </w:pPr>
      <w:r>
        <w:t>Habitat critical to the survival</w:t>
      </w:r>
    </w:p>
    <w:p w14:paraId="5A8598AD" w14:textId="5826F022" w:rsidR="00BE77C8" w:rsidRDefault="007416EB" w:rsidP="00BE77C8">
      <w:r w:rsidRPr="00502045">
        <w:t xml:space="preserve">Eyre Peninsula </w:t>
      </w:r>
      <w:r w:rsidR="009C03F1">
        <w:t>southern emu</w:t>
      </w:r>
      <w:r w:rsidR="00C0355C">
        <w:t>-wren</w:t>
      </w:r>
      <w:r w:rsidRPr="00502045">
        <w:t xml:space="preserve"> has been recorded in shrubland, mallee and sedgeland, all of which are characterised by one or two low, dense layers of vegetations (Pickett 2002). </w:t>
      </w:r>
      <w:r w:rsidR="00385C15">
        <w:t xml:space="preserve">Habitat critical </w:t>
      </w:r>
      <w:r w:rsidR="00767729">
        <w:t>to the survival of the Eyre Penin</w:t>
      </w:r>
      <w:r w:rsidR="00F36438">
        <w:t xml:space="preserve">sula </w:t>
      </w:r>
      <w:r w:rsidR="009C03F1">
        <w:t>southern emu</w:t>
      </w:r>
      <w:r w:rsidR="00C0355C">
        <w:t>-wren</w:t>
      </w:r>
      <w:r w:rsidR="00F36438">
        <w:t xml:space="preserve"> should consist of:</w:t>
      </w:r>
    </w:p>
    <w:p w14:paraId="01761F6C" w14:textId="13CB6269" w:rsidR="00F36438" w:rsidRDefault="0DFF9F2E" w:rsidP="00F36438">
      <w:r>
        <w:t xml:space="preserve">All known </w:t>
      </w:r>
      <w:r w:rsidR="259160DD">
        <w:t>sites where the subspecies occurs</w:t>
      </w:r>
      <w:r w:rsidR="000B3251">
        <w:t xml:space="preserve"> (see </w:t>
      </w:r>
      <w:r w:rsidR="000B3251">
        <w:rPr>
          <w:i/>
          <w:iCs/>
        </w:rPr>
        <w:t>Distribution</w:t>
      </w:r>
      <w:proofErr w:type="gramStart"/>
      <w:r w:rsidR="000B3251">
        <w:t>);</w:t>
      </w:r>
      <w:proofErr w:type="gramEnd"/>
    </w:p>
    <w:p w14:paraId="33452ED2" w14:textId="282E0E77" w:rsidR="00426F9D" w:rsidRDefault="00426F9D" w:rsidP="00F36438">
      <w:r>
        <w:t xml:space="preserve">Specific </w:t>
      </w:r>
      <w:r w:rsidR="00D9058C">
        <w:t xml:space="preserve">habitat types identified above (see </w:t>
      </w:r>
      <w:r w:rsidR="00D9058C">
        <w:rPr>
          <w:i/>
          <w:iCs/>
        </w:rPr>
        <w:t>Relevant biology and ecology</w:t>
      </w:r>
      <w:r w:rsidR="00D9058C">
        <w:t>)</w:t>
      </w:r>
      <w:r w:rsidR="00965B23">
        <w:t xml:space="preserve"> </w:t>
      </w:r>
      <w:r w:rsidR="00236795">
        <w:t>that may be potential habitat for the subspecies; and</w:t>
      </w:r>
    </w:p>
    <w:p w14:paraId="09EDAE98" w14:textId="2935B63E" w:rsidR="00236795" w:rsidRPr="00BE77C8" w:rsidRDefault="00236795" w:rsidP="00F36438">
      <w:r>
        <w:t>Surrounding matrix of these areas for the role of providing corridors for dispersal between suitable habitat patches.</w:t>
      </w:r>
    </w:p>
    <w:p w14:paraId="42C7F65E" w14:textId="7304E8CB" w:rsidR="00472118" w:rsidRDefault="00C01810" w:rsidP="00C304AA">
      <w:r>
        <w:t xml:space="preserve">Further research would allow </w:t>
      </w:r>
      <w:r w:rsidR="00065FFC">
        <w:t>the definition of habitat critical to the survival of the subspecies to be refined (e.g., through the availability of higher resolution vegetation mapping layers and ground</w:t>
      </w:r>
      <w:r w:rsidR="24543950">
        <w:t>-</w:t>
      </w:r>
      <w:r w:rsidR="00065FFC">
        <w:t xml:space="preserve">based surveys). </w:t>
      </w:r>
      <w:r w:rsidR="00575210">
        <w:t xml:space="preserve">A systematic approach to identify and </w:t>
      </w:r>
      <w:r w:rsidR="3A95FD76">
        <w:t>rank</w:t>
      </w:r>
      <w:r w:rsidR="00575210">
        <w:t xml:space="preserve"> critical Eyre Peninsula </w:t>
      </w:r>
      <w:r w:rsidR="009C03F1">
        <w:t>southern emu</w:t>
      </w:r>
      <w:r w:rsidR="00C0355C">
        <w:t>-wren</w:t>
      </w:r>
      <w:r w:rsidR="00575210">
        <w:t xml:space="preserve"> habitat should consider factors such as population </w:t>
      </w:r>
      <w:r w:rsidR="00B570A9">
        <w:t>parameters</w:t>
      </w:r>
      <w:r w:rsidR="00575210">
        <w:t xml:space="preserve"> (e.g., </w:t>
      </w:r>
      <w:r w:rsidR="001743F6">
        <w:t xml:space="preserve">size, extent, viability, and likely source-sink </w:t>
      </w:r>
      <w:r w:rsidR="00EA1D1E">
        <w:t>dynamics</w:t>
      </w:r>
      <w:r w:rsidR="001743F6">
        <w:t>)</w:t>
      </w:r>
      <w:r w:rsidR="00FD56F4">
        <w:t xml:space="preserve">, </w:t>
      </w:r>
      <w:r w:rsidR="002B30B1">
        <w:t>surrounding</w:t>
      </w:r>
      <w:r w:rsidR="00FD56F4">
        <w:t xml:space="preserve"> landscape (e.g., matrix quality), habitat quality, patch configuration and </w:t>
      </w:r>
      <w:r w:rsidR="005470BE">
        <w:t>connectivity.</w:t>
      </w:r>
      <w:r w:rsidR="002B30B1">
        <w:t xml:space="preserve"> Assessments of the habitat critical to the survival of the subspecies should also consider the potential future impacts of threats (e.g., </w:t>
      </w:r>
      <w:r w:rsidR="6AD84B6F">
        <w:t>climate change that may change the spatial location/configuration of habitats).</w:t>
      </w:r>
    </w:p>
    <w:p w14:paraId="1EC01FDB" w14:textId="3F33D6E5" w:rsidR="00C304AA" w:rsidRDefault="008A18B0" w:rsidP="00C304AA">
      <w:r w:rsidRPr="008A18B0">
        <w:t xml:space="preserve">No </w:t>
      </w:r>
      <w:r w:rsidR="00C304AA" w:rsidRPr="008A18B0">
        <w:t>Critical Habitat as defined under section 207A of the EPBC Act has been identified or included in the Register of Critical Habitat.</w:t>
      </w:r>
    </w:p>
    <w:p w14:paraId="05CBB532" w14:textId="4132A280" w:rsidR="00236795" w:rsidRDefault="00BB5FEE" w:rsidP="00A73A87">
      <w:pPr>
        <w:pStyle w:val="Heading4"/>
      </w:pPr>
      <w:r>
        <w:t>Key considerations in environmental impact assessments</w:t>
      </w:r>
    </w:p>
    <w:p w14:paraId="6A2751F9" w14:textId="17AE28E7" w:rsidR="00BB5FEE" w:rsidRDefault="00035832" w:rsidP="00BB5FEE">
      <w:r>
        <w:t xml:space="preserve">Assessments relevant to the </w:t>
      </w:r>
      <w:r w:rsidR="00B146F4">
        <w:t xml:space="preserve">Eyre Peninsula </w:t>
      </w:r>
      <w:r w:rsidR="009C03F1">
        <w:t>southern emu</w:t>
      </w:r>
      <w:r w:rsidR="00C0355C">
        <w:t>-wren</w:t>
      </w:r>
      <w:r w:rsidR="00B146F4">
        <w:t xml:space="preserve"> must consider</w:t>
      </w:r>
      <w:r w:rsidR="00FE663A">
        <w:t xml:space="preserve"> that the subspecies:</w:t>
      </w:r>
    </w:p>
    <w:p w14:paraId="55318829" w14:textId="6E800433" w:rsidR="004050C0" w:rsidRPr="003E2F1F" w:rsidRDefault="00827BBF" w:rsidP="00BD6B38">
      <w:pPr>
        <w:pStyle w:val="ListNumber"/>
        <w:numPr>
          <w:ilvl w:val="0"/>
          <w:numId w:val="10"/>
        </w:numPr>
      </w:pPr>
      <w:r w:rsidRPr="003E2F1F">
        <w:t xml:space="preserve">Is severely fragmented, </w:t>
      </w:r>
      <w:r w:rsidR="00187302" w:rsidRPr="003E2F1F">
        <w:t xml:space="preserve">the 11 </w:t>
      </w:r>
      <w:r w:rsidR="00CB3DD1" w:rsidRPr="003E2F1F">
        <w:t xml:space="preserve">sites </w:t>
      </w:r>
      <w:r w:rsidR="00104289" w:rsidRPr="003E2F1F">
        <w:t>occupied identified in this document are isolated from each other</w:t>
      </w:r>
      <w:r w:rsidR="00CD74B8" w:rsidRPr="003E2F1F">
        <w:t xml:space="preserve"> by cleared land</w:t>
      </w:r>
      <w:r w:rsidR="003470DA" w:rsidRPr="003E2F1F">
        <w:t>, with the largest subpopulation</w:t>
      </w:r>
      <w:r w:rsidR="00DB1730" w:rsidRPr="003E2F1F">
        <w:t xml:space="preserve"> being around 150 mature individuals (</w:t>
      </w:r>
      <w:r w:rsidR="003E2F1F" w:rsidRPr="003E2F1F">
        <w:t>V</w:t>
      </w:r>
      <w:r w:rsidR="00DB1730" w:rsidRPr="003E2F1F">
        <w:t xml:space="preserve">an </w:t>
      </w:r>
      <w:proofErr w:type="spellStart"/>
      <w:r w:rsidR="00DB1730" w:rsidRPr="003E2F1F">
        <w:t>Weenan</w:t>
      </w:r>
      <w:proofErr w:type="spellEnd"/>
      <w:r w:rsidR="00DB1730" w:rsidRPr="003E2F1F">
        <w:t xml:space="preserve"> </w:t>
      </w:r>
      <w:r w:rsidR="003C08D5" w:rsidRPr="003E2F1F">
        <w:t>&amp; Garnett</w:t>
      </w:r>
      <w:r w:rsidR="00DB1730" w:rsidRPr="003E2F1F">
        <w:t xml:space="preserve"> 2021).</w:t>
      </w:r>
    </w:p>
    <w:p w14:paraId="39670954" w14:textId="1ECD2CB8" w:rsidR="00232782" w:rsidRPr="0080494E" w:rsidRDefault="00827BBF" w:rsidP="00BD6B38">
      <w:pPr>
        <w:pStyle w:val="ListNumber"/>
        <w:numPr>
          <w:ilvl w:val="0"/>
          <w:numId w:val="10"/>
        </w:numPr>
      </w:pPr>
      <w:r w:rsidRPr="00054647">
        <w:t xml:space="preserve">Is dispersal </w:t>
      </w:r>
      <w:r w:rsidRPr="00EC58BC">
        <w:t>limited</w:t>
      </w:r>
      <w:r w:rsidR="00187302" w:rsidRPr="00EC58BC">
        <w:t xml:space="preserve"> and </w:t>
      </w:r>
      <w:r w:rsidR="33DC3A1C">
        <w:t>largely sedentary</w:t>
      </w:r>
      <w:r w:rsidR="38B52C66">
        <w:t>, such that re-colonisation following local extinction of any subpopulation is limited:</w:t>
      </w:r>
      <w:r w:rsidR="00247149" w:rsidRPr="00EC58BC">
        <w:t xml:space="preserve"> for example, the population </w:t>
      </w:r>
      <w:r w:rsidR="000B6DB0" w:rsidRPr="00EC58BC">
        <w:t xml:space="preserve">in the </w:t>
      </w:r>
      <w:proofErr w:type="spellStart"/>
      <w:r w:rsidR="000B6DB0" w:rsidRPr="00EC58BC">
        <w:t>Koppio</w:t>
      </w:r>
      <w:proofErr w:type="spellEnd"/>
      <w:r w:rsidR="000B6DB0" w:rsidRPr="00EC58BC">
        <w:t xml:space="preserve"> Hills (</w:t>
      </w:r>
      <w:proofErr w:type="spellStart"/>
      <w:r w:rsidR="000B6DB0" w:rsidRPr="00EC58BC">
        <w:t>Possingham</w:t>
      </w:r>
      <w:proofErr w:type="spellEnd"/>
      <w:r w:rsidR="000B6DB0" w:rsidRPr="00EC58BC">
        <w:t xml:space="preserve"> 19</w:t>
      </w:r>
      <w:r w:rsidR="00E74F30" w:rsidRPr="00EC58BC">
        <w:t>9</w:t>
      </w:r>
      <w:r w:rsidR="000B6DB0" w:rsidRPr="00EC58BC">
        <w:t xml:space="preserve">3) has not been found since a fire in 2005 (Pickett 2009). </w:t>
      </w:r>
      <w:r w:rsidR="004050C0" w:rsidRPr="00EC58BC">
        <w:t>Therefore,</w:t>
      </w:r>
      <w:r w:rsidR="004D543C" w:rsidRPr="00EC58BC">
        <w:t xml:space="preserve"> further loss of </w:t>
      </w:r>
      <w:r w:rsidR="001D3F9B" w:rsidRPr="00EC58BC">
        <w:t>connectivity</w:t>
      </w:r>
      <w:r w:rsidR="001D3F9B" w:rsidRPr="0080494E">
        <w:t xml:space="preserve"> between suitable habitat patches</w:t>
      </w:r>
      <w:r w:rsidR="0EDF09E0">
        <w:t>, or fragmentation of habitat patches,</w:t>
      </w:r>
      <w:r w:rsidR="001D3F9B" w:rsidRPr="0080494E">
        <w:t xml:space="preserve"> would lead to further fragmentation</w:t>
      </w:r>
      <w:r w:rsidR="004050C0" w:rsidRPr="0080494E">
        <w:t xml:space="preserve"> of the population and increase risk of extinction of isolated subpopulations.</w:t>
      </w:r>
    </w:p>
    <w:p w14:paraId="75E0D40D" w14:textId="61384ECD" w:rsidR="003941B0" w:rsidRDefault="00CE336C" w:rsidP="00BD6B38">
      <w:pPr>
        <w:pStyle w:val="ListNumber"/>
        <w:numPr>
          <w:ilvl w:val="0"/>
          <w:numId w:val="10"/>
        </w:numPr>
      </w:pPr>
      <w:r w:rsidRPr="0080494E">
        <w:t>May occupy</w:t>
      </w:r>
      <w:r w:rsidR="003941B0" w:rsidRPr="0080494E">
        <w:t xml:space="preserve"> habitat based on structural rather than floristic</w:t>
      </w:r>
      <w:r w:rsidR="00A41874" w:rsidRPr="0080494E">
        <w:t xml:space="preserve"> composition</w:t>
      </w:r>
      <w:r w:rsidR="001A0B0D" w:rsidRPr="0080494E">
        <w:t xml:space="preserve"> (Maguire 2006b)</w:t>
      </w:r>
      <w:r w:rsidR="00A41874" w:rsidRPr="0080494E">
        <w:t xml:space="preserve">, </w:t>
      </w:r>
      <w:r w:rsidR="004A5639" w:rsidRPr="0080494E">
        <w:t xml:space="preserve">therefore the subspecies may </w:t>
      </w:r>
      <w:r w:rsidR="00771800" w:rsidRPr="0080494E">
        <w:t>occur</w:t>
      </w:r>
      <w:r w:rsidR="00E8683A" w:rsidRPr="0080494E">
        <w:t xml:space="preserve"> in vegetation beyond what</w:t>
      </w:r>
      <w:r w:rsidR="00BE4CF6" w:rsidRPr="0080494E">
        <w:t xml:space="preserve"> has been described in this</w:t>
      </w:r>
      <w:r w:rsidR="00BE4CF6">
        <w:t xml:space="preserve"> document.</w:t>
      </w:r>
    </w:p>
    <w:p w14:paraId="5B44E3D4" w14:textId="152D0F67" w:rsidR="000202C3" w:rsidRDefault="000202C3" w:rsidP="00BC1392">
      <w:r>
        <w:t xml:space="preserve">Habitat critical to the survival of the Eyre Peninsula </w:t>
      </w:r>
      <w:r w:rsidR="009C03F1">
        <w:t>southern emu</w:t>
      </w:r>
      <w:r w:rsidR="00C0355C">
        <w:t>-wren</w:t>
      </w:r>
      <w:r>
        <w:t xml:space="preserve"> occurs across a range of land tenures. Habitat critical to the survival of the subspecies </w:t>
      </w:r>
      <w:r w:rsidR="00BC1392">
        <w:t>should not be destroyed or degraded</w:t>
      </w:r>
      <w:r w:rsidR="00190E81">
        <w:t>, and</w:t>
      </w:r>
      <w:r w:rsidR="00CB1446">
        <w:t xml:space="preserve"> </w:t>
      </w:r>
      <w:r w:rsidR="00CB1446" w:rsidRPr="00CB1446">
        <w:t>all habitats should be maintained and/or increased</w:t>
      </w:r>
      <w:r w:rsidR="00BC1392">
        <w:t xml:space="preserve">. Actions that have indirect </w:t>
      </w:r>
      <w:r w:rsidR="00BC1392">
        <w:lastRenderedPageBreak/>
        <w:t>impacts on habitat critical to the survival should be minimised. Actions that compromise adult and juvenile survival</w:t>
      </w:r>
      <w:r w:rsidR="008F5DF5">
        <w:t>, by</w:t>
      </w:r>
      <w:r w:rsidR="57D3BD07">
        <w:t xml:space="preserve"> exacerbating </w:t>
      </w:r>
      <w:r w:rsidR="008F5DF5">
        <w:t>threats</w:t>
      </w:r>
      <w:r w:rsidR="57D3BD07">
        <w:t xml:space="preserve"> other than habitat loss,</w:t>
      </w:r>
      <w:r w:rsidR="00BC1392">
        <w:t xml:space="preserve"> should also be avoided</w:t>
      </w:r>
      <w:r w:rsidR="002D1728">
        <w:t>.</w:t>
      </w:r>
    </w:p>
    <w:p w14:paraId="554F2509" w14:textId="5DF66EEE" w:rsidR="00BC1392" w:rsidRPr="00BB5FEE" w:rsidRDefault="00BC1392" w:rsidP="00BC1392">
      <w:r>
        <w:t xml:space="preserve">Actions that remove habitat critical to the survival of this subspecies would interfere with the recovery of the Eyre Peninsula </w:t>
      </w:r>
      <w:r w:rsidR="009C03F1">
        <w:t>southern emu</w:t>
      </w:r>
      <w:r w:rsidR="00C0355C">
        <w:t>-wren</w:t>
      </w:r>
      <w:r w:rsidR="00663AE3">
        <w:t xml:space="preserve"> and reduce the area of occupancy of the subspecies. It is important to </w:t>
      </w:r>
      <w:r w:rsidR="00BC5FEE">
        <w:t xml:space="preserve">retain </w:t>
      </w:r>
      <w:r w:rsidR="007627BE">
        <w:t>all</w:t>
      </w:r>
      <w:r w:rsidR="17981E98">
        <w:t xml:space="preserve"> </w:t>
      </w:r>
      <w:r w:rsidR="00663AE3">
        <w:t>suitable habitat described above and maintain connectivity between habitat patches</w:t>
      </w:r>
      <w:r w:rsidR="00B25D3A" w:rsidRPr="00B25D3A">
        <w:t xml:space="preserve">. </w:t>
      </w:r>
      <w:bookmarkStart w:id="5" w:name="_Hlk66453002"/>
      <w:r w:rsidR="00B25D3A" w:rsidRPr="00B25D3A">
        <w:t>Actions should not be assessed in isolation and consideration must be given to existing and future activities that may impact the subspecies to ensure conservation outcomes on a landscape scale are achieved.</w:t>
      </w:r>
      <w:bookmarkEnd w:id="5"/>
    </w:p>
    <w:p w14:paraId="4B92DA2B" w14:textId="290402CD" w:rsidR="00B54C08" w:rsidRDefault="00C304AA" w:rsidP="00476948">
      <w:pPr>
        <w:pStyle w:val="Heading3"/>
        <w:rPr>
          <w:rFonts w:eastAsiaTheme="minorHAnsi"/>
        </w:rPr>
      </w:pPr>
      <w:r w:rsidRPr="00476948">
        <w:rPr>
          <w:rFonts w:eastAsiaTheme="minorHAnsi"/>
        </w:rPr>
        <w:t>Important populations</w:t>
      </w:r>
    </w:p>
    <w:p w14:paraId="19EC2F8B" w14:textId="39DE06B1" w:rsidR="0091571D" w:rsidRDefault="00D53861" w:rsidP="0091571D">
      <w:r>
        <w:t xml:space="preserve">All </w:t>
      </w:r>
      <w:r w:rsidR="00704879">
        <w:t xml:space="preserve">subpopulations identified in this document should be considered as important and should be managed for their protection. </w:t>
      </w:r>
      <w:r w:rsidR="002535E1">
        <w:t>Subpopulations</w:t>
      </w:r>
      <w:r w:rsidR="007E39C9">
        <w:t xml:space="preserve"> at five of the 11 known sites (see </w:t>
      </w:r>
      <w:r w:rsidR="007E39C9">
        <w:rPr>
          <w:i/>
          <w:iCs/>
        </w:rPr>
        <w:t>Distribution</w:t>
      </w:r>
      <w:r w:rsidR="007E39C9">
        <w:t xml:space="preserve">) have been identified as </w:t>
      </w:r>
      <w:r w:rsidR="000574EB">
        <w:t>critical</w:t>
      </w:r>
      <w:r w:rsidR="007E39C9">
        <w:t xml:space="preserve"> for the long-term survival </w:t>
      </w:r>
      <w:r w:rsidR="00935066">
        <w:t>a</w:t>
      </w:r>
      <w:r w:rsidR="007627BE">
        <w:t>n</w:t>
      </w:r>
      <w:r w:rsidR="00935066">
        <w:t>d recovery of the subspecies (Pickett 2006)</w:t>
      </w:r>
      <w:r w:rsidR="00ED1068">
        <w:t>.</w:t>
      </w:r>
    </w:p>
    <w:p w14:paraId="42CF5B67" w14:textId="4B75A466" w:rsidR="00935066" w:rsidRDefault="00D764BD" w:rsidP="00C609C2">
      <w:pPr>
        <w:pStyle w:val="Heading4"/>
      </w:pPr>
      <w:r>
        <w:t xml:space="preserve">Subpopulation 2 (Marble </w:t>
      </w:r>
      <w:r w:rsidR="0066221C">
        <w:t>Range)</w:t>
      </w:r>
    </w:p>
    <w:p w14:paraId="7B30C67A" w14:textId="29877E89" w:rsidR="00C609C2" w:rsidRPr="00C609C2" w:rsidRDefault="00D54A1B" w:rsidP="00C609C2">
      <w:r>
        <w:t xml:space="preserve">Contains sparse </w:t>
      </w:r>
      <w:proofErr w:type="gramStart"/>
      <w:r>
        <w:t>numbers, but</w:t>
      </w:r>
      <w:proofErr w:type="gramEnd"/>
      <w:r>
        <w:t xml:space="preserve"> is probably a major source for regional dispersal within Marble Range </w:t>
      </w:r>
      <w:r w:rsidR="00AD321C">
        <w:t xml:space="preserve">and to </w:t>
      </w:r>
      <w:proofErr w:type="spellStart"/>
      <w:r w:rsidR="00AD321C">
        <w:t>Glengyle</w:t>
      </w:r>
      <w:proofErr w:type="spellEnd"/>
      <w:r w:rsidR="00AD321C">
        <w:t xml:space="preserve"> Creek system, and possibly to the west of Marble Range where Eyre Peninsula </w:t>
      </w:r>
      <w:r w:rsidR="009C03F1">
        <w:t>southern emu</w:t>
      </w:r>
      <w:r w:rsidR="00C0355C">
        <w:t>-wren</w:t>
      </w:r>
      <w:r w:rsidR="002D05A8">
        <w:t xml:space="preserve"> has not been recorded.</w:t>
      </w:r>
    </w:p>
    <w:p w14:paraId="3257017C" w14:textId="193B25F7" w:rsidR="0066221C" w:rsidRDefault="0066221C" w:rsidP="00C609C2">
      <w:pPr>
        <w:pStyle w:val="Heading4"/>
      </w:pPr>
      <w:r>
        <w:t>Subpopulation 4 (</w:t>
      </w:r>
      <w:proofErr w:type="spellStart"/>
      <w:r>
        <w:t>Keillidie</w:t>
      </w:r>
      <w:proofErr w:type="spellEnd"/>
      <w:r>
        <w:t xml:space="preserve"> Bay – Wanilla)</w:t>
      </w:r>
    </w:p>
    <w:p w14:paraId="0D2C4116" w14:textId="31ED1548" w:rsidR="00C609C2" w:rsidRPr="00C609C2" w:rsidRDefault="00D63EEC" w:rsidP="00C609C2">
      <w:r>
        <w:t xml:space="preserve">Considered to be relatively large and includes the largest swamp population. This subpopulation </w:t>
      </w:r>
      <w:r w:rsidR="00861F38">
        <w:t xml:space="preserve">is likely a major source for regional dispersal to </w:t>
      </w:r>
      <w:proofErr w:type="spellStart"/>
      <w:r w:rsidR="00861F38">
        <w:t>Merintha</w:t>
      </w:r>
      <w:proofErr w:type="spellEnd"/>
      <w:r w:rsidR="00861F38">
        <w:t xml:space="preserve"> Creek, greater Cummins – Wanilla Basin and possibly Coffin Bay National Park.</w:t>
      </w:r>
    </w:p>
    <w:p w14:paraId="75614338" w14:textId="75C99FFD" w:rsidR="0066221C" w:rsidRDefault="0066221C" w:rsidP="00C609C2">
      <w:pPr>
        <w:pStyle w:val="Heading4"/>
      </w:pPr>
      <w:r>
        <w:t>Subpopulation 7 (</w:t>
      </w:r>
      <w:r w:rsidR="00E846C0" w:rsidRPr="00E846C0">
        <w:t xml:space="preserve">Shoal Point – </w:t>
      </w:r>
      <w:proofErr w:type="spellStart"/>
      <w:r w:rsidR="00E846C0" w:rsidRPr="00E846C0">
        <w:t>D’Anville</w:t>
      </w:r>
      <w:proofErr w:type="spellEnd"/>
      <w:r w:rsidR="00E846C0" w:rsidRPr="00E846C0">
        <w:t xml:space="preserve"> Bay – Whalers Way – Fishery Bay</w:t>
      </w:r>
      <w:r w:rsidR="00E846C0">
        <w:t>)</w:t>
      </w:r>
    </w:p>
    <w:p w14:paraId="530B9330" w14:textId="0016A594" w:rsidR="00C609C2" w:rsidRPr="00C609C2" w:rsidRDefault="00CB3398" w:rsidP="00C609C2">
      <w:r>
        <w:t xml:space="preserve">Considered to be </w:t>
      </w:r>
      <w:r w:rsidR="00140B2A">
        <w:t xml:space="preserve">relatively </w:t>
      </w:r>
      <w:r w:rsidR="008C7D53">
        <w:t>large and</w:t>
      </w:r>
      <w:r w:rsidR="007A04B4">
        <w:t xml:space="preserve"> is likely a major source for regional dispersal in Sleaford and </w:t>
      </w:r>
      <w:proofErr w:type="spellStart"/>
      <w:r w:rsidR="007A04B4">
        <w:t>Uley</w:t>
      </w:r>
      <w:proofErr w:type="spellEnd"/>
      <w:r w:rsidR="007A04B4">
        <w:t xml:space="preserve"> Basin district.</w:t>
      </w:r>
    </w:p>
    <w:p w14:paraId="778BC474" w14:textId="2F11F57E" w:rsidR="00E846C0" w:rsidRDefault="00E846C0" w:rsidP="00C609C2">
      <w:pPr>
        <w:pStyle w:val="Heading4"/>
      </w:pPr>
      <w:r>
        <w:t>Subpopulation 10 (</w:t>
      </w:r>
      <w:r w:rsidR="00D84233" w:rsidRPr="00D84233">
        <w:t xml:space="preserve">Carcass Point – McLaren Point – Point </w:t>
      </w:r>
      <w:proofErr w:type="spellStart"/>
      <w:r w:rsidR="00D84233" w:rsidRPr="00D84233">
        <w:t>Haselgrove</w:t>
      </w:r>
      <w:proofErr w:type="spellEnd"/>
      <w:r w:rsidR="00D84233" w:rsidRPr="00D84233">
        <w:t xml:space="preserve"> – Taylors Landing</w:t>
      </w:r>
      <w:r w:rsidR="00D84233">
        <w:t>) and 11 (</w:t>
      </w:r>
      <w:r w:rsidR="00C609C2" w:rsidRPr="00C609C2">
        <w:t xml:space="preserve">West Point – </w:t>
      </w:r>
      <w:proofErr w:type="spellStart"/>
      <w:r w:rsidR="00C609C2" w:rsidRPr="00C609C2">
        <w:t>Jussieu</w:t>
      </w:r>
      <w:proofErr w:type="spellEnd"/>
      <w:r w:rsidR="00C609C2" w:rsidRPr="00C609C2">
        <w:t xml:space="preserve"> Bay</w:t>
      </w:r>
      <w:r w:rsidR="00C609C2">
        <w:t>)</w:t>
      </w:r>
    </w:p>
    <w:p w14:paraId="5748A358" w14:textId="45BD8109" w:rsidR="00C609C2" w:rsidRPr="00C609C2" w:rsidRDefault="007A04B4" w:rsidP="00C609C2">
      <w:r>
        <w:t>Considered relatively large</w:t>
      </w:r>
      <w:r w:rsidR="0071348F">
        <w:t xml:space="preserve"> and is a likely source for regional dispersal within Lincoln National Park and Memory Cove Wilderness Protection Area. Both subpopulations have shown decline in </w:t>
      </w:r>
      <w:r w:rsidR="009856C2">
        <w:t xml:space="preserve">the Eyre Peninsula </w:t>
      </w:r>
      <w:r w:rsidR="009C03F1">
        <w:t>southern emu</w:t>
      </w:r>
      <w:r w:rsidR="00C0355C">
        <w:t>-wren</w:t>
      </w:r>
      <w:r w:rsidR="009856C2">
        <w:t xml:space="preserve"> density and distribution since 2002.</w:t>
      </w:r>
    </w:p>
    <w:p w14:paraId="65E0FCD8" w14:textId="0F2EE1CF" w:rsidR="00C304AA" w:rsidRPr="00F57E8D" w:rsidRDefault="00C304AA" w:rsidP="001E5131">
      <w:pPr>
        <w:pStyle w:val="Heading3"/>
        <w:ind w:left="964" w:hanging="964"/>
      </w:pPr>
      <w:r w:rsidRPr="00F57E8D">
        <w:t>Threats</w:t>
      </w:r>
    </w:p>
    <w:p w14:paraId="14997E4B" w14:textId="37C2AE75" w:rsidR="00927A3C" w:rsidRDefault="00BC6703" w:rsidP="00927A3C">
      <w:r>
        <w:t xml:space="preserve">The main threat to the Eyre Peninsula </w:t>
      </w:r>
      <w:r w:rsidR="009C03F1">
        <w:t>southern emu</w:t>
      </w:r>
      <w:r>
        <w:t>-wren</w:t>
      </w:r>
      <w:r w:rsidR="007C6E06">
        <w:t xml:space="preserve"> is </w:t>
      </w:r>
      <w:r w:rsidR="006D1E3B">
        <w:t xml:space="preserve">the loss, </w:t>
      </w:r>
      <w:proofErr w:type="gramStart"/>
      <w:r w:rsidR="006D1E3B">
        <w:t>degradation</w:t>
      </w:r>
      <w:proofErr w:type="gramEnd"/>
      <w:r w:rsidR="006D1E3B">
        <w:t xml:space="preserve"> and fragmentation of habitat</w:t>
      </w:r>
      <w:r w:rsidR="002E4CEB">
        <w:t xml:space="preserve">. </w:t>
      </w:r>
      <w:r w:rsidR="002C6628">
        <w:t xml:space="preserve">Fire is </w:t>
      </w:r>
      <w:r w:rsidR="1F83888D">
        <w:t>a</w:t>
      </w:r>
      <w:r w:rsidR="002C6628">
        <w:t xml:space="preserve"> major </w:t>
      </w:r>
      <w:r w:rsidR="002C6628" w:rsidRPr="00505DED">
        <w:t xml:space="preserve">threat to </w:t>
      </w:r>
      <w:r w:rsidR="002C7D08">
        <w:t xml:space="preserve">the subspecies, although the </w:t>
      </w:r>
      <w:r w:rsidR="00AE7261" w:rsidRPr="00505DED">
        <w:t>three subpopulations that live in samphire</w:t>
      </w:r>
      <w:r w:rsidR="00533CD5" w:rsidRPr="00505DED">
        <w:t xml:space="preserve"> </w:t>
      </w:r>
      <w:r w:rsidR="002C7D08">
        <w:t xml:space="preserve">may be at lower risk </w:t>
      </w:r>
      <w:r w:rsidR="00533CD5" w:rsidRPr="00505DED">
        <w:t>(Pickett 2002</w:t>
      </w:r>
      <w:r w:rsidR="001F462D" w:rsidRPr="00505DED">
        <w:t xml:space="preserve">). </w:t>
      </w:r>
      <w:bookmarkStart w:id="6" w:name="_Hlk93931633"/>
      <w:r w:rsidR="001F462D" w:rsidRPr="00505DED">
        <w:t>Extreme</w:t>
      </w:r>
      <w:r w:rsidR="00082848" w:rsidRPr="00505DED">
        <w:t xml:space="preserve"> fire weather (Di Virgilio et al. 2019; Dowdy et al. 2019</w:t>
      </w:r>
      <w:r w:rsidR="38EEA46B">
        <w:t>),</w:t>
      </w:r>
      <w:r w:rsidR="001F462D" w:rsidRPr="00505DED">
        <w:t xml:space="preserve"> driven by longer droughts (Evans et al. 2017) and more frequent heatwaves (Herold et al. 2018</w:t>
      </w:r>
      <w:r w:rsidR="2A7A4B68">
        <w:t>), is</w:t>
      </w:r>
      <w:r w:rsidR="001F462D" w:rsidRPr="00505DED">
        <w:t xml:space="preserve"> likely to </w:t>
      </w:r>
      <w:r w:rsidR="2A7A4B68">
        <w:t>occur more often</w:t>
      </w:r>
      <w:r w:rsidR="001F462D" w:rsidRPr="00505DED">
        <w:t xml:space="preserve"> </w:t>
      </w:r>
      <w:proofErr w:type="gramStart"/>
      <w:r w:rsidR="005076AA" w:rsidRPr="00505DED">
        <w:t>in the near future</w:t>
      </w:r>
      <w:proofErr w:type="gramEnd"/>
      <w:r w:rsidR="005076AA" w:rsidRPr="00505DED">
        <w:t>, under the changing climate.</w:t>
      </w:r>
    </w:p>
    <w:bookmarkEnd w:id="6"/>
    <w:p w14:paraId="7F2533DB" w14:textId="1415E51E" w:rsidR="008423C8" w:rsidRDefault="008423C8" w:rsidP="00927A3C">
      <w:r>
        <w:t>The subspecies is also currently threatened by a variety of land use and management processes, including clearance of native vegetation, grazing of livestock, water extraction and swamp drainage</w:t>
      </w:r>
      <w:r w:rsidR="00B02BEC">
        <w:t xml:space="preserve">. Other minor threats in terms of habitat loss and degradation includes weed </w:t>
      </w:r>
      <w:r w:rsidR="00651548">
        <w:t>invasion and</w:t>
      </w:r>
      <w:r w:rsidR="00B02BEC">
        <w:t xml:space="preserve"> </w:t>
      </w:r>
      <w:r w:rsidR="00B02BEC">
        <w:rPr>
          <w:i/>
          <w:iCs/>
        </w:rPr>
        <w:t>Phytophthora</w:t>
      </w:r>
      <w:r w:rsidR="00B02BEC" w:rsidRPr="684FBFA3">
        <w:rPr>
          <w:i/>
          <w:iCs/>
        </w:rPr>
        <w:t>-</w:t>
      </w:r>
      <w:r w:rsidR="00651548">
        <w:t>induced dieback</w:t>
      </w:r>
      <w:r>
        <w:t xml:space="preserve"> (Pickett 2002; DEWNR 2015; Van </w:t>
      </w:r>
      <w:proofErr w:type="spellStart"/>
      <w:r>
        <w:t>Weenen</w:t>
      </w:r>
      <w:proofErr w:type="spellEnd"/>
      <w:r>
        <w:t xml:space="preserve"> </w:t>
      </w:r>
      <w:r w:rsidR="00195D65">
        <w:t xml:space="preserve">&amp; Garnett </w:t>
      </w:r>
      <w:r>
        <w:t>2021).</w:t>
      </w:r>
    </w:p>
    <w:p w14:paraId="68081ADA" w14:textId="1320AF82" w:rsidR="002D4D15" w:rsidRPr="00927A3C" w:rsidRDefault="002D4D15" w:rsidP="00927A3C">
      <w:r>
        <w:lastRenderedPageBreak/>
        <w:t>With fragmented habitat, isolated populations face the loss of genetic diversity, especially in smaller populations. This could lead to inbreeding depression and potentially local extinctions. Additionally, demographic stochasticity is a greater risk in small, isolated populations.</w:t>
      </w:r>
      <w:r w:rsidR="0063108E">
        <w:t xml:space="preserve"> Introduced predators are not currently considered as a major threat, but further investigation is needed before determining the extent of threat they pose on the subspecies.</w:t>
      </w:r>
    </w:p>
    <w:p w14:paraId="2D5C7B07" w14:textId="77777777" w:rsidR="006137FD" w:rsidRDefault="00957A21" w:rsidP="009502E2">
      <w:pPr>
        <w:pStyle w:val="Caption"/>
      </w:pPr>
      <w:bookmarkStart w:id="7" w:name="_Ref40886856"/>
      <w:r>
        <w:t xml:space="preserve">Table </w:t>
      </w:r>
      <w:r w:rsidR="003A06CA">
        <w:rPr>
          <w:noProof/>
        </w:rPr>
        <w:fldChar w:fldCharType="begin"/>
      </w:r>
      <w:r w:rsidR="003A06CA">
        <w:rPr>
          <w:noProof/>
        </w:rPr>
        <w:instrText xml:space="preserve"> SEQ Table \* ARABIC </w:instrText>
      </w:r>
      <w:r w:rsidR="003A06CA">
        <w:rPr>
          <w:noProof/>
        </w:rPr>
        <w:fldChar w:fldCharType="separate"/>
      </w:r>
      <w:r w:rsidR="004D0D1F">
        <w:rPr>
          <w:noProof/>
        </w:rPr>
        <w:t>1</w:t>
      </w:r>
      <w:r w:rsidR="003A06CA">
        <w:rPr>
          <w:noProof/>
        </w:rPr>
        <w:fldChar w:fldCharType="end"/>
      </w:r>
      <w:bookmarkEnd w:id="7"/>
      <w:r>
        <w:t xml:space="preserve"> Threats</w:t>
      </w:r>
    </w:p>
    <w:p w14:paraId="176A8D1A" w14:textId="61690961" w:rsidR="00FF52FC" w:rsidRPr="00FF52FC" w:rsidRDefault="003A4214" w:rsidP="00EF7F15">
      <w:r>
        <w:t xml:space="preserve">Threats in Table 1 are noted in approximate order of </w:t>
      </w:r>
      <w:r w:rsidR="009137FE">
        <w:t xml:space="preserve">highest to lowest </w:t>
      </w:r>
      <w:r w:rsidR="00C3331E">
        <w:t>impact, based on available evidence.</w:t>
      </w:r>
    </w:p>
    <w:tbl>
      <w:tblPr>
        <w:tblStyle w:val="TableGrid"/>
        <w:tblW w:w="0" w:type="auto"/>
        <w:tblLook w:val="04A0" w:firstRow="1" w:lastRow="0" w:firstColumn="1" w:lastColumn="0" w:noHBand="0" w:noVBand="1"/>
      </w:tblPr>
      <w:tblGrid>
        <w:gridCol w:w="1942"/>
        <w:gridCol w:w="3801"/>
        <w:gridCol w:w="3317"/>
      </w:tblGrid>
      <w:tr w:rsidR="00AA0A06" w14:paraId="11BA21C3" w14:textId="77777777" w:rsidTr="0008070D">
        <w:trPr>
          <w:cantSplit/>
          <w:tblHeader/>
        </w:trPr>
        <w:tc>
          <w:tcPr>
            <w:tcW w:w="1942" w:type="dxa"/>
          </w:tcPr>
          <w:p w14:paraId="07F42E81" w14:textId="77777777" w:rsidR="00957A21" w:rsidRDefault="00957A21" w:rsidP="00D945A0">
            <w:pPr>
              <w:pStyle w:val="TableHeading"/>
            </w:pPr>
            <w:r>
              <w:t xml:space="preserve">Threat </w:t>
            </w:r>
          </w:p>
        </w:tc>
        <w:tc>
          <w:tcPr>
            <w:tcW w:w="3801" w:type="dxa"/>
          </w:tcPr>
          <w:p w14:paraId="3DA8BA85" w14:textId="77777777" w:rsidR="00957A21" w:rsidRDefault="00935CDF" w:rsidP="00D945A0">
            <w:pPr>
              <w:pStyle w:val="TableHeading"/>
            </w:pPr>
            <w:r>
              <w:t>S</w:t>
            </w:r>
            <w:r w:rsidR="00957A21">
              <w:t xml:space="preserve">tatus </w:t>
            </w:r>
            <w:r w:rsidR="00957A21" w:rsidRPr="006E5CC3">
              <w:rPr>
                <w:rStyle w:val="Strong"/>
                <w:vertAlign w:val="superscript"/>
              </w:rPr>
              <w:t>a</w:t>
            </w:r>
          </w:p>
        </w:tc>
        <w:tc>
          <w:tcPr>
            <w:tcW w:w="3317" w:type="dxa"/>
          </w:tcPr>
          <w:p w14:paraId="0D0847E0" w14:textId="77777777" w:rsidR="00957A21" w:rsidRDefault="00957A21" w:rsidP="00D945A0">
            <w:pPr>
              <w:pStyle w:val="TableHeading"/>
            </w:pPr>
            <w:r>
              <w:t xml:space="preserve">Evidence </w:t>
            </w:r>
          </w:p>
        </w:tc>
      </w:tr>
      <w:tr w:rsidR="00AC049E" w:rsidRPr="008A24A1" w14:paraId="2801CCE8" w14:textId="77777777" w:rsidTr="00B6264B">
        <w:tc>
          <w:tcPr>
            <w:tcW w:w="9060" w:type="dxa"/>
            <w:gridSpan w:val="3"/>
          </w:tcPr>
          <w:p w14:paraId="2CADF0F6" w14:textId="238B45C6" w:rsidR="008A24A1" w:rsidRPr="007F21E8" w:rsidRDefault="007A46B4" w:rsidP="007F21E8">
            <w:pPr>
              <w:pStyle w:val="TableText"/>
            </w:pPr>
            <w:r w:rsidRPr="007F21E8">
              <w:t>Habitat loss, degradation, and fragmentation</w:t>
            </w:r>
          </w:p>
        </w:tc>
      </w:tr>
      <w:tr w:rsidR="008F37D0" w14:paraId="6B90942E" w14:textId="77777777" w:rsidTr="48D710CD">
        <w:tc>
          <w:tcPr>
            <w:tcW w:w="1942" w:type="dxa"/>
          </w:tcPr>
          <w:p w14:paraId="3083BA13" w14:textId="0D968918" w:rsidR="008F37D0" w:rsidDel="44B83D7A" w:rsidRDefault="008F37D0" w:rsidP="008F37D0">
            <w:pPr>
              <w:pStyle w:val="TableText"/>
            </w:pPr>
            <w:r>
              <w:t>Inappropriate fire regimes</w:t>
            </w:r>
          </w:p>
        </w:tc>
        <w:tc>
          <w:tcPr>
            <w:tcW w:w="3801" w:type="dxa"/>
          </w:tcPr>
          <w:p w14:paraId="5FAA27D4" w14:textId="77777777" w:rsidR="008F37D0" w:rsidRDefault="008F37D0" w:rsidP="008F37D0">
            <w:pPr>
              <w:pStyle w:val="TableBullet1"/>
              <w:keepNext/>
            </w:pPr>
            <w:r>
              <w:t>Timing: current &amp; future</w:t>
            </w:r>
          </w:p>
          <w:p w14:paraId="1DC6CE6D" w14:textId="77777777" w:rsidR="008F37D0" w:rsidRDefault="008F37D0" w:rsidP="008F37D0">
            <w:pPr>
              <w:pStyle w:val="TableBullet1"/>
              <w:keepNext/>
            </w:pPr>
            <w:r>
              <w:t>Confidence: observed</w:t>
            </w:r>
          </w:p>
          <w:p w14:paraId="6EEA0057" w14:textId="77777777" w:rsidR="008F37D0" w:rsidRPr="00866255" w:rsidRDefault="008F37D0" w:rsidP="008F37D0">
            <w:pPr>
              <w:pStyle w:val="TableBullet1"/>
            </w:pPr>
            <w:r>
              <w:t xml:space="preserve">Likelihood: </w:t>
            </w:r>
            <w:r w:rsidRPr="00866255">
              <w:t>almost certain</w:t>
            </w:r>
          </w:p>
          <w:p w14:paraId="221BF428" w14:textId="77777777" w:rsidR="008F37D0" w:rsidRPr="00866255" w:rsidRDefault="008F37D0" w:rsidP="008F37D0">
            <w:pPr>
              <w:pStyle w:val="TableBullet1"/>
              <w:keepNext/>
            </w:pPr>
            <w:r w:rsidRPr="00866255">
              <w:t>Consequence: major</w:t>
            </w:r>
          </w:p>
          <w:p w14:paraId="25726166" w14:textId="77777777" w:rsidR="008F37D0" w:rsidRPr="00866255" w:rsidRDefault="008F37D0" w:rsidP="008F37D0">
            <w:pPr>
              <w:pStyle w:val="TableBullet1"/>
              <w:keepNext/>
            </w:pPr>
            <w:r w:rsidRPr="00866255">
              <w:t>Trend: increasing</w:t>
            </w:r>
          </w:p>
          <w:p w14:paraId="48864A23" w14:textId="300F48BE" w:rsidR="008F37D0" w:rsidRPr="00710B7F" w:rsidRDefault="008F37D0" w:rsidP="008F37D0">
            <w:pPr>
              <w:pStyle w:val="TableBullet1"/>
              <w:keepNext/>
            </w:pPr>
            <w:r w:rsidRPr="00866255">
              <w:t>Extent: across the entire range</w:t>
            </w:r>
          </w:p>
        </w:tc>
        <w:tc>
          <w:tcPr>
            <w:tcW w:w="3317" w:type="dxa"/>
          </w:tcPr>
          <w:p w14:paraId="55901875" w14:textId="77777777" w:rsidR="008F37D0" w:rsidRDefault="008F37D0" w:rsidP="008F37D0">
            <w:pPr>
              <w:pStyle w:val="TableHeading"/>
            </w:pPr>
            <w:r>
              <w:t xml:space="preserve">Increase in frequency, </w:t>
            </w:r>
            <w:proofErr w:type="gramStart"/>
            <w:r>
              <w:t>scale</w:t>
            </w:r>
            <w:proofErr w:type="gramEnd"/>
            <w:r>
              <w:t xml:space="preserve"> and severity of wildfires</w:t>
            </w:r>
          </w:p>
          <w:p w14:paraId="08B012CC" w14:textId="5F7C2405" w:rsidR="00067750" w:rsidRPr="00FB2B99" w:rsidRDefault="008F37D0" w:rsidP="00067750">
            <w:pPr>
              <w:pStyle w:val="TableText"/>
            </w:pPr>
            <w:r>
              <w:t xml:space="preserve">Wildfire is the major threat to </w:t>
            </w:r>
            <w:r w:rsidR="002C7D08">
              <w:t>the subspecies</w:t>
            </w:r>
            <w:r>
              <w:t xml:space="preserve"> (Pickett 2002). Fires can cause catastrophic loss of habitat and kill individual birds. It can result in long-term loss of the subspecies from specific areas (Pickett 2002). Fires remove the dense vegetation required by the subspecies for protection. </w:t>
            </w:r>
            <w:r w:rsidR="00067750">
              <w:t>Reoccupation of regenerating habitat can be expected provided there is adjacent unburnt occupied habitat or adequately connected occupied habitat. The time required for recolonisation is likely to vary in different habitat types (DEWNR 2015).</w:t>
            </w:r>
          </w:p>
          <w:p w14:paraId="1407346C" w14:textId="65CDCDDC" w:rsidR="008F37D0" w:rsidRPr="00DA49A2" w:rsidRDefault="008F37D0" w:rsidP="008F37D0">
            <w:pPr>
              <w:pStyle w:val="TableText"/>
            </w:pPr>
            <w:r>
              <w:t xml:space="preserve">Two major bushfires in 2005 extinguished all habitat at five or six sites, leading to local extinction of the </w:t>
            </w:r>
            <w:proofErr w:type="spellStart"/>
            <w:r>
              <w:t>Koppio</w:t>
            </w:r>
            <w:proofErr w:type="spellEnd"/>
            <w:r>
              <w:t xml:space="preserve"> Hills subpopulation (Garnett et al. 2011). Most recently (December 2021), during the Edillilie-Marble Range bushfire the inselberg ‘South Block’ containing an isolated subpopulation (see </w:t>
            </w:r>
            <w:r w:rsidRPr="48D710CD">
              <w:rPr>
                <w:i/>
                <w:iCs/>
              </w:rPr>
              <w:t xml:space="preserve">Distribution </w:t>
            </w:r>
            <w:r>
              <w:t>subpopulation 1), was almost entirely affected. Unburnt pockets of habitat are thought to remain, but no on-ground survey has been conducted yet to assess the impact (P Wilkins 2022, pers comm 25 January).</w:t>
            </w:r>
          </w:p>
          <w:p w14:paraId="153B25EC" w14:textId="77777777" w:rsidR="008F37D0" w:rsidRPr="00FB2B99" w:rsidRDefault="008F37D0" w:rsidP="008F37D0">
            <w:pPr>
              <w:pStyle w:val="TableHeading"/>
            </w:pPr>
            <w:r w:rsidRPr="00FB2B99">
              <w:t>Inappropriate fire management</w:t>
            </w:r>
          </w:p>
          <w:p w14:paraId="62D6F562" w14:textId="192A85F6" w:rsidR="008F37D0" w:rsidRDefault="008F37D0" w:rsidP="008F37D0">
            <w:pPr>
              <w:pStyle w:val="TableText"/>
            </w:pPr>
            <w:r w:rsidRPr="00FB2B99">
              <w:t>Inappropriate fire management (e.g., prescribed fires too intense or too frequent) may significantly impact the subspecies’ habitat, rendering areas unsuitable for long periods of time or slowing the regeneration rate.</w:t>
            </w:r>
          </w:p>
        </w:tc>
      </w:tr>
      <w:tr w:rsidR="008B5E6E" w14:paraId="4EF9675E" w14:textId="77777777" w:rsidTr="0008070D">
        <w:tc>
          <w:tcPr>
            <w:tcW w:w="1942" w:type="dxa"/>
          </w:tcPr>
          <w:p w14:paraId="7EA26661" w14:textId="6A5DC72F" w:rsidR="008B5E6E" w:rsidRPr="007F21E8" w:rsidRDefault="008B5E6E" w:rsidP="007F21E8">
            <w:pPr>
              <w:pStyle w:val="TableText"/>
              <w:rPr>
                <w:rFonts w:ascii="Calibri" w:eastAsia="Calibri" w:hAnsi="Calibri" w:cs="Calibri"/>
                <w:szCs w:val="18"/>
              </w:rPr>
            </w:pPr>
            <w:r>
              <w:t>Land clearance</w:t>
            </w:r>
          </w:p>
        </w:tc>
        <w:tc>
          <w:tcPr>
            <w:tcW w:w="3801" w:type="dxa"/>
          </w:tcPr>
          <w:p w14:paraId="271D3569" w14:textId="22C4A005" w:rsidR="00710B7F" w:rsidRPr="00792F26" w:rsidRDefault="00710B7F" w:rsidP="00710B7F">
            <w:pPr>
              <w:pStyle w:val="TableBullet1"/>
              <w:keepNext/>
            </w:pPr>
            <w:r w:rsidRPr="00710B7F">
              <w:t xml:space="preserve">Timing: </w:t>
            </w:r>
            <w:r w:rsidRPr="00792F26">
              <w:t>historical, current &amp; future</w:t>
            </w:r>
          </w:p>
          <w:p w14:paraId="2696C0CF" w14:textId="32A0E454" w:rsidR="00A205FA" w:rsidRPr="00792F26" w:rsidRDefault="00710B7F" w:rsidP="00A205FA">
            <w:pPr>
              <w:pStyle w:val="TableBullet1"/>
              <w:keepNext/>
            </w:pPr>
            <w:r w:rsidRPr="00792F26">
              <w:t>Confidence: observed</w:t>
            </w:r>
          </w:p>
          <w:p w14:paraId="4F94F519" w14:textId="77639D90" w:rsidR="00710B7F" w:rsidRPr="00792F26" w:rsidRDefault="00710B7F" w:rsidP="00710B7F">
            <w:pPr>
              <w:pStyle w:val="TableBullet1"/>
            </w:pPr>
            <w:r w:rsidRPr="00792F26">
              <w:t xml:space="preserve">Likelihood: </w:t>
            </w:r>
            <w:r w:rsidR="0061331F" w:rsidRPr="00792F26">
              <w:t>likely</w:t>
            </w:r>
          </w:p>
          <w:p w14:paraId="208B9282" w14:textId="7261F993" w:rsidR="00710B7F" w:rsidRPr="00792F26" w:rsidRDefault="00710B7F" w:rsidP="00710B7F">
            <w:pPr>
              <w:pStyle w:val="TableBullet1"/>
              <w:keepNext/>
            </w:pPr>
            <w:r w:rsidRPr="00792F26">
              <w:t xml:space="preserve">Consequence: </w:t>
            </w:r>
            <w:r w:rsidR="0061331F" w:rsidRPr="00792F26">
              <w:t>major</w:t>
            </w:r>
          </w:p>
          <w:p w14:paraId="25803CAD" w14:textId="24805BFF" w:rsidR="00710B7F" w:rsidRPr="00792F26" w:rsidRDefault="00710B7F" w:rsidP="00710B7F">
            <w:pPr>
              <w:pStyle w:val="TableBullet1"/>
              <w:keepNext/>
            </w:pPr>
            <w:r w:rsidRPr="00792F26">
              <w:t xml:space="preserve">Trend: </w:t>
            </w:r>
            <w:r w:rsidR="00792F26" w:rsidRPr="00792F26">
              <w:t>static</w:t>
            </w:r>
          </w:p>
          <w:p w14:paraId="373EA54E" w14:textId="562E89F6" w:rsidR="008B5E6E" w:rsidRDefault="00710B7F" w:rsidP="00710B7F">
            <w:pPr>
              <w:pStyle w:val="TableBullet1"/>
              <w:keepNext/>
            </w:pPr>
            <w:r w:rsidRPr="00792F26">
              <w:t>Extent: across part of its range</w:t>
            </w:r>
          </w:p>
        </w:tc>
        <w:tc>
          <w:tcPr>
            <w:tcW w:w="3317" w:type="dxa"/>
          </w:tcPr>
          <w:p w14:paraId="795863CB" w14:textId="33CCD450" w:rsidR="00053DAF" w:rsidRDefault="008E29C8" w:rsidP="00053DAF">
            <w:pPr>
              <w:pStyle w:val="TableText"/>
            </w:pPr>
            <w:r>
              <w:t>Although broad-scale land clearance has ceased, minor clearance can still be authorised</w:t>
            </w:r>
            <w:r w:rsidR="008F37D0">
              <w:t>. This, together</w:t>
            </w:r>
            <w:r>
              <w:t xml:space="preserve"> with the likelihood of </w:t>
            </w:r>
            <w:r w:rsidR="008F37D0">
              <w:t xml:space="preserve">a </w:t>
            </w:r>
            <w:r>
              <w:t xml:space="preserve">small amount of illegal clearance, </w:t>
            </w:r>
            <w:r w:rsidR="008F37D0">
              <w:t>results</w:t>
            </w:r>
            <w:r>
              <w:t xml:space="preserve"> in incremental habitat loss which may be substantial overall. </w:t>
            </w:r>
            <w:proofErr w:type="gramStart"/>
            <w:r>
              <w:t>A number of</w:t>
            </w:r>
            <w:proofErr w:type="gramEnd"/>
            <w:r>
              <w:t xml:space="preserve"> mines and exploration programs in the </w:t>
            </w:r>
            <w:proofErr w:type="spellStart"/>
            <w:r>
              <w:t>Koppio</w:t>
            </w:r>
            <w:proofErr w:type="spellEnd"/>
            <w:r>
              <w:t xml:space="preserve"> Hills area</w:t>
            </w:r>
            <w:r w:rsidR="00CF7BCB">
              <w:t xml:space="preserve"> </w:t>
            </w:r>
            <w:r w:rsidR="00CF7BCB">
              <w:lastRenderedPageBreak/>
              <w:t>(DEWNR 2015)</w:t>
            </w:r>
            <w:r>
              <w:t xml:space="preserve">, </w:t>
            </w:r>
            <w:r w:rsidR="00574063">
              <w:t xml:space="preserve">and </w:t>
            </w:r>
            <w:r w:rsidR="008F37D0">
              <w:t xml:space="preserve">a </w:t>
            </w:r>
            <w:r w:rsidR="00574063">
              <w:t>space launch facility in Whaler</w:t>
            </w:r>
            <w:r w:rsidR="003F32F5">
              <w:t>s</w:t>
            </w:r>
            <w:r w:rsidR="00574063">
              <w:t xml:space="preserve"> Way (Southern Launch 202</w:t>
            </w:r>
            <w:r w:rsidR="00DF32C2">
              <w:t>2</w:t>
            </w:r>
            <w:r w:rsidR="00574063">
              <w:t>)</w:t>
            </w:r>
            <w:r w:rsidR="00676288">
              <w:t>,</w:t>
            </w:r>
            <w:r w:rsidR="00574063">
              <w:t xml:space="preserve"> </w:t>
            </w:r>
            <w:r w:rsidR="00676288">
              <w:t xml:space="preserve">have been proposed in areas </w:t>
            </w:r>
            <w:r w:rsidR="00CB5C5C">
              <w:t>containing habitat critical to the survival of the subspecies and known to support one of the important populations</w:t>
            </w:r>
            <w:r>
              <w:rPr>
                <w:i/>
                <w:iCs/>
              </w:rPr>
              <w:t xml:space="preserve"> </w:t>
            </w:r>
            <w:r>
              <w:t>(</w:t>
            </w:r>
            <w:r w:rsidR="00CB5C5C">
              <w:t xml:space="preserve">AECOM 2020; see </w:t>
            </w:r>
            <w:r w:rsidR="00CB5C5C">
              <w:rPr>
                <w:i/>
                <w:iCs/>
              </w:rPr>
              <w:t>Important populations</w:t>
            </w:r>
            <w:r>
              <w:t>).</w:t>
            </w:r>
          </w:p>
        </w:tc>
      </w:tr>
      <w:tr w:rsidR="00AA0A06" w14:paraId="6A7C388B" w14:textId="77777777" w:rsidTr="0008070D">
        <w:tc>
          <w:tcPr>
            <w:tcW w:w="1942" w:type="dxa"/>
          </w:tcPr>
          <w:p w14:paraId="25964B93" w14:textId="0E087AF6" w:rsidR="00D945A0" w:rsidRPr="007F21E8" w:rsidRDefault="008B5E6E" w:rsidP="007F21E8">
            <w:pPr>
              <w:pStyle w:val="TableText"/>
            </w:pPr>
            <w:r>
              <w:lastRenderedPageBreak/>
              <w:t>Grazing (livestock and wild herbivores)</w:t>
            </w:r>
          </w:p>
        </w:tc>
        <w:tc>
          <w:tcPr>
            <w:tcW w:w="3801" w:type="dxa"/>
          </w:tcPr>
          <w:p w14:paraId="37C6752C" w14:textId="77777777" w:rsidR="00471A3E" w:rsidRPr="00632B44" w:rsidRDefault="00471A3E" w:rsidP="00471A3E">
            <w:pPr>
              <w:pStyle w:val="TableBullet1"/>
              <w:keepNext/>
            </w:pPr>
            <w:r w:rsidRPr="00632B44">
              <w:t>Timing: current &amp; future</w:t>
            </w:r>
          </w:p>
          <w:p w14:paraId="6C1332E5" w14:textId="745EDBD6" w:rsidR="00471A3E" w:rsidRPr="00632B44" w:rsidRDefault="00471A3E" w:rsidP="00632B44">
            <w:pPr>
              <w:pStyle w:val="TableBullet1"/>
              <w:keepNext/>
            </w:pPr>
            <w:r w:rsidRPr="00632B44">
              <w:t xml:space="preserve">Confidence: </w:t>
            </w:r>
            <w:r w:rsidR="00632B44" w:rsidRPr="00632B44">
              <w:t>known</w:t>
            </w:r>
          </w:p>
          <w:p w14:paraId="37946451" w14:textId="7EC109A7" w:rsidR="00471A3E" w:rsidRPr="00632B44" w:rsidRDefault="00471A3E" w:rsidP="00471A3E">
            <w:pPr>
              <w:pStyle w:val="TableBullet1"/>
            </w:pPr>
            <w:r w:rsidRPr="00632B44">
              <w:t xml:space="preserve">Likelihood: </w:t>
            </w:r>
            <w:r w:rsidR="00632B44" w:rsidRPr="00632B44">
              <w:t>likely</w:t>
            </w:r>
          </w:p>
          <w:p w14:paraId="52D94B45" w14:textId="218C221C" w:rsidR="00471A3E" w:rsidRPr="00632B44" w:rsidRDefault="00471A3E" w:rsidP="00471A3E">
            <w:pPr>
              <w:pStyle w:val="TableBullet1"/>
              <w:keepNext/>
            </w:pPr>
            <w:r w:rsidRPr="00632B44">
              <w:t xml:space="preserve">Consequence: </w:t>
            </w:r>
            <w:r w:rsidR="00632B44" w:rsidRPr="00632B44">
              <w:t>major</w:t>
            </w:r>
          </w:p>
          <w:p w14:paraId="752979B8" w14:textId="0946199C" w:rsidR="00471A3E" w:rsidRPr="00632B44" w:rsidRDefault="00471A3E" w:rsidP="00471A3E">
            <w:pPr>
              <w:pStyle w:val="TableBullet1"/>
              <w:keepNext/>
            </w:pPr>
            <w:r w:rsidRPr="00632B44">
              <w:t xml:space="preserve">Trend: </w:t>
            </w:r>
            <w:r w:rsidR="00632B44" w:rsidRPr="00632B44">
              <w:t>static</w:t>
            </w:r>
          </w:p>
          <w:p w14:paraId="11DE11DC" w14:textId="763F4C96" w:rsidR="00284E69" w:rsidRPr="00632B44" w:rsidRDefault="00471A3E" w:rsidP="00471A3E">
            <w:pPr>
              <w:pStyle w:val="TableBullet1"/>
              <w:keepNext/>
            </w:pPr>
            <w:r w:rsidRPr="00632B44">
              <w:t>Extent: across the entire range</w:t>
            </w:r>
          </w:p>
        </w:tc>
        <w:tc>
          <w:tcPr>
            <w:tcW w:w="3317" w:type="dxa"/>
          </w:tcPr>
          <w:p w14:paraId="10EF7A01" w14:textId="159910CD" w:rsidR="00310AE6" w:rsidRPr="00632B44" w:rsidRDefault="00310AE6" w:rsidP="00310AE6">
            <w:pPr>
              <w:pStyle w:val="TableText"/>
              <w:rPr>
                <w:color w:val="000000"/>
                <w:lang w:eastAsia="en-AU"/>
              </w:rPr>
            </w:pPr>
            <w:r w:rsidRPr="00632B44">
              <w:rPr>
                <w:color w:val="000000"/>
              </w:rPr>
              <w:t xml:space="preserve">Livestock grazing (and trampling) has been a major threat to </w:t>
            </w:r>
            <w:r w:rsidR="00D8191C" w:rsidRPr="00632B44">
              <w:rPr>
                <w:color w:val="000000"/>
              </w:rPr>
              <w:t xml:space="preserve">Eyre Peninsula </w:t>
            </w:r>
            <w:r w:rsidR="009C03F1">
              <w:rPr>
                <w:color w:val="000000"/>
              </w:rPr>
              <w:t>southern emu</w:t>
            </w:r>
            <w:r w:rsidR="00D8191C" w:rsidRPr="00632B44">
              <w:rPr>
                <w:color w:val="000000"/>
              </w:rPr>
              <w:t>-wren</w:t>
            </w:r>
            <w:r w:rsidRPr="00632B44">
              <w:rPr>
                <w:i/>
                <w:iCs/>
                <w:color w:val="000000"/>
              </w:rPr>
              <w:t xml:space="preserve"> </w:t>
            </w:r>
            <w:r w:rsidRPr="00632B44">
              <w:rPr>
                <w:color w:val="000000"/>
              </w:rPr>
              <w:t>populations, particularly in swamp habitat as it degrades habitat and impacts on nest success through trampling. Furthermore, inappropriate grazing regimes may have long-term impacts on habitat structure due to changed plant population dynamics, which could affect habitat suitability (</w:t>
            </w:r>
            <w:r w:rsidR="00600FAF" w:rsidRPr="00632B44">
              <w:rPr>
                <w:color w:val="000000"/>
              </w:rPr>
              <w:t xml:space="preserve">DEWNR 2015; </w:t>
            </w:r>
            <w:r w:rsidRPr="00632B44">
              <w:rPr>
                <w:color w:val="000000"/>
              </w:rPr>
              <w:t xml:space="preserve">Pickett 2017). </w:t>
            </w:r>
          </w:p>
          <w:p w14:paraId="0F5FD507" w14:textId="3FE8AF03" w:rsidR="00284E69" w:rsidRPr="00632B44" w:rsidRDefault="00310AE6" w:rsidP="007F21E8">
            <w:pPr>
              <w:pStyle w:val="TableText"/>
            </w:pPr>
            <w:r w:rsidRPr="00632B44">
              <w:t xml:space="preserve">Grazing by </w:t>
            </w:r>
            <w:r w:rsidR="008F37D0">
              <w:t xml:space="preserve">overabundant </w:t>
            </w:r>
            <w:r w:rsidRPr="00632B44">
              <w:t>native species such as kangaroos and emus</w:t>
            </w:r>
            <w:r w:rsidR="00AE17B3" w:rsidRPr="00632B44">
              <w:t xml:space="preserve"> may also be a minor threat (</w:t>
            </w:r>
            <w:r w:rsidR="00F54C03" w:rsidRPr="00632B44">
              <w:t>DEWNR 2015).</w:t>
            </w:r>
          </w:p>
        </w:tc>
      </w:tr>
      <w:tr w:rsidR="009E20DB" w14:paraId="34D81E2D" w14:textId="77777777" w:rsidTr="0008070D">
        <w:tc>
          <w:tcPr>
            <w:tcW w:w="1942" w:type="dxa"/>
          </w:tcPr>
          <w:p w14:paraId="22D2CCAF" w14:textId="7B995949" w:rsidR="009E20DB" w:rsidRPr="007F21E8" w:rsidRDefault="006107BC" w:rsidP="007F21E8">
            <w:pPr>
              <w:pStyle w:val="TableText"/>
            </w:pPr>
            <w:r>
              <w:t>Invasive weeds</w:t>
            </w:r>
          </w:p>
        </w:tc>
        <w:tc>
          <w:tcPr>
            <w:tcW w:w="3801" w:type="dxa"/>
          </w:tcPr>
          <w:p w14:paraId="5CBEAF29" w14:textId="77777777" w:rsidR="00471A3E" w:rsidRDefault="00471A3E" w:rsidP="00471A3E">
            <w:pPr>
              <w:pStyle w:val="TableBullet1"/>
              <w:keepNext/>
            </w:pPr>
            <w:r>
              <w:t>Timing: current &amp; future</w:t>
            </w:r>
          </w:p>
          <w:p w14:paraId="6F1A8F08" w14:textId="63116759" w:rsidR="00471A3E" w:rsidRDefault="00471A3E" w:rsidP="003446FC">
            <w:pPr>
              <w:pStyle w:val="TableBullet1"/>
              <w:keepNext/>
            </w:pPr>
            <w:r>
              <w:t xml:space="preserve">Confidence: </w:t>
            </w:r>
            <w:r w:rsidR="003446FC">
              <w:t>observed</w:t>
            </w:r>
          </w:p>
          <w:p w14:paraId="68EE1DDD" w14:textId="78231B5B" w:rsidR="00471A3E" w:rsidRPr="007D4E25" w:rsidRDefault="00471A3E" w:rsidP="00471A3E">
            <w:pPr>
              <w:pStyle w:val="TableBullet1"/>
            </w:pPr>
            <w:r>
              <w:t xml:space="preserve">Likelihood: </w:t>
            </w:r>
            <w:r w:rsidR="007D4E25" w:rsidRPr="007D4E25">
              <w:t>likely</w:t>
            </w:r>
          </w:p>
          <w:p w14:paraId="11FCA026" w14:textId="7DECD97A" w:rsidR="00471A3E" w:rsidRPr="007D4E25" w:rsidRDefault="00471A3E" w:rsidP="00471A3E">
            <w:pPr>
              <w:pStyle w:val="TableBullet1"/>
              <w:keepNext/>
            </w:pPr>
            <w:r w:rsidRPr="007D4E25">
              <w:t xml:space="preserve">Consequence: </w:t>
            </w:r>
            <w:r w:rsidR="007D4E25" w:rsidRPr="007D4E25">
              <w:t>minor</w:t>
            </w:r>
          </w:p>
          <w:p w14:paraId="239884C2" w14:textId="24C16FDA" w:rsidR="00471A3E" w:rsidRPr="007D4E25" w:rsidRDefault="00471A3E" w:rsidP="00471A3E">
            <w:pPr>
              <w:pStyle w:val="TableBullet1"/>
              <w:keepNext/>
            </w:pPr>
            <w:r w:rsidRPr="007D4E25">
              <w:t xml:space="preserve">Trend: </w:t>
            </w:r>
            <w:r w:rsidR="003446FC" w:rsidRPr="007D4E25">
              <w:t>static</w:t>
            </w:r>
          </w:p>
          <w:p w14:paraId="0C03084E" w14:textId="37D82690" w:rsidR="009E20DB" w:rsidRDefault="00471A3E" w:rsidP="00471A3E">
            <w:pPr>
              <w:pStyle w:val="TableBullet1"/>
              <w:keepNext/>
            </w:pPr>
            <w:r w:rsidRPr="007D4E25">
              <w:t>Extent: across the entire range</w:t>
            </w:r>
          </w:p>
        </w:tc>
        <w:tc>
          <w:tcPr>
            <w:tcW w:w="3317" w:type="dxa"/>
          </w:tcPr>
          <w:p w14:paraId="6B624AAF" w14:textId="6B1CB11D" w:rsidR="009E20DB" w:rsidRDefault="00ED2319" w:rsidP="007F21E8">
            <w:pPr>
              <w:pStyle w:val="TableText"/>
              <w:rPr>
                <w:highlight w:val="lightGray"/>
              </w:rPr>
            </w:pPr>
            <w:r>
              <w:t xml:space="preserve">Invasive weeds could degrade the floristic and structural integrity of </w:t>
            </w:r>
            <w:proofErr w:type="gramStart"/>
            <w:r>
              <w:t>habitat, and</w:t>
            </w:r>
            <w:proofErr w:type="gramEnd"/>
            <w:r>
              <w:t xml:space="preserve"> change the availability of resources. Weeds that occur in the range </w:t>
            </w:r>
            <w:r w:rsidR="007D4E25">
              <w:t>of the subspecies</w:t>
            </w:r>
            <w:r>
              <w:t xml:space="preserve"> include bridal creeper (</w:t>
            </w:r>
            <w:r>
              <w:rPr>
                <w:i/>
                <w:iCs/>
              </w:rPr>
              <w:t>Asparagus asparagoides)</w:t>
            </w:r>
            <w:r>
              <w:t xml:space="preserve">, African </w:t>
            </w:r>
            <w:proofErr w:type="spellStart"/>
            <w:r>
              <w:t>boxhorn</w:t>
            </w:r>
            <w:proofErr w:type="spellEnd"/>
            <w:r>
              <w:t xml:space="preserve"> (</w:t>
            </w:r>
            <w:proofErr w:type="spellStart"/>
            <w:r>
              <w:rPr>
                <w:i/>
                <w:iCs/>
              </w:rPr>
              <w:t>Lycium</w:t>
            </w:r>
            <w:proofErr w:type="spellEnd"/>
            <w:r>
              <w:rPr>
                <w:i/>
                <w:iCs/>
              </w:rPr>
              <w:t xml:space="preserve"> </w:t>
            </w:r>
            <w:proofErr w:type="spellStart"/>
            <w:r>
              <w:rPr>
                <w:i/>
                <w:iCs/>
              </w:rPr>
              <w:t>ferocissimum</w:t>
            </w:r>
            <w:proofErr w:type="spellEnd"/>
            <w:r>
              <w:t xml:space="preserve">) and </w:t>
            </w:r>
            <w:proofErr w:type="spellStart"/>
            <w:r>
              <w:t>buffel</w:t>
            </w:r>
            <w:proofErr w:type="spellEnd"/>
            <w:r>
              <w:t xml:space="preserve"> grass (</w:t>
            </w:r>
            <w:r>
              <w:rPr>
                <w:i/>
                <w:iCs/>
              </w:rPr>
              <w:t xml:space="preserve">Cenchrus </w:t>
            </w:r>
            <w:proofErr w:type="spellStart"/>
            <w:r>
              <w:rPr>
                <w:i/>
                <w:iCs/>
              </w:rPr>
              <w:t>ciliaris</w:t>
            </w:r>
            <w:proofErr w:type="spellEnd"/>
            <w:r>
              <w:t xml:space="preserve">). Furthermore, the flammable nature of </w:t>
            </w:r>
            <w:r w:rsidR="008F37D0">
              <w:t>some</w:t>
            </w:r>
            <w:r>
              <w:t xml:space="preserve"> weeds </w:t>
            </w:r>
            <w:r w:rsidR="008F37D0">
              <w:t>such as</w:t>
            </w:r>
            <w:r>
              <w:t xml:space="preserve"> </w:t>
            </w:r>
            <w:proofErr w:type="spellStart"/>
            <w:r>
              <w:t>buffel</w:t>
            </w:r>
            <w:proofErr w:type="spellEnd"/>
            <w:r>
              <w:t xml:space="preserve"> grass may also increase the risk of wildfire (</w:t>
            </w:r>
            <w:r w:rsidR="00E336FB">
              <w:t>Marshall et al. 2012</w:t>
            </w:r>
            <w:r>
              <w:t>).</w:t>
            </w:r>
          </w:p>
        </w:tc>
      </w:tr>
      <w:tr w:rsidR="009E20DB" w14:paraId="7FC73B92" w14:textId="77777777" w:rsidTr="0008070D">
        <w:tc>
          <w:tcPr>
            <w:tcW w:w="1942" w:type="dxa"/>
          </w:tcPr>
          <w:p w14:paraId="13B7492D" w14:textId="6B6FD376" w:rsidR="009E20DB" w:rsidRPr="001E7B0E" w:rsidRDefault="001E7B0E" w:rsidP="001E7B0E">
            <w:pPr>
              <w:pStyle w:val="TableText"/>
            </w:pPr>
            <w:r w:rsidRPr="001E7B0E">
              <w:t>Inappropriate hydrological regimes (water extraction and swamp drainage)</w:t>
            </w:r>
          </w:p>
        </w:tc>
        <w:tc>
          <w:tcPr>
            <w:tcW w:w="3801" w:type="dxa"/>
          </w:tcPr>
          <w:p w14:paraId="2EB956F1" w14:textId="77777777" w:rsidR="00471A3E" w:rsidRDefault="00471A3E" w:rsidP="00471A3E">
            <w:pPr>
              <w:pStyle w:val="TableBullet1"/>
              <w:keepNext/>
            </w:pPr>
            <w:r>
              <w:t>Timing: current &amp; future</w:t>
            </w:r>
          </w:p>
          <w:p w14:paraId="6C3C29E6" w14:textId="0C77CCF4" w:rsidR="00471A3E" w:rsidRDefault="00471A3E" w:rsidP="00844B40">
            <w:pPr>
              <w:pStyle w:val="TableBullet1"/>
              <w:keepNext/>
            </w:pPr>
            <w:r>
              <w:t xml:space="preserve">Confidence: </w:t>
            </w:r>
            <w:r w:rsidR="00844B40">
              <w:t>inferred</w:t>
            </w:r>
          </w:p>
          <w:p w14:paraId="5B204321" w14:textId="4B09CD40" w:rsidR="00471A3E" w:rsidRPr="00844B40" w:rsidRDefault="00471A3E" w:rsidP="00471A3E">
            <w:pPr>
              <w:pStyle w:val="TableBullet1"/>
            </w:pPr>
            <w:r>
              <w:t xml:space="preserve">Likelihood: </w:t>
            </w:r>
            <w:r w:rsidR="00844B40" w:rsidRPr="00844B40">
              <w:t>likely</w:t>
            </w:r>
          </w:p>
          <w:p w14:paraId="7FBC3C73" w14:textId="71C28F5D" w:rsidR="00471A3E" w:rsidRPr="00844B40" w:rsidRDefault="00471A3E" w:rsidP="00471A3E">
            <w:pPr>
              <w:pStyle w:val="TableBullet1"/>
              <w:keepNext/>
            </w:pPr>
            <w:r w:rsidRPr="00844B40">
              <w:t xml:space="preserve">Consequence: </w:t>
            </w:r>
            <w:r w:rsidR="00844B40" w:rsidRPr="00844B40">
              <w:t>moderate</w:t>
            </w:r>
          </w:p>
          <w:p w14:paraId="73680475" w14:textId="2B750238" w:rsidR="00471A3E" w:rsidRPr="00844B40" w:rsidRDefault="00471A3E" w:rsidP="00471A3E">
            <w:pPr>
              <w:pStyle w:val="TableBullet1"/>
              <w:keepNext/>
            </w:pPr>
            <w:r w:rsidRPr="00844B40">
              <w:t xml:space="preserve">Trend: </w:t>
            </w:r>
            <w:r w:rsidR="00844B40" w:rsidRPr="00844B40">
              <w:t>static</w:t>
            </w:r>
          </w:p>
          <w:p w14:paraId="797F049B" w14:textId="6F3D8093" w:rsidR="009E20DB" w:rsidRDefault="00471A3E" w:rsidP="00471A3E">
            <w:pPr>
              <w:pStyle w:val="TableBullet1"/>
              <w:keepNext/>
            </w:pPr>
            <w:r w:rsidRPr="00844B40">
              <w:t>Extent: across part of its range</w:t>
            </w:r>
          </w:p>
        </w:tc>
        <w:tc>
          <w:tcPr>
            <w:tcW w:w="3317" w:type="dxa"/>
          </w:tcPr>
          <w:p w14:paraId="2E0A5324" w14:textId="283A68BB" w:rsidR="008A5FC9" w:rsidRDefault="008F37D0" w:rsidP="008A5FC9">
            <w:pPr>
              <w:pStyle w:val="TableText"/>
              <w:rPr>
                <w:color w:val="000000"/>
                <w:lang w:eastAsia="en-AU"/>
              </w:rPr>
            </w:pPr>
            <w:r w:rsidRPr="48D710CD">
              <w:rPr>
                <w:color w:val="000000" w:themeColor="text1"/>
              </w:rPr>
              <w:t>Water</w:t>
            </w:r>
            <w:r w:rsidR="008A5FC9" w:rsidRPr="48D710CD">
              <w:rPr>
                <w:color w:val="000000" w:themeColor="text1"/>
              </w:rPr>
              <w:t xml:space="preserve"> extraction and swamp drainage is considered a major threat to </w:t>
            </w:r>
            <w:r w:rsidRPr="48D710CD">
              <w:rPr>
                <w:color w:val="000000" w:themeColor="text1"/>
              </w:rPr>
              <w:t xml:space="preserve">the presence and quality of </w:t>
            </w:r>
            <w:r w:rsidR="00612247" w:rsidRPr="48D710CD">
              <w:rPr>
                <w:color w:val="000000" w:themeColor="text1"/>
              </w:rPr>
              <w:t>swamp habitat</w:t>
            </w:r>
            <w:r w:rsidR="008A5FC9" w:rsidRPr="48D710CD">
              <w:rPr>
                <w:color w:val="000000" w:themeColor="text1"/>
              </w:rPr>
              <w:t xml:space="preserve"> </w:t>
            </w:r>
            <w:r w:rsidR="00865006" w:rsidRPr="48D710CD">
              <w:rPr>
                <w:color w:val="000000" w:themeColor="text1"/>
              </w:rPr>
              <w:t xml:space="preserve">occupied by the subspecies (Pickett 2002; </w:t>
            </w:r>
            <w:r w:rsidR="0035634E" w:rsidRPr="48D710CD">
              <w:rPr>
                <w:color w:val="000000" w:themeColor="text1"/>
              </w:rPr>
              <w:t>DEWNR 2015).</w:t>
            </w:r>
          </w:p>
          <w:p w14:paraId="273382E9" w14:textId="7197FB92" w:rsidR="008F37D0" w:rsidRDefault="008A5FC9" w:rsidP="008F37D0">
            <w:pPr>
              <w:pStyle w:val="TableText"/>
              <w:rPr>
                <w:highlight w:val="lightGray"/>
              </w:rPr>
            </w:pPr>
            <w:r w:rsidRPr="48D710CD">
              <w:rPr>
                <w:color w:val="000000" w:themeColor="text1"/>
              </w:rPr>
              <w:t>Water extraction (</w:t>
            </w:r>
            <w:proofErr w:type="gramStart"/>
            <w:r w:rsidRPr="48D710CD">
              <w:rPr>
                <w:color w:val="000000" w:themeColor="text1"/>
              </w:rPr>
              <w:t>e.g.</w:t>
            </w:r>
            <w:proofErr w:type="gramEnd"/>
            <w:r w:rsidRPr="48D710CD">
              <w:rPr>
                <w:color w:val="000000" w:themeColor="text1"/>
              </w:rPr>
              <w:t xml:space="preserve"> dams, wells, bores) and swamp drainage (for agriculture or residential purposes) could have substantial cumulative impacts as they reduce stream flow and lower water tables, thereby affecting the condition of vegetation and soil, and therefore structural integrity of swamp habitat (MLRSEW &amp; FPS Recovery Team 2007). </w:t>
            </w:r>
          </w:p>
          <w:p w14:paraId="18E0B688" w14:textId="1FBD39A2" w:rsidR="009E20DB" w:rsidRDefault="008A5FC9" w:rsidP="008A5FC9">
            <w:pPr>
              <w:pStyle w:val="TableText"/>
              <w:rPr>
                <w:highlight w:val="lightGray"/>
              </w:rPr>
            </w:pPr>
            <w:r w:rsidRPr="48D710CD">
              <w:rPr>
                <w:color w:val="000000" w:themeColor="text1"/>
              </w:rPr>
              <w:t>Climate change could potentially further worsen the impacts of water extraction and swamp drainage.</w:t>
            </w:r>
          </w:p>
        </w:tc>
      </w:tr>
      <w:tr w:rsidR="000E0080" w14:paraId="0FD62204" w14:textId="77777777" w:rsidTr="0008070D">
        <w:tc>
          <w:tcPr>
            <w:tcW w:w="1942" w:type="dxa"/>
          </w:tcPr>
          <w:p w14:paraId="2BEA8FE2" w14:textId="5704D23F" w:rsidR="000E0080" w:rsidRPr="001E7B0E" w:rsidRDefault="003C5034" w:rsidP="001E7B0E">
            <w:pPr>
              <w:pStyle w:val="TableText"/>
            </w:pPr>
            <w:r w:rsidRPr="00A44B6F">
              <w:rPr>
                <w:i/>
                <w:iCs/>
              </w:rPr>
              <w:t xml:space="preserve">Phytophthora </w:t>
            </w:r>
            <w:proofErr w:type="spellStart"/>
            <w:r w:rsidRPr="00A44B6F">
              <w:rPr>
                <w:i/>
                <w:iCs/>
              </w:rPr>
              <w:t>cinnamomi</w:t>
            </w:r>
            <w:proofErr w:type="spellEnd"/>
            <w:r w:rsidRPr="00A44B6F">
              <w:rPr>
                <w:i/>
                <w:iCs/>
              </w:rPr>
              <w:t xml:space="preserve"> </w:t>
            </w:r>
            <w:r w:rsidRPr="00A44B6F">
              <w:t>induced diebacks</w:t>
            </w:r>
          </w:p>
        </w:tc>
        <w:tc>
          <w:tcPr>
            <w:tcW w:w="3801" w:type="dxa"/>
          </w:tcPr>
          <w:p w14:paraId="1D821113" w14:textId="77777777" w:rsidR="002C6701" w:rsidRDefault="002C6701" w:rsidP="002C6701">
            <w:pPr>
              <w:pStyle w:val="TableBullet1"/>
              <w:keepNext/>
            </w:pPr>
            <w:r>
              <w:t>Timing: current &amp; future</w:t>
            </w:r>
          </w:p>
          <w:p w14:paraId="23741F07" w14:textId="53287CD1" w:rsidR="002C6701" w:rsidRPr="002C6701" w:rsidRDefault="002C6701" w:rsidP="002C6701">
            <w:pPr>
              <w:pStyle w:val="TableBullet1"/>
              <w:keepNext/>
            </w:pPr>
            <w:r w:rsidRPr="002C6701">
              <w:t>Confidence: suspected</w:t>
            </w:r>
          </w:p>
          <w:p w14:paraId="38D711B5" w14:textId="56258638" w:rsidR="002C6701" w:rsidRPr="002C6701" w:rsidRDefault="002C6701" w:rsidP="002C6701">
            <w:pPr>
              <w:pStyle w:val="TableBullet1"/>
            </w:pPr>
            <w:r w:rsidRPr="002C6701">
              <w:t>Likelihood: possible</w:t>
            </w:r>
          </w:p>
          <w:p w14:paraId="2DCF0F24" w14:textId="0F0E8B9D" w:rsidR="002C6701" w:rsidRPr="002C6701" w:rsidRDefault="002C6701" w:rsidP="002C6701">
            <w:pPr>
              <w:pStyle w:val="TableBullet1"/>
              <w:keepNext/>
            </w:pPr>
            <w:r w:rsidRPr="002C6701">
              <w:t>Consequence: minor</w:t>
            </w:r>
          </w:p>
          <w:p w14:paraId="7B84AF5E" w14:textId="53494F71" w:rsidR="002C6701" w:rsidRPr="002C6701" w:rsidRDefault="002C6701" w:rsidP="002C6701">
            <w:pPr>
              <w:pStyle w:val="TableBullet1"/>
              <w:keepNext/>
            </w:pPr>
            <w:r w:rsidRPr="002C6701">
              <w:t>Trend: unknown</w:t>
            </w:r>
          </w:p>
          <w:p w14:paraId="609E9DFA" w14:textId="34866FED" w:rsidR="000E0080" w:rsidRDefault="002C6701" w:rsidP="002C6701">
            <w:pPr>
              <w:pStyle w:val="TableBullet1"/>
              <w:keepNext/>
            </w:pPr>
            <w:r w:rsidRPr="002C6701">
              <w:t>Extent: across part of its range</w:t>
            </w:r>
          </w:p>
        </w:tc>
        <w:tc>
          <w:tcPr>
            <w:tcW w:w="3317" w:type="dxa"/>
          </w:tcPr>
          <w:p w14:paraId="0E634385" w14:textId="57F8153C" w:rsidR="00D844BD" w:rsidRDefault="008F37D0" w:rsidP="00D844BD">
            <w:pPr>
              <w:pStyle w:val="TableText"/>
            </w:pPr>
            <w:r w:rsidRPr="0065795A">
              <w:rPr>
                <w:i/>
                <w:iCs/>
              </w:rPr>
              <w:t xml:space="preserve">P. </w:t>
            </w:r>
            <w:proofErr w:type="spellStart"/>
            <w:r w:rsidRPr="0065795A">
              <w:rPr>
                <w:i/>
                <w:iCs/>
              </w:rPr>
              <w:t>cinnamomi</w:t>
            </w:r>
            <w:proofErr w:type="spellEnd"/>
            <w:r>
              <w:t xml:space="preserve"> is a</w:t>
            </w:r>
            <w:r w:rsidR="00D844BD">
              <w:t xml:space="preserve"> plant pathogen which infects a wide range of native plants, altering structural and floristic characteristics of the vegetation. </w:t>
            </w:r>
            <w:r>
              <w:t>It is potentially</w:t>
            </w:r>
            <w:r w:rsidR="00D844BD">
              <w:t xml:space="preserve"> threatening due to its capacity to kill key habitat species with consequent degradation of habitat quality (Commonwealth of Australia </w:t>
            </w:r>
            <w:r w:rsidR="00D844BD">
              <w:lastRenderedPageBreak/>
              <w:t xml:space="preserve">2018a; </w:t>
            </w:r>
            <w:proofErr w:type="spellStart"/>
            <w:r w:rsidR="00D844BD">
              <w:t>Hardham</w:t>
            </w:r>
            <w:proofErr w:type="spellEnd"/>
            <w:r w:rsidR="00D844BD">
              <w:t xml:space="preserve"> &amp; Blackman 2018). </w:t>
            </w:r>
            <w:r>
              <w:t>Dieback</w:t>
            </w:r>
            <w:r w:rsidR="00D844BD">
              <w:t xml:space="preserve"> may be a potential threat in higher rainfall (&gt; 400 mm annual average) areas, which include </w:t>
            </w:r>
            <w:proofErr w:type="gramStart"/>
            <w:r w:rsidR="00D844BD">
              <w:t>all of</w:t>
            </w:r>
            <w:proofErr w:type="gramEnd"/>
            <w:r w:rsidR="00D844BD">
              <w:t xml:space="preserve"> the lower </w:t>
            </w:r>
            <w:r w:rsidR="00D844BD" w:rsidRPr="00D844BD">
              <w:t>Eyre Peninsula range occupied by the subspecies</w:t>
            </w:r>
            <w:r w:rsidR="00D844BD">
              <w:t xml:space="preserve"> (DEWNR 2015).</w:t>
            </w:r>
          </w:p>
          <w:p w14:paraId="401F6799" w14:textId="1121F307" w:rsidR="000E0080" w:rsidRPr="009858CD" w:rsidRDefault="00D844BD" w:rsidP="00D844BD">
            <w:pPr>
              <w:pStyle w:val="TableText"/>
            </w:pPr>
            <w:r>
              <w:t xml:space="preserve">There are suspected but unconfirmed infections on Eyre Peninsula, and some suspected sites of infection are near habitat occupied by </w:t>
            </w:r>
            <w:r>
              <w:rPr>
                <w:i/>
                <w:iCs/>
              </w:rPr>
              <w:t xml:space="preserve">S. m. </w:t>
            </w:r>
            <w:proofErr w:type="spellStart"/>
            <w:r>
              <w:rPr>
                <w:i/>
                <w:iCs/>
              </w:rPr>
              <w:t>parimeda</w:t>
            </w:r>
            <w:proofErr w:type="spellEnd"/>
            <w:r>
              <w:t xml:space="preserve"> (DEWNR 2015).</w:t>
            </w:r>
          </w:p>
        </w:tc>
      </w:tr>
      <w:tr w:rsidR="001E7B0E" w14:paraId="732B4299" w14:textId="77777777" w:rsidTr="007627BE">
        <w:tc>
          <w:tcPr>
            <w:tcW w:w="9060" w:type="dxa"/>
            <w:gridSpan w:val="3"/>
          </w:tcPr>
          <w:p w14:paraId="59B440EA" w14:textId="1237D80B" w:rsidR="001E7B0E" w:rsidRPr="001E7B0E" w:rsidRDefault="001E7B0E" w:rsidP="001E7B0E">
            <w:pPr>
              <w:pStyle w:val="TableText"/>
            </w:pPr>
            <w:r w:rsidRPr="001E7B0E">
              <w:lastRenderedPageBreak/>
              <w:t>Climate change</w:t>
            </w:r>
          </w:p>
        </w:tc>
      </w:tr>
      <w:tr w:rsidR="009E20DB" w14:paraId="07030BBE" w14:textId="77777777" w:rsidTr="0008070D">
        <w:tc>
          <w:tcPr>
            <w:tcW w:w="1942" w:type="dxa"/>
          </w:tcPr>
          <w:p w14:paraId="47E0B2B8" w14:textId="34B015CF" w:rsidR="009E20DB" w:rsidRPr="001E7B0E" w:rsidRDefault="00987F04" w:rsidP="001E7B0E">
            <w:pPr>
              <w:pStyle w:val="TableText"/>
            </w:pPr>
            <w:r>
              <w:t>Increased likelihood of extreme events</w:t>
            </w:r>
            <w:r w:rsidR="0070506D">
              <w:t xml:space="preserve"> (e.g., wildfire</w:t>
            </w:r>
            <w:r w:rsidR="003D2644">
              <w:t xml:space="preserve">, </w:t>
            </w:r>
            <w:proofErr w:type="gramStart"/>
            <w:r w:rsidR="003D2644">
              <w:t>heatwave</w:t>
            </w:r>
            <w:proofErr w:type="gramEnd"/>
            <w:r w:rsidR="0070506D">
              <w:t xml:space="preserve"> and drought)</w:t>
            </w:r>
          </w:p>
        </w:tc>
        <w:tc>
          <w:tcPr>
            <w:tcW w:w="3801" w:type="dxa"/>
          </w:tcPr>
          <w:p w14:paraId="33E55800" w14:textId="77777777" w:rsidR="00780661" w:rsidRDefault="00780661" w:rsidP="00780661">
            <w:pPr>
              <w:pStyle w:val="TableBullet1"/>
              <w:keepNext/>
            </w:pPr>
            <w:r>
              <w:t>Timing: current &amp; future</w:t>
            </w:r>
          </w:p>
          <w:p w14:paraId="0D017A58" w14:textId="36EAAE73" w:rsidR="00780661" w:rsidRPr="00183CF3" w:rsidRDefault="00780661" w:rsidP="008C421C">
            <w:pPr>
              <w:pStyle w:val="TableBullet1"/>
              <w:keepNext/>
            </w:pPr>
            <w:r>
              <w:t xml:space="preserve">Confidence: </w:t>
            </w:r>
            <w:r w:rsidR="008C421C" w:rsidRPr="00183CF3">
              <w:t>estimated</w:t>
            </w:r>
          </w:p>
          <w:p w14:paraId="0CBF49C1" w14:textId="666F26B4" w:rsidR="00780661" w:rsidRPr="00183CF3" w:rsidRDefault="00780661" w:rsidP="00780661">
            <w:pPr>
              <w:pStyle w:val="TableBullet1"/>
            </w:pPr>
            <w:r w:rsidRPr="00183CF3">
              <w:t>Likelihood: almost certain</w:t>
            </w:r>
          </w:p>
          <w:p w14:paraId="217D308B" w14:textId="62E23926" w:rsidR="00780661" w:rsidRPr="00183CF3" w:rsidRDefault="00780661" w:rsidP="00780661">
            <w:pPr>
              <w:pStyle w:val="TableBullet1"/>
              <w:keepNext/>
            </w:pPr>
            <w:r w:rsidRPr="00183CF3">
              <w:t xml:space="preserve">Consequence: </w:t>
            </w:r>
            <w:r w:rsidR="00183CF3" w:rsidRPr="00183CF3">
              <w:t>major</w:t>
            </w:r>
          </w:p>
          <w:p w14:paraId="5ABC01E6" w14:textId="14E9A32F" w:rsidR="00780661" w:rsidRPr="00183CF3" w:rsidRDefault="00780661" w:rsidP="00780661">
            <w:pPr>
              <w:pStyle w:val="TableBullet1"/>
              <w:keepNext/>
            </w:pPr>
            <w:r w:rsidRPr="00183CF3">
              <w:t xml:space="preserve">Trend: </w:t>
            </w:r>
            <w:r w:rsidR="008C421C" w:rsidRPr="00183CF3">
              <w:t>increasing</w:t>
            </w:r>
          </w:p>
          <w:p w14:paraId="12352572" w14:textId="1BE380DD" w:rsidR="009E20DB" w:rsidRDefault="00780661" w:rsidP="00780661">
            <w:pPr>
              <w:pStyle w:val="TableBullet1"/>
              <w:keepNext/>
            </w:pPr>
            <w:r w:rsidRPr="00183CF3">
              <w:t>Extent: across the entire range</w:t>
            </w:r>
          </w:p>
        </w:tc>
        <w:tc>
          <w:tcPr>
            <w:tcW w:w="3317" w:type="dxa"/>
          </w:tcPr>
          <w:p w14:paraId="328ED749" w14:textId="07CAEFD0" w:rsidR="00BA7B84" w:rsidRPr="00780661" w:rsidRDefault="008015C1" w:rsidP="007F21E8">
            <w:pPr>
              <w:pStyle w:val="TableText"/>
            </w:pPr>
            <w:r w:rsidRPr="00EE6BEF">
              <w:t xml:space="preserve">Average temperatures in Australia have increased by around 1.4°C in the past </w:t>
            </w:r>
            <w:r w:rsidRPr="00780661">
              <w:t>century (BOM &amp; CSIRO 2020; IPCC 2021), and global temperatures are likely to exceed 1.5°C in the next 20 years if global greenhouse gas emissions are not reduced immediately (IPCC 2021).</w:t>
            </w:r>
            <w:r w:rsidR="00BA7B84" w:rsidRPr="00780661">
              <w:t xml:space="preserve"> </w:t>
            </w:r>
            <w:r w:rsidR="008F37D0">
              <w:t>More</w:t>
            </w:r>
            <w:r w:rsidR="00EE76D9" w:rsidRPr="00780661">
              <w:t xml:space="preserve"> frequent and extreme heatwaves are projected across Australia (BOM &amp; CSIRO 2020). Rainfall may also vary regionally under the changing climate (Evans et al. 2017), with lowest rainfall records in parts of southern Australia (BOM &amp; CSIRO 2020).</w:t>
            </w:r>
            <w:r w:rsidR="00385D78" w:rsidRPr="00780661">
              <w:t xml:space="preserve"> </w:t>
            </w:r>
            <w:r w:rsidR="008F37D0">
              <w:t>These changes</w:t>
            </w:r>
            <w:r w:rsidR="00385D78" w:rsidRPr="00780661">
              <w:t xml:space="preserve"> will lead to an increase in frequency and intensity of droughts (</w:t>
            </w:r>
            <w:r w:rsidR="001133BF" w:rsidRPr="00780661">
              <w:t>Evans</w:t>
            </w:r>
            <w:r w:rsidR="00385D78" w:rsidRPr="00780661">
              <w:t xml:space="preserve"> et al. 2017) and </w:t>
            </w:r>
            <w:r w:rsidR="001133BF" w:rsidRPr="00780661">
              <w:t xml:space="preserve">heatwaves (Herold et al. </w:t>
            </w:r>
            <w:r w:rsidR="008F37D0">
              <w:t>2018), and thus extreme fire weather.</w:t>
            </w:r>
          </w:p>
          <w:p w14:paraId="1BEA4FC5" w14:textId="79CB1465" w:rsidR="009E20DB" w:rsidRPr="00D80BA1" w:rsidRDefault="00BA7B84" w:rsidP="007F21E8">
            <w:pPr>
              <w:pStyle w:val="TableText"/>
            </w:pPr>
            <w:r w:rsidRPr="00780661">
              <w:t>Garnett et al. (2013) identified the subspecies and its habitats</w:t>
            </w:r>
            <w:r w:rsidRPr="00D80BA1">
              <w:t xml:space="preserve"> as highly sensitive to climate change.</w:t>
            </w:r>
            <w:r w:rsidR="00940974">
              <w:t xml:space="preserve"> The small size and isolation of the subpopulations means that the subspecies is especially susceptible to effects of localised extreme events, or environmental fluctuations.</w:t>
            </w:r>
          </w:p>
        </w:tc>
      </w:tr>
      <w:tr w:rsidR="003C5034" w14:paraId="27180CFD" w14:textId="77777777" w:rsidTr="007627BE">
        <w:tc>
          <w:tcPr>
            <w:tcW w:w="9060" w:type="dxa"/>
            <w:gridSpan w:val="3"/>
          </w:tcPr>
          <w:p w14:paraId="554A8689" w14:textId="61118469" w:rsidR="003C5034" w:rsidRPr="00944212" w:rsidRDefault="003C5034" w:rsidP="00944212">
            <w:pPr>
              <w:pStyle w:val="TableText"/>
              <w:rPr>
                <w:highlight w:val="lightGray"/>
              </w:rPr>
            </w:pPr>
            <w:r w:rsidRPr="00944212">
              <w:t>Predation</w:t>
            </w:r>
          </w:p>
        </w:tc>
      </w:tr>
      <w:tr w:rsidR="0008070D" w14:paraId="0295F4E6" w14:textId="77777777" w:rsidTr="0008070D">
        <w:tc>
          <w:tcPr>
            <w:tcW w:w="1942" w:type="dxa"/>
          </w:tcPr>
          <w:p w14:paraId="32C35F25" w14:textId="2F86B86B" w:rsidR="0008070D" w:rsidRPr="001E7B0E" w:rsidRDefault="0008070D" w:rsidP="0008070D">
            <w:pPr>
              <w:pStyle w:val="TableText"/>
            </w:pPr>
            <w:r>
              <w:t>Introduced predators</w:t>
            </w:r>
          </w:p>
        </w:tc>
        <w:tc>
          <w:tcPr>
            <w:tcW w:w="3801" w:type="dxa"/>
          </w:tcPr>
          <w:p w14:paraId="5231BB22" w14:textId="77777777" w:rsidR="0008070D" w:rsidRDefault="0008070D" w:rsidP="0008070D">
            <w:pPr>
              <w:pStyle w:val="TableBullet1"/>
              <w:keepNext/>
            </w:pPr>
            <w:r>
              <w:t>Timing: current &amp; future</w:t>
            </w:r>
          </w:p>
          <w:p w14:paraId="60C7F926" w14:textId="0A4F350B" w:rsidR="0008070D" w:rsidRDefault="0008070D" w:rsidP="00DD21CF">
            <w:pPr>
              <w:pStyle w:val="TableBullet1"/>
              <w:keepNext/>
            </w:pPr>
            <w:r>
              <w:t xml:space="preserve">Confidence: </w:t>
            </w:r>
            <w:r w:rsidR="00DD21CF">
              <w:t>inferred</w:t>
            </w:r>
          </w:p>
          <w:p w14:paraId="72AE2415" w14:textId="34EB0190" w:rsidR="0008070D" w:rsidRPr="00DD21CF" w:rsidRDefault="0008070D" w:rsidP="0008070D">
            <w:pPr>
              <w:pStyle w:val="TableBullet1"/>
            </w:pPr>
            <w:r>
              <w:t xml:space="preserve">Likelihood: </w:t>
            </w:r>
            <w:r w:rsidR="00DD21CF" w:rsidRPr="00DD21CF">
              <w:t>possible</w:t>
            </w:r>
          </w:p>
          <w:p w14:paraId="1DAB2E72" w14:textId="64516C0B" w:rsidR="0008070D" w:rsidRPr="00DD21CF" w:rsidRDefault="0008070D" w:rsidP="0008070D">
            <w:pPr>
              <w:pStyle w:val="TableBullet1"/>
              <w:keepNext/>
            </w:pPr>
            <w:r w:rsidRPr="00DD21CF">
              <w:t xml:space="preserve">Consequence: </w:t>
            </w:r>
            <w:r w:rsidR="00DD21CF" w:rsidRPr="00DD21CF">
              <w:t>minor</w:t>
            </w:r>
          </w:p>
          <w:p w14:paraId="4B2185C8" w14:textId="51C664F2" w:rsidR="0008070D" w:rsidRPr="00DD21CF" w:rsidRDefault="0008070D" w:rsidP="0008070D">
            <w:pPr>
              <w:pStyle w:val="TableBullet1"/>
              <w:keepNext/>
            </w:pPr>
            <w:r w:rsidRPr="00DD21CF">
              <w:t>Trend: static</w:t>
            </w:r>
          </w:p>
          <w:p w14:paraId="0C25D2B4" w14:textId="35E15970" w:rsidR="0008070D" w:rsidRDefault="0008070D" w:rsidP="0008070D">
            <w:pPr>
              <w:pStyle w:val="TableBullet1"/>
              <w:keepNext/>
            </w:pPr>
            <w:r w:rsidRPr="00DD21CF">
              <w:t>Extent: across the entire range</w:t>
            </w:r>
          </w:p>
        </w:tc>
        <w:tc>
          <w:tcPr>
            <w:tcW w:w="3317" w:type="dxa"/>
          </w:tcPr>
          <w:p w14:paraId="27E41699" w14:textId="23FA13A2" w:rsidR="0008070D" w:rsidRDefault="0008070D" w:rsidP="0008070D">
            <w:pPr>
              <w:pStyle w:val="TableText"/>
            </w:pPr>
            <w:r>
              <w:t>Larger introduced predators such as cats (</w:t>
            </w:r>
            <w:r>
              <w:rPr>
                <w:i/>
                <w:iCs/>
              </w:rPr>
              <w:t xml:space="preserve">Felis </w:t>
            </w:r>
            <w:proofErr w:type="spellStart"/>
            <w:r>
              <w:rPr>
                <w:i/>
                <w:iCs/>
              </w:rPr>
              <w:t>catus</w:t>
            </w:r>
            <w:proofErr w:type="spellEnd"/>
            <w:r>
              <w:t xml:space="preserve">; </w:t>
            </w:r>
            <w:r w:rsidR="007D3F39">
              <w:t xml:space="preserve">Maguire &amp; Mulder 2004; </w:t>
            </w:r>
            <w:r>
              <w:t>Commonwealth of Australia 2015a) and foxes (</w:t>
            </w:r>
            <w:r>
              <w:rPr>
                <w:i/>
                <w:iCs/>
              </w:rPr>
              <w:t xml:space="preserve">Vulpes </w:t>
            </w:r>
            <w:proofErr w:type="spellStart"/>
            <w:r>
              <w:rPr>
                <w:i/>
                <w:iCs/>
              </w:rPr>
              <w:t>vulpes</w:t>
            </w:r>
            <w:proofErr w:type="spellEnd"/>
            <w:r>
              <w:t xml:space="preserve">; Higgins et al. 2001; DEWHA 2008a) are considered a minor potential threat to </w:t>
            </w:r>
            <w:r>
              <w:rPr>
                <w:i/>
                <w:iCs/>
              </w:rPr>
              <w:t xml:space="preserve">S. m. </w:t>
            </w:r>
            <w:proofErr w:type="spellStart"/>
            <w:r>
              <w:rPr>
                <w:i/>
                <w:iCs/>
              </w:rPr>
              <w:t>parimeda</w:t>
            </w:r>
            <w:proofErr w:type="spellEnd"/>
            <w:r>
              <w:t xml:space="preserve">, due to the dense, structurally complex nature of their habitat providing a substantial amount of protection (DEWNR 2015). </w:t>
            </w:r>
          </w:p>
          <w:p w14:paraId="22110913" w14:textId="7443B36F" w:rsidR="0008070D" w:rsidRDefault="0008070D" w:rsidP="0008070D">
            <w:pPr>
              <w:pStyle w:val="TableText"/>
              <w:rPr>
                <w:highlight w:val="lightGray"/>
              </w:rPr>
            </w:pPr>
            <w:r w:rsidRPr="48D710CD">
              <w:rPr>
                <w:color w:val="000000" w:themeColor="text1"/>
              </w:rPr>
              <w:t>Small nest predators such as the Black Rat (</w:t>
            </w:r>
            <w:r w:rsidRPr="48D710CD">
              <w:rPr>
                <w:i/>
                <w:color w:val="000000" w:themeColor="text1"/>
              </w:rPr>
              <w:t xml:space="preserve">Rattus </w:t>
            </w:r>
            <w:proofErr w:type="spellStart"/>
            <w:r w:rsidRPr="48D710CD">
              <w:rPr>
                <w:i/>
                <w:color w:val="000000" w:themeColor="text1"/>
              </w:rPr>
              <w:t>rattus</w:t>
            </w:r>
            <w:proofErr w:type="spellEnd"/>
            <w:r w:rsidRPr="48D710CD">
              <w:rPr>
                <w:i/>
                <w:color w:val="000000" w:themeColor="text1"/>
              </w:rPr>
              <w:t xml:space="preserve">; </w:t>
            </w:r>
            <w:proofErr w:type="spellStart"/>
            <w:r w:rsidRPr="48D710CD">
              <w:rPr>
                <w:color w:val="000000" w:themeColor="text1"/>
              </w:rPr>
              <w:t>Caughley</w:t>
            </w:r>
            <w:proofErr w:type="spellEnd"/>
            <w:r w:rsidRPr="48D710CD">
              <w:rPr>
                <w:color w:val="000000" w:themeColor="text1"/>
              </w:rPr>
              <w:t xml:space="preserve"> et al. 1998) poses a greater threat to </w:t>
            </w:r>
            <w:r w:rsidRPr="48D710CD">
              <w:rPr>
                <w:i/>
                <w:color w:val="000000" w:themeColor="text1"/>
              </w:rPr>
              <w:t xml:space="preserve">S. m. </w:t>
            </w:r>
            <w:proofErr w:type="spellStart"/>
            <w:r w:rsidRPr="48D710CD">
              <w:rPr>
                <w:i/>
                <w:color w:val="000000" w:themeColor="text1"/>
              </w:rPr>
              <w:t>parimeda</w:t>
            </w:r>
            <w:proofErr w:type="spellEnd"/>
            <w:r w:rsidRPr="48D710CD">
              <w:rPr>
                <w:color w:val="000000" w:themeColor="text1"/>
              </w:rPr>
              <w:t xml:space="preserve"> as their nests are usually close to, or on the ground.</w:t>
            </w:r>
          </w:p>
        </w:tc>
      </w:tr>
      <w:tr w:rsidR="0008070D" w14:paraId="236BA9C8" w14:textId="77777777" w:rsidTr="007627BE">
        <w:tc>
          <w:tcPr>
            <w:tcW w:w="9060" w:type="dxa"/>
            <w:gridSpan w:val="3"/>
          </w:tcPr>
          <w:p w14:paraId="7FE586A7" w14:textId="2B2B6BC2" w:rsidR="0008070D" w:rsidRPr="00BE299D" w:rsidRDefault="0008070D" w:rsidP="0008070D">
            <w:pPr>
              <w:pStyle w:val="TableText"/>
            </w:pPr>
            <w:r w:rsidRPr="00BE299D">
              <w:t>Isolated subpopulations due to habitat fragmentation</w:t>
            </w:r>
          </w:p>
        </w:tc>
      </w:tr>
      <w:tr w:rsidR="0008070D" w14:paraId="485D61FA" w14:textId="77777777" w:rsidTr="0008070D">
        <w:tc>
          <w:tcPr>
            <w:tcW w:w="1942" w:type="dxa"/>
          </w:tcPr>
          <w:p w14:paraId="02BE3F18" w14:textId="0106D1C5" w:rsidR="0008070D" w:rsidRPr="007F21E8" w:rsidRDefault="008F2811" w:rsidP="0008070D">
            <w:pPr>
              <w:pStyle w:val="TableText"/>
            </w:pPr>
            <w:r>
              <w:t xml:space="preserve">Demographic stochasticity and loss of genetic diversity </w:t>
            </w:r>
            <w:proofErr w:type="gramStart"/>
            <w:r>
              <w:t>as a result of</w:t>
            </w:r>
            <w:proofErr w:type="gramEnd"/>
            <w:r>
              <w:t xml:space="preserve"> small, </w:t>
            </w:r>
            <w:r>
              <w:lastRenderedPageBreak/>
              <w:t>isolated subpopulations</w:t>
            </w:r>
          </w:p>
        </w:tc>
        <w:tc>
          <w:tcPr>
            <w:tcW w:w="3801" w:type="dxa"/>
          </w:tcPr>
          <w:p w14:paraId="59A3F585" w14:textId="56F0C962" w:rsidR="0008070D" w:rsidRDefault="0008070D" w:rsidP="0008070D">
            <w:pPr>
              <w:pStyle w:val="TableBullet1"/>
              <w:keepNext/>
            </w:pPr>
            <w:r>
              <w:lastRenderedPageBreak/>
              <w:t>Timing: future</w:t>
            </w:r>
          </w:p>
          <w:p w14:paraId="0BEBD958" w14:textId="55786868" w:rsidR="0008070D" w:rsidRPr="00722804" w:rsidRDefault="0008070D" w:rsidP="0008070D">
            <w:pPr>
              <w:pStyle w:val="TableBullet1"/>
              <w:keepNext/>
            </w:pPr>
            <w:r>
              <w:t>Confidence</w:t>
            </w:r>
            <w:r w:rsidRPr="00722804">
              <w:t>: inferred</w:t>
            </w:r>
          </w:p>
          <w:p w14:paraId="71FDC8C7" w14:textId="4C9DBEB8" w:rsidR="0008070D" w:rsidRPr="00722804" w:rsidRDefault="0008070D" w:rsidP="0008070D">
            <w:pPr>
              <w:pStyle w:val="TableBullet1"/>
            </w:pPr>
            <w:r w:rsidRPr="00722804">
              <w:t xml:space="preserve">Likelihood: </w:t>
            </w:r>
            <w:r w:rsidR="00ED4430">
              <w:t>unknown</w:t>
            </w:r>
          </w:p>
          <w:p w14:paraId="300C79E3" w14:textId="5D080107" w:rsidR="0008070D" w:rsidRPr="00C576E0" w:rsidRDefault="0008070D" w:rsidP="0008070D">
            <w:pPr>
              <w:pStyle w:val="TableBullet1"/>
              <w:keepNext/>
            </w:pPr>
            <w:r>
              <w:lastRenderedPageBreak/>
              <w:t>Consequence</w:t>
            </w:r>
            <w:r w:rsidRPr="00C576E0">
              <w:t>: major</w:t>
            </w:r>
          </w:p>
          <w:p w14:paraId="69ACD0E7" w14:textId="44F4240E" w:rsidR="0008070D" w:rsidRPr="00C576E0" w:rsidRDefault="0008070D" w:rsidP="0008070D">
            <w:pPr>
              <w:pStyle w:val="TableBullet1"/>
              <w:keepNext/>
            </w:pPr>
            <w:r w:rsidRPr="00C576E0">
              <w:t>Trend: unknown</w:t>
            </w:r>
          </w:p>
          <w:p w14:paraId="57872873" w14:textId="7744F6B7" w:rsidR="0008070D" w:rsidRDefault="0008070D" w:rsidP="0008070D">
            <w:pPr>
              <w:pStyle w:val="TableBullet1"/>
              <w:keepNext/>
            </w:pPr>
            <w:r w:rsidRPr="00C576E0">
              <w:t>Extent: across the entire</w:t>
            </w:r>
            <w:r w:rsidRPr="00080B73">
              <w:t xml:space="preserve"> range</w:t>
            </w:r>
          </w:p>
        </w:tc>
        <w:tc>
          <w:tcPr>
            <w:tcW w:w="3317" w:type="dxa"/>
          </w:tcPr>
          <w:p w14:paraId="62454BDE" w14:textId="6048B6EB" w:rsidR="00597D1B" w:rsidRPr="00597D1B" w:rsidRDefault="00597D1B" w:rsidP="00597D1B">
            <w:pPr>
              <w:pStyle w:val="TableText"/>
            </w:pPr>
            <w:r>
              <w:lastRenderedPageBreak/>
              <w:t xml:space="preserve">Small, isolated subpopulations are at an increased risk of extinction due to </w:t>
            </w:r>
            <w:r>
              <w:lastRenderedPageBreak/>
              <w:t xml:space="preserve">demographic </w:t>
            </w:r>
            <w:r w:rsidR="008F2811">
              <w:t xml:space="preserve">stochasticity </w:t>
            </w:r>
            <w:r>
              <w:t xml:space="preserve">and </w:t>
            </w:r>
            <w:r w:rsidR="008F2811">
              <w:t>loss of genetic diversity.</w:t>
            </w:r>
          </w:p>
          <w:p w14:paraId="59B0436A" w14:textId="7EF98382" w:rsidR="0008070D" w:rsidRDefault="0008070D" w:rsidP="0008070D">
            <w:pPr>
              <w:pStyle w:val="TableText"/>
              <w:rPr>
                <w:lang w:eastAsia="en-AU"/>
              </w:rPr>
            </w:pPr>
            <w:r>
              <w:t xml:space="preserve">Demographic stochasticity refers to the unpredictable variability in factors that determines a population's persistence, such as population growth rates arising from differences amongst individuals in seasonal survival, </w:t>
            </w:r>
            <w:proofErr w:type="gramStart"/>
            <w:r>
              <w:t>reproduction</w:t>
            </w:r>
            <w:proofErr w:type="gramEnd"/>
            <w:r>
              <w:t xml:space="preserve"> and sex ratios (Frankham et al. 2002). This means that small populations could be extirpated due to random within-in season variations</w:t>
            </w:r>
            <w:r w:rsidR="00597D1B">
              <w:t xml:space="preserve"> </w:t>
            </w:r>
            <w:r w:rsidR="008F37D0">
              <w:t xml:space="preserve">(Pickett 2017). </w:t>
            </w:r>
          </w:p>
          <w:p w14:paraId="7727AE79" w14:textId="54F19A07" w:rsidR="0008070D" w:rsidRDefault="0008070D" w:rsidP="0008070D">
            <w:pPr>
              <w:pStyle w:val="TableText"/>
              <w:rPr>
                <w:highlight w:val="lightGray"/>
              </w:rPr>
            </w:pPr>
            <w:r>
              <w:t xml:space="preserve">Another potential threat </w:t>
            </w:r>
            <w:r w:rsidR="008F37D0">
              <w:t>to</w:t>
            </w:r>
            <w:r>
              <w:t xml:space="preserve"> small, isolated populations is genetic drift, which could lead to consequences such as the loss of genetic diversity, inbreeding depression and the accumulation of deleterious mutation (Frankham et al. 2002). These could lead to a lower capacity to respond to environmental changes or fluctuations, and increased expression of deleterious recessive alleles, leading to reduced individual survival and reproductive capacity (inbreeding depression; Pickett 2017).</w:t>
            </w:r>
          </w:p>
        </w:tc>
      </w:tr>
      <w:tr w:rsidR="008636E7" w14:paraId="4AAA084D" w14:textId="77777777" w:rsidTr="00663496">
        <w:tc>
          <w:tcPr>
            <w:tcW w:w="9060" w:type="dxa"/>
            <w:gridSpan w:val="3"/>
          </w:tcPr>
          <w:p w14:paraId="088753E4" w14:textId="51C3B0AA" w:rsidR="008636E7" w:rsidRDefault="008636E7" w:rsidP="00597D1B">
            <w:pPr>
              <w:pStyle w:val="TableText"/>
            </w:pPr>
            <w:r>
              <w:lastRenderedPageBreak/>
              <w:t>Anthropogenic disturbance</w:t>
            </w:r>
          </w:p>
        </w:tc>
      </w:tr>
      <w:tr w:rsidR="008636E7" w14:paraId="57998B3F" w14:textId="77777777" w:rsidTr="0008070D">
        <w:tc>
          <w:tcPr>
            <w:tcW w:w="1942" w:type="dxa"/>
          </w:tcPr>
          <w:p w14:paraId="27298C03" w14:textId="75AEFE07" w:rsidR="008636E7" w:rsidRDefault="008636E7" w:rsidP="0008070D">
            <w:pPr>
              <w:pStyle w:val="TableText"/>
            </w:pPr>
            <w:r>
              <w:t>Noise and light pollution</w:t>
            </w:r>
          </w:p>
        </w:tc>
        <w:tc>
          <w:tcPr>
            <w:tcW w:w="3801" w:type="dxa"/>
          </w:tcPr>
          <w:p w14:paraId="6B0A974C" w14:textId="77777777" w:rsidR="0005547A" w:rsidRDefault="0005547A" w:rsidP="0005547A">
            <w:pPr>
              <w:pStyle w:val="TableBullet1"/>
              <w:keepNext/>
            </w:pPr>
            <w:r>
              <w:t>Timing: future</w:t>
            </w:r>
          </w:p>
          <w:p w14:paraId="105B2B55" w14:textId="77777777" w:rsidR="0005547A" w:rsidRPr="00722804" w:rsidRDefault="0005547A" w:rsidP="0005547A">
            <w:pPr>
              <w:pStyle w:val="TableBullet1"/>
              <w:keepNext/>
            </w:pPr>
            <w:r>
              <w:t>Confidence</w:t>
            </w:r>
            <w:r w:rsidRPr="00722804">
              <w:t>: inferred</w:t>
            </w:r>
          </w:p>
          <w:p w14:paraId="149A24F0" w14:textId="022AE7B8" w:rsidR="0005547A" w:rsidRPr="00722804" w:rsidRDefault="0005547A" w:rsidP="0005547A">
            <w:pPr>
              <w:pStyle w:val="TableBullet1"/>
            </w:pPr>
            <w:r w:rsidRPr="00722804">
              <w:t xml:space="preserve">Likelihood: </w:t>
            </w:r>
            <w:r>
              <w:t>possible</w:t>
            </w:r>
          </w:p>
          <w:p w14:paraId="7887C27B" w14:textId="0B540666" w:rsidR="0005547A" w:rsidRPr="00C576E0" w:rsidRDefault="0005547A" w:rsidP="0005547A">
            <w:pPr>
              <w:pStyle w:val="TableBullet1"/>
              <w:keepNext/>
            </w:pPr>
            <w:r>
              <w:t>Consequence</w:t>
            </w:r>
            <w:r w:rsidRPr="00C576E0">
              <w:t xml:space="preserve">: </w:t>
            </w:r>
            <w:r>
              <w:t>minor</w:t>
            </w:r>
          </w:p>
          <w:p w14:paraId="0B3CEAD6" w14:textId="77777777" w:rsidR="0005547A" w:rsidRPr="00C576E0" w:rsidRDefault="0005547A" w:rsidP="0005547A">
            <w:pPr>
              <w:pStyle w:val="TableBullet1"/>
              <w:keepNext/>
            </w:pPr>
            <w:r w:rsidRPr="00C576E0">
              <w:t>Trend: unknown</w:t>
            </w:r>
          </w:p>
          <w:p w14:paraId="7FED045C" w14:textId="453AA626" w:rsidR="008636E7" w:rsidRDefault="0005547A" w:rsidP="0005547A">
            <w:pPr>
              <w:pStyle w:val="TableBullet1"/>
              <w:keepNext/>
            </w:pPr>
            <w:r w:rsidRPr="00C576E0">
              <w:t xml:space="preserve">Extent: across </w:t>
            </w:r>
            <w:r>
              <w:t>parts of its range</w:t>
            </w:r>
          </w:p>
        </w:tc>
        <w:tc>
          <w:tcPr>
            <w:tcW w:w="3317" w:type="dxa"/>
          </w:tcPr>
          <w:p w14:paraId="33621425" w14:textId="031D9C2E" w:rsidR="00FF15CB" w:rsidRDefault="00FF15CB" w:rsidP="00597D1B">
            <w:pPr>
              <w:pStyle w:val="TableText"/>
            </w:pPr>
            <w:r w:rsidRPr="002D4C43">
              <w:t xml:space="preserve">With increased industrial development within the subspecies’ range (e.g., Whalers Way space launch site), </w:t>
            </w:r>
            <w:r w:rsidR="007D3F39">
              <w:t>an</w:t>
            </w:r>
            <w:r w:rsidR="002D4C43">
              <w:t xml:space="preserve"> emerging threat is the noise and light impacts associated with the construction and operations of the sites (AECOM 2020).</w:t>
            </w:r>
          </w:p>
          <w:p w14:paraId="3778E85D" w14:textId="219ACF76" w:rsidR="002D4C43" w:rsidRDefault="00ED22EE" w:rsidP="00597D1B">
            <w:pPr>
              <w:pStyle w:val="TableText"/>
            </w:pPr>
            <w:r>
              <w:t xml:space="preserve">Artificial light </w:t>
            </w:r>
            <w:r w:rsidR="003F4946">
              <w:t>is known to adversely impact many species and ecological communities through change of behaviour, physiology, reducing survival or reproductive success (</w:t>
            </w:r>
            <w:r w:rsidR="00FE6E27">
              <w:t>Commonwealth of Australia 2020</w:t>
            </w:r>
            <w:r w:rsidR="003F4946">
              <w:t>).</w:t>
            </w:r>
            <w:r w:rsidR="00990B1F">
              <w:t xml:space="preserve"> The most significant impacts that it may have on the Eyre Peninsula southern emu-wren is the potential increase in </w:t>
            </w:r>
            <w:proofErr w:type="gramStart"/>
            <w:r w:rsidR="00990B1F">
              <w:t>predation, and</w:t>
            </w:r>
            <w:proofErr w:type="gramEnd"/>
            <w:r w:rsidR="00990B1F">
              <w:t xml:space="preserve"> change in foraging and reproductive behaviour (AECOM 2020</w:t>
            </w:r>
            <w:r w:rsidR="002A1752">
              <w:t>; Commonwealth of Australia 2020</w:t>
            </w:r>
            <w:r w:rsidR="00990B1F">
              <w:t>). Especially if its lighting associated with ongoing operations, which will be long term and localised.</w:t>
            </w:r>
          </w:p>
          <w:p w14:paraId="42CD433E" w14:textId="78AA2E4B" w:rsidR="00FE6E27" w:rsidRDefault="001653B0" w:rsidP="00597D1B">
            <w:pPr>
              <w:pStyle w:val="TableText"/>
            </w:pPr>
            <w:r>
              <w:t xml:space="preserve">Anthropogenic noise </w:t>
            </w:r>
            <w:r w:rsidR="009A1FB8">
              <w:t xml:space="preserve">could lead to physiological </w:t>
            </w:r>
            <w:r w:rsidR="009F4630">
              <w:t xml:space="preserve">stress in individuals, elicit avoidance and fright-flight responses, and damage to hearing from acoustic over-exposure (Dooling &amp; Popper 2007). </w:t>
            </w:r>
            <w:r w:rsidR="00552885">
              <w:t>It may also reduce the ability of individuals to hear each other or predator, resulting in decreased survival rate or reproductive success (Shannon et al. 2016).</w:t>
            </w:r>
          </w:p>
        </w:tc>
      </w:tr>
    </w:tbl>
    <w:p w14:paraId="3A9225E1" w14:textId="7644F8AE" w:rsidR="00C72F10" w:rsidRPr="009A615F" w:rsidRDefault="009F4586" w:rsidP="00FB52AC">
      <w:pPr>
        <w:pStyle w:val="FigureTableNoteSource"/>
      </w:pPr>
      <w:proofErr w:type="spellStart"/>
      <w:r w:rsidRPr="009F4586">
        <w:rPr>
          <w:vertAlign w:val="superscript"/>
        </w:rPr>
        <w:t>a</w:t>
      </w:r>
      <w:r w:rsidR="0007233A">
        <w:t>Timing</w:t>
      </w:r>
      <w:proofErr w:type="spellEnd"/>
      <w:r w:rsidR="006E5CC3" w:rsidRPr="009A615F">
        <w:t>—identif</w:t>
      </w:r>
      <w:r w:rsidR="00C4221F">
        <w:t>ies</w:t>
      </w:r>
      <w:r w:rsidR="006E5CC3" w:rsidRPr="009A615F">
        <w:t xml:space="preserve"> the temporal nature of the threat</w:t>
      </w:r>
    </w:p>
    <w:p w14:paraId="13C40C79" w14:textId="4F051F6D" w:rsidR="00C72F10" w:rsidRPr="009A615F" w:rsidRDefault="006E5CC3" w:rsidP="00FB52AC">
      <w:pPr>
        <w:pStyle w:val="FigureTableNoteSource"/>
      </w:pPr>
      <w:r w:rsidRPr="009A615F">
        <w:t>Confidence—identif</w:t>
      </w:r>
      <w:r w:rsidR="00C4221F">
        <w:t>ies</w:t>
      </w:r>
      <w:r w:rsidRPr="009A615F">
        <w:t xml:space="preserve"> the </w:t>
      </w:r>
      <w:r w:rsidR="0061241B">
        <w:t>nature of the evidence about</w:t>
      </w:r>
      <w:r w:rsidRPr="009A615F">
        <w:t xml:space="preserve"> th</w:t>
      </w:r>
      <w:r w:rsidR="00F92E66" w:rsidRPr="009A615F">
        <w:t>e impact of the</w:t>
      </w:r>
      <w:r w:rsidRPr="009A615F">
        <w:t xml:space="preserve"> threat</w:t>
      </w:r>
      <w:r w:rsidR="00F92E66" w:rsidRPr="009A615F">
        <w:t xml:space="preserve"> on the species</w:t>
      </w:r>
    </w:p>
    <w:p w14:paraId="2DB7671A" w14:textId="61D2FD1C" w:rsidR="0061241B" w:rsidRDefault="0061241B" w:rsidP="00FB52AC">
      <w:pPr>
        <w:pStyle w:val="FigureTableNoteSource"/>
      </w:pPr>
      <w:r>
        <w:lastRenderedPageBreak/>
        <w:t>Likelihood</w:t>
      </w:r>
      <w:r w:rsidRPr="009A615F">
        <w:t>—identif</w:t>
      </w:r>
      <w:r>
        <w:t>ies</w:t>
      </w:r>
      <w:r w:rsidRPr="009A615F">
        <w:t xml:space="preserve"> the</w:t>
      </w:r>
      <w:r>
        <w:t xml:space="preserve"> likelihood of the threat impacting on the whole population or extent of the species</w:t>
      </w:r>
    </w:p>
    <w:p w14:paraId="631F285D" w14:textId="129367F3" w:rsidR="00C72F10" w:rsidRPr="009A615F" w:rsidRDefault="006E5CC3" w:rsidP="00FB52AC">
      <w:pPr>
        <w:pStyle w:val="FigureTableNoteSource"/>
      </w:pPr>
      <w:r w:rsidRPr="009A615F">
        <w:t>Consequence—identif</w:t>
      </w:r>
      <w:r w:rsidR="00C4221F">
        <w:t>ies</w:t>
      </w:r>
      <w:r w:rsidRPr="009A615F">
        <w:t xml:space="preserve"> the severity of th</w:t>
      </w:r>
      <w:r w:rsidR="00F92E66" w:rsidRPr="009A615F">
        <w:t>e</w:t>
      </w:r>
      <w:r w:rsidRPr="009A615F">
        <w:t xml:space="preserve"> threat</w:t>
      </w:r>
    </w:p>
    <w:p w14:paraId="3D5C70A5" w14:textId="3C079677" w:rsidR="00C72F10" w:rsidRPr="009A615F" w:rsidRDefault="006E5CC3" w:rsidP="00FB52AC">
      <w:pPr>
        <w:pStyle w:val="FigureTableNoteSource"/>
      </w:pPr>
      <w:r w:rsidRPr="009A615F">
        <w:t>Trend—identif</w:t>
      </w:r>
      <w:r w:rsidR="00C4221F">
        <w:t>ies</w:t>
      </w:r>
      <w:r w:rsidRPr="009A615F">
        <w:t xml:space="preserve"> the extent to which it will continue to operate on the species</w:t>
      </w:r>
    </w:p>
    <w:p w14:paraId="2F576EB1" w14:textId="46EFFC3D" w:rsidR="006E3429" w:rsidRPr="006E3429" w:rsidRDefault="006E5CC3" w:rsidP="006E3429">
      <w:pPr>
        <w:pStyle w:val="FigureTableNoteSource"/>
      </w:pPr>
      <w:r w:rsidRPr="009A615F">
        <w:t>Extent—identif</w:t>
      </w:r>
      <w:r w:rsidR="00C4221F">
        <w:t>ies</w:t>
      </w:r>
      <w:r w:rsidRPr="009A615F">
        <w:t xml:space="preserve"> its spatial conte</w:t>
      </w:r>
      <w:r w:rsidR="00C4221F">
        <w:t>x</w:t>
      </w:r>
      <w:r w:rsidRPr="009A615F">
        <w:t>t</w:t>
      </w:r>
      <w:r w:rsidR="00F92E66" w:rsidRPr="009A615F">
        <w:t xml:space="preserve"> in terms of the range of the species</w:t>
      </w:r>
    </w:p>
    <w:p w14:paraId="566B71B1" w14:textId="77777777" w:rsidR="0091345E" w:rsidRDefault="0091345E" w:rsidP="006E3429">
      <w:pPr>
        <w:pStyle w:val="FigureTableNoteSource"/>
        <w:rPr>
          <w:b/>
          <w:bCs/>
        </w:rPr>
      </w:pPr>
    </w:p>
    <w:p w14:paraId="2FA55366" w14:textId="2BC8EE51" w:rsidR="006E3429" w:rsidRDefault="006E3429" w:rsidP="006E3429">
      <w:pPr>
        <w:pStyle w:val="FigureTableNoteSource"/>
        <w:rPr>
          <w:rFonts w:cs="Calibri"/>
          <w:b/>
          <w:bCs/>
          <w:szCs w:val="18"/>
        </w:rPr>
      </w:pPr>
      <w:r>
        <w:rPr>
          <w:b/>
          <w:bCs/>
        </w:rPr>
        <w:t>Categories for likelihood are defined as follows:</w:t>
      </w:r>
    </w:p>
    <w:p w14:paraId="747D3A75" w14:textId="77777777" w:rsidR="006E3429" w:rsidRDefault="006E3429" w:rsidP="006E3429">
      <w:pPr>
        <w:pStyle w:val="FigureTableNoteSource"/>
      </w:pPr>
      <w:r>
        <w:t>Almost certain – expected to occur every year</w:t>
      </w:r>
    </w:p>
    <w:p w14:paraId="03388282" w14:textId="77777777" w:rsidR="006E3429" w:rsidRDefault="006E3429" w:rsidP="006E3429">
      <w:pPr>
        <w:pStyle w:val="FigureTableNoteSource"/>
      </w:pPr>
      <w:r>
        <w:t>Likely – expected to occur at least once every five years</w:t>
      </w:r>
    </w:p>
    <w:p w14:paraId="29F36D33" w14:textId="77777777" w:rsidR="006E3429" w:rsidRDefault="006E3429" w:rsidP="006E3429">
      <w:pPr>
        <w:pStyle w:val="FigureTableNoteSource"/>
      </w:pPr>
      <w:r>
        <w:t>Possible – might occur at some time</w:t>
      </w:r>
    </w:p>
    <w:p w14:paraId="7AB10B4D" w14:textId="48F9B249" w:rsidR="006E3429" w:rsidRDefault="006E3429" w:rsidP="006E3429">
      <w:pPr>
        <w:pStyle w:val="FigureTableNoteSource"/>
      </w:pPr>
      <w:r>
        <w:t>Unlikely –</w:t>
      </w:r>
      <w:r w:rsidR="002D4C43">
        <w:t xml:space="preserve"> </w:t>
      </w:r>
      <w:r>
        <w:t>known to have occurred only a few times</w:t>
      </w:r>
    </w:p>
    <w:p w14:paraId="09614170" w14:textId="716F5DBF" w:rsidR="003D7DD2" w:rsidRPr="003D7DD2" w:rsidRDefault="006E3429" w:rsidP="003D7DD2">
      <w:pPr>
        <w:pStyle w:val="FigureTableNoteSource"/>
      </w:pPr>
      <w:r>
        <w:t>Unknown – currently unknown how often the threat will occur</w:t>
      </w:r>
    </w:p>
    <w:p w14:paraId="5176C04B" w14:textId="77777777" w:rsidR="003D7DD2" w:rsidRDefault="003D7DD2" w:rsidP="006E3429">
      <w:pPr>
        <w:pStyle w:val="FigureTableNoteSource"/>
        <w:rPr>
          <w:b/>
          <w:bCs/>
        </w:rPr>
      </w:pPr>
    </w:p>
    <w:p w14:paraId="576C2B94" w14:textId="586C654B" w:rsidR="006E3429" w:rsidRDefault="006E3429" w:rsidP="006E3429">
      <w:pPr>
        <w:pStyle w:val="FigureTableNoteSource"/>
        <w:rPr>
          <w:b/>
          <w:bCs/>
        </w:rPr>
      </w:pPr>
      <w:r>
        <w:rPr>
          <w:b/>
          <w:bCs/>
        </w:rPr>
        <w:t xml:space="preserve">Categories for consequences are defined as follows: </w:t>
      </w:r>
    </w:p>
    <w:p w14:paraId="6BD0AC4C" w14:textId="77777777" w:rsidR="006E3429" w:rsidRDefault="006E3429" w:rsidP="006E3429">
      <w:pPr>
        <w:pStyle w:val="FigureTableNoteSource"/>
      </w:pPr>
      <w:r>
        <w:t>Not significant – no long-term effect on individuals or populations</w:t>
      </w:r>
    </w:p>
    <w:p w14:paraId="3F6ED027" w14:textId="77777777" w:rsidR="006E3429" w:rsidRDefault="006E3429" w:rsidP="006E3429">
      <w:pPr>
        <w:pStyle w:val="FigureTableNoteSource"/>
      </w:pPr>
      <w:r>
        <w:t>Minor – individuals are adversely affected but no effect at population level</w:t>
      </w:r>
    </w:p>
    <w:p w14:paraId="19343B6A" w14:textId="77777777" w:rsidR="006E3429" w:rsidRDefault="006E3429" w:rsidP="006E3429">
      <w:pPr>
        <w:pStyle w:val="FigureTableNoteSource"/>
      </w:pPr>
      <w:r>
        <w:t>Moderate – population recovery stable or declining</w:t>
      </w:r>
    </w:p>
    <w:p w14:paraId="03D823C8" w14:textId="77777777" w:rsidR="006E3429" w:rsidRDefault="006E3429" w:rsidP="006E3429">
      <w:pPr>
        <w:pStyle w:val="FigureTableNoteSource"/>
        <w:spacing w:before="0"/>
      </w:pPr>
      <w:r>
        <w:t>Major – population decline is ongoing</w:t>
      </w:r>
    </w:p>
    <w:p w14:paraId="37A77E4E" w14:textId="3FC45F25" w:rsidR="006E3429" w:rsidRPr="006E3429" w:rsidRDefault="006E3429" w:rsidP="006E3429">
      <w:pPr>
        <w:pStyle w:val="FigureTableNoteSource"/>
        <w:spacing w:before="0"/>
      </w:pPr>
      <w:r>
        <w:t>Catastrophic – population trajectory close to extinction</w:t>
      </w:r>
    </w:p>
    <w:p w14:paraId="450987AC" w14:textId="21C278B4" w:rsidR="00E707AE" w:rsidRDefault="00BD7983">
      <w:bookmarkStart w:id="8" w:name="_Toc430782162"/>
      <w:bookmarkStart w:id="9" w:name="_Toc511376531"/>
      <w:r>
        <w:t xml:space="preserve">Each threat has been described </w:t>
      </w:r>
      <w:r w:rsidR="000E630E">
        <w:t xml:space="preserve">in Table 1 </w:t>
      </w:r>
      <w:r>
        <w:t xml:space="preserve">in terms of the extent that it is operating on the species. </w:t>
      </w:r>
      <w:r w:rsidR="00F92E66">
        <w:t>The</w:t>
      </w:r>
      <w:r>
        <w:t xml:space="preserve"> risk matrix (</w:t>
      </w:r>
      <w:r w:rsidR="00C64C7F">
        <w:fldChar w:fldCharType="begin"/>
      </w:r>
      <w:r w:rsidR="00C64C7F">
        <w:instrText xml:space="preserve"> REF _Ref43127879 \h </w:instrText>
      </w:r>
      <w:r w:rsidR="00C64C7F">
        <w:fldChar w:fldCharType="separate"/>
      </w:r>
      <w:r w:rsidR="004D0D1F">
        <w:t xml:space="preserve">Table </w:t>
      </w:r>
      <w:r w:rsidR="004D0D1F">
        <w:rPr>
          <w:noProof/>
        </w:rPr>
        <w:t>2</w:t>
      </w:r>
      <w:r w:rsidR="00C64C7F">
        <w:fldChar w:fldCharType="end"/>
      </w:r>
      <w:r>
        <w:t xml:space="preserve">) provides a visual </w:t>
      </w:r>
      <w:r w:rsidR="00F92E66">
        <w:t>depiction of</w:t>
      </w:r>
      <w:r>
        <w:t xml:space="preserve"> the level of risk being imposed by a threat and supports the prioritisation of subsequent management and conservation actions. In </w:t>
      </w:r>
      <w:r w:rsidR="00F92E66">
        <w:t xml:space="preserve">preparing </w:t>
      </w:r>
      <w:r>
        <w:t>a risk matrix</w:t>
      </w:r>
      <w:r w:rsidR="00F92E66">
        <w:t>,</w:t>
      </w:r>
      <w:r>
        <w:t xml:space="preserve"> several factors have been taken into consideration, they </w:t>
      </w:r>
      <w:proofErr w:type="gramStart"/>
      <w:r>
        <w:t>are:</w:t>
      </w:r>
      <w:proofErr w:type="gramEnd"/>
      <w:r>
        <w:t xml:space="preserve"> the life stage they affect; the duration of the impact; </w:t>
      </w:r>
      <w:r w:rsidR="00D246E7">
        <w:t xml:space="preserve">the spatial extent, </w:t>
      </w:r>
      <w:r>
        <w:t>and the efficacy of curre</w:t>
      </w:r>
      <w:r w:rsidRPr="00B038DF">
        <w:t>nt management regimes, assuming that management will continu</w:t>
      </w:r>
      <w:r w:rsidR="00774EAA" w:rsidRPr="00B038DF">
        <w:t>e to be applied appropriately.</w:t>
      </w:r>
      <w:r w:rsidRPr="00B038DF">
        <w:t xml:space="preserve"> The risk matrix</w:t>
      </w:r>
      <w:r w:rsidR="001B077B" w:rsidRPr="00B038DF">
        <w:t xml:space="preserve"> </w:t>
      </w:r>
      <w:r w:rsidRPr="00B038DF">
        <w:t>and ranking of threats has been developed using available literature.</w:t>
      </w:r>
    </w:p>
    <w:p w14:paraId="19A69D17" w14:textId="77777777" w:rsidR="00774EAA" w:rsidRDefault="00774EAA" w:rsidP="005C125F">
      <w:pPr>
        <w:pStyle w:val="Caption"/>
        <w:keepLines/>
      </w:pPr>
      <w:bookmarkStart w:id="10" w:name="_Ref43127879"/>
      <w:r>
        <w:lastRenderedPageBreak/>
        <w:t xml:space="preserve">Table </w:t>
      </w:r>
      <w:r w:rsidR="00ED07EC">
        <w:rPr>
          <w:noProof/>
        </w:rPr>
        <w:fldChar w:fldCharType="begin"/>
      </w:r>
      <w:r w:rsidR="00ED07EC">
        <w:rPr>
          <w:noProof/>
        </w:rPr>
        <w:instrText xml:space="preserve"> SEQ Table \* ARABIC </w:instrText>
      </w:r>
      <w:r w:rsidR="00ED07EC">
        <w:rPr>
          <w:noProof/>
        </w:rPr>
        <w:fldChar w:fldCharType="separate"/>
      </w:r>
      <w:r w:rsidR="004D0D1F">
        <w:rPr>
          <w:noProof/>
        </w:rPr>
        <w:t>2</w:t>
      </w:r>
      <w:r w:rsidR="00ED07EC">
        <w:rPr>
          <w:noProof/>
        </w:rPr>
        <w:fldChar w:fldCharType="end"/>
      </w:r>
      <w:bookmarkEnd w:id="10"/>
      <w:r>
        <w:t xml:space="preserve"> </w:t>
      </w:r>
      <w:r w:rsidR="00322655">
        <w:t>R</w:t>
      </w:r>
      <w:r>
        <w:t xml:space="preserve">isk </w:t>
      </w:r>
      <w:r w:rsidR="00322655">
        <w:t>M</w:t>
      </w:r>
      <w:r>
        <w:t>atrix</w:t>
      </w:r>
    </w:p>
    <w:tbl>
      <w:tblPr>
        <w:tblStyle w:val="TableGrid"/>
        <w:tblW w:w="8824" w:type="dxa"/>
        <w:tblCellMar>
          <w:top w:w="85" w:type="dxa"/>
          <w:bottom w:w="85" w:type="dxa"/>
        </w:tblCellMar>
        <w:tblLook w:val="04A0" w:firstRow="1" w:lastRow="0" w:firstColumn="1" w:lastColumn="0" w:noHBand="0" w:noVBand="1"/>
      </w:tblPr>
      <w:tblGrid>
        <w:gridCol w:w="1248"/>
        <w:gridCol w:w="1228"/>
        <w:gridCol w:w="1539"/>
        <w:gridCol w:w="1579"/>
        <w:gridCol w:w="1862"/>
        <w:gridCol w:w="1368"/>
      </w:tblGrid>
      <w:tr w:rsidR="00B45659" w14:paraId="460E0475" w14:textId="77777777" w:rsidTr="0078231A">
        <w:trPr>
          <w:tblHeader/>
        </w:trPr>
        <w:tc>
          <w:tcPr>
            <w:tcW w:w="1376" w:type="dxa"/>
            <w:vMerge w:val="restart"/>
          </w:tcPr>
          <w:p w14:paraId="40CFE7D2" w14:textId="77777777" w:rsidR="00B45659" w:rsidRDefault="00B45659" w:rsidP="0078231A">
            <w:pPr>
              <w:pStyle w:val="TableHeading"/>
              <w:spacing w:before="0" w:after="0"/>
            </w:pPr>
            <w:r>
              <w:t>Likelihood</w:t>
            </w:r>
          </w:p>
        </w:tc>
        <w:tc>
          <w:tcPr>
            <w:tcW w:w="7448" w:type="dxa"/>
            <w:gridSpan w:val="5"/>
          </w:tcPr>
          <w:p w14:paraId="02FD2F58" w14:textId="77777777" w:rsidR="00B45659" w:rsidRDefault="00B45659" w:rsidP="0078231A">
            <w:pPr>
              <w:pStyle w:val="TableHeading"/>
              <w:spacing w:before="0" w:after="0"/>
            </w:pPr>
            <w:r>
              <w:t>Consequences</w:t>
            </w:r>
          </w:p>
        </w:tc>
      </w:tr>
      <w:tr w:rsidR="00B45659" w14:paraId="0BEFEBDF" w14:textId="77777777" w:rsidTr="0078231A">
        <w:trPr>
          <w:tblHeader/>
        </w:trPr>
        <w:tc>
          <w:tcPr>
            <w:tcW w:w="1376" w:type="dxa"/>
            <w:vMerge/>
          </w:tcPr>
          <w:p w14:paraId="22CDCCE8" w14:textId="77777777" w:rsidR="00B45659" w:rsidRDefault="00B45659" w:rsidP="0078231A">
            <w:pPr>
              <w:pStyle w:val="TableHeading"/>
              <w:spacing w:before="0" w:after="0"/>
            </w:pPr>
          </w:p>
        </w:tc>
        <w:tc>
          <w:tcPr>
            <w:tcW w:w="1356" w:type="dxa"/>
          </w:tcPr>
          <w:p w14:paraId="4C3AA6F0" w14:textId="77777777" w:rsidR="00B45659" w:rsidRDefault="00B45659" w:rsidP="0078231A">
            <w:pPr>
              <w:pStyle w:val="TableHeading"/>
              <w:spacing w:before="0" w:after="0"/>
            </w:pPr>
            <w:r>
              <w:t>Not significant</w:t>
            </w:r>
          </w:p>
        </w:tc>
        <w:tc>
          <w:tcPr>
            <w:tcW w:w="1355" w:type="dxa"/>
          </w:tcPr>
          <w:p w14:paraId="01232A0C" w14:textId="77777777" w:rsidR="00B45659" w:rsidRDefault="00B45659" w:rsidP="0078231A">
            <w:pPr>
              <w:pStyle w:val="TableHeading"/>
              <w:spacing w:before="0" w:after="0"/>
            </w:pPr>
            <w:r>
              <w:t>Minor</w:t>
            </w:r>
          </w:p>
        </w:tc>
        <w:tc>
          <w:tcPr>
            <w:tcW w:w="1264" w:type="dxa"/>
          </w:tcPr>
          <w:p w14:paraId="3D10AE34" w14:textId="77777777" w:rsidR="00B45659" w:rsidRDefault="00B45659" w:rsidP="0078231A">
            <w:pPr>
              <w:pStyle w:val="TableHeading"/>
              <w:spacing w:before="0" w:after="0"/>
            </w:pPr>
            <w:r>
              <w:t>Moderate</w:t>
            </w:r>
          </w:p>
        </w:tc>
        <w:tc>
          <w:tcPr>
            <w:tcW w:w="2015" w:type="dxa"/>
          </w:tcPr>
          <w:p w14:paraId="43F7E24C" w14:textId="77777777" w:rsidR="00B45659" w:rsidRDefault="00B45659" w:rsidP="0078231A">
            <w:pPr>
              <w:pStyle w:val="TableHeading"/>
              <w:spacing w:before="0" w:after="0"/>
            </w:pPr>
            <w:r>
              <w:t>Major</w:t>
            </w:r>
          </w:p>
        </w:tc>
        <w:tc>
          <w:tcPr>
            <w:tcW w:w="1458" w:type="dxa"/>
          </w:tcPr>
          <w:p w14:paraId="17B16803" w14:textId="77777777" w:rsidR="00B45659" w:rsidRDefault="00B45659" w:rsidP="0078231A">
            <w:pPr>
              <w:pStyle w:val="TableHeading"/>
              <w:spacing w:before="0" w:after="0"/>
            </w:pPr>
            <w:r>
              <w:t>Catastrophic</w:t>
            </w:r>
          </w:p>
        </w:tc>
      </w:tr>
      <w:tr w:rsidR="00B45659" w14:paraId="76DF252B" w14:textId="77777777" w:rsidTr="0078231A">
        <w:trPr>
          <w:tblHeader/>
        </w:trPr>
        <w:tc>
          <w:tcPr>
            <w:tcW w:w="1376" w:type="dxa"/>
          </w:tcPr>
          <w:p w14:paraId="0E388702" w14:textId="77777777" w:rsidR="00B45659" w:rsidRPr="00774EAA" w:rsidRDefault="00B45659" w:rsidP="0078231A">
            <w:pPr>
              <w:pStyle w:val="TableText"/>
              <w:keepNext/>
              <w:spacing w:before="0" w:after="0"/>
              <w:rPr>
                <w:rStyle w:val="Strong"/>
                <w:sz w:val="22"/>
              </w:rPr>
            </w:pPr>
            <w:r w:rsidRPr="00774EAA">
              <w:rPr>
                <w:rStyle w:val="Strong"/>
              </w:rPr>
              <w:t>Almost certain</w:t>
            </w:r>
          </w:p>
        </w:tc>
        <w:tc>
          <w:tcPr>
            <w:tcW w:w="1356" w:type="dxa"/>
            <w:shd w:val="clear" w:color="auto" w:fill="C2D69B" w:themeFill="accent3" w:themeFillTint="99"/>
          </w:tcPr>
          <w:p w14:paraId="29A005A9" w14:textId="77777777" w:rsidR="00B45659" w:rsidRDefault="00B45659" w:rsidP="0078231A">
            <w:pPr>
              <w:pStyle w:val="TableText"/>
            </w:pPr>
          </w:p>
        </w:tc>
        <w:tc>
          <w:tcPr>
            <w:tcW w:w="1355" w:type="dxa"/>
            <w:shd w:val="clear" w:color="auto" w:fill="8DB3E2" w:themeFill="text2" w:themeFillTint="66"/>
          </w:tcPr>
          <w:p w14:paraId="7B05E521" w14:textId="77777777" w:rsidR="00B45659" w:rsidRDefault="00B45659" w:rsidP="0078231A">
            <w:pPr>
              <w:pStyle w:val="TableText"/>
            </w:pPr>
          </w:p>
        </w:tc>
        <w:tc>
          <w:tcPr>
            <w:tcW w:w="1264" w:type="dxa"/>
            <w:shd w:val="clear" w:color="auto" w:fill="D99594" w:themeFill="accent2" w:themeFillTint="99"/>
          </w:tcPr>
          <w:p w14:paraId="2C3420CB" w14:textId="77777777" w:rsidR="00B45659" w:rsidRDefault="00B45659" w:rsidP="0078231A">
            <w:pPr>
              <w:pStyle w:val="TableText"/>
            </w:pPr>
          </w:p>
        </w:tc>
        <w:tc>
          <w:tcPr>
            <w:tcW w:w="2015" w:type="dxa"/>
            <w:shd w:val="clear" w:color="auto" w:fill="D99594" w:themeFill="accent2" w:themeFillTint="99"/>
          </w:tcPr>
          <w:p w14:paraId="66DAE4AF" w14:textId="77777777" w:rsidR="00B45659" w:rsidRPr="006B6B55" w:rsidRDefault="00B45659" w:rsidP="00BD6B38">
            <w:pPr>
              <w:pStyle w:val="TableBullet1"/>
              <w:numPr>
                <w:ilvl w:val="0"/>
                <w:numId w:val="1"/>
              </w:numPr>
              <w:ind w:left="284" w:hanging="284"/>
            </w:pPr>
            <w:r w:rsidRPr="006B6B55">
              <w:t>Inappropriate fire regimes</w:t>
            </w:r>
          </w:p>
          <w:p w14:paraId="7683FEB7" w14:textId="77777777" w:rsidR="00B45659" w:rsidRDefault="00B45659" w:rsidP="00BD6B38">
            <w:pPr>
              <w:pStyle w:val="TableBullet1"/>
              <w:numPr>
                <w:ilvl w:val="0"/>
                <w:numId w:val="1"/>
              </w:numPr>
              <w:ind w:left="284" w:hanging="284"/>
            </w:pPr>
            <w:bookmarkStart w:id="11" w:name="_Hlk92893974"/>
            <w:r w:rsidRPr="006B6B55">
              <w:t>Increased likelihood of extreme events (e.g., wildfire and drought)</w:t>
            </w:r>
            <w:bookmarkEnd w:id="11"/>
          </w:p>
        </w:tc>
        <w:tc>
          <w:tcPr>
            <w:tcW w:w="1458" w:type="dxa"/>
            <w:shd w:val="clear" w:color="auto" w:fill="D99594" w:themeFill="accent2" w:themeFillTint="99"/>
          </w:tcPr>
          <w:p w14:paraId="40CF96F6" w14:textId="77777777" w:rsidR="00B45659" w:rsidRDefault="00B45659" w:rsidP="0078231A">
            <w:pPr>
              <w:pStyle w:val="TableText"/>
            </w:pPr>
          </w:p>
        </w:tc>
      </w:tr>
      <w:tr w:rsidR="00B45659" w14:paraId="069EC804" w14:textId="77777777" w:rsidTr="0078231A">
        <w:trPr>
          <w:tblHeader/>
        </w:trPr>
        <w:tc>
          <w:tcPr>
            <w:tcW w:w="1376" w:type="dxa"/>
          </w:tcPr>
          <w:p w14:paraId="69A1DF99" w14:textId="77777777" w:rsidR="00B45659" w:rsidRPr="00774EAA" w:rsidRDefault="00B45659" w:rsidP="0078231A">
            <w:pPr>
              <w:pStyle w:val="TableText"/>
              <w:keepNext/>
              <w:spacing w:before="0" w:after="0"/>
              <w:rPr>
                <w:rStyle w:val="Strong"/>
                <w:sz w:val="22"/>
              </w:rPr>
            </w:pPr>
            <w:r w:rsidRPr="00774EAA">
              <w:rPr>
                <w:rStyle w:val="Strong"/>
              </w:rPr>
              <w:t>Likely</w:t>
            </w:r>
          </w:p>
        </w:tc>
        <w:tc>
          <w:tcPr>
            <w:tcW w:w="1356" w:type="dxa"/>
            <w:shd w:val="clear" w:color="auto" w:fill="C2D69B" w:themeFill="accent3" w:themeFillTint="99"/>
          </w:tcPr>
          <w:p w14:paraId="020BEFE4" w14:textId="77777777" w:rsidR="00B45659" w:rsidRDefault="00B45659" w:rsidP="0078231A">
            <w:pPr>
              <w:pStyle w:val="TableText"/>
            </w:pPr>
          </w:p>
        </w:tc>
        <w:tc>
          <w:tcPr>
            <w:tcW w:w="1355" w:type="dxa"/>
            <w:shd w:val="clear" w:color="auto" w:fill="8DB3E2" w:themeFill="text2" w:themeFillTint="66"/>
          </w:tcPr>
          <w:p w14:paraId="1EFEA23F" w14:textId="77777777" w:rsidR="00B45659" w:rsidRDefault="00B45659" w:rsidP="00BD6B38">
            <w:pPr>
              <w:pStyle w:val="TableBullet1"/>
              <w:numPr>
                <w:ilvl w:val="0"/>
                <w:numId w:val="1"/>
              </w:numPr>
              <w:ind w:left="284" w:hanging="284"/>
            </w:pPr>
            <w:r w:rsidRPr="006B6B55">
              <w:t>Invasive weeds</w:t>
            </w:r>
          </w:p>
        </w:tc>
        <w:tc>
          <w:tcPr>
            <w:tcW w:w="1264" w:type="dxa"/>
            <w:shd w:val="clear" w:color="auto" w:fill="FFC000"/>
          </w:tcPr>
          <w:p w14:paraId="29A30902" w14:textId="77777777" w:rsidR="00B45659" w:rsidRDefault="00B45659" w:rsidP="00BD6B38">
            <w:pPr>
              <w:pStyle w:val="TableBullet1"/>
              <w:numPr>
                <w:ilvl w:val="0"/>
                <w:numId w:val="1"/>
              </w:numPr>
              <w:ind w:left="284" w:hanging="284"/>
            </w:pPr>
            <w:r w:rsidRPr="006B6B55">
              <w:t>Inappropriate hydrological regimes (water extraction and swamp drainage)</w:t>
            </w:r>
          </w:p>
        </w:tc>
        <w:tc>
          <w:tcPr>
            <w:tcW w:w="2015" w:type="dxa"/>
            <w:shd w:val="clear" w:color="auto" w:fill="D99594" w:themeFill="accent2" w:themeFillTint="99"/>
          </w:tcPr>
          <w:p w14:paraId="6E9D4C18" w14:textId="77777777" w:rsidR="00B45659" w:rsidRPr="006B6B55" w:rsidRDefault="00B45659" w:rsidP="00BD6B38">
            <w:pPr>
              <w:pStyle w:val="TableBullet1"/>
              <w:numPr>
                <w:ilvl w:val="0"/>
                <w:numId w:val="1"/>
              </w:numPr>
              <w:ind w:left="284" w:hanging="284"/>
            </w:pPr>
            <w:r w:rsidRPr="006B6B55">
              <w:t>Land clearance</w:t>
            </w:r>
          </w:p>
          <w:p w14:paraId="237D21AB" w14:textId="77777777" w:rsidR="00B45659" w:rsidRDefault="00B45659" w:rsidP="00BD6B38">
            <w:pPr>
              <w:pStyle w:val="TableBullet1"/>
              <w:numPr>
                <w:ilvl w:val="0"/>
                <w:numId w:val="1"/>
              </w:numPr>
              <w:ind w:left="284" w:hanging="284"/>
            </w:pPr>
            <w:r w:rsidRPr="006B6B55">
              <w:t>Grazing (livestock and wild herbivores)</w:t>
            </w:r>
          </w:p>
        </w:tc>
        <w:tc>
          <w:tcPr>
            <w:tcW w:w="1458" w:type="dxa"/>
            <w:shd w:val="clear" w:color="auto" w:fill="D99594" w:themeFill="accent2" w:themeFillTint="99"/>
          </w:tcPr>
          <w:p w14:paraId="128154CC" w14:textId="77777777" w:rsidR="00B45659" w:rsidRDefault="00B45659" w:rsidP="0078231A">
            <w:pPr>
              <w:pStyle w:val="TableText"/>
            </w:pPr>
          </w:p>
        </w:tc>
      </w:tr>
      <w:tr w:rsidR="00B45659" w14:paraId="10D5CB9F" w14:textId="77777777" w:rsidTr="0078231A">
        <w:trPr>
          <w:tblHeader/>
        </w:trPr>
        <w:tc>
          <w:tcPr>
            <w:tcW w:w="1376" w:type="dxa"/>
          </w:tcPr>
          <w:p w14:paraId="146BF3E2" w14:textId="77777777" w:rsidR="00B45659" w:rsidRPr="00774EAA" w:rsidRDefault="00B45659" w:rsidP="0078231A">
            <w:pPr>
              <w:pStyle w:val="TableText"/>
              <w:keepNext/>
              <w:spacing w:before="0" w:after="0"/>
              <w:rPr>
                <w:rStyle w:val="Strong"/>
                <w:sz w:val="22"/>
              </w:rPr>
            </w:pPr>
            <w:r w:rsidRPr="00774EAA">
              <w:rPr>
                <w:rStyle w:val="Strong"/>
              </w:rPr>
              <w:t>Possible</w:t>
            </w:r>
          </w:p>
        </w:tc>
        <w:tc>
          <w:tcPr>
            <w:tcW w:w="1356" w:type="dxa"/>
            <w:shd w:val="clear" w:color="auto" w:fill="C2D69B" w:themeFill="accent3" w:themeFillTint="99"/>
          </w:tcPr>
          <w:p w14:paraId="0C77E1F2" w14:textId="77777777" w:rsidR="00B45659" w:rsidRDefault="00B45659" w:rsidP="0078231A">
            <w:pPr>
              <w:pStyle w:val="TableText"/>
            </w:pPr>
          </w:p>
        </w:tc>
        <w:tc>
          <w:tcPr>
            <w:tcW w:w="1355" w:type="dxa"/>
            <w:shd w:val="clear" w:color="auto" w:fill="8DB3E2" w:themeFill="text2" w:themeFillTint="66"/>
          </w:tcPr>
          <w:p w14:paraId="6E23C745" w14:textId="77777777" w:rsidR="00B45659" w:rsidRDefault="00B45659" w:rsidP="00BD6B38">
            <w:pPr>
              <w:pStyle w:val="TableBullet1"/>
              <w:numPr>
                <w:ilvl w:val="0"/>
                <w:numId w:val="1"/>
              </w:numPr>
              <w:ind w:left="284" w:hanging="284"/>
            </w:pPr>
            <w:r w:rsidRPr="00CF2DF7">
              <w:rPr>
                <w:i/>
                <w:iCs/>
              </w:rPr>
              <w:t xml:space="preserve">Phytophthora </w:t>
            </w:r>
            <w:proofErr w:type="spellStart"/>
            <w:r w:rsidRPr="00CF2DF7">
              <w:rPr>
                <w:i/>
                <w:iCs/>
              </w:rPr>
              <w:t>cinnamomi</w:t>
            </w:r>
            <w:proofErr w:type="spellEnd"/>
            <w:r w:rsidRPr="00A44B6F">
              <w:t xml:space="preserve"> induced diebacks</w:t>
            </w:r>
          </w:p>
          <w:p w14:paraId="6DA09168" w14:textId="77777777" w:rsidR="00B45659" w:rsidRPr="0005547A" w:rsidRDefault="00B45659" w:rsidP="00BD6B38">
            <w:pPr>
              <w:pStyle w:val="TableBullet1"/>
              <w:numPr>
                <w:ilvl w:val="0"/>
                <w:numId w:val="1"/>
              </w:numPr>
              <w:ind w:left="284" w:hanging="284"/>
              <w:rPr>
                <w:b/>
                <w:bCs/>
              </w:rPr>
            </w:pPr>
            <w:r>
              <w:t>Introduced predators</w:t>
            </w:r>
          </w:p>
          <w:p w14:paraId="43F73FFD" w14:textId="77777777" w:rsidR="00B45659" w:rsidRPr="00663987" w:rsidRDefault="00B45659" w:rsidP="00BD6B38">
            <w:pPr>
              <w:pStyle w:val="TableBullet1"/>
              <w:numPr>
                <w:ilvl w:val="0"/>
                <w:numId w:val="1"/>
              </w:numPr>
              <w:ind w:left="284" w:hanging="284"/>
              <w:rPr>
                <w:b/>
                <w:bCs/>
              </w:rPr>
            </w:pPr>
            <w:r w:rsidRPr="0005547A">
              <w:t>Noise and light pollution</w:t>
            </w:r>
          </w:p>
        </w:tc>
        <w:tc>
          <w:tcPr>
            <w:tcW w:w="1264" w:type="dxa"/>
            <w:shd w:val="clear" w:color="auto" w:fill="FFC000"/>
          </w:tcPr>
          <w:p w14:paraId="7F5E9477" w14:textId="77777777" w:rsidR="00B45659" w:rsidRDefault="00B45659" w:rsidP="0078231A">
            <w:pPr>
              <w:pStyle w:val="TableText"/>
            </w:pPr>
          </w:p>
        </w:tc>
        <w:tc>
          <w:tcPr>
            <w:tcW w:w="2015" w:type="dxa"/>
            <w:shd w:val="clear" w:color="auto" w:fill="D99594" w:themeFill="accent2" w:themeFillTint="99"/>
          </w:tcPr>
          <w:p w14:paraId="6A7284FA" w14:textId="77777777" w:rsidR="00B45659" w:rsidRDefault="00B45659" w:rsidP="0078231A">
            <w:pPr>
              <w:pStyle w:val="TableText"/>
            </w:pPr>
          </w:p>
        </w:tc>
        <w:tc>
          <w:tcPr>
            <w:tcW w:w="1458" w:type="dxa"/>
            <w:shd w:val="clear" w:color="auto" w:fill="D99594" w:themeFill="accent2" w:themeFillTint="99"/>
          </w:tcPr>
          <w:p w14:paraId="46644C74" w14:textId="77777777" w:rsidR="00B45659" w:rsidRDefault="00B45659" w:rsidP="0078231A">
            <w:pPr>
              <w:pStyle w:val="TableText"/>
            </w:pPr>
          </w:p>
        </w:tc>
      </w:tr>
      <w:tr w:rsidR="00B45659" w14:paraId="0886E5B0" w14:textId="77777777" w:rsidTr="0078231A">
        <w:trPr>
          <w:tblHeader/>
        </w:trPr>
        <w:tc>
          <w:tcPr>
            <w:tcW w:w="1376" w:type="dxa"/>
          </w:tcPr>
          <w:p w14:paraId="74F13F31" w14:textId="77777777" w:rsidR="00B45659" w:rsidRPr="00774EAA" w:rsidRDefault="00B45659" w:rsidP="0078231A">
            <w:pPr>
              <w:pStyle w:val="TableText"/>
              <w:keepNext/>
              <w:spacing w:before="0" w:after="0"/>
              <w:rPr>
                <w:rStyle w:val="Strong"/>
                <w:sz w:val="22"/>
              </w:rPr>
            </w:pPr>
            <w:r w:rsidRPr="00774EAA">
              <w:rPr>
                <w:rStyle w:val="Strong"/>
              </w:rPr>
              <w:t>Unlikely</w:t>
            </w:r>
          </w:p>
        </w:tc>
        <w:tc>
          <w:tcPr>
            <w:tcW w:w="1356" w:type="dxa"/>
            <w:shd w:val="clear" w:color="auto" w:fill="C2D69B" w:themeFill="accent3" w:themeFillTint="99"/>
          </w:tcPr>
          <w:p w14:paraId="66122FFD" w14:textId="77777777" w:rsidR="00B45659" w:rsidRDefault="00B45659" w:rsidP="0078231A">
            <w:pPr>
              <w:pStyle w:val="TableText"/>
            </w:pPr>
          </w:p>
        </w:tc>
        <w:tc>
          <w:tcPr>
            <w:tcW w:w="1355" w:type="dxa"/>
            <w:shd w:val="clear" w:color="auto" w:fill="C2D69B" w:themeFill="accent3" w:themeFillTint="99"/>
          </w:tcPr>
          <w:p w14:paraId="62C7DA0B" w14:textId="77777777" w:rsidR="00B45659" w:rsidRDefault="00B45659" w:rsidP="0078231A">
            <w:pPr>
              <w:pStyle w:val="TableText"/>
            </w:pPr>
          </w:p>
        </w:tc>
        <w:tc>
          <w:tcPr>
            <w:tcW w:w="1264" w:type="dxa"/>
            <w:shd w:val="clear" w:color="auto" w:fill="8DB3E2" w:themeFill="text2" w:themeFillTint="66"/>
          </w:tcPr>
          <w:p w14:paraId="2804CFBC" w14:textId="77777777" w:rsidR="00B45659" w:rsidRDefault="00B45659" w:rsidP="0078231A">
            <w:pPr>
              <w:pStyle w:val="TableText"/>
            </w:pPr>
          </w:p>
        </w:tc>
        <w:tc>
          <w:tcPr>
            <w:tcW w:w="2015" w:type="dxa"/>
            <w:shd w:val="clear" w:color="auto" w:fill="FFC000"/>
          </w:tcPr>
          <w:p w14:paraId="5BA21CD0" w14:textId="77777777" w:rsidR="00B45659" w:rsidRDefault="00B45659" w:rsidP="0078231A">
            <w:pPr>
              <w:pStyle w:val="TableText"/>
            </w:pPr>
          </w:p>
        </w:tc>
        <w:tc>
          <w:tcPr>
            <w:tcW w:w="1458" w:type="dxa"/>
            <w:shd w:val="clear" w:color="auto" w:fill="D99594" w:themeFill="accent2" w:themeFillTint="99"/>
          </w:tcPr>
          <w:p w14:paraId="75383645" w14:textId="77777777" w:rsidR="00B45659" w:rsidRDefault="00B45659" w:rsidP="0078231A">
            <w:pPr>
              <w:pStyle w:val="TableText"/>
            </w:pPr>
          </w:p>
        </w:tc>
      </w:tr>
      <w:tr w:rsidR="00B45659" w14:paraId="608AD737" w14:textId="77777777" w:rsidTr="0078231A">
        <w:trPr>
          <w:tblHeader/>
        </w:trPr>
        <w:tc>
          <w:tcPr>
            <w:tcW w:w="1376" w:type="dxa"/>
          </w:tcPr>
          <w:p w14:paraId="3A2644B7" w14:textId="77777777" w:rsidR="00B45659" w:rsidRPr="00774EAA" w:rsidRDefault="00B45659" w:rsidP="0078231A">
            <w:pPr>
              <w:pStyle w:val="TableText"/>
              <w:keepNext/>
              <w:spacing w:before="0" w:after="0"/>
              <w:rPr>
                <w:rStyle w:val="Strong"/>
                <w:sz w:val="22"/>
              </w:rPr>
            </w:pPr>
            <w:r w:rsidRPr="00774EAA">
              <w:rPr>
                <w:rStyle w:val="Strong"/>
              </w:rPr>
              <w:t>Unknown</w:t>
            </w:r>
          </w:p>
        </w:tc>
        <w:tc>
          <w:tcPr>
            <w:tcW w:w="1356" w:type="dxa"/>
            <w:shd w:val="clear" w:color="auto" w:fill="C2D69B" w:themeFill="accent3" w:themeFillTint="99"/>
          </w:tcPr>
          <w:p w14:paraId="6926E7A9" w14:textId="77777777" w:rsidR="00B45659" w:rsidRDefault="00B45659" w:rsidP="0078231A">
            <w:pPr>
              <w:pStyle w:val="TableText"/>
            </w:pPr>
          </w:p>
        </w:tc>
        <w:tc>
          <w:tcPr>
            <w:tcW w:w="1355" w:type="dxa"/>
            <w:shd w:val="clear" w:color="auto" w:fill="C2D69B" w:themeFill="accent3" w:themeFillTint="99"/>
          </w:tcPr>
          <w:p w14:paraId="14922DAB" w14:textId="77777777" w:rsidR="00B45659" w:rsidRDefault="00B45659" w:rsidP="0078231A">
            <w:pPr>
              <w:pStyle w:val="TableText"/>
            </w:pPr>
          </w:p>
        </w:tc>
        <w:tc>
          <w:tcPr>
            <w:tcW w:w="1264" w:type="dxa"/>
            <w:shd w:val="clear" w:color="auto" w:fill="8DB3E2" w:themeFill="text2" w:themeFillTint="66"/>
          </w:tcPr>
          <w:p w14:paraId="46EEA27B" w14:textId="77777777" w:rsidR="00B45659" w:rsidRDefault="00B45659" w:rsidP="0078231A">
            <w:pPr>
              <w:pStyle w:val="TableText"/>
            </w:pPr>
          </w:p>
        </w:tc>
        <w:tc>
          <w:tcPr>
            <w:tcW w:w="2015" w:type="dxa"/>
            <w:shd w:val="clear" w:color="auto" w:fill="FFC000"/>
          </w:tcPr>
          <w:p w14:paraId="4BDC2CB6" w14:textId="77777777" w:rsidR="00B45659" w:rsidRDefault="00B45659" w:rsidP="00BD6B38">
            <w:pPr>
              <w:pStyle w:val="TableBullet1"/>
              <w:numPr>
                <w:ilvl w:val="0"/>
                <w:numId w:val="1"/>
              </w:numPr>
              <w:ind w:left="284" w:hanging="284"/>
            </w:pPr>
            <w:r>
              <w:t xml:space="preserve">Demographic stochasticity and loss of genetic diversity </w:t>
            </w:r>
            <w:proofErr w:type="gramStart"/>
            <w:r>
              <w:t>as a result of</w:t>
            </w:r>
            <w:proofErr w:type="gramEnd"/>
            <w:r>
              <w:t xml:space="preserve"> small, isolated subpopulations</w:t>
            </w:r>
          </w:p>
        </w:tc>
        <w:tc>
          <w:tcPr>
            <w:tcW w:w="1458" w:type="dxa"/>
            <w:shd w:val="clear" w:color="auto" w:fill="D99594" w:themeFill="accent2" w:themeFillTint="99"/>
          </w:tcPr>
          <w:p w14:paraId="58AC2EC3" w14:textId="77777777" w:rsidR="00B45659" w:rsidRDefault="00B45659" w:rsidP="0078231A">
            <w:pPr>
              <w:pStyle w:val="TableText"/>
            </w:pPr>
          </w:p>
        </w:tc>
      </w:tr>
    </w:tbl>
    <w:p w14:paraId="640F7A33" w14:textId="77777777" w:rsidR="00B45659" w:rsidRDefault="00B45659" w:rsidP="005C125F">
      <w:pPr>
        <w:pStyle w:val="FootnoteText"/>
        <w:keepNext/>
      </w:pPr>
    </w:p>
    <w:p w14:paraId="3C8868D7" w14:textId="5FF20DFD" w:rsidR="00C22752" w:rsidRDefault="00C22752" w:rsidP="005C125F">
      <w:pPr>
        <w:pStyle w:val="FootnoteText"/>
        <w:keepNext/>
      </w:pPr>
      <w:r>
        <w:t>Risk Matrix legend</w:t>
      </w:r>
      <w:r w:rsidR="00D246E7">
        <w:t>/Risk rating</w:t>
      </w:r>
      <w:r>
        <w:t xml:space="preserve">: </w:t>
      </w:r>
    </w:p>
    <w:tbl>
      <w:tblPr>
        <w:tblStyle w:val="TableGrid"/>
        <w:tblW w:w="0" w:type="auto"/>
        <w:tblLook w:val="04A0" w:firstRow="1" w:lastRow="0" w:firstColumn="1" w:lastColumn="0" w:noHBand="0" w:noVBand="1"/>
      </w:tblPr>
      <w:tblGrid>
        <w:gridCol w:w="1907"/>
        <w:gridCol w:w="2395"/>
        <w:gridCol w:w="2104"/>
        <w:gridCol w:w="2445"/>
      </w:tblGrid>
      <w:tr w:rsidR="00C22752" w14:paraId="11FE8B82" w14:textId="77777777" w:rsidTr="007F07A7">
        <w:trPr>
          <w:trHeight w:val="198"/>
        </w:trPr>
        <w:tc>
          <w:tcPr>
            <w:tcW w:w="1907" w:type="dxa"/>
            <w:shd w:val="clear" w:color="auto" w:fill="C2D69B" w:themeFill="accent3" w:themeFillTint="99"/>
          </w:tcPr>
          <w:p w14:paraId="7255BB6D" w14:textId="71993659" w:rsidR="00C22752" w:rsidRDefault="00C22752" w:rsidP="005C125F">
            <w:pPr>
              <w:pStyle w:val="TableText"/>
              <w:keepNext/>
              <w:jc w:val="center"/>
            </w:pPr>
            <w:r>
              <w:t>Low Risk</w:t>
            </w:r>
          </w:p>
        </w:tc>
        <w:tc>
          <w:tcPr>
            <w:tcW w:w="2395" w:type="dxa"/>
            <w:shd w:val="clear" w:color="auto" w:fill="8DB3E2" w:themeFill="text2" w:themeFillTint="66"/>
          </w:tcPr>
          <w:p w14:paraId="5E042F5E" w14:textId="760AC4B4" w:rsidR="00C22752" w:rsidRDefault="00C22752" w:rsidP="005C125F">
            <w:pPr>
              <w:pStyle w:val="FootnoteText"/>
              <w:keepNext/>
              <w:jc w:val="center"/>
            </w:pPr>
            <w:r>
              <w:t>Moderate Risk</w:t>
            </w:r>
          </w:p>
        </w:tc>
        <w:tc>
          <w:tcPr>
            <w:tcW w:w="2104" w:type="dxa"/>
            <w:shd w:val="clear" w:color="auto" w:fill="FFC000"/>
          </w:tcPr>
          <w:p w14:paraId="619A2334" w14:textId="4C69FBFA" w:rsidR="00C22752" w:rsidRDefault="00C22752" w:rsidP="005C125F">
            <w:pPr>
              <w:pStyle w:val="FootnoteText"/>
              <w:keepNext/>
              <w:jc w:val="center"/>
            </w:pPr>
            <w:r>
              <w:t>High Risk</w:t>
            </w:r>
          </w:p>
        </w:tc>
        <w:tc>
          <w:tcPr>
            <w:tcW w:w="2445" w:type="dxa"/>
            <w:shd w:val="clear" w:color="auto" w:fill="D99594" w:themeFill="accent2" w:themeFillTint="99"/>
          </w:tcPr>
          <w:p w14:paraId="71457DF8" w14:textId="1DC8D114" w:rsidR="00C22752" w:rsidRDefault="00C22752" w:rsidP="005C125F">
            <w:pPr>
              <w:pStyle w:val="FootnoteText"/>
              <w:keepNext/>
              <w:jc w:val="center"/>
            </w:pPr>
            <w:r>
              <w:t>Very High Risk</w:t>
            </w:r>
          </w:p>
        </w:tc>
      </w:tr>
    </w:tbl>
    <w:p w14:paraId="40F5F2DB" w14:textId="03D68270" w:rsidR="002B6A3F" w:rsidRDefault="002B6A3F" w:rsidP="006D4F81">
      <w:pPr>
        <w:spacing w:before="240"/>
      </w:pPr>
      <w:r w:rsidRPr="00F10A98">
        <w:t>Priority actions have then been developed to manage the threat</w:t>
      </w:r>
      <w:r w:rsidR="00C4221F" w:rsidRPr="00F10A98">
        <w:t>s,</w:t>
      </w:r>
      <w:r w:rsidRPr="00F10A98">
        <w:t xml:space="preserve"> particularly where the risk was deemed to be ‘very high’</w:t>
      </w:r>
      <w:r w:rsidR="00E93125" w:rsidRPr="00F10A98">
        <w:t xml:space="preserve"> (red shading)</w:t>
      </w:r>
      <w:r w:rsidRPr="00F10A98">
        <w:t xml:space="preserve"> or ‘high’</w:t>
      </w:r>
      <w:r w:rsidR="00E93125" w:rsidRPr="00F10A98">
        <w:t xml:space="preserve"> (</w:t>
      </w:r>
      <w:r w:rsidR="00C4221F" w:rsidRPr="00F10A98">
        <w:t>orange</w:t>
      </w:r>
      <w:r w:rsidR="00E93125" w:rsidRPr="00F10A98">
        <w:t xml:space="preserve"> shading)</w:t>
      </w:r>
      <w:r w:rsidRPr="00F10A98">
        <w:t xml:space="preserve">. For those threats with an unknown or low risk </w:t>
      </w:r>
      <w:r w:rsidR="000F6D5A" w:rsidRPr="00F10A98">
        <w:t>(</w:t>
      </w:r>
      <w:r w:rsidR="00FB52AC" w:rsidRPr="00F10A98">
        <w:t>blue</w:t>
      </w:r>
      <w:r w:rsidR="000F6D5A" w:rsidRPr="00F10A98">
        <w:t xml:space="preserve"> and </w:t>
      </w:r>
      <w:r w:rsidR="00FB52AC" w:rsidRPr="00F10A98">
        <w:t>green</w:t>
      </w:r>
      <w:r w:rsidR="000F6D5A" w:rsidRPr="00F10A98">
        <w:t xml:space="preserve"> shading</w:t>
      </w:r>
      <w:r w:rsidR="00FB52AC" w:rsidRPr="00F10A98">
        <w:t xml:space="preserve"> respectively</w:t>
      </w:r>
      <w:r w:rsidR="000F6D5A" w:rsidRPr="00F10A98">
        <w:t xml:space="preserve">) </w:t>
      </w:r>
      <w:r w:rsidRPr="00F10A98">
        <w:t xml:space="preserve">research </w:t>
      </w:r>
      <w:r w:rsidR="00BF2F61" w:rsidRPr="00F10A98">
        <w:t xml:space="preserve">and </w:t>
      </w:r>
      <w:r w:rsidR="00C4221F" w:rsidRPr="00F10A98">
        <w:t>monitor</w:t>
      </w:r>
      <w:r w:rsidR="00BF2F61" w:rsidRPr="00F10A98">
        <w:t>ing</w:t>
      </w:r>
      <w:r w:rsidR="00C4221F" w:rsidRPr="00F10A98">
        <w:t xml:space="preserve"> </w:t>
      </w:r>
      <w:r w:rsidR="00BF2F61" w:rsidRPr="00F10A98">
        <w:t xml:space="preserve">actions have been developed to understand and </w:t>
      </w:r>
      <w:r w:rsidR="001B06CC" w:rsidRPr="00F10A98">
        <w:t>evaluate</w:t>
      </w:r>
      <w:r w:rsidR="00BF2F61" w:rsidRPr="00F10A98">
        <w:t xml:space="preserve"> the impact of the threats</w:t>
      </w:r>
      <w:r w:rsidR="001B06CC" w:rsidRPr="00F10A98">
        <w:t>, where appropriate</w:t>
      </w:r>
      <w:r w:rsidRPr="00F10A98">
        <w:t>.</w:t>
      </w:r>
    </w:p>
    <w:p w14:paraId="3672921A" w14:textId="77777777" w:rsidR="002B6A3F" w:rsidRDefault="002B6A3F" w:rsidP="002B6A3F">
      <w:pPr>
        <w:pStyle w:val="Heading2"/>
        <w:ind w:left="720" w:hanging="720"/>
      </w:pPr>
      <w:bookmarkStart w:id="12" w:name="_Hlk80441560"/>
      <w:r>
        <w:t xml:space="preserve">Conservation and recovery </w:t>
      </w:r>
      <w:r w:rsidRPr="002B6A3F">
        <w:t>actions</w:t>
      </w:r>
    </w:p>
    <w:bookmarkEnd w:id="12"/>
    <w:p w14:paraId="645BC16A" w14:textId="6AB9AACB" w:rsidR="002B6A3F" w:rsidRDefault="002B6A3F" w:rsidP="002B6A3F">
      <w:pPr>
        <w:pStyle w:val="Heading3"/>
        <w:ind w:left="964" w:hanging="964"/>
      </w:pPr>
      <w:r>
        <w:t xml:space="preserve">Primary conservation </w:t>
      </w:r>
      <w:r w:rsidR="003A6771">
        <w:t>objective</w:t>
      </w:r>
    </w:p>
    <w:p w14:paraId="6FDA2255" w14:textId="3CD25767" w:rsidR="00661E0F" w:rsidRDefault="00661E0F" w:rsidP="006B6B55">
      <w:pPr>
        <w:pStyle w:val="ListBullet"/>
      </w:pPr>
      <w:r>
        <w:t>Existing subpopulations secure</w:t>
      </w:r>
      <w:r w:rsidR="00D4017F">
        <w:t>d</w:t>
      </w:r>
      <w:r w:rsidR="00EA541A">
        <w:t xml:space="preserve"> and increased in size</w:t>
      </w:r>
      <w:r w:rsidR="00D4017F">
        <w:t>.</w:t>
      </w:r>
    </w:p>
    <w:p w14:paraId="6C6FD0FF" w14:textId="4AA496DE" w:rsidR="00EA541A" w:rsidRDefault="00EA541A" w:rsidP="006B6B55">
      <w:pPr>
        <w:pStyle w:val="ListBullet"/>
      </w:pPr>
      <w:r>
        <w:lastRenderedPageBreak/>
        <w:t>Improved connectivity between subpopulations.</w:t>
      </w:r>
    </w:p>
    <w:p w14:paraId="5558800E" w14:textId="0006B91C" w:rsidR="00D4017F" w:rsidRPr="00661E0F" w:rsidRDefault="00D4017F" w:rsidP="006B6B55">
      <w:pPr>
        <w:pStyle w:val="ListBullet"/>
      </w:pPr>
      <w:r>
        <w:t>Extirpated subpopulations re-established when suitable habitat has been restored.</w:t>
      </w:r>
    </w:p>
    <w:p w14:paraId="54D3788F" w14:textId="77777777" w:rsidR="002B6A3F" w:rsidRDefault="002B6A3F" w:rsidP="008A51E7">
      <w:pPr>
        <w:pStyle w:val="Heading3"/>
        <w:ind w:left="964" w:hanging="964"/>
      </w:pPr>
      <w:r>
        <w:t>Conservation and management priorities</w:t>
      </w:r>
    </w:p>
    <w:p w14:paraId="5136FE1F" w14:textId="43E3B429" w:rsidR="002B6A3F" w:rsidRDefault="00F2083E" w:rsidP="00A60CB6">
      <w:pPr>
        <w:pStyle w:val="Heading4"/>
        <w:ind w:left="964" w:hanging="964"/>
      </w:pPr>
      <w:r>
        <w:t xml:space="preserve">Inappropriate fire </w:t>
      </w:r>
      <w:r w:rsidR="45A39F60" w:rsidRPr="001F4ACF">
        <w:t>reg</w:t>
      </w:r>
      <w:r w:rsidR="45A39F60">
        <w:t>ime</w:t>
      </w:r>
      <w:r w:rsidR="00657F63">
        <w:t>s</w:t>
      </w:r>
    </w:p>
    <w:p w14:paraId="43ECF36E" w14:textId="30575D5A" w:rsidR="0061160F" w:rsidRPr="006B6B55" w:rsidRDefault="0061160F" w:rsidP="006B6B55">
      <w:pPr>
        <w:pStyle w:val="ListBullet"/>
      </w:pPr>
      <w:r w:rsidRPr="002B2DEE">
        <w:t>Develo</w:t>
      </w:r>
      <w:r w:rsidRPr="006B6B55">
        <w:t>p a landscape-scale fire management strategy which minimises the risk of extensive wildfire, whilst considering the ecological needs of the subspecies. For example:</w:t>
      </w:r>
    </w:p>
    <w:p w14:paraId="621F2ED9" w14:textId="77777777" w:rsidR="00F47322" w:rsidRPr="006B6B55" w:rsidRDefault="00F47322" w:rsidP="006B6B55">
      <w:pPr>
        <w:pStyle w:val="ListBullet2"/>
      </w:pPr>
      <w:r w:rsidRPr="006B6B55">
        <w:t>Ensure fire suppression strategies also consider impacts on the population or its habitat.</w:t>
      </w:r>
    </w:p>
    <w:p w14:paraId="61551C50" w14:textId="77777777" w:rsidR="00F47322" w:rsidRPr="006B6B55" w:rsidRDefault="00F47322" w:rsidP="006B6B55">
      <w:pPr>
        <w:pStyle w:val="ListBullet2"/>
      </w:pPr>
      <w:r w:rsidRPr="006B6B55">
        <w:t>Fire management activities to protect key sites and those identified as most at risk from wildfires should be prioritised.</w:t>
      </w:r>
    </w:p>
    <w:p w14:paraId="22A50563" w14:textId="0B1B9DCE" w:rsidR="00F47322" w:rsidRPr="006B6B55" w:rsidRDefault="00F47322" w:rsidP="006B6B55">
      <w:pPr>
        <w:pStyle w:val="ListBullet2"/>
      </w:pPr>
      <w:r w:rsidRPr="006B6B55">
        <w:t>Protect unburnt areas within or adjacent to recently burnt ground that may provide refuge, from planned burns, clearing and other disturbance until the burnt areas have recovered sufficiently to support the subspecies once again.</w:t>
      </w:r>
    </w:p>
    <w:p w14:paraId="67BD1657" w14:textId="7859B165" w:rsidR="00EE4E28" w:rsidRPr="006B6B55" w:rsidRDefault="00341EFC" w:rsidP="006B6B55">
      <w:pPr>
        <w:pStyle w:val="ListBullet"/>
      </w:pPr>
      <w:r w:rsidRPr="006B6B55">
        <w:t xml:space="preserve">Integrate the ecological needs </w:t>
      </w:r>
      <w:r w:rsidR="00D415DD" w:rsidRPr="006B6B55">
        <w:t>of</w:t>
      </w:r>
      <w:r w:rsidRPr="006B6B55">
        <w:t xml:space="preserve"> Eyre Peninsula </w:t>
      </w:r>
      <w:r w:rsidR="009C03F1" w:rsidRPr="006B6B55">
        <w:t>southern emu</w:t>
      </w:r>
      <w:r w:rsidRPr="006B6B55">
        <w:t>-wren into fire management plans for the region</w:t>
      </w:r>
      <w:r w:rsidR="00B94B9D" w:rsidRPr="006B6B55">
        <w:t>, such as a dense layer of low vegetation.</w:t>
      </w:r>
      <w:r w:rsidRPr="006B6B55">
        <w:t xml:space="preserve"> </w:t>
      </w:r>
      <w:r w:rsidR="00B94B9D" w:rsidRPr="006B6B55">
        <w:t>Where appropriate, extrapolate information from other southern emu-wren subspecies</w:t>
      </w:r>
      <w:r w:rsidRPr="006B6B55">
        <w:t xml:space="preserve"> (e.g., </w:t>
      </w:r>
      <w:hyperlink r:id="rId18" w:history="1">
        <w:r w:rsidR="00622BCB" w:rsidRPr="006B6B55">
          <w:rPr>
            <w:rStyle w:val="Hyperlink"/>
          </w:rPr>
          <w:t xml:space="preserve">Ecological </w:t>
        </w:r>
        <w:r w:rsidR="00175371" w:rsidRPr="006B6B55">
          <w:rPr>
            <w:rStyle w:val="Hyperlink"/>
          </w:rPr>
          <w:t xml:space="preserve">Fire Management Strategy for Mount Lofty </w:t>
        </w:r>
        <w:r w:rsidR="009C03F1" w:rsidRPr="006B6B55">
          <w:rPr>
            <w:rStyle w:val="Hyperlink"/>
          </w:rPr>
          <w:t>Ranges</w:t>
        </w:r>
        <w:r w:rsidR="00175371" w:rsidRPr="006B6B55">
          <w:rPr>
            <w:rStyle w:val="Hyperlink"/>
          </w:rPr>
          <w:t xml:space="preserve"> </w:t>
        </w:r>
        <w:r w:rsidR="009C03F1" w:rsidRPr="006B6B55">
          <w:rPr>
            <w:rStyle w:val="Hyperlink"/>
          </w:rPr>
          <w:t>southern emu</w:t>
        </w:r>
        <w:r w:rsidR="00175371" w:rsidRPr="006B6B55">
          <w:rPr>
            <w:rStyle w:val="Hyperlink"/>
          </w:rPr>
          <w:t>-wren</w:t>
        </w:r>
      </w:hyperlink>
      <w:r w:rsidR="00175371" w:rsidRPr="006B6B55">
        <w:t>).</w:t>
      </w:r>
    </w:p>
    <w:p w14:paraId="0CC6F002" w14:textId="04D8A3A5" w:rsidR="00985617" w:rsidRPr="006B6B55" w:rsidRDefault="00985617" w:rsidP="006B6B55">
      <w:pPr>
        <w:pStyle w:val="ListBullet"/>
      </w:pPr>
      <w:r w:rsidRPr="006B6B55">
        <w:t>Consider impacts of predation on the subspecies and implement control programs if subpopulations are likely to be significantly impacted by predation after fire.</w:t>
      </w:r>
    </w:p>
    <w:p w14:paraId="060A9835" w14:textId="18950630" w:rsidR="00985617" w:rsidRPr="006B6B55" w:rsidRDefault="00985617" w:rsidP="006B6B55">
      <w:pPr>
        <w:pStyle w:val="ListBullet"/>
      </w:pPr>
      <w:r w:rsidRPr="006B6B55">
        <w:t xml:space="preserve">Provide fire and land managers with maps of known locations of the species, and specific advice to support decision making in wildfire prevention, preparation, </w:t>
      </w:r>
      <w:proofErr w:type="gramStart"/>
      <w:r w:rsidRPr="006B6B55">
        <w:t>response</w:t>
      </w:r>
      <w:proofErr w:type="gramEnd"/>
      <w:r w:rsidRPr="006B6B55">
        <w:t xml:space="preserve"> and recovery.</w:t>
      </w:r>
    </w:p>
    <w:p w14:paraId="3A5FC65E" w14:textId="53922328" w:rsidR="002B6A3F" w:rsidRPr="006B6B55" w:rsidRDefault="00F2083E" w:rsidP="00CA1402">
      <w:pPr>
        <w:pStyle w:val="Heading4"/>
      </w:pPr>
      <w:r w:rsidRPr="006B6B55">
        <w:t>Land clearance</w:t>
      </w:r>
      <w:r w:rsidR="008A05A6" w:rsidRPr="006B6B55">
        <w:t>, i</w:t>
      </w:r>
      <w:r w:rsidR="00CA1402" w:rsidRPr="006B6B55">
        <w:t>nappropriate hydrological regimes (water extraction and swamp drainage)</w:t>
      </w:r>
      <w:r w:rsidR="008A05A6" w:rsidRPr="006B6B55">
        <w:t xml:space="preserve"> and grazing (livestock and wild herbivores)</w:t>
      </w:r>
    </w:p>
    <w:p w14:paraId="36C21C76" w14:textId="43FEEC62" w:rsidR="00EE4E28" w:rsidRPr="006B6B55" w:rsidRDefault="00971396" w:rsidP="006B6B55">
      <w:pPr>
        <w:pStyle w:val="ListBullet"/>
      </w:pPr>
      <w:r w:rsidRPr="006B6B55">
        <w:t xml:space="preserve">Avoid any further loss of habitat critical to the survival of the Eyre Peninsula </w:t>
      </w:r>
      <w:r w:rsidR="009C03F1" w:rsidRPr="006B6B55">
        <w:t>southern emu</w:t>
      </w:r>
      <w:r w:rsidRPr="006B6B55">
        <w:t>-wren.</w:t>
      </w:r>
    </w:p>
    <w:p w14:paraId="25BF33C2" w14:textId="6310E447" w:rsidR="00AD4F39" w:rsidRPr="006B6B55" w:rsidRDefault="00AD4F39" w:rsidP="006B6B55">
      <w:pPr>
        <w:pStyle w:val="ListBullet"/>
      </w:pPr>
      <w:r w:rsidRPr="006B6B55">
        <w:t>Undertake strategic restoration and management with the aim of increasing connectivity among subpopulations.</w:t>
      </w:r>
    </w:p>
    <w:p w14:paraId="701D7E38" w14:textId="77777777" w:rsidR="00CA1402" w:rsidRPr="006B6B55" w:rsidRDefault="00CA1402" w:rsidP="006B6B55">
      <w:pPr>
        <w:pStyle w:val="ListBullet"/>
      </w:pPr>
      <w:r w:rsidRPr="006B6B55">
        <w:t>Protect and enhance known habitat, including all known population sites, and the acquisition of additional sites for conservation.</w:t>
      </w:r>
    </w:p>
    <w:p w14:paraId="5C10BBC0" w14:textId="42DB5BC8" w:rsidR="008A05A6" w:rsidRPr="006B6B55" w:rsidRDefault="00556207" w:rsidP="006B6B55">
      <w:pPr>
        <w:pStyle w:val="ListBullet"/>
      </w:pPr>
      <w:r w:rsidRPr="006B6B55">
        <w:t>Link and expand sites and subpopulations through revegetation and grazing pressure management.</w:t>
      </w:r>
    </w:p>
    <w:p w14:paraId="13D9F036" w14:textId="2EFC3B00" w:rsidR="00F618F9" w:rsidRPr="006B6B55" w:rsidRDefault="00F618F9" w:rsidP="006B6B55">
      <w:pPr>
        <w:pStyle w:val="ListBullet"/>
      </w:pPr>
      <w:r w:rsidRPr="006B6B55">
        <w:t>Fence habitat being detrimentally impacted by livestock where appropriate.</w:t>
      </w:r>
    </w:p>
    <w:p w14:paraId="587292F5" w14:textId="77777777" w:rsidR="00F2083E" w:rsidRPr="006B6B55" w:rsidRDefault="00F2083E" w:rsidP="00F2083E">
      <w:pPr>
        <w:pStyle w:val="Heading4"/>
        <w:rPr>
          <w:lang w:eastAsia="en-AU"/>
        </w:rPr>
      </w:pPr>
      <w:r w:rsidRPr="006B6B55">
        <w:t xml:space="preserve">Demographic stochasticity </w:t>
      </w:r>
      <w:r w:rsidR="008F2811" w:rsidRPr="006B6B55">
        <w:t xml:space="preserve">and loss of genetic diversity </w:t>
      </w:r>
      <w:proofErr w:type="gramStart"/>
      <w:r w:rsidR="008F2811" w:rsidRPr="006B6B55">
        <w:t>as a result of</w:t>
      </w:r>
      <w:proofErr w:type="gramEnd"/>
      <w:r w:rsidR="008F2811" w:rsidRPr="006B6B55">
        <w:t xml:space="preserve"> small, isolated subpopulations</w:t>
      </w:r>
      <w:r w:rsidR="008F2811" w:rsidRPr="006B6B55">
        <w:rPr>
          <w:lang w:eastAsia="en-AU"/>
        </w:rPr>
        <w:t xml:space="preserve"> </w:t>
      </w:r>
    </w:p>
    <w:p w14:paraId="3D5C31ED" w14:textId="5BD36911" w:rsidR="00550245" w:rsidRPr="006B6B55" w:rsidRDefault="00550245" w:rsidP="006B6B55">
      <w:pPr>
        <w:pStyle w:val="ListBullet"/>
        <w:rPr>
          <w:lang w:eastAsia="en-AU"/>
        </w:rPr>
      </w:pPr>
      <w:r w:rsidRPr="006B6B55">
        <w:rPr>
          <w:lang w:eastAsia="en-AU"/>
        </w:rPr>
        <w:t>Consider translocation of individuals as a management tool to increase viability of smaller populations.</w:t>
      </w:r>
    </w:p>
    <w:p w14:paraId="69E16927" w14:textId="71E04689" w:rsidR="00550245" w:rsidRPr="006B6B55" w:rsidRDefault="00550245" w:rsidP="006B6B55">
      <w:pPr>
        <w:pStyle w:val="ListBullet"/>
        <w:rPr>
          <w:lang w:eastAsia="en-AU"/>
        </w:rPr>
      </w:pPr>
      <w:r w:rsidRPr="006B6B55">
        <w:rPr>
          <w:lang w:eastAsia="en-AU"/>
        </w:rPr>
        <w:t>If feasible, establish new populations in suitable habitat.</w:t>
      </w:r>
    </w:p>
    <w:p w14:paraId="39E6D4D9" w14:textId="77777777" w:rsidR="002B6A3F" w:rsidRPr="006B6B55" w:rsidRDefault="002B6A3F" w:rsidP="009E7A91">
      <w:pPr>
        <w:pStyle w:val="Heading3"/>
        <w:ind w:left="964" w:hanging="964"/>
      </w:pPr>
      <w:r w:rsidRPr="006B6B55">
        <w:lastRenderedPageBreak/>
        <w:t>Stakeholder engagement/community engagement</w:t>
      </w:r>
    </w:p>
    <w:p w14:paraId="77D00F92" w14:textId="77777777" w:rsidR="00E51F7D" w:rsidRPr="006B6B55" w:rsidRDefault="00E51F7D" w:rsidP="006B6B55">
      <w:pPr>
        <w:pStyle w:val="ListBullet"/>
      </w:pPr>
      <w:r w:rsidRPr="006B6B55">
        <w:t xml:space="preserve">Raise the profile of the subspecies and important habitats with landholders and local government </w:t>
      </w:r>
      <w:proofErr w:type="gramStart"/>
      <w:r w:rsidRPr="006B6B55">
        <w:t>stakeholders, and</w:t>
      </w:r>
      <w:proofErr w:type="gramEnd"/>
      <w:r w:rsidRPr="006B6B55">
        <w:t xml:space="preserve"> encourage their involvement in conservation actions.</w:t>
      </w:r>
    </w:p>
    <w:p w14:paraId="03F23DD8" w14:textId="61A823B6" w:rsidR="00E51F7D" w:rsidRPr="006B6B55" w:rsidRDefault="007D7E4A" w:rsidP="006B6B55">
      <w:pPr>
        <w:pStyle w:val="ListBullet"/>
      </w:pPr>
      <w:r w:rsidRPr="006B6B55">
        <w:t>Create a multi-stakeholder team</w:t>
      </w:r>
      <w:r w:rsidR="00C37AB5" w:rsidRPr="006B6B55">
        <w:t xml:space="preserve"> with the goal of threatened species conservation on Eyre Peninsula.</w:t>
      </w:r>
    </w:p>
    <w:p w14:paraId="7F3B26DC" w14:textId="77777777" w:rsidR="00E51F7D" w:rsidRPr="006B6B55" w:rsidRDefault="00E51F7D" w:rsidP="006B6B55">
      <w:pPr>
        <w:pStyle w:val="ListBullet"/>
      </w:pPr>
      <w:r w:rsidRPr="006B6B55">
        <w:t>Continue to generate awareness amongst landholder/land managers of potential impacts of livestock grazing, as well as legislative requirements.</w:t>
      </w:r>
    </w:p>
    <w:p w14:paraId="1B4ECA3F" w14:textId="77777777" w:rsidR="00E51F7D" w:rsidRPr="006B6B55" w:rsidRDefault="00E51F7D" w:rsidP="006B6B55">
      <w:pPr>
        <w:pStyle w:val="ListBullet"/>
      </w:pPr>
      <w:r w:rsidRPr="006B6B55">
        <w:t>Provide advice to managers regarding impacts and management options and facilitate installation of protective fencing where required to protect habitat from livestock.</w:t>
      </w:r>
    </w:p>
    <w:p w14:paraId="38B1A456" w14:textId="77777777" w:rsidR="00E51F7D" w:rsidRPr="006B6B55" w:rsidRDefault="00E51F7D" w:rsidP="006B6B55">
      <w:pPr>
        <w:pStyle w:val="ListBullet"/>
      </w:pPr>
      <w:r w:rsidRPr="006B6B55">
        <w:t>Engage the community in research, management, raising awareness and advocacy of the subspecies and important habitats.</w:t>
      </w:r>
    </w:p>
    <w:p w14:paraId="19A676DF" w14:textId="77777777" w:rsidR="002B6A3F" w:rsidRPr="006B6B55" w:rsidRDefault="002B6A3F" w:rsidP="009E7A91">
      <w:pPr>
        <w:pStyle w:val="Heading3"/>
        <w:ind w:left="964" w:hanging="964"/>
      </w:pPr>
      <w:r w:rsidRPr="006B6B55">
        <w:t xml:space="preserve">Survey and </w:t>
      </w:r>
      <w:r w:rsidR="009F08D5" w:rsidRPr="006B6B55">
        <w:t>m</w:t>
      </w:r>
      <w:r w:rsidRPr="006B6B55">
        <w:t>onitoring priorities</w:t>
      </w:r>
    </w:p>
    <w:p w14:paraId="33FF0564" w14:textId="77777777" w:rsidR="00820694" w:rsidRPr="006B6B55" w:rsidRDefault="00820694" w:rsidP="006B6B55">
      <w:pPr>
        <w:pStyle w:val="ListBullet"/>
        <w:rPr>
          <w:lang w:eastAsia="en-AU"/>
        </w:rPr>
      </w:pPr>
      <w:r w:rsidRPr="006B6B55">
        <w:rPr>
          <w:lang w:eastAsia="en-AU"/>
        </w:rPr>
        <w:t>Monitor, at suitable intervals, key factors to track recovery, including population size, breeding success and habitat condition and extent, and relate these to changes in the level of threats, and their management. For example:</w:t>
      </w:r>
    </w:p>
    <w:p w14:paraId="597EAAB0" w14:textId="77777777" w:rsidR="00820694" w:rsidRPr="006B6B55" w:rsidRDefault="00820694" w:rsidP="006B6B55">
      <w:pPr>
        <w:pStyle w:val="ListBullet2"/>
      </w:pPr>
      <w:r w:rsidRPr="006B6B55">
        <w:t>Continue to monitor bushfire-affected areas to assess the impact of wildfire on the subspecies.</w:t>
      </w:r>
    </w:p>
    <w:p w14:paraId="6B670836" w14:textId="77777777" w:rsidR="00820694" w:rsidRPr="006B6B55" w:rsidRDefault="00820694" w:rsidP="006B6B55">
      <w:pPr>
        <w:pStyle w:val="ListBullet2"/>
      </w:pPr>
      <w:r w:rsidRPr="006B6B55">
        <w:t xml:space="preserve">Undertake surveys to assess the effectiveness of the control program for </w:t>
      </w:r>
      <w:r w:rsidRPr="006B6B55">
        <w:rPr>
          <w:i/>
          <w:iCs/>
        </w:rPr>
        <w:t xml:space="preserve">P. </w:t>
      </w:r>
      <w:proofErr w:type="spellStart"/>
      <w:r w:rsidRPr="006B6B55">
        <w:rPr>
          <w:i/>
          <w:iCs/>
        </w:rPr>
        <w:t>cinnamomi</w:t>
      </w:r>
      <w:proofErr w:type="spellEnd"/>
      <w:r w:rsidRPr="006B6B55">
        <w:t xml:space="preserve"> in the region (Threat abatement plans (TAP) addressing the issue of dieback caused by </w:t>
      </w:r>
      <w:r w:rsidRPr="006B6B55">
        <w:rPr>
          <w:i/>
          <w:iCs/>
        </w:rPr>
        <w:t xml:space="preserve">P. </w:t>
      </w:r>
      <w:proofErr w:type="spellStart"/>
      <w:r w:rsidRPr="006B6B55">
        <w:rPr>
          <w:i/>
          <w:iCs/>
        </w:rPr>
        <w:t>cinnamomi</w:t>
      </w:r>
      <w:proofErr w:type="spellEnd"/>
      <w:r w:rsidRPr="006B6B55">
        <w:t xml:space="preserve"> was updated in 2018 (Commonwealth of Australia 2018b)) and incorporate new knowledge into management preventions.</w:t>
      </w:r>
    </w:p>
    <w:p w14:paraId="6AB2FD7F" w14:textId="3D5BA7E6" w:rsidR="00820694" w:rsidRPr="006B6B55" w:rsidRDefault="00820694" w:rsidP="006B6B55">
      <w:pPr>
        <w:pStyle w:val="ListBullet2"/>
      </w:pPr>
      <w:r w:rsidRPr="006B6B55">
        <w:t>Monitor for impacts of any extreme weather events on the subspecies.</w:t>
      </w:r>
    </w:p>
    <w:p w14:paraId="6FB3D0F8" w14:textId="2EE1614B" w:rsidR="00820694" w:rsidRPr="006B6B55" w:rsidRDefault="00820694" w:rsidP="006B6B55">
      <w:pPr>
        <w:pStyle w:val="ListBullet"/>
      </w:pPr>
      <w:r w:rsidRPr="006B6B55">
        <w:t>Report any illegal activities (</w:t>
      </w:r>
      <w:r w:rsidR="002D1A05" w:rsidRPr="006B6B55">
        <w:t>e.g.,</w:t>
      </w:r>
      <w:r w:rsidRPr="006B6B55">
        <w:t xml:space="preserve"> burning, grazing, and vegetation clearance).</w:t>
      </w:r>
    </w:p>
    <w:p w14:paraId="18B9CD09" w14:textId="77777777" w:rsidR="002B6A3F" w:rsidRDefault="002B6A3F" w:rsidP="009E7A91">
      <w:pPr>
        <w:pStyle w:val="Heading3"/>
        <w:ind w:left="964" w:hanging="964"/>
      </w:pPr>
      <w:r w:rsidRPr="006B6B55">
        <w:t xml:space="preserve">Information and </w:t>
      </w:r>
      <w:r w:rsidR="009F08D5" w:rsidRPr="006B6B55">
        <w:t>r</w:t>
      </w:r>
      <w:r w:rsidRPr="006B6B55">
        <w:t>esearch priorities</w:t>
      </w:r>
    </w:p>
    <w:p w14:paraId="381F57EA" w14:textId="77777777" w:rsidR="00362EC3" w:rsidRDefault="00D54BA6" w:rsidP="006B6B55">
      <w:pPr>
        <w:pStyle w:val="ListBullet"/>
      </w:pPr>
      <w:r w:rsidRPr="000A4CB4">
        <w:t>Use modelling techniques to investigate the potential impact of climate change and determine sensitivity and resilience to climate change and extreme climate events on the subspecies and their habitat critical for survival. For example, examine the likely reduction in inter-fire intervals and comparing that with the recovery times of populations, would be valuable.</w:t>
      </w:r>
    </w:p>
    <w:p w14:paraId="46142AEF" w14:textId="24FEB02D" w:rsidR="00D54BA6" w:rsidRDefault="00362EC3" w:rsidP="006B6B55">
      <w:pPr>
        <w:pStyle w:val="ListBullet"/>
      </w:pPr>
      <w:r>
        <w:t>Conduct metapopulation modelling and identify areas where connectivity could be restored between subpopulations.</w:t>
      </w:r>
      <w:r w:rsidR="28C08995">
        <w:t xml:space="preserve"> </w:t>
      </w:r>
    </w:p>
    <w:p w14:paraId="1025AB00" w14:textId="77777777" w:rsidR="00561CE5" w:rsidRPr="00811317" w:rsidRDefault="00561CE5" w:rsidP="006B6B55">
      <w:pPr>
        <w:pStyle w:val="ListBullet"/>
      </w:pPr>
      <w:r w:rsidRPr="00811317">
        <w:t xml:space="preserve">Improve knowledge of the impacts </w:t>
      </w:r>
      <w:r>
        <w:t xml:space="preserve">of </w:t>
      </w:r>
      <w:r w:rsidRPr="00811317">
        <w:t>fire on the subspecies</w:t>
      </w:r>
      <w:r>
        <w:t xml:space="preserve"> including ecology, behaviour</w:t>
      </w:r>
      <w:r w:rsidRPr="00811317">
        <w:t xml:space="preserve"> and their habitat, and their ability to re-colonise recently burnt areas.</w:t>
      </w:r>
      <w:r>
        <w:t xml:space="preserve"> This should be used to inform future management. </w:t>
      </w:r>
    </w:p>
    <w:p w14:paraId="484C1D9E" w14:textId="77777777" w:rsidR="00FA48E6" w:rsidRPr="00800CD8" w:rsidRDefault="00FA48E6" w:rsidP="006B6B55">
      <w:pPr>
        <w:pStyle w:val="ListBullet"/>
      </w:pPr>
      <w:r w:rsidRPr="00800CD8">
        <w:t xml:space="preserve">Determine genetic diversity and population genetics of the </w:t>
      </w:r>
      <w:r>
        <w:t xml:space="preserve">Eyre Peninsula </w:t>
      </w:r>
      <w:r w:rsidR="009C03F1">
        <w:t>southern emu</w:t>
      </w:r>
      <w:r w:rsidRPr="00800CD8">
        <w:t>-</w:t>
      </w:r>
      <w:proofErr w:type="gramStart"/>
      <w:r w:rsidRPr="00800CD8">
        <w:t>wren, and</w:t>
      </w:r>
      <w:proofErr w:type="gramEnd"/>
      <w:r w:rsidRPr="00800CD8">
        <w:t xml:space="preserve"> explore the potential for translocation and reconnection between populations.</w:t>
      </w:r>
    </w:p>
    <w:p w14:paraId="7FE7A124" w14:textId="665E7DE4" w:rsidR="00FA48E6" w:rsidRPr="00800CD8" w:rsidRDefault="48D710CD" w:rsidP="006B6B55">
      <w:pPr>
        <w:pStyle w:val="ListBullet"/>
      </w:pPr>
      <w:r w:rsidRPr="48D710CD">
        <w:t xml:space="preserve">Develop </w:t>
      </w:r>
      <w:r w:rsidR="00EB665E">
        <w:t>strategy and decision framework for undertaking post-fire rescue of birds</w:t>
      </w:r>
      <w:r w:rsidRPr="48D710CD">
        <w:t>, including where they can be moved to or temporarily housed.</w:t>
      </w:r>
      <w:r>
        <w:t xml:space="preserve"> </w:t>
      </w:r>
    </w:p>
    <w:p w14:paraId="12CA4E13" w14:textId="704DB9CC" w:rsidR="00473DF9" w:rsidRDefault="00FA48E6" w:rsidP="006B6B55">
      <w:pPr>
        <w:pStyle w:val="ListBullet"/>
      </w:pPr>
      <w:r w:rsidRPr="00800CD8">
        <w:lastRenderedPageBreak/>
        <w:t>Undertake further research to assess the impact of feral predators, and the effectiveness of the current control programs (TAP available for predation by feral cats (Commonwealth of Australia 2015b) and foxes (DEWHA 2008b)) and incorporate new knowledge into management interventions.</w:t>
      </w:r>
    </w:p>
    <w:p w14:paraId="64148182" w14:textId="77777777" w:rsidR="002B6A3F" w:rsidRDefault="002B6A3F" w:rsidP="00CC062B">
      <w:pPr>
        <w:pStyle w:val="Heading2"/>
        <w:ind w:left="720" w:hanging="720"/>
      </w:pPr>
      <w:r>
        <w:t>Links to relevant implementation documents</w:t>
      </w:r>
    </w:p>
    <w:p w14:paraId="2D89ECFC" w14:textId="77777777" w:rsidR="00CD3AAD" w:rsidRPr="009B3F9D" w:rsidRDefault="00505F46" w:rsidP="006B6B55">
      <w:pPr>
        <w:pStyle w:val="ListBullet"/>
        <w:rPr>
          <w:lang w:val="en-US"/>
        </w:rPr>
      </w:pPr>
      <w:hyperlink r:id="rId19" w:history="1">
        <w:r w:rsidR="00CD3AAD" w:rsidRPr="00414EAE">
          <w:rPr>
            <w:rStyle w:val="Hyperlink"/>
          </w:rPr>
          <w:t>Treat abatement plan for predation by feral cats</w:t>
        </w:r>
      </w:hyperlink>
      <w:r w:rsidR="00CD3AAD">
        <w:rPr>
          <w:lang w:val="en-US"/>
        </w:rPr>
        <w:t xml:space="preserve"> (</w:t>
      </w:r>
      <w:r w:rsidR="00CD3AAD" w:rsidRPr="002535E1">
        <w:t>Commonwealth</w:t>
      </w:r>
      <w:r w:rsidR="00CD3AAD">
        <w:rPr>
          <w:lang w:val="en-US"/>
        </w:rPr>
        <w:t xml:space="preserve"> of Australia 2015b).</w:t>
      </w:r>
    </w:p>
    <w:p w14:paraId="1F55515F" w14:textId="77777777" w:rsidR="00CD3AAD" w:rsidRPr="009B3F9D" w:rsidRDefault="00505F46" w:rsidP="006B6B55">
      <w:pPr>
        <w:pStyle w:val="ListBullet"/>
        <w:rPr>
          <w:lang w:val="en-US"/>
        </w:rPr>
      </w:pPr>
      <w:hyperlink r:id="rId20" w:history="1">
        <w:r w:rsidR="00CD3AAD" w:rsidRPr="00414EAE">
          <w:rPr>
            <w:rStyle w:val="Hyperlink"/>
          </w:rPr>
          <w:t>Threat abatement plan for disease in natural ecosystems caused by</w:t>
        </w:r>
        <w:r w:rsidR="00CD3AAD" w:rsidRPr="001A1C6D">
          <w:rPr>
            <w:rStyle w:val="Hyperlink"/>
            <w:i/>
          </w:rPr>
          <w:t xml:space="preserve"> Phytophthora </w:t>
        </w:r>
        <w:proofErr w:type="spellStart"/>
        <w:r w:rsidR="00CD3AAD" w:rsidRPr="001A1C6D">
          <w:rPr>
            <w:rStyle w:val="Hyperlink"/>
            <w:i/>
          </w:rPr>
          <w:t>cinnamomi</w:t>
        </w:r>
        <w:proofErr w:type="spellEnd"/>
      </w:hyperlink>
      <w:r w:rsidR="00CD3AAD" w:rsidRPr="003C12CD">
        <w:rPr>
          <w:i/>
          <w:iCs/>
          <w:lang w:val="en-US"/>
        </w:rPr>
        <w:t xml:space="preserve"> </w:t>
      </w:r>
      <w:r w:rsidR="00CD3AAD">
        <w:rPr>
          <w:lang w:val="en-US"/>
        </w:rPr>
        <w:t xml:space="preserve">(Commonwealth of </w:t>
      </w:r>
      <w:r w:rsidR="00CD3AAD" w:rsidRPr="002535E1">
        <w:t>Australia</w:t>
      </w:r>
      <w:r w:rsidR="00CD3AAD">
        <w:rPr>
          <w:lang w:val="en-US"/>
        </w:rPr>
        <w:t xml:space="preserve"> 2018b).</w:t>
      </w:r>
    </w:p>
    <w:p w14:paraId="271F6A7A" w14:textId="77777777" w:rsidR="00CD3AAD" w:rsidRDefault="00505F46" w:rsidP="006B6B55">
      <w:pPr>
        <w:pStyle w:val="ListBullet"/>
      </w:pPr>
      <w:hyperlink r:id="rId21" w:history="1">
        <w:r w:rsidR="00CD3AAD" w:rsidRPr="00414EAE">
          <w:rPr>
            <w:rStyle w:val="Hyperlink"/>
          </w:rPr>
          <w:t>Threat abatement plan for predation by the European red fox</w:t>
        </w:r>
      </w:hyperlink>
      <w:r w:rsidR="00CD3AAD">
        <w:rPr>
          <w:lang w:val="en-US"/>
        </w:rPr>
        <w:t xml:space="preserve"> (DEWHA </w:t>
      </w:r>
      <w:r w:rsidR="00CD3AAD" w:rsidRPr="002535E1">
        <w:t>2008b</w:t>
      </w:r>
      <w:r w:rsidR="00CD3AAD">
        <w:rPr>
          <w:lang w:val="en-US"/>
        </w:rPr>
        <w:t>).</w:t>
      </w:r>
    </w:p>
    <w:p w14:paraId="69A50AD6" w14:textId="42D6C367" w:rsidR="000B0257" w:rsidRDefault="00444AD8" w:rsidP="000B0257">
      <w:r>
        <w:t xml:space="preserve">This Conservation Advice </w:t>
      </w:r>
      <w:r w:rsidR="00382572">
        <w:t>is developed to</w:t>
      </w:r>
      <w:r w:rsidR="007706DF">
        <w:t xml:space="preserve"> be able to</w:t>
      </w:r>
      <w:r>
        <w:t xml:space="preserve"> subsequently inform other </w:t>
      </w:r>
      <w:r w:rsidR="00162F94">
        <w:t>planning instruments such as a Bioregional Plan</w:t>
      </w:r>
      <w:r w:rsidR="00A11FC7">
        <w:t xml:space="preserve"> or a multi-entity Conservation Plan</w:t>
      </w:r>
      <w:r w:rsidR="00E615F8">
        <w:t>.</w:t>
      </w:r>
    </w:p>
    <w:p w14:paraId="3B68E954" w14:textId="70B47D5C" w:rsidR="002319AB" w:rsidRDefault="002319AB" w:rsidP="002319AB">
      <w:pPr>
        <w:pStyle w:val="Heading2"/>
        <w:spacing w:before="120"/>
        <w:ind w:left="709" w:hanging="709"/>
      </w:pPr>
      <w:r>
        <w:t>Con</w:t>
      </w:r>
      <w:r>
        <w:rPr>
          <w:bCs w:val="0"/>
        </w:rPr>
        <w:t>se</w:t>
      </w:r>
      <w:r>
        <w:t>rva</w:t>
      </w:r>
      <w:r>
        <w:rPr>
          <w:bCs w:val="0"/>
        </w:rPr>
        <w:t>t</w:t>
      </w:r>
      <w:r>
        <w:t>io</w:t>
      </w:r>
      <w:r>
        <w:rPr>
          <w:bCs w:val="0"/>
        </w:rPr>
        <w:t>n</w:t>
      </w:r>
      <w:r>
        <w:t xml:space="preserve"> </w:t>
      </w:r>
      <w:r w:rsidR="00C2128B">
        <w:t>A</w:t>
      </w:r>
      <w:r>
        <w:t>dvi</w:t>
      </w:r>
      <w:r>
        <w:rPr>
          <w:bCs w:val="0"/>
        </w:rPr>
        <w:t>c</w:t>
      </w:r>
      <w:r>
        <w:t xml:space="preserve">e and </w:t>
      </w:r>
      <w:bookmarkEnd w:id="8"/>
      <w:bookmarkEnd w:id="9"/>
      <w:r w:rsidR="0012461E">
        <w:t>L</w:t>
      </w:r>
      <w:r>
        <w:t xml:space="preserve">isting </w:t>
      </w:r>
      <w:r w:rsidR="0012461E">
        <w:t>A</w:t>
      </w:r>
      <w:r>
        <w:t>ssessment references</w:t>
      </w:r>
    </w:p>
    <w:p w14:paraId="64F156EE" w14:textId="2E16443B" w:rsidR="00CB5C5C" w:rsidRDefault="00CB5C5C" w:rsidP="00CB5C5C">
      <w:pPr>
        <w:rPr>
          <w:lang w:val="en-US" w:eastAsia="ja-JP"/>
        </w:rPr>
      </w:pPr>
      <w:r>
        <w:rPr>
          <w:lang w:val="en-US" w:eastAsia="ja-JP"/>
        </w:rPr>
        <w:t xml:space="preserve">AECOM (2020) </w:t>
      </w:r>
      <w:r>
        <w:rPr>
          <w:i/>
          <w:iCs/>
          <w:lang w:val="en-US" w:eastAsia="ja-JP"/>
        </w:rPr>
        <w:t>Whalers Way Orbital Launch Complex: Terrestrial Biodiversity Technical Report</w:t>
      </w:r>
      <w:r>
        <w:rPr>
          <w:lang w:val="en-US" w:eastAsia="ja-JP"/>
        </w:rPr>
        <w:t>. Report prepared for Southern Launch, Adelaide.</w:t>
      </w:r>
    </w:p>
    <w:p w14:paraId="27444594" w14:textId="29AB1481" w:rsidR="002576BB" w:rsidRPr="002576BB" w:rsidRDefault="002576BB" w:rsidP="00CB5C5C">
      <w:r w:rsidRPr="00544CEF">
        <w:rPr>
          <w:shd w:val="clear" w:color="auto" w:fill="FFFFFF"/>
        </w:rPr>
        <w:t xml:space="preserve">Bachman S, Moat J, Hill AW, de la Torre J &amp; Scott B (2011) Supporting Red List threat assessments with </w:t>
      </w:r>
      <w:proofErr w:type="spellStart"/>
      <w:r w:rsidRPr="00544CEF">
        <w:rPr>
          <w:shd w:val="clear" w:color="auto" w:fill="FFFFFF"/>
        </w:rPr>
        <w:t>GeoCAT</w:t>
      </w:r>
      <w:proofErr w:type="spellEnd"/>
      <w:r w:rsidRPr="00544CEF">
        <w:rPr>
          <w:shd w:val="clear" w:color="auto" w:fill="FFFFFF"/>
        </w:rPr>
        <w:t>: geospatial conservation assessment tool. Viewed 22 March 2022 Available at: </w:t>
      </w:r>
      <w:hyperlink r:id="rId22" w:history="1">
        <w:r w:rsidRPr="00DA7B6A">
          <w:rPr>
            <w:rStyle w:val="Hyperlink"/>
          </w:rPr>
          <w:t>http://geocat.kew.org/editor</w:t>
        </w:r>
      </w:hyperlink>
      <w:r>
        <w:t>.</w:t>
      </w:r>
    </w:p>
    <w:p w14:paraId="0280D4D7" w14:textId="5C3E8140" w:rsidR="002B44B0" w:rsidRDefault="002B44B0" w:rsidP="00CC56F3">
      <w:pPr>
        <w:rPr>
          <w:lang w:val="en-US" w:eastAsia="ja-JP"/>
        </w:rPr>
      </w:pPr>
      <w:r w:rsidRPr="002B44B0">
        <w:rPr>
          <w:lang w:val="en-US" w:eastAsia="ja-JP"/>
        </w:rPr>
        <w:t xml:space="preserve">Bird JP, Martin R, </w:t>
      </w:r>
      <w:proofErr w:type="spellStart"/>
      <w:r w:rsidRPr="002B44B0">
        <w:rPr>
          <w:lang w:val="en-US" w:eastAsia="ja-JP"/>
        </w:rPr>
        <w:t>Akçakaya</w:t>
      </w:r>
      <w:proofErr w:type="spellEnd"/>
      <w:r w:rsidRPr="002B44B0">
        <w:rPr>
          <w:lang w:val="en-US" w:eastAsia="ja-JP"/>
        </w:rPr>
        <w:t xml:space="preserve"> HR, Gilroy J, Burfield IJ, Garnett ST, Symes A, Taylor J, </w:t>
      </w:r>
      <w:proofErr w:type="spellStart"/>
      <w:r w:rsidRPr="002B44B0">
        <w:rPr>
          <w:lang w:val="en-US" w:eastAsia="ja-JP"/>
        </w:rPr>
        <w:t>Şekercioğlu</w:t>
      </w:r>
      <w:proofErr w:type="spellEnd"/>
      <w:r w:rsidRPr="002B44B0">
        <w:rPr>
          <w:lang w:val="en-US" w:eastAsia="ja-JP"/>
        </w:rPr>
        <w:t xml:space="preserve"> ÇH, Butchart SHM (2020) Generation lengths of the world's birds and their implications for extinction risk. </w:t>
      </w:r>
      <w:r w:rsidRPr="002B44B0">
        <w:rPr>
          <w:i/>
          <w:iCs/>
          <w:lang w:val="en-US" w:eastAsia="ja-JP"/>
        </w:rPr>
        <w:t>Conservation Biology</w:t>
      </w:r>
      <w:r w:rsidRPr="002B44B0">
        <w:rPr>
          <w:lang w:val="en-US" w:eastAsia="ja-JP"/>
        </w:rPr>
        <w:t xml:space="preserve"> 34, 1252–1261.</w:t>
      </w:r>
    </w:p>
    <w:p w14:paraId="39801666" w14:textId="0889FD0F" w:rsidR="000A784D" w:rsidRPr="000A784D" w:rsidRDefault="000A784D" w:rsidP="00CC56F3">
      <w:r w:rsidRPr="00722409">
        <w:t xml:space="preserve">BOM &amp; CSIRO </w:t>
      </w:r>
      <w:r>
        <w:rPr>
          <w:bCs/>
        </w:rPr>
        <w:t>(</w:t>
      </w:r>
      <w:r w:rsidRPr="00722409">
        <w:t>20</w:t>
      </w:r>
      <w:r>
        <w:t>20</w:t>
      </w:r>
      <w:r>
        <w:rPr>
          <w:bCs/>
        </w:rPr>
        <w:t>)</w:t>
      </w:r>
      <w:r w:rsidRPr="00722409">
        <w:t xml:space="preserve"> </w:t>
      </w:r>
      <w:r w:rsidRPr="00722409">
        <w:rPr>
          <w:i/>
          <w:iCs/>
        </w:rPr>
        <w:t>State of the Climate 20</w:t>
      </w:r>
      <w:r>
        <w:rPr>
          <w:i/>
          <w:iCs/>
        </w:rPr>
        <w:t>20</w:t>
      </w:r>
      <w:r w:rsidRPr="00722409">
        <w:t>. CSIRO</w:t>
      </w:r>
      <w:r>
        <w:t>, Acton</w:t>
      </w:r>
      <w:r w:rsidRPr="00722409">
        <w:t>.</w:t>
      </w:r>
    </w:p>
    <w:p w14:paraId="6353E458" w14:textId="77777777" w:rsidR="00094DF5" w:rsidRDefault="00094DF5" w:rsidP="00094DF5">
      <w:pPr>
        <w:rPr>
          <w:lang w:val="en-US"/>
        </w:rPr>
      </w:pPr>
      <w:proofErr w:type="spellStart"/>
      <w:r>
        <w:rPr>
          <w:color w:val="000000"/>
        </w:rPr>
        <w:t>Caughley</w:t>
      </w:r>
      <w:proofErr w:type="spellEnd"/>
      <w:r>
        <w:rPr>
          <w:color w:val="000000"/>
        </w:rPr>
        <w:t xml:space="preserve"> J, </w:t>
      </w:r>
      <w:proofErr w:type="spellStart"/>
      <w:r>
        <w:rPr>
          <w:color w:val="000000"/>
        </w:rPr>
        <w:t>Comford</w:t>
      </w:r>
      <w:proofErr w:type="spellEnd"/>
      <w:r>
        <w:rPr>
          <w:color w:val="000000"/>
        </w:rPr>
        <w:t xml:space="preserve"> M, Parker B, Sinclair R, Griffiths J &amp; Kelly D (1998) </w:t>
      </w:r>
      <w:r>
        <w:rPr>
          <w:i/>
          <w:iCs/>
          <w:color w:val="000000"/>
        </w:rPr>
        <w:t>Managing Vertebrate Pests: Rodents. B</w:t>
      </w:r>
      <w:r>
        <w:rPr>
          <w:color w:val="000000"/>
        </w:rPr>
        <w:t>ureau of Resource Sciences, Canberra</w:t>
      </w:r>
      <w:r>
        <w:rPr>
          <w:i/>
          <w:iCs/>
          <w:color w:val="000000"/>
        </w:rPr>
        <w:t>.</w:t>
      </w:r>
    </w:p>
    <w:p w14:paraId="246BFCC1" w14:textId="77777777" w:rsidR="00094DF5" w:rsidRPr="002D607C" w:rsidRDefault="00094DF5" w:rsidP="00094DF5">
      <w:pPr>
        <w:rPr>
          <w:rFonts w:eastAsia="Times New Roman" w:cs="Times New Roman"/>
          <w:lang w:val="en-US"/>
        </w:rPr>
      </w:pPr>
      <w:r>
        <w:rPr>
          <w:lang w:val="en-US"/>
        </w:rPr>
        <w:t xml:space="preserve">Commonwealth of Australia (2015a) </w:t>
      </w:r>
      <w:r>
        <w:rPr>
          <w:i/>
          <w:iCs/>
          <w:lang w:val="en-US"/>
        </w:rPr>
        <w:t>Background document for the Treat abatement plan for predation by feral cats</w:t>
      </w:r>
      <w:r>
        <w:rPr>
          <w:lang w:val="en-US"/>
        </w:rPr>
        <w:t>. Department of Environment and Energy, Canberra.</w:t>
      </w:r>
    </w:p>
    <w:p w14:paraId="41F4B1C0" w14:textId="52E2C26E" w:rsidR="00094DF5" w:rsidRDefault="00094DF5" w:rsidP="00CC56F3">
      <w:pPr>
        <w:rPr>
          <w:lang w:val="en-US"/>
        </w:rPr>
      </w:pPr>
      <w:r>
        <w:rPr>
          <w:lang w:val="en-US"/>
        </w:rPr>
        <w:t>Commonwealth of Australia (</w:t>
      </w:r>
      <w:r w:rsidRPr="00F8159C">
        <w:rPr>
          <w:lang w:val="en-US"/>
        </w:rPr>
        <w:t xml:space="preserve">2015b) </w:t>
      </w:r>
      <w:r w:rsidRPr="00F8159C">
        <w:rPr>
          <w:i/>
          <w:iCs/>
          <w:lang w:val="en-US"/>
        </w:rPr>
        <w:t>Treat abatement plan for predation by feral cats</w:t>
      </w:r>
      <w:r w:rsidRPr="00F8159C">
        <w:rPr>
          <w:lang w:val="en-US"/>
        </w:rPr>
        <w:t>. Department of Environment and Energy, Canberra.</w:t>
      </w:r>
    </w:p>
    <w:p w14:paraId="0D75FD77" w14:textId="77777777" w:rsidR="00E41B37" w:rsidRPr="00F8159C" w:rsidRDefault="00E41B37" w:rsidP="00E41B37">
      <w:pPr>
        <w:rPr>
          <w:lang w:val="en-US"/>
        </w:rPr>
      </w:pPr>
      <w:r w:rsidRPr="00F8159C">
        <w:rPr>
          <w:lang w:val="en-US"/>
        </w:rPr>
        <w:t xml:space="preserve">Commonwealth of Australia (2018a) </w:t>
      </w:r>
      <w:r w:rsidRPr="00F8159C">
        <w:rPr>
          <w:i/>
          <w:iCs/>
          <w:lang w:val="en-US"/>
        </w:rPr>
        <w:t xml:space="preserve">Background document: Threat abatement plan for disease in natural ecosystems caused by Phytophthora </w:t>
      </w:r>
      <w:proofErr w:type="spellStart"/>
      <w:r w:rsidRPr="00F8159C">
        <w:rPr>
          <w:i/>
          <w:iCs/>
          <w:lang w:val="en-US"/>
        </w:rPr>
        <w:t>cinnamomi</w:t>
      </w:r>
      <w:proofErr w:type="spellEnd"/>
      <w:r w:rsidRPr="00F8159C">
        <w:rPr>
          <w:lang w:val="en-US"/>
        </w:rPr>
        <w:t>. Department of the Environment and Energy, Canberra.</w:t>
      </w:r>
    </w:p>
    <w:p w14:paraId="6049E228" w14:textId="12422ACA" w:rsidR="00E41B37" w:rsidRDefault="00E41B37" w:rsidP="00CC56F3">
      <w:pPr>
        <w:rPr>
          <w:lang w:val="en-US"/>
        </w:rPr>
      </w:pPr>
      <w:r w:rsidRPr="00F8159C">
        <w:rPr>
          <w:lang w:val="en-US"/>
        </w:rPr>
        <w:t xml:space="preserve">Commonwealth of Australia (2018b) </w:t>
      </w:r>
      <w:r w:rsidRPr="00F8159C">
        <w:rPr>
          <w:i/>
          <w:iCs/>
          <w:lang w:val="en-US"/>
        </w:rPr>
        <w:t xml:space="preserve">Threat abatement plan for disease in natural ecosystems caused by Phytophthora </w:t>
      </w:r>
      <w:proofErr w:type="spellStart"/>
      <w:r w:rsidRPr="00F8159C">
        <w:rPr>
          <w:i/>
          <w:iCs/>
          <w:lang w:val="en-US"/>
        </w:rPr>
        <w:t>cinnamomi</w:t>
      </w:r>
      <w:proofErr w:type="spellEnd"/>
      <w:r w:rsidRPr="00F8159C">
        <w:rPr>
          <w:lang w:val="en-US"/>
        </w:rPr>
        <w:t>. Department of the Environment and Energy, Canberra.</w:t>
      </w:r>
    </w:p>
    <w:p w14:paraId="0F7036E4" w14:textId="2BAAB892" w:rsidR="00FE6E27" w:rsidRPr="00FE6E27" w:rsidRDefault="00FE6E27" w:rsidP="00CC56F3">
      <w:pPr>
        <w:rPr>
          <w:lang w:val="en-US"/>
        </w:rPr>
      </w:pPr>
      <w:r>
        <w:rPr>
          <w:lang w:val="en-US"/>
        </w:rPr>
        <w:t xml:space="preserve">Commonwealth of Australia (2020) </w:t>
      </w:r>
      <w:r>
        <w:rPr>
          <w:i/>
          <w:iCs/>
          <w:lang w:val="en-US"/>
        </w:rPr>
        <w:t>National Light Pollution Guidelines for Wildlife Including Marine Turtles, Seabirds and Migratory Shorebirds</w:t>
      </w:r>
      <w:r>
        <w:rPr>
          <w:lang w:val="en-US"/>
        </w:rPr>
        <w:t xml:space="preserve">. Department of the Environment and Energy, Canberra. </w:t>
      </w:r>
    </w:p>
    <w:p w14:paraId="4D95CE47" w14:textId="77777777" w:rsidR="00E3707C" w:rsidRPr="00F8159C" w:rsidRDefault="00E3707C" w:rsidP="00E3707C">
      <w:pPr>
        <w:rPr>
          <w:lang w:val="en-US"/>
        </w:rPr>
      </w:pPr>
      <w:r w:rsidRPr="00F8159C">
        <w:rPr>
          <w:lang w:val="en-US"/>
        </w:rPr>
        <w:lastRenderedPageBreak/>
        <w:t xml:space="preserve">Department of the Environment, Water, </w:t>
      </w:r>
      <w:proofErr w:type="gramStart"/>
      <w:r w:rsidRPr="00F8159C">
        <w:rPr>
          <w:lang w:val="en-US"/>
        </w:rPr>
        <w:t>Heritage</w:t>
      </w:r>
      <w:proofErr w:type="gramEnd"/>
      <w:r w:rsidRPr="00F8159C">
        <w:rPr>
          <w:lang w:val="en-US"/>
        </w:rPr>
        <w:t xml:space="preserve"> and the Arts (DEWHA) (2008a) </w:t>
      </w:r>
      <w:r w:rsidRPr="00F8159C">
        <w:rPr>
          <w:i/>
          <w:iCs/>
          <w:lang w:val="en-US"/>
        </w:rPr>
        <w:t>Background document for the threat abatement plan for predation by the European red fox</w:t>
      </w:r>
      <w:r w:rsidRPr="00F8159C">
        <w:rPr>
          <w:lang w:val="en-US"/>
        </w:rPr>
        <w:t>. DEWHA, Canberra.</w:t>
      </w:r>
    </w:p>
    <w:p w14:paraId="236750DC" w14:textId="34205C48" w:rsidR="00E3707C" w:rsidRDefault="00E3707C" w:rsidP="00CC56F3">
      <w:pPr>
        <w:rPr>
          <w:lang w:val="en-US"/>
        </w:rPr>
      </w:pPr>
      <w:r w:rsidRPr="00F8159C">
        <w:rPr>
          <w:lang w:val="en-US"/>
        </w:rPr>
        <w:t xml:space="preserve">DEWHA (2008b) </w:t>
      </w:r>
      <w:r w:rsidRPr="00F8159C">
        <w:rPr>
          <w:i/>
          <w:iCs/>
          <w:lang w:val="en-US"/>
        </w:rPr>
        <w:t>Threat abatement plan for predation by the European red fox</w:t>
      </w:r>
      <w:r w:rsidRPr="00F8159C">
        <w:rPr>
          <w:lang w:val="en-US"/>
        </w:rPr>
        <w:t>. DEWHA, Canberra.</w:t>
      </w:r>
    </w:p>
    <w:p w14:paraId="11218D5A" w14:textId="36CFAC80" w:rsidR="00DF4679" w:rsidRDefault="00DF4679" w:rsidP="00CC56F3">
      <w:pPr>
        <w:rPr>
          <w:lang w:val="en-US" w:eastAsia="ja-JP"/>
        </w:rPr>
      </w:pPr>
      <w:r w:rsidRPr="00DF4679">
        <w:rPr>
          <w:lang w:val="en-US" w:eastAsia="ja-JP"/>
        </w:rPr>
        <w:t xml:space="preserve">Department of Environment, Water and Natural Resources (DEWNR) (2015) </w:t>
      </w:r>
      <w:r w:rsidRPr="00DF4679">
        <w:rPr>
          <w:i/>
          <w:iCs/>
          <w:lang w:val="en-US" w:eastAsia="ja-JP"/>
        </w:rPr>
        <w:t xml:space="preserve">Draft Recovery Plan for the </w:t>
      </w:r>
      <w:r w:rsidR="00C0355C">
        <w:rPr>
          <w:i/>
          <w:iCs/>
          <w:lang w:val="en-US" w:eastAsia="ja-JP"/>
        </w:rPr>
        <w:t>Southern Emu-wren</w:t>
      </w:r>
      <w:r w:rsidRPr="00DF4679">
        <w:rPr>
          <w:i/>
          <w:iCs/>
          <w:lang w:val="en-US" w:eastAsia="ja-JP"/>
        </w:rPr>
        <w:t xml:space="preserve"> (Eyre Peninsula) </w:t>
      </w:r>
      <w:proofErr w:type="spellStart"/>
      <w:r w:rsidRPr="00DF4679">
        <w:rPr>
          <w:i/>
          <w:iCs/>
          <w:lang w:val="en-US" w:eastAsia="ja-JP"/>
        </w:rPr>
        <w:t>Stipiturus</w:t>
      </w:r>
      <w:proofErr w:type="spellEnd"/>
      <w:r w:rsidRPr="00DF4679">
        <w:rPr>
          <w:i/>
          <w:iCs/>
          <w:lang w:val="en-US" w:eastAsia="ja-JP"/>
        </w:rPr>
        <w:t xml:space="preserve"> </w:t>
      </w:r>
      <w:proofErr w:type="spellStart"/>
      <w:r w:rsidRPr="00DF4679">
        <w:rPr>
          <w:i/>
          <w:iCs/>
          <w:lang w:val="en-US" w:eastAsia="ja-JP"/>
        </w:rPr>
        <w:t>malachurus</w:t>
      </w:r>
      <w:proofErr w:type="spellEnd"/>
      <w:r w:rsidRPr="00DF4679">
        <w:rPr>
          <w:i/>
          <w:iCs/>
          <w:lang w:val="en-US" w:eastAsia="ja-JP"/>
        </w:rPr>
        <w:t xml:space="preserve"> </w:t>
      </w:r>
      <w:proofErr w:type="spellStart"/>
      <w:r w:rsidRPr="00DF4679">
        <w:rPr>
          <w:i/>
          <w:iCs/>
          <w:lang w:val="en-US" w:eastAsia="ja-JP"/>
        </w:rPr>
        <w:t>parimeda</w:t>
      </w:r>
      <w:proofErr w:type="spellEnd"/>
      <w:r w:rsidRPr="00DF4679">
        <w:rPr>
          <w:i/>
          <w:iCs/>
          <w:lang w:val="en-US" w:eastAsia="ja-JP"/>
        </w:rPr>
        <w:t xml:space="preserve"> 2015-2020.</w:t>
      </w:r>
      <w:r w:rsidRPr="00DF4679">
        <w:rPr>
          <w:lang w:val="en-US" w:eastAsia="ja-JP"/>
        </w:rPr>
        <w:t xml:space="preserve"> South Australian Government, Adelaide.</w:t>
      </w:r>
    </w:p>
    <w:p w14:paraId="626A7824" w14:textId="37821CC4" w:rsidR="00505DED" w:rsidRDefault="00505DED" w:rsidP="00505DED">
      <w:bookmarkStart w:id="13" w:name="_Hlk60912247"/>
      <w:r>
        <w:t xml:space="preserve">Di Virgilio G, Evans JP, Blake SAP, Armstrong M, Dowdy AJ, Sharples J &amp; McRae R (2019) Climate change increases the potential for extreme wildfires. </w:t>
      </w:r>
      <w:r w:rsidRPr="00C4495C">
        <w:rPr>
          <w:i/>
          <w:iCs/>
        </w:rPr>
        <w:t>Geophysical Research Letters</w:t>
      </w:r>
      <w:r>
        <w:t xml:space="preserve"> 46, 8517-8526.</w:t>
      </w:r>
    </w:p>
    <w:p w14:paraId="15966CFD" w14:textId="6023302B" w:rsidR="00552885" w:rsidRDefault="00552885" w:rsidP="00505DED">
      <w:r>
        <w:t xml:space="preserve">Dooling RJ &amp; Popper AN (2007) </w:t>
      </w:r>
      <w:r w:rsidRPr="00552885">
        <w:rPr>
          <w:i/>
          <w:iCs/>
        </w:rPr>
        <w:t>The Effects of Highway Noise on Birds</w:t>
      </w:r>
      <w:r>
        <w:t xml:space="preserve">. Prepared for the California Department of Transportation, </w:t>
      </w:r>
      <w:proofErr w:type="spellStart"/>
      <w:r>
        <w:t>Sacremento</w:t>
      </w:r>
      <w:proofErr w:type="spellEnd"/>
      <w:r>
        <w:t>.</w:t>
      </w:r>
    </w:p>
    <w:p w14:paraId="58196CA9" w14:textId="0138E878" w:rsidR="00505DED" w:rsidRDefault="00505DED" w:rsidP="00CC56F3">
      <w:pPr>
        <w:rPr>
          <w:lang w:val="en-US"/>
        </w:rPr>
      </w:pPr>
      <w:r w:rsidRPr="00A465EB">
        <w:rPr>
          <w:lang w:val="en-US"/>
        </w:rPr>
        <w:t xml:space="preserve">Dowdy AJ, Ye H, </w:t>
      </w:r>
      <w:proofErr w:type="spellStart"/>
      <w:r w:rsidRPr="00A465EB">
        <w:rPr>
          <w:lang w:val="en-US"/>
        </w:rPr>
        <w:t>Pepler</w:t>
      </w:r>
      <w:proofErr w:type="spellEnd"/>
      <w:r w:rsidRPr="00A465EB">
        <w:rPr>
          <w:lang w:val="en-US"/>
        </w:rPr>
        <w:t xml:space="preserve"> A, Thatcher M, </w:t>
      </w:r>
      <w:proofErr w:type="spellStart"/>
      <w:r w:rsidRPr="00A465EB">
        <w:rPr>
          <w:lang w:val="en-US"/>
        </w:rPr>
        <w:t>Osbrough</w:t>
      </w:r>
      <w:proofErr w:type="spellEnd"/>
      <w:r w:rsidRPr="00A465EB">
        <w:rPr>
          <w:lang w:val="en-US"/>
        </w:rPr>
        <w:t xml:space="preserve"> SL, Evans JP, Di Virgilio G, McCarthy N (2019) Future changes in extreme weather and </w:t>
      </w:r>
      <w:r w:rsidR="00552885" w:rsidRPr="00A465EB">
        <w:rPr>
          <w:lang w:val="en-US"/>
        </w:rPr>
        <w:t>pyro convection</w:t>
      </w:r>
      <w:r w:rsidRPr="00A465EB">
        <w:rPr>
          <w:lang w:val="en-US"/>
        </w:rPr>
        <w:t xml:space="preserve"> risk factors for Australian wildfires. </w:t>
      </w:r>
      <w:r w:rsidRPr="00A465EB">
        <w:rPr>
          <w:i/>
          <w:lang w:val="en-US"/>
        </w:rPr>
        <w:t>Scientific Reports</w:t>
      </w:r>
      <w:r w:rsidRPr="00A465EB">
        <w:rPr>
          <w:lang w:val="en-US"/>
        </w:rPr>
        <w:t xml:space="preserve"> 9, 10073.</w:t>
      </w:r>
      <w:bookmarkEnd w:id="13"/>
    </w:p>
    <w:p w14:paraId="56F62519" w14:textId="6C4727DA" w:rsidR="006245FC" w:rsidRDefault="006245FC" w:rsidP="006245FC">
      <w:pPr>
        <w:rPr>
          <w:lang w:eastAsia="en-AU"/>
        </w:rPr>
      </w:pPr>
      <w:bookmarkStart w:id="14" w:name="_Hlk82770591"/>
      <w:r w:rsidRPr="003D7BA7">
        <w:rPr>
          <w:lang w:eastAsia="en-AU"/>
        </w:rPr>
        <w:t xml:space="preserve">Evans JP, </w:t>
      </w:r>
      <w:proofErr w:type="spellStart"/>
      <w:r w:rsidRPr="003D7BA7">
        <w:rPr>
          <w:lang w:eastAsia="en-AU"/>
        </w:rPr>
        <w:t>Argueso</w:t>
      </w:r>
      <w:proofErr w:type="spellEnd"/>
      <w:r w:rsidRPr="003D7BA7">
        <w:rPr>
          <w:lang w:eastAsia="en-AU"/>
        </w:rPr>
        <w:t xml:space="preserve"> D, Olson R &amp; Di Luca A (2017) Bias‐corrected regional climate projections of extreme rainfall in south‐east Australia. </w:t>
      </w:r>
      <w:r w:rsidRPr="003D7BA7">
        <w:rPr>
          <w:i/>
          <w:iCs/>
          <w:lang w:eastAsia="en-AU"/>
        </w:rPr>
        <w:t>Theoretical and Applied Climatology</w:t>
      </w:r>
      <w:r w:rsidRPr="003D7BA7">
        <w:rPr>
          <w:lang w:eastAsia="en-AU"/>
        </w:rPr>
        <w:t xml:space="preserve"> 130, 1085–1098.</w:t>
      </w:r>
      <w:bookmarkEnd w:id="14"/>
    </w:p>
    <w:p w14:paraId="4994CD26" w14:textId="4335228B" w:rsidR="00403BD2" w:rsidRDefault="00403BD2" w:rsidP="006245FC">
      <w:pPr>
        <w:rPr>
          <w:lang w:val="en-US"/>
        </w:rPr>
      </w:pPr>
      <w:r w:rsidRPr="00F8159C">
        <w:rPr>
          <w:lang w:val="en-US"/>
        </w:rPr>
        <w:t>Fletcher JA (1915) Further Field Notes on the Emu-Wren (</w:t>
      </w:r>
      <w:proofErr w:type="spellStart"/>
      <w:r w:rsidRPr="00F8159C">
        <w:rPr>
          <w:i/>
          <w:iCs/>
          <w:lang w:val="en-US"/>
        </w:rPr>
        <w:t>Stipiturus</w:t>
      </w:r>
      <w:proofErr w:type="spellEnd"/>
      <w:r w:rsidRPr="00F8159C">
        <w:rPr>
          <w:i/>
          <w:iCs/>
          <w:lang w:val="en-US"/>
        </w:rPr>
        <w:t xml:space="preserve"> </w:t>
      </w:r>
      <w:proofErr w:type="spellStart"/>
      <w:r w:rsidRPr="00F8159C">
        <w:rPr>
          <w:i/>
          <w:iCs/>
          <w:lang w:val="en-US"/>
        </w:rPr>
        <w:t>malachurus</w:t>
      </w:r>
      <w:proofErr w:type="spellEnd"/>
      <w:r w:rsidRPr="00F8159C">
        <w:rPr>
          <w:lang w:val="en-US"/>
        </w:rPr>
        <w:t xml:space="preserve">). </w:t>
      </w:r>
      <w:r w:rsidRPr="00F8159C">
        <w:rPr>
          <w:i/>
          <w:iCs/>
          <w:lang w:val="en-US"/>
        </w:rPr>
        <w:t xml:space="preserve"> Emu </w:t>
      </w:r>
      <w:r w:rsidRPr="00F8159C">
        <w:rPr>
          <w:lang w:val="en-US"/>
        </w:rPr>
        <w:t>14, 4, 213-217.</w:t>
      </w:r>
    </w:p>
    <w:p w14:paraId="065B31C5" w14:textId="6D93810C" w:rsidR="001B0D22" w:rsidRDefault="007946A3" w:rsidP="00CC56F3">
      <w:pPr>
        <w:rPr>
          <w:lang w:val="en-US"/>
        </w:rPr>
      </w:pPr>
      <w:r w:rsidRPr="00F8159C">
        <w:rPr>
          <w:lang w:val="en-US"/>
        </w:rPr>
        <w:t xml:space="preserve">Frankham R, Ballou JD &amp; Briscoe DA (2002) </w:t>
      </w:r>
      <w:r w:rsidRPr="00F8159C">
        <w:rPr>
          <w:i/>
          <w:iCs/>
          <w:lang w:val="en-US"/>
        </w:rPr>
        <w:t>Introduction</w:t>
      </w:r>
      <w:r>
        <w:rPr>
          <w:i/>
          <w:iCs/>
          <w:lang w:val="en-US"/>
        </w:rPr>
        <w:t xml:space="preserve"> to Conservation Genetics</w:t>
      </w:r>
      <w:r>
        <w:rPr>
          <w:lang w:val="en-US"/>
        </w:rPr>
        <w:t>. Cambridge University Press, New York.</w:t>
      </w:r>
    </w:p>
    <w:p w14:paraId="572FE8F4" w14:textId="7691649A" w:rsidR="00054A0F" w:rsidRDefault="00054A0F" w:rsidP="00054A0F">
      <w:pPr>
        <w:rPr>
          <w:lang w:val="en-US" w:eastAsia="ja-JP"/>
        </w:rPr>
      </w:pPr>
      <w:r w:rsidRPr="00054A0F">
        <w:rPr>
          <w:lang w:val="en-US" w:eastAsia="ja-JP"/>
        </w:rPr>
        <w:t xml:space="preserve">Garnett ST &amp; Crowley GM (2000) </w:t>
      </w:r>
      <w:r w:rsidRPr="00054A0F">
        <w:rPr>
          <w:i/>
          <w:iCs/>
          <w:lang w:val="en-US" w:eastAsia="ja-JP"/>
        </w:rPr>
        <w:t>The Action Plan for Australian Birds 2000</w:t>
      </w:r>
      <w:r w:rsidRPr="00054A0F">
        <w:rPr>
          <w:lang w:val="en-US" w:eastAsia="ja-JP"/>
        </w:rPr>
        <w:t>. Birds Australia Environment Australia, Canberra.</w:t>
      </w:r>
    </w:p>
    <w:p w14:paraId="42CD5B8F" w14:textId="00797BB5" w:rsidR="00741911" w:rsidRPr="00054A0F" w:rsidRDefault="00741911" w:rsidP="00741911">
      <w:pPr>
        <w:rPr>
          <w:lang w:val="en-US"/>
        </w:rPr>
      </w:pPr>
      <w:r>
        <w:rPr>
          <w:lang w:val="en-US"/>
        </w:rPr>
        <w:t xml:space="preserve">Garnett ST, Franklin DC, Ehmke G, </w:t>
      </w:r>
      <w:proofErr w:type="spellStart"/>
      <w:r>
        <w:rPr>
          <w:lang w:val="en-US"/>
        </w:rPr>
        <w:t>VanDerWal</w:t>
      </w:r>
      <w:proofErr w:type="spellEnd"/>
      <w:r>
        <w:rPr>
          <w:lang w:val="en-US"/>
        </w:rPr>
        <w:t xml:space="preserve"> JJ, Hodgson L, Pavey C, Reside AE, </w:t>
      </w:r>
      <w:proofErr w:type="spellStart"/>
      <w:r>
        <w:rPr>
          <w:lang w:val="en-US"/>
        </w:rPr>
        <w:t>Welbergen</w:t>
      </w:r>
      <w:proofErr w:type="spellEnd"/>
      <w:r>
        <w:rPr>
          <w:lang w:val="en-US"/>
        </w:rPr>
        <w:t xml:space="preserve"> JA, Butchart SHM, Perkins GC &amp; Williams SE (2013) </w:t>
      </w:r>
      <w:r>
        <w:rPr>
          <w:i/>
          <w:iCs/>
          <w:lang w:val="en-US"/>
        </w:rPr>
        <w:t>Climate change adaptation strategies for Australian birds</w:t>
      </w:r>
      <w:r>
        <w:rPr>
          <w:lang w:val="en-US"/>
        </w:rPr>
        <w:t>. National Climate Change Adaptation Research Facility, Gold Coast.</w:t>
      </w:r>
    </w:p>
    <w:p w14:paraId="15615E04" w14:textId="018FD197" w:rsidR="00054A0F" w:rsidRDefault="00054A0F" w:rsidP="00741911">
      <w:pPr>
        <w:rPr>
          <w:lang w:val="en-US" w:eastAsia="ja-JP"/>
        </w:rPr>
      </w:pPr>
      <w:r w:rsidRPr="00054A0F">
        <w:rPr>
          <w:lang w:val="en-US" w:eastAsia="ja-JP"/>
        </w:rPr>
        <w:t xml:space="preserve">Garnett ST, Szabo JK &amp; </w:t>
      </w:r>
      <w:proofErr w:type="spellStart"/>
      <w:r w:rsidRPr="00054A0F">
        <w:rPr>
          <w:lang w:val="en-US" w:eastAsia="ja-JP"/>
        </w:rPr>
        <w:t>Dutson</w:t>
      </w:r>
      <w:proofErr w:type="spellEnd"/>
      <w:r w:rsidRPr="00054A0F">
        <w:rPr>
          <w:lang w:val="en-US" w:eastAsia="ja-JP"/>
        </w:rPr>
        <w:t xml:space="preserve"> G (2011)</w:t>
      </w:r>
      <w:r w:rsidRPr="00054A0F">
        <w:rPr>
          <w:i/>
          <w:iCs/>
          <w:lang w:val="en-US" w:eastAsia="ja-JP"/>
        </w:rPr>
        <w:t xml:space="preserve"> The Action Plan for Australian Birds 2010</w:t>
      </w:r>
      <w:r w:rsidRPr="00054A0F">
        <w:rPr>
          <w:lang w:val="en-US" w:eastAsia="ja-JP"/>
        </w:rPr>
        <w:t>. CSIRO Publishing, Collingwood.</w:t>
      </w:r>
    </w:p>
    <w:p w14:paraId="05682F6D" w14:textId="5FD47381" w:rsidR="00AA42C0" w:rsidRDefault="00AA42C0" w:rsidP="00741911">
      <w:pPr>
        <w:rPr>
          <w:lang w:val="en-US"/>
        </w:rPr>
      </w:pPr>
      <w:proofErr w:type="spellStart"/>
      <w:r>
        <w:rPr>
          <w:lang w:val="en-US"/>
        </w:rPr>
        <w:t>Hardham</w:t>
      </w:r>
      <w:proofErr w:type="spellEnd"/>
      <w:r>
        <w:rPr>
          <w:lang w:val="en-US"/>
        </w:rPr>
        <w:t xml:space="preserve"> AR &amp; Blackman LM (2018) </w:t>
      </w:r>
      <w:r w:rsidRPr="001673DD">
        <w:rPr>
          <w:i/>
          <w:iCs/>
          <w:lang w:val="en-US"/>
        </w:rPr>
        <w:t xml:space="preserve">Phytophthora </w:t>
      </w:r>
      <w:proofErr w:type="spellStart"/>
      <w:r w:rsidRPr="001673DD">
        <w:rPr>
          <w:i/>
          <w:iCs/>
          <w:lang w:val="en-US"/>
        </w:rPr>
        <w:t>cinnamomi</w:t>
      </w:r>
      <w:proofErr w:type="spellEnd"/>
      <w:r>
        <w:rPr>
          <w:lang w:val="en-US"/>
        </w:rPr>
        <w:t xml:space="preserve">. </w:t>
      </w:r>
      <w:r>
        <w:rPr>
          <w:i/>
          <w:iCs/>
          <w:lang w:val="en-US"/>
        </w:rPr>
        <w:t>Molecular Plant Pathology</w:t>
      </w:r>
      <w:r>
        <w:rPr>
          <w:lang w:val="en-US"/>
        </w:rPr>
        <w:t xml:space="preserve"> 19, 2, 260-285.</w:t>
      </w:r>
    </w:p>
    <w:p w14:paraId="0CB70EE9" w14:textId="12AE4E0D" w:rsidR="00026E9E" w:rsidRPr="00026E9E" w:rsidRDefault="00026E9E" w:rsidP="00026E9E">
      <w:pPr>
        <w:rPr>
          <w:lang w:eastAsia="en-AU"/>
        </w:rPr>
      </w:pPr>
      <w:bookmarkStart w:id="15" w:name="_Hlk82770606"/>
      <w:r w:rsidRPr="003D7BA7">
        <w:rPr>
          <w:lang w:eastAsia="en-AU"/>
        </w:rPr>
        <w:t xml:space="preserve">Herold N, </w:t>
      </w:r>
      <w:proofErr w:type="spellStart"/>
      <w:r w:rsidRPr="003D7BA7">
        <w:rPr>
          <w:lang w:eastAsia="en-AU"/>
        </w:rPr>
        <w:t>Ekström</w:t>
      </w:r>
      <w:proofErr w:type="spellEnd"/>
      <w:r w:rsidRPr="003D7BA7">
        <w:rPr>
          <w:lang w:eastAsia="en-AU"/>
        </w:rPr>
        <w:t xml:space="preserve"> M, Kala J, Goldie J &amp; Evans JP (2018) Australian climate extremes in the 21st century according to a regional climate model ensemble: Implications for health and agriculture. </w:t>
      </w:r>
      <w:r w:rsidRPr="003D7BA7">
        <w:rPr>
          <w:i/>
          <w:iCs/>
          <w:lang w:eastAsia="en-AU"/>
        </w:rPr>
        <w:t>Weather and Climate Extremes</w:t>
      </w:r>
      <w:r w:rsidRPr="003D7BA7">
        <w:rPr>
          <w:lang w:eastAsia="en-AU"/>
        </w:rPr>
        <w:t xml:space="preserve"> 20, 54–68.</w:t>
      </w:r>
      <w:bookmarkEnd w:id="15"/>
    </w:p>
    <w:p w14:paraId="6D989D08" w14:textId="4DA6A28E" w:rsidR="00B45D2B" w:rsidRDefault="00B45D2B" w:rsidP="00026E9E">
      <w:pPr>
        <w:rPr>
          <w:lang w:val="en-US" w:eastAsia="ja-JP"/>
        </w:rPr>
      </w:pPr>
      <w:r w:rsidRPr="00B45D2B">
        <w:rPr>
          <w:lang w:val="en-US" w:eastAsia="ja-JP"/>
        </w:rPr>
        <w:t xml:space="preserve">Higgins PJ, Peter JM &amp; Steele WK (Eds) (2001) </w:t>
      </w:r>
      <w:r w:rsidRPr="00B45D2B">
        <w:rPr>
          <w:i/>
          <w:iCs/>
          <w:lang w:val="en-US" w:eastAsia="ja-JP"/>
        </w:rPr>
        <w:t>Handbook of Australian, New Zealand and Antarctic Birds. Volume Five - Tyrant-flycatchers to Chats.</w:t>
      </w:r>
      <w:r w:rsidRPr="00B45D2B">
        <w:rPr>
          <w:lang w:val="en-US" w:eastAsia="ja-JP"/>
        </w:rPr>
        <w:t xml:space="preserve"> Oxford University Press, Melbourne.</w:t>
      </w:r>
    </w:p>
    <w:p w14:paraId="0B9D5C6C" w14:textId="6CDAD5E3" w:rsidR="005E69E9" w:rsidRDefault="005E69E9" w:rsidP="00CC56F3">
      <w:pPr>
        <w:rPr>
          <w:lang w:val="en-US" w:eastAsia="ja-JP"/>
        </w:rPr>
      </w:pPr>
      <w:r w:rsidRPr="00BC6E59">
        <w:rPr>
          <w:lang w:val="en-US" w:eastAsia="ja-JP"/>
        </w:rPr>
        <w:t xml:space="preserve">IPCC (2021) </w:t>
      </w:r>
      <w:r w:rsidRPr="00BC6E59">
        <w:rPr>
          <w:i/>
          <w:iCs/>
          <w:lang w:val="en-US" w:eastAsia="ja-JP"/>
        </w:rPr>
        <w:t xml:space="preserve">Regional fact sheet – Australasia. Sixth Assessment </w:t>
      </w:r>
      <w:proofErr w:type="gramStart"/>
      <w:r w:rsidRPr="00BC6E59">
        <w:rPr>
          <w:i/>
          <w:iCs/>
          <w:lang w:val="en-US" w:eastAsia="ja-JP"/>
        </w:rPr>
        <w:t>Report  Working</w:t>
      </w:r>
      <w:proofErr w:type="gramEnd"/>
      <w:r w:rsidRPr="00BC6E59">
        <w:rPr>
          <w:i/>
          <w:iCs/>
          <w:lang w:val="en-US" w:eastAsia="ja-JP"/>
        </w:rPr>
        <w:t xml:space="preserve"> Group I – The Physical Science Basis</w:t>
      </w:r>
      <w:r w:rsidRPr="00BC6E59">
        <w:rPr>
          <w:lang w:val="en-US" w:eastAsia="ja-JP"/>
        </w:rPr>
        <w:t xml:space="preserve">. Available </w:t>
      </w:r>
      <w:r>
        <w:rPr>
          <w:lang w:val="en-US" w:eastAsia="ja-JP"/>
        </w:rPr>
        <w:t>from</w:t>
      </w:r>
      <w:r w:rsidRPr="00BC6E59">
        <w:rPr>
          <w:lang w:val="en-US" w:eastAsia="ja-JP"/>
        </w:rPr>
        <w:t xml:space="preserve">: </w:t>
      </w:r>
      <w:hyperlink r:id="rId23" w:history="1">
        <w:r w:rsidRPr="00270D2B">
          <w:rPr>
            <w:rStyle w:val="Hyperlink"/>
            <w:lang w:val="en-US" w:eastAsia="ja-JP"/>
          </w:rPr>
          <w:t>https://www.ipcc.ch/report/ar6/wg1/downloads/factsheets/IPCC_AR6_WGI_Regional_Fact_Sheet_Australasia.pdf</w:t>
        </w:r>
      </w:hyperlink>
      <w:r w:rsidRPr="00BC6E59">
        <w:rPr>
          <w:lang w:val="en-US" w:eastAsia="ja-JP"/>
        </w:rPr>
        <w:t>.</w:t>
      </w:r>
    </w:p>
    <w:p w14:paraId="01C95ECB" w14:textId="7D492917" w:rsidR="00C120B4" w:rsidRDefault="00C120B4" w:rsidP="00CC56F3">
      <w:pPr>
        <w:rPr>
          <w:lang w:val="en-US"/>
        </w:rPr>
      </w:pPr>
      <w:r>
        <w:rPr>
          <w:lang w:val="en-US"/>
        </w:rPr>
        <w:t xml:space="preserve">Lea AH &amp; Gray JT (1935) The Food of Australian Birds: An Analysis of the Stomach Contents. </w:t>
      </w:r>
      <w:r>
        <w:rPr>
          <w:i/>
          <w:iCs/>
          <w:lang w:val="en-US"/>
        </w:rPr>
        <w:t xml:space="preserve">Emu </w:t>
      </w:r>
      <w:r>
        <w:rPr>
          <w:lang w:val="en-US"/>
        </w:rPr>
        <w:t>35, 2, 145-178.</w:t>
      </w:r>
    </w:p>
    <w:p w14:paraId="4198989A" w14:textId="77777777" w:rsidR="00E75C4E" w:rsidRPr="00E75C4E" w:rsidRDefault="00E75C4E" w:rsidP="00E75C4E">
      <w:pPr>
        <w:rPr>
          <w:lang w:val="en-US" w:eastAsia="ja-JP"/>
        </w:rPr>
      </w:pPr>
      <w:r w:rsidRPr="00E75C4E">
        <w:rPr>
          <w:lang w:eastAsia="ja-JP"/>
        </w:rPr>
        <w:t xml:space="preserve">Maguire GS (2006a) Territory quality, </w:t>
      </w:r>
      <w:proofErr w:type="gramStart"/>
      <w:r w:rsidRPr="00E75C4E">
        <w:rPr>
          <w:lang w:eastAsia="ja-JP"/>
        </w:rPr>
        <w:t>survival</w:t>
      </w:r>
      <w:proofErr w:type="gramEnd"/>
      <w:r w:rsidRPr="00E75C4E">
        <w:rPr>
          <w:lang w:eastAsia="ja-JP"/>
        </w:rPr>
        <w:t xml:space="preserve"> and reproductive success in southern emu-wrens </w:t>
      </w:r>
      <w:proofErr w:type="spellStart"/>
      <w:r w:rsidRPr="00E75C4E">
        <w:rPr>
          <w:i/>
          <w:iCs/>
          <w:lang w:eastAsia="ja-JP"/>
        </w:rPr>
        <w:t>Stipiturus</w:t>
      </w:r>
      <w:proofErr w:type="spellEnd"/>
      <w:r w:rsidRPr="00E75C4E">
        <w:rPr>
          <w:i/>
          <w:iCs/>
          <w:lang w:eastAsia="ja-JP"/>
        </w:rPr>
        <w:t xml:space="preserve"> </w:t>
      </w:r>
      <w:proofErr w:type="spellStart"/>
      <w:r w:rsidRPr="00E75C4E">
        <w:rPr>
          <w:i/>
          <w:iCs/>
          <w:lang w:eastAsia="ja-JP"/>
        </w:rPr>
        <w:t>malachurus</w:t>
      </w:r>
      <w:proofErr w:type="spellEnd"/>
      <w:r w:rsidRPr="00E75C4E">
        <w:rPr>
          <w:lang w:eastAsia="ja-JP"/>
        </w:rPr>
        <w:t>. Journal of Avian Biology</w:t>
      </w:r>
      <w:r w:rsidRPr="00E75C4E">
        <w:rPr>
          <w:i/>
          <w:iCs/>
          <w:lang w:eastAsia="ja-JP"/>
        </w:rPr>
        <w:t xml:space="preserve"> 37, </w:t>
      </w:r>
      <w:r w:rsidRPr="00E75C4E">
        <w:rPr>
          <w:lang w:eastAsia="ja-JP"/>
        </w:rPr>
        <w:t>6, 579-593.</w:t>
      </w:r>
    </w:p>
    <w:p w14:paraId="56CEBEE9" w14:textId="5F85C8A8" w:rsidR="00E75C4E" w:rsidRDefault="00E75C4E" w:rsidP="00CC56F3">
      <w:pPr>
        <w:rPr>
          <w:lang w:eastAsia="ja-JP"/>
        </w:rPr>
      </w:pPr>
      <w:r w:rsidRPr="00E75C4E">
        <w:rPr>
          <w:lang w:eastAsia="ja-JP"/>
        </w:rPr>
        <w:t>Maguire GS (2006b) Fine-scale habitat use by the Southern emu-wren (</w:t>
      </w:r>
      <w:proofErr w:type="spellStart"/>
      <w:r w:rsidRPr="00E75C4E">
        <w:rPr>
          <w:i/>
          <w:iCs/>
          <w:lang w:eastAsia="ja-JP"/>
        </w:rPr>
        <w:t>Stipituris</w:t>
      </w:r>
      <w:proofErr w:type="spellEnd"/>
      <w:r w:rsidRPr="00E75C4E">
        <w:rPr>
          <w:i/>
          <w:iCs/>
          <w:lang w:eastAsia="ja-JP"/>
        </w:rPr>
        <w:t xml:space="preserve"> </w:t>
      </w:r>
      <w:proofErr w:type="spellStart"/>
      <w:r w:rsidRPr="00E75C4E">
        <w:rPr>
          <w:i/>
          <w:iCs/>
          <w:lang w:eastAsia="ja-JP"/>
        </w:rPr>
        <w:t>malachurus</w:t>
      </w:r>
      <w:proofErr w:type="spellEnd"/>
      <w:r w:rsidRPr="00E75C4E">
        <w:rPr>
          <w:lang w:eastAsia="ja-JP"/>
        </w:rPr>
        <w:t xml:space="preserve">). </w:t>
      </w:r>
      <w:r w:rsidRPr="00E75C4E">
        <w:rPr>
          <w:i/>
          <w:iCs/>
          <w:lang w:eastAsia="ja-JP"/>
        </w:rPr>
        <w:t>Wildlife Research</w:t>
      </w:r>
      <w:r w:rsidRPr="00E75C4E">
        <w:rPr>
          <w:lang w:eastAsia="ja-JP"/>
        </w:rPr>
        <w:t xml:space="preserve"> 33, 2, 137-148.</w:t>
      </w:r>
    </w:p>
    <w:p w14:paraId="2A6FBD55" w14:textId="41984FAC" w:rsidR="00DC2985" w:rsidRDefault="00DC2985" w:rsidP="00CC56F3">
      <w:pPr>
        <w:rPr>
          <w:lang w:val="en-US"/>
        </w:rPr>
      </w:pPr>
      <w:r>
        <w:rPr>
          <w:lang w:val="en-US"/>
        </w:rPr>
        <w:t>Maguire GS &amp; Mulder RA (2004) Breeding biology and demography of the Southern Emu-wren (</w:t>
      </w:r>
      <w:proofErr w:type="spellStart"/>
      <w:r>
        <w:rPr>
          <w:i/>
          <w:iCs/>
          <w:lang w:val="en-US"/>
        </w:rPr>
        <w:t>Stipiturus</w:t>
      </w:r>
      <w:proofErr w:type="spellEnd"/>
      <w:r>
        <w:rPr>
          <w:i/>
          <w:iCs/>
          <w:lang w:val="en-US"/>
        </w:rPr>
        <w:t xml:space="preserve"> </w:t>
      </w:r>
      <w:proofErr w:type="spellStart"/>
      <w:r>
        <w:rPr>
          <w:i/>
          <w:iCs/>
          <w:lang w:val="en-US"/>
        </w:rPr>
        <w:t>malachurus</w:t>
      </w:r>
      <w:proofErr w:type="spellEnd"/>
      <w:r>
        <w:rPr>
          <w:lang w:val="en-US"/>
        </w:rPr>
        <w:t xml:space="preserve">). </w:t>
      </w:r>
      <w:r>
        <w:rPr>
          <w:i/>
          <w:iCs/>
          <w:lang w:val="en-US"/>
        </w:rPr>
        <w:t xml:space="preserve">Australian Journal Zoology </w:t>
      </w:r>
      <w:r>
        <w:rPr>
          <w:lang w:val="en-US"/>
        </w:rPr>
        <w:t>52, 6, 583-604.</w:t>
      </w:r>
    </w:p>
    <w:p w14:paraId="0B354936" w14:textId="29CADC22" w:rsidR="00FB2B99" w:rsidRPr="00FB2B99" w:rsidRDefault="00FB2B99" w:rsidP="00CC56F3">
      <w:pPr>
        <w:rPr>
          <w:lang w:val="en-US"/>
        </w:rPr>
      </w:pPr>
      <w:r>
        <w:rPr>
          <w:lang w:val="en-US"/>
        </w:rPr>
        <w:t xml:space="preserve">Marshall VM, Lewis M &amp; Ostendorf B (2012) </w:t>
      </w:r>
      <w:proofErr w:type="spellStart"/>
      <w:r w:rsidRPr="00FB2B99">
        <w:rPr>
          <w:lang w:val="en-US"/>
        </w:rPr>
        <w:t>Buffel</w:t>
      </w:r>
      <w:proofErr w:type="spellEnd"/>
      <w:r w:rsidRPr="00FB2B99">
        <w:rPr>
          <w:lang w:val="en-US"/>
        </w:rPr>
        <w:t xml:space="preserve"> grass (</w:t>
      </w:r>
      <w:r w:rsidRPr="00FB2B99">
        <w:rPr>
          <w:i/>
          <w:iCs/>
          <w:lang w:val="en-US"/>
        </w:rPr>
        <w:t xml:space="preserve">Cenchrus </w:t>
      </w:r>
      <w:proofErr w:type="spellStart"/>
      <w:r w:rsidRPr="00FB2B99">
        <w:rPr>
          <w:i/>
          <w:iCs/>
          <w:lang w:val="en-US"/>
        </w:rPr>
        <w:t>ciliaris</w:t>
      </w:r>
      <w:proofErr w:type="spellEnd"/>
      <w:r w:rsidRPr="00FB2B99">
        <w:rPr>
          <w:lang w:val="en-US"/>
        </w:rPr>
        <w:t>) as an invader and threat to biodiversity in arid environments: A review</w:t>
      </w:r>
      <w:r>
        <w:rPr>
          <w:lang w:val="en-US"/>
        </w:rPr>
        <w:t xml:space="preserve">. </w:t>
      </w:r>
      <w:r>
        <w:rPr>
          <w:i/>
          <w:iCs/>
          <w:lang w:val="en-US"/>
        </w:rPr>
        <w:t>Journal of Arid Environments</w:t>
      </w:r>
      <w:r>
        <w:rPr>
          <w:lang w:val="en-US"/>
        </w:rPr>
        <w:t xml:space="preserve"> 78, 1-12.</w:t>
      </w:r>
    </w:p>
    <w:p w14:paraId="3D8C0BB5" w14:textId="1DAE5933" w:rsidR="007761D6" w:rsidRDefault="007761D6" w:rsidP="00CC56F3">
      <w:pPr>
        <w:rPr>
          <w:lang w:val="en-US" w:eastAsia="ja-JP"/>
        </w:rPr>
      </w:pPr>
      <w:proofErr w:type="spellStart"/>
      <w:r w:rsidRPr="007761D6">
        <w:rPr>
          <w:lang w:val="en-US" w:eastAsia="ja-JP"/>
        </w:rPr>
        <w:t>Menkhorst</w:t>
      </w:r>
      <w:proofErr w:type="spellEnd"/>
      <w:r w:rsidRPr="007761D6">
        <w:rPr>
          <w:lang w:val="en-US" w:eastAsia="ja-JP"/>
        </w:rPr>
        <w:t xml:space="preserve"> P, Rogers D, Clarke R, Davies J, </w:t>
      </w:r>
      <w:proofErr w:type="spellStart"/>
      <w:r w:rsidRPr="007761D6">
        <w:rPr>
          <w:lang w:val="en-US" w:eastAsia="ja-JP"/>
        </w:rPr>
        <w:t>Marsack</w:t>
      </w:r>
      <w:proofErr w:type="spellEnd"/>
      <w:r w:rsidRPr="007761D6">
        <w:rPr>
          <w:lang w:val="en-US" w:eastAsia="ja-JP"/>
        </w:rPr>
        <w:t xml:space="preserve"> P &amp; Franklin K (2017) </w:t>
      </w:r>
      <w:r w:rsidRPr="007761D6">
        <w:rPr>
          <w:i/>
          <w:iCs/>
          <w:lang w:val="en-US" w:eastAsia="ja-JP"/>
        </w:rPr>
        <w:t>The Australian Bird Guide</w:t>
      </w:r>
      <w:r w:rsidRPr="007761D6">
        <w:rPr>
          <w:lang w:val="en-US" w:eastAsia="ja-JP"/>
        </w:rPr>
        <w:t>. CSIRO Publishing, Clayton South.</w:t>
      </w:r>
    </w:p>
    <w:p w14:paraId="44A0CE92" w14:textId="7C6EBB09" w:rsidR="003E2F1F" w:rsidRDefault="003E2F1F" w:rsidP="00CC56F3">
      <w:pPr>
        <w:rPr>
          <w:lang w:val="en-US" w:eastAsia="ja-JP"/>
        </w:rPr>
      </w:pPr>
      <w:r w:rsidRPr="003E2F1F">
        <w:rPr>
          <w:lang w:val="en-US" w:eastAsia="ja-JP"/>
        </w:rPr>
        <w:t xml:space="preserve">MLR Southern Emu-wren &amp; </w:t>
      </w:r>
      <w:proofErr w:type="spellStart"/>
      <w:r w:rsidRPr="003E2F1F">
        <w:rPr>
          <w:lang w:val="en-US" w:eastAsia="ja-JP"/>
        </w:rPr>
        <w:t>Fleurieu</w:t>
      </w:r>
      <w:proofErr w:type="spellEnd"/>
      <w:r w:rsidRPr="003E2F1F">
        <w:rPr>
          <w:lang w:val="en-US" w:eastAsia="ja-JP"/>
        </w:rPr>
        <w:t xml:space="preserve"> Peninsula Swamps Recovery Team (2007)</w:t>
      </w:r>
      <w:r w:rsidRPr="003E2F1F">
        <w:rPr>
          <w:i/>
          <w:iCs/>
          <w:lang w:val="en-US" w:eastAsia="ja-JP"/>
        </w:rPr>
        <w:t xml:space="preserve"> Recovery Plan for the Mount Lofty Ranges Southern Emu-wren </w:t>
      </w:r>
      <w:proofErr w:type="spellStart"/>
      <w:r w:rsidRPr="003E2F1F">
        <w:rPr>
          <w:i/>
          <w:iCs/>
          <w:lang w:val="en-US" w:eastAsia="ja-JP"/>
        </w:rPr>
        <w:t>Stipiturus</w:t>
      </w:r>
      <w:proofErr w:type="spellEnd"/>
      <w:r w:rsidRPr="003E2F1F">
        <w:rPr>
          <w:i/>
          <w:iCs/>
          <w:lang w:val="en-US" w:eastAsia="ja-JP"/>
        </w:rPr>
        <w:t xml:space="preserve"> </w:t>
      </w:r>
      <w:proofErr w:type="spellStart"/>
      <w:r w:rsidRPr="003E2F1F">
        <w:rPr>
          <w:i/>
          <w:iCs/>
          <w:lang w:val="en-US" w:eastAsia="ja-JP"/>
        </w:rPr>
        <w:t>malachurus</w:t>
      </w:r>
      <w:proofErr w:type="spellEnd"/>
      <w:r w:rsidRPr="003E2F1F">
        <w:rPr>
          <w:i/>
          <w:iCs/>
          <w:lang w:val="en-US" w:eastAsia="ja-JP"/>
        </w:rPr>
        <w:t xml:space="preserve"> intermedius</w:t>
      </w:r>
      <w:r w:rsidRPr="003E2F1F">
        <w:rPr>
          <w:lang w:val="en-US" w:eastAsia="ja-JP"/>
        </w:rPr>
        <w:t>: 2006-2011. Conservation Council of South Australia, Adelaide.</w:t>
      </w:r>
    </w:p>
    <w:p w14:paraId="3F0A3763" w14:textId="6B7E9976" w:rsidR="00C4363F" w:rsidRDefault="00C4363F" w:rsidP="00CC56F3">
      <w:pPr>
        <w:rPr>
          <w:lang w:val="en-US"/>
        </w:rPr>
      </w:pPr>
      <w:r w:rsidRPr="00F8159C">
        <w:rPr>
          <w:lang w:val="en-US"/>
        </w:rPr>
        <w:t xml:space="preserve">Pickett M (2000) </w:t>
      </w:r>
      <w:r w:rsidRPr="00F8159C">
        <w:rPr>
          <w:i/>
          <w:iCs/>
          <w:lang w:val="en-US"/>
        </w:rPr>
        <w:t xml:space="preserve">The Mount Lofty Ranges Southern Emu-wren </w:t>
      </w:r>
      <w:proofErr w:type="spellStart"/>
      <w:r w:rsidRPr="00F8159C">
        <w:rPr>
          <w:i/>
          <w:iCs/>
          <w:lang w:val="en-US"/>
        </w:rPr>
        <w:t>Stipiturus</w:t>
      </w:r>
      <w:proofErr w:type="spellEnd"/>
      <w:r w:rsidRPr="00F8159C">
        <w:rPr>
          <w:i/>
          <w:iCs/>
          <w:lang w:val="en-US"/>
        </w:rPr>
        <w:t xml:space="preserve"> </w:t>
      </w:r>
      <w:proofErr w:type="spellStart"/>
      <w:r w:rsidRPr="00F8159C">
        <w:rPr>
          <w:i/>
          <w:iCs/>
          <w:lang w:val="en-US"/>
        </w:rPr>
        <w:t>malachurus</w:t>
      </w:r>
      <w:proofErr w:type="spellEnd"/>
      <w:r w:rsidRPr="00F8159C">
        <w:rPr>
          <w:i/>
          <w:iCs/>
          <w:lang w:val="en-US"/>
        </w:rPr>
        <w:t xml:space="preserve"> intermedius Recovery Program banding and monitoring 1994-1999. </w:t>
      </w:r>
      <w:r w:rsidRPr="00F8159C">
        <w:rPr>
          <w:lang w:val="en-US"/>
        </w:rPr>
        <w:t>Unpublished report prepared for the Conservation Council of South Australia, Adelaide.</w:t>
      </w:r>
    </w:p>
    <w:p w14:paraId="5559B98B" w14:textId="6CE6FF3F" w:rsidR="00826624" w:rsidRDefault="00826624" w:rsidP="00CC56F3">
      <w:pPr>
        <w:rPr>
          <w:lang w:eastAsia="ja-JP"/>
        </w:rPr>
      </w:pPr>
      <w:r w:rsidRPr="00826624">
        <w:rPr>
          <w:lang w:val="en-US" w:eastAsia="ja-JP"/>
        </w:rPr>
        <w:t xml:space="preserve">Pickett M (2002) </w:t>
      </w:r>
      <w:r w:rsidRPr="00826624">
        <w:rPr>
          <w:i/>
          <w:iCs/>
          <w:lang w:eastAsia="ja-JP"/>
        </w:rPr>
        <w:t xml:space="preserve">Status Review and Action Plan for the Eyre Peninsula Southern Emu-wren </w:t>
      </w:r>
      <w:proofErr w:type="spellStart"/>
      <w:r w:rsidRPr="00826624">
        <w:rPr>
          <w:i/>
          <w:iCs/>
          <w:lang w:eastAsia="ja-JP"/>
        </w:rPr>
        <w:t>Stipiturus</w:t>
      </w:r>
      <w:proofErr w:type="spellEnd"/>
      <w:r w:rsidRPr="00826624">
        <w:rPr>
          <w:i/>
          <w:iCs/>
          <w:lang w:eastAsia="ja-JP"/>
        </w:rPr>
        <w:t xml:space="preserve"> </w:t>
      </w:r>
      <w:proofErr w:type="spellStart"/>
      <w:r w:rsidRPr="00826624">
        <w:rPr>
          <w:i/>
          <w:iCs/>
          <w:lang w:eastAsia="ja-JP"/>
        </w:rPr>
        <w:t>malachurus</w:t>
      </w:r>
      <w:proofErr w:type="spellEnd"/>
      <w:r w:rsidRPr="00826624">
        <w:rPr>
          <w:i/>
          <w:iCs/>
          <w:lang w:eastAsia="ja-JP"/>
        </w:rPr>
        <w:t xml:space="preserve"> </w:t>
      </w:r>
      <w:proofErr w:type="spellStart"/>
      <w:r w:rsidRPr="00826624">
        <w:rPr>
          <w:i/>
          <w:iCs/>
          <w:lang w:eastAsia="ja-JP"/>
        </w:rPr>
        <w:t>parimeda</w:t>
      </w:r>
      <w:proofErr w:type="spellEnd"/>
      <w:r w:rsidRPr="00826624">
        <w:rPr>
          <w:lang w:eastAsia="ja-JP"/>
        </w:rPr>
        <w:t>. Southern Eyre Birds Inc., Port Lincoln and National Parks and Wildlife South Australia, Adelaide.</w:t>
      </w:r>
    </w:p>
    <w:p w14:paraId="74DB107D" w14:textId="42BBC8AB" w:rsidR="00EC5883" w:rsidRDefault="00EC5883" w:rsidP="00CC56F3">
      <w:pPr>
        <w:rPr>
          <w:lang w:eastAsia="ja-JP"/>
        </w:rPr>
      </w:pPr>
      <w:r w:rsidRPr="00EC5883">
        <w:rPr>
          <w:lang w:eastAsia="ja-JP"/>
        </w:rPr>
        <w:t xml:space="preserve">Pickett, M (2009) </w:t>
      </w:r>
      <w:r w:rsidRPr="00EC5883">
        <w:rPr>
          <w:i/>
          <w:iCs/>
          <w:lang w:eastAsia="ja-JP"/>
        </w:rPr>
        <w:t>Eyre Peninsula Southern Emu-wren 2009 Survey</w:t>
      </w:r>
      <w:r w:rsidRPr="00EC5883">
        <w:rPr>
          <w:lang w:eastAsia="ja-JP"/>
        </w:rPr>
        <w:t>. Unpublished report prepared for the Department for Environment and Heritage, South Australia.</w:t>
      </w:r>
    </w:p>
    <w:p w14:paraId="390E2329" w14:textId="1B328BF2" w:rsidR="003A4E87" w:rsidRPr="003A4E87" w:rsidRDefault="003A4E87" w:rsidP="00CC56F3">
      <w:pPr>
        <w:rPr>
          <w:lang w:val="en-US"/>
        </w:rPr>
      </w:pPr>
      <w:r>
        <w:rPr>
          <w:lang w:val="en-US"/>
        </w:rPr>
        <w:t xml:space="preserve">Pickett M (2017) </w:t>
      </w:r>
      <w:r>
        <w:rPr>
          <w:i/>
          <w:iCs/>
          <w:lang w:val="en-US"/>
        </w:rPr>
        <w:t>MLR Southern Emu-wren conservation strategy</w:t>
      </w:r>
      <w:r>
        <w:rPr>
          <w:lang w:val="en-US"/>
        </w:rPr>
        <w:t xml:space="preserve">. Unpublished report for the Mount Lofty Ranges Southern Emu-wren &amp; </w:t>
      </w:r>
      <w:proofErr w:type="spellStart"/>
      <w:r>
        <w:rPr>
          <w:lang w:val="en-US"/>
        </w:rPr>
        <w:t>Fleurieu</w:t>
      </w:r>
      <w:proofErr w:type="spellEnd"/>
      <w:r>
        <w:rPr>
          <w:lang w:val="en-US"/>
        </w:rPr>
        <w:t xml:space="preserve"> peninsula Swamps Recovery Program, Conservation Council of South Australia, Adelaide.</w:t>
      </w:r>
    </w:p>
    <w:p w14:paraId="514C0B5B" w14:textId="13B87696" w:rsidR="00254759" w:rsidRPr="00254759" w:rsidRDefault="00254759" w:rsidP="00CC56F3">
      <w:pPr>
        <w:rPr>
          <w:lang w:val="en-US" w:eastAsia="ja-JP"/>
        </w:rPr>
      </w:pPr>
      <w:proofErr w:type="spellStart"/>
      <w:r w:rsidRPr="00254759">
        <w:rPr>
          <w:lang w:val="en-US" w:eastAsia="ja-JP"/>
        </w:rPr>
        <w:t>Possingham</w:t>
      </w:r>
      <w:proofErr w:type="spellEnd"/>
      <w:r w:rsidRPr="00254759">
        <w:rPr>
          <w:lang w:val="en-US" w:eastAsia="ja-JP"/>
        </w:rPr>
        <w:t xml:space="preserve"> HP (1993) Southern Emu-wrens in the </w:t>
      </w:r>
      <w:proofErr w:type="spellStart"/>
      <w:r w:rsidRPr="00254759">
        <w:rPr>
          <w:lang w:val="en-US" w:eastAsia="ja-JP"/>
        </w:rPr>
        <w:t>Loppio</w:t>
      </w:r>
      <w:proofErr w:type="spellEnd"/>
      <w:r w:rsidRPr="00254759">
        <w:rPr>
          <w:lang w:val="en-US" w:eastAsia="ja-JP"/>
        </w:rPr>
        <w:t xml:space="preserve"> Hills and near </w:t>
      </w:r>
      <w:r w:rsidRPr="00254759">
        <w:rPr>
          <w:lang w:eastAsia="ja-JP"/>
        </w:rPr>
        <w:t xml:space="preserve">Edillilie, Eyre Peninsula. </w:t>
      </w:r>
      <w:r w:rsidRPr="00254759">
        <w:rPr>
          <w:i/>
          <w:iCs/>
          <w:lang w:eastAsia="ja-JP"/>
        </w:rPr>
        <w:t>South Australian</w:t>
      </w:r>
      <w:r w:rsidRPr="00254759">
        <w:rPr>
          <w:lang w:eastAsia="ja-JP"/>
        </w:rPr>
        <w:t>.</w:t>
      </w:r>
    </w:p>
    <w:p w14:paraId="2024EE7D" w14:textId="62A0BB57" w:rsidR="001617A0" w:rsidRPr="001617A0" w:rsidRDefault="001617A0" w:rsidP="00CC56F3">
      <w:pPr>
        <w:rPr>
          <w:lang w:val="en-US" w:eastAsia="ja-JP"/>
        </w:rPr>
      </w:pPr>
      <w:r w:rsidRPr="001617A0">
        <w:rPr>
          <w:lang w:val="en-US" w:eastAsia="ja-JP"/>
        </w:rPr>
        <w:t xml:space="preserve">Rowley I &amp; Russell E (1997) </w:t>
      </w:r>
      <w:r w:rsidRPr="001617A0">
        <w:rPr>
          <w:i/>
          <w:iCs/>
          <w:lang w:val="en-US" w:eastAsia="ja-JP"/>
        </w:rPr>
        <w:t xml:space="preserve">Fairey-wrens and </w:t>
      </w:r>
      <w:proofErr w:type="spellStart"/>
      <w:r w:rsidRPr="001617A0">
        <w:rPr>
          <w:i/>
          <w:iCs/>
          <w:lang w:val="en-US" w:eastAsia="ja-JP"/>
        </w:rPr>
        <w:t>Grasswrens</w:t>
      </w:r>
      <w:proofErr w:type="spellEnd"/>
      <w:r w:rsidRPr="001617A0">
        <w:rPr>
          <w:lang w:val="en-US" w:eastAsia="ja-JP"/>
        </w:rPr>
        <w:t>. Oxford University Press, Oxford.</w:t>
      </w:r>
    </w:p>
    <w:p w14:paraId="5508EE52" w14:textId="304AC5B3" w:rsidR="007C37FC" w:rsidRPr="00EC5883" w:rsidRDefault="007C37FC" w:rsidP="00CC56F3">
      <w:pPr>
        <w:rPr>
          <w:lang w:val="en-US" w:eastAsia="ja-JP"/>
        </w:rPr>
      </w:pPr>
      <w:proofErr w:type="spellStart"/>
      <w:r w:rsidRPr="007C37FC">
        <w:rPr>
          <w:lang w:val="en-US" w:eastAsia="ja-JP"/>
        </w:rPr>
        <w:t>Schodde</w:t>
      </w:r>
      <w:proofErr w:type="spellEnd"/>
      <w:r w:rsidRPr="007C37FC">
        <w:rPr>
          <w:lang w:val="en-US" w:eastAsia="ja-JP"/>
        </w:rPr>
        <w:t xml:space="preserve"> R (1982) </w:t>
      </w:r>
      <w:r w:rsidRPr="007C37FC">
        <w:rPr>
          <w:i/>
          <w:iCs/>
          <w:lang w:val="en-US" w:eastAsia="ja-JP"/>
        </w:rPr>
        <w:t xml:space="preserve">The Fairy-wrens: A Monograph of the </w:t>
      </w:r>
      <w:proofErr w:type="spellStart"/>
      <w:r w:rsidRPr="007C37FC">
        <w:rPr>
          <w:i/>
          <w:iCs/>
          <w:lang w:val="en-US" w:eastAsia="ja-JP"/>
        </w:rPr>
        <w:t>Maluridae</w:t>
      </w:r>
      <w:proofErr w:type="spellEnd"/>
      <w:r w:rsidRPr="007C37FC">
        <w:rPr>
          <w:lang w:val="en-US" w:eastAsia="ja-JP"/>
        </w:rPr>
        <w:t>. Lansdowne, Melbourne.</w:t>
      </w:r>
    </w:p>
    <w:p w14:paraId="24DE480B" w14:textId="2668D245" w:rsidR="00240AD2" w:rsidRPr="00240AD2" w:rsidRDefault="00240AD2" w:rsidP="00CC56F3">
      <w:pPr>
        <w:rPr>
          <w:lang w:val="en-US" w:eastAsia="ja-JP"/>
        </w:rPr>
      </w:pPr>
      <w:proofErr w:type="spellStart"/>
      <w:r w:rsidRPr="00240AD2">
        <w:rPr>
          <w:lang w:val="en-US" w:eastAsia="ja-JP"/>
        </w:rPr>
        <w:t>Schodde</w:t>
      </w:r>
      <w:proofErr w:type="spellEnd"/>
      <w:r w:rsidRPr="00240AD2">
        <w:rPr>
          <w:lang w:val="en-US" w:eastAsia="ja-JP"/>
        </w:rPr>
        <w:t xml:space="preserve"> R &amp; Mason IJ (1999) </w:t>
      </w:r>
      <w:r w:rsidRPr="00240AD2">
        <w:rPr>
          <w:i/>
          <w:iCs/>
          <w:lang w:val="en-US" w:eastAsia="ja-JP"/>
        </w:rPr>
        <w:t>The Directory of Australian Birds: Passerines</w:t>
      </w:r>
      <w:r w:rsidRPr="00240AD2">
        <w:rPr>
          <w:lang w:val="en-US" w:eastAsia="ja-JP"/>
        </w:rPr>
        <w:t>. CSIRO Publishing, Melbourne.</w:t>
      </w:r>
    </w:p>
    <w:p w14:paraId="4D9F5ACC" w14:textId="739F5A5D" w:rsidR="003C5139" w:rsidRDefault="003C5139" w:rsidP="00CC56F3">
      <w:pPr>
        <w:rPr>
          <w:lang w:val="en-US" w:eastAsia="ja-JP"/>
        </w:rPr>
      </w:pPr>
      <w:proofErr w:type="spellStart"/>
      <w:r w:rsidRPr="003C5139">
        <w:rPr>
          <w:lang w:val="en-US" w:eastAsia="ja-JP"/>
        </w:rPr>
        <w:lastRenderedPageBreak/>
        <w:t>Schodde</w:t>
      </w:r>
      <w:proofErr w:type="spellEnd"/>
      <w:r w:rsidRPr="003C5139">
        <w:rPr>
          <w:lang w:val="en-US" w:eastAsia="ja-JP"/>
        </w:rPr>
        <w:t xml:space="preserve"> R &amp; </w:t>
      </w:r>
      <w:proofErr w:type="spellStart"/>
      <w:r w:rsidRPr="003C5139">
        <w:rPr>
          <w:lang w:val="en-US" w:eastAsia="ja-JP"/>
        </w:rPr>
        <w:t>Weatherley</w:t>
      </w:r>
      <w:proofErr w:type="spellEnd"/>
      <w:r w:rsidRPr="003C5139">
        <w:rPr>
          <w:lang w:val="en-US" w:eastAsia="ja-JP"/>
        </w:rPr>
        <w:t xml:space="preserve"> RG (1981) A new subspecies of the Southern Emu-wren </w:t>
      </w:r>
      <w:proofErr w:type="spellStart"/>
      <w:r w:rsidRPr="003C5139">
        <w:rPr>
          <w:i/>
          <w:iCs/>
          <w:lang w:val="en-US" w:eastAsia="ja-JP"/>
        </w:rPr>
        <w:t>Stipiturus</w:t>
      </w:r>
      <w:proofErr w:type="spellEnd"/>
      <w:r w:rsidRPr="003C5139">
        <w:rPr>
          <w:i/>
          <w:iCs/>
          <w:lang w:val="en-US" w:eastAsia="ja-JP"/>
        </w:rPr>
        <w:t xml:space="preserve"> </w:t>
      </w:r>
      <w:proofErr w:type="spellStart"/>
      <w:r w:rsidRPr="003C5139">
        <w:rPr>
          <w:i/>
          <w:iCs/>
          <w:lang w:val="en-US" w:eastAsia="ja-JP"/>
        </w:rPr>
        <w:t>malachurus</w:t>
      </w:r>
      <w:proofErr w:type="spellEnd"/>
      <w:r w:rsidRPr="003C5139">
        <w:rPr>
          <w:i/>
          <w:iCs/>
          <w:lang w:val="en-US" w:eastAsia="ja-JP"/>
        </w:rPr>
        <w:t xml:space="preserve"> </w:t>
      </w:r>
      <w:r w:rsidRPr="003C5139">
        <w:rPr>
          <w:lang w:val="en-US" w:eastAsia="ja-JP"/>
        </w:rPr>
        <w:t xml:space="preserve">from South Australia, with notes on its affinities. </w:t>
      </w:r>
      <w:r w:rsidRPr="003C5139">
        <w:rPr>
          <w:i/>
          <w:iCs/>
          <w:lang w:val="en-US" w:eastAsia="ja-JP"/>
        </w:rPr>
        <w:t xml:space="preserve">South Australian Ornithologist </w:t>
      </w:r>
      <w:r w:rsidRPr="003C5139">
        <w:rPr>
          <w:lang w:val="en-US" w:eastAsia="ja-JP"/>
        </w:rPr>
        <w:t>28, 7, 169-171.</w:t>
      </w:r>
    </w:p>
    <w:p w14:paraId="435A9374" w14:textId="2B003D14" w:rsidR="001F23EC" w:rsidRPr="001F23EC" w:rsidRDefault="001F23EC" w:rsidP="00CC56F3">
      <w:pPr>
        <w:rPr>
          <w:lang w:val="en-US" w:eastAsia="ja-JP"/>
        </w:rPr>
      </w:pPr>
      <w:r>
        <w:rPr>
          <w:lang w:val="en-US" w:eastAsia="ja-JP"/>
        </w:rPr>
        <w:t xml:space="preserve">Shannon G, McKenna MF, </w:t>
      </w:r>
      <w:proofErr w:type="spellStart"/>
      <w:r>
        <w:rPr>
          <w:lang w:val="en-US" w:eastAsia="ja-JP"/>
        </w:rPr>
        <w:t>Angeloni</w:t>
      </w:r>
      <w:proofErr w:type="spellEnd"/>
      <w:r>
        <w:rPr>
          <w:lang w:val="en-US" w:eastAsia="ja-JP"/>
        </w:rPr>
        <w:t xml:space="preserve"> LM, Crooks KR, Fristrup KM, Brown E, Warner KA, Nelson MD, White C, Briggs J, McFarland S &amp; </w:t>
      </w:r>
      <w:proofErr w:type="spellStart"/>
      <w:r>
        <w:rPr>
          <w:lang w:val="en-US" w:eastAsia="ja-JP"/>
        </w:rPr>
        <w:t>Whittemyer</w:t>
      </w:r>
      <w:proofErr w:type="spellEnd"/>
      <w:r>
        <w:rPr>
          <w:lang w:val="en-US" w:eastAsia="ja-JP"/>
        </w:rPr>
        <w:t xml:space="preserve"> G (2016) A synthesis of two decades of research documenting the effects of noise on wildlife. </w:t>
      </w:r>
      <w:r>
        <w:rPr>
          <w:i/>
          <w:iCs/>
          <w:lang w:val="en-US" w:eastAsia="ja-JP"/>
        </w:rPr>
        <w:t>Biological Reviews</w:t>
      </w:r>
      <w:r>
        <w:rPr>
          <w:lang w:val="en-US" w:eastAsia="ja-JP"/>
        </w:rPr>
        <w:t xml:space="preserve"> 91, 4, 982-1005.</w:t>
      </w:r>
    </w:p>
    <w:p w14:paraId="68373F77" w14:textId="7B5A8F75" w:rsidR="005329D7" w:rsidRPr="005329D7" w:rsidRDefault="005329D7" w:rsidP="005329D7">
      <w:pPr>
        <w:rPr>
          <w:lang w:val="en-US" w:eastAsia="ja-JP"/>
        </w:rPr>
      </w:pPr>
      <w:proofErr w:type="spellStart"/>
      <w:r>
        <w:rPr>
          <w:lang w:val="en-US" w:eastAsia="ja-JP"/>
        </w:rPr>
        <w:t>Sinel</w:t>
      </w:r>
      <w:proofErr w:type="spellEnd"/>
      <w:r>
        <w:rPr>
          <w:lang w:val="en-US" w:eastAsia="ja-JP"/>
        </w:rPr>
        <w:t xml:space="preserve"> A (2020) </w:t>
      </w:r>
      <w:r w:rsidRPr="005329D7">
        <w:rPr>
          <w:lang w:val="en-US" w:eastAsia="ja-JP"/>
        </w:rPr>
        <w:t>Broadscale Distribution and Status of the Eyre Peninsula Southern Emu-wren (</w:t>
      </w:r>
      <w:proofErr w:type="spellStart"/>
      <w:r w:rsidRPr="005329D7">
        <w:rPr>
          <w:i/>
          <w:iCs/>
          <w:lang w:val="en-US" w:eastAsia="ja-JP"/>
        </w:rPr>
        <w:t>Stipiturus</w:t>
      </w:r>
      <w:proofErr w:type="spellEnd"/>
      <w:r w:rsidRPr="005329D7">
        <w:rPr>
          <w:i/>
          <w:iCs/>
          <w:lang w:val="en-US" w:eastAsia="ja-JP"/>
        </w:rPr>
        <w:t xml:space="preserve"> </w:t>
      </w:r>
      <w:proofErr w:type="spellStart"/>
      <w:r w:rsidRPr="005329D7">
        <w:rPr>
          <w:i/>
          <w:iCs/>
          <w:lang w:val="en-US" w:eastAsia="ja-JP"/>
        </w:rPr>
        <w:t>malachurus</w:t>
      </w:r>
      <w:proofErr w:type="spellEnd"/>
      <w:r w:rsidRPr="005329D7">
        <w:rPr>
          <w:i/>
          <w:iCs/>
          <w:lang w:val="en-US" w:eastAsia="ja-JP"/>
        </w:rPr>
        <w:t xml:space="preserve"> </w:t>
      </w:r>
      <w:proofErr w:type="spellStart"/>
      <w:r w:rsidRPr="005329D7">
        <w:rPr>
          <w:i/>
          <w:iCs/>
          <w:lang w:val="en-US" w:eastAsia="ja-JP"/>
        </w:rPr>
        <w:t>parimeda</w:t>
      </w:r>
      <w:proofErr w:type="spellEnd"/>
      <w:r w:rsidRPr="005329D7">
        <w:rPr>
          <w:lang w:val="en-US" w:eastAsia="ja-JP"/>
        </w:rPr>
        <w:t>) and Western Whipbird (eastern) (</w:t>
      </w:r>
      <w:proofErr w:type="spellStart"/>
      <w:r w:rsidRPr="005329D7">
        <w:rPr>
          <w:i/>
          <w:iCs/>
          <w:lang w:val="en-US" w:eastAsia="ja-JP"/>
        </w:rPr>
        <w:t>Psophodes</w:t>
      </w:r>
      <w:proofErr w:type="spellEnd"/>
      <w:r w:rsidRPr="005329D7">
        <w:rPr>
          <w:i/>
          <w:iCs/>
          <w:lang w:val="en-US" w:eastAsia="ja-JP"/>
        </w:rPr>
        <w:t xml:space="preserve"> </w:t>
      </w:r>
      <w:proofErr w:type="spellStart"/>
      <w:r w:rsidRPr="005329D7">
        <w:rPr>
          <w:i/>
          <w:iCs/>
          <w:lang w:val="en-US" w:eastAsia="ja-JP"/>
        </w:rPr>
        <w:t>leucogaster</w:t>
      </w:r>
      <w:proofErr w:type="spellEnd"/>
      <w:r w:rsidRPr="005329D7">
        <w:rPr>
          <w:i/>
          <w:iCs/>
          <w:lang w:val="en-US" w:eastAsia="ja-JP"/>
        </w:rPr>
        <w:t xml:space="preserve"> </w:t>
      </w:r>
      <w:proofErr w:type="spellStart"/>
      <w:r w:rsidRPr="005329D7">
        <w:rPr>
          <w:i/>
          <w:iCs/>
          <w:lang w:val="en-US" w:eastAsia="ja-JP"/>
        </w:rPr>
        <w:t>leucogaster</w:t>
      </w:r>
      <w:proofErr w:type="spellEnd"/>
      <w:r w:rsidRPr="005329D7">
        <w:rPr>
          <w:lang w:val="en-US" w:eastAsia="ja-JP"/>
        </w:rPr>
        <w:t>) at Whalers Way, June 2020</w:t>
      </w:r>
      <w:r>
        <w:rPr>
          <w:i/>
          <w:iCs/>
          <w:lang w:val="en-US" w:eastAsia="ja-JP"/>
        </w:rPr>
        <w:t xml:space="preserve">. </w:t>
      </w:r>
      <w:r>
        <w:rPr>
          <w:lang w:val="en-US" w:eastAsia="ja-JP"/>
        </w:rPr>
        <w:t xml:space="preserve">In </w:t>
      </w:r>
      <w:r>
        <w:rPr>
          <w:i/>
          <w:iCs/>
          <w:lang w:val="en-US" w:eastAsia="ja-JP"/>
        </w:rPr>
        <w:t>Whalers Way Orbital Launch Complex: Terrestrial Biodiversity Technical Report</w:t>
      </w:r>
      <w:r>
        <w:rPr>
          <w:lang w:val="en-US" w:eastAsia="ja-JP"/>
        </w:rPr>
        <w:t xml:space="preserve">. Report prepared </w:t>
      </w:r>
      <w:r w:rsidR="00CB5C5C">
        <w:rPr>
          <w:lang w:val="en-US" w:eastAsia="ja-JP"/>
        </w:rPr>
        <w:t>for Southern Launch</w:t>
      </w:r>
      <w:r>
        <w:rPr>
          <w:lang w:val="en-US" w:eastAsia="ja-JP"/>
        </w:rPr>
        <w:t xml:space="preserve">, Adelaide. </w:t>
      </w:r>
    </w:p>
    <w:p w14:paraId="6E7E3519" w14:textId="36AA1B44" w:rsidR="009208A8" w:rsidRPr="003559DB" w:rsidRDefault="009208A8" w:rsidP="00CC56F3">
      <w:pPr>
        <w:rPr>
          <w:lang w:val="en-US" w:eastAsia="ja-JP"/>
        </w:rPr>
      </w:pPr>
      <w:r>
        <w:rPr>
          <w:lang w:val="en-US" w:eastAsia="ja-JP"/>
        </w:rPr>
        <w:t xml:space="preserve">Southern Launch (2022) </w:t>
      </w:r>
      <w:r w:rsidR="003559DB" w:rsidRPr="003559DB">
        <w:rPr>
          <w:i/>
          <w:iCs/>
          <w:lang w:val="en-US" w:eastAsia="ja-JP"/>
        </w:rPr>
        <w:t>Whalers Way Orbital Launch Complex</w:t>
      </w:r>
      <w:r w:rsidR="003559DB">
        <w:rPr>
          <w:i/>
          <w:iCs/>
          <w:lang w:val="en-US" w:eastAsia="ja-JP"/>
        </w:rPr>
        <w:t>.</w:t>
      </w:r>
      <w:r w:rsidR="003559DB">
        <w:rPr>
          <w:lang w:val="en-US" w:eastAsia="ja-JP"/>
        </w:rPr>
        <w:t xml:space="preserve"> Southern Launch, South Australia</w:t>
      </w:r>
      <w:r w:rsidR="00FB1CFD">
        <w:rPr>
          <w:lang w:val="en-US" w:eastAsia="ja-JP"/>
        </w:rPr>
        <w:t xml:space="preserve">. </w:t>
      </w:r>
      <w:r w:rsidR="001E62ED">
        <w:rPr>
          <w:lang w:val="en-US" w:eastAsia="ja-JP"/>
        </w:rPr>
        <w:t xml:space="preserve">Accessed </w:t>
      </w:r>
      <w:r w:rsidR="008D308E">
        <w:rPr>
          <w:lang w:val="en-US" w:eastAsia="ja-JP"/>
        </w:rPr>
        <w:t xml:space="preserve">11/01/2022. Available at: </w:t>
      </w:r>
      <w:hyperlink r:id="rId24" w:history="1">
        <w:r w:rsidR="007C6F68">
          <w:rPr>
            <w:rStyle w:val="Hyperlink"/>
          </w:rPr>
          <w:t>Whalers Way Orbital Launch Complex — Southern Launch</w:t>
        </w:r>
      </w:hyperlink>
      <w:r w:rsidR="007C6F68">
        <w:t>.</w:t>
      </w:r>
    </w:p>
    <w:p w14:paraId="573A1B2C" w14:textId="434FF0F8" w:rsidR="00CC56F3" w:rsidRDefault="00CC56F3" w:rsidP="00CC56F3">
      <w:pPr>
        <w:rPr>
          <w:lang w:eastAsia="ja-JP"/>
        </w:rPr>
      </w:pPr>
      <w:r>
        <w:rPr>
          <w:lang w:eastAsia="ja-JP"/>
        </w:rPr>
        <w:t xml:space="preserve">Van </w:t>
      </w:r>
      <w:proofErr w:type="spellStart"/>
      <w:r>
        <w:rPr>
          <w:lang w:eastAsia="ja-JP"/>
        </w:rPr>
        <w:t>Weenen</w:t>
      </w:r>
      <w:proofErr w:type="spellEnd"/>
      <w:r>
        <w:rPr>
          <w:lang w:eastAsia="ja-JP"/>
        </w:rPr>
        <w:t xml:space="preserve"> </w:t>
      </w:r>
      <w:r w:rsidR="00BB2CD2">
        <w:rPr>
          <w:lang w:eastAsia="ja-JP"/>
        </w:rPr>
        <w:t xml:space="preserve">J &amp; Garnett ST (2021) </w:t>
      </w:r>
      <w:r w:rsidR="009B155C">
        <w:rPr>
          <w:lang w:eastAsia="ja-JP"/>
        </w:rPr>
        <w:t xml:space="preserve">Eyre Peninsula </w:t>
      </w:r>
      <w:r w:rsidR="00882019">
        <w:rPr>
          <w:lang w:eastAsia="ja-JP"/>
        </w:rPr>
        <w:t xml:space="preserve">Southern Emu-wren </w:t>
      </w:r>
      <w:proofErr w:type="spellStart"/>
      <w:r w:rsidR="00882019">
        <w:rPr>
          <w:i/>
          <w:iCs/>
          <w:lang w:eastAsia="ja-JP"/>
        </w:rPr>
        <w:t>Stipiturus</w:t>
      </w:r>
      <w:proofErr w:type="spellEnd"/>
      <w:r w:rsidR="00882019">
        <w:rPr>
          <w:i/>
          <w:iCs/>
          <w:lang w:eastAsia="ja-JP"/>
        </w:rPr>
        <w:t xml:space="preserve"> </w:t>
      </w:r>
      <w:proofErr w:type="spellStart"/>
      <w:r w:rsidR="00882019">
        <w:rPr>
          <w:i/>
          <w:iCs/>
          <w:lang w:eastAsia="ja-JP"/>
        </w:rPr>
        <w:t>malachurus</w:t>
      </w:r>
      <w:proofErr w:type="spellEnd"/>
      <w:r w:rsidR="00882019">
        <w:rPr>
          <w:i/>
          <w:iCs/>
          <w:lang w:eastAsia="ja-JP"/>
        </w:rPr>
        <w:t xml:space="preserve"> </w:t>
      </w:r>
      <w:proofErr w:type="spellStart"/>
      <w:r w:rsidR="00882019">
        <w:rPr>
          <w:i/>
          <w:iCs/>
          <w:lang w:eastAsia="ja-JP"/>
        </w:rPr>
        <w:t>parimeda</w:t>
      </w:r>
      <w:proofErr w:type="spellEnd"/>
      <w:r w:rsidR="00882019">
        <w:rPr>
          <w:lang w:eastAsia="ja-JP"/>
        </w:rPr>
        <w:t xml:space="preserve">. </w:t>
      </w:r>
      <w:r w:rsidR="00882019" w:rsidRPr="00882019">
        <w:rPr>
          <w:lang w:eastAsia="ja-JP"/>
        </w:rPr>
        <w:t xml:space="preserve">In </w:t>
      </w:r>
      <w:r w:rsidR="00882019" w:rsidRPr="00882019">
        <w:rPr>
          <w:i/>
          <w:iCs/>
          <w:lang w:eastAsia="ja-JP"/>
        </w:rPr>
        <w:t>The Action Plan for Australian Birds 2020</w:t>
      </w:r>
      <w:r w:rsidR="00882019" w:rsidRPr="00882019">
        <w:rPr>
          <w:lang w:eastAsia="ja-JP"/>
        </w:rPr>
        <w:t>. (Eds ST Garnett and GB Baker) CSIRO Publishing, Melbourne.</w:t>
      </w:r>
    </w:p>
    <w:p w14:paraId="6CDC41CB" w14:textId="6EAD789A" w:rsidR="00390815" w:rsidRPr="00390815" w:rsidRDefault="00390815" w:rsidP="00CC56F3">
      <w:pPr>
        <w:rPr>
          <w:lang w:val="en-US" w:eastAsia="ja-JP"/>
        </w:rPr>
      </w:pPr>
      <w:r w:rsidRPr="00390815">
        <w:rPr>
          <w:lang w:val="en-US" w:eastAsia="ja-JP"/>
        </w:rPr>
        <w:t xml:space="preserve">Wilson D &amp; Paton DC (2004) Habitat use by the Southern Emu-wren, </w:t>
      </w:r>
      <w:proofErr w:type="spellStart"/>
      <w:r w:rsidRPr="00390815">
        <w:rPr>
          <w:i/>
          <w:iCs/>
          <w:lang w:val="en-US" w:eastAsia="ja-JP"/>
        </w:rPr>
        <w:t>Stipiturus</w:t>
      </w:r>
      <w:proofErr w:type="spellEnd"/>
      <w:r w:rsidRPr="00390815">
        <w:rPr>
          <w:i/>
          <w:iCs/>
          <w:lang w:val="en-US" w:eastAsia="ja-JP"/>
        </w:rPr>
        <w:t xml:space="preserve"> </w:t>
      </w:r>
      <w:proofErr w:type="spellStart"/>
      <w:r w:rsidRPr="00390815">
        <w:rPr>
          <w:i/>
          <w:iCs/>
          <w:lang w:val="en-US" w:eastAsia="ja-JP"/>
        </w:rPr>
        <w:t>malachurus</w:t>
      </w:r>
      <w:proofErr w:type="spellEnd"/>
      <w:r w:rsidRPr="00390815">
        <w:rPr>
          <w:lang w:val="en-US" w:eastAsia="ja-JP"/>
        </w:rPr>
        <w:t xml:space="preserve"> (Aves: </w:t>
      </w:r>
      <w:proofErr w:type="spellStart"/>
      <w:r w:rsidRPr="00390815">
        <w:rPr>
          <w:lang w:val="en-US" w:eastAsia="ja-JP"/>
        </w:rPr>
        <w:t>Maluridae</w:t>
      </w:r>
      <w:proofErr w:type="spellEnd"/>
      <w:r w:rsidRPr="00390815">
        <w:rPr>
          <w:lang w:val="en-US" w:eastAsia="ja-JP"/>
        </w:rPr>
        <w:t xml:space="preserve">) in South Australia, and evaluation of vegetation at a potential translocation site for </w:t>
      </w:r>
      <w:r w:rsidRPr="00390815">
        <w:rPr>
          <w:i/>
          <w:iCs/>
          <w:lang w:val="en-US" w:eastAsia="ja-JP"/>
        </w:rPr>
        <w:t>S. m. intermedius</w:t>
      </w:r>
      <w:r w:rsidRPr="00390815">
        <w:rPr>
          <w:lang w:val="en-US" w:eastAsia="ja-JP"/>
        </w:rPr>
        <w:t xml:space="preserve">. </w:t>
      </w:r>
      <w:r w:rsidRPr="00390815">
        <w:rPr>
          <w:i/>
          <w:iCs/>
          <w:lang w:val="en-US" w:eastAsia="ja-JP"/>
        </w:rPr>
        <w:t>Emu</w:t>
      </w:r>
      <w:r w:rsidRPr="00390815">
        <w:rPr>
          <w:lang w:val="en-US" w:eastAsia="ja-JP"/>
        </w:rPr>
        <w:t xml:space="preserve"> 104, 1, 37-43.</w:t>
      </w:r>
    </w:p>
    <w:p w14:paraId="38FA254D" w14:textId="77777777" w:rsidR="00504D55" w:rsidRPr="00504D55" w:rsidRDefault="00504D55" w:rsidP="00504D55">
      <w:pPr>
        <w:rPr>
          <w:lang w:eastAsia="ja-JP"/>
        </w:rPr>
      </w:pPr>
    </w:p>
    <w:p w14:paraId="284584CA" w14:textId="77777777" w:rsidR="009E13C2" w:rsidRPr="009E13C2" w:rsidRDefault="009E13C2" w:rsidP="009E13C2"/>
    <w:p w14:paraId="0E0408F6" w14:textId="77777777" w:rsidR="0086619D" w:rsidRDefault="0086619D" w:rsidP="00601FF6">
      <w:pPr>
        <w:sectPr w:rsidR="0086619D" w:rsidSect="005208A6">
          <w:headerReference w:type="even" r:id="rId25"/>
          <w:headerReference w:type="default" r:id="rId26"/>
          <w:footerReference w:type="default" r:id="rId27"/>
          <w:headerReference w:type="first" r:id="rId28"/>
          <w:footerReference w:type="first" r:id="rId29"/>
          <w:pgSz w:w="11906" w:h="16838"/>
          <w:pgMar w:top="1418" w:right="1418" w:bottom="1418" w:left="1418" w:header="567" w:footer="284" w:gutter="0"/>
          <w:cols w:space="708"/>
          <w:titlePg/>
          <w:docGrid w:linePitch="360"/>
        </w:sectPr>
      </w:pPr>
    </w:p>
    <w:p w14:paraId="4BD87519" w14:textId="6C26A77A" w:rsidR="003A06CA" w:rsidRDefault="003A06CA" w:rsidP="003A06CA">
      <w:pPr>
        <w:pStyle w:val="Heading2"/>
        <w:pageBreakBefore/>
        <w:ind w:left="720" w:hanging="720"/>
      </w:pPr>
      <w:r>
        <w:lastRenderedPageBreak/>
        <w:t xml:space="preserve">Attachment A: Listing </w:t>
      </w:r>
      <w:r w:rsidR="0012461E">
        <w:t>A</w:t>
      </w:r>
      <w:r>
        <w:t xml:space="preserve">ssessment for </w:t>
      </w:r>
      <w:proofErr w:type="spellStart"/>
      <w:r w:rsidR="00760207">
        <w:rPr>
          <w:i/>
          <w:iCs/>
        </w:rPr>
        <w:t>Stipiturus</w:t>
      </w:r>
      <w:proofErr w:type="spellEnd"/>
      <w:r w:rsidR="00760207">
        <w:rPr>
          <w:i/>
          <w:iCs/>
        </w:rPr>
        <w:t xml:space="preserve"> </w:t>
      </w:r>
      <w:proofErr w:type="spellStart"/>
      <w:r w:rsidR="00760207">
        <w:rPr>
          <w:i/>
          <w:iCs/>
        </w:rPr>
        <w:t>malachurus</w:t>
      </w:r>
      <w:proofErr w:type="spellEnd"/>
      <w:r w:rsidR="00760207">
        <w:rPr>
          <w:i/>
          <w:iCs/>
        </w:rPr>
        <w:t xml:space="preserve"> </w:t>
      </w:r>
      <w:proofErr w:type="spellStart"/>
      <w:r w:rsidR="00760207">
        <w:rPr>
          <w:i/>
          <w:iCs/>
        </w:rPr>
        <w:t>parimeda</w:t>
      </w:r>
      <w:proofErr w:type="spellEnd"/>
    </w:p>
    <w:p w14:paraId="4A110E9B" w14:textId="77777777" w:rsidR="003A06CA" w:rsidRDefault="003A06CA" w:rsidP="00933A0D">
      <w:pPr>
        <w:pStyle w:val="Heading3"/>
        <w:ind w:left="964" w:hanging="964"/>
        <w:rPr>
          <w:lang w:eastAsia="ja-JP"/>
        </w:rPr>
      </w:pPr>
      <w:r>
        <w:rPr>
          <w:lang w:eastAsia="ja-JP"/>
        </w:rPr>
        <w:t>Reason for assessment</w:t>
      </w:r>
    </w:p>
    <w:p w14:paraId="04F0ADAF" w14:textId="45C40D21" w:rsidR="003A06CA" w:rsidRPr="00760207" w:rsidRDefault="00933A0D" w:rsidP="003A06CA">
      <w:pPr>
        <w:rPr>
          <w:lang w:eastAsia="ja-JP"/>
        </w:rPr>
      </w:pPr>
      <w:r w:rsidRPr="00760207">
        <w:rPr>
          <w:lang w:eastAsia="ja-JP"/>
        </w:rPr>
        <w:t xml:space="preserve">The </w:t>
      </w:r>
      <w:r w:rsidR="00EC361C" w:rsidRPr="00760207">
        <w:rPr>
          <w:lang w:eastAsia="ja-JP"/>
        </w:rPr>
        <w:t xml:space="preserve">Eyre Peninsula </w:t>
      </w:r>
      <w:r w:rsidR="009C03F1">
        <w:rPr>
          <w:lang w:eastAsia="ja-JP"/>
        </w:rPr>
        <w:t>southern emu</w:t>
      </w:r>
      <w:r w:rsidR="00C0355C">
        <w:rPr>
          <w:lang w:eastAsia="ja-JP"/>
        </w:rPr>
        <w:t>-wren</w:t>
      </w:r>
      <w:r w:rsidR="003A06CA" w:rsidRPr="00760207">
        <w:rPr>
          <w:lang w:eastAsia="ja-JP"/>
        </w:rPr>
        <w:t xml:space="preserve"> was listed as </w:t>
      </w:r>
      <w:sdt>
        <w:sdtPr>
          <w:id w:val="-986937263"/>
          <w:placeholder>
            <w:docPart w:val="9FE9CCA6BA0940C09283EDDF3BC356EF"/>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listItem w:displayText="Extinct" w:value="Extinct"/>
          </w:dropDownList>
        </w:sdtPr>
        <w:sdtEndPr/>
        <w:sdtContent>
          <w:r w:rsidR="00EC361C" w:rsidRPr="00760207">
            <w:t>Vulnerable</w:t>
          </w:r>
        </w:sdtContent>
      </w:sdt>
      <w:r w:rsidRPr="00760207" w:rsidDel="00933A0D">
        <w:rPr>
          <w:lang w:eastAsia="ja-JP"/>
        </w:rPr>
        <w:t xml:space="preserve"> </w:t>
      </w:r>
      <w:r w:rsidR="003A06CA" w:rsidRPr="00760207">
        <w:rPr>
          <w:lang w:eastAsia="ja-JP"/>
        </w:rPr>
        <w:t xml:space="preserve">under the </w:t>
      </w:r>
      <w:r w:rsidR="003A06CA" w:rsidRPr="00760207">
        <w:rPr>
          <w:rStyle w:val="Emphasis"/>
        </w:rPr>
        <w:t>Endangered Species Protection Act 1992</w:t>
      </w:r>
      <w:r w:rsidR="003A06CA" w:rsidRPr="00760207">
        <w:rPr>
          <w:lang w:eastAsia="ja-JP"/>
        </w:rPr>
        <w:t xml:space="preserve"> and transferred to the </w:t>
      </w:r>
      <w:r w:rsidR="003A06CA" w:rsidRPr="00760207">
        <w:rPr>
          <w:rStyle w:val="Emphasis"/>
        </w:rPr>
        <w:t>Environment Protection and Biodiversity Conservation Act 1999</w:t>
      </w:r>
      <w:r w:rsidR="003A06CA" w:rsidRPr="00760207">
        <w:rPr>
          <w:lang w:eastAsia="ja-JP"/>
        </w:rPr>
        <w:t xml:space="preserve"> (EPBC Act) when it commenced in July 2000.</w:t>
      </w:r>
    </w:p>
    <w:p w14:paraId="16038F0A" w14:textId="2D1E6A13" w:rsidR="006C7342" w:rsidRPr="006C7342" w:rsidRDefault="003A06CA" w:rsidP="00117646">
      <w:pPr>
        <w:rPr>
          <w:lang w:eastAsia="ja-JP"/>
        </w:rPr>
      </w:pPr>
      <w:r w:rsidRPr="00760207">
        <w:t>This assessment follows</w:t>
      </w:r>
      <w:r w:rsidR="00760207" w:rsidRPr="00760207">
        <w:t xml:space="preserve"> </w:t>
      </w:r>
      <w:r w:rsidR="008F4A89" w:rsidRPr="00760207">
        <w:rPr>
          <w:lang w:eastAsia="ja-JP"/>
        </w:rPr>
        <w:t xml:space="preserve">evaluation by experts of the conservation status of the species </w:t>
      </w:r>
      <w:r w:rsidR="006F0813" w:rsidRPr="00760207">
        <w:rPr>
          <w:lang w:eastAsia="ja-JP"/>
        </w:rPr>
        <w:t>and</w:t>
      </w:r>
      <w:r w:rsidR="00760207" w:rsidRPr="00760207">
        <w:rPr>
          <w:lang w:eastAsia="ja-JP"/>
        </w:rPr>
        <w:t xml:space="preserve"> </w:t>
      </w:r>
      <w:r w:rsidRPr="00760207">
        <w:rPr>
          <w:lang w:eastAsia="ja-JP"/>
        </w:rPr>
        <w:t>consultation with the States and Territories as part of systematically reviewing species that are inconsistently listed under the EPBC Act and relevant State or Territory legislation</w:t>
      </w:r>
      <w:r w:rsidR="00117646" w:rsidRPr="00760207">
        <w:rPr>
          <w:lang w:eastAsia="ja-JP"/>
        </w:rPr>
        <w:t>.</w:t>
      </w:r>
    </w:p>
    <w:p w14:paraId="21933386" w14:textId="77777777" w:rsidR="003A06CA" w:rsidRDefault="003A06CA" w:rsidP="004D61C9">
      <w:pPr>
        <w:pStyle w:val="Heading3"/>
        <w:ind w:left="964" w:hanging="964"/>
        <w:rPr>
          <w:lang w:eastAsia="ja-JP"/>
        </w:rPr>
      </w:pPr>
      <w:r>
        <w:rPr>
          <w:lang w:eastAsia="ja-JP"/>
        </w:rPr>
        <w:t>Assessment of eligibility for listing</w:t>
      </w:r>
    </w:p>
    <w:p w14:paraId="272C5AB2" w14:textId="0FD8772E" w:rsidR="003A06CA" w:rsidRDefault="003A06CA" w:rsidP="003A06CA">
      <w:pPr>
        <w:rPr>
          <w:lang w:eastAsia="ja-JP"/>
        </w:rPr>
      </w:pPr>
      <w:r>
        <w:rPr>
          <w:lang w:eastAsia="ja-JP"/>
        </w:rPr>
        <w:t xml:space="preserve">This </w:t>
      </w:r>
      <w:r w:rsidRPr="008D2DCF">
        <w:rPr>
          <w:lang w:eastAsia="ja-JP"/>
        </w:rPr>
        <w:t>assessment</w:t>
      </w:r>
      <w:r>
        <w:rPr>
          <w:lang w:eastAsia="ja-JP"/>
        </w:rPr>
        <w:t xml:space="preserve"> uses the criteria set out in the </w:t>
      </w:r>
      <w:hyperlink r:id="rId30" w:history="1">
        <w:r w:rsidRPr="00C77CE3">
          <w:rPr>
            <w:rStyle w:val="Hyperlink"/>
            <w:lang w:eastAsia="ja-JP"/>
          </w:rPr>
          <w:t>EPBC Regulations</w:t>
        </w:r>
      </w:hyperlink>
      <w:r>
        <w:rPr>
          <w:lang w:eastAsia="ja-JP"/>
        </w:rPr>
        <w:t xml:space="preserve">. The thresholds used correspond with those in the </w:t>
      </w:r>
      <w:hyperlink r:id="rId31" w:history="1">
        <w:r w:rsidRPr="00C77CE3">
          <w:rPr>
            <w:rStyle w:val="Hyperlink"/>
            <w:lang w:eastAsia="ja-JP"/>
          </w:rPr>
          <w:t>IUCN Red List criteria</w:t>
        </w:r>
      </w:hyperlink>
      <w:r>
        <w:rPr>
          <w:lang w:eastAsia="ja-JP"/>
        </w:rPr>
        <w:t xml:space="preserve"> except </w:t>
      </w:r>
      <w:proofErr w:type="gramStart"/>
      <w:r>
        <w:rPr>
          <w:lang w:eastAsia="ja-JP"/>
        </w:rPr>
        <w:t>where</w:t>
      </w:r>
      <w:proofErr w:type="gramEnd"/>
      <w:r>
        <w:rPr>
          <w:lang w:eastAsia="ja-JP"/>
        </w:rPr>
        <w:t xml:space="preserve"> noted in criterion 4, sub-criterion D2. The IUCN criteria are used by Australian jurisdictions to achieve consistent listing assessments through the Common Assessment Method (CAM).</w:t>
      </w:r>
    </w:p>
    <w:p w14:paraId="6BA02F49" w14:textId="77777777" w:rsidR="0077351A" w:rsidRDefault="0077351A" w:rsidP="0077351A">
      <w:pPr>
        <w:pStyle w:val="Heading3"/>
        <w:rPr>
          <w:lang w:eastAsia="ja-JP"/>
        </w:rPr>
      </w:pPr>
      <w:r>
        <w:rPr>
          <w:lang w:eastAsia="ja-JP"/>
        </w:rPr>
        <w:t>Key assessment parameters</w:t>
      </w:r>
    </w:p>
    <w:p w14:paraId="7B42EE70" w14:textId="7F0E9351" w:rsidR="007019A7" w:rsidRDefault="0077351A" w:rsidP="0077351A">
      <w:pPr>
        <w:rPr>
          <w:lang w:eastAsia="ja-JP"/>
        </w:rPr>
      </w:pPr>
      <w:r>
        <w:rPr>
          <w:lang w:eastAsia="ja-JP"/>
        </w:rPr>
        <w:t xml:space="preserve">Table 3 includes the key assessment parameters used in the </w:t>
      </w:r>
      <w:r w:rsidRPr="008D2DCF">
        <w:rPr>
          <w:lang w:eastAsia="ja-JP"/>
        </w:rPr>
        <w:t>assessment</w:t>
      </w:r>
      <w:r>
        <w:rPr>
          <w:lang w:eastAsia="ja-JP"/>
        </w:rPr>
        <w:t xml:space="preserve"> of eligibility for listing</w:t>
      </w:r>
      <w:r w:rsidR="00E22344">
        <w:rPr>
          <w:lang w:eastAsia="ja-JP"/>
        </w:rPr>
        <w:t xml:space="preserve"> against the criteria</w:t>
      </w:r>
      <w:r>
        <w:rPr>
          <w:lang w:eastAsia="ja-JP"/>
        </w:rPr>
        <w:t>.</w:t>
      </w:r>
      <w:r w:rsidR="00F83D60">
        <w:rPr>
          <w:lang w:eastAsia="ja-JP"/>
        </w:rPr>
        <w:t xml:space="preserve"> The definition of each of the parameters follows the </w:t>
      </w:r>
      <w:hyperlink r:id="rId32" w:history="1">
        <w:r w:rsidR="00F83D60" w:rsidRPr="00F83D60">
          <w:rPr>
            <w:rStyle w:val="Hyperlink"/>
            <w:lang w:eastAsia="ja-JP"/>
          </w:rPr>
          <w:t>Guidelines for Using the IUCN Red List Categories and Criteria</w:t>
        </w:r>
      </w:hyperlink>
      <w:r w:rsidR="00F83D60">
        <w:rPr>
          <w:lang w:eastAsia="ja-JP"/>
        </w:rPr>
        <w:t>.</w:t>
      </w:r>
    </w:p>
    <w:p w14:paraId="251E7521" w14:textId="77777777" w:rsidR="0077351A" w:rsidRPr="009502E2" w:rsidRDefault="0077351A" w:rsidP="0077351A">
      <w:pPr>
        <w:pStyle w:val="Caption"/>
      </w:pPr>
      <w:r w:rsidRPr="009502E2">
        <w:t xml:space="preserve">Table </w:t>
      </w:r>
      <w:r w:rsidR="00505F46">
        <w:fldChar w:fldCharType="begin"/>
      </w:r>
      <w:r w:rsidR="00505F46">
        <w:instrText xml:space="preserve"> SEQ Table \* ARABIC </w:instrText>
      </w:r>
      <w:r w:rsidR="00505F46">
        <w:fldChar w:fldCharType="separate"/>
      </w:r>
      <w:r w:rsidR="004D0D1F">
        <w:rPr>
          <w:noProof/>
        </w:rPr>
        <w:t>3</w:t>
      </w:r>
      <w:r w:rsidR="00505F46">
        <w:rPr>
          <w:noProof/>
        </w:rPr>
        <w:fldChar w:fldCharType="end"/>
      </w:r>
      <w:r w:rsidRPr="009502E2">
        <w:t xml:space="preserve"> </w:t>
      </w:r>
      <w:r w:rsidR="001376F1">
        <w:t>K</w:t>
      </w:r>
      <w:r w:rsidRPr="009502E2">
        <w:t>ey assessment parameters</w:t>
      </w:r>
    </w:p>
    <w:tbl>
      <w:tblPr>
        <w:tblStyle w:val="TableGrid"/>
        <w:tblW w:w="0" w:type="auto"/>
        <w:tblLook w:val="04A0" w:firstRow="1" w:lastRow="0" w:firstColumn="1" w:lastColumn="0" w:noHBand="0" w:noVBand="1"/>
      </w:tblPr>
      <w:tblGrid>
        <w:gridCol w:w="1741"/>
        <w:gridCol w:w="1422"/>
        <w:gridCol w:w="1409"/>
        <w:gridCol w:w="1414"/>
        <w:gridCol w:w="3074"/>
      </w:tblGrid>
      <w:tr w:rsidR="00CD441B" w:rsidRPr="00D20C80" w14:paraId="6855B9B6" w14:textId="77777777" w:rsidTr="00FD515C">
        <w:trPr>
          <w:cantSplit/>
          <w:tblHeader/>
        </w:trPr>
        <w:tc>
          <w:tcPr>
            <w:tcW w:w="1741" w:type="dxa"/>
          </w:tcPr>
          <w:p w14:paraId="1C802664" w14:textId="77777777" w:rsidR="00CD441B" w:rsidRPr="00D20C80" w:rsidRDefault="00CD441B" w:rsidP="00C5493E">
            <w:pPr>
              <w:pStyle w:val="TableHeading"/>
              <w:keepNext w:val="0"/>
            </w:pPr>
            <w:bookmarkStart w:id="16" w:name="_Hlk66963083"/>
            <w:r w:rsidRPr="00D20C80">
              <w:t>Metric</w:t>
            </w:r>
          </w:p>
        </w:tc>
        <w:tc>
          <w:tcPr>
            <w:tcW w:w="1422" w:type="dxa"/>
          </w:tcPr>
          <w:p w14:paraId="7B4D9507" w14:textId="77777777" w:rsidR="00CD441B" w:rsidRPr="00D20C80" w:rsidRDefault="00CD441B" w:rsidP="00FD515C">
            <w:pPr>
              <w:pStyle w:val="TableHeading"/>
              <w:keepNext w:val="0"/>
            </w:pPr>
            <w:r w:rsidRPr="00D20C80">
              <w:t>Estimate</w:t>
            </w:r>
            <w:r w:rsidR="00E22344">
              <w:t xml:space="preserve"> used in the assessment</w:t>
            </w:r>
          </w:p>
        </w:tc>
        <w:tc>
          <w:tcPr>
            <w:tcW w:w="1409" w:type="dxa"/>
          </w:tcPr>
          <w:p w14:paraId="6A5B316A" w14:textId="77777777" w:rsidR="00CD441B" w:rsidRPr="00D20C80" w:rsidRDefault="00CD441B" w:rsidP="00FD515C">
            <w:pPr>
              <w:pStyle w:val="TableHeading"/>
              <w:keepNext w:val="0"/>
            </w:pPr>
            <w:r w:rsidRPr="00D20C80">
              <w:t>Minimum</w:t>
            </w:r>
            <w:r w:rsidR="00E22344">
              <w:t xml:space="preserve"> plausible value</w:t>
            </w:r>
          </w:p>
        </w:tc>
        <w:tc>
          <w:tcPr>
            <w:tcW w:w="1414" w:type="dxa"/>
          </w:tcPr>
          <w:p w14:paraId="4783A3B9" w14:textId="77777777" w:rsidR="00CD441B" w:rsidRPr="00D20C80" w:rsidRDefault="00CD441B" w:rsidP="00FD515C">
            <w:pPr>
              <w:pStyle w:val="TableHeading"/>
              <w:keepNext w:val="0"/>
            </w:pPr>
            <w:r w:rsidRPr="00D20C80">
              <w:t>Maximum</w:t>
            </w:r>
            <w:r w:rsidR="00E22344">
              <w:t xml:space="preserve"> plausible value</w:t>
            </w:r>
          </w:p>
        </w:tc>
        <w:tc>
          <w:tcPr>
            <w:tcW w:w="3074" w:type="dxa"/>
          </w:tcPr>
          <w:p w14:paraId="6FBAB243" w14:textId="2E698454" w:rsidR="00CD441B" w:rsidRPr="00D20C80" w:rsidRDefault="00CD441B" w:rsidP="00B57B2E">
            <w:pPr>
              <w:pStyle w:val="TableHeading"/>
              <w:keepNext w:val="0"/>
            </w:pPr>
            <w:r w:rsidRPr="00D20C80">
              <w:t>Justification</w:t>
            </w:r>
          </w:p>
        </w:tc>
      </w:tr>
      <w:tr w:rsidR="00D37773" w14:paraId="1F6B5D60" w14:textId="77777777" w:rsidTr="00AC5F6E">
        <w:trPr>
          <w:cantSplit/>
        </w:trPr>
        <w:tc>
          <w:tcPr>
            <w:tcW w:w="1741" w:type="dxa"/>
          </w:tcPr>
          <w:p w14:paraId="2B197778" w14:textId="093CE76C" w:rsidR="00D37773" w:rsidRPr="00D20C80" w:rsidRDefault="00D37773" w:rsidP="00F83D60">
            <w:pPr>
              <w:pStyle w:val="TableHeading"/>
              <w:keepNext w:val="0"/>
              <w:rPr>
                <w:rStyle w:val="Strong"/>
                <w:b/>
                <w:bCs w:val="0"/>
              </w:rPr>
            </w:pPr>
            <w:r w:rsidRPr="00D20C80">
              <w:rPr>
                <w:rStyle w:val="Strong"/>
                <w:b/>
                <w:bCs w:val="0"/>
              </w:rPr>
              <w:t>Number of mature individuals</w:t>
            </w:r>
          </w:p>
        </w:tc>
        <w:tc>
          <w:tcPr>
            <w:tcW w:w="1422" w:type="dxa"/>
            <w:shd w:val="clear" w:color="auto" w:fill="auto"/>
          </w:tcPr>
          <w:p w14:paraId="0B08F84F" w14:textId="24B98B45" w:rsidR="00D37773" w:rsidRDefault="00497B40" w:rsidP="002E31FA">
            <w:pPr>
              <w:pStyle w:val="TableText"/>
            </w:pPr>
            <w:r>
              <w:t>750</w:t>
            </w:r>
          </w:p>
        </w:tc>
        <w:tc>
          <w:tcPr>
            <w:tcW w:w="1409" w:type="dxa"/>
            <w:shd w:val="clear" w:color="auto" w:fill="auto"/>
          </w:tcPr>
          <w:p w14:paraId="722AADA3" w14:textId="6C6543BB" w:rsidR="00D37773" w:rsidRDefault="0024624D" w:rsidP="002E31FA">
            <w:pPr>
              <w:pStyle w:val="TableText"/>
            </w:pPr>
            <w:r>
              <w:t>500</w:t>
            </w:r>
          </w:p>
        </w:tc>
        <w:tc>
          <w:tcPr>
            <w:tcW w:w="1414" w:type="dxa"/>
            <w:shd w:val="clear" w:color="auto" w:fill="auto"/>
          </w:tcPr>
          <w:p w14:paraId="6A54363B" w14:textId="5469771F" w:rsidR="00D37773" w:rsidRDefault="0024624D" w:rsidP="002E31FA">
            <w:pPr>
              <w:pStyle w:val="TableText"/>
            </w:pPr>
            <w:r>
              <w:t>1,000</w:t>
            </w:r>
          </w:p>
        </w:tc>
        <w:tc>
          <w:tcPr>
            <w:tcW w:w="3074" w:type="dxa"/>
            <w:shd w:val="clear" w:color="auto" w:fill="auto"/>
          </w:tcPr>
          <w:p w14:paraId="3BB1648E" w14:textId="66DF0D4C" w:rsidR="00D37773" w:rsidRDefault="0044196E" w:rsidP="002E31FA">
            <w:pPr>
              <w:pStyle w:val="TableText"/>
            </w:pPr>
            <w:r>
              <w:t xml:space="preserve">Updated estimates in Van </w:t>
            </w:r>
            <w:proofErr w:type="spellStart"/>
            <w:r>
              <w:t>Weenen</w:t>
            </w:r>
            <w:proofErr w:type="spellEnd"/>
            <w:r>
              <w:t xml:space="preserve"> &amp; Garnett (2021) based on survey results </w:t>
            </w:r>
            <w:r w:rsidR="008A7A8C">
              <w:t>from Pickett (2002).</w:t>
            </w:r>
          </w:p>
        </w:tc>
      </w:tr>
      <w:tr w:rsidR="00D37773" w14:paraId="12EFD1F3" w14:textId="77777777" w:rsidTr="00AC5F6E">
        <w:trPr>
          <w:cantSplit/>
        </w:trPr>
        <w:tc>
          <w:tcPr>
            <w:tcW w:w="1741" w:type="dxa"/>
          </w:tcPr>
          <w:p w14:paraId="74E9F1C8" w14:textId="77777777" w:rsidR="00D37773" w:rsidRPr="00D20C80" w:rsidRDefault="00D37773" w:rsidP="002E31FA">
            <w:pPr>
              <w:pStyle w:val="TableHeading"/>
              <w:keepNext w:val="0"/>
              <w:rPr>
                <w:rStyle w:val="Strong"/>
                <w:b/>
                <w:bCs w:val="0"/>
              </w:rPr>
            </w:pPr>
            <w:r w:rsidRPr="00D20C80">
              <w:rPr>
                <w:rStyle w:val="Strong"/>
                <w:b/>
                <w:bCs w:val="0"/>
              </w:rPr>
              <w:t>Trend</w:t>
            </w:r>
          </w:p>
        </w:tc>
        <w:tc>
          <w:tcPr>
            <w:tcW w:w="4245" w:type="dxa"/>
            <w:gridSpan w:val="3"/>
            <w:shd w:val="clear" w:color="auto" w:fill="auto"/>
          </w:tcPr>
          <w:p w14:paraId="292A1DA5" w14:textId="7B5E3BE8" w:rsidR="00D37773" w:rsidRPr="003F5104" w:rsidRDefault="00A54F55" w:rsidP="001376F1">
            <w:pPr>
              <w:pStyle w:val="TableText"/>
            </w:pPr>
            <w:r w:rsidRPr="003F5104">
              <w:t>declining</w:t>
            </w:r>
          </w:p>
        </w:tc>
        <w:tc>
          <w:tcPr>
            <w:tcW w:w="3074" w:type="dxa"/>
            <w:shd w:val="clear" w:color="auto" w:fill="auto"/>
          </w:tcPr>
          <w:p w14:paraId="4FBFFA3D" w14:textId="4950764C" w:rsidR="00D37773" w:rsidRDefault="00A06412" w:rsidP="002E31FA">
            <w:pPr>
              <w:pStyle w:val="TableText"/>
            </w:pPr>
            <w:r>
              <w:t xml:space="preserve">Van </w:t>
            </w:r>
            <w:proofErr w:type="spellStart"/>
            <w:r>
              <w:t>Weenen</w:t>
            </w:r>
            <w:proofErr w:type="spellEnd"/>
            <w:r>
              <w:t xml:space="preserve"> &amp; Garnett (2021)</w:t>
            </w:r>
          </w:p>
        </w:tc>
      </w:tr>
      <w:tr w:rsidR="00D37773" w14:paraId="6E59DC42" w14:textId="77777777" w:rsidTr="00AC5F6E">
        <w:trPr>
          <w:cantSplit/>
        </w:trPr>
        <w:tc>
          <w:tcPr>
            <w:tcW w:w="1741" w:type="dxa"/>
          </w:tcPr>
          <w:p w14:paraId="15561E50" w14:textId="77777777" w:rsidR="00D37773" w:rsidRPr="00D20C80" w:rsidRDefault="00D37773" w:rsidP="002E31FA">
            <w:pPr>
              <w:pStyle w:val="TableHeading"/>
              <w:keepNext w:val="0"/>
              <w:rPr>
                <w:rStyle w:val="Strong"/>
                <w:b/>
                <w:bCs w:val="0"/>
              </w:rPr>
            </w:pPr>
            <w:r w:rsidRPr="00D20C80">
              <w:rPr>
                <w:rStyle w:val="Strong"/>
                <w:b/>
                <w:bCs w:val="0"/>
              </w:rPr>
              <w:t>Generation time (years)</w:t>
            </w:r>
          </w:p>
        </w:tc>
        <w:tc>
          <w:tcPr>
            <w:tcW w:w="1422" w:type="dxa"/>
            <w:shd w:val="clear" w:color="auto" w:fill="auto"/>
          </w:tcPr>
          <w:p w14:paraId="23D59E08" w14:textId="5F077F4F" w:rsidR="00D37773" w:rsidRDefault="00F02202" w:rsidP="002E31FA">
            <w:pPr>
              <w:pStyle w:val="TableText"/>
            </w:pPr>
            <w:r>
              <w:t>2.1</w:t>
            </w:r>
          </w:p>
        </w:tc>
        <w:tc>
          <w:tcPr>
            <w:tcW w:w="1409" w:type="dxa"/>
            <w:shd w:val="clear" w:color="auto" w:fill="auto"/>
          </w:tcPr>
          <w:p w14:paraId="551C70DF" w14:textId="36810066" w:rsidR="00D37773" w:rsidRDefault="00F02202" w:rsidP="002E31FA">
            <w:pPr>
              <w:pStyle w:val="TableText"/>
            </w:pPr>
            <w:r>
              <w:t>1.8</w:t>
            </w:r>
          </w:p>
        </w:tc>
        <w:tc>
          <w:tcPr>
            <w:tcW w:w="1414" w:type="dxa"/>
            <w:shd w:val="clear" w:color="auto" w:fill="auto"/>
          </w:tcPr>
          <w:p w14:paraId="3F22FE4B" w14:textId="15D73C11" w:rsidR="00D37773" w:rsidRDefault="00956DEE" w:rsidP="002E31FA">
            <w:pPr>
              <w:pStyle w:val="TableText"/>
            </w:pPr>
            <w:r>
              <w:t>2.3</w:t>
            </w:r>
          </w:p>
        </w:tc>
        <w:tc>
          <w:tcPr>
            <w:tcW w:w="3074" w:type="dxa"/>
            <w:shd w:val="clear" w:color="auto" w:fill="auto"/>
          </w:tcPr>
          <w:p w14:paraId="3C825093" w14:textId="752121D0" w:rsidR="00D37773" w:rsidRDefault="00F02202" w:rsidP="002E31FA">
            <w:pPr>
              <w:pStyle w:val="TableText"/>
            </w:pPr>
            <w:r>
              <w:t>Bird et al. (2020)</w:t>
            </w:r>
          </w:p>
        </w:tc>
      </w:tr>
      <w:tr w:rsidR="00CD441B" w14:paraId="34031D3E" w14:textId="77777777" w:rsidTr="00FD515C">
        <w:trPr>
          <w:cantSplit/>
        </w:trPr>
        <w:tc>
          <w:tcPr>
            <w:tcW w:w="1741" w:type="dxa"/>
          </w:tcPr>
          <w:p w14:paraId="77CBEB51" w14:textId="0086D20F" w:rsidR="00CD441B" w:rsidRPr="00F83D60" w:rsidRDefault="00CD441B" w:rsidP="00F83D60">
            <w:pPr>
              <w:pStyle w:val="TableHeading"/>
              <w:keepNext w:val="0"/>
              <w:rPr>
                <w:rStyle w:val="Strong"/>
                <w:b/>
                <w:sz w:val="22"/>
              </w:rPr>
            </w:pPr>
            <w:r w:rsidRPr="00D20C80">
              <w:rPr>
                <w:rStyle w:val="Strong"/>
                <w:b/>
                <w:bCs w:val="0"/>
              </w:rPr>
              <w:t>Extent of occurrence</w:t>
            </w:r>
          </w:p>
        </w:tc>
        <w:tc>
          <w:tcPr>
            <w:tcW w:w="1422" w:type="dxa"/>
            <w:shd w:val="clear" w:color="auto" w:fill="auto"/>
          </w:tcPr>
          <w:p w14:paraId="650F68C7" w14:textId="45DB4F44" w:rsidR="00CD441B" w:rsidRPr="005C3A5B" w:rsidRDefault="005C3A5B" w:rsidP="00FD515C">
            <w:pPr>
              <w:pStyle w:val="TableText"/>
              <w:rPr>
                <w:vertAlign w:val="superscript"/>
              </w:rPr>
            </w:pPr>
            <w:r>
              <w:t>2,100 km</w:t>
            </w:r>
            <w:r>
              <w:rPr>
                <w:vertAlign w:val="superscript"/>
              </w:rPr>
              <w:t>2</w:t>
            </w:r>
          </w:p>
        </w:tc>
        <w:tc>
          <w:tcPr>
            <w:tcW w:w="1409" w:type="dxa"/>
            <w:shd w:val="clear" w:color="auto" w:fill="auto"/>
          </w:tcPr>
          <w:p w14:paraId="1B3378EE" w14:textId="1227E424" w:rsidR="00CD441B" w:rsidRPr="006F3762" w:rsidRDefault="006F3762" w:rsidP="00FD515C">
            <w:pPr>
              <w:pStyle w:val="TableText"/>
              <w:rPr>
                <w:vertAlign w:val="superscript"/>
              </w:rPr>
            </w:pPr>
            <w:r>
              <w:t>1,900 km</w:t>
            </w:r>
            <w:r>
              <w:rPr>
                <w:vertAlign w:val="superscript"/>
              </w:rPr>
              <w:t>2</w:t>
            </w:r>
          </w:p>
        </w:tc>
        <w:tc>
          <w:tcPr>
            <w:tcW w:w="1414" w:type="dxa"/>
            <w:shd w:val="clear" w:color="auto" w:fill="auto"/>
          </w:tcPr>
          <w:p w14:paraId="20B305C0" w14:textId="6A7EBAC8" w:rsidR="00CD441B" w:rsidRPr="00074906" w:rsidRDefault="00074906" w:rsidP="00FD515C">
            <w:pPr>
              <w:pStyle w:val="TableText"/>
              <w:rPr>
                <w:vertAlign w:val="superscript"/>
              </w:rPr>
            </w:pPr>
            <w:r>
              <w:t>23,010 km</w:t>
            </w:r>
            <w:r>
              <w:rPr>
                <w:vertAlign w:val="superscript"/>
              </w:rPr>
              <w:t>2</w:t>
            </w:r>
          </w:p>
        </w:tc>
        <w:tc>
          <w:tcPr>
            <w:tcW w:w="3074" w:type="dxa"/>
            <w:shd w:val="clear" w:color="auto" w:fill="auto"/>
          </w:tcPr>
          <w:p w14:paraId="0EF04E93" w14:textId="277BCBA7" w:rsidR="00CD441B" w:rsidRDefault="006D6D41" w:rsidP="00FD515C">
            <w:pPr>
              <w:pStyle w:val="TableText"/>
            </w:pPr>
            <w:r>
              <w:t xml:space="preserve">Van </w:t>
            </w:r>
            <w:proofErr w:type="spellStart"/>
            <w:r>
              <w:t>Weenen</w:t>
            </w:r>
            <w:proofErr w:type="spellEnd"/>
            <w:r>
              <w:t xml:space="preserve"> &amp; Garnett (2021)</w:t>
            </w:r>
          </w:p>
        </w:tc>
      </w:tr>
      <w:tr w:rsidR="00CD441B" w14:paraId="64FEA485" w14:textId="77777777" w:rsidTr="00FD515C">
        <w:trPr>
          <w:cantSplit/>
        </w:trPr>
        <w:tc>
          <w:tcPr>
            <w:tcW w:w="1741" w:type="dxa"/>
          </w:tcPr>
          <w:p w14:paraId="7685A411"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550F099A" w14:textId="2B87B808" w:rsidR="00CD441B" w:rsidRDefault="00423EBB" w:rsidP="00FD515C">
            <w:pPr>
              <w:pStyle w:val="TableText"/>
            </w:pPr>
            <w:r>
              <w:t>Contracting</w:t>
            </w:r>
          </w:p>
        </w:tc>
        <w:tc>
          <w:tcPr>
            <w:tcW w:w="3074" w:type="dxa"/>
            <w:shd w:val="clear" w:color="auto" w:fill="auto"/>
          </w:tcPr>
          <w:p w14:paraId="3CF02D17" w14:textId="5A9482E4" w:rsidR="00CD441B" w:rsidRDefault="00423EBB" w:rsidP="00FD515C">
            <w:pPr>
              <w:pStyle w:val="TableText"/>
            </w:pPr>
            <w:r>
              <w:t xml:space="preserve">Van </w:t>
            </w:r>
            <w:proofErr w:type="spellStart"/>
            <w:r>
              <w:t>Weenen</w:t>
            </w:r>
            <w:proofErr w:type="spellEnd"/>
            <w:r>
              <w:t xml:space="preserve"> &amp; Garnett (2021)</w:t>
            </w:r>
          </w:p>
        </w:tc>
      </w:tr>
      <w:tr w:rsidR="001E4547" w14:paraId="328D6467" w14:textId="77777777" w:rsidTr="00FD515C">
        <w:trPr>
          <w:cantSplit/>
        </w:trPr>
        <w:tc>
          <w:tcPr>
            <w:tcW w:w="1741" w:type="dxa"/>
          </w:tcPr>
          <w:p w14:paraId="7B8E721D" w14:textId="4F35494A" w:rsidR="001E4547" w:rsidRPr="00F83D60" w:rsidRDefault="001E4547" w:rsidP="001E4547">
            <w:pPr>
              <w:pStyle w:val="TableHeading"/>
              <w:keepNext w:val="0"/>
              <w:rPr>
                <w:rStyle w:val="Strong"/>
                <w:b/>
                <w:sz w:val="22"/>
              </w:rPr>
            </w:pPr>
            <w:r w:rsidRPr="00D20C80">
              <w:rPr>
                <w:rStyle w:val="Strong"/>
                <w:b/>
                <w:bCs w:val="0"/>
              </w:rPr>
              <w:lastRenderedPageBreak/>
              <w:t>Area of Occupancy</w:t>
            </w:r>
          </w:p>
        </w:tc>
        <w:tc>
          <w:tcPr>
            <w:tcW w:w="1422" w:type="dxa"/>
            <w:shd w:val="clear" w:color="auto" w:fill="auto"/>
          </w:tcPr>
          <w:p w14:paraId="22BCB3C1" w14:textId="1738F315" w:rsidR="001E4547" w:rsidRPr="006B6B55" w:rsidRDefault="001E4547" w:rsidP="001E4547">
            <w:pPr>
              <w:pStyle w:val="TableText"/>
              <w:rPr>
                <w:vertAlign w:val="superscript"/>
              </w:rPr>
            </w:pPr>
            <w:r w:rsidRPr="006B6B55">
              <w:t>5</w:t>
            </w:r>
            <w:r w:rsidR="00296C46">
              <w:t>4</w:t>
            </w:r>
            <w:r w:rsidRPr="006B6B55">
              <w:t xml:space="preserve"> km</w:t>
            </w:r>
            <w:r w:rsidRPr="006B6B55">
              <w:rPr>
                <w:vertAlign w:val="superscript"/>
              </w:rPr>
              <w:t>2</w:t>
            </w:r>
          </w:p>
        </w:tc>
        <w:tc>
          <w:tcPr>
            <w:tcW w:w="1409" w:type="dxa"/>
            <w:shd w:val="clear" w:color="auto" w:fill="auto"/>
          </w:tcPr>
          <w:p w14:paraId="3C48B846" w14:textId="3C833A04" w:rsidR="001E4547" w:rsidRPr="006B6B55" w:rsidRDefault="001C11FC" w:rsidP="001E4547">
            <w:pPr>
              <w:pStyle w:val="TableText"/>
              <w:rPr>
                <w:vertAlign w:val="superscript"/>
              </w:rPr>
            </w:pPr>
            <w:r>
              <w:t>24</w:t>
            </w:r>
            <w:r w:rsidR="001E4547" w:rsidRPr="006B6B55">
              <w:t xml:space="preserve"> </w:t>
            </w:r>
            <w:r w:rsidR="6551414D" w:rsidRPr="006B6B55">
              <w:t>km</w:t>
            </w:r>
            <w:r w:rsidR="6551414D" w:rsidRPr="006B6B55">
              <w:rPr>
                <w:vertAlign w:val="superscript"/>
              </w:rPr>
              <w:t>2</w:t>
            </w:r>
          </w:p>
        </w:tc>
        <w:tc>
          <w:tcPr>
            <w:tcW w:w="1414" w:type="dxa"/>
            <w:shd w:val="clear" w:color="auto" w:fill="auto"/>
          </w:tcPr>
          <w:p w14:paraId="4CD22202" w14:textId="3058691D" w:rsidR="001E4547" w:rsidRPr="006B6B55" w:rsidRDefault="001C11FC" w:rsidP="001E4547">
            <w:pPr>
              <w:pStyle w:val="TableText"/>
              <w:rPr>
                <w:vertAlign w:val="superscript"/>
              </w:rPr>
            </w:pPr>
            <w:r>
              <w:t>256</w:t>
            </w:r>
            <w:r w:rsidR="001E4547" w:rsidRPr="006B6B55">
              <w:t xml:space="preserve"> km</w:t>
            </w:r>
            <w:r w:rsidR="001E4547" w:rsidRPr="006B6B55">
              <w:rPr>
                <w:vertAlign w:val="superscript"/>
              </w:rPr>
              <w:t>2</w:t>
            </w:r>
          </w:p>
        </w:tc>
        <w:tc>
          <w:tcPr>
            <w:tcW w:w="3074" w:type="dxa"/>
            <w:shd w:val="clear" w:color="auto" w:fill="auto"/>
          </w:tcPr>
          <w:p w14:paraId="48B5FCE9" w14:textId="3AEEFDE7" w:rsidR="001E4547" w:rsidRDefault="00AD6E32" w:rsidP="001E4547">
            <w:pPr>
              <w:pStyle w:val="TableText"/>
            </w:pPr>
            <w:r>
              <w:t xml:space="preserve">As there are no new </w:t>
            </w:r>
            <w:r w:rsidR="006075E9">
              <w:t xml:space="preserve">range wide </w:t>
            </w:r>
            <w:r>
              <w:t xml:space="preserve">surveys </w:t>
            </w:r>
            <w:r w:rsidR="006075E9">
              <w:t xml:space="preserve">for the subspecies </w:t>
            </w:r>
            <w:r>
              <w:t xml:space="preserve">since Pickett (2009), </w:t>
            </w:r>
            <w:r w:rsidR="001C11FC">
              <w:t xml:space="preserve">Van </w:t>
            </w:r>
            <w:proofErr w:type="spellStart"/>
            <w:r w:rsidR="001C11FC">
              <w:t>Weenen</w:t>
            </w:r>
            <w:proofErr w:type="spellEnd"/>
            <w:r w:rsidR="001C11FC">
              <w:t xml:space="preserve"> &amp; Garnett (2021) used the same estimated AOO of 54 km</w:t>
            </w:r>
            <w:r w:rsidR="001C11FC">
              <w:rPr>
                <w:vertAlign w:val="superscript"/>
              </w:rPr>
              <w:t>2</w:t>
            </w:r>
            <w:r w:rsidR="001C11FC">
              <w:t xml:space="preserve"> (range 30 – 230km</w:t>
            </w:r>
            <w:r w:rsidR="001C11FC">
              <w:rPr>
                <w:vertAlign w:val="superscript"/>
              </w:rPr>
              <w:t>2</w:t>
            </w:r>
            <w:r w:rsidR="001C11FC">
              <w:t>) from Garnett et al. (2011</w:t>
            </w:r>
            <w:r w:rsidR="00A66ADB">
              <w:t>), which used 1</w:t>
            </w:r>
            <w:r w:rsidR="006075E9">
              <w:t xml:space="preserve"> x 1 km grids to calculate the AOO.</w:t>
            </w:r>
            <w:r w:rsidR="002576BB">
              <w:t xml:space="preserve"> </w:t>
            </w:r>
          </w:p>
          <w:p w14:paraId="346F72A1" w14:textId="5565BC20" w:rsidR="008412EA" w:rsidRPr="00C2042E" w:rsidRDefault="00F1702A" w:rsidP="001E4547">
            <w:pPr>
              <w:pStyle w:val="TableText"/>
            </w:pPr>
            <w:r>
              <w:t>Using all known records (BDB</w:t>
            </w:r>
            <w:r w:rsidR="002576BB">
              <w:t>S</w:t>
            </w:r>
            <w:r>
              <w:t xml:space="preserve">A and SA Museum), which encompasses records </w:t>
            </w:r>
            <w:r w:rsidR="00C2042E">
              <w:t xml:space="preserve">back to 1974, </w:t>
            </w:r>
            <w:r>
              <w:t>the AOO</w:t>
            </w:r>
            <w:r w:rsidR="00C2042E">
              <w:t xml:space="preserve"> is estimated at 256 km</w:t>
            </w:r>
            <w:r w:rsidR="00C2042E">
              <w:rPr>
                <w:vertAlign w:val="superscript"/>
              </w:rPr>
              <w:t xml:space="preserve">2 </w:t>
            </w:r>
            <w:r w:rsidR="00C2042E">
              <w:t>(</w:t>
            </w:r>
            <w:r w:rsidR="002576BB">
              <w:t>Bachman et al. 2011</w:t>
            </w:r>
            <w:r w:rsidR="00C2042E">
              <w:t xml:space="preserve">), </w:t>
            </w:r>
            <w:r w:rsidR="000E2A5F">
              <w:t>the minimum plausible value of 24 km</w:t>
            </w:r>
            <w:r w:rsidR="000E2A5F">
              <w:rPr>
                <w:vertAlign w:val="superscript"/>
              </w:rPr>
              <w:t>2</w:t>
            </w:r>
            <w:r w:rsidR="000E2A5F">
              <w:t xml:space="preserve"> were estimated using only surveys </w:t>
            </w:r>
            <w:r w:rsidR="002E2D56">
              <w:t>from</w:t>
            </w:r>
            <w:r w:rsidR="000E2A5F">
              <w:t xml:space="preserve"> 2002</w:t>
            </w:r>
            <w:r w:rsidR="002E2D56">
              <w:t xml:space="preserve"> - 2009</w:t>
            </w:r>
            <w:r w:rsidR="000E2A5F">
              <w:t xml:space="preserve"> (DEW unpublished data).</w:t>
            </w:r>
            <w:r w:rsidR="00C2042E">
              <w:t xml:space="preserve"> </w:t>
            </w:r>
          </w:p>
        </w:tc>
      </w:tr>
      <w:tr w:rsidR="001E4547" w:rsidRPr="00F83D60" w14:paraId="7CF787AB" w14:textId="77777777" w:rsidTr="007627BE">
        <w:trPr>
          <w:cantSplit/>
        </w:trPr>
        <w:tc>
          <w:tcPr>
            <w:tcW w:w="9060" w:type="dxa"/>
            <w:gridSpan w:val="5"/>
          </w:tcPr>
          <w:p w14:paraId="7523E43A" w14:textId="3783DBFF" w:rsidR="001E4547" w:rsidRPr="00F83D60" w:rsidRDefault="001E4547" w:rsidP="001E4547">
            <w:pPr>
              <w:pStyle w:val="TableHeading"/>
              <w:keepNext w:val="0"/>
              <w:rPr>
                <w:rStyle w:val="Strong"/>
                <w:w w:val="90"/>
              </w:rPr>
            </w:pPr>
            <w:r w:rsidRPr="00F83D60">
              <w:rPr>
                <w:rStyle w:val="Strong"/>
                <w:w w:val="90"/>
              </w:rPr>
              <w:t xml:space="preserve">AOO is a standardised spatial measure of the risk of extinction, that represents the area of suitable habitat known, </w:t>
            </w:r>
            <w:proofErr w:type="gramStart"/>
            <w:r w:rsidRPr="00F83D60">
              <w:rPr>
                <w:rStyle w:val="Strong"/>
                <w:w w:val="90"/>
              </w:rPr>
              <w:t>inferred</w:t>
            </w:r>
            <w:proofErr w:type="gramEnd"/>
            <w:r w:rsidRPr="00F83D60">
              <w:rPr>
                <w:rStyle w:val="Strong"/>
                <w:w w:val="90"/>
              </w:rPr>
              <w:t xml:space="preserve"> or projected to be currently occupied by the taxon. It is estimated using a 2 x 2 km grid to enable comparison with the criteria thresholds.</w:t>
            </w:r>
            <w:r>
              <w:t xml:space="preserve"> </w:t>
            </w:r>
            <w:r w:rsidRPr="00DA36A8">
              <w:rPr>
                <w:rStyle w:val="Strong"/>
                <w:w w:val="90"/>
              </w:rPr>
              <w:t>The resolution (grid size) that maximizes the correlation between AOO and extinction risk is determined more by the spatial scale of threats than by the spatial scale at which AOO is estimated or shape of the taxon's distribution</w:t>
            </w:r>
            <w:r>
              <w:rPr>
                <w:rStyle w:val="Strong"/>
                <w:w w:val="90"/>
              </w:rPr>
              <w:t>.</w:t>
            </w:r>
            <w:r w:rsidRPr="00F83D60">
              <w:rPr>
                <w:rStyle w:val="Strong"/>
                <w:w w:val="90"/>
              </w:rPr>
              <w:t xml:space="preserve"> It is not a fine-scale estimate of the actual area occupied. In some cases, AOO is the smallest area essential at any stage to the survival of existing populations of a </w:t>
            </w:r>
            <w:proofErr w:type="spellStart"/>
            <w:r w:rsidRPr="00F83D60">
              <w:rPr>
                <w:rStyle w:val="Strong"/>
                <w:w w:val="90"/>
              </w:rPr>
              <w:t>taxon</w:t>
            </w:r>
            <w:proofErr w:type="spellEnd"/>
            <w:r w:rsidRPr="00F83D60">
              <w:rPr>
                <w:rStyle w:val="Strong"/>
                <w:w w:val="90"/>
              </w:rPr>
              <w:t xml:space="preserve"> (</w:t>
            </w:r>
            <w:proofErr w:type="gramStart"/>
            <w:r w:rsidRPr="00F83D60">
              <w:rPr>
                <w:rStyle w:val="Strong"/>
                <w:w w:val="90"/>
              </w:rPr>
              <w:t>e.g.</w:t>
            </w:r>
            <w:proofErr w:type="gramEnd"/>
            <w:r w:rsidRPr="00F83D60">
              <w:rPr>
                <w:rStyle w:val="Strong"/>
                <w:w w:val="90"/>
              </w:rPr>
              <w:t xml:space="preserve"> breeding sites for migratory species).</w:t>
            </w:r>
          </w:p>
        </w:tc>
      </w:tr>
      <w:tr w:rsidR="001E4547" w14:paraId="0E7D34C1" w14:textId="77777777" w:rsidTr="00FD515C">
        <w:trPr>
          <w:cantSplit/>
        </w:trPr>
        <w:tc>
          <w:tcPr>
            <w:tcW w:w="1741" w:type="dxa"/>
          </w:tcPr>
          <w:p w14:paraId="75519C0E" w14:textId="77777777" w:rsidR="001E4547" w:rsidRPr="00D20C80" w:rsidRDefault="001E4547" w:rsidP="001E4547">
            <w:pPr>
              <w:pStyle w:val="TableHeading"/>
              <w:keepNext w:val="0"/>
              <w:rPr>
                <w:rStyle w:val="Strong"/>
                <w:b/>
                <w:sz w:val="22"/>
              </w:rPr>
            </w:pPr>
            <w:r w:rsidRPr="00D20C80">
              <w:rPr>
                <w:rStyle w:val="Strong"/>
                <w:b/>
                <w:bCs w:val="0"/>
              </w:rPr>
              <w:t>Trend</w:t>
            </w:r>
          </w:p>
        </w:tc>
        <w:tc>
          <w:tcPr>
            <w:tcW w:w="4245" w:type="dxa"/>
            <w:gridSpan w:val="3"/>
            <w:shd w:val="clear" w:color="auto" w:fill="auto"/>
          </w:tcPr>
          <w:p w14:paraId="64479A62" w14:textId="61CA8CC1" w:rsidR="001E4547" w:rsidRDefault="00FF5E7F" w:rsidP="001E4547">
            <w:pPr>
              <w:pStyle w:val="TableText"/>
            </w:pPr>
            <w:r>
              <w:t>Contracting</w:t>
            </w:r>
          </w:p>
        </w:tc>
        <w:tc>
          <w:tcPr>
            <w:tcW w:w="3074" w:type="dxa"/>
            <w:shd w:val="clear" w:color="auto" w:fill="auto"/>
          </w:tcPr>
          <w:p w14:paraId="29FA9D9C" w14:textId="7773F94C" w:rsidR="001E4547" w:rsidRDefault="00FF5E7F" w:rsidP="001E4547">
            <w:pPr>
              <w:pStyle w:val="TableText"/>
            </w:pPr>
            <w:r>
              <w:t xml:space="preserve">Van </w:t>
            </w:r>
            <w:proofErr w:type="spellStart"/>
            <w:r>
              <w:t>Weenen</w:t>
            </w:r>
            <w:proofErr w:type="spellEnd"/>
            <w:r>
              <w:t xml:space="preserve"> &amp; Garnett (2021</w:t>
            </w:r>
            <w:r w:rsidR="003A58C3">
              <w:t>)</w:t>
            </w:r>
          </w:p>
        </w:tc>
      </w:tr>
      <w:tr w:rsidR="001E4547" w14:paraId="2B7C124D" w14:textId="77777777" w:rsidTr="00FD515C">
        <w:trPr>
          <w:cantSplit/>
        </w:trPr>
        <w:tc>
          <w:tcPr>
            <w:tcW w:w="1741" w:type="dxa"/>
          </w:tcPr>
          <w:p w14:paraId="4293C945" w14:textId="4A496C6E" w:rsidR="001E4547" w:rsidRPr="00F83D60" w:rsidRDefault="001E4547" w:rsidP="001E4547">
            <w:pPr>
              <w:pStyle w:val="TableHeading"/>
              <w:keepNext w:val="0"/>
              <w:rPr>
                <w:rStyle w:val="Strong"/>
                <w:b/>
                <w:sz w:val="22"/>
              </w:rPr>
            </w:pPr>
            <w:r w:rsidRPr="00D20C80">
              <w:rPr>
                <w:rStyle w:val="Strong"/>
                <w:b/>
                <w:bCs w:val="0"/>
              </w:rPr>
              <w:t>Number of subpopulations</w:t>
            </w:r>
          </w:p>
        </w:tc>
        <w:tc>
          <w:tcPr>
            <w:tcW w:w="1422" w:type="dxa"/>
            <w:shd w:val="clear" w:color="auto" w:fill="auto"/>
          </w:tcPr>
          <w:p w14:paraId="3A9D2D37" w14:textId="282574E0" w:rsidR="001E4547" w:rsidRDefault="00D67B9E" w:rsidP="001E4547">
            <w:pPr>
              <w:pStyle w:val="TableText"/>
            </w:pPr>
            <w:r>
              <w:t>8</w:t>
            </w:r>
          </w:p>
        </w:tc>
        <w:tc>
          <w:tcPr>
            <w:tcW w:w="1409" w:type="dxa"/>
            <w:shd w:val="clear" w:color="auto" w:fill="auto"/>
          </w:tcPr>
          <w:p w14:paraId="3ADC65F5" w14:textId="4001713E" w:rsidR="001E4547" w:rsidRDefault="00D67B9E" w:rsidP="001E4547">
            <w:pPr>
              <w:pStyle w:val="TableText"/>
            </w:pPr>
            <w:r>
              <w:t>5</w:t>
            </w:r>
          </w:p>
        </w:tc>
        <w:tc>
          <w:tcPr>
            <w:tcW w:w="1414" w:type="dxa"/>
            <w:shd w:val="clear" w:color="auto" w:fill="auto"/>
          </w:tcPr>
          <w:p w14:paraId="34402CB7" w14:textId="5CCD25CA" w:rsidR="001E4547" w:rsidRDefault="00D67B9E" w:rsidP="001E4547">
            <w:pPr>
              <w:pStyle w:val="TableText"/>
            </w:pPr>
            <w:r>
              <w:t>11</w:t>
            </w:r>
          </w:p>
        </w:tc>
        <w:tc>
          <w:tcPr>
            <w:tcW w:w="3074" w:type="dxa"/>
            <w:shd w:val="clear" w:color="auto" w:fill="auto"/>
          </w:tcPr>
          <w:p w14:paraId="1D00319D" w14:textId="16E5A261" w:rsidR="001E4547" w:rsidRDefault="003F5104" w:rsidP="001E4547">
            <w:pPr>
              <w:pStyle w:val="TableText"/>
            </w:pPr>
            <w:r>
              <w:t xml:space="preserve">Van </w:t>
            </w:r>
            <w:proofErr w:type="spellStart"/>
            <w:r>
              <w:t>Weenen</w:t>
            </w:r>
            <w:proofErr w:type="spellEnd"/>
            <w:r>
              <w:t xml:space="preserve"> &amp; Garnett (2021)</w:t>
            </w:r>
          </w:p>
        </w:tc>
      </w:tr>
      <w:tr w:rsidR="003F5104" w14:paraId="4C42BFCF" w14:textId="77777777" w:rsidTr="00FD515C">
        <w:trPr>
          <w:cantSplit/>
        </w:trPr>
        <w:tc>
          <w:tcPr>
            <w:tcW w:w="1741" w:type="dxa"/>
          </w:tcPr>
          <w:p w14:paraId="51D6EBA3" w14:textId="77777777" w:rsidR="003F5104" w:rsidRPr="00D20C80" w:rsidRDefault="003F5104" w:rsidP="003F5104">
            <w:pPr>
              <w:pStyle w:val="TableHeading"/>
              <w:keepNext w:val="0"/>
              <w:rPr>
                <w:rStyle w:val="Strong"/>
                <w:b/>
                <w:sz w:val="22"/>
              </w:rPr>
            </w:pPr>
            <w:r w:rsidRPr="00D20C80">
              <w:rPr>
                <w:rStyle w:val="Strong"/>
                <w:b/>
                <w:bCs w:val="0"/>
              </w:rPr>
              <w:t>Trend</w:t>
            </w:r>
          </w:p>
        </w:tc>
        <w:tc>
          <w:tcPr>
            <w:tcW w:w="4245" w:type="dxa"/>
            <w:gridSpan w:val="3"/>
            <w:shd w:val="clear" w:color="auto" w:fill="auto"/>
          </w:tcPr>
          <w:p w14:paraId="455DD65B" w14:textId="1FED1C6B" w:rsidR="003F5104" w:rsidRPr="003F5104" w:rsidRDefault="003F5104" w:rsidP="003F5104">
            <w:pPr>
              <w:pStyle w:val="TableText"/>
            </w:pPr>
            <w:r w:rsidRPr="003F5104">
              <w:t>declining</w:t>
            </w:r>
          </w:p>
        </w:tc>
        <w:tc>
          <w:tcPr>
            <w:tcW w:w="3074" w:type="dxa"/>
            <w:shd w:val="clear" w:color="auto" w:fill="auto"/>
          </w:tcPr>
          <w:p w14:paraId="3BF54AC8" w14:textId="67E8018C" w:rsidR="003F5104" w:rsidRPr="001B7D1F" w:rsidRDefault="003F5104" w:rsidP="003F5104">
            <w:pPr>
              <w:pStyle w:val="TableText"/>
            </w:pPr>
            <w:r>
              <w:t xml:space="preserve">Van </w:t>
            </w:r>
            <w:proofErr w:type="spellStart"/>
            <w:r>
              <w:t>Weenen</w:t>
            </w:r>
            <w:proofErr w:type="spellEnd"/>
            <w:r>
              <w:t xml:space="preserve"> &amp; Garnett (2021)</w:t>
            </w:r>
          </w:p>
        </w:tc>
      </w:tr>
      <w:tr w:rsidR="003F5104" w14:paraId="154DC974" w14:textId="77777777" w:rsidTr="00FD515C">
        <w:trPr>
          <w:cantSplit/>
        </w:trPr>
        <w:tc>
          <w:tcPr>
            <w:tcW w:w="1741" w:type="dxa"/>
          </w:tcPr>
          <w:p w14:paraId="26BF7D15" w14:textId="7DD1A760" w:rsidR="003F5104" w:rsidRPr="00F83D60" w:rsidRDefault="003F5104" w:rsidP="003F5104">
            <w:pPr>
              <w:pStyle w:val="TableHeading"/>
              <w:keepNext w:val="0"/>
              <w:rPr>
                <w:rStyle w:val="Strong"/>
                <w:b/>
                <w:sz w:val="22"/>
              </w:rPr>
            </w:pPr>
            <w:r w:rsidRPr="00D20C80">
              <w:rPr>
                <w:rStyle w:val="Strong"/>
                <w:b/>
                <w:bCs w:val="0"/>
              </w:rPr>
              <w:t>Basis of assessment of subpopulation number</w:t>
            </w:r>
          </w:p>
        </w:tc>
        <w:tc>
          <w:tcPr>
            <w:tcW w:w="7319" w:type="dxa"/>
            <w:gridSpan w:val="4"/>
            <w:shd w:val="clear" w:color="auto" w:fill="auto"/>
          </w:tcPr>
          <w:p w14:paraId="59A7CC19" w14:textId="47C11731" w:rsidR="003F5104" w:rsidRPr="003F5104" w:rsidRDefault="003F5104" w:rsidP="003F5104">
            <w:pPr>
              <w:pStyle w:val="TableText"/>
            </w:pPr>
            <w:r w:rsidRPr="003F5104">
              <w:t xml:space="preserve">The subspecies occurs at 11 isolated locations (see Distribution). It is assumed that there is little genetic exchange among these locations that are isolated by cleared land (Van </w:t>
            </w:r>
            <w:proofErr w:type="spellStart"/>
            <w:r w:rsidRPr="003F5104">
              <w:t>Weenen</w:t>
            </w:r>
            <w:proofErr w:type="spellEnd"/>
            <w:r w:rsidRPr="003F5104">
              <w:t xml:space="preserve"> &amp; Garnett 2021). Van </w:t>
            </w:r>
            <w:proofErr w:type="spellStart"/>
            <w:r w:rsidRPr="003F5104">
              <w:t>Weenen</w:t>
            </w:r>
            <w:proofErr w:type="spellEnd"/>
            <w:r w:rsidRPr="003F5104">
              <w:t xml:space="preserve"> &amp; Garnett (2021) </w:t>
            </w:r>
            <w:proofErr w:type="gramStart"/>
            <w:r w:rsidRPr="003F5104">
              <w:t>made the assumption</w:t>
            </w:r>
            <w:proofErr w:type="gramEnd"/>
            <w:r w:rsidRPr="003F5104">
              <w:t xml:space="preserve"> that three of the 11 locations known from 2002 have been extirpated, based on historical rates of change.</w:t>
            </w:r>
          </w:p>
        </w:tc>
      </w:tr>
      <w:tr w:rsidR="003F5104" w14:paraId="2CEBEDB2" w14:textId="77777777" w:rsidTr="00FD515C">
        <w:trPr>
          <w:cantSplit/>
        </w:trPr>
        <w:tc>
          <w:tcPr>
            <w:tcW w:w="1741" w:type="dxa"/>
          </w:tcPr>
          <w:p w14:paraId="0DDB2C37" w14:textId="6F0F11E5" w:rsidR="003F5104" w:rsidRPr="00F83D60" w:rsidRDefault="003F5104" w:rsidP="003F5104">
            <w:pPr>
              <w:pStyle w:val="TableHeading"/>
              <w:keepNext w:val="0"/>
              <w:rPr>
                <w:rStyle w:val="Strong"/>
                <w:b/>
                <w:sz w:val="22"/>
              </w:rPr>
            </w:pPr>
            <w:r w:rsidRPr="00D20C80">
              <w:rPr>
                <w:rStyle w:val="Strong"/>
                <w:b/>
                <w:bCs w:val="0"/>
              </w:rPr>
              <w:t>No. locations</w:t>
            </w:r>
          </w:p>
        </w:tc>
        <w:tc>
          <w:tcPr>
            <w:tcW w:w="1422" w:type="dxa"/>
            <w:shd w:val="clear" w:color="auto" w:fill="auto"/>
          </w:tcPr>
          <w:p w14:paraId="2C3BFBC5" w14:textId="0972E7F4" w:rsidR="003F5104" w:rsidRPr="003F5104" w:rsidRDefault="003F5104" w:rsidP="003F5104">
            <w:pPr>
              <w:pStyle w:val="TableText"/>
            </w:pPr>
            <w:r w:rsidRPr="003F5104">
              <w:t>8</w:t>
            </w:r>
          </w:p>
        </w:tc>
        <w:tc>
          <w:tcPr>
            <w:tcW w:w="1409" w:type="dxa"/>
            <w:shd w:val="clear" w:color="auto" w:fill="auto"/>
          </w:tcPr>
          <w:p w14:paraId="14367A7A" w14:textId="183938A3" w:rsidR="003F5104" w:rsidRPr="003F5104" w:rsidRDefault="003F5104" w:rsidP="003F5104">
            <w:pPr>
              <w:pStyle w:val="TableText"/>
            </w:pPr>
            <w:r w:rsidRPr="003F5104">
              <w:t>5</w:t>
            </w:r>
          </w:p>
        </w:tc>
        <w:tc>
          <w:tcPr>
            <w:tcW w:w="1414" w:type="dxa"/>
            <w:shd w:val="clear" w:color="auto" w:fill="auto"/>
          </w:tcPr>
          <w:p w14:paraId="09055FDC" w14:textId="04D4398C" w:rsidR="003F5104" w:rsidRPr="003F5104" w:rsidRDefault="003F5104" w:rsidP="003F5104">
            <w:pPr>
              <w:pStyle w:val="TableText"/>
            </w:pPr>
            <w:r w:rsidRPr="003F5104">
              <w:t>11</w:t>
            </w:r>
          </w:p>
        </w:tc>
        <w:tc>
          <w:tcPr>
            <w:tcW w:w="3074" w:type="dxa"/>
            <w:shd w:val="clear" w:color="auto" w:fill="auto"/>
          </w:tcPr>
          <w:p w14:paraId="2E3B1D9D" w14:textId="590032B0" w:rsidR="003F5104" w:rsidRDefault="003F5104" w:rsidP="003F5104">
            <w:pPr>
              <w:pStyle w:val="TableText"/>
            </w:pPr>
            <w:r>
              <w:t xml:space="preserve">Van </w:t>
            </w:r>
            <w:proofErr w:type="spellStart"/>
            <w:r>
              <w:t>Weenen</w:t>
            </w:r>
            <w:proofErr w:type="spellEnd"/>
            <w:r>
              <w:t xml:space="preserve"> &amp; Garnett (2021)</w:t>
            </w:r>
          </w:p>
        </w:tc>
      </w:tr>
      <w:tr w:rsidR="003F5104" w14:paraId="76234DC1" w14:textId="77777777" w:rsidTr="00FD515C">
        <w:trPr>
          <w:cantSplit/>
        </w:trPr>
        <w:tc>
          <w:tcPr>
            <w:tcW w:w="1741" w:type="dxa"/>
          </w:tcPr>
          <w:p w14:paraId="720AA173" w14:textId="77777777" w:rsidR="003F5104" w:rsidRPr="00D20C80" w:rsidRDefault="003F5104" w:rsidP="003F5104">
            <w:pPr>
              <w:pStyle w:val="TableHeading"/>
              <w:keepNext w:val="0"/>
              <w:rPr>
                <w:rStyle w:val="Strong"/>
                <w:b/>
                <w:sz w:val="22"/>
              </w:rPr>
            </w:pPr>
            <w:r w:rsidRPr="00D20C80">
              <w:rPr>
                <w:rStyle w:val="Strong"/>
                <w:b/>
                <w:bCs w:val="0"/>
              </w:rPr>
              <w:t>Trend</w:t>
            </w:r>
          </w:p>
        </w:tc>
        <w:tc>
          <w:tcPr>
            <w:tcW w:w="4245" w:type="dxa"/>
            <w:gridSpan w:val="3"/>
            <w:shd w:val="clear" w:color="auto" w:fill="auto"/>
          </w:tcPr>
          <w:p w14:paraId="7153C750" w14:textId="57331D6D" w:rsidR="003F5104" w:rsidRPr="003F5104" w:rsidRDefault="003F5104" w:rsidP="003F5104">
            <w:pPr>
              <w:pStyle w:val="TableText"/>
            </w:pPr>
            <w:r w:rsidRPr="003F5104">
              <w:t>declining</w:t>
            </w:r>
          </w:p>
        </w:tc>
        <w:tc>
          <w:tcPr>
            <w:tcW w:w="3074" w:type="dxa"/>
            <w:shd w:val="clear" w:color="auto" w:fill="auto"/>
          </w:tcPr>
          <w:p w14:paraId="36124664" w14:textId="621B8334" w:rsidR="003F5104" w:rsidRDefault="003F5104" w:rsidP="003F5104">
            <w:pPr>
              <w:pStyle w:val="TableText"/>
            </w:pPr>
            <w:r>
              <w:t xml:space="preserve">Van </w:t>
            </w:r>
            <w:proofErr w:type="spellStart"/>
            <w:r>
              <w:t>Weenen</w:t>
            </w:r>
            <w:proofErr w:type="spellEnd"/>
            <w:r>
              <w:t xml:space="preserve"> &amp; Garnett (2021)</w:t>
            </w:r>
          </w:p>
        </w:tc>
      </w:tr>
      <w:tr w:rsidR="003F5104" w14:paraId="1364C5F8" w14:textId="77777777" w:rsidTr="00FD515C">
        <w:trPr>
          <w:cantSplit/>
        </w:trPr>
        <w:tc>
          <w:tcPr>
            <w:tcW w:w="1741" w:type="dxa"/>
          </w:tcPr>
          <w:p w14:paraId="436AE6BD" w14:textId="77777777" w:rsidR="003F5104" w:rsidRPr="00D20C80" w:rsidRDefault="003F5104" w:rsidP="003F5104">
            <w:pPr>
              <w:pStyle w:val="TableHeading"/>
              <w:keepNext w:val="0"/>
              <w:rPr>
                <w:rStyle w:val="Strong"/>
                <w:b/>
                <w:sz w:val="22"/>
              </w:rPr>
            </w:pPr>
            <w:bookmarkStart w:id="17" w:name="_Hlk51878889"/>
            <w:r w:rsidRPr="00D20C80">
              <w:rPr>
                <w:rStyle w:val="Strong"/>
                <w:b/>
                <w:bCs w:val="0"/>
              </w:rPr>
              <w:t>Basis of assessment of location number</w:t>
            </w:r>
            <w:bookmarkEnd w:id="17"/>
          </w:p>
        </w:tc>
        <w:tc>
          <w:tcPr>
            <w:tcW w:w="7319" w:type="dxa"/>
            <w:gridSpan w:val="4"/>
            <w:shd w:val="clear" w:color="auto" w:fill="auto"/>
          </w:tcPr>
          <w:p w14:paraId="0BBE0224" w14:textId="31ADBE2A" w:rsidR="003F5104" w:rsidRDefault="003F5104" w:rsidP="003F5104">
            <w:pPr>
              <w:pStyle w:val="TableText"/>
            </w:pPr>
            <w:r w:rsidRPr="003F5104">
              <w:t xml:space="preserve">The subspecies occurs at 11 isolated locations (see Distribution). It is assumed that there is little genetic exchange among these locations that are isolated by cleared land (Van </w:t>
            </w:r>
            <w:proofErr w:type="spellStart"/>
            <w:r w:rsidRPr="003F5104">
              <w:t>Weenen</w:t>
            </w:r>
            <w:proofErr w:type="spellEnd"/>
            <w:r w:rsidRPr="003F5104">
              <w:t xml:space="preserve"> &amp; Garnett 2021). Van </w:t>
            </w:r>
            <w:proofErr w:type="spellStart"/>
            <w:r w:rsidRPr="003F5104">
              <w:t>Weenen</w:t>
            </w:r>
            <w:proofErr w:type="spellEnd"/>
            <w:r w:rsidRPr="003F5104">
              <w:t xml:space="preserve"> &amp; Garnett (2021) </w:t>
            </w:r>
            <w:proofErr w:type="gramStart"/>
            <w:r w:rsidRPr="003F5104">
              <w:t>made the assumption</w:t>
            </w:r>
            <w:proofErr w:type="gramEnd"/>
            <w:r w:rsidRPr="003F5104">
              <w:t xml:space="preserve"> that three of the 11 locations known from 2002 have been extirpated, based on historical rates of change.</w:t>
            </w:r>
          </w:p>
        </w:tc>
      </w:tr>
      <w:tr w:rsidR="003F5104" w14:paraId="03BB4230" w14:textId="77777777" w:rsidTr="00AC5F6E">
        <w:trPr>
          <w:cantSplit/>
        </w:trPr>
        <w:tc>
          <w:tcPr>
            <w:tcW w:w="1741" w:type="dxa"/>
          </w:tcPr>
          <w:p w14:paraId="7F2D36BB" w14:textId="302E807E" w:rsidR="003F5104" w:rsidRPr="00D20C80" w:rsidRDefault="003F5104" w:rsidP="003F5104">
            <w:pPr>
              <w:pStyle w:val="TableHeading"/>
              <w:keepNext w:val="0"/>
              <w:rPr>
                <w:rStyle w:val="Strong"/>
                <w:b/>
                <w:bCs w:val="0"/>
              </w:rPr>
            </w:pPr>
            <w:r w:rsidRPr="00D20C80">
              <w:rPr>
                <w:rStyle w:val="Strong"/>
                <w:b/>
                <w:bCs w:val="0"/>
              </w:rPr>
              <w:t>Fragmentation</w:t>
            </w:r>
          </w:p>
        </w:tc>
        <w:tc>
          <w:tcPr>
            <w:tcW w:w="7319" w:type="dxa"/>
            <w:gridSpan w:val="4"/>
            <w:shd w:val="clear" w:color="auto" w:fill="auto"/>
          </w:tcPr>
          <w:p w14:paraId="158E00A4" w14:textId="15B74050" w:rsidR="003F5104" w:rsidRDefault="00356A2D" w:rsidP="003F5104">
            <w:pPr>
              <w:pStyle w:val="TableText"/>
            </w:pPr>
            <w:r w:rsidRPr="48D710CD">
              <w:rPr>
                <w:lang w:eastAsia="ja-JP"/>
              </w:rPr>
              <w:t>It is assumed that there is little genetic exchange among these locations that are isolated by cleared land</w:t>
            </w:r>
            <w:r>
              <w:rPr>
                <w:lang w:eastAsia="ja-JP"/>
              </w:rPr>
              <w:t xml:space="preserve"> and due to the limited dispersal ability of the subspecies. Furthermore, each subpopulation is estimated to be less than 250 individuals,</w:t>
            </w:r>
            <w:r w:rsidRPr="48D710CD">
              <w:rPr>
                <w:lang w:eastAsia="ja-JP"/>
              </w:rPr>
              <w:t xml:space="preserve"> therefore the subspecies is considered as severely fragmented</w:t>
            </w:r>
            <w:r>
              <w:rPr>
                <w:lang w:eastAsia="ja-JP"/>
              </w:rPr>
              <w:t xml:space="preserve"> (Van </w:t>
            </w:r>
            <w:proofErr w:type="spellStart"/>
            <w:r>
              <w:rPr>
                <w:lang w:eastAsia="ja-JP"/>
              </w:rPr>
              <w:t>Weenen</w:t>
            </w:r>
            <w:proofErr w:type="spellEnd"/>
            <w:r>
              <w:rPr>
                <w:lang w:eastAsia="ja-JP"/>
              </w:rPr>
              <w:t xml:space="preserve"> &amp; Garnett 2021</w:t>
            </w:r>
          </w:p>
        </w:tc>
      </w:tr>
      <w:tr w:rsidR="003F5104" w14:paraId="5178080C" w14:textId="77777777" w:rsidTr="008E4C40">
        <w:trPr>
          <w:cantSplit/>
        </w:trPr>
        <w:tc>
          <w:tcPr>
            <w:tcW w:w="1741" w:type="dxa"/>
          </w:tcPr>
          <w:p w14:paraId="50E5C9F9" w14:textId="030436D2" w:rsidR="003F5104" w:rsidRPr="00F83D60" w:rsidRDefault="003F5104" w:rsidP="003F5104">
            <w:pPr>
              <w:pStyle w:val="TableHeading"/>
              <w:keepNext w:val="0"/>
              <w:rPr>
                <w:rStyle w:val="Strong"/>
                <w:b/>
                <w:sz w:val="22"/>
              </w:rPr>
            </w:pPr>
            <w:r w:rsidRPr="00D20C80">
              <w:rPr>
                <w:rStyle w:val="Strong"/>
                <w:b/>
                <w:bCs w:val="0"/>
              </w:rPr>
              <w:t>Fluctuations</w:t>
            </w:r>
          </w:p>
        </w:tc>
        <w:tc>
          <w:tcPr>
            <w:tcW w:w="7319" w:type="dxa"/>
            <w:gridSpan w:val="4"/>
            <w:shd w:val="clear" w:color="auto" w:fill="auto"/>
          </w:tcPr>
          <w:p w14:paraId="0FB94425" w14:textId="4B3011CA" w:rsidR="003F5104" w:rsidRPr="00702D7D" w:rsidRDefault="003F5104" w:rsidP="003F5104">
            <w:pPr>
              <w:pStyle w:val="TableText"/>
            </w:pPr>
            <w:r w:rsidRPr="00702D7D">
              <w:t xml:space="preserve">Not subject to extreme fluctuations in EOO, AOO, number of subpopulations, </w:t>
            </w:r>
            <w:proofErr w:type="gramStart"/>
            <w:r w:rsidRPr="00702D7D">
              <w:t>locations</w:t>
            </w:r>
            <w:proofErr w:type="gramEnd"/>
            <w:r w:rsidRPr="00702D7D">
              <w:t xml:space="preserve"> or mature individuals</w:t>
            </w:r>
            <w:r>
              <w:t>.</w:t>
            </w:r>
          </w:p>
        </w:tc>
      </w:tr>
      <w:bookmarkEnd w:id="16"/>
    </w:tbl>
    <w:p w14:paraId="397A2D2F" w14:textId="77777777" w:rsidR="008415AE" w:rsidRDefault="008415AE" w:rsidP="00D447A7">
      <w:pPr>
        <w:pStyle w:val="Caption"/>
        <w:rPr>
          <w:lang w:eastAsia="ja-JP"/>
        </w:rPr>
      </w:pPr>
    </w:p>
    <w:p w14:paraId="04D98E94" w14:textId="6DCBAB5E" w:rsidR="003A06CA" w:rsidRDefault="00C2736A" w:rsidP="00D447A7">
      <w:pPr>
        <w:pStyle w:val="Caption"/>
        <w:rPr>
          <w:lang w:eastAsia="ja-JP"/>
        </w:rPr>
      </w:pPr>
      <w:r>
        <w:rPr>
          <w:lang w:eastAsia="ja-JP"/>
        </w:rPr>
        <w:t xml:space="preserve">Criterion 1 </w:t>
      </w:r>
      <w:r w:rsidR="00933A0D">
        <w:rPr>
          <w:lang w:eastAsia="ja-JP"/>
        </w:rPr>
        <w:t>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DD3067" w:rsidRPr="00556843" w14:paraId="010DEB60" w14:textId="77777777" w:rsidTr="0050535B">
        <w:trPr>
          <w:cantSplit/>
          <w:trHeight w:val="606"/>
        </w:trPr>
        <w:tc>
          <w:tcPr>
            <w:tcW w:w="9975" w:type="dxa"/>
            <w:gridSpan w:val="6"/>
            <w:shd w:val="clear" w:color="auto" w:fill="595959" w:themeFill="text1" w:themeFillTint="A6"/>
            <w:vAlign w:val="center"/>
          </w:tcPr>
          <w:p w14:paraId="293F6B8E" w14:textId="77777777" w:rsidR="00DD3067" w:rsidRPr="008B78CE" w:rsidRDefault="00936152" w:rsidP="00476948">
            <w:pPr>
              <w:pStyle w:val="TableHeading"/>
              <w:rPr>
                <w:b w:val="0"/>
                <w:bCs/>
                <w:color w:val="FFFFFF" w:themeColor="background1"/>
              </w:rPr>
            </w:pPr>
            <w:r>
              <w:rPr>
                <w:b w:val="0"/>
                <w:bCs/>
                <w:color w:val="FFFFFF" w:themeColor="background1"/>
              </w:rPr>
              <w:t>R</w:t>
            </w:r>
            <w:r w:rsidR="00DD3067" w:rsidRPr="008B78CE">
              <w:rPr>
                <w:b w:val="0"/>
                <w:bCs/>
                <w:color w:val="FFFFFF" w:themeColor="background1"/>
              </w:rPr>
              <w:t>eduction in total numbers (measured over the longer of 10 years or 3 generations) based on any of A1 to A4</w:t>
            </w:r>
          </w:p>
        </w:tc>
      </w:tr>
      <w:tr w:rsidR="00DD3067" w:rsidRPr="00556843" w14:paraId="6FC34D9B"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E0B6B9D" w14:textId="77777777" w:rsidR="00DD3067" w:rsidRPr="00556843" w:rsidRDefault="00280857" w:rsidP="00476948">
            <w:pPr>
              <w:keepNext/>
              <w:rPr>
                <w:rFonts w:ascii="Arial" w:hAnsi="Arial" w:cs="Arial"/>
                <w:sz w:val="18"/>
                <w:szCs w:val="18"/>
              </w:rPr>
            </w:pPr>
            <w:r w:rsidRPr="0050535B">
              <w:rPr>
                <w:rFonts w:ascii="Arial" w:hAnsi="Arial" w:cs="Arial"/>
                <w:color w:val="FFFFFF" w:themeColor="background1"/>
                <w:sz w:val="18"/>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672C202E" w14:textId="77777777" w:rsidR="00DD3067" w:rsidRPr="00936152" w:rsidRDefault="00DD3067" w:rsidP="00476948">
            <w:pPr>
              <w:pStyle w:val="TableText"/>
              <w:keepNext/>
              <w:rPr>
                <w:rStyle w:val="Strong"/>
              </w:rPr>
            </w:pPr>
            <w:r w:rsidRPr="00936152">
              <w:rPr>
                <w:rStyle w:val="Strong"/>
              </w:rPr>
              <w:t>Critically Endangered</w:t>
            </w:r>
          </w:p>
          <w:p w14:paraId="22DB6841" w14:textId="77777777" w:rsidR="00DD3067" w:rsidRPr="00936152" w:rsidRDefault="00DD3067" w:rsidP="00476948">
            <w:pPr>
              <w:pStyle w:val="TableText"/>
              <w:keepNext/>
              <w:rPr>
                <w:rStyle w:val="Strong"/>
              </w:rPr>
            </w:pPr>
            <w:r w:rsidRPr="00936152">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563B582F" w14:textId="77777777" w:rsidR="00DD3067" w:rsidRPr="00936152" w:rsidRDefault="00DD3067" w:rsidP="00476948">
            <w:pPr>
              <w:pStyle w:val="TableText"/>
              <w:keepNext/>
              <w:rPr>
                <w:rStyle w:val="Strong"/>
              </w:rPr>
            </w:pPr>
            <w:r w:rsidRPr="00936152">
              <w:rPr>
                <w:rStyle w:val="Strong"/>
              </w:rPr>
              <w:t>Endangered</w:t>
            </w:r>
          </w:p>
          <w:p w14:paraId="3DB2E35C" w14:textId="77777777" w:rsidR="00DD3067" w:rsidRPr="00936152" w:rsidRDefault="00DD3067" w:rsidP="00476948">
            <w:pPr>
              <w:pStyle w:val="TableText"/>
              <w:keepNext/>
              <w:rPr>
                <w:rStyle w:val="Strong"/>
              </w:rPr>
            </w:pPr>
            <w:r w:rsidRPr="00936152">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12C90390" w14:textId="77777777" w:rsidR="00DD3067" w:rsidRPr="00936152" w:rsidRDefault="00DD3067" w:rsidP="00476948">
            <w:pPr>
              <w:pStyle w:val="TableText"/>
              <w:keepNext/>
              <w:rPr>
                <w:rStyle w:val="Strong"/>
              </w:rPr>
            </w:pPr>
            <w:r w:rsidRPr="00936152">
              <w:rPr>
                <w:rStyle w:val="Strong"/>
              </w:rPr>
              <w:t>Vulnerable</w:t>
            </w:r>
          </w:p>
          <w:p w14:paraId="449A5533" w14:textId="77777777" w:rsidR="00DD3067" w:rsidRPr="00936152" w:rsidRDefault="00DD3067" w:rsidP="00476948">
            <w:pPr>
              <w:pStyle w:val="TableText"/>
              <w:keepNext/>
              <w:rPr>
                <w:rStyle w:val="Strong"/>
              </w:rPr>
            </w:pPr>
            <w:r w:rsidRPr="00936152">
              <w:rPr>
                <w:rStyle w:val="Strong"/>
              </w:rPr>
              <w:t>Substantial reduction</w:t>
            </w:r>
          </w:p>
        </w:tc>
      </w:tr>
      <w:tr w:rsidR="00DD3067" w:rsidRPr="00556843" w14:paraId="7BC8A667"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32852979" w14:textId="77777777" w:rsidR="00DD3067" w:rsidRPr="00936152" w:rsidRDefault="00DD3067" w:rsidP="00476948">
            <w:pPr>
              <w:pStyle w:val="TableText"/>
              <w:keepNext/>
              <w:rPr>
                <w:rStyle w:val="Strong"/>
              </w:rPr>
            </w:pPr>
            <w:r w:rsidRPr="00936152">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3994CBAB" w14:textId="77777777" w:rsidR="00DD3067" w:rsidRPr="00556843" w:rsidRDefault="00DD3067" w:rsidP="00476948">
            <w:pPr>
              <w:pStyle w:val="TableText"/>
              <w:keepNext/>
            </w:pPr>
            <w:r w:rsidRPr="00556843">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1C562841" w14:textId="77777777" w:rsidR="00DD3067" w:rsidRPr="00556843" w:rsidRDefault="00DD3067" w:rsidP="00476948">
            <w:pPr>
              <w:pStyle w:val="TableText"/>
              <w:keepNext/>
            </w:pPr>
            <w:r w:rsidRPr="00556843">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305303E1" w14:textId="77777777" w:rsidR="00DD3067" w:rsidRPr="00556843" w:rsidRDefault="00DD3067" w:rsidP="00476948">
            <w:pPr>
              <w:pStyle w:val="TableText"/>
              <w:keepNext/>
            </w:pPr>
            <w:r w:rsidRPr="00556843">
              <w:t>≥ 50%</w:t>
            </w:r>
          </w:p>
        </w:tc>
      </w:tr>
      <w:tr w:rsidR="00DD3067" w:rsidRPr="00556843" w14:paraId="4A3B71F0"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5BA4AB30" w14:textId="77777777" w:rsidR="00DD3067" w:rsidRPr="00936152" w:rsidRDefault="00DD3067" w:rsidP="00476948">
            <w:pPr>
              <w:pStyle w:val="TableText"/>
              <w:keepNext/>
              <w:rPr>
                <w:rStyle w:val="Strong"/>
              </w:rPr>
            </w:pPr>
            <w:r w:rsidRPr="00936152">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57482E52" w14:textId="77777777" w:rsidR="00DD3067" w:rsidRPr="00556843" w:rsidRDefault="00DD3067" w:rsidP="00476948">
            <w:pPr>
              <w:pStyle w:val="TableText"/>
              <w:keepNext/>
            </w:pPr>
            <w:r w:rsidRPr="00556843">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0725F07C" w14:textId="77777777" w:rsidR="00DD3067" w:rsidRPr="00556843" w:rsidRDefault="00DD3067" w:rsidP="00476948">
            <w:pPr>
              <w:pStyle w:val="TableText"/>
              <w:keepNext/>
            </w:pPr>
            <w:r w:rsidRPr="00556843">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55877FB7" w14:textId="77777777" w:rsidR="00DD3067" w:rsidRPr="00556843" w:rsidRDefault="00DD3067" w:rsidP="00476948">
            <w:pPr>
              <w:pStyle w:val="TableText"/>
              <w:keepNext/>
            </w:pPr>
            <w:r w:rsidRPr="00556843">
              <w:t>≥ 30%</w:t>
            </w:r>
          </w:p>
        </w:tc>
      </w:tr>
      <w:tr w:rsidR="00266DC5" w:rsidRPr="00556843" w14:paraId="0AD949B1" w14:textId="77777777" w:rsidTr="001739A8">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658ED196" w14:textId="77777777" w:rsidR="00266DC5" w:rsidRPr="00556843" w:rsidRDefault="00266DC5" w:rsidP="000D55BC">
            <w:pPr>
              <w:pStyle w:val="TableText"/>
              <w:keepNext/>
              <w:spacing w:after="200" w:line="276" w:lineRule="auto"/>
              <w:ind w:left="493" w:hanging="493"/>
            </w:pPr>
            <w:r w:rsidRPr="00936152">
              <w:rPr>
                <w:rStyle w:val="Strong"/>
              </w:rPr>
              <w:t>A1</w:t>
            </w:r>
            <w:r w:rsidRPr="00556843">
              <w:tab/>
              <w:t xml:space="preserve">Population reduction observed, estimated, </w:t>
            </w:r>
            <w:proofErr w:type="gramStart"/>
            <w:r w:rsidRPr="00556843">
              <w:t>inferred</w:t>
            </w:r>
            <w:proofErr w:type="gramEnd"/>
            <w:r w:rsidRPr="00556843">
              <w:t xml:space="preserve"> or suspected in the past and the causes of the reduction are clearly reversible AND understood AND ceased.</w:t>
            </w:r>
          </w:p>
          <w:p w14:paraId="330B59AF" w14:textId="77777777" w:rsidR="00266DC5" w:rsidRPr="00556843" w:rsidRDefault="00266DC5" w:rsidP="000D55BC">
            <w:pPr>
              <w:pStyle w:val="TableText"/>
              <w:keepNext/>
              <w:spacing w:after="200" w:line="276" w:lineRule="auto"/>
              <w:ind w:left="493" w:hanging="493"/>
            </w:pPr>
            <w:r w:rsidRPr="00936152">
              <w:rPr>
                <w:rStyle w:val="Strong"/>
              </w:rPr>
              <w:t>A2</w:t>
            </w:r>
            <w:r w:rsidRPr="00556843">
              <w:tab/>
              <w:t xml:space="preserve">Population reduction observed, estimated, </w:t>
            </w:r>
            <w:proofErr w:type="gramStart"/>
            <w:r w:rsidRPr="00556843">
              <w:t>inferred</w:t>
            </w:r>
            <w:proofErr w:type="gramEnd"/>
            <w:r w:rsidRPr="00556843">
              <w:t xml:space="preserve"> or suspected in the past where the causes of the reduction may not have ceased OR may not be understood OR may not be reversible.</w:t>
            </w:r>
          </w:p>
          <w:p w14:paraId="557C6185" w14:textId="77777777" w:rsidR="00266DC5" w:rsidRPr="00556843" w:rsidRDefault="00266DC5" w:rsidP="000D55BC">
            <w:pPr>
              <w:pStyle w:val="TableText"/>
              <w:keepNext/>
              <w:spacing w:after="200" w:line="276" w:lineRule="auto"/>
              <w:ind w:left="493" w:hanging="493"/>
            </w:pPr>
            <w:r w:rsidRPr="00936152">
              <w:rPr>
                <w:rStyle w:val="Strong"/>
              </w:rPr>
              <w:t>A3</w:t>
            </w:r>
            <w:r w:rsidRPr="00556843">
              <w:tab/>
              <w:t>Population reduction, projected or suspected to be met in the future (up to a maximum of 100 years) [(</w:t>
            </w:r>
            <w:r w:rsidRPr="00556843">
              <w:rPr>
                <w:i/>
              </w:rPr>
              <w:t>a) cannot be used for A3</w:t>
            </w:r>
            <w:r w:rsidRPr="00556843">
              <w:t>]</w:t>
            </w:r>
          </w:p>
          <w:p w14:paraId="1FB60814" w14:textId="77777777" w:rsidR="00266DC5" w:rsidRPr="00556843" w:rsidRDefault="00266DC5" w:rsidP="000D55BC">
            <w:pPr>
              <w:pStyle w:val="TableText"/>
              <w:keepNext/>
              <w:spacing w:after="200" w:line="276" w:lineRule="auto"/>
              <w:ind w:left="493" w:hanging="493"/>
            </w:pPr>
            <w:r w:rsidRPr="00936152">
              <w:rPr>
                <w:rStyle w:val="Strong"/>
              </w:rPr>
              <w:t>A4</w:t>
            </w:r>
            <w:r w:rsidRPr="00556843">
              <w:tab/>
              <w:t xml:space="preserve">An observed, estimated, inferred, </w:t>
            </w:r>
            <w:proofErr w:type="gramStart"/>
            <w:r w:rsidRPr="00556843">
              <w:t>projected</w:t>
            </w:r>
            <w:proofErr w:type="gramEnd"/>
            <w:r w:rsidRPr="00556843">
              <w:t xml:space="preserve">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2560BC29" w14:textId="77777777" w:rsidR="00EC2908" w:rsidRPr="00556843" w:rsidRDefault="00EC2908" w:rsidP="006C7342">
            <w:pPr>
              <w:pStyle w:val="TableText"/>
              <w:spacing w:before="1800"/>
              <w:ind w:left="165"/>
            </w:pPr>
            <w:r w:rsidRPr="00556843">
              <w:rPr>
                <w:rFonts w:ascii="Arial" w:hAnsi="Arial" w:cs="Arial"/>
                <w:noProof/>
                <w:szCs w:val="18"/>
                <w:lang w:eastAsia="en-AU"/>
              </w:rPr>
              <mc:AlternateContent>
                <mc:Choice Requires="wps">
                  <w:drawing>
                    <wp:anchor distT="0" distB="0" distL="114300" distR="114300" simplePos="0" relativeHeight="251658240" behindDoc="0" locked="0" layoutInCell="1" allowOverlap="1" wp14:anchorId="358412BB" wp14:editId="26CF5B50">
                      <wp:simplePos x="0" y="0"/>
                      <wp:positionH relativeFrom="column">
                        <wp:posOffset>-207010</wp:posOffset>
                      </wp:positionH>
                      <wp:positionV relativeFrom="paragraph">
                        <wp:posOffset>19050</wp:posOffset>
                      </wp:positionV>
                      <wp:extent cx="295275" cy="24479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70CF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3pt;margin-top:1.5pt;width:23.2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" adj="868"/>
                  </w:pict>
                </mc:Fallback>
              </mc:AlternateContent>
            </w:r>
            <w:r w:rsidR="00266DC5">
              <w:t>B</w:t>
            </w:r>
            <w:r w:rsidR="00266DC5" w:rsidRPr="00CE7C59">
              <w:t>ased on any of the following</w:t>
            </w:r>
          </w:p>
        </w:tc>
        <w:tc>
          <w:tcPr>
            <w:tcW w:w="2664" w:type="dxa"/>
            <w:gridSpan w:val="2"/>
            <w:tcBorders>
              <w:top w:val="nil"/>
              <w:left w:val="nil"/>
            </w:tcBorders>
          </w:tcPr>
          <w:p w14:paraId="0B1F4305" w14:textId="77777777" w:rsidR="00266DC5" w:rsidRPr="00556843" w:rsidRDefault="00266DC5" w:rsidP="000D55BC">
            <w:pPr>
              <w:pStyle w:val="TableText"/>
              <w:ind w:left="312" w:hanging="312"/>
            </w:pPr>
            <w:r w:rsidRPr="00556843">
              <w:t>(a)</w:t>
            </w:r>
            <w:r w:rsidRPr="00556843">
              <w:tab/>
              <w:t>direct observation [</w:t>
            </w:r>
            <w:r w:rsidRPr="00266DC5">
              <w:t>except A3</w:t>
            </w:r>
            <w:r w:rsidRPr="00556843">
              <w:t>]</w:t>
            </w:r>
          </w:p>
          <w:p w14:paraId="495ACD4A" w14:textId="77777777" w:rsidR="00266DC5" w:rsidRDefault="00266DC5" w:rsidP="000D55BC">
            <w:pPr>
              <w:pStyle w:val="TableText"/>
              <w:ind w:left="312" w:hanging="312"/>
            </w:pPr>
            <w:r w:rsidRPr="00556843">
              <w:t>(b)</w:t>
            </w:r>
            <w:r w:rsidRPr="00556843">
              <w:tab/>
              <w:t>an index of abundance appropriate to the taxon</w:t>
            </w:r>
          </w:p>
          <w:p w14:paraId="3B826BBF" w14:textId="77777777" w:rsidR="00266DC5" w:rsidRPr="00556843" w:rsidRDefault="00266DC5" w:rsidP="000D55BC">
            <w:pPr>
              <w:pStyle w:val="TableText"/>
              <w:ind w:left="312" w:hanging="312"/>
            </w:pPr>
            <w:r w:rsidRPr="00556843">
              <w:t>(c)</w:t>
            </w:r>
            <w:r w:rsidRPr="00556843">
              <w:tab/>
              <w:t>a decline in area of occupancy, extent of occurrence and/or quality of habitat</w:t>
            </w:r>
          </w:p>
          <w:p w14:paraId="156C4C64" w14:textId="77777777" w:rsidR="00266DC5" w:rsidRPr="00556843" w:rsidRDefault="00266DC5" w:rsidP="000D55BC">
            <w:pPr>
              <w:pStyle w:val="TableText"/>
              <w:ind w:left="312" w:hanging="312"/>
            </w:pPr>
            <w:r w:rsidRPr="00556843">
              <w:t>(d)</w:t>
            </w:r>
            <w:r w:rsidRPr="00556843">
              <w:tab/>
              <w:t>actual or potential levels of exploitation</w:t>
            </w:r>
          </w:p>
          <w:p w14:paraId="76BB4F2C" w14:textId="77777777" w:rsidR="00266DC5" w:rsidRPr="00556843" w:rsidRDefault="00266DC5" w:rsidP="000D55BC">
            <w:pPr>
              <w:pStyle w:val="TableText"/>
              <w:ind w:left="312" w:hanging="312"/>
            </w:pPr>
            <w:r w:rsidRPr="00556843">
              <w:t>(e)</w:t>
            </w:r>
            <w:r w:rsidRPr="00556843">
              <w:tab/>
              <w:t xml:space="preserve">the effects of introduced taxa, hybridization, pathogens, pollutants, </w:t>
            </w:r>
            <w:proofErr w:type="gramStart"/>
            <w:r w:rsidRPr="00556843">
              <w:t>competitors</w:t>
            </w:r>
            <w:proofErr w:type="gramEnd"/>
            <w:r w:rsidRPr="00556843">
              <w:t xml:space="preserve"> or parasites</w:t>
            </w:r>
          </w:p>
        </w:tc>
      </w:tr>
    </w:tbl>
    <w:p w14:paraId="4CECC4C5" w14:textId="77777777" w:rsidR="000F3D21" w:rsidRDefault="00C2736A" w:rsidP="00B52E90">
      <w:pPr>
        <w:pStyle w:val="Heading3"/>
        <w:rPr>
          <w:lang w:eastAsia="ja-JP"/>
        </w:rPr>
      </w:pPr>
      <w:r>
        <w:rPr>
          <w:lang w:eastAsia="ja-JP"/>
        </w:rPr>
        <w:t>Criterion 1 e</w:t>
      </w:r>
      <w:r w:rsidR="000F3D21">
        <w:rPr>
          <w:lang w:eastAsia="ja-JP"/>
        </w:rPr>
        <w:t>vidence</w:t>
      </w:r>
    </w:p>
    <w:p w14:paraId="2C67751F" w14:textId="77777777" w:rsidR="00813214" w:rsidRDefault="00813214" w:rsidP="00813214">
      <w:pPr>
        <w:rPr>
          <w:rStyle w:val="Strong"/>
        </w:rPr>
      </w:pPr>
      <w:r w:rsidRPr="006C5DF7">
        <w:rPr>
          <w:rStyle w:val="Strong"/>
        </w:rPr>
        <w:t>Insufficient data to determine eligibility</w:t>
      </w:r>
    </w:p>
    <w:p w14:paraId="2C3D3559" w14:textId="672A6DED" w:rsidR="00673FE1" w:rsidRPr="00447BF4" w:rsidRDefault="005118D3" w:rsidP="00673FE1">
      <w:pPr>
        <w:rPr>
          <w:lang w:eastAsia="ja-JP"/>
        </w:rPr>
      </w:pPr>
      <w:r>
        <w:rPr>
          <w:lang w:eastAsia="ja-JP"/>
        </w:rPr>
        <w:t>There has been no attempt in assessing the population size in the last two decades</w:t>
      </w:r>
      <w:r w:rsidR="00203D2C">
        <w:rPr>
          <w:lang w:eastAsia="ja-JP"/>
        </w:rPr>
        <w:t>, where they were provisionally thought to be fewer than 1,000 mature individuals with no subpopulation likely to exceed 100 pairs (</w:t>
      </w:r>
      <w:r w:rsidR="00203D2C" w:rsidRPr="004C58BA">
        <w:rPr>
          <w:lang w:eastAsia="ja-JP"/>
        </w:rPr>
        <w:t>Pickett 2002).</w:t>
      </w:r>
      <w:r w:rsidR="00A4190B" w:rsidRPr="004C58BA">
        <w:rPr>
          <w:lang w:eastAsia="ja-JP"/>
        </w:rPr>
        <w:t xml:space="preserve"> </w:t>
      </w:r>
      <w:r w:rsidR="009D626A" w:rsidRPr="004C58BA">
        <w:rPr>
          <w:lang w:eastAsia="ja-JP"/>
        </w:rPr>
        <w:t xml:space="preserve">Another survey of 35 sites in 2009, including 21 that were burnt during </w:t>
      </w:r>
      <w:r w:rsidR="00B265A7" w:rsidRPr="004C58BA">
        <w:rPr>
          <w:lang w:eastAsia="ja-JP"/>
        </w:rPr>
        <w:t xml:space="preserve">bushfires in 2001 or 2005, </w:t>
      </w:r>
      <w:r w:rsidR="00D971DF" w:rsidRPr="004C58BA">
        <w:rPr>
          <w:lang w:eastAsia="ja-JP"/>
        </w:rPr>
        <w:t>36-37 birds were recorded at 11 sites, including 6/16 survey sites at which they had previously been recorded</w:t>
      </w:r>
      <w:r w:rsidR="00D971DF">
        <w:rPr>
          <w:lang w:eastAsia="ja-JP"/>
        </w:rPr>
        <w:t xml:space="preserve"> </w:t>
      </w:r>
      <w:r w:rsidR="008C3BFD">
        <w:rPr>
          <w:lang w:eastAsia="ja-JP"/>
        </w:rPr>
        <w:t xml:space="preserve">during 2002-2008 and five new sites. </w:t>
      </w:r>
      <w:r w:rsidR="008848EB">
        <w:rPr>
          <w:lang w:eastAsia="ja-JP"/>
        </w:rPr>
        <w:t xml:space="preserve">Birds were recorded in post-fire regeneration at two sites that had been completely burnt in 2001 with breeding at one and </w:t>
      </w:r>
      <w:r w:rsidR="00435DB8">
        <w:rPr>
          <w:lang w:eastAsia="ja-JP"/>
        </w:rPr>
        <w:t>four sites burnt in 2005 with breeding at two</w:t>
      </w:r>
      <w:r w:rsidR="004C58BA">
        <w:rPr>
          <w:lang w:eastAsia="ja-JP"/>
        </w:rPr>
        <w:t>. Birds were recorded up to 3.5 km inside the burnt area (Pickett 2009).</w:t>
      </w:r>
      <w:r w:rsidR="00447BF4">
        <w:rPr>
          <w:lang w:eastAsia="ja-JP"/>
        </w:rPr>
        <w:t xml:space="preserve"> </w:t>
      </w:r>
      <w:r w:rsidR="005329D7">
        <w:rPr>
          <w:lang w:eastAsia="ja-JP"/>
        </w:rPr>
        <w:t xml:space="preserve">Surveys conducted in June 2020 </w:t>
      </w:r>
      <w:r w:rsidR="00CB5C5C">
        <w:rPr>
          <w:lang w:eastAsia="ja-JP"/>
        </w:rPr>
        <w:t>in Whalers Way observed 18 individuals, including four pairs and a group of three (</w:t>
      </w:r>
      <w:proofErr w:type="spellStart"/>
      <w:r w:rsidR="00CB5C5C">
        <w:rPr>
          <w:lang w:eastAsia="ja-JP"/>
        </w:rPr>
        <w:t>Sinel</w:t>
      </w:r>
      <w:proofErr w:type="spellEnd"/>
      <w:r w:rsidR="00CB5C5C">
        <w:rPr>
          <w:lang w:eastAsia="ja-JP"/>
        </w:rPr>
        <w:t xml:space="preserve"> 2020).</w:t>
      </w:r>
    </w:p>
    <w:p w14:paraId="1D08B260" w14:textId="19252EB9" w:rsidR="003558BA" w:rsidRPr="003558BA" w:rsidRDefault="00280575" w:rsidP="00FE4A01">
      <w:pPr>
        <w:rPr>
          <w:lang w:eastAsia="ja-JP"/>
        </w:rPr>
      </w:pPr>
      <w:r>
        <w:rPr>
          <w:lang w:eastAsia="ja-JP"/>
        </w:rPr>
        <w:t xml:space="preserve">Van </w:t>
      </w:r>
      <w:proofErr w:type="spellStart"/>
      <w:r>
        <w:rPr>
          <w:lang w:eastAsia="ja-JP"/>
        </w:rPr>
        <w:t>Weenen</w:t>
      </w:r>
      <w:proofErr w:type="spellEnd"/>
      <w:r>
        <w:rPr>
          <w:lang w:eastAsia="ja-JP"/>
        </w:rPr>
        <w:t xml:space="preserve"> &amp; Garnett (2021) </w:t>
      </w:r>
      <w:proofErr w:type="gramStart"/>
      <w:r w:rsidR="00A538FD">
        <w:rPr>
          <w:lang w:eastAsia="ja-JP"/>
        </w:rPr>
        <w:t>made the assumption</w:t>
      </w:r>
      <w:proofErr w:type="gramEnd"/>
      <w:r w:rsidR="00A538FD">
        <w:rPr>
          <w:lang w:eastAsia="ja-JP"/>
        </w:rPr>
        <w:t xml:space="preserve"> that three out of the </w:t>
      </w:r>
      <w:r w:rsidR="00F57997">
        <w:rPr>
          <w:lang w:eastAsia="ja-JP"/>
        </w:rPr>
        <w:t>11 locations have been extirpated</w:t>
      </w:r>
      <w:r w:rsidR="005C61D5">
        <w:rPr>
          <w:lang w:eastAsia="ja-JP"/>
        </w:rPr>
        <w:t xml:space="preserve">, based on historical </w:t>
      </w:r>
      <w:r w:rsidR="00A4190B">
        <w:rPr>
          <w:lang w:eastAsia="ja-JP"/>
        </w:rPr>
        <w:t>rate of decline.</w:t>
      </w:r>
      <w:r w:rsidR="001D597F">
        <w:rPr>
          <w:lang w:eastAsia="ja-JP"/>
        </w:rPr>
        <w:t xml:space="preserve"> However, </w:t>
      </w:r>
      <w:r w:rsidR="00C340C0">
        <w:rPr>
          <w:lang w:eastAsia="ja-JP"/>
        </w:rPr>
        <w:t xml:space="preserve">there is insufficient evidence to </w:t>
      </w:r>
      <w:r w:rsidR="005A77FF">
        <w:rPr>
          <w:lang w:eastAsia="ja-JP"/>
        </w:rPr>
        <w:t>quantify</w:t>
      </w:r>
      <w:r w:rsidR="00C63D1D">
        <w:rPr>
          <w:lang w:eastAsia="ja-JP"/>
        </w:rPr>
        <w:t xml:space="preserve"> the</w:t>
      </w:r>
      <w:r w:rsidR="005110B8">
        <w:rPr>
          <w:lang w:eastAsia="ja-JP"/>
        </w:rPr>
        <w:t xml:space="preserve"> </w:t>
      </w:r>
      <w:r w:rsidR="00A92698">
        <w:rPr>
          <w:lang w:eastAsia="ja-JP"/>
        </w:rPr>
        <w:t xml:space="preserve">population </w:t>
      </w:r>
      <w:r w:rsidR="00FE4A01">
        <w:rPr>
          <w:lang w:eastAsia="ja-JP"/>
        </w:rPr>
        <w:t>decline in the last 10 years. Therefore, the Committee considers that there is insufficient information to determine the eligibility of the subspecies for listing under this criterion.</w:t>
      </w:r>
    </w:p>
    <w:p w14:paraId="71AFCF1C" w14:textId="77777777" w:rsidR="00B6264B" w:rsidRDefault="00B6264B" w:rsidP="00B6264B">
      <w:pPr>
        <w:pStyle w:val="Caption"/>
        <w:rPr>
          <w:lang w:eastAsia="ja-JP"/>
        </w:rPr>
      </w:pPr>
      <w:r>
        <w:rPr>
          <w:lang w:eastAsia="ja-JP"/>
        </w:rPr>
        <w:lastRenderedPageBreak/>
        <w:t xml:space="preserve">Criterion 2 </w:t>
      </w:r>
      <w:r w:rsidRPr="00B6264B">
        <w:rPr>
          <w:lang w:eastAsia="ja-JP"/>
        </w:rPr>
        <w:t>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B6264B" w:rsidRPr="00556843" w14:paraId="7B2A8212" w14:textId="77777777" w:rsidTr="00B6264B">
        <w:trPr>
          <w:trHeight w:val="350"/>
        </w:trPr>
        <w:tc>
          <w:tcPr>
            <w:tcW w:w="10738" w:type="dxa"/>
            <w:gridSpan w:val="4"/>
            <w:tcBorders>
              <w:bottom w:val="nil"/>
            </w:tcBorders>
            <w:shd w:val="clear" w:color="auto" w:fill="595959" w:themeFill="text1" w:themeFillTint="A6"/>
            <w:vAlign w:val="center"/>
          </w:tcPr>
          <w:p w14:paraId="00A954E5" w14:textId="77777777" w:rsidR="00B6264B" w:rsidRPr="00556843" w:rsidRDefault="00B6264B" w:rsidP="000E630E">
            <w:pPr>
              <w:keepNext/>
              <w:tabs>
                <w:tab w:val="left" w:pos="284"/>
              </w:tabs>
              <w:ind w:left="1452" w:hanging="1452"/>
              <w:rPr>
                <w:rFonts w:ascii="Arial" w:hAnsi="Arial" w:cs="Arial"/>
                <w:b/>
                <w:color w:val="FFFFFF" w:themeColor="background1"/>
              </w:rPr>
            </w:pPr>
          </w:p>
        </w:tc>
      </w:tr>
      <w:tr w:rsidR="00B6264B" w:rsidRPr="00556843" w14:paraId="122FE2D2" w14:textId="77777777" w:rsidTr="00B6264B">
        <w:tc>
          <w:tcPr>
            <w:tcW w:w="4111" w:type="dxa"/>
            <w:tcBorders>
              <w:top w:val="nil"/>
              <w:bottom w:val="nil"/>
              <w:right w:val="nil"/>
            </w:tcBorders>
          </w:tcPr>
          <w:p w14:paraId="28CCE52D" w14:textId="77777777" w:rsidR="00B6264B" w:rsidRPr="00556843" w:rsidRDefault="00280857" w:rsidP="000E630E">
            <w:pPr>
              <w:pStyle w:val="TableText"/>
              <w:keepNext/>
            </w:pPr>
            <w:r w:rsidRPr="00AE31DA">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5780BF4C" w14:textId="77777777" w:rsidR="00B6264B" w:rsidRPr="00795F43" w:rsidRDefault="00B6264B" w:rsidP="000E630E">
            <w:pPr>
              <w:pStyle w:val="TableText"/>
              <w:keepNext/>
              <w:rPr>
                <w:rStyle w:val="Strong"/>
              </w:rPr>
            </w:pPr>
            <w:r w:rsidRPr="00795F43">
              <w:rPr>
                <w:rStyle w:val="Strong"/>
              </w:rPr>
              <w:t>Critically Endangered</w:t>
            </w:r>
          </w:p>
          <w:p w14:paraId="0137992F" w14:textId="77777777" w:rsidR="00B6264B" w:rsidRPr="00556843" w:rsidRDefault="00B6264B" w:rsidP="000E630E">
            <w:pPr>
              <w:pStyle w:val="TableText"/>
              <w:keepNext/>
              <w:rPr>
                <w:b/>
              </w:rPr>
            </w:pPr>
            <w:r w:rsidRPr="00795F43">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4CFC59FE" w14:textId="77777777" w:rsidR="00B6264B" w:rsidRPr="00556843" w:rsidRDefault="00B6264B" w:rsidP="000E630E">
            <w:pPr>
              <w:pStyle w:val="TableText"/>
              <w:keepNext/>
              <w:rPr>
                <w:b/>
              </w:rPr>
            </w:pPr>
            <w:r w:rsidRPr="00556843">
              <w:rPr>
                <w:b/>
              </w:rPr>
              <w:t>Endangered</w:t>
            </w:r>
          </w:p>
          <w:p w14:paraId="08154EC7" w14:textId="77777777" w:rsidR="00B6264B" w:rsidRPr="00556843" w:rsidRDefault="00B6264B" w:rsidP="000E630E">
            <w:pPr>
              <w:pStyle w:val="TableText"/>
              <w:keepNext/>
              <w:rPr>
                <w:b/>
              </w:rPr>
            </w:pPr>
            <w:r w:rsidRPr="00556843">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347BDDA5" w14:textId="77777777" w:rsidR="00B6264B" w:rsidRPr="00556843" w:rsidRDefault="00B6264B" w:rsidP="000E630E">
            <w:pPr>
              <w:pStyle w:val="TableText"/>
              <w:keepNext/>
              <w:rPr>
                <w:b/>
              </w:rPr>
            </w:pPr>
            <w:r w:rsidRPr="00556843">
              <w:rPr>
                <w:b/>
              </w:rPr>
              <w:t>Vulnerable</w:t>
            </w:r>
          </w:p>
          <w:p w14:paraId="0EF2C302" w14:textId="77777777" w:rsidR="00B6264B" w:rsidRPr="00556843" w:rsidRDefault="00B6264B" w:rsidP="000E630E">
            <w:pPr>
              <w:pStyle w:val="TableText"/>
              <w:keepNext/>
              <w:rPr>
                <w:b/>
              </w:rPr>
            </w:pPr>
            <w:r w:rsidRPr="00556843">
              <w:rPr>
                <w:b/>
              </w:rPr>
              <w:t>Limited</w:t>
            </w:r>
          </w:p>
        </w:tc>
      </w:tr>
      <w:tr w:rsidR="00B6264B" w:rsidRPr="00556843" w14:paraId="24F2E2A5" w14:textId="77777777" w:rsidTr="00B6264B">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521D4384" w14:textId="77777777" w:rsidR="00B6264B" w:rsidRPr="00556843" w:rsidRDefault="00B6264B" w:rsidP="000E630E">
            <w:pPr>
              <w:pStyle w:val="TableText"/>
              <w:keepNext/>
              <w:ind w:left="492" w:hanging="492"/>
            </w:pPr>
            <w:r w:rsidRPr="00936152">
              <w:rPr>
                <w:rStyle w:val="Strong"/>
              </w:rPr>
              <w:t>B1.</w:t>
            </w:r>
            <w:r w:rsidRPr="00556843">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47B405C1" w14:textId="77777777" w:rsidR="00B6264B" w:rsidRPr="00556843" w:rsidRDefault="00B6264B" w:rsidP="000E630E">
            <w:pPr>
              <w:pStyle w:val="TableText"/>
              <w:keepNext/>
              <w:rPr>
                <w:b/>
              </w:rPr>
            </w:pPr>
            <w:r w:rsidRPr="00556843">
              <w:rPr>
                <w:b/>
              </w:rPr>
              <w:t>&lt; 100 km</w:t>
            </w:r>
            <w:r w:rsidRPr="00556843">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604D9F0B" w14:textId="77777777" w:rsidR="00B6264B" w:rsidRPr="00556843" w:rsidRDefault="00B6264B" w:rsidP="000E630E">
            <w:pPr>
              <w:pStyle w:val="TableText"/>
              <w:keepNext/>
            </w:pPr>
            <w:r w:rsidRPr="00556843">
              <w:rPr>
                <w:b/>
              </w:rPr>
              <w:t>&lt; 5,000 km</w:t>
            </w:r>
            <w:r w:rsidRPr="00556843">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1CDB5259" w14:textId="77777777" w:rsidR="00B6264B" w:rsidRPr="00556843" w:rsidRDefault="00B6264B" w:rsidP="000E630E">
            <w:pPr>
              <w:pStyle w:val="TableText"/>
              <w:keepNext/>
            </w:pPr>
            <w:r w:rsidRPr="00556843">
              <w:rPr>
                <w:b/>
              </w:rPr>
              <w:t>&lt; 20,000 km</w:t>
            </w:r>
            <w:r w:rsidRPr="00556843">
              <w:rPr>
                <w:b/>
                <w:vertAlign w:val="superscript"/>
              </w:rPr>
              <w:t>2</w:t>
            </w:r>
          </w:p>
        </w:tc>
      </w:tr>
      <w:tr w:rsidR="00B6264B" w:rsidRPr="00556843" w14:paraId="6A858EDB" w14:textId="77777777" w:rsidTr="00B6264B">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14EDA444" w14:textId="77777777" w:rsidR="00B6264B" w:rsidRPr="00556843" w:rsidRDefault="00B6264B" w:rsidP="000D55BC">
            <w:pPr>
              <w:pStyle w:val="TableText"/>
              <w:keepNext/>
              <w:ind w:left="492" w:hanging="492"/>
            </w:pPr>
            <w:r w:rsidRPr="00936152">
              <w:rPr>
                <w:rStyle w:val="Strong"/>
              </w:rPr>
              <w:t>B2.</w:t>
            </w:r>
            <w:r w:rsidRPr="00556843">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7BC393C0" w14:textId="77777777" w:rsidR="00B6264B" w:rsidRPr="00556843" w:rsidRDefault="00B6264B" w:rsidP="000E630E">
            <w:pPr>
              <w:pStyle w:val="TableText"/>
              <w:keepNext/>
              <w:rPr>
                <w:b/>
              </w:rPr>
            </w:pPr>
            <w:r w:rsidRPr="00556843">
              <w:rPr>
                <w:b/>
              </w:rPr>
              <w:t>&lt; 10 km</w:t>
            </w:r>
            <w:r w:rsidRPr="00556843">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19081ECB" w14:textId="77777777" w:rsidR="00B6264B" w:rsidRPr="00556843" w:rsidRDefault="00B6264B" w:rsidP="000E630E">
            <w:pPr>
              <w:pStyle w:val="TableText"/>
              <w:keepNext/>
            </w:pPr>
            <w:r w:rsidRPr="00556843">
              <w:rPr>
                <w:b/>
              </w:rPr>
              <w:t>&lt; 500 km</w:t>
            </w:r>
            <w:r w:rsidRPr="00556843">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679216E7" w14:textId="77777777" w:rsidR="00B6264B" w:rsidRPr="00556843" w:rsidRDefault="00B6264B" w:rsidP="000E630E">
            <w:pPr>
              <w:pStyle w:val="TableText"/>
              <w:keepNext/>
            </w:pPr>
            <w:r w:rsidRPr="00556843">
              <w:rPr>
                <w:b/>
              </w:rPr>
              <w:t>&lt; 2,000 km</w:t>
            </w:r>
            <w:r w:rsidRPr="00556843">
              <w:rPr>
                <w:b/>
                <w:vertAlign w:val="superscript"/>
              </w:rPr>
              <w:t>2</w:t>
            </w:r>
          </w:p>
        </w:tc>
      </w:tr>
      <w:tr w:rsidR="00B6264B" w:rsidRPr="00556843" w14:paraId="7470CD90" w14:textId="77777777" w:rsidTr="00B6264B">
        <w:tc>
          <w:tcPr>
            <w:tcW w:w="10738" w:type="dxa"/>
            <w:gridSpan w:val="4"/>
            <w:tcBorders>
              <w:top w:val="nil"/>
              <w:bottom w:val="nil"/>
            </w:tcBorders>
          </w:tcPr>
          <w:p w14:paraId="20C659D4" w14:textId="77777777" w:rsidR="00B6264B" w:rsidRPr="00936152" w:rsidRDefault="00B6264B" w:rsidP="000E630E">
            <w:pPr>
              <w:pStyle w:val="TableText"/>
              <w:keepNext/>
              <w:rPr>
                <w:rStyle w:val="Strong"/>
              </w:rPr>
            </w:pPr>
            <w:r w:rsidRPr="00936152">
              <w:rPr>
                <w:rStyle w:val="Strong"/>
              </w:rPr>
              <w:t>AND at least 2 of the following 3 conditions:</w:t>
            </w:r>
          </w:p>
        </w:tc>
      </w:tr>
      <w:tr w:rsidR="00B6264B" w:rsidRPr="00556843" w14:paraId="76094DC2" w14:textId="77777777" w:rsidTr="00B6264B">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268B0C51" w14:textId="77777777" w:rsidR="00B6264B" w:rsidRPr="00556843" w:rsidRDefault="00B6264B" w:rsidP="000D55BC">
            <w:pPr>
              <w:pStyle w:val="TableText"/>
              <w:keepNext/>
              <w:ind w:left="492" w:hanging="492"/>
            </w:pPr>
            <w:r w:rsidRPr="00556843">
              <w:t>(a)</w:t>
            </w:r>
            <w:r w:rsidRPr="00556843">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3F6454C5" w14:textId="77777777" w:rsidR="00B6264B" w:rsidRPr="00556843" w:rsidRDefault="00B6264B" w:rsidP="000E630E">
            <w:pPr>
              <w:pStyle w:val="TableText"/>
              <w:keepNext/>
              <w:rPr>
                <w:b/>
              </w:rPr>
            </w:pPr>
            <w:r w:rsidRPr="00556843">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0714DF23" w14:textId="77777777" w:rsidR="00B6264B" w:rsidRPr="00556843" w:rsidRDefault="00B6264B" w:rsidP="000E630E">
            <w:pPr>
              <w:pStyle w:val="TableText"/>
              <w:keepNext/>
              <w:rPr>
                <w:b/>
              </w:rPr>
            </w:pPr>
            <w:r w:rsidRPr="00556843">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46C105D3" w14:textId="77777777" w:rsidR="00B6264B" w:rsidRPr="00556843" w:rsidRDefault="00B6264B" w:rsidP="000E630E">
            <w:pPr>
              <w:pStyle w:val="TableText"/>
              <w:keepNext/>
              <w:rPr>
                <w:b/>
              </w:rPr>
            </w:pPr>
            <w:r w:rsidRPr="00556843">
              <w:rPr>
                <w:b/>
              </w:rPr>
              <w:t>≤ 10</w:t>
            </w:r>
          </w:p>
        </w:tc>
      </w:tr>
      <w:tr w:rsidR="00B6264B" w:rsidRPr="00556843" w14:paraId="3710DAA6" w14:textId="77777777" w:rsidTr="00B6264B">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5DF91112" w14:textId="77777777" w:rsidR="00B6264B" w:rsidRPr="00556843" w:rsidRDefault="00B6264B" w:rsidP="000D55BC">
            <w:pPr>
              <w:pStyle w:val="TableText"/>
              <w:keepNext/>
              <w:ind w:left="492" w:hanging="492"/>
            </w:pPr>
            <w:r w:rsidRPr="00556843">
              <w:t>(b)</w:t>
            </w:r>
            <w:r w:rsidRPr="00556843">
              <w:tab/>
              <w:t xml:space="preserve">Continuing decline observed, estimated, </w:t>
            </w:r>
            <w:proofErr w:type="gramStart"/>
            <w:r w:rsidRPr="00556843">
              <w:t>inferred</w:t>
            </w:r>
            <w:proofErr w:type="gramEnd"/>
            <w:r w:rsidRPr="00556843">
              <w:t xml:space="preserve"> or projected in any of: (</w:t>
            </w:r>
            <w:proofErr w:type="spellStart"/>
            <w:r w:rsidRPr="00556843">
              <w:t>i</w:t>
            </w:r>
            <w:proofErr w:type="spellEnd"/>
            <w:r w:rsidRPr="00556843">
              <w:t>) extent of occurrence; (ii) area of occupancy; (iii) area, extent and/or quality of habitat; (iv) number of locations or subpopulations; (v) number of mature individuals</w:t>
            </w:r>
          </w:p>
        </w:tc>
      </w:tr>
      <w:tr w:rsidR="00B6264B" w:rsidRPr="00556843" w14:paraId="61515E7D" w14:textId="77777777" w:rsidTr="00B6264B">
        <w:tc>
          <w:tcPr>
            <w:tcW w:w="10738" w:type="dxa"/>
            <w:gridSpan w:val="4"/>
            <w:tcBorders>
              <w:top w:val="single" w:sz="4" w:space="0" w:color="FFFFFF" w:themeColor="background1"/>
            </w:tcBorders>
            <w:shd w:val="clear" w:color="auto" w:fill="BFBFBF" w:themeFill="background1" w:themeFillShade="BF"/>
          </w:tcPr>
          <w:p w14:paraId="1CA0D67E" w14:textId="77777777" w:rsidR="00B6264B" w:rsidRPr="00556843" w:rsidRDefault="00B6264B" w:rsidP="000D55BC">
            <w:pPr>
              <w:pStyle w:val="TableText"/>
              <w:ind w:left="492" w:hanging="492"/>
            </w:pPr>
            <w:r w:rsidRPr="00556843">
              <w:t>(c)</w:t>
            </w:r>
            <w:r w:rsidRPr="00556843">
              <w:tab/>
              <w:t>Extreme fluctuations in any of: (</w:t>
            </w:r>
            <w:proofErr w:type="spellStart"/>
            <w:r w:rsidRPr="00556843">
              <w:t>i</w:t>
            </w:r>
            <w:proofErr w:type="spellEnd"/>
            <w:r w:rsidRPr="00556843">
              <w:t>) extent of occurrence; (ii) area of occupancy; (iii) number of locations or subpopulations; (iv) number of mature individuals</w:t>
            </w:r>
          </w:p>
        </w:tc>
      </w:tr>
    </w:tbl>
    <w:p w14:paraId="09A2BC87" w14:textId="77777777" w:rsidR="00B6264B" w:rsidRPr="00B6264B" w:rsidRDefault="00C2736A" w:rsidP="00AE31DA">
      <w:pPr>
        <w:pStyle w:val="Heading3"/>
        <w:spacing w:before="240"/>
        <w:ind w:left="964" w:hanging="964"/>
        <w:rPr>
          <w:lang w:eastAsia="ja-JP"/>
        </w:rPr>
      </w:pPr>
      <w:r>
        <w:rPr>
          <w:lang w:eastAsia="ja-JP"/>
        </w:rPr>
        <w:t>Criterion 2 e</w:t>
      </w:r>
      <w:r w:rsidR="00B6264B" w:rsidRPr="00B6264B">
        <w:rPr>
          <w:lang w:eastAsia="ja-JP"/>
        </w:rPr>
        <w:t>vidence</w:t>
      </w:r>
    </w:p>
    <w:p w14:paraId="15A110B6" w14:textId="7FA2F31B" w:rsidR="006137FD" w:rsidRPr="00331807" w:rsidRDefault="00B6264B" w:rsidP="00B6264B">
      <w:pPr>
        <w:rPr>
          <w:b/>
          <w:bCs/>
          <w:lang w:eastAsia="ja-JP"/>
        </w:rPr>
      </w:pPr>
      <w:r w:rsidRPr="006157FE">
        <w:rPr>
          <w:rStyle w:val="Strong"/>
        </w:rPr>
        <w:t>Eligible</w:t>
      </w:r>
      <w:r w:rsidRPr="00AE31DA">
        <w:rPr>
          <w:rStyle w:val="Strong"/>
        </w:rPr>
        <w:t xml:space="preserve"> under </w:t>
      </w:r>
      <w:r w:rsidRPr="00331807">
        <w:rPr>
          <w:rStyle w:val="Strong"/>
        </w:rPr>
        <w:t>Criterion 2</w:t>
      </w:r>
      <w:r w:rsidRPr="00331807">
        <w:rPr>
          <w:bCs/>
          <w:lang w:eastAsia="ja-JP"/>
        </w:rPr>
        <w:t xml:space="preserve"> </w:t>
      </w:r>
      <w:r w:rsidR="00A85421" w:rsidRPr="00331807">
        <w:rPr>
          <w:b/>
          <w:lang w:eastAsia="ja-JP"/>
        </w:rPr>
        <w:t>B1ab(</w:t>
      </w:r>
      <w:proofErr w:type="spellStart"/>
      <w:proofErr w:type="gramStart"/>
      <w:r w:rsidR="00A85421" w:rsidRPr="00331807">
        <w:rPr>
          <w:b/>
          <w:lang w:eastAsia="ja-JP"/>
        </w:rPr>
        <w:t>ii,iii</w:t>
      </w:r>
      <w:proofErr w:type="gramEnd"/>
      <w:r w:rsidR="00A85421" w:rsidRPr="00331807">
        <w:rPr>
          <w:b/>
          <w:lang w:eastAsia="ja-JP"/>
        </w:rPr>
        <w:t>,iv,v</w:t>
      </w:r>
      <w:proofErr w:type="spellEnd"/>
      <w:r w:rsidR="00A85421" w:rsidRPr="00331807">
        <w:rPr>
          <w:b/>
          <w:lang w:eastAsia="ja-JP"/>
        </w:rPr>
        <w:t>)+2ab(</w:t>
      </w:r>
      <w:proofErr w:type="spellStart"/>
      <w:r w:rsidR="00A85421" w:rsidRPr="00331807">
        <w:rPr>
          <w:b/>
          <w:lang w:eastAsia="ja-JP"/>
        </w:rPr>
        <w:t>ii,iii,iv,v</w:t>
      </w:r>
      <w:proofErr w:type="spellEnd"/>
      <w:r w:rsidR="00A85421" w:rsidRPr="00331807">
        <w:rPr>
          <w:b/>
          <w:lang w:eastAsia="ja-JP"/>
        </w:rPr>
        <w:t>)</w:t>
      </w:r>
      <w:r w:rsidR="00A85421" w:rsidRPr="00331807">
        <w:rPr>
          <w:bCs/>
          <w:lang w:eastAsia="ja-JP"/>
        </w:rPr>
        <w:t xml:space="preserve"> </w:t>
      </w:r>
      <w:r w:rsidRPr="00331807">
        <w:rPr>
          <w:rStyle w:val="Strong"/>
        </w:rPr>
        <w:t>for listing as</w:t>
      </w:r>
      <w:r w:rsidRPr="00331807">
        <w:rPr>
          <w:b/>
          <w:bCs/>
          <w:lang w:eastAsia="ja-JP"/>
        </w:rPr>
        <w:t xml:space="preserve"> </w:t>
      </w:r>
      <w:sdt>
        <w:sdtPr>
          <w:id w:val="1779288282"/>
          <w:placeholder>
            <w:docPart w:val="F87EA736CAAE497098CFAB494038D52D"/>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Extinct" w:value="Extinct"/>
            <w:listItem w:displayText="Extinct in the Wild" w:value="Extinct in the Wild"/>
          </w:dropDownList>
        </w:sdtPr>
        <w:sdtEndPr/>
        <w:sdtContent>
          <w:r w:rsidR="00EE0EBA" w:rsidRPr="00331807">
            <w:t>Endangered</w:t>
          </w:r>
        </w:sdtContent>
      </w:sdt>
    </w:p>
    <w:p w14:paraId="2C7352EB" w14:textId="33697DDF" w:rsidR="00BB1D91" w:rsidRPr="00331807" w:rsidRDefault="002048C1" w:rsidP="00B6264B">
      <w:pPr>
        <w:rPr>
          <w:bCs/>
          <w:lang w:eastAsia="ja-JP"/>
        </w:rPr>
      </w:pPr>
      <w:r w:rsidRPr="00331807">
        <w:rPr>
          <w:bCs/>
          <w:lang w:eastAsia="ja-JP"/>
        </w:rPr>
        <w:t xml:space="preserve">The </w:t>
      </w:r>
      <w:r w:rsidR="000E7FEC" w:rsidRPr="00331807">
        <w:rPr>
          <w:bCs/>
          <w:lang w:eastAsia="ja-JP"/>
        </w:rPr>
        <w:t>subspecies</w:t>
      </w:r>
      <w:r w:rsidRPr="00331807">
        <w:rPr>
          <w:bCs/>
          <w:lang w:eastAsia="ja-JP"/>
        </w:rPr>
        <w:t xml:space="preserve"> has a </w:t>
      </w:r>
      <w:r w:rsidR="00872A2C" w:rsidRPr="00331807">
        <w:rPr>
          <w:bCs/>
          <w:lang w:eastAsia="ja-JP"/>
        </w:rPr>
        <w:t xml:space="preserve">restricted EOO and AOO of </w:t>
      </w:r>
      <w:r w:rsidR="005F483E" w:rsidRPr="00E47496">
        <w:rPr>
          <w:lang w:eastAsia="ja-JP"/>
        </w:rPr>
        <w:t>2,</w:t>
      </w:r>
      <w:r w:rsidR="005F483E" w:rsidRPr="006B6B55">
        <w:rPr>
          <w:lang w:eastAsia="ja-JP"/>
        </w:rPr>
        <w:t>100 and 54 km</w:t>
      </w:r>
      <w:r w:rsidR="005F483E" w:rsidRPr="006B6B55">
        <w:rPr>
          <w:vertAlign w:val="superscript"/>
          <w:lang w:eastAsia="ja-JP"/>
        </w:rPr>
        <w:t>2</w:t>
      </w:r>
      <w:r w:rsidR="005F483E" w:rsidRPr="006B6B55">
        <w:rPr>
          <w:lang w:eastAsia="ja-JP"/>
        </w:rPr>
        <w:t>,</w:t>
      </w:r>
      <w:r w:rsidR="005F483E" w:rsidRPr="006B6B55">
        <w:rPr>
          <w:bCs/>
          <w:lang w:eastAsia="ja-JP"/>
        </w:rPr>
        <w:t xml:space="preserve"> respectively</w:t>
      </w:r>
      <w:r w:rsidR="005F483E" w:rsidRPr="00331807">
        <w:rPr>
          <w:bCs/>
          <w:lang w:eastAsia="ja-JP"/>
        </w:rPr>
        <w:t xml:space="preserve"> (Table 3)</w:t>
      </w:r>
      <w:r w:rsidR="00162E0C" w:rsidRPr="00331807">
        <w:rPr>
          <w:bCs/>
          <w:lang w:eastAsia="ja-JP"/>
        </w:rPr>
        <w:t xml:space="preserve">. </w:t>
      </w:r>
      <w:r w:rsidR="00E12580" w:rsidRPr="00331807">
        <w:rPr>
          <w:bCs/>
          <w:lang w:eastAsia="ja-JP"/>
        </w:rPr>
        <w:t xml:space="preserve">The subspecies occurs at </w:t>
      </w:r>
      <w:r w:rsidR="12F7E495" w:rsidRPr="48D710CD">
        <w:rPr>
          <w:lang w:eastAsia="ja-JP"/>
        </w:rPr>
        <w:t xml:space="preserve">up to </w:t>
      </w:r>
      <w:r w:rsidR="00E12580" w:rsidRPr="00331807">
        <w:rPr>
          <w:bCs/>
          <w:lang w:eastAsia="ja-JP"/>
        </w:rPr>
        <w:t xml:space="preserve">11 isolated locations (see </w:t>
      </w:r>
      <w:r w:rsidR="00E12580" w:rsidRPr="00DA49A2">
        <w:rPr>
          <w:bCs/>
          <w:i/>
          <w:iCs/>
          <w:lang w:eastAsia="ja-JP"/>
        </w:rPr>
        <w:t>Distribution</w:t>
      </w:r>
      <w:r w:rsidR="00E12580" w:rsidRPr="00331807">
        <w:rPr>
          <w:bCs/>
          <w:lang w:eastAsia="ja-JP"/>
        </w:rPr>
        <w:t>). It is assumed that there is little genetic exchange among these locations that are isolated by cleared land</w:t>
      </w:r>
      <w:r w:rsidR="00356A2D">
        <w:rPr>
          <w:lang w:eastAsia="ja-JP"/>
        </w:rPr>
        <w:t xml:space="preserve"> and due to the limited dispersal ability of the subspecies. Furthermore, each subpopulation is estimated to be less than 250 individuals</w:t>
      </w:r>
      <w:r w:rsidR="00D20B73" w:rsidRPr="00331807">
        <w:rPr>
          <w:bCs/>
          <w:lang w:eastAsia="ja-JP"/>
        </w:rPr>
        <w:t>, therefore the subspecies is considered as severely fragmented</w:t>
      </w:r>
      <w:r w:rsidR="00356A2D">
        <w:rPr>
          <w:lang w:eastAsia="ja-JP"/>
        </w:rPr>
        <w:t xml:space="preserve"> (Van </w:t>
      </w:r>
      <w:proofErr w:type="spellStart"/>
      <w:r w:rsidR="00356A2D">
        <w:rPr>
          <w:lang w:eastAsia="ja-JP"/>
        </w:rPr>
        <w:t>Weenen</w:t>
      </w:r>
      <w:proofErr w:type="spellEnd"/>
      <w:r w:rsidR="00356A2D">
        <w:rPr>
          <w:lang w:eastAsia="ja-JP"/>
        </w:rPr>
        <w:t xml:space="preserve"> &amp; Garnett 2021)</w:t>
      </w:r>
      <w:r w:rsidR="507A0A8B" w:rsidRPr="48D710CD">
        <w:rPr>
          <w:lang w:eastAsia="ja-JP"/>
        </w:rPr>
        <w:t>.</w:t>
      </w:r>
      <w:r w:rsidR="00EA73C0" w:rsidRPr="00331807">
        <w:rPr>
          <w:bCs/>
          <w:lang w:eastAsia="ja-JP"/>
        </w:rPr>
        <w:t xml:space="preserve"> Continuing d</w:t>
      </w:r>
      <w:r w:rsidR="0019025D" w:rsidRPr="00331807">
        <w:rPr>
          <w:bCs/>
          <w:lang w:eastAsia="ja-JP"/>
        </w:rPr>
        <w:t>ecline is assumed to be occurring</w:t>
      </w:r>
      <w:r w:rsidR="00BA2817" w:rsidRPr="00331807">
        <w:rPr>
          <w:bCs/>
          <w:lang w:eastAsia="ja-JP"/>
        </w:rPr>
        <w:t xml:space="preserve">, based on </w:t>
      </w:r>
      <w:r w:rsidR="00B37613" w:rsidRPr="00331807">
        <w:rPr>
          <w:bCs/>
          <w:lang w:eastAsia="ja-JP"/>
        </w:rPr>
        <w:t xml:space="preserve">periodic fires and historical rate of </w:t>
      </w:r>
      <w:r w:rsidR="00331807" w:rsidRPr="00331807">
        <w:rPr>
          <w:bCs/>
          <w:lang w:eastAsia="ja-JP"/>
        </w:rPr>
        <w:t>change, in</w:t>
      </w:r>
      <w:r w:rsidR="0019025D" w:rsidRPr="00331807">
        <w:rPr>
          <w:bCs/>
          <w:lang w:eastAsia="ja-JP"/>
        </w:rPr>
        <w:t xml:space="preserve"> the AOO, area, extent and quality of habitat, </w:t>
      </w:r>
      <w:r w:rsidR="00045988" w:rsidRPr="00331807">
        <w:rPr>
          <w:bCs/>
          <w:lang w:eastAsia="ja-JP"/>
        </w:rPr>
        <w:t xml:space="preserve">number of locations and subpopulations, and the number of mature individuals </w:t>
      </w:r>
      <w:r w:rsidR="00E12580" w:rsidRPr="00331807">
        <w:rPr>
          <w:bCs/>
          <w:lang w:eastAsia="ja-JP"/>
        </w:rPr>
        <w:t xml:space="preserve">(Van </w:t>
      </w:r>
      <w:proofErr w:type="spellStart"/>
      <w:r w:rsidR="00E12580" w:rsidRPr="00331807">
        <w:rPr>
          <w:bCs/>
          <w:lang w:eastAsia="ja-JP"/>
        </w:rPr>
        <w:t>Weenen</w:t>
      </w:r>
      <w:proofErr w:type="spellEnd"/>
      <w:r w:rsidR="00E12580" w:rsidRPr="00331807">
        <w:rPr>
          <w:bCs/>
          <w:lang w:eastAsia="ja-JP"/>
        </w:rPr>
        <w:t xml:space="preserve"> &amp; Garnett 2021).</w:t>
      </w:r>
    </w:p>
    <w:p w14:paraId="5729988F" w14:textId="168A8A6C" w:rsidR="00832FAC" w:rsidRPr="00331807" w:rsidRDefault="00B6264B" w:rsidP="00B6264B">
      <w:pPr>
        <w:rPr>
          <w:bCs/>
          <w:lang w:eastAsia="ja-JP"/>
        </w:rPr>
      </w:pPr>
      <w:r w:rsidRPr="00331807">
        <w:rPr>
          <w:bCs/>
          <w:lang w:eastAsia="ja-JP"/>
        </w:rPr>
        <w:t xml:space="preserve">The Committee considers that the </w:t>
      </w:r>
      <w:r w:rsidR="00E66543" w:rsidRPr="00331807">
        <w:rPr>
          <w:bCs/>
          <w:lang w:eastAsia="ja-JP"/>
        </w:rPr>
        <w:t>subspecies</w:t>
      </w:r>
      <w:r w:rsidRPr="00331807">
        <w:rPr>
          <w:bCs/>
          <w:lang w:eastAsia="ja-JP"/>
        </w:rPr>
        <w:t xml:space="preserve">’ </w:t>
      </w:r>
      <w:r w:rsidR="0056572C" w:rsidRPr="00331807">
        <w:rPr>
          <w:bCs/>
          <w:lang w:eastAsia="ja-JP"/>
        </w:rPr>
        <w:t>geographic distribution (</w:t>
      </w:r>
      <w:r w:rsidR="002B45D2">
        <w:rPr>
          <w:bCs/>
          <w:lang w:eastAsia="ja-JP"/>
        </w:rPr>
        <w:t>EOO and AOO)</w:t>
      </w:r>
      <w:r w:rsidRPr="00331807">
        <w:rPr>
          <w:bCs/>
          <w:lang w:eastAsia="ja-JP"/>
        </w:rPr>
        <w:t xml:space="preserve"> is </w:t>
      </w:r>
      <w:r w:rsidR="00DC0791" w:rsidRPr="00331807">
        <w:rPr>
          <w:bCs/>
          <w:lang w:eastAsia="ja-JP"/>
        </w:rPr>
        <w:t>restricted</w:t>
      </w:r>
      <w:r w:rsidRPr="00331807">
        <w:rPr>
          <w:bCs/>
          <w:lang w:eastAsia="ja-JP"/>
        </w:rPr>
        <w:t xml:space="preserve">, </w:t>
      </w:r>
      <w:r w:rsidR="00AF0C5D" w:rsidRPr="00331807">
        <w:rPr>
          <w:bCs/>
          <w:lang w:eastAsia="ja-JP"/>
        </w:rPr>
        <w:t>the geographic distribution</w:t>
      </w:r>
      <w:r w:rsidRPr="00331807">
        <w:rPr>
          <w:bCs/>
          <w:lang w:eastAsia="ja-JP"/>
        </w:rPr>
        <w:t xml:space="preserve"> is severely fragmented, and continuing decline is </w:t>
      </w:r>
      <w:r w:rsidR="006F652D" w:rsidRPr="00331807">
        <w:rPr>
          <w:bCs/>
          <w:lang w:eastAsia="ja-JP"/>
        </w:rPr>
        <w:t>observed and inferred from historical rate of decline.</w:t>
      </w:r>
    </w:p>
    <w:p w14:paraId="1696B53F" w14:textId="3A202529" w:rsidR="00B6264B" w:rsidRPr="00331807" w:rsidRDefault="00B6264B" w:rsidP="00B55631">
      <w:pPr>
        <w:rPr>
          <w:bCs/>
          <w:lang w:eastAsia="ja-JP"/>
        </w:rPr>
      </w:pPr>
      <w:r w:rsidRPr="00331807">
        <w:rPr>
          <w:bCs/>
          <w:lang w:eastAsia="ja-JP"/>
        </w:rPr>
        <w:t xml:space="preserve">Therefore, the </w:t>
      </w:r>
      <w:r w:rsidR="006167EE" w:rsidRPr="00331807">
        <w:rPr>
          <w:bCs/>
          <w:lang w:eastAsia="ja-JP"/>
        </w:rPr>
        <w:t>subspecies</w:t>
      </w:r>
      <w:r w:rsidRPr="00331807">
        <w:rPr>
          <w:bCs/>
          <w:lang w:eastAsia="ja-JP"/>
        </w:rPr>
        <w:t xml:space="preserve"> has met the relevant elements of Criterion 2 to make it eligible for listing as </w:t>
      </w:r>
      <w:sdt>
        <w:sdtPr>
          <w:id w:val="-981840149"/>
          <w:placeholder>
            <w:docPart w:val="255E30EAC289435A8DE04653341C3A22"/>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Extinct" w:value="Extinct"/>
            <w:listItem w:displayText="Extinct in the Wild" w:value="Extinct in the Wild"/>
          </w:dropDownList>
        </w:sdtPr>
        <w:sdtEndPr/>
        <w:sdtContent>
          <w:r w:rsidR="00331807" w:rsidRPr="00331807">
            <w:t>Endangered</w:t>
          </w:r>
        </w:sdtContent>
      </w:sdt>
      <w:r w:rsidRPr="00331807">
        <w:rPr>
          <w:bCs/>
          <w:lang w:eastAsia="ja-JP"/>
        </w:rPr>
        <w:t>.</w:t>
      </w:r>
    </w:p>
    <w:p w14:paraId="73013AE5" w14:textId="77777777" w:rsidR="002B69E4" w:rsidRPr="008C531D" w:rsidRDefault="002B69E4" w:rsidP="002B69E4">
      <w:pPr>
        <w:pStyle w:val="Caption"/>
        <w:rPr>
          <w:lang w:eastAsia="ja-JP"/>
        </w:rPr>
      </w:pPr>
      <w:r w:rsidRPr="002B69E4">
        <w:rPr>
          <w:lang w:eastAsia="ja-JP"/>
        </w:rPr>
        <w:lastRenderedPageBreak/>
        <w:t>Criterion 3</w:t>
      </w:r>
      <w:r w:rsidR="00280857">
        <w:rPr>
          <w:lang w:eastAsia="ja-JP"/>
        </w:rPr>
        <w:t xml:space="preserve"> </w:t>
      </w:r>
      <w:r w:rsidRPr="002B69E4">
        <w:rPr>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2B134C" w:rsidRPr="00556843" w14:paraId="78FBA3F4" w14:textId="77777777" w:rsidTr="002B134C">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113D553C" w14:textId="77777777" w:rsidR="002B134C" w:rsidRPr="00556843" w:rsidRDefault="002B134C" w:rsidP="00F658E8">
            <w:pPr>
              <w:keepNext/>
              <w:tabs>
                <w:tab w:val="left" w:pos="284"/>
              </w:tabs>
              <w:rPr>
                <w:rFonts w:ascii="Arial" w:hAnsi="Arial" w:cs="Arial"/>
                <w:b/>
                <w:color w:val="FFFFFF" w:themeColor="background1"/>
              </w:rPr>
            </w:pPr>
          </w:p>
        </w:tc>
      </w:tr>
      <w:tr w:rsidR="002B134C" w:rsidRPr="00556843" w14:paraId="07D02B0C" w14:textId="77777777" w:rsidTr="002B134C">
        <w:tc>
          <w:tcPr>
            <w:tcW w:w="3395" w:type="dxa"/>
            <w:gridSpan w:val="2"/>
            <w:tcBorders>
              <w:top w:val="nil"/>
              <w:left w:val="single" w:sz="4" w:space="0" w:color="auto"/>
              <w:bottom w:val="nil"/>
              <w:right w:val="nil"/>
            </w:tcBorders>
          </w:tcPr>
          <w:p w14:paraId="68CDBA94" w14:textId="77777777" w:rsidR="002B134C" w:rsidRPr="00AE31DA" w:rsidRDefault="002B134C" w:rsidP="00F658E8">
            <w:pPr>
              <w:pStyle w:val="TableText"/>
              <w:keepNext/>
            </w:pPr>
            <w:r w:rsidRPr="00AE31DA">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377BB22F" w14:textId="77777777" w:rsidR="002B134C" w:rsidRPr="00556843" w:rsidRDefault="002B134C" w:rsidP="00F658E8">
            <w:pPr>
              <w:pStyle w:val="TableText"/>
              <w:keepNext/>
              <w:rPr>
                <w:b/>
              </w:rPr>
            </w:pPr>
            <w:r w:rsidRPr="00556843">
              <w:rPr>
                <w:b/>
              </w:rPr>
              <w:t>Critically Endangered</w:t>
            </w:r>
          </w:p>
          <w:p w14:paraId="1F6F7690" w14:textId="77777777" w:rsidR="002B134C" w:rsidRPr="00556843" w:rsidRDefault="002B134C" w:rsidP="00F658E8">
            <w:pPr>
              <w:pStyle w:val="TableText"/>
              <w:keepNext/>
              <w:rPr>
                <w:b/>
              </w:rPr>
            </w:pPr>
            <w:r w:rsidRPr="00556843">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122442B7" w14:textId="77777777" w:rsidR="002B134C" w:rsidRPr="00556843" w:rsidRDefault="002B134C" w:rsidP="00F658E8">
            <w:pPr>
              <w:pStyle w:val="TableText"/>
              <w:keepNext/>
              <w:rPr>
                <w:b/>
              </w:rPr>
            </w:pPr>
            <w:r w:rsidRPr="00556843">
              <w:rPr>
                <w:b/>
              </w:rPr>
              <w:t>Endangered</w:t>
            </w:r>
          </w:p>
          <w:p w14:paraId="14201623" w14:textId="77777777" w:rsidR="002B134C" w:rsidRPr="00556843" w:rsidRDefault="002B134C" w:rsidP="00F658E8">
            <w:pPr>
              <w:pStyle w:val="TableText"/>
              <w:keepNext/>
              <w:rPr>
                <w:b/>
              </w:rPr>
            </w:pPr>
            <w:r w:rsidRPr="00556843">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2DFE0446" w14:textId="77777777" w:rsidR="002B134C" w:rsidRPr="00556843" w:rsidRDefault="002B134C" w:rsidP="00F658E8">
            <w:pPr>
              <w:pStyle w:val="TableText"/>
              <w:keepNext/>
              <w:rPr>
                <w:b/>
              </w:rPr>
            </w:pPr>
            <w:r w:rsidRPr="00556843">
              <w:rPr>
                <w:b/>
              </w:rPr>
              <w:t>Vulnerable</w:t>
            </w:r>
          </w:p>
          <w:p w14:paraId="04F6B6D1" w14:textId="77777777" w:rsidR="002B134C" w:rsidRPr="00556843" w:rsidRDefault="002B134C" w:rsidP="00F658E8">
            <w:pPr>
              <w:pStyle w:val="TableText"/>
              <w:keepNext/>
              <w:rPr>
                <w:b/>
              </w:rPr>
            </w:pPr>
            <w:r w:rsidRPr="00556843">
              <w:rPr>
                <w:b/>
              </w:rPr>
              <w:t>Limited</w:t>
            </w:r>
          </w:p>
        </w:tc>
      </w:tr>
      <w:tr w:rsidR="002B134C" w:rsidRPr="00556843" w14:paraId="02D2C7A3" w14:textId="77777777" w:rsidTr="002B134C">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58102AE6" w14:textId="77777777" w:rsidR="002B134C" w:rsidRPr="00556843" w:rsidRDefault="002B134C" w:rsidP="00F658E8">
            <w:pPr>
              <w:pStyle w:val="TableText"/>
              <w:keepNext/>
            </w:pPr>
            <w:r w:rsidRPr="00556843">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7F4A9497" w14:textId="77777777" w:rsidR="002B134C" w:rsidRPr="00556843" w:rsidRDefault="002B134C" w:rsidP="00F658E8">
            <w:pPr>
              <w:pStyle w:val="TableText"/>
              <w:keepNext/>
              <w:rPr>
                <w:b/>
              </w:rPr>
            </w:pPr>
            <w:r w:rsidRPr="00556843">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6B33594B" w14:textId="77777777" w:rsidR="002B134C" w:rsidRPr="00556843" w:rsidRDefault="002B134C" w:rsidP="00F658E8">
            <w:pPr>
              <w:pStyle w:val="TableText"/>
              <w:keepNext/>
            </w:pPr>
            <w:r w:rsidRPr="00556843">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2BF57694" w14:textId="77777777" w:rsidR="002B134C" w:rsidRPr="00556843" w:rsidRDefault="002B134C" w:rsidP="00F658E8">
            <w:pPr>
              <w:pStyle w:val="TableText"/>
              <w:keepNext/>
            </w:pPr>
            <w:r w:rsidRPr="00556843">
              <w:rPr>
                <w:b/>
              </w:rPr>
              <w:t xml:space="preserve">&lt; 10,000 </w:t>
            </w:r>
          </w:p>
        </w:tc>
      </w:tr>
      <w:tr w:rsidR="002B134C" w:rsidRPr="00556843" w14:paraId="643ACB5C" w14:textId="77777777" w:rsidTr="002B134C">
        <w:tc>
          <w:tcPr>
            <w:tcW w:w="3395" w:type="dxa"/>
            <w:gridSpan w:val="2"/>
            <w:tcBorders>
              <w:top w:val="nil"/>
              <w:left w:val="single" w:sz="4" w:space="0" w:color="auto"/>
              <w:bottom w:val="single" w:sz="4" w:space="0" w:color="FFFFFF" w:themeColor="background1"/>
              <w:right w:val="nil"/>
            </w:tcBorders>
            <w:shd w:val="clear" w:color="auto" w:fill="auto"/>
          </w:tcPr>
          <w:p w14:paraId="6B4170B5" w14:textId="77777777" w:rsidR="002B134C" w:rsidRPr="00556843" w:rsidRDefault="002B134C" w:rsidP="00F658E8">
            <w:pPr>
              <w:pStyle w:val="TableText"/>
              <w:keepNext/>
            </w:pPr>
            <w:r w:rsidRPr="00556843">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488DCE4F" w14:textId="77777777" w:rsidR="002B134C" w:rsidRPr="00556843" w:rsidRDefault="002B134C" w:rsidP="00F658E8">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03309587" w14:textId="77777777" w:rsidR="002B134C" w:rsidRPr="00556843" w:rsidRDefault="002B134C" w:rsidP="00F658E8">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79E513F0" w14:textId="77777777" w:rsidR="002B134C" w:rsidRPr="00556843" w:rsidRDefault="002B134C" w:rsidP="00F658E8">
            <w:pPr>
              <w:pStyle w:val="TableText"/>
              <w:keepNext/>
              <w:rPr>
                <w:b/>
              </w:rPr>
            </w:pPr>
          </w:p>
        </w:tc>
      </w:tr>
      <w:tr w:rsidR="002B134C" w:rsidRPr="00556843" w14:paraId="4FED5F07" w14:textId="77777777" w:rsidTr="002B134C">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3E986BDA" w14:textId="77777777" w:rsidR="002B134C" w:rsidRPr="00556843" w:rsidRDefault="002B134C" w:rsidP="00F658E8">
            <w:pPr>
              <w:pStyle w:val="TableText"/>
              <w:keepNext/>
              <w:ind w:left="334" w:hanging="334"/>
            </w:pPr>
            <w:r w:rsidRPr="00855316">
              <w:rPr>
                <w:rStyle w:val="Strong"/>
              </w:rPr>
              <w:t>C1</w:t>
            </w:r>
            <w:r w:rsidR="00855316">
              <w:rPr>
                <w:rStyle w:val="Strong"/>
              </w:rPr>
              <w:t>.</w:t>
            </w:r>
            <w:r w:rsidRPr="00556843">
              <w:tab/>
              <w:t>An observed, estimated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786E6574" w14:textId="77777777" w:rsidR="002B134C" w:rsidRPr="00556843" w:rsidRDefault="002B134C" w:rsidP="00F658E8">
            <w:pPr>
              <w:pStyle w:val="TableText"/>
              <w:keepNext/>
              <w:rPr>
                <w:b/>
              </w:rPr>
            </w:pPr>
            <w:r w:rsidRPr="00556843">
              <w:rPr>
                <w:b/>
              </w:rPr>
              <w:t>Very high rate</w:t>
            </w:r>
          </w:p>
          <w:p w14:paraId="3E371C7C" w14:textId="77777777" w:rsidR="002B134C" w:rsidRPr="00556843" w:rsidRDefault="002B134C" w:rsidP="00F658E8">
            <w:pPr>
              <w:pStyle w:val="TableText"/>
              <w:keepNext/>
              <w:rPr>
                <w:b/>
              </w:rPr>
            </w:pPr>
            <w:r w:rsidRPr="00556843">
              <w:rPr>
                <w:b/>
              </w:rPr>
              <w:t>25% in 3 years or 1 generation</w:t>
            </w:r>
          </w:p>
          <w:p w14:paraId="634C98F0"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0C940B81" w14:textId="77777777" w:rsidR="002B134C" w:rsidRPr="00556843" w:rsidRDefault="002B134C" w:rsidP="00F658E8">
            <w:pPr>
              <w:pStyle w:val="TableText"/>
              <w:keepNext/>
              <w:rPr>
                <w:b/>
              </w:rPr>
            </w:pPr>
            <w:r w:rsidRPr="00556843">
              <w:rPr>
                <w:b/>
              </w:rPr>
              <w:t>High rate</w:t>
            </w:r>
          </w:p>
          <w:p w14:paraId="2689FEF3" w14:textId="77777777" w:rsidR="002B134C" w:rsidRPr="00556843" w:rsidRDefault="002B134C" w:rsidP="00F658E8">
            <w:pPr>
              <w:pStyle w:val="TableText"/>
              <w:keepNext/>
              <w:rPr>
                <w:b/>
              </w:rPr>
            </w:pPr>
            <w:r w:rsidRPr="00556843">
              <w:rPr>
                <w:b/>
              </w:rPr>
              <w:t>20% in 5 years or 2 generation</w:t>
            </w:r>
          </w:p>
          <w:p w14:paraId="170674C4"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6DBA376D" w14:textId="77777777" w:rsidR="002B134C" w:rsidRPr="00556843" w:rsidRDefault="002B134C" w:rsidP="00F658E8">
            <w:pPr>
              <w:pStyle w:val="TableText"/>
              <w:keepNext/>
              <w:rPr>
                <w:b/>
              </w:rPr>
            </w:pPr>
            <w:r w:rsidRPr="00556843">
              <w:rPr>
                <w:b/>
              </w:rPr>
              <w:t>Substantial rate</w:t>
            </w:r>
          </w:p>
          <w:p w14:paraId="1BED4198" w14:textId="77777777" w:rsidR="002B134C" w:rsidRPr="00556843" w:rsidRDefault="002B134C" w:rsidP="00F658E8">
            <w:pPr>
              <w:pStyle w:val="TableText"/>
              <w:keepNext/>
              <w:rPr>
                <w:b/>
              </w:rPr>
            </w:pPr>
            <w:r w:rsidRPr="00556843">
              <w:rPr>
                <w:b/>
              </w:rPr>
              <w:t>10% in 10 years or 3 generations</w:t>
            </w:r>
          </w:p>
          <w:p w14:paraId="77FA1465"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r>
      <w:tr w:rsidR="002B134C" w:rsidRPr="00556843" w14:paraId="23AAA093" w14:textId="77777777" w:rsidTr="002B134C">
        <w:tc>
          <w:tcPr>
            <w:tcW w:w="3395" w:type="dxa"/>
            <w:gridSpan w:val="2"/>
            <w:tcBorders>
              <w:top w:val="nil"/>
              <w:left w:val="single" w:sz="4" w:space="0" w:color="auto"/>
              <w:bottom w:val="nil"/>
              <w:right w:val="nil"/>
            </w:tcBorders>
            <w:shd w:val="clear" w:color="auto" w:fill="BFBFBF" w:themeFill="background1" w:themeFillShade="BF"/>
          </w:tcPr>
          <w:p w14:paraId="60635E97" w14:textId="77777777" w:rsidR="002B134C" w:rsidRPr="00556843" w:rsidRDefault="002B134C" w:rsidP="00F658E8">
            <w:pPr>
              <w:pStyle w:val="TableText"/>
              <w:keepNext/>
              <w:ind w:left="336" w:hanging="336"/>
            </w:pPr>
            <w:r w:rsidRPr="00855316">
              <w:rPr>
                <w:rStyle w:val="Strong"/>
              </w:rPr>
              <w:t>C2</w:t>
            </w:r>
            <w:r w:rsidR="00855316">
              <w:rPr>
                <w:rStyle w:val="Strong"/>
              </w:rPr>
              <w:t>.</w:t>
            </w:r>
            <w:r w:rsidRPr="00556843">
              <w:tab/>
              <w:t xml:space="preserve">An observed, estimated, </w:t>
            </w:r>
            <w:proofErr w:type="gramStart"/>
            <w:r w:rsidRPr="00556843">
              <w:t>projected</w:t>
            </w:r>
            <w:proofErr w:type="gramEnd"/>
            <w:r w:rsidRPr="00556843">
              <w:t xml:space="preserve">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5F30B8E5" w14:textId="77777777" w:rsidR="002B134C" w:rsidRPr="00556843" w:rsidRDefault="002B134C" w:rsidP="00F658E8">
            <w:pPr>
              <w:pStyle w:val="TableText"/>
              <w:keepNext/>
            </w:pPr>
          </w:p>
        </w:tc>
        <w:tc>
          <w:tcPr>
            <w:tcW w:w="1833" w:type="dxa"/>
            <w:tcBorders>
              <w:top w:val="nil"/>
              <w:left w:val="nil"/>
              <w:bottom w:val="nil"/>
              <w:right w:val="nil"/>
            </w:tcBorders>
          </w:tcPr>
          <w:p w14:paraId="6B321490" w14:textId="77777777" w:rsidR="002B134C" w:rsidRPr="00556843" w:rsidRDefault="002B134C" w:rsidP="00F658E8">
            <w:pPr>
              <w:pStyle w:val="TableText"/>
              <w:keepNext/>
            </w:pPr>
          </w:p>
        </w:tc>
        <w:tc>
          <w:tcPr>
            <w:tcW w:w="1902" w:type="dxa"/>
            <w:tcBorders>
              <w:top w:val="nil"/>
              <w:left w:val="nil"/>
              <w:bottom w:val="nil"/>
              <w:right w:val="single" w:sz="4" w:space="0" w:color="auto"/>
            </w:tcBorders>
          </w:tcPr>
          <w:p w14:paraId="7B4BBD50" w14:textId="77777777" w:rsidR="002B134C" w:rsidRPr="00556843" w:rsidRDefault="002B134C" w:rsidP="00F658E8">
            <w:pPr>
              <w:pStyle w:val="TableText"/>
              <w:keepNext/>
            </w:pPr>
          </w:p>
        </w:tc>
      </w:tr>
      <w:tr w:rsidR="002B134C" w:rsidRPr="00556843" w14:paraId="0C6C25F3" w14:textId="77777777" w:rsidTr="002B134C">
        <w:tc>
          <w:tcPr>
            <w:tcW w:w="419" w:type="dxa"/>
            <w:vMerge w:val="restart"/>
            <w:tcBorders>
              <w:top w:val="nil"/>
              <w:left w:val="single" w:sz="4" w:space="0" w:color="auto"/>
              <w:right w:val="nil"/>
            </w:tcBorders>
            <w:shd w:val="clear" w:color="auto" w:fill="D9D9D9" w:themeFill="background1" w:themeFillShade="D9"/>
            <w:vAlign w:val="center"/>
          </w:tcPr>
          <w:p w14:paraId="63DEDA47" w14:textId="77777777" w:rsidR="002B134C" w:rsidRPr="00556843" w:rsidRDefault="002B134C" w:rsidP="00F658E8">
            <w:pPr>
              <w:pStyle w:val="TableText"/>
              <w:keepNext/>
            </w:pPr>
            <w:r w:rsidRPr="00556843">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7768BC71" w14:textId="77777777" w:rsidR="002B134C" w:rsidRPr="00556843" w:rsidRDefault="002B134C" w:rsidP="00F658E8">
            <w:pPr>
              <w:pStyle w:val="TableText"/>
              <w:keepNext/>
              <w:ind w:left="340" w:hanging="340"/>
            </w:pPr>
            <w:r w:rsidRPr="00556843">
              <w:t>(</w:t>
            </w:r>
            <w:proofErr w:type="spellStart"/>
            <w:r w:rsidRPr="00556843">
              <w:t>i</w:t>
            </w:r>
            <w:proofErr w:type="spellEnd"/>
            <w:r w:rsidRPr="00556843">
              <w:t>)</w:t>
            </w:r>
            <w:r w:rsidRPr="00556843">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0812356A" w14:textId="77777777" w:rsidR="002B134C" w:rsidRPr="00556843" w:rsidRDefault="002B134C" w:rsidP="00F658E8">
            <w:pPr>
              <w:pStyle w:val="TableText"/>
              <w:keepNext/>
              <w:rPr>
                <w:b/>
              </w:rPr>
            </w:pPr>
            <w:r w:rsidRPr="00556843">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3D97C873" w14:textId="77777777" w:rsidR="002B134C" w:rsidRPr="00556843" w:rsidRDefault="002B134C" w:rsidP="00F658E8">
            <w:pPr>
              <w:pStyle w:val="TableText"/>
              <w:keepNext/>
              <w:rPr>
                <w:b/>
              </w:rPr>
            </w:pPr>
            <w:r w:rsidRPr="00556843">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02F1AC50" w14:textId="77777777" w:rsidR="002B134C" w:rsidRPr="00556843" w:rsidRDefault="002B134C" w:rsidP="00F658E8">
            <w:pPr>
              <w:pStyle w:val="TableText"/>
              <w:keepNext/>
              <w:rPr>
                <w:b/>
              </w:rPr>
            </w:pPr>
            <w:r w:rsidRPr="00556843">
              <w:rPr>
                <w:b/>
              </w:rPr>
              <w:t>≤ 1,000</w:t>
            </w:r>
          </w:p>
        </w:tc>
      </w:tr>
      <w:tr w:rsidR="002B134C" w:rsidRPr="00556843" w14:paraId="2CBE5E76" w14:textId="77777777" w:rsidTr="002B134C">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2BF88730" w14:textId="77777777" w:rsidR="002B134C" w:rsidRPr="00556843" w:rsidRDefault="002B134C" w:rsidP="00F658E8">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86717D6" w14:textId="77777777" w:rsidR="002B134C" w:rsidRPr="00556843" w:rsidRDefault="002B134C" w:rsidP="00F658E8">
            <w:pPr>
              <w:pStyle w:val="TableText"/>
              <w:keepNext/>
              <w:ind w:left="340" w:hanging="340"/>
            </w:pPr>
            <w:r w:rsidRPr="00556843">
              <w:t xml:space="preserve">(ii) </w:t>
            </w:r>
            <w:r w:rsidRPr="00556843">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260A74C7" w14:textId="77777777" w:rsidR="002B134C" w:rsidRPr="00556843" w:rsidRDefault="002B134C" w:rsidP="00F658E8">
            <w:pPr>
              <w:pStyle w:val="TableText"/>
              <w:keepNext/>
              <w:rPr>
                <w:b/>
              </w:rPr>
            </w:pPr>
            <w:r w:rsidRPr="00556843">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7A2EB41B" w14:textId="77777777" w:rsidR="002B134C" w:rsidRPr="00556843" w:rsidRDefault="002B134C" w:rsidP="00F658E8">
            <w:pPr>
              <w:pStyle w:val="TableText"/>
              <w:keepNext/>
              <w:rPr>
                <w:b/>
              </w:rPr>
            </w:pPr>
            <w:r w:rsidRPr="00556843">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6CC06A64" w14:textId="77777777" w:rsidR="002B134C" w:rsidRPr="00556843" w:rsidRDefault="002B134C" w:rsidP="00F658E8">
            <w:pPr>
              <w:pStyle w:val="TableText"/>
              <w:keepNext/>
              <w:rPr>
                <w:b/>
              </w:rPr>
            </w:pPr>
            <w:r w:rsidRPr="00556843">
              <w:rPr>
                <w:b/>
              </w:rPr>
              <w:t>100%</w:t>
            </w:r>
          </w:p>
        </w:tc>
      </w:tr>
      <w:tr w:rsidR="002B134C" w:rsidRPr="00556843" w14:paraId="32BBF453" w14:textId="77777777" w:rsidTr="002B134C">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1E3AB082" w14:textId="77777777" w:rsidR="002B134C" w:rsidRPr="00556843" w:rsidRDefault="002B134C" w:rsidP="00F658E8">
            <w:pPr>
              <w:pStyle w:val="TableText"/>
              <w:keepNext/>
              <w:ind w:left="334" w:hanging="334"/>
            </w:pPr>
            <w:r w:rsidRPr="00556843">
              <w:t>(b)</w:t>
            </w:r>
            <w:r w:rsidRPr="00556843">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4C922452" w14:textId="77777777" w:rsidR="002B134C" w:rsidRPr="00556843" w:rsidRDefault="002B134C" w:rsidP="00F658E8">
            <w:pPr>
              <w:pStyle w:val="TableText"/>
              <w:keepNext/>
            </w:pPr>
          </w:p>
        </w:tc>
        <w:tc>
          <w:tcPr>
            <w:tcW w:w="1833" w:type="dxa"/>
            <w:tcBorders>
              <w:top w:val="single" w:sz="4" w:space="0" w:color="FFFFFF" w:themeColor="background1"/>
              <w:left w:val="nil"/>
              <w:right w:val="nil"/>
            </w:tcBorders>
            <w:shd w:val="clear" w:color="auto" w:fill="auto"/>
          </w:tcPr>
          <w:p w14:paraId="1D88475E" w14:textId="77777777" w:rsidR="002B134C" w:rsidRPr="00556843" w:rsidRDefault="002B134C" w:rsidP="00F658E8">
            <w:pPr>
              <w:pStyle w:val="TableText"/>
              <w:keepNext/>
            </w:pPr>
          </w:p>
        </w:tc>
        <w:tc>
          <w:tcPr>
            <w:tcW w:w="1902" w:type="dxa"/>
            <w:tcBorders>
              <w:top w:val="single" w:sz="4" w:space="0" w:color="FFFFFF" w:themeColor="background1"/>
              <w:left w:val="nil"/>
              <w:right w:val="single" w:sz="4" w:space="0" w:color="auto"/>
            </w:tcBorders>
            <w:shd w:val="clear" w:color="auto" w:fill="auto"/>
          </w:tcPr>
          <w:p w14:paraId="10269201" w14:textId="77777777" w:rsidR="002B134C" w:rsidRPr="00556843" w:rsidRDefault="002B134C" w:rsidP="00F658E8">
            <w:pPr>
              <w:pStyle w:val="TableText"/>
              <w:keepNext/>
            </w:pPr>
          </w:p>
        </w:tc>
      </w:tr>
    </w:tbl>
    <w:p w14:paraId="6F98E453" w14:textId="77777777" w:rsidR="002B69E4" w:rsidRPr="002B69E4" w:rsidRDefault="00C2736A" w:rsidP="00CD30FC">
      <w:pPr>
        <w:pStyle w:val="Heading3"/>
        <w:spacing w:before="240"/>
        <w:ind w:left="964" w:hanging="964"/>
      </w:pPr>
      <w:r>
        <w:t>Criterion 3 e</w:t>
      </w:r>
      <w:r w:rsidR="002B69E4" w:rsidRPr="002B69E4">
        <w:t>vidence</w:t>
      </w:r>
    </w:p>
    <w:p w14:paraId="3D20CFAA" w14:textId="66AC3F50" w:rsidR="006137FD" w:rsidRPr="00E6693B" w:rsidRDefault="002B69E4" w:rsidP="002B69E4">
      <w:pPr>
        <w:rPr>
          <w:b/>
          <w:bCs/>
        </w:rPr>
      </w:pPr>
      <w:r w:rsidRPr="00CD30FC">
        <w:rPr>
          <w:rStyle w:val="Strong"/>
        </w:rPr>
        <w:t xml:space="preserve">Eligible </w:t>
      </w:r>
      <w:r w:rsidRPr="00E6693B">
        <w:rPr>
          <w:rStyle w:val="Strong"/>
        </w:rPr>
        <w:t>under Criterion 3</w:t>
      </w:r>
      <w:r w:rsidRPr="00E6693B">
        <w:rPr>
          <w:bCs/>
        </w:rPr>
        <w:t xml:space="preserve"> </w:t>
      </w:r>
      <w:r w:rsidRPr="00E6693B">
        <w:rPr>
          <w:b/>
          <w:bCs/>
        </w:rPr>
        <w:t>C2a(</w:t>
      </w:r>
      <w:proofErr w:type="spellStart"/>
      <w:r w:rsidRPr="00E6693B">
        <w:rPr>
          <w:b/>
          <w:bCs/>
        </w:rPr>
        <w:t>i</w:t>
      </w:r>
      <w:proofErr w:type="spellEnd"/>
      <w:r w:rsidRPr="00E6693B">
        <w:rPr>
          <w:b/>
          <w:bCs/>
        </w:rPr>
        <w:t>)</w:t>
      </w:r>
      <w:r w:rsidRPr="00E6693B">
        <w:rPr>
          <w:bCs/>
        </w:rPr>
        <w:t xml:space="preserve"> </w:t>
      </w:r>
      <w:r w:rsidRPr="00E6693B">
        <w:rPr>
          <w:rStyle w:val="Strong"/>
        </w:rPr>
        <w:t>for listing as</w:t>
      </w:r>
      <w:r w:rsidRPr="00E6693B">
        <w:rPr>
          <w:bCs/>
        </w:rPr>
        <w:t xml:space="preserve"> </w:t>
      </w:r>
      <w:sdt>
        <w:sdtPr>
          <w:id w:val="702371327"/>
          <w:placeholder>
            <w:docPart w:val="A076AB8A713340A7929C061C6E074154"/>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Extinct in the Wild" w:value="Extinct in the Wild"/>
            <w:listItem w:displayText="Extinct" w:value="Extinct"/>
          </w:dropDownList>
        </w:sdtPr>
        <w:sdtEndPr/>
        <w:sdtContent>
          <w:r w:rsidR="00CA2C71" w:rsidRPr="00E6693B">
            <w:t>Endangered</w:t>
          </w:r>
        </w:sdtContent>
      </w:sdt>
    </w:p>
    <w:p w14:paraId="61800971" w14:textId="32E23ECA" w:rsidR="006137FD" w:rsidRPr="00E6693B" w:rsidRDefault="002B69E4" w:rsidP="002B69E4">
      <w:pPr>
        <w:rPr>
          <w:bCs/>
        </w:rPr>
      </w:pPr>
      <w:r w:rsidRPr="00E6693B">
        <w:rPr>
          <w:bCs/>
        </w:rPr>
        <w:t xml:space="preserve">The estimated total number of mature individuals of this </w:t>
      </w:r>
      <w:r w:rsidR="001C31E1" w:rsidRPr="00E6693B">
        <w:rPr>
          <w:bCs/>
        </w:rPr>
        <w:t>subspecies</w:t>
      </w:r>
      <w:r w:rsidRPr="00E6693B">
        <w:rPr>
          <w:bCs/>
        </w:rPr>
        <w:t xml:space="preserve"> </w:t>
      </w:r>
      <w:r w:rsidR="00031C7E" w:rsidRPr="00E6693B">
        <w:rPr>
          <w:bCs/>
        </w:rPr>
        <w:t>is low</w:t>
      </w:r>
      <w:r w:rsidR="00352551">
        <w:t xml:space="preserve"> at 750</w:t>
      </w:r>
      <w:r w:rsidR="00501E34">
        <w:t>. There is</w:t>
      </w:r>
      <w:r w:rsidR="00031C7E" w:rsidRPr="00E6693B">
        <w:rPr>
          <w:bCs/>
        </w:rPr>
        <w:t xml:space="preserve"> </w:t>
      </w:r>
      <w:r w:rsidRPr="00E6693B">
        <w:rPr>
          <w:bCs/>
        </w:rPr>
        <w:t>an o</w:t>
      </w:r>
      <w:r w:rsidR="00506665" w:rsidRPr="00E6693B">
        <w:rPr>
          <w:bCs/>
        </w:rPr>
        <w:t xml:space="preserve">bserved and </w:t>
      </w:r>
      <w:r w:rsidRPr="00E6693B">
        <w:rPr>
          <w:bCs/>
        </w:rPr>
        <w:t xml:space="preserve">inferred continuing decline </w:t>
      </w:r>
      <w:r w:rsidR="00501E34">
        <w:t xml:space="preserve">of population </w:t>
      </w:r>
      <w:r w:rsidR="00506665" w:rsidRPr="00E6693B">
        <w:rPr>
          <w:bCs/>
        </w:rPr>
        <w:t>and</w:t>
      </w:r>
      <w:r w:rsidRPr="00E6693B">
        <w:rPr>
          <w:bCs/>
        </w:rPr>
        <w:t xml:space="preserve"> the geographic distribution is precarious for the survival of the species because</w:t>
      </w:r>
      <w:r w:rsidR="00031C7E" w:rsidRPr="00E6693B">
        <w:rPr>
          <w:bCs/>
        </w:rPr>
        <w:t xml:space="preserve"> </w:t>
      </w:r>
      <w:r w:rsidRPr="00E6693B">
        <w:rPr>
          <w:bCs/>
        </w:rPr>
        <w:t xml:space="preserve">number of mature individuals in each </w:t>
      </w:r>
      <w:r w:rsidR="0063546A" w:rsidRPr="00E6693B">
        <w:rPr>
          <w:bCs/>
        </w:rPr>
        <w:t>sub</w:t>
      </w:r>
      <w:r w:rsidRPr="00E6693B">
        <w:rPr>
          <w:bCs/>
        </w:rPr>
        <w:t xml:space="preserve">population </w:t>
      </w:r>
      <w:r w:rsidR="00723025" w:rsidRPr="00E6693B">
        <w:rPr>
          <w:bCs/>
        </w:rPr>
        <w:t>is &lt;</w:t>
      </w:r>
      <w:r w:rsidRPr="00E6693B">
        <w:rPr>
          <w:bCs/>
        </w:rPr>
        <w:t>250</w:t>
      </w:r>
      <w:r w:rsidR="00723025" w:rsidRPr="00E6693B">
        <w:rPr>
          <w:bCs/>
        </w:rPr>
        <w:t xml:space="preserve"> </w:t>
      </w:r>
      <w:r w:rsidR="002A77C4">
        <w:rPr>
          <w:bCs/>
        </w:rPr>
        <w:t>(Table 3</w:t>
      </w:r>
      <w:r w:rsidR="00501E34">
        <w:t xml:space="preserve">; </w:t>
      </w:r>
      <w:r w:rsidR="00356A2D">
        <w:t xml:space="preserve">Van </w:t>
      </w:r>
      <w:proofErr w:type="spellStart"/>
      <w:r w:rsidR="00356A2D">
        <w:t>Weenen</w:t>
      </w:r>
      <w:proofErr w:type="spellEnd"/>
      <w:r w:rsidR="00356A2D">
        <w:t xml:space="preserve"> &amp; Garnett 2021</w:t>
      </w:r>
      <w:r w:rsidR="002A77C4">
        <w:rPr>
          <w:bCs/>
        </w:rPr>
        <w:t>)</w:t>
      </w:r>
      <w:r w:rsidR="00031C7E" w:rsidRPr="00E6693B">
        <w:rPr>
          <w:bCs/>
        </w:rPr>
        <w:t>.</w:t>
      </w:r>
    </w:p>
    <w:p w14:paraId="30DA1137" w14:textId="17B52DEC" w:rsidR="006137FD" w:rsidRDefault="002B69E4" w:rsidP="002B69E4">
      <w:pPr>
        <w:rPr>
          <w:bCs/>
        </w:rPr>
      </w:pPr>
      <w:r w:rsidRPr="00E6693B">
        <w:rPr>
          <w:bCs/>
        </w:rPr>
        <w:t xml:space="preserve">Therefore, the </w:t>
      </w:r>
      <w:r w:rsidR="00F64E7E" w:rsidRPr="00E6693B">
        <w:rPr>
          <w:bCs/>
        </w:rPr>
        <w:t>subspecies</w:t>
      </w:r>
      <w:r w:rsidRPr="00E6693B">
        <w:rPr>
          <w:bCs/>
        </w:rPr>
        <w:t xml:space="preserve"> has met the relevant elements of Criterion 3 to make it eligible for listing as </w:t>
      </w:r>
      <w:sdt>
        <w:sdtPr>
          <w:id w:val="-1652589955"/>
          <w:placeholder>
            <w:docPart w:val="2239F1CB0CAB4B7CA186482EA99C0DC3"/>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E6693B" w:rsidRPr="00E6693B">
            <w:t>Endangered</w:t>
          </w:r>
        </w:sdtContent>
      </w:sdt>
      <w:r w:rsidRPr="00E6693B">
        <w:rPr>
          <w:bCs/>
        </w:rPr>
        <w:t>.</w:t>
      </w:r>
    </w:p>
    <w:p w14:paraId="1CF46C6C" w14:textId="77777777" w:rsidR="00166185" w:rsidRDefault="00166185" w:rsidP="00166185">
      <w:pPr>
        <w:pStyle w:val="Caption"/>
      </w:pPr>
      <w:r w:rsidRPr="00166185">
        <w:lastRenderedPageBreak/>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166185" w:rsidRPr="00166185" w14:paraId="04BF7C4C" w14:textId="77777777" w:rsidTr="001C7420">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67F0321D" w14:textId="77777777" w:rsidR="00166185" w:rsidRPr="00166185" w:rsidRDefault="00166185" w:rsidP="000E630E">
            <w:pPr>
              <w:pStyle w:val="TableText"/>
              <w:keepNext/>
            </w:pPr>
          </w:p>
        </w:tc>
      </w:tr>
      <w:tr w:rsidR="00166185" w:rsidRPr="00166185" w14:paraId="284E229F" w14:textId="77777777" w:rsidTr="001C7420">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41102974" w14:textId="77777777" w:rsidR="00166185" w:rsidRPr="00166185" w:rsidRDefault="00280857" w:rsidP="000E630E">
            <w:pPr>
              <w:pStyle w:val="TableText"/>
              <w:keepNext/>
              <w:rPr>
                <w:szCs w:val="18"/>
              </w:rPr>
            </w:pPr>
            <w:r w:rsidRPr="0095692A">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241329AC" w14:textId="77777777" w:rsidR="00166185" w:rsidRPr="009E3E71" w:rsidRDefault="00166185" w:rsidP="000E630E">
            <w:pPr>
              <w:pStyle w:val="TableText"/>
              <w:keepNext/>
              <w:rPr>
                <w:rStyle w:val="Strong"/>
              </w:rPr>
            </w:pPr>
            <w:r w:rsidRPr="009E3E71">
              <w:rPr>
                <w:rStyle w:val="Strong"/>
              </w:rPr>
              <w:t>Critically Endangered</w:t>
            </w:r>
          </w:p>
          <w:p w14:paraId="0E327FDB" w14:textId="77777777" w:rsidR="00166185" w:rsidRPr="009E3E71" w:rsidRDefault="00166185" w:rsidP="000E630E">
            <w:pPr>
              <w:pStyle w:val="TableText"/>
              <w:keepNext/>
              <w:rPr>
                <w:rStyle w:val="Strong"/>
              </w:rPr>
            </w:pPr>
            <w:r w:rsidRPr="009E3E71">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425FBC44" w14:textId="77777777" w:rsidR="00166185" w:rsidRPr="009E3E71" w:rsidRDefault="00166185" w:rsidP="000E630E">
            <w:pPr>
              <w:pStyle w:val="TableText"/>
              <w:keepNext/>
              <w:rPr>
                <w:rStyle w:val="Strong"/>
              </w:rPr>
            </w:pPr>
            <w:r w:rsidRPr="009E3E71">
              <w:rPr>
                <w:rStyle w:val="Strong"/>
              </w:rPr>
              <w:t>Endangered</w:t>
            </w:r>
          </w:p>
          <w:p w14:paraId="6DC65005" w14:textId="77777777" w:rsidR="00166185" w:rsidRPr="009E3E71" w:rsidRDefault="00166185" w:rsidP="000E630E">
            <w:pPr>
              <w:pStyle w:val="TableText"/>
              <w:keepNext/>
              <w:rPr>
                <w:rStyle w:val="Strong"/>
              </w:rPr>
            </w:pPr>
            <w:r w:rsidRPr="009E3E71">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6BF8CF6B" w14:textId="77777777" w:rsidR="00166185" w:rsidRPr="009E3E71" w:rsidRDefault="00166185" w:rsidP="000E630E">
            <w:pPr>
              <w:pStyle w:val="TableText"/>
              <w:keepNext/>
              <w:rPr>
                <w:rStyle w:val="Strong"/>
              </w:rPr>
            </w:pPr>
            <w:r w:rsidRPr="009E3E71">
              <w:rPr>
                <w:rStyle w:val="Strong"/>
              </w:rPr>
              <w:t>Vulnerable</w:t>
            </w:r>
          </w:p>
          <w:p w14:paraId="433A2299" w14:textId="77777777" w:rsidR="00166185" w:rsidRPr="009E3E71" w:rsidRDefault="00166185" w:rsidP="000E630E">
            <w:pPr>
              <w:pStyle w:val="TableText"/>
              <w:keepNext/>
              <w:rPr>
                <w:rStyle w:val="Strong"/>
              </w:rPr>
            </w:pPr>
            <w:r w:rsidRPr="009E3E71">
              <w:rPr>
                <w:rStyle w:val="Strong"/>
              </w:rPr>
              <w:t>Low</w:t>
            </w:r>
          </w:p>
        </w:tc>
      </w:tr>
      <w:tr w:rsidR="00166185" w:rsidRPr="00166185" w14:paraId="38086491" w14:textId="77777777" w:rsidTr="001C7420">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5892FBD6" w14:textId="77777777" w:rsidR="00166185" w:rsidRPr="00166185" w:rsidRDefault="00DC4577" w:rsidP="000E630E">
            <w:pPr>
              <w:pStyle w:val="TableText"/>
              <w:keepNext/>
              <w:rPr>
                <w:szCs w:val="18"/>
              </w:rPr>
            </w:pPr>
            <w:r w:rsidRPr="004F5429">
              <w:rPr>
                <w:rStyle w:val="Strong"/>
              </w:rPr>
              <w:t>D</w:t>
            </w:r>
            <w:r w:rsidR="00805DF5">
              <w:rPr>
                <w:rStyle w:val="Strong"/>
              </w:rPr>
              <w:t>.</w:t>
            </w:r>
            <w:r w:rsidR="006C5497" w:rsidRPr="004F5429">
              <w:rPr>
                <w:rStyle w:val="Strong"/>
              </w:rPr>
              <w:t xml:space="preserve"> </w:t>
            </w:r>
            <w:r w:rsidR="00166185" w:rsidRPr="00166185">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19D424ED" w14:textId="77777777" w:rsidR="00166185" w:rsidRPr="00166185" w:rsidRDefault="00166185" w:rsidP="000E630E">
            <w:pPr>
              <w:pStyle w:val="TableText"/>
              <w:keepNext/>
              <w:rPr>
                <w:szCs w:val="18"/>
              </w:rPr>
            </w:pPr>
            <w:r w:rsidRPr="00166185">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7A9945F3" w14:textId="77777777" w:rsidR="00166185" w:rsidRPr="00166185" w:rsidRDefault="00166185" w:rsidP="000E630E">
            <w:pPr>
              <w:pStyle w:val="TableText"/>
              <w:keepNext/>
              <w:rPr>
                <w:rFonts w:ascii="Times New Roman" w:hAnsi="Times New Roman" w:cs="Times New Roman"/>
                <w:szCs w:val="18"/>
              </w:rPr>
            </w:pPr>
            <w:r w:rsidRPr="00166185">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651D81C6" w14:textId="77777777" w:rsidR="00166185" w:rsidRPr="00166185" w:rsidRDefault="00166185" w:rsidP="000E630E">
            <w:pPr>
              <w:pStyle w:val="TableText"/>
              <w:keepNext/>
              <w:rPr>
                <w:rFonts w:ascii="Times New Roman" w:hAnsi="Times New Roman" w:cs="Times New Roman"/>
                <w:szCs w:val="18"/>
              </w:rPr>
            </w:pPr>
            <w:r w:rsidRPr="00166185">
              <w:rPr>
                <w:szCs w:val="18"/>
              </w:rPr>
              <w:t>&lt; 1,000</w:t>
            </w:r>
          </w:p>
        </w:tc>
      </w:tr>
      <w:tr w:rsidR="00166185" w:rsidRPr="00166185" w14:paraId="4B32A110" w14:textId="77777777" w:rsidTr="00A034C7">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3506EE23" w14:textId="77777777" w:rsidR="00166185" w:rsidRPr="00166185" w:rsidRDefault="00166185" w:rsidP="000E630E">
            <w:pPr>
              <w:pStyle w:val="TableText"/>
              <w:keepNext/>
              <w:rPr>
                <w:szCs w:val="18"/>
              </w:rPr>
            </w:pPr>
            <w:r w:rsidRPr="004F5429">
              <w:rPr>
                <w:rStyle w:val="Strong"/>
              </w:rPr>
              <w:t>D2</w:t>
            </w:r>
            <w:r w:rsidR="00805DF5">
              <w:rPr>
                <w:rStyle w:val="Strong"/>
              </w:rPr>
              <w:t>.</w:t>
            </w:r>
            <w:r w:rsidRPr="00166185">
              <w:rPr>
                <w:szCs w:val="18"/>
                <w:vertAlign w:val="superscript"/>
              </w:rPr>
              <w:t>1</w:t>
            </w:r>
            <w:r w:rsidRPr="00166185">
              <w:rPr>
                <w:szCs w:val="18"/>
              </w:rPr>
              <w:t xml:space="preserve"> </w:t>
            </w:r>
            <w:r w:rsidRPr="00166185">
              <w:rPr>
                <w:i/>
                <w:szCs w:val="18"/>
              </w:rPr>
              <w:t>Only applies to the Vulnerable category</w:t>
            </w:r>
          </w:p>
          <w:p w14:paraId="65EA77EC" w14:textId="77777777" w:rsidR="00166185" w:rsidRPr="00166185" w:rsidRDefault="00166185" w:rsidP="000E630E">
            <w:pPr>
              <w:pStyle w:val="TableText"/>
              <w:keepNext/>
              <w:rPr>
                <w:szCs w:val="18"/>
              </w:rPr>
            </w:pPr>
            <w:r w:rsidRPr="00166185">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6F079650"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111E6564"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56245736" w14:textId="77777777" w:rsidR="00166185" w:rsidRPr="00166185" w:rsidRDefault="00166185" w:rsidP="000E630E">
            <w:pPr>
              <w:pStyle w:val="TableText"/>
              <w:keepNext/>
              <w:rPr>
                <w:szCs w:val="18"/>
              </w:rPr>
            </w:pPr>
            <w:r w:rsidRPr="00166185">
              <w:rPr>
                <w:szCs w:val="18"/>
              </w:rPr>
              <w:t>D2. Typically: area of occupancy &lt; 20 km</w:t>
            </w:r>
            <w:r w:rsidRPr="00166185">
              <w:rPr>
                <w:szCs w:val="18"/>
                <w:vertAlign w:val="superscript"/>
              </w:rPr>
              <w:t>2</w:t>
            </w:r>
            <w:r w:rsidRPr="00166185">
              <w:rPr>
                <w:szCs w:val="18"/>
              </w:rPr>
              <w:t xml:space="preserve"> or number of locations ≤ 5</w:t>
            </w:r>
          </w:p>
        </w:tc>
      </w:tr>
    </w:tbl>
    <w:p w14:paraId="7059B29C" w14:textId="77777777" w:rsidR="00166185" w:rsidRPr="00166185" w:rsidRDefault="00166185" w:rsidP="00BE530B">
      <w:pPr>
        <w:pStyle w:val="FigureTableNoteSource"/>
      </w:pPr>
      <w:r w:rsidRPr="00166185">
        <w:rPr>
          <w:vertAlign w:val="superscript"/>
        </w:rPr>
        <w:t>1</w:t>
      </w:r>
      <w:r w:rsidRPr="00166185">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33" w:history="1">
        <w:r w:rsidRPr="00166185">
          <w:rPr>
            <w:rStyle w:val="Hyperlink"/>
            <w:bCs/>
            <w:i/>
            <w:iCs/>
          </w:rPr>
          <w:t>common assessment method</w:t>
        </w:r>
      </w:hyperlink>
      <w:r w:rsidRPr="00166185">
        <w:t>.</w:t>
      </w:r>
    </w:p>
    <w:p w14:paraId="3C25F5AC" w14:textId="77777777" w:rsidR="00C2736A" w:rsidRPr="00C2736A" w:rsidRDefault="00C2736A">
      <w:pPr>
        <w:pStyle w:val="Heading3"/>
        <w:ind w:left="964" w:hanging="964"/>
      </w:pPr>
      <w:r>
        <w:t>Criterion 4 e</w:t>
      </w:r>
      <w:r w:rsidR="00BE530B" w:rsidRPr="00BE530B">
        <w:t>vidence</w:t>
      </w:r>
    </w:p>
    <w:p w14:paraId="06BBA038" w14:textId="7FE03F67" w:rsidR="006137FD" w:rsidRDefault="00BE530B" w:rsidP="00BE530B">
      <w:pPr>
        <w:rPr>
          <w:b/>
          <w:bCs/>
        </w:rPr>
      </w:pPr>
      <w:r w:rsidRPr="00C14D04">
        <w:rPr>
          <w:rStyle w:val="Strong"/>
        </w:rPr>
        <w:t xml:space="preserve">Eligible under </w:t>
      </w:r>
      <w:r w:rsidRPr="008C6ADD">
        <w:rPr>
          <w:rStyle w:val="Strong"/>
        </w:rPr>
        <w:t>Criterion 4</w:t>
      </w:r>
      <w:r w:rsidRPr="008C6ADD">
        <w:rPr>
          <w:b/>
          <w:bCs/>
        </w:rPr>
        <w:t xml:space="preserve"> </w:t>
      </w:r>
      <w:r w:rsidR="008D5FB2" w:rsidRPr="008C6ADD">
        <w:rPr>
          <w:b/>
          <w:bCs/>
        </w:rPr>
        <w:t>D</w:t>
      </w:r>
      <w:r w:rsidRPr="008C6ADD">
        <w:rPr>
          <w:b/>
          <w:bCs/>
        </w:rPr>
        <w:t xml:space="preserve"> </w:t>
      </w:r>
      <w:r w:rsidRPr="008C6ADD">
        <w:rPr>
          <w:rStyle w:val="Strong"/>
        </w:rPr>
        <w:t>for listing as</w:t>
      </w:r>
      <w:r w:rsidRPr="008C6ADD">
        <w:rPr>
          <w:b/>
          <w:bCs/>
        </w:rPr>
        <w:t xml:space="preserve"> </w:t>
      </w:r>
      <w:sdt>
        <w:sdtPr>
          <w:id w:val="66926998"/>
          <w:placeholder>
            <w:docPart w:val="3D0767BD70AD4BB7A004CCD061D50F12"/>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8C6ADD" w:rsidRPr="008C6ADD">
            <w:t>Vulnerable</w:t>
          </w:r>
        </w:sdtContent>
      </w:sdt>
    </w:p>
    <w:p w14:paraId="37C48FDC" w14:textId="1D941536" w:rsidR="00BE530B" w:rsidRPr="00833A4D" w:rsidRDefault="00833A4D" w:rsidP="00833A4D">
      <w:pPr>
        <w:rPr>
          <w:rStyle w:val="Strong"/>
          <w:b w:val="0"/>
          <w:bCs w:val="0"/>
        </w:rPr>
      </w:pPr>
      <w:r>
        <w:rPr>
          <w:rStyle w:val="Strong"/>
          <w:b w:val="0"/>
          <w:bCs w:val="0"/>
        </w:rPr>
        <w:t xml:space="preserve">The most recent </w:t>
      </w:r>
      <w:r w:rsidR="004676CA">
        <w:rPr>
          <w:rStyle w:val="Strong"/>
          <w:b w:val="0"/>
          <w:bCs w:val="0"/>
        </w:rPr>
        <w:t>population size estimated is from</w:t>
      </w:r>
      <w:r w:rsidR="00395953">
        <w:rPr>
          <w:rStyle w:val="Strong"/>
          <w:b w:val="0"/>
          <w:bCs w:val="0"/>
        </w:rPr>
        <w:t xml:space="preserve"> 2002, where the</w:t>
      </w:r>
      <w:r w:rsidR="00DD597C">
        <w:rPr>
          <w:rStyle w:val="Strong"/>
          <w:b w:val="0"/>
          <w:bCs w:val="0"/>
        </w:rPr>
        <w:t xml:space="preserve"> number of mature individuals</w:t>
      </w:r>
      <w:r w:rsidR="00395953">
        <w:rPr>
          <w:rStyle w:val="Strong"/>
          <w:b w:val="0"/>
          <w:bCs w:val="0"/>
        </w:rPr>
        <w:t xml:space="preserve"> was thought to be less than 1,000 (Pickett 2002).</w:t>
      </w:r>
      <w:r w:rsidR="008B3D78">
        <w:rPr>
          <w:rStyle w:val="Strong"/>
          <w:b w:val="0"/>
          <w:bCs w:val="0"/>
        </w:rPr>
        <w:t xml:space="preserve"> Another survey was conducted in 2009</w:t>
      </w:r>
      <w:r w:rsidR="005A2CD3">
        <w:rPr>
          <w:rStyle w:val="Strong"/>
          <w:b w:val="0"/>
          <w:bCs w:val="0"/>
        </w:rPr>
        <w:t xml:space="preserve">, primarily focussing on important populations and burnt areas from bushfires in 2001 or 2005 (Pickett 2009). However, no attempt </w:t>
      </w:r>
      <w:r w:rsidR="007E3B98">
        <w:rPr>
          <w:rStyle w:val="Strong"/>
          <w:b w:val="0"/>
          <w:bCs w:val="0"/>
        </w:rPr>
        <w:t>of population size reassessment has been conducted since 2002.</w:t>
      </w:r>
    </w:p>
    <w:p w14:paraId="3CCDA739" w14:textId="03F959B3" w:rsidR="00A96BBC" w:rsidRPr="001B00AE" w:rsidRDefault="00BE530B" w:rsidP="001B00AE">
      <w:pPr>
        <w:rPr>
          <w:bCs/>
        </w:rPr>
      </w:pPr>
      <w:r w:rsidRPr="00BE530B">
        <w:rPr>
          <w:bCs/>
        </w:rPr>
        <w:t xml:space="preserve">The Committee considers that the total number of mature individuals is </w:t>
      </w:r>
      <w:r w:rsidR="007E3B98">
        <w:rPr>
          <w:bCs/>
        </w:rPr>
        <w:t>less than 1,000,</w:t>
      </w:r>
      <w:r w:rsidRPr="00BE530B">
        <w:rPr>
          <w:bCs/>
        </w:rPr>
        <w:t xml:space="preserve"> which is </w:t>
      </w:r>
      <w:r w:rsidR="007E3B98">
        <w:rPr>
          <w:bCs/>
        </w:rPr>
        <w:t>very low</w:t>
      </w:r>
      <w:r w:rsidRPr="00BE530B">
        <w:rPr>
          <w:bCs/>
        </w:rPr>
        <w:t xml:space="preserve">. Therefore, the </w:t>
      </w:r>
      <w:r w:rsidR="006673D6" w:rsidRPr="00593F36">
        <w:rPr>
          <w:bCs/>
        </w:rPr>
        <w:t>subspecies</w:t>
      </w:r>
      <w:r w:rsidRPr="00BE530B">
        <w:rPr>
          <w:bCs/>
        </w:rPr>
        <w:t xml:space="preserve"> has met the relevant elements of Criterion 4 to make it eligible for listing as</w:t>
      </w:r>
      <w:r w:rsidR="001B00AE">
        <w:rPr>
          <w:bCs/>
        </w:rPr>
        <w:t xml:space="preserve"> </w:t>
      </w:r>
      <w:r w:rsidR="008F65B4" w:rsidRPr="008F65B4">
        <w:rPr>
          <w:b/>
          <w:bCs/>
        </w:rPr>
        <w:t>Vulnerable</w:t>
      </w:r>
      <w:r w:rsidR="001B00AE">
        <w:rPr>
          <w:bCs/>
        </w:rPr>
        <w:t>.</w:t>
      </w:r>
    </w:p>
    <w:p w14:paraId="3894F95E" w14:textId="77777777" w:rsidR="00AD2722" w:rsidRDefault="00AD2722" w:rsidP="00AD2722">
      <w:pPr>
        <w:pStyle w:val="Caption"/>
      </w:pPr>
      <w:r w:rsidRPr="00AD2722">
        <w:t>Criterion 5</w:t>
      </w:r>
      <w:r w:rsidR="00280857">
        <w:t xml:space="preserve"> </w:t>
      </w:r>
      <w:r w:rsidRPr="00AD2722">
        <w:t xml:space="preserve">Quantitative </w:t>
      </w:r>
      <w:r w:rsidR="00280857">
        <w:t>a</w:t>
      </w:r>
      <w:r w:rsidRPr="00AD2722">
        <w:t>nalysis</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AD2722" w:rsidRPr="00556843" w14:paraId="2361AE29" w14:textId="77777777" w:rsidTr="001C7420">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462F65D0" w14:textId="77777777" w:rsidR="00AD2722" w:rsidRPr="00556843" w:rsidRDefault="00AD2722" w:rsidP="000E630E">
            <w:pPr>
              <w:keepNext/>
              <w:tabs>
                <w:tab w:val="left" w:pos="284"/>
              </w:tabs>
              <w:rPr>
                <w:rFonts w:ascii="Arial" w:hAnsi="Arial" w:cs="Arial"/>
                <w:b/>
                <w:color w:val="FFFFFF" w:themeColor="background1"/>
              </w:rPr>
            </w:pPr>
          </w:p>
        </w:tc>
      </w:tr>
      <w:tr w:rsidR="00AD2722" w:rsidRPr="00556843" w14:paraId="5A50BFB7" w14:textId="77777777" w:rsidTr="001C7420">
        <w:trPr>
          <w:trHeight w:val="439"/>
        </w:trPr>
        <w:tc>
          <w:tcPr>
            <w:tcW w:w="4042" w:type="dxa"/>
            <w:tcBorders>
              <w:top w:val="nil"/>
              <w:left w:val="single" w:sz="4" w:space="0" w:color="auto"/>
              <w:bottom w:val="nil"/>
              <w:right w:val="nil"/>
            </w:tcBorders>
          </w:tcPr>
          <w:p w14:paraId="75632D50" w14:textId="77777777" w:rsidR="00AD2722" w:rsidRPr="00556843" w:rsidRDefault="00280857" w:rsidP="000E630E">
            <w:pPr>
              <w:pStyle w:val="TableText"/>
              <w:keepNext/>
            </w:pPr>
            <w:r w:rsidRPr="00E73F60">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78CE4EC5" w14:textId="77777777" w:rsidR="00AD2722" w:rsidRPr="009E3E71" w:rsidRDefault="00AD2722" w:rsidP="000E630E">
            <w:pPr>
              <w:pStyle w:val="TableText"/>
              <w:keepNext/>
              <w:rPr>
                <w:rStyle w:val="Strong"/>
              </w:rPr>
            </w:pPr>
            <w:r w:rsidRPr="009E3E71">
              <w:rPr>
                <w:rStyle w:val="Strong"/>
              </w:rPr>
              <w:t>Critically Endangered</w:t>
            </w:r>
          </w:p>
          <w:p w14:paraId="1DB0CD63" w14:textId="77777777" w:rsidR="00AD2722" w:rsidRPr="00556843" w:rsidRDefault="00AD2722" w:rsidP="000E630E">
            <w:pPr>
              <w:pStyle w:val="TableText"/>
              <w:keepNext/>
              <w:rPr>
                <w:b/>
              </w:rPr>
            </w:pPr>
            <w:r w:rsidRPr="009E3E71">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22C3FF25" w14:textId="77777777" w:rsidR="00AD2722" w:rsidRPr="009E3E71" w:rsidRDefault="00AD2722" w:rsidP="000E630E">
            <w:pPr>
              <w:pStyle w:val="TableText"/>
              <w:keepNext/>
              <w:rPr>
                <w:rStyle w:val="Strong"/>
              </w:rPr>
            </w:pPr>
            <w:r w:rsidRPr="009E3E71">
              <w:rPr>
                <w:rStyle w:val="Strong"/>
              </w:rPr>
              <w:t>Endangered</w:t>
            </w:r>
          </w:p>
          <w:p w14:paraId="54200069" w14:textId="77777777" w:rsidR="00AD2722" w:rsidRPr="009E3E71" w:rsidRDefault="00AD2722" w:rsidP="000E630E">
            <w:pPr>
              <w:pStyle w:val="TableText"/>
              <w:keepNext/>
              <w:rPr>
                <w:rStyle w:val="Strong"/>
              </w:rPr>
            </w:pPr>
            <w:r w:rsidRPr="009E3E71">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6ABCB168" w14:textId="77777777" w:rsidR="00AD2722" w:rsidRPr="009E3E71" w:rsidRDefault="00AD2722" w:rsidP="000E630E">
            <w:pPr>
              <w:pStyle w:val="TableText"/>
              <w:keepNext/>
              <w:rPr>
                <w:rStyle w:val="Strong"/>
              </w:rPr>
            </w:pPr>
            <w:r w:rsidRPr="009E3E71">
              <w:rPr>
                <w:rStyle w:val="Strong"/>
              </w:rPr>
              <w:t>Vulnerable</w:t>
            </w:r>
          </w:p>
          <w:p w14:paraId="63EEC6E2" w14:textId="77777777" w:rsidR="00AD2722" w:rsidRPr="009E3E71" w:rsidRDefault="00AD2722" w:rsidP="000E630E">
            <w:pPr>
              <w:pStyle w:val="TableText"/>
              <w:keepNext/>
              <w:rPr>
                <w:rStyle w:val="Strong"/>
              </w:rPr>
            </w:pPr>
            <w:r w:rsidRPr="009E3E71">
              <w:rPr>
                <w:rStyle w:val="Strong"/>
              </w:rPr>
              <w:t>Medium-term future</w:t>
            </w:r>
          </w:p>
        </w:tc>
      </w:tr>
      <w:tr w:rsidR="00AD2722" w:rsidRPr="004F5429" w14:paraId="781A78EE" w14:textId="77777777" w:rsidTr="001C7420">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66D7B3BC" w14:textId="77777777" w:rsidR="00AD2722" w:rsidRPr="004F5429" w:rsidRDefault="00AD2722" w:rsidP="00FB08F7">
            <w:pPr>
              <w:pStyle w:val="TableText"/>
              <w:rPr>
                <w:rStyle w:val="Strong"/>
              </w:rPr>
            </w:pPr>
            <w:r w:rsidRPr="004F5429">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7C170E7B" w14:textId="77777777" w:rsidR="00AD2722" w:rsidRPr="004F5429" w:rsidRDefault="00AD2722" w:rsidP="004F5429">
            <w:pPr>
              <w:pStyle w:val="TableText"/>
              <w:rPr>
                <w:rStyle w:val="Strong"/>
                <w:b w:val="0"/>
                <w:bCs w:val="0"/>
              </w:rPr>
            </w:pPr>
            <w:r w:rsidRPr="004F5429">
              <w:rPr>
                <w:rStyle w:val="Strong"/>
                <w:b w:val="0"/>
                <w:bCs w:val="0"/>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1B938710" w14:textId="77777777" w:rsidR="00AD2722" w:rsidRPr="004F5429" w:rsidRDefault="00AD2722" w:rsidP="004F5429">
            <w:pPr>
              <w:pStyle w:val="TableText"/>
              <w:rPr>
                <w:rStyle w:val="Strong"/>
                <w:b w:val="0"/>
                <w:bCs w:val="0"/>
              </w:rPr>
            </w:pPr>
            <w:r w:rsidRPr="004F5429">
              <w:rPr>
                <w:rStyle w:val="Strong"/>
                <w:b w:val="0"/>
                <w:bCs w:val="0"/>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05B12664" w14:textId="77777777" w:rsidR="00AD2722" w:rsidRPr="004F5429" w:rsidRDefault="00AD2722" w:rsidP="004F5429">
            <w:pPr>
              <w:pStyle w:val="TableText"/>
              <w:rPr>
                <w:rStyle w:val="Strong"/>
                <w:b w:val="0"/>
                <w:bCs w:val="0"/>
              </w:rPr>
            </w:pPr>
            <w:r w:rsidRPr="004F5429">
              <w:rPr>
                <w:rStyle w:val="Strong"/>
                <w:b w:val="0"/>
                <w:bCs w:val="0"/>
              </w:rPr>
              <w:t xml:space="preserve">≥ 10% in 100 years </w:t>
            </w:r>
          </w:p>
        </w:tc>
      </w:tr>
    </w:tbl>
    <w:p w14:paraId="2A9E41EA" w14:textId="77777777" w:rsidR="00AD2722" w:rsidRPr="00AD2722" w:rsidRDefault="00C2736A" w:rsidP="00A41058">
      <w:pPr>
        <w:pStyle w:val="Heading3"/>
        <w:spacing w:before="240"/>
        <w:ind w:left="964" w:hanging="964"/>
      </w:pPr>
      <w:r>
        <w:t>Criterion 5 e</w:t>
      </w:r>
      <w:r w:rsidR="00AD2722" w:rsidRPr="00AD2722">
        <w:t>vidence</w:t>
      </w:r>
    </w:p>
    <w:p w14:paraId="13975369" w14:textId="77777777" w:rsidR="006137FD" w:rsidRDefault="00AD2722" w:rsidP="00AD2722">
      <w:pPr>
        <w:rPr>
          <w:rStyle w:val="Strong"/>
        </w:rPr>
      </w:pPr>
      <w:r w:rsidRPr="006C5DF7">
        <w:rPr>
          <w:rStyle w:val="Strong"/>
        </w:rPr>
        <w:t>Insufficient data to determine eligibility</w:t>
      </w:r>
    </w:p>
    <w:p w14:paraId="4AF8FA25" w14:textId="652D705A" w:rsidR="00A96BBC" w:rsidRDefault="00AD2722" w:rsidP="00AD2722">
      <w:pPr>
        <w:rPr>
          <w:lang w:eastAsia="ja-JP"/>
        </w:rPr>
      </w:pPr>
      <w:r w:rsidRPr="00AD2722">
        <w:rPr>
          <w:bCs/>
        </w:rPr>
        <w:lastRenderedPageBreak/>
        <w:t xml:space="preserve">Population viability analysis has not been undertaken. Therefore, there is insufficient information to determine the eligibility of the </w:t>
      </w:r>
      <w:r w:rsidR="002A4C30" w:rsidRPr="006C5DF7">
        <w:rPr>
          <w:bCs/>
        </w:rPr>
        <w:t>subspecies</w:t>
      </w:r>
      <w:r w:rsidRPr="00AD2722">
        <w:rPr>
          <w:bCs/>
        </w:rPr>
        <w:t xml:space="preserve"> for listing in any category under this criterion.</w:t>
      </w:r>
    </w:p>
    <w:p w14:paraId="4CA13E2C" w14:textId="29120D13" w:rsidR="00AD2722" w:rsidRDefault="00AD2722" w:rsidP="00F20180">
      <w:pPr>
        <w:pStyle w:val="Heading3"/>
        <w:ind w:left="964" w:hanging="964"/>
      </w:pPr>
      <w:r w:rsidRPr="00AD2722">
        <w:t>Adequacy of survey</w:t>
      </w:r>
    </w:p>
    <w:p w14:paraId="348C66B9" w14:textId="4D7D3CFA" w:rsidR="00673E94" w:rsidRPr="00673E94" w:rsidRDefault="003C002D" w:rsidP="00673E94">
      <w:r>
        <w:t xml:space="preserve">Although </w:t>
      </w:r>
      <w:r w:rsidR="00B665A3">
        <w:t xml:space="preserve">there is sufficient evidence to support the assessment, </w:t>
      </w:r>
      <w:r w:rsidR="005D094E">
        <w:t xml:space="preserve">there has been no new </w:t>
      </w:r>
      <w:r w:rsidR="008B2FAB">
        <w:t>surveys or monitoring</w:t>
      </w:r>
      <w:r w:rsidR="005D094E">
        <w:t xml:space="preserve"> for over a decade</w:t>
      </w:r>
      <w:r w:rsidR="00AC5C1C">
        <w:t xml:space="preserve">. </w:t>
      </w:r>
      <w:r w:rsidR="008B2FAB">
        <w:t>Updated information w</w:t>
      </w:r>
      <w:r w:rsidR="00081980">
        <w:t xml:space="preserve">ould benefit any conservation planning for the Eyre Peninsula </w:t>
      </w:r>
      <w:r w:rsidR="009C03F1">
        <w:t>southern emu</w:t>
      </w:r>
      <w:r w:rsidR="00081980">
        <w:t>-wren.</w:t>
      </w:r>
    </w:p>
    <w:p w14:paraId="684862A9" w14:textId="75120322" w:rsidR="00AD2722" w:rsidRPr="00AD2722" w:rsidRDefault="00AD2722" w:rsidP="00F20180">
      <w:pPr>
        <w:pStyle w:val="Heading3"/>
        <w:ind w:left="964" w:hanging="964"/>
      </w:pPr>
      <w:r w:rsidRPr="00AD2722">
        <w:t>Public consultation</w:t>
      </w:r>
    </w:p>
    <w:p w14:paraId="2D28794A" w14:textId="5B19ED08" w:rsidR="005D2CE0" w:rsidRDefault="005D2CE0" w:rsidP="005D2CE0">
      <w:pPr>
        <w:rPr>
          <w:bCs/>
        </w:rPr>
      </w:pPr>
      <w:bookmarkStart w:id="18" w:name="_Hlk94012767"/>
      <w:r w:rsidRPr="00D570C2">
        <w:rPr>
          <w:bCs/>
        </w:rPr>
        <w:t>Notice of the proposed amendment and a consultation document is made available for public comment for a minimum of 30 business days. Any comments received relevant to the survival of the species/subspecies are considered by the Committee as part of the assessment process.</w:t>
      </w:r>
    </w:p>
    <w:bookmarkEnd w:id="18"/>
    <w:p w14:paraId="577DDE1B" w14:textId="2F679340" w:rsidR="00AD2722" w:rsidRPr="00AD2722" w:rsidRDefault="00AD2722" w:rsidP="00243014">
      <w:pPr>
        <w:pStyle w:val="Heading3"/>
      </w:pPr>
      <w:r w:rsidRPr="00AD2722">
        <w:t>Listing and Recovery Plan Recommendations</w:t>
      </w:r>
    </w:p>
    <w:p w14:paraId="22F369F8" w14:textId="77777777" w:rsidR="005A4BB6" w:rsidRPr="00074648" w:rsidRDefault="005A4BB6" w:rsidP="005A4BB6">
      <w:pPr>
        <w:rPr>
          <w:lang w:eastAsia="ja-JP"/>
        </w:rPr>
      </w:pPr>
      <w:r w:rsidRPr="00673E94">
        <w:rPr>
          <w:lang w:eastAsia="ja-JP"/>
        </w:rPr>
        <w:t>A decision about whether there should be a Recovery Plan for this species has not yet been made. The purpose of this consultation document is to elicit additional information to help inform the decision.</w:t>
      </w:r>
    </w:p>
    <w:p w14:paraId="55D800B2" w14:textId="7C2B981A" w:rsidR="00AD44EA" w:rsidRDefault="00AD44EA" w:rsidP="000202F4">
      <w:pPr>
        <w:pStyle w:val="Normalsmall"/>
        <w:pageBreakBefore/>
      </w:pPr>
      <w:r>
        <w:lastRenderedPageBreak/>
        <w:t xml:space="preserve">© Commonwealth of Australia </w:t>
      </w:r>
      <w:r w:rsidR="00A912A9">
        <w:t>2022</w:t>
      </w:r>
      <w:r w:rsidR="00D431C8">
        <w:t xml:space="preserve"> </w:t>
      </w:r>
      <w:r w:rsidR="00D431C8" w:rsidRPr="00D431C8">
        <w:rPr>
          <w:noProof/>
          <w:lang w:eastAsia="en-AU"/>
        </w:rPr>
        <w:drawing>
          <wp:inline distT="0" distB="0" distL="0" distR="0" wp14:anchorId="7BEEDB8F" wp14:editId="1569F271">
            <wp:extent cx="600075" cy="2099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25166" cy="218731"/>
                    </a:xfrm>
                    <a:prstGeom prst="rect">
                      <a:avLst/>
                    </a:prstGeom>
                  </pic:spPr>
                </pic:pic>
              </a:graphicData>
            </a:graphic>
          </wp:inline>
        </w:drawing>
      </w:r>
    </w:p>
    <w:p w14:paraId="5A9F7DBC" w14:textId="77777777" w:rsidR="00AD44EA" w:rsidRDefault="00AD44EA" w:rsidP="00AD44EA">
      <w:pPr>
        <w:pStyle w:val="Normalsmall"/>
        <w:rPr>
          <w:rStyle w:val="Strong"/>
        </w:rPr>
      </w:pPr>
      <w:r>
        <w:rPr>
          <w:rStyle w:val="Strong"/>
        </w:rPr>
        <w:t>Ownership of intellectual property rights</w:t>
      </w:r>
    </w:p>
    <w:p w14:paraId="33A783AB" w14:textId="77777777" w:rsidR="00AD44EA" w:rsidRDefault="00AD44EA" w:rsidP="00AD44EA">
      <w:pPr>
        <w:pStyle w:val="Normalsmall"/>
      </w:pPr>
      <w:r>
        <w:t>Unless otherwise noted, copyright (and any other intellectual property rights) in this publication is owned by the Commonwealth of Australia (referred to as the Commonwealth).</w:t>
      </w:r>
    </w:p>
    <w:p w14:paraId="3C72FFF4" w14:textId="77777777" w:rsidR="00AD44EA" w:rsidRDefault="00AD44EA" w:rsidP="00AD44EA">
      <w:pPr>
        <w:pStyle w:val="Normalsmall"/>
        <w:rPr>
          <w:rStyle w:val="Strong"/>
        </w:rPr>
      </w:pPr>
      <w:r>
        <w:rPr>
          <w:rStyle w:val="Strong"/>
        </w:rPr>
        <w:t>Creative Commons licence</w:t>
      </w:r>
    </w:p>
    <w:p w14:paraId="22D1FC66" w14:textId="77777777" w:rsidR="00AD44EA" w:rsidRDefault="00AD44EA" w:rsidP="00AD44EA">
      <w:pPr>
        <w:pStyle w:val="Normalsmall"/>
      </w:pPr>
      <w:r>
        <w:t xml:space="preserve">All material in this publication is licensed under a </w:t>
      </w:r>
      <w:hyperlink r:id="rId35"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6CCC96D7" w14:textId="77777777" w:rsidR="00AD44EA" w:rsidRDefault="00AD44EA" w:rsidP="00AD44EA">
      <w:pPr>
        <w:pStyle w:val="Normalsmall"/>
      </w:pPr>
      <w:r>
        <w:t xml:space="preserve">Inquiries about the licence and any use of this document should be emailed to </w:t>
      </w:r>
      <w:hyperlink r:id="rId36" w:history="1">
        <w:r w:rsidRPr="00CD29E9">
          <w:rPr>
            <w:rStyle w:val="Hyperlink"/>
          </w:rPr>
          <w:t>copyright@awe.gov.au</w:t>
        </w:r>
      </w:hyperlink>
      <w:r>
        <w:t>.</w:t>
      </w:r>
    </w:p>
    <w:p w14:paraId="7FC3A260" w14:textId="77777777" w:rsidR="00AD44EA" w:rsidRDefault="00AD44EA" w:rsidP="00AD44EA">
      <w:pPr>
        <w:pStyle w:val="Normalsmall"/>
        <w:rPr>
          <w:rStyle w:val="Strong"/>
        </w:rPr>
      </w:pPr>
      <w:r>
        <w:rPr>
          <w:rStyle w:val="Strong"/>
        </w:rPr>
        <w:t>Cataloguing data</w:t>
      </w:r>
    </w:p>
    <w:p w14:paraId="0F3928DA" w14:textId="0862A93D" w:rsidR="00AD44EA" w:rsidRDefault="00AD44EA" w:rsidP="00AD44EA">
      <w:pPr>
        <w:pStyle w:val="Normalsmall"/>
      </w:pPr>
      <w:r>
        <w:t xml:space="preserve">This </w:t>
      </w:r>
      <w:r w:rsidRPr="00635A77">
        <w:t xml:space="preserve">publication (and any material sourced from it) should be attributed as: Department of Agriculture, Water and the Environment </w:t>
      </w:r>
      <w:r w:rsidR="00A912A9" w:rsidRPr="00635A77">
        <w:t>2022</w:t>
      </w:r>
      <w:r w:rsidRPr="00635A77">
        <w:t xml:space="preserve">, </w:t>
      </w:r>
      <w:r w:rsidRPr="00635A77">
        <w:rPr>
          <w:i/>
        </w:rPr>
        <w:t xml:space="preserve">Conservation </w:t>
      </w:r>
      <w:r w:rsidR="0010557C" w:rsidRPr="00635A77">
        <w:rPr>
          <w:i/>
        </w:rPr>
        <w:t>A</w:t>
      </w:r>
      <w:r w:rsidRPr="00635A77">
        <w:rPr>
          <w:i/>
        </w:rPr>
        <w:t>dvice</w:t>
      </w:r>
      <w:r>
        <w:rPr>
          <w:i/>
        </w:rPr>
        <w:t xml:space="preserve"> for </w:t>
      </w:r>
      <w:proofErr w:type="spellStart"/>
      <w:r w:rsidR="00A912A9">
        <w:t>Stipiturus</w:t>
      </w:r>
      <w:proofErr w:type="spellEnd"/>
      <w:r w:rsidR="00A912A9">
        <w:t xml:space="preserve"> </w:t>
      </w:r>
      <w:proofErr w:type="spellStart"/>
      <w:r w:rsidR="00A912A9">
        <w:t>malachurus</w:t>
      </w:r>
      <w:proofErr w:type="spellEnd"/>
      <w:r w:rsidR="00A912A9">
        <w:t xml:space="preserve"> </w:t>
      </w:r>
      <w:proofErr w:type="spellStart"/>
      <w:r w:rsidR="00A912A9">
        <w:t>parimeda</w:t>
      </w:r>
      <w:proofErr w:type="spellEnd"/>
      <w:r>
        <w:rPr>
          <w:i/>
        </w:rPr>
        <w:t xml:space="preserve"> </w:t>
      </w:r>
      <w:r w:rsidR="00635A77">
        <w:rPr>
          <w:i/>
        </w:rPr>
        <w:t xml:space="preserve">(Eyre Peninsula </w:t>
      </w:r>
      <w:r w:rsidR="009C03F1">
        <w:rPr>
          <w:i/>
        </w:rPr>
        <w:t>southern emu</w:t>
      </w:r>
      <w:r w:rsidR="00635A77">
        <w:rPr>
          <w:i/>
        </w:rPr>
        <w:t>-wren)</w:t>
      </w:r>
      <w:r>
        <w:t xml:space="preserve">, Canberra. </w:t>
      </w:r>
      <w:r w:rsidR="003E1291" w:rsidRPr="00D431C8">
        <w:rPr>
          <w:noProof/>
          <w:lang w:eastAsia="en-AU"/>
        </w:rPr>
        <w:drawing>
          <wp:inline distT="0" distB="0" distL="0" distR="0" wp14:anchorId="1C868556" wp14:editId="6FB5F521">
            <wp:extent cx="600075" cy="209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25166" cy="218731"/>
                    </a:xfrm>
                    <a:prstGeom prst="rect">
                      <a:avLst/>
                    </a:prstGeom>
                  </pic:spPr>
                </pic:pic>
              </a:graphicData>
            </a:graphic>
          </wp:inline>
        </w:drawing>
      </w:r>
    </w:p>
    <w:p w14:paraId="338876F8" w14:textId="32AA515B" w:rsidR="00AD44EA" w:rsidRPr="009B34A8" w:rsidRDefault="00AD44EA" w:rsidP="00AD44EA">
      <w:pPr>
        <w:pStyle w:val="Normalsmall"/>
      </w:pPr>
      <w:r>
        <w:t xml:space="preserve">This publication is </w:t>
      </w:r>
      <w:r w:rsidRPr="00E20810">
        <w:t>available at</w:t>
      </w:r>
      <w:r w:rsidR="00BA28D1">
        <w:t xml:space="preserve"> the </w:t>
      </w:r>
      <w:hyperlink r:id="rId37" w:history="1">
        <w:r w:rsidR="00BA28D1" w:rsidRPr="009B34A8">
          <w:rPr>
            <w:rStyle w:val="Hyperlink"/>
          </w:rPr>
          <w:t xml:space="preserve">SPRAT profile for </w:t>
        </w:r>
        <w:proofErr w:type="spellStart"/>
        <w:r w:rsidR="009B34A8" w:rsidRPr="009B34A8">
          <w:rPr>
            <w:rStyle w:val="Hyperlink"/>
            <w:i/>
            <w:iCs/>
          </w:rPr>
          <w:t>Stipiturus</w:t>
        </w:r>
        <w:proofErr w:type="spellEnd"/>
        <w:r w:rsidR="009B34A8" w:rsidRPr="009B34A8">
          <w:rPr>
            <w:rStyle w:val="Hyperlink"/>
            <w:i/>
            <w:iCs/>
          </w:rPr>
          <w:t xml:space="preserve"> </w:t>
        </w:r>
        <w:proofErr w:type="spellStart"/>
        <w:r w:rsidR="009B34A8" w:rsidRPr="009B34A8">
          <w:rPr>
            <w:rStyle w:val="Hyperlink"/>
            <w:i/>
            <w:iCs/>
          </w:rPr>
          <w:t>malachurus</w:t>
        </w:r>
        <w:proofErr w:type="spellEnd"/>
        <w:r w:rsidR="009B34A8" w:rsidRPr="009B34A8">
          <w:rPr>
            <w:rStyle w:val="Hyperlink"/>
            <w:i/>
            <w:iCs/>
          </w:rPr>
          <w:t xml:space="preserve"> </w:t>
        </w:r>
        <w:proofErr w:type="spellStart"/>
        <w:r w:rsidR="009B34A8" w:rsidRPr="009B34A8">
          <w:rPr>
            <w:rStyle w:val="Hyperlink"/>
            <w:i/>
            <w:iCs/>
          </w:rPr>
          <w:t>parimeda</w:t>
        </w:r>
        <w:proofErr w:type="spellEnd"/>
        <w:r w:rsidR="009B34A8" w:rsidRPr="009B34A8">
          <w:rPr>
            <w:rStyle w:val="Hyperlink"/>
            <w:i/>
            <w:iCs/>
          </w:rPr>
          <w:t xml:space="preserve"> </w:t>
        </w:r>
        <w:r w:rsidR="009B34A8" w:rsidRPr="009B34A8">
          <w:rPr>
            <w:rStyle w:val="Hyperlink"/>
          </w:rPr>
          <w:t xml:space="preserve">(Eyre Peninsula </w:t>
        </w:r>
        <w:r w:rsidR="009C03F1">
          <w:rPr>
            <w:rStyle w:val="Hyperlink"/>
          </w:rPr>
          <w:t>southern emu</w:t>
        </w:r>
        <w:r w:rsidR="009B34A8" w:rsidRPr="009B34A8">
          <w:rPr>
            <w:rStyle w:val="Hyperlink"/>
          </w:rPr>
          <w:t>-wren)</w:t>
        </w:r>
      </w:hyperlink>
      <w:r w:rsidR="009B34A8">
        <w:t>.</w:t>
      </w:r>
    </w:p>
    <w:p w14:paraId="1548E023" w14:textId="77777777" w:rsidR="00AD44EA" w:rsidRDefault="00AD44EA" w:rsidP="00AD44EA">
      <w:pPr>
        <w:pStyle w:val="Normalsmall"/>
        <w:spacing w:after="0"/>
      </w:pPr>
      <w:r>
        <w:t xml:space="preserve">Department of Agriculture, </w:t>
      </w:r>
      <w:proofErr w:type="gramStart"/>
      <w:r>
        <w:t>Water</w:t>
      </w:r>
      <w:proofErr w:type="gramEnd"/>
      <w:r>
        <w:t xml:space="preserve"> and the Environment</w:t>
      </w:r>
    </w:p>
    <w:p w14:paraId="27CB629A" w14:textId="77777777" w:rsidR="00AD44EA" w:rsidRDefault="00AD44EA" w:rsidP="00AD44EA">
      <w:pPr>
        <w:pStyle w:val="Normalsmall"/>
        <w:spacing w:after="0"/>
      </w:pPr>
      <w:r>
        <w:t>GPO Box 858</w:t>
      </w:r>
      <w:r w:rsidR="00B16806">
        <w:t>,</w:t>
      </w:r>
      <w:r>
        <w:t xml:space="preserve"> Canberra ACT 2601</w:t>
      </w:r>
    </w:p>
    <w:p w14:paraId="40927727" w14:textId="77777777" w:rsidR="00AD44EA" w:rsidRDefault="00AD44EA" w:rsidP="00AD44EA">
      <w:pPr>
        <w:pStyle w:val="Normalsmall"/>
        <w:spacing w:after="0"/>
      </w:pPr>
      <w:r>
        <w:t xml:space="preserve">Telephone </w:t>
      </w:r>
      <w:r w:rsidRPr="00773056">
        <w:t>1800 900 090</w:t>
      </w:r>
    </w:p>
    <w:p w14:paraId="4DF1D867" w14:textId="77777777" w:rsidR="00AD44EA" w:rsidRDefault="00AD44EA" w:rsidP="00AD44EA">
      <w:pPr>
        <w:pStyle w:val="Normalsmall"/>
      </w:pPr>
      <w:r w:rsidRPr="00E20810">
        <w:t xml:space="preserve">Web </w:t>
      </w:r>
      <w:hyperlink r:id="rId38" w:history="1">
        <w:r w:rsidRPr="00E20810">
          <w:rPr>
            <w:rStyle w:val="Hyperlink"/>
          </w:rPr>
          <w:t>awe.gov.au</w:t>
        </w:r>
      </w:hyperlink>
    </w:p>
    <w:p w14:paraId="5207BAF6" w14:textId="77777777" w:rsidR="00AD44EA" w:rsidRDefault="00AD44EA" w:rsidP="00AD44EA">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4BAB40DB" w14:textId="77777777" w:rsidR="00AD44EA" w:rsidRDefault="009E30E5" w:rsidP="009E30E5">
      <w:pPr>
        <w:pStyle w:val="Caption"/>
      </w:pPr>
      <w:r>
        <w:t>Version history table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9E30E5" w14:paraId="3F7197EA" w14:textId="77777777" w:rsidTr="005F3E72">
        <w:trPr>
          <w:cantSplit/>
          <w:tblHeader/>
        </w:trPr>
        <w:tc>
          <w:tcPr>
            <w:tcW w:w="3020" w:type="dxa"/>
            <w:tcBorders>
              <w:top w:val="single" w:sz="4" w:space="0" w:color="auto"/>
              <w:bottom w:val="single" w:sz="4" w:space="0" w:color="auto"/>
            </w:tcBorders>
          </w:tcPr>
          <w:p w14:paraId="5BC462F7" w14:textId="77777777" w:rsidR="009E30E5" w:rsidRDefault="009E30E5" w:rsidP="009E30E5">
            <w:pPr>
              <w:pStyle w:val="TableHeading"/>
            </w:pPr>
            <w:r>
              <w:t>Document type</w:t>
            </w:r>
          </w:p>
        </w:tc>
        <w:tc>
          <w:tcPr>
            <w:tcW w:w="3020" w:type="dxa"/>
            <w:tcBorders>
              <w:top w:val="single" w:sz="4" w:space="0" w:color="auto"/>
              <w:bottom w:val="single" w:sz="4" w:space="0" w:color="auto"/>
            </w:tcBorders>
          </w:tcPr>
          <w:p w14:paraId="18157AB8" w14:textId="77777777" w:rsidR="009E30E5" w:rsidRDefault="009E30E5" w:rsidP="009E30E5">
            <w:pPr>
              <w:pStyle w:val="TableHeading"/>
            </w:pPr>
            <w:r>
              <w:t>Title</w:t>
            </w:r>
          </w:p>
        </w:tc>
        <w:tc>
          <w:tcPr>
            <w:tcW w:w="3020" w:type="dxa"/>
            <w:tcBorders>
              <w:top w:val="single" w:sz="4" w:space="0" w:color="auto"/>
              <w:bottom w:val="single" w:sz="4" w:space="0" w:color="auto"/>
            </w:tcBorders>
          </w:tcPr>
          <w:p w14:paraId="0B11A848" w14:textId="77777777" w:rsidR="009E30E5" w:rsidRDefault="00EE0F9A" w:rsidP="009E30E5">
            <w:pPr>
              <w:pStyle w:val="TableHeading"/>
            </w:pPr>
            <w:r>
              <w:t>Date</w:t>
            </w:r>
            <w:r w:rsidR="009E30E5">
              <w:t xml:space="preserve"> [dd mm </w:t>
            </w:r>
            <w:proofErr w:type="spellStart"/>
            <w:r w:rsidR="009E30E5">
              <w:t>yyyy</w:t>
            </w:r>
            <w:proofErr w:type="spellEnd"/>
            <w:r w:rsidR="009E30E5">
              <w:t>]</w:t>
            </w:r>
          </w:p>
        </w:tc>
      </w:tr>
      <w:tr w:rsidR="009E30E5" w14:paraId="1F53DBFE" w14:textId="77777777" w:rsidTr="009E30E5">
        <w:tc>
          <w:tcPr>
            <w:tcW w:w="3020" w:type="dxa"/>
            <w:tcBorders>
              <w:top w:val="single" w:sz="4" w:space="0" w:color="auto"/>
            </w:tcBorders>
          </w:tcPr>
          <w:p w14:paraId="03DDC9F9" w14:textId="56F55B70" w:rsidR="009E30E5" w:rsidRDefault="009B34A8" w:rsidP="009E30E5">
            <w:pPr>
              <w:pStyle w:val="TableText"/>
            </w:pPr>
            <w:r>
              <w:t>Conservation Advice</w:t>
            </w:r>
          </w:p>
        </w:tc>
        <w:tc>
          <w:tcPr>
            <w:tcW w:w="3020" w:type="dxa"/>
            <w:tcBorders>
              <w:top w:val="single" w:sz="4" w:space="0" w:color="auto"/>
            </w:tcBorders>
          </w:tcPr>
          <w:p w14:paraId="6E9A0063" w14:textId="32B175DB" w:rsidR="009E30E5" w:rsidRDefault="00FF269D" w:rsidP="009E30E5">
            <w:pPr>
              <w:pStyle w:val="TableText"/>
            </w:pPr>
            <w:r>
              <w:t>App</w:t>
            </w:r>
            <w:r w:rsidRPr="00FF269D">
              <w:t xml:space="preserve">roved Conservation Advice for </w:t>
            </w:r>
            <w:proofErr w:type="spellStart"/>
            <w:r w:rsidRPr="00FF269D">
              <w:rPr>
                <w:i/>
                <w:iCs/>
              </w:rPr>
              <w:t>Stipiturus</w:t>
            </w:r>
            <w:proofErr w:type="spellEnd"/>
            <w:r w:rsidRPr="00FF269D">
              <w:rPr>
                <w:i/>
                <w:iCs/>
              </w:rPr>
              <w:t xml:space="preserve"> </w:t>
            </w:r>
            <w:proofErr w:type="spellStart"/>
            <w:r w:rsidRPr="00FF269D">
              <w:rPr>
                <w:i/>
                <w:iCs/>
              </w:rPr>
              <w:t>malachurus</w:t>
            </w:r>
            <w:proofErr w:type="spellEnd"/>
            <w:r w:rsidRPr="00FF269D">
              <w:rPr>
                <w:i/>
                <w:iCs/>
              </w:rPr>
              <w:t xml:space="preserve"> </w:t>
            </w:r>
            <w:proofErr w:type="spellStart"/>
            <w:r w:rsidRPr="00FF269D">
              <w:rPr>
                <w:i/>
                <w:iCs/>
              </w:rPr>
              <w:t>parimeda</w:t>
            </w:r>
            <w:proofErr w:type="spellEnd"/>
            <w:r w:rsidRPr="00FF269D">
              <w:t xml:space="preserve"> (southern Emu-wren - Eyre Peninsula)</w:t>
            </w:r>
          </w:p>
        </w:tc>
        <w:tc>
          <w:tcPr>
            <w:tcW w:w="3020" w:type="dxa"/>
            <w:tcBorders>
              <w:top w:val="single" w:sz="4" w:space="0" w:color="auto"/>
            </w:tcBorders>
          </w:tcPr>
          <w:p w14:paraId="250DD93E" w14:textId="1626C252" w:rsidR="009E30E5" w:rsidRDefault="00FF269D" w:rsidP="009E30E5">
            <w:pPr>
              <w:pStyle w:val="TableText"/>
            </w:pPr>
            <w:r>
              <w:t>17/12/2013</w:t>
            </w:r>
          </w:p>
        </w:tc>
      </w:tr>
    </w:tbl>
    <w:p w14:paraId="3522F28A" w14:textId="62F274CC" w:rsidR="009E30E5" w:rsidRDefault="009E30E5" w:rsidP="009E30E5"/>
    <w:p w14:paraId="0A779978" w14:textId="2D3681C8" w:rsidR="00D15CB6" w:rsidRPr="009E30E5" w:rsidRDefault="00D15CB6" w:rsidP="009E30E5"/>
    <w:sectPr w:rsidR="00D15CB6" w:rsidRPr="009E30E5" w:rsidSect="002F232F">
      <w:headerReference w:type="even" r:id="rId39"/>
      <w:headerReference w:type="default" r:id="rId40"/>
      <w:headerReference w:type="first" r:id="rId41"/>
      <w:footerReference w:type="first" r:id="rId42"/>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DC888" w14:textId="77777777" w:rsidR="00BD6B38" w:rsidRDefault="00BD6B38">
      <w:r>
        <w:separator/>
      </w:r>
    </w:p>
    <w:p w14:paraId="7D72CEDD" w14:textId="77777777" w:rsidR="00BD6B38" w:rsidRDefault="00BD6B38"/>
    <w:p w14:paraId="3876DCBC" w14:textId="77777777" w:rsidR="00BD6B38" w:rsidRDefault="00BD6B38"/>
    <w:p w14:paraId="42FEFA3A" w14:textId="77777777" w:rsidR="00BD6B38" w:rsidRDefault="00BD6B38"/>
  </w:endnote>
  <w:endnote w:type="continuationSeparator" w:id="0">
    <w:p w14:paraId="05962D8D" w14:textId="77777777" w:rsidR="00BD6B38" w:rsidRDefault="00BD6B38">
      <w:r>
        <w:continuationSeparator/>
      </w:r>
    </w:p>
    <w:p w14:paraId="6D5E242E" w14:textId="77777777" w:rsidR="00BD6B38" w:rsidRDefault="00BD6B38"/>
    <w:p w14:paraId="4F9EEE1F" w14:textId="77777777" w:rsidR="00BD6B38" w:rsidRDefault="00BD6B38"/>
    <w:p w14:paraId="1F220D61" w14:textId="77777777" w:rsidR="00BD6B38" w:rsidRDefault="00BD6B38"/>
  </w:endnote>
  <w:endnote w:type="continuationNotice" w:id="1">
    <w:p w14:paraId="4AF634DD" w14:textId="77777777" w:rsidR="00BD6B38" w:rsidRDefault="00BD6B38">
      <w:pPr>
        <w:pStyle w:val="Footer"/>
      </w:pPr>
    </w:p>
    <w:p w14:paraId="6256D6E1" w14:textId="77777777" w:rsidR="00BD6B38" w:rsidRDefault="00BD6B38"/>
    <w:p w14:paraId="387E525A" w14:textId="77777777" w:rsidR="00BD6B38" w:rsidRDefault="00BD6B38"/>
    <w:p w14:paraId="612A0DA7" w14:textId="77777777" w:rsidR="00BD6B38" w:rsidRDefault="00BD6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FB6D" w14:textId="0E0906DE" w:rsidR="007627BE" w:rsidRDefault="007627BE" w:rsidP="00E02D9C">
    <w:pPr>
      <w:pStyle w:val="Footer"/>
    </w:pPr>
    <w:r>
      <w:fldChar w:fldCharType="begin"/>
    </w:r>
    <w:r>
      <w:instrText xml:space="preserve"> PAGE   \* MERGEFORMAT </w:instrText>
    </w:r>
    <w:r>
      <w:fldChar w:fldCharType="separate"/>
    </w:r>
    <w:r>
      <w:rPr>
        <w:noProof/>
      </w:rPr>
      <w:t>23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691E" w14:textId="77777777" w:rsidR="007627BE" w:rsidRDefault="007627BE" w:rsidP="002F232F">
    <w:pPr>
      <w:pStyle w:val="Footer"/>
    </w:pPr>
    <w:r>
      <w:t xml:space="preserve">Department of Agriculture, </w:t>
    </w:r>
    <w:proofErr w:type="gramStart"/>
    <w:r>
      <w:t>Water</w:t>
    </w:r>
    <w:proofErr w:type="gramEnd"/>
    <w:r>
      <w:t xml:space="preserve"> and the Environment</w:t>
    </w:r>
  </w:p>
  <w:p w14:paraId="7D477258" w14:textId="146405E0" w:rsidR="007627BE" w:rsidRDefault="007627BE"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734C" w14:textId="77777777" w:rsidR="007627BE" w:rsidRDefault="007627BE" w:rsidP="002F232F">
    <w:pPr>
      <w:pStyle w:val="Footer"/>
    </w:pPr>
    <w:r>
      <w:t>Threatened Species Scientific Committee</w:t>
    </w:r>
  </w:p>
  <w:p w14:paraId="6ABEF6CF" w14:textId="79516392" w:rsidR="007627BE" w:rsidRDefault="007627BE" w:rsidP="002F232F">
    <w:pPr>
      <w:pStyle w:val="Footer"/>
    </w:pPr>
    <w:r>
      <w:fldChar w:fldCharType="begin"/>
    </w:r>
    <w:r>
      <w:instrText xml:space="preserve"> PAGE   \* MERGEFORMAT </w:instrText>
    </w:r>
    <w:r>
      <w:fldChar w:fldCharType="separate"/>
    </w:r>
    <w:r>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CB6F3" w14:textId="77777777" w:rsidR="00BD6B38" w:rsidRDefault="00BD6B38">
      <w:r>
        <w:separator/>
      </w:r>
    </w:p>
    <w:p w14:paraId="4713463E" w14:textId="77777777" w:rsidR="00BD6B38" w:rsidRDefault="00BD6B38"/>
    <w:p w14:paraId="497A9AAE" w14:textId="77777777" w:rsidR="00BD6B38" w:rsidRDefault="00BD6B38"/>
    <w:p w14:paraId="7F8CDD19" w14:textId="77777777" w:rsidR="00BD6B38" w:rsidRDefault="00BD6B38"/>
  </w:footnote>
  <w:footnote w:type="continuationSeparator" w:id="0">
    <w:p w14:paraId="74A885EC" w14:textId="77777777" w:rsidR="00BD6B38" w:rsidRDefault="00BD6B38">
      <w:r>
        <w:continuationSeparator/>
      </w:r>
    </w:p>
    <w:p w14:paraId="00269996" w14:textId="77777777" w:rsidR="00BD6B38" w:rsidRDefault="00BD6B38"/>
    <w:p w14:paraId="63DEC3DD" w14:textId="77777777" w:rsidR="00BD6B38" w:rsidRDefault="00BD6B38"/>
    <w:p w14:paraId="740CF436" w14:textId="77777777" w:rsidR="00BD6B38" w:rsidRDefault="00BD6B38"/>
  </w:footnote>
  <w:footnote w:type="continuationNotice" w:id="1">
    <w:p w14:paraId="4DFC741F" w14:textId="77777777" w:rsidR="00BD6B38" w:rsidRDefault="00BD6B38">
      <w:pPr>
        <w:pStyle w:val="Footer"/>
      </w:pPr>
    </w:p>
    <w:p w14:paraId="68FFA678" w14:textId="77777777" w:rsidR="00BD6B38" w:rsidRDefault="00BD6B38"/>
    <w:p w14:paraId="32A2484C" w14:textId="77777777" w:rsidR="00BD6B38" w:rsidRDefault="00BD6B38"/>
    <w:p w14:paraId="16BC6B5F" w14:textId="77777777" w:rsidR="00BD6B38" w:rsidRDefault="00BD6B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4315" w14:textId="77777777" w:rsidR="007627BE" w:rsidRDefault="00505F46">
    <w:pPr>
      <w:pStyle w:val="Header"/>
    </w:pPr>
    <w:r>
      <w:rPr>
        <w:noProof/>
      </w:rPr>
      <w:pict w14:anchorId="5DEA24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79" o:spid="_x0000_s1052" type="#_x0000_t136" style="position:absolute;left:0;text-align:left;margin-left:0;margin-top:0;width:456.7pt;height:182.65pt;rotation:315;z-index:-251658239;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p w14:paraId="03095C2B" w14:textId="77777777" w:rsidR="007627BE" w:rsidRDefault="007627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78C9" w14:textId="530E18A5" w:rsidR="007627BE" w:rsidRDefault="00505F46" w:rsidP="000202F4">
    <w:pPr>
      <w:pStyle w:val="Header"/>
    </w:pPr>
    <w:r>
      <w:rPr>
        <w:i/>
        <w:iCs/>
        <w:noProof/>
      </w:rPr>
      <w:pict w14:anchorId="7A9818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0" o:spid="_x0000_s1053" type="#_x0000_t136" style="position:absolute;left:0;text-align:left;margin-left:0;margin-top:0;width:456.7pt;height:182.65pt;rotation:315;z-index:-25165823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7627BE" w:rsidRPr="00093FBE">
      <w:rPr>
        <w:i/>
        <w:iCs/>
        <w:noProof/>
      </w:rPr>
      <w:t>Stipiturus malachurus parimeda</w:t>
    </w:r>
    <w:r w:rsidR="007627BE">
      <w:t xml:space="preserve"> (Eyre Peninsula southern emu-wren) Conservation Advice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E9B1" w14:textId="77777777" w:rsidR="007627BE" w:rsidRDefault="00505F46" w:rsidP="00C37215">
    <w:pPr>
      <w:pStyle w:val="Header"/>
      <w:tabs>
        <w:tab w:val="clear" w:pos="4820"/>
        <w:tab w:val="left" w:pos="7992"/>
      </w:tabs>
      <w:jc w:val="left"/>
    </w:pPr>
    <w:r>
      <w:rPr>
        <w:noProof/>
      </w:rPr>
      <w:pict w14:anchorId="37EDF6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78" o:spid="_x0000_s1051" type="#_x0000_t136" style="position:absolute;margin-left:0;margin-top:0;width:456.7pt;height:182.6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7627BE">
      <w:rPr>
        <w:noProof/>
        <w:lang w:eastAsia="en-AU"/>
      </w:rPr>
      <w:drawing>
        <wp:inline distT="0" distB="0" distL="0" distR="0" wp14:anchorId="3F164B5D" wp14:editId="555617D5">
          <wp:extent cx="2417064" cy="725424"/>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F00B" w14:textId="77777777" w:rsidR="007627BE" w:rsidRDefault="00505F46">
    <w:pPr>
      <w:pStyle w:val="Header"/>
    </w:pPr>
    <w:r>
      <w:rPr>
        <w:noProof/>
      </w:rPr>
      <w:pict w14:anchorId="62DD39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2" o:spid="_x0000_s1055" type="#_x0000_t136" style="position:absolute;left:0;text-align:left;margin-left:0;margin-top:0;width:456.7pt;height:182.65pt;rotation:315;z-index:-25165823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5F4B1" w14:textId="12B3BA97" w:rsidR="007627BE" w:rsidRDefault="00505F46" w:rsidP="008E7C80">
    <w:pPr>
      <w:pStyle w:val="Header"/>
    </w:pPr>
    <w:r>
      <w:rPr>
        <w:i/>
        <w:iCs/>
        <w:noProof/>
      </w:rPr>
      <w:pict w14:anchorId="5BF56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3" o:spid="_x0000_s1056" type="#_x0000_t136" style="position:absolute;left:0;text-align:left;margin-left:0;margin-top:0;width:456.7pt;height:182.65pt;rotation:315;z-index:-251658235;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7627BE" w:rsidRPr="00882019">
      <w:rPr>
        <w:i/>
        <w:iCs/>
        <w:noProof/>
      </w:rPr>
      <w:t>Stipiturus malachurus parimeda</w:t>
    </w:r>
    <w:r w:rsidR="007627BE">
      <w:t xml:space="preserve"> (Eyre Peninsula southern emu-wren) Conservation Advice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EF42" w14:textId="77777777" w:rsidR="007627BE" w:rsidRPr="003E30FD" w:rsidRDefault="00505F46" w:rsidP="005208A6">
    <w:pPr>
      <w:pStyle w:val="Header"/>
      <w:rPr>
        <w:sz w:val="28"/>
        <w:szCs w:val="28"/>
        <w14:shadow w14:blurRad="50800" w14:dist="38100" w14:dir="2700000" w14:sx="100000" w14:sy="100000" w14:kx="0" w14:ky="0" w14:algn="tl">
          <w14:srgbClr w14:val="000000">
            <w14:alpha w14:val="60000"/>
          </w14:srgbClr>
        </w14:shadow>
      </w:rPr>
    </w:pPr>
    <w:r>
      <w:rPr>
        <w:noProof/>
      </w:rPr>
      <w:pict w14:anchorId="70FBF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1" o:spid="_x0000_s1054" type="#_x0000_t136" style="position:absolute;left:0;text-align:left;margin-left:0;margin-top:0;width:456.7pt;height:182.65pt;rotation:315;z-index:-251658237;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7627BE" w:rsidRPr="003E30FD">
      <w:rPr>
        <w:rStyle w:val="Emphasis"/>
        <w:i w:val="0"/>
        <w:iCs w:val="0"/>
        <w:sz w:val="28"/>
        <w:szCs w:val="28"/>
        <w:lang w:val="en-US"/>
        <w14:shadow w14:blurRad="50800" w14:dist="38100" w14:dir="2700000" w14:sx="100000" w14:sy="100000" w14:kx="0" w14:ky="0" w14:algn="tl">
          <w14:srgbClr w14:val="000000">
            <w14:alpha w14:val="60000"/>
          </w14:srgbClr>
        </w14:shadow>
      </w:rPr>
      <w:t>THREATENED SPECIES SCIENTIFIC COMMITTEE</w:t>
    </w:r>
  </w:p>
  <w:p w14:paraId="1209A6D9" w14:textId="77777777" w:rsidR="007627BE" w:rsidRPr="00D728A1" w:rsidRDefault="007627BE" w:rsidP="00D728A1">
    <w:pPr>
      <w:pStyle w:val="Header"/>
      <w:pBdr>
        <w:bottom w:val="single" w:sz="6" w:space="1" w:color="auto"/>
      </w:pBdr>
      <w:rPr>
        <w:rFonts w:asciiTheme="majorHAnsi" w:hAnsiTheme="majorHAnsi"/>
        <w:b/>
        <w:bCs/>
        <w:i/>
        <w:iCs/>
      </w:rPr>
    </w:pPr>
    <w:r w:rsidRPr="003E30FD">
      <w:rPr>
        <w:rFonts w:asciiTheme="majorHAnsi" w:hAnsiTheme="majorHAnsi"/>
        <w:b/>
        <w:bCs/>
      </w:rPr>
      <w:t xml:space="preserve">Established under the </w:t>
    </w:r>
    <w:r w:rsidRPr="003E30FD">
      <w:rPr>
        <w:rStyle w:val="Emphasis"/>
        <w:rFonts w:asciiTheme="majorHAnsi" w:hAnsiTheme="majorHAnsi"/>
        <w:b/>
        <w:bCs/>
      </w:rPr>
      <w:t>Environment Protection and Biodiversity Conservation Act 1999</w:t>
    </w:r>
  </w:p>
  <w:p w14:paraId="17528D94" w14:textId="77777777" w:rsidR="007627BE" w:rsidRDefault="007627BE" w:rsidP="00B66CC6">
    <w:pPr>
      <w:pStyle w:val="Header"/>
    </w:pPr>
    <w:r>
      <w:t xml:space="preserve">The Threatened Species Scientific Committee finalised this assessment on </w:t>
    </w:r>
    <w:r w:rsidRPr="00280857">
      <w:rPr>
        <w:highlight w:val="yellow"/>
      </w:rPr>
      <w:t>DD Month Year</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A6E08B2C"/>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3"/>
  </w:num>
  <w:num w:numId="3">
    <w:abstractNumId w:val="2"/>
  </w:num>
  <w:num w:numId="4">
    <w:abstractNumId w:val="6"/>
  </w:num>
  <w:num w:numId="5">
    <w:abstractNumId w:val="7"/>
  </w:num>
  <w:num w:numId="6">
    <w:abstractNumId w:val="1"/>
  </w:num>
  <w:num w:numId="7">
    <w:abstractNumId w:val="0"/>
  </w:num>
  <w:num w:numId="8">
    <w:abstractNumId w:val="4"/>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D1F"/>
    <w:rsid w:val="000011D8"/>
    <w:rsid w:val="000057F8"/>
    <w:rsid w:val="000075C7"/>
    <w:rsid w:val="00010D07"/>
    <w:rsid w:val="00010EBA"/>
    <w:rsid w:val="0001339B"/>
    <w:rsid w:val="000202C3"/>
    <w:rsid w:val="000202F4"/>
    <w:rsid w:val="000213FD"/>
    <w:rsid w:val="0002419A"/>
    <w:rsid w:val="00024AB0"/>
    <w:rsid w:val="00025619"/>
    <w:rsid w:val="00025662"/>
    <w:rsid w:val="00026E9E"/>
    <w:rsid w:val="00031C7E"/>
    <w:rsid w:val="00033701"/>
    <w:rsid w:val="000341E0"/>
    <w:rsid w:val="00035832"/>
    <w:rsid w:val="00041499"/>
    <w:rsid w:val="00042969"/>
    <w:rsid w:val="0004550E"/>
    <w:rsid w:val="00045988"/>
    <w:rsid w:val="00047E26"/>
    <w:rsid w:val="0005314C"/>
    <w:rsid w:val="00053DAF"/>
    <w:rsid w:val="00054647"/>
    <w:rsid w:val="00054A0F"/>
    <w:rsid w:val="00054D05"/>
    <w:rsid w:val="0005547A"/>
    <w:rsid w:val="000554EA"/>
    <w:rsid w:val="00055AFD"/>
    <w:rsid w:val="00055B18"/>
    <w:rsid w:val="000574EB"/>
    <w:rsid w:val="00061B82"/>
    <w:rsid w:val="00062D1B"/>
    <w:rsid w:val="00063C71"/>
    <w:rsid w:val="00063E78"/>
    <w:rsid w:val="00065F4B"/>
    <w:rsid w:val="00065FFC"/>
    <w:rsid w:val="00067491"/>
    <w:rsid w:val="00067750"/>
    <w:rsid w:val="00070AF5"/>
    <w:rsid w:val="00071129"/>
    <w:rsid w:val="0007233A"/>
    <w:rsid w:val="00073AFA"/>
    <w:rsid w:val="00073C60"/>
    <w:rsid w:val="00074648"/>
    <w:rsid w:val="00074906"/>
    <w:rsid w:val="0008070D"/>
    <w:rsid w:val="00080B73"/>
    <w:rsid w:val="00081980"/>
    <w:rsid w:val="000820AF"/>
    <w:rsid w:val="00082347"/>
    <w:rsid w:val="00082848"/>
    <w:rsid w:val="00082BAA"/>
    <w:rsid w:val="000835A0"/>
    <w:rsid w:val="00085069"/>
    <w:rsid w:val="0008655C"/>
    <w:rsid w:val="0008666A"/>
    <w:rsid w:val="00086EF5"/>
    <w:rsid w:val="00093FBE"/>
    <w:rsid w:val="00094C09"/>
    <w:rsid w:val="00094DF5"/>
    <w:rsid w:val="00094F22"/>
    <w:rsid w:val="000959C5"/>
    <w:rsid w:val="0009615B"/>
    <w:rsid w:val="0009653F"/>
    <w:rsid w:val="000973D6"/>
    <w:rsid w:val="00097670"/>
    <w:rsid w:val="00097CC5"/>
    <w:rsid w:val="000A1A19"/>
    <w:rsid w:val="000A23B6"/>
    <w:rsid w:val="000A4134"/>
    <w:rsid w:val="000A4CEB"/>
    <w:rsid w:val="000A5C2B"/>
    <w:rsid w:val="000A6133"/>
    <w:rsid w:val="000A722E"/>
    <w:rsid w:val="000A784D"/>
    <w:rsid w:val="000A79AA"/>
    <w:rsid w:val="000B0257"/>
    <w:rsid w:val="000B3251"/>
    <w:rsid w:val="000B5B8A"/>
    <w:rsid w:val="000B5E97"/>
    <w:rsid w:val="000B6AA6"/>
    <w:rsid w:val="000B6DB0"/>
    <w:rsid w:val="000B6F31"/>
    <w:rsid w:val="000B7CE7"/>
    <w:rsid w:val="000B7E09"/>
    <w:rsid w:val="000C1AC9"/>
    <w:rsid w:val="000C55A6"/>
    <w:rsid w:val="000C7740"/>
    <w:rsid w:val="000D1830"/>
    <w:rsid w:val="000D51F3"/>
    <w:rsid w:val="000D55BC"/>
    <w:rsid w:val="000D738D"/>
    <w:rsid w:val="000D7FAF"/>
    <w:rsid w:val="000E0080"/>
    <w:rsid w:val="000E0BF4"/>
    <w:rsid w:val="000E1F1B"/>
    <w:rsid w:val="000E2A5F"/>
    <w:rsid w:val="000E2AE4"/>
    <w:rsid w:val="000E630E"/>
    <w:rsid w:val="000E690C"/>
    <w:rsid w:val="000E699F"/>
    <w:rsid w:val="000E7FEC"/>
    <w:rsid w:val="000F018A"/>
    <w:rsid w:val="000F194B"/>
    <w:rsid w:val="000F2109"/>
    <w:rsid w:val="000F2604"/>
    <w:rsid w:val="000F30DC"/>
    <w:rsid w:val="000F3D21"/>
    <w:rsid w:val="000F615D"/>
    <w:rsid w:val="000F6A54"/>
    <w:rsid w:val="000F6D5A"/>
    <w:rsid w:val="000F78FF"/>
    <w:rsid w:val="00102FDA"/>
    <w:rsid w:val="00103A46"/>
    <w:rsid w:val="00104289"/>
    <w:rsid w:val="0010557C"/>
    <w:rsid w:val="00105970"/>
    <w:rsid w:val="00106A74"/>
    <w:rsid w:val="001108F1"/>
    <w:rsid w:val="001112AB"/>
    <w:rsid w:val="0011271F"/>
    <w:rsid w:val="001133BF"/>
    <w:rsid w:val="00114207"/>
    <w:rsid w:val="0011667C"/>
    <w:rsid w:val="00117646"/>
    <w:rsid w:val="001200FA"/>
    <w:rsid w:val="00120CED"/>
    <w:rsid w:val="001215C4"/>
    <w:rsid w:val="001242D4"/>
    <w:rsid w:val="0012461E"/>
    <w:rsid w:val="00125894"/>
    <w:rsid w:val="00127671"/>
    <w:rsid w:val="00130A0B"/>
    <w:rsid w:val="00131032"/>
    <w:rsid w:val="00133292"/>
    <w:rsid w:val="00133674"/>
    <w:rsid w:val="001340CF"/>
    <w:rsid w:val="00134419"/>
    <w:rsid w:val="00134B26"/>
    <w:rsid w:val="001354D0"/>
    <w:rsid w:val="001376F1"/>
    <w:rsid w:val="00137F5A"/>
    <w:rsid w:val="00140B2A"/>
    <w:rsid w:val="00145862"/>
    <w:rsid w:val="00145DB1"/>
    <w:rsid w:val="00150297"/>
    <w:rsid w:val="001524E0"/>
    <w:rsid w:val="0015397A"/>
    <w:rsid w:val="00154AAD"/>
    <w:rsid w:val="00154B5B"/>
    <w:rsid w:val="00155BA9"/>
    <w:rsid w:val="001573B8"/>
    <w:rsid w:val="0016077B"/>
    <w:rsid w:val="001607C7"/>
    <w:rsid w:val="0016081E"/>
    <w:rsid w:val="00160F9B"/>
    <w:rsid w:val="001617A0"/>
    <w:rsid w:val="00161E8C"/>
    <w:rsid w:val="00162E0C"/>
    <w:rsid w:val="00162F94"/>
    <w:rsid w:val="001633F4"/>
    <w:rsid w:val="00165364"/>
    <w:rsid w:val="001653B0"/>
    <w:rsid w:val="00166185"/>
    <w:rsid w:val="00167E9E"/>
    <w:rsid w:val="00170795"/>
    <w:rsid w:val="00172CCD"/>
    <w:rsid w:val="00172CFB"/>
    <w:rsid w:val="001739A8"/>
    <w:rsid w:val="001739B2"/>
    <w:rsid w:val="001743F6"/>
    <w:rsid w:val="00175371"/>
    <w:rsid w:val="00177744"/>
    <w:rsid w:val="0017795A"/>
    <w:rsid w:val="00180329"/>
    <w:rsid w:val="0018058D"/>
    <w:rsid w:val="001812D5"/>
    <w:rsid w:val="00181D18"/>
    <w:rsid w:val="00183CF3"/>
    <w:rsid w:val="0018518A"/>
    <w:rsid w:val="00186635"/>
    <w:rsid w:val="00186F4D"/>
    <w:rsid w:val="00187302"/>
    <w:rsid w:val="0019025D"/>
    <w:rsid w:val="00190E81"/>
    <w:rsid w:val="0019598A"/>
    <w:rsid w:val="00195D65"/>
    <w:rsid w:val="00197D76"/>
    <w:rsid w:val="001A0B0D"/>
    <w:rsid w:val="001A0FF1"/>
    <w:rsid w:val="001A1C6D"/>
    <w:rsid w:val="001A2D13"/>
    <w:rsid w:val="001A3C77"/>
    <w:rsid w:val="001B00AE"/>
    <w:rsid w:val="001B06CC"/>
    <w:rsid w:val="001B077B"/>
    <w:rsid w:val="001B0D22"/>
    <w:rsid w:val="001B19FD"/>
    <w:rsid w:val="001B1E10"/>
    <w:rsid w:val="001B2BE2"/>
    <w:rsid w:val="001B34E8"/>
    <w:rsid w:val="001B441B"/>
    <w:rsid w:val="001B49E6"/>
    <w:rsid w:val="001B4DE9"/>
    <w:rsid w:val="001B55AE"/>
    <w:rsid w:val="001B6655"/>
    <w:rsid w:val="001B729C"/>
    <w:rsid w:val="001C0493"/>
    <w:rsid w:val="001C11FC"/>
    <w:rsid w:val="001C2426"/>
    <w:rsid w:val="001C31E1"/>
    <w:rsid w:val="001C3F42"/>
    <w:rsid w:val="001C5433"/>
    <w:rsid w:val="001C5A5C"/>
    <w:rsid w:val="001C7289"/>
    <w:rsid w:val="001C7420"/>
    <w:rsid w:val="001D1051"/>
    <w:rsid w:val="001D3F9B"/>
    <w:rsid w:val="001D4C16"/>
    <w:rsid w:val="001D597F"/>
    <w:rsid w:val="001D5F69"/>
    <w:rsid w:val="001D736F"/>
    <w:rsid w:val="001E15A5"/>
    <w:rsid w:val="001E17D5"/>
    <w:rsid w:val="001E3289"/>
    <w:rsid w:val="001E4547"/>
    <w:rsid w:val="001E4765"/>
    <w:rsid w:val="001E4A27"/>
    <w:rsid w:val="001E5131"/>
    <w:rsid w:val="001E62ED"/>
    <w:rsid w:val="001E68C4"/>
    <w:rsid w:val="001E7962"/>
    <w:rsid w:val="001E7B0E"/>
    <w:rsid w:val="001E7C8D"/>
    <w:rsid w:val="001F1C51"/>
    <w:rsid w:val="001F23EC"/>
    <w:rsid w:val="001F462D"/>
    <w:rsid w:val="001F4ACF"/>
    <w:rsid w:val="001F5E3A"/>
    <w:rsid w:val="00200175"/>
    <w:rsid w:val="00202562"/>
    <w:rsid w:val="00203D2C"/>
    <w:rsid w:val="002048C1"/>
    <w:rsid w:val="002056AD"/>
    <w:rsid w:val="002119E4"/>
    <w:rsid w:val="0021433D"/>
    <w:rsid w:val="00216BA8"/>
    <w:rsid w:val="00221209"/>
    <w:rsid w:val="0022142B"/>
    <w:rsid w:val="00223138"/>
    <w:rsid w:val="00224FD1"/>
    <w:rsid w:val="002261AF"/>
    <w:rsid w:val="00226321"/>
    <w:rsid w:val="00226B3A"/>
    <w:rsid w:val="0023010D"/>
    <w:rsid w:val="002302CF"/>
    <w:rsid w:val="002317EC"/>
    <w:rsid w:val="002319AB"/>
    <w:rsid w:val="00232782"/>
    <w:rsid w:val="00232977"/>
    <w:rsid w:val="00236795"/>
    <w:rsid w:val="00237FDF"/>
    <w:rsid w:val="00240AD2"/>
    <w:rsid w:val="00243014"/>
    <w:rsid w:val="0024487C"/>
    <w:rsid w:val="0024549B"/>
    <w:rsid w:val="00245B85"/>
    <w:rsid w:val="0024624D"/>
    <w:rsid w:val="00247149"/>
    <w:rsid w:val="0025071D"/>
    <w:rsid w:val="00250BF4"/>
    <w:rsid w:val="00250C8C"/>
    <w:rsid w:val="00251F5A"/>
    <w:rsid w:val="00252237"/>
    <w:rsid w:val="00252454"/>
    <w:rsid w:val="002526DD"/>
    <w:rsid w:val="00252F41"/>
    <w:rsid w:val="002535E1"/>
    <w:rsid w:val="00254759"/>
    <w:rsid w:val="00256423"/>
    <w:rsid w:val="00256A28"/>
    <w:rsid w:val="002576BB"/>
    <w:rsid w:val="00262290"/>
    <w:rsid w:val="002626C8"/>
    <w:rsid w:val="00263917"/>
    <w:rsid w:val="002667C7"/>
    <w:rsid w:val="00266DC5"/>
    <w:rsid w:val="0027325E"/>
    <w:rsid w:val="00274B8A"/>
    <w:rsid w:val="0027576A"/>
    <w:rsid w:val="00276E5C"/>
    <w:rsid w:val="002802A2"/>
    <w:rsid w:val="002803B8"/>
    <w:rsid w:val="00280575"/>
    <w:rsid w:val="00280857"/>
    <w:rsid w:val="0028144F"/>
    <w:rsid w:val="0028148E"/>
    <w:rsid w:val="00282E02"/>
    <w:rsid w:val="00284E69"/>
    <w:rsid w:val="002850F1"/>
    <w:rsid w:val="0028601D"/>
    <w:rsid w:val="00286746"/>
    <w:rsid w:val="00286E84"/>
    <w:rsid w:val="002906BC"/>
    <w:rsid w:val="00291107"/>
    <w:rsid w:val="0029211B"/>
    <w:rsid w:val="00292F01"/>
    <w:rsid w:val="002934D8"/>
    <w:rsid w:val="0029531A"/>
    <w:rsid w:val="00296C46"/>
    <w:rsid w:val="00297049"/>
    <w:rsid w:val="002970BE"/>
    <w:rsid w:val="002970CF"/>
    <w:rsid w:val="0029756F"/>
    <w:rsid w:val="002A0B5E"/>
    <w:rsid w:val="002A153D"/>
    <w:rsid w:val="002A1752"/>
    <w:rsid w:val="002A3B07"/>
    <w:rsid w:val="002A4C30"/>
    <w:rsid w:val="002A6650"/>
    <w:rsid w:val="002A6BDE"/>
    <w:rsid w:val="002A7652"/>
    <w:rsid w:val="002A77C4"/>
    <w:rsid w:val="002B01EE"/>
    <w:rsid w:val="002B134C"/>
    <w:rsid w:val="002B144C"/>
    <w:rsid w:val="002B1F3E"/>
    <w:rsid w:val="002B30B1"/>
    <w:rsid w:val="002B44B0"/>
    <w:rsid w:val="002B45D2"/>
    <w:rsid w:val="002B69E4"/>
    <w:rsid w:val="002B6A3F"/>
    <w:rsid w:val="002B76C9"/>
    <w:rsid w:val="002C0AD0"/>
    <w:rsid w:val="002C1E59"/>
    <w:rsid w:val="002C309A"/>
    <w:rsid w:val="002C5653"/>
    <w:rsid w:val="002C6628"/>
    <w:rsid w:val="002C6701"/>
    <w:rsid w:val="002C7D08"/>
    <w:rsid w:val="002D05A8"/>
    <w:rsid w:val="002D08DA"/>
    <w:rsid w:val="002D12E1"/>
    <w:rsid w:val="002D1728"/>
    <w:rsid w:val="002D1A05"/>
    <w:rsid w:val="002D3D25"/>
    <w:rsid w:val="002D4691"/>
    <w:rsid w:val="002D4C43"/>
    <w:rsid w:val="002D4D15"/>
    <w:rsid w:val="002E0B47"/>
    <w:rsid w:val="002E1FFC"/>
    <w:rsid w:val="002E2A02"/>
    <w:rsid w:val="002E2D56"/>
    <w:rsid w:val="002E31FA"/>
    <w:rsid w:val="002E32CA"/>
    <w:rsid w:val="002E34B7"/>
    <w:rsid w:val="002E4CEB"/>
    <w:rsid w:val="002E5E92"/>
    <w:rsid w:val="002E6173"/>
    <w:rsid w:val="002F1FEC"/>
    <w:rsid w:val="002F232F"/>
    <w:rsid w:val="002F34D8"/>
    <w:rsid w:val="002F3AEA"/>
    <w:rsid w:val="002F4DAD"/>
    <w:rsid w:val="003045A0"/>
    <w:rsid w:val="00310AE6"/>
    <w:rsid w:val="003113EE"/>
    <w:rsid w:val="003139EE"/>
    <w:rsid w:val="003169DD"/>
    <w:rsid w:val="00320BB1"/>
    <w:rsid w:val="00320F4A"/>
    <w:rsid w:val="00322655"/>
    <w:rsid w:val="00323922"/>
    <w:rsid w:val="0033112A"/>
    <w:rsid w:val="00331807"/>
    <w:rsid w:val="00331FC5"/>
    <w:rsid w:val="00334270"/>
    <w:rsid w:val="003362C7"/>
    <w:rsid w:val="00337360"/>
    <w:rsid w:val="003415D9"/>
    <w:rsid w:val="00341EFC"/>
    <w:rsid w:val="003437D5"/>
    <w:rsid w:val="003445EF"/>
    <w:rsid w:val="00344617"/>
    <w:rsid w:val="003446FC"/>
    <w:rsid w:val="0034543F"/>
    <w:rsid w:val="00346541"/>
    <w:rsid w:val="003470DA"/>
    <w:rsid w:val="00347206"/>
    <w:rsid w:val="00351E68"/>
    <w:rsid w:val="00352551"/>
    <w:rsid w:val="0035341C"/>
    <w:rsid w:val="00353E3E"/>
    <w:rsid w:val="003558BA"/>
    <w:rsid w:val="003559DB"/>
    <w:rsid w:val="00355F1B"/>
    <w:rsid w:val="0035634E"/>
    <w:rsid w:val="00356A2D"/>
    <w:rsid w:val="003607B9"/>
    <w:rsid w:val="00360ACE"/>
    <w:rsid w:val="00362EC3"/>
    <w:rsid w:val="0036534A"/>
    <w:rsid w:val="00366E35"/>
    <w:rsid w:val="0037602E"/>
    <w:rsid w:val="00380066"/>
    <w:rsid w:val="00382572"/>
    <w:rsid w:val="003833F4"/>
    <w:rsid w:val="0038356D"/>
    <w:rsid w:val="003844EE"/>
    <w:rsid w:val="00385C15"/>
    <w:rsid w:val="00385D78"/>
    <w:rsid w:val="00387E7C"/>
    <w:rsid w:val="00390815"/>
    <w:rsid w:val="0039336C"/>
    <w:rsid w:val="00393CDD"/>
    <w:rsid w:val="003941B0"/>
    <w:rsid w:val="00394AB6"/>
    <w:rsid w:val="00395953"/>
    <w:rsid w:val="00395CFA"/>
    <w:rsid w:val="00397810"/>
    <w:rsid w:val="003A06CA"/>
    <w:rsid w:val="003A1946"/>
    <w:rsid w:val="003A380C"/>
    <w:rsid w:val="003A4214"/>
    <w:rsid w:val="003A4E87"/>
    <w:rsid w:val="003A58C3"/>
    <w:rsid w:val="003A6771"/>
    <w:rsid w:val="003A7E69"/>
    <w:rsid w:val="003B0379"/>
    <w:rsid w:val="003B2A51"/>
    <w:rsid w:val="003B309E"/>
    <w:rsid w:val="003B7E7C"/>
    <w:rsid w:val="003C002D"/>
    <w:rsid w:val="003C08D5"/>
    <w:rsid w:val="003C3134"/>
    <w:rsid w:val="003C5034"/>
    <w:rsid w:val="003C5139"/>
    <w:rsid w:val="003C7B5E"/>
    <w:rsid w:val="003D026A"/>
    <w:rsid w:val="003D1566"/>
    <w:rsid w:val="003D2644"/>
    <w:rsid w:val="003D7DD2"/>
    <w:rsid w:val="003E1291"/>
    <w:rsid w:val="003E2F1F"/>
    <w:rsid w:val="003E30FD"/>
    <w:rsid w:val="003E5E90"/>
    <w:rsid w:val="003E6102"/>
    <w:rsid w:val="003E77D1"/>
    <w:rsid w:val="003F22EA"/>
    <w:rsid w:val="003F32F5"/>
    <w:rsid w:val="003F4946"/>
    <w:rsid w:val="003F5104"/>
    <w:rsid w:val="003F60E2"/>
    <w:rsid w:val="003F6EE8"/>
    <w:rsid w:val="003F7087"/>
    <w:rsid w:val="003F78E6"/>
    <w:rsid w:val="0040031A"/>
    <w:rsid w:val="00400461"/>
    <w:rsid w:val="00400494"/>
    <w:rsid w:val="004010F4"/>
    <w:rsid w:val="00402054"/>
    <w:rsid w:val="0040258A"/>
    <w:rsid w:val="00403BD2"/>
    <w:rsid w:val="004050C0"/>
    <w:rsid w:val="0041189A"/>
    <w:rsid w:val="00412830"/>
    <w:rsid w:val="004129AD"/>
    <w:rsid w:val="00412E80"/>
    <w:rsid w:val="00413809"/>
    <w:rsid w:val="00415563"/>
    <w:rsid w:val="00420E21"/>
    <w:rsid w:val="004218F0"/>
    <w:rsid w:val="00421E71"/>
    <w:rsid w:val="00421FA6"/>
    <w:rsid w:val="004233F7"/>
    <w:rsid w:val="004236E0"/>
    <w:rsid w:val="00423EBB"/>
    <w:rsid w:val="004247E0"/>
    <w:rsid w:val="004260B5"/>
    <w:rsid w:val="00426F9D"/>
    <w:rsid w:val="0043286F"/>
    <w:rsid w:val="00432BB0"/>
    <w:rsid w:val="0043513C"/>
    <w:rsid w:val="00435DB8"/>
    <w:rsid w:val="00437E66"/>
    <w:rsid w:val="00440C79"/>
    <w:rsid w:val="0044196E"/>
    <w:rsid w:val="0044391F"/>
    <w:rsid w:val="00444AD8"/>
    <w:rsid w:val="00447BF4"/>
    <w:rsid w:val="00450517"/>
    <w:rsid w:val="00451810"/>
    <w:rsid w:val="0045750C"/>
    <w:rsid w:val="00460C44"/>
    <w:rsid w:val="00460D54"/>
    <w:rsid w:val="0046168A"/>
    <w:rsid w:val="004645A7"/>
    <w:rsid w:val="004676CA"/>
    <w:rsid w:val="004709B0"/>
    <w:rsid w:val="00471A3E"/>
    <w:rsid w:val="00472118"/>
    <w:rsid w:val="00473104"/>
    <w:rsid w:val="004737B3"/>
    <w:rsid w:val="00473DF9"/>
    <w:rsid w:val="00475FF3"/>
    <w:rsid w:val="00476948"/>
    <w:rsid w:val="00480C78"/>
    <w:rsid w:val="00481223"/>
    <w:rsid w:val="00482558"/>
    <w:rsid w:val="004862B0"/>
    <w:rsid w:val="004864A6"/>
    <w:rsid w:val="00486C20"/>
    <w:rsid w:val="0049173B"/>
    <w:rsid w:val="00491849"/>
    <w:rsid w:val="00492C3D"/>
    <w:rsid w:val="0049477E"/>
    <w:rsid w:val="00497B40"/>
    <w:rsid w:val="004A2AD6"/>
    <w:rsid w:val="004A3350"/>
    <w:rsid w:val="004A5639"/>
    <w:rsid w:val="004B06F9"/>
    <w:rsid w:val="004B0EDF"/>
    <w:rsid w:val="004B1469"/>
    <w:rsid w:val="004B38BC"/>
    <w:rsid w:val="004B48E0"/>
    <w:rsid w:val="004B4A69"/>
    <w:rsid w:val="004B50F9"/>
    <w:rsid w:val="004B7941"/>
    <w:rsid w:val="004C14D0"/>
    <w:rsid w:val="004C3033"/>
    <w:rsid w:val="004C4253"/>
    <w:rsid w:val="004C49CE"/>
    <w:rsid w:val="004C58BA"/>
    <w:rsid w:val="004C6539"/>
    <w:rsid w:val="004C6D5B"/>
    <w:rsid w:val="004C77BF"/>
    <w:rsid w:val="004C7F78"/>
    <w:rsid w:val="004D0D1F"/>
    <w:rsid w:val="004D2790"/>
    <w:rsid w:val="004D2E53"/>
    <w:rsid w:val="004D331B"/>
    <w:rsid w:val="004D48AF"/>
    <w:rsid w:val="004D4959"/>
    <w:rsid w:val="004D52FA"/>
    <w:rsid w:val="004D543C"/>
    <w:rsid w:val="004D61C9"/>
    <w:rsid w:val="004E0136"/>
    <w:rsid w:val="004E24B1"/>
    <w:rsid w:val="004E60AB"/>
    <w:rsid w:val="004E7AAB"/>
    <w:rsid w:val="004F32AB"/>
    <w:rsid w:val="004F412F"/>
    <w:rsid w:val="004F5120"/>
    <w:rsid w:val="004F5429"/>
    <w:rsid w:val="004F68EC"/>
    <w:rsid w:val="0050021A"/>
    <w:rsid w:val="0050079E"/>
    <w:rsid w:val="00501322"/>
    <w:rsid w:val="00501D99"/>
    <w:rsid w:val="00501E34"/>
    <w:rsid w:val="00502045"/>
    <w:rsid w:val="005033A2"/>
    <w:rsid w:val="0050438E"/>
    <w:rsid w:val="00504740"/>
    <w:rsid w:val="00504D55"/>
    <w:rsid w:val="00504E67"/>
    <w:rsid w:val="0050535B"/>
    <w:rsid w:val="0050545D"/>
    <w:rsid w:val="005059FD"/>
    <w:rsid w:val="00505DED"/>
    <w:rsid w:val="00505F46"/>
    <w:rsid w:val="00506274"/>
    <w:rsid w:val="00506665"/>
    <w:rsid w:val="005076AA"/>
    <w:rsid w:val="00507B80"/>
    <w:rsid w:val="00510CEA"/>
    <w:rsid w:val="005110B8"/>
    <w:rsid w:val="005118D3"/>
    <w:rsid w:val="0051202F"/>
    <w:rsid w:val="00513053"/>
    <w:rsid w:val="00514409"/>
    <w:rsid w:val="00514A37"/>
    <w:rsid w:val="00514F1E"/>
    <w:rsid w:val="0051701F"/>
    <w:rsid w:val="005171E6"/>
    <w:rsid w:val="005206AB"/>
    <w:rsid w:val="005208A6"/>
    <w:rsid w:val="005219AD"/>
    <w:rsid w:val="00523F06"/>
    <w:rsid w:val="00525E8C"/>
    <w:rsid w:val="00526530"/>
    <w:rsid w:val="005267A8"/>
    <w:rsid w:val="005277E5"/>
    <w:rsid w:val="005306BA"/>
    <w:rsid w:val="005329D7"/>
    <w:rsid w:val="00533CD5"/>
    <w:rsid w:val="00537AC6"/>
    <w:rsid w:val="0054151D"/>
    <w:rsid w:val="00544DA1"/>
    <w:rsid w:val="0054559E"/>
    <w:rsid w:val="005470BE"/>
    <w:rsid w:val="00550245"/>
    <w:rsid w:val="0055033C"/>
    <w:rsid w:val="00552885"/>
    <w:rsid w:val="00556207"/>
    <w:rsid w:val="005568E4"/>
    <w:rsid w:val="00561CE5"/>
    <w:rsid w:val="005633B0"/>
    <w:rsid w:val="0056348C"/>
    <w:rsid w:val="00563809"/>
    <w:rsid w:val="00563950"/>
    <w:rsid w:val="0056572C"/>
    <w:rsid w:val="005659FA"/>
    <w:rsid w:val="00565F5A"/>
    <w:rsid w:val="00571190"/>
    <w:rsid w:val="005729AE"/>
    <w:rsid w:val="0057318F"/>
    <w:rsid w:val="0057341F"/>
    <w:rsid w:val="00573AA8"/>
    <w:rsid w:val="00573B2C"/>
    <w:rsid w:val="00574063"/>
    <w:rsid w:val="00575210"/>
    <w:rsid w:val="00576A09"/>
    <w:rsid w:val="00576A5D"/>
    <w:rsid w:val="005775D1"/>
    <w:rsid w:val="0058168E"/>
    <w:rsid w:val="0058583E"/>
    <w:rsid w:val="00586D71"/>
    <w:rsid w:val="0058742B"/>
    <w:rsid w:val="00590E2A"/>
    <w:rsid w:val="00593F36"/>
    <w:rsid w:val="005960E3"/>
    <w:rsid w:val="00596283"/>
    <w:rsid w:val="0059777E"/>
    <w:rsid w:val="00597D1B"/>
    <w:rsid w:val="005A02CB"/>
    <w:rsid w:val="005A2CD3"/>
    <w:rsid w:val="005A3DAB"/>
    <w:rsid w:val="005A4BB6"/>
    <w:rsid w:val="005A4DF6"/>
    <w:rsid w:val="005A5154"/>
    <w:rsid w:val="005A77FF"/>
    <w:rsid w:val="005B051B"/>
    <w:rsid w:val="005B2DA0"/>
    <w:rsid w:val="005B3BB7"/>
    <w:rsid w:val="005B3D88"/>
    <w:rsid w:val="005B5CEE"/>
    <w:rsid w:val="005C125F"/>
    <w:rsid w:val="005C3A5B"/>
    <w:rsid w:val="005C4878"/>
    <w:rsid w:val="005C61D5"/>
    <w:rsid w:val="005C6DAA"/>
    <w:rsid w:val="005D094E"/>
    <w:rsid w:val="005D0B73"/>
    <w:rsid w:val="005D1487"/>
    <w:rsid w:val="005D2006"/>
    <w:rsid w:val="005D22D0"/>
    <w:rsid w:val="005D2CE0"/>
    <w:rsid w:val="005D3AAC"/>
    <w:rsid w:val="005D3BD5"/>
    <w:rsid w:val="005D452F"/>
    <w:rsid w:val="005D5124"/>
    <w:rsid w:val="005D7F8D"/>
    <w:rsid w:val="005E07DA"/>
    <w:rsid w:val="005E4AF2"/>
    <w:rsid w:val="005E59A4"/>
    <w:rsid w:val="005E69E9"/>
    <w:rsid w:val="005E72DF"/>
    <w:rsid w:val="005F0505"/>
    <w:rsid w:val="005F0E4D"/>
    <w:rsid w:val="005F23CA"/>
    <w:rsid w:val="005F376D"/>
    <w:rsid w:val="005F3E72"/>
    <w:rsid w:val="005F483E"/>
    <w:rsid w:val="005F7FB7"/>
    <w:rsid w:val="00600FAF"/>
    <w:rsid w:val="00601FF6"/>
    <w:rsid w:val="00605A86"/>
    <w:rsid w:val="00605BF7"/>
    <w:rsid w:val="00607399"/>
    <w:rsid w:val="006075E9"/>
    <w:rsid w:val="006107BC"/>
    <w:rsid w:val="00610C7F"/>
    <w:rsid w:val="0061160F"/>
    <w:rsid w:val="00611FAC"/>
    <w:rsid w:val="00612247"/>
    <w:rsid w:val="0061241B"/>
    <w:rsid w:val="006129B6"/>
    <w:rsid w:val="00612AA8"/>
    <w:rsid w:val="0061331F"/>
    <w:rsid w:val="006134A7"/>
    <w:rsid w:val="006137FD"/>
    <w:rsid w:val="00613A6D"/>
    <w:rsid w:val="0061515E"/>
    <w:rsid w:val="006157FE"/>
    <w:rsid w:val="006167EE"/>
    <w:rsid w:val="00617B40"/>
    <w:rsid w:val="006200E7"/>
    <w:rsid w:val="00621BCA"/>
    <w:rsid w:val="00622A3D"/>
    <w:rsid w:val="00622BCB"/>
    <w:rsid w:val="00622D0D"/>
    <w:rsid w:val="006245FC"/>
    <w:rsid w:val="00624A10"/>
    <w:rsid w:val="00625A55"/>
    <w:rsid w:val="00626047"/>
    <w:rsid w:val="0063108E"/>
    <w:rsid w:val="00632B44"/>
    <w:rsid w:val="0063546A"/>
    <w:rsid w:val="00635A77"/>
    <w:rsid w:val="00642B93"/>
    <w:rsid w:val="00643D03"/>
    <w:rsid w:val="00643EE8"/>
    <w:rsid w:val="0064551D"/>
    <w:rsid w:val="006505A3"/>
    <w:rsid w:val="0065073D"/>
    <w:rsid w:val="006512C3"/>
    <w:rsid w:val="00651548"/>
    <w:rsid w:val="00651F93"/>
    <w:rsid w:val="00652A21"/>
    <w:rsid w:val="00655AF5"/>
    <w:rsid w:val="00655BD3"/>
    <w:rsid w:val="00656FD5"/>
    <w:rsid w:val="0065795A"/>
    <w:rsid w:val="00657F63"/>
    <w:rsid w:val="006604F0"/>
    <w:rsid w:val="0066106F"/>
    <w:rsid w:val="00661CF1"/>
    <w:rsid w:val="00661E0F"/>
    <w:rsid w:val="0066221C"/>
    <w:rsid w:val="00663987"/>
    <w:rsid w:val="00663AE3"/>
    <w:rsid w:val="006673D6"/>
    <w:rsid w:val="0066757B"/>
    <w:rsid w:val="0066E6FB"/>
    <w:rsid w:val="00673E94"/>
    <w:rsid w:val="00673FE1"/>
    <w:rsid w:val="00676288"/>
    <w:rsid w:val="00677456"/>
    <w:rsid w:val="006801EA"/>
    <w:rsid w:val="006807B3"/>
    <w:rsid w:val="00683895"/>
    <w:rsid w:val="00683B26"/>
    <w:rsid w:val="00685944"/>
    <w:rsid w:val="00691A32"/>
    <w:rsid w:val="00691AC8"/>
    <w:rsid w:val="00695715"/>
    <w:rsid w:val="00695903"/>
    <w:rsid w:val="00695BF3"/>
    <w:rsid w:val="006974EF"/>
    <w:rsid w:val="006975EE"/>
    <w:rsid w:val="00697B8B"/>
    <w:rsid w:val="00697EA2"/>
    <w:rsid w:val="006A0F0C"/>
    <w:rsid w:val="006A2841"/>
    <w:rsid w:val="006A5604"/>
    <w:rsid w:val="006A5F1F"/>
    <w:rsid w:val="006A6526"/>
    <w:rsid w:val="006A7709"/>
    <w:rsid w:val="006A78FE"/>
    <w:rsid w:val="006A7AEA"/>
    <w:rsid w:val="006B6B55"/>
    <w:rsid w:val="006B7ED8"/>
    <w:rsid w:val="006C07A3"/>
    <w:rsid w:val="006C225D"/>
    <w:rsid w:val="006C480C"/>
    <w:rsid w:val="006C5497"/>
    <w:rsid w:val="006C5AE4"/>
    <w:rsid w:val="006C5DF7"/>
    <w:rsid w:val="006C7342"/>
    <w:rsid w:val="006D0068"/>
    <w:rsid w:val="006D02B3"/>
    <w:rsid w:val="006D1E3B"/>
    <w:rsid w:val="006D1F52"/>
    <w:rsid w:val="006D3581"/>
    <w:rsid w:val="006D384D"/>
    <w:rsid w:val="006D3CD9"/>
    <w:rsid w:val="006D4F81"/>
    <w:rsid w:val="006D6A32"/>
    <w:rsid w:val="006D6C77"/>
    <w:rsid w:val="006D6D41"/>
    <w:rsid w:val="006D779F"/>
    <w:rsid w:val="006D7D03"/>
    <w:rsid w:val="006E04A7"/>
    <w:rsid w:val="006E3429"/>
    <w:rsid w:val="006E3AB2"/>
    <w:rsid w:val="006E5CC3"/>
    <w:rsid w:val="006E6507"/>
    <w:rsid w:val="006E7B8E"/>
    <w:rsid w:val="006F0813"/>
    <w:rsid w:val="006F18A6"/>
    <w:rsid w:val="006F1D0B"/>
    <w:rsid w:val="006F34F8"/>
    <w:rsid w:val="006F3762"/>
    <w:rsid w:val="006F4AC3"/>
    <w:rsid w:val="006F6134"/>
    <w:rsid w:val="006F652D"/>
    <w:rsid w:val="006F6587"/>
    <w:rsid w:val="006F75C1"/>
    <w:rsid w:val="007019A7"/>
    <w:rsid w:val="00702D7D"/>
    <w:rsid w:val="0070330D"/>
    <w:rsid w:val="0070330E"/>
    <w:rsid w:val="00703A2C"/>
    <w:rsid w:val="00703DF6"/>
    <w:rsid w:val="00703E6D"/>
    <w:rsid w:val="00704879"/>
    <w:rsid w:val="0070506D"/>
    <w:rsid w:val="007062CB"/>
    <w:rsid w:val="007063FF"/>
    <w:rsid w:val="00710B7F"/>
    <w:rsid w:val="0071348F"/>
    <w:rsid w:val="0071467E"/>
    <w:rsid w:val="0071552D"/>
    <w:rsid w:val="00715C18"/>
    <w:rsid w:val="007170D6"/>
    <w:rsid w:val="00720F55"/>
    <w:rsid w:val="00720F63"/>
    <w:rsid w:val="007210AB"/>
    <w:rsid w:val="00721297"/>
    <w:rsid w:val="00722804"/>
    <w:rsid w:val="00723025"/>
    <w:rsid w:val="0072328F"/>
    <w:rsid w:val="0072571B"/>
    <w:rsid w:val="007269A3"/>
    <w:rsid w:val="00730CF3"/>
    <w:rsid w:val="007318A2"/>
    <w:rsid w:val="00734925"/>
    <w:rsid w:val="0073584B"/>
    <w:rsid w:val="007405CB"/>
    <w:rsid w:val="007416EB"/>
    <w:rsid w:val="00741911"/>
    <w:rsid w:val="0074317F"/>
    <w:rsid w:val="00743AA2"/>
    <w:rsid w:val="0074480F"/>
    <w:rsid w:val="00745F00"/>
    <w:rsid w:val="0074658B"/>
    <w:rsid w:val="00746B45"/>
    <w:rsid w:val="00747BCC"/>
    <w:rsid w:val="00750ADF"/>
    <w:rsid w:val="007531FC"/>
    <w:rsid w:val="0075388B"/>
    <w:rsid w:val="00757F1C"/>
    <w:rsid w:val="00760207"/>
    <w:rsid w:val="0076046D"/>
    <w:rsid w:val="00760FF8"/>
    <w:rsid w:val="0076197C"/>
    <w:rsid w:val="007627BE"/>
    <w:rsid w:val="00762AA7"/>
    <w:rsid w:val="00763F74"/>
    <w:rsid w:val="0076542A"/>
    <w:rsid w:val="00765819"/>
    <w:rsid w:val="00767729"/>
    <w:rsid w:val="00767760"/>
    <w:rsid w:val="007706DF"/>
    <w:rsid w:val="007709E0"/>
    <w:rsid w:val="00770DEA"/>
    <w:rsid w:val="00771800"/>
    <w:rsid w:val="00772527"/>
    <w:rsid w:val="00773035"/>
    <w:rsid w:val="0077351A"/>
    <w:rsid w:val="00774EAA"/>
    <w:rsid w:val="007761D6"/>
    <w:rsid w:val="0077667D"/>
    <w:rsid w:val="00776FB9"/>
    <w:rsid w:val="00780661"/>
    <w:rsid w:val="00780907"/>
    <w:rsid w:val="00780E73"/>
    <w:rsid w:val="0078307B"/>
    <w:rsid w:val="00783314"/>
    <w:rsid w:val="00783F28"/>
    <w:rsid w:val="00785AC0"/>
    <w:rsid w:val="00787408"/>
    <w:rsid w:val="00787EB2"/>
    <w:rsid w:val="00791874"/>
    <w:rsid w:val="00792E2B"/>
    <w:rsid w:val="00792F26"/>
    <w:rsid w:val="007946A3"/>
    <w:rsid w:val="007946EE"/>
    <w:rsid w:val="00794BA6"/>
    <w:rsid w:val="00795B32"/>
    <w:rsid w:val="00795F43"/>
    <w:rsid w:val="00796DC0"/>
    <w:rsid w:val="007A04B4"/>
    <w:rsid w:val="007A0EAB"/>
    <w:rsid w:val="007A3729"/>
    <w:rsid w:val="007A46B4"/>
    <w:rsid w:val="007A5898"/>
    <w:rsid w:val="007A7A33"/>
    <w:rsid w:val="007B028A"/>
    <w:rsid w:val="007B1112"/>
    <w:rsid w:val="007B1BA0"/>
    <w:rsid w:val="007B2AB9"/>
    <w:rsid w:val="007B40C1"/>
    <w:rsid w:val="007B729F"/>
    <w:rsid w:val="007C0912"/>
    <w:rsid w:val="007C1000"/>
    <w:rsid w:val="007C37FC"/>
    <w:rsid w:val="007C5B94"/>
    <w:rsid w:val="007C6E06"/>
    <w:rsid w:val="007C6F68"/>
    <w:rsid w:val="007C7A9D"/>
    <w:rsid w:val="007D0BB0"/>
    <w:rsid w:val="007D3F39"/>
    <w:rsid w:val="007D4E25"/>
    <w:rsid w:val="007D7E4A"/>
    <w:rsid w:val="007E2ACF"/>
    <w:rsid w:val="007E2BD0"/>
    <w:rsid w:val="007E39C9"/>
    <w:rsid w:val="007E3B98"/>
    <w:rsid w:val="007E63B9"/>
    <w:rsid w:val="007F07A7"/>
    <w:rsid w:val="007F07C8"/>
    <w:rsid w:val="007F21E8"/>
    <w:rsid w:val="007F265F"/>
    <w:rsid w:val="007F4024"/>
    <w:rsid w:val="007F4224"/>
    <w:rsid w:val="008015C1"/>
    <w:rsid w:val="00802773"/>
    <w:rsid w:val="00802C21"/>
    <w:rsid w:val="0080494E"/>
    <w:rsid w:val="00805DF5"/>
    <w:rsid w:val="008064B3"/>
    <w:rsid w:val="00807052"/>
    <w:rsid w:val="00813214"/>
    <w:rsid w:val="00814350"/>
    <w:rsid w:val="0081492E"/>
    <w:rsid w:val="00814CBA"/>
    <w:rsid w:val="00820694"/>
    <w:rsid w:val="00820849"/>
    <w:rsid w:val="008219AD"/>
    <w:rsid w:val="0082249A"/>
    <w:rsid w:val="00822844"/>
    <w:rsid w:val="00826439"/>
    <w:rsid w:val="00826624"/>
    <w:rsid w:val="00827BBF"/>
    <w:rsid w:val="00830251"/>
    <w:rsid w:val="00832C21"/>
    <w:rsid w:val="00832E99"/>
    <w:rsid w:val="00832FAC"/>
    <w:rsid w:val="00833933"/>
    <w:rsid w:val="00833A4D"/>
    <w:rsid w:val="00836709"/>
    <w:rsid w:val="008368F9"/>
    <w:rsid w:val="00837C00"/>
    <w:rsid w:val="00840E76"/>
    <w:rsid w:val="008412EA"/>
    <w:rsid w:val="008415AE"/>
    <w:rsid w:val="00841B36"/>
    <w:rsid w:val="008423C8"/>
    <w:rsid w:val="00844B40"/>
    <w:rsid w:val="00846BBC"/>
    <w:rsid w:val="0085054E"/>
    <w:rsid w:val="0085136A"/>
    <w:rsid w:val="008541A6"/>
    <w:rsid w:val="00855316"/>
    <w:rsid w:val="008554B3"/>
    <w:rsid w:val="008570BE"/>
    <w:rsid w:val="0086194F"/>
    <w:rsid w:val="00861F38"/>
    <w:rsid w:val="008635CE"/>
    <w:rsid w:val="008636E7"/>
    <w:rsid w:val="00865006"/>
    <w:rsid w:val="00865A48"/>
    <w:rsid w:val="0086619D"/>
    <w:rsid w:val="00866255"/>
    <w:rsid w:val="00871C8E"/>
    <w:rsid w:val="00872A2C"/>
    <w:rsid w:val="00872E14"/>
    <w:rsid w:val="008745FF"/>
    <w:rsid w:val="00880060"/>
    <w:rsid w:val="00880E00"/>
    <w:rsid w:val="00881197"/>
    <w:rsid w:val="00881205"/>
    <w:rsid w:val="008817BF"/>
    <w:rsid w:val="00881F33"/>
    <w:rsid w:val="00882019"/>
    <w:rsid w:val="008823B5"/>
    <w:rsid w:val="008848EB"/>
    <w:rsid w:val="00885209"/>
    <w:rsid w:val="008861BF"/>
    <w:rsid w:val="0088646A"/>
    <w:rsid w:val="00887CFD"/>
    <w:rsid w:val="00890C3B"/>
    <w:rsid w:val="0089185F"/>
    <w:rsid w:val="008938D3"/>
    <w:rsid w:val="00895585"/>
    <w:rsid w:val="00895793"/>
    <w:rsid w:val="0089596B"/>
    <w:rsid w:val="008A05A6"/>
    <w:rsid w:val="008A17E1"/>
    <w:rsid w:val="008A18B0"/>
    <w:rsid w:val="008A24A1"/>
    <w:rsid w:val="008A35DD"/>
    <w:rsid w:val="008A3D0A"/>
    <w:rsid w:val="008A51E7"/>
    <w:rsid w:val="008A5274"/>
    <w:rsid w:val="008A54E9"/>
    <w:rsid w:val="008A5FC9"/>
    <w:rsid w:val="008A65A0"/>
    <w:rsid w:val="008A6658"/>
    <w:rsid w:val="008A6F13"/>
    <w:rsid w:val="008A7A8C"/>
    <w:rsid w:val="008B00FB"/>
    <w:rsid w:val="008B118D"/>
    <w:rsid w:val="008B2FAB"/>
    <w:rsid w:val="008B39BF"/>
    <w:rsid w:val="008B3D78"/>
    <w:rsid w:val="008B5DBB"/>
    <w:rsid w:val="008B5DCA"/>
    <w:rsid w:val="008B5E6E"/>
    <w:rsid w:val="008B6BA6"/>
    <w:rsid w:val="008B78CE"/>
    <w:rsid w:val="008B7FDC"/>
    <w:rsid w:val="008C021B"/>
    <w:rsid w:val="008C1AF5"/>
    <w:rsid w:val="008C3648"/>
    <w:rsid w:val="008C3BFD"/>
    <w:rsid w:val="008C421C"/>
    <w:rsid w:val="008C531D"/>
    <w:rsid w:val="008C5A24"/>
    <w:rsid w:val="008C5C8D"/>
    <w:rsid w:val="008C6ADD"/>
    <w:rsid w:val="008C6B8C"/>
    <w:rsid w:val="008C7D53"/>
    <w:rsid w:val="008C7E1A"/>
    <w:rsid w:val="008D19AA"/>
    <w:rsid w:val="008D1E3E"/>
    <w:rsid w:val="008D2312"/>
    <w:rsid w:val="008D2DCF"/>
    <w:rsid w:val="008D308E"/>
    <w:rsid w:val="008D3D46"/>
    <w:rsid w:val="008D4C1F"/>
    <w:rsid w:val="008D4C2A"/>
    <w:rsid w:val="008D4E8C"/>
    <w:rsid w:val="008D5FB2"/>
    <w:rsid w:val="008D6962"/>
    <w:rsid w:val="008E0AF6"/>
    <w:rsid w:val="008E2333"/>
    <w:rsid w:val="008E29C8"/>
    <w:rsid w:val="008E4671"/>
    <w:rsid w:val="008E4C40"/>
    <w:rsid w:val="008E7368"/>
    <w:rsid w:val="008E7C80"/>
    <w:rsid w:val="008F02BA"/>
    <w:rsid w:val="008F1B3D"/>
    <w:rsid w:val="008F2811"/>
    <w:rsid w:val="008F37D0"/>
    <w:rsid w:val="008F4A89"/>
    <w:rsid w:val="008F57A7"/>
    <w:rsid w:val="008F5DF5"/>
    <w:rsid w:val="008F65B4"/>
    <w:rsid w:val="009017CF"/>
    <w:rsid w:val="00903651"/>
    <w:rsid w:val="00903833"/>
    <w:rsid w:val="009065B3"/>
    <w:rsid w:val="00906C82"/>
    <w:rsid w:val="00907B9E"/>
    <w:rsid w:val="00910D84"/>
    <w:rsid w:val="00911931"/>
    <w:rsid w:val="0091345E"/>
    <w:rsid w:val="009137FE"/>
    <w:rsid w:val="00913A44"/>
    <w:rsid w:val="00913A5F"/>
    <w:rsid w:val="009140EF"/>
    <w:rsid w:val="00914A01"/>
    <w:rsid w:val="0091571D"/>
    <w:rsid w:val="00915C2F"/>
    <w:rsid w:val="00916F8B"/>
    <w:rsid w:val="0091765D"/>
    <w:rsid w:val="009205A9"/>
    <w:rsid w:val="009208A8"/>
    <w:rsid w:val="00920BF0"/>
    <w:rsid w:val="00921EFE"/>
    <w:rsid w:val="00921F7C"/>
    <w:rsid w:val="009262B2"/>
    <w:rsid w:val="00927A3C"/>
    <w:rsid w:val="00927D81"/>
    <w:rsid w:val="00930234"/>
    <w:rsid w:val="00931643"/>
    <w:rsid w:val="00931D7A"/>
    <w:rsid w:val="00931F7B"/>
    <w:rsid w:val="00932AE2"/>
    <w:rsid w:val="00932DA2"/>
    <w:rsid w:val="00933A0D"/>
    <w:rsid w:val="00933B07"/>
    <w:rsid w:val="00934607"/>
    <w:rsid w:val="00935066"/>
    <w:rsid w:val="00935CDF"/>
    <w:rsid w:val="00936152"/>
    <w:rsid w:val="00940699"/>
    <w:rsid w:val="00940974"/>
    <w:rsid w:val="00942315"/>
    <w:rsid w:val="00944212"/>
    <w:rsid w:val="0094511F"/>
    <w:rsid w:val="009468FD"/>
    <w:rsid w:val="00947982"/>
    <w:rsid w:val="009502E2"/>
    <w:rsid w:val="00951B64"/>
    <w:rsid w:val="00952D6C"/>
    <w:rsid w:val="00952F77"/>
    <w:rsid w:val="00953F4C"/>
    <w:rsid w:val="0095692A"/>
    <w:rsid w:val="00956DC6"/>
    <w:rsid w:val="00956DEE"/>
    <w:rsid w:val="0095701C"/>
    <w:rsid w:val="00957A21"/>
    <w:rsid w:val="00960FFD"/>
    <w:rsid w:val="009623E1"/>
    <w:rsid w:val="00962432"/>
    <w:rsid w:val="009638AE"/>
    <w:rsid w:val="0096428F"/>
    <w:rsid w:val="00965B23"/>
    <w:rsid w:val="00971396"/>
    <w:rsid w:val="00971704"/>
    <w:rsid w:val="00972E40"/>
    <w:rsid w:val="0097373D"/>
    <w:rsid w:val="00974283"/>
    <w:rsid w:val="009746AB"/>
    <w:rsid w:val="00975E38"/>
    <w:rsid w:val="0097684A"/>
    <w:rsid w:val="00980788"/>
    <w:rsid w:val="0098092F"/>
    <w:rsid w:val="00980C72"/>
    <w:rsid w:val="009836F1"/>
    <w:rsid w:val="00985617"/>
    <w:rsid w:val="009856C2"/>
    <w:rsid w:val="009858CD"/>
    <w:rsid w:val="009868F1"/>
    <w:rsid w:val="00987D5C"/>
    <w:rsid w:val="00987F04"/>
    <w:rsid w:val="00990B1F"/>
    <w:rsid w:val="009922A0"/>
    <w:rsid w:val="0099332C"/>
    <w:rsid w:val="009939D9"/>
    <w:rsid w:val="0099413F"/>
    <w:rsid w:val="00995B7F"/>
    <w:rsid w:val="00996291"/>
    <w:rsid w:val="00996FC1"/>
    <w:rsid w:val="009970C8"/>
    <w:rsid w:val="00997EF5"/>
    <w:rsid w:val="009A1768"/>
    <w:rsid w:val="009A1FB8"/>
    <w:rsid w:val="009A509E"/>
    <w:rsid w:val="009A561C"/>
    <w:rsid w:val="009A5676"/>
    <w:rsid w:val="009A5850"/>
    <w:rsid w:val="009A615F"/>
    <w:rsid w:val="009A7056"/>
    <w:rsid w:val="009A799D"/>
    <w:rsid w:val="009B0BE6"/>
    <w:rsid w:val="009B1303"/>
    <w:rsid w:val="009B155C"/>
    <w:rsid w:val="009B2322"/>
    <w:rsid w:val="009B34A8"/>
    <w:rsid w:val="009B5162"/>
    <w:rsid w:val="009B60C0"/>
    <w:rsid w:val="009C03F1"/>
    <w:rsid w:val="009C33A3"/>
    <w:rsid w:val="009C3951"/>
    <w:rsid w:val="009C4AC4"/>
    <w:rsid w:val="009C5EFA"/>
    <w:rsid w:val="009D09E4"/>
    <w:rsid w:val="009D41D2"/>
    <w:rsid w:val="009D468E"/>
    <w:rsid w:val="009D58FD"/>
    <w:rsid w:val="009D5F62"/>
    <w:rsid w:val="009D626A"/>
    <w:rsid w:val="009D6DC7"/>
    <w:rsid w:val="009D7D88"/>
    <w:rsid w:val="009E0C7A"/>
    <w:rsid w:val="009E0E09"/>
    <w:rsid w:val="009E1114"/>
    <w:rsid w:val="009E13C2"/>
    <w:rsid w:val="009E20DB"/>
    <w:rsid w:val="009E2BC4"/>
    <w:rsid w:val="009E30E5"/>
    <w:rsid w:val="009E3E71"/>
    <w:rsid w:val="009E41DF"/>
    <w:rsid w:val="009E5850"/>
    <w:rsid w:val="009E59CA"/>
    <w:rsid w:val="009E7A91"/>
    <w:rsid w:val="009F08D5"/>
    <w:rsid w:val="009F10A8"/>
    <w:rsid w:val="009F1A26"/>
    <w:rsid w:val="009F2774"/>
    <w:rsid w:val="009F2B1B"/>
    <w:rsid w:val="009F4586"/>
    <w:rsid w:val="009F4630"/>
    <w:rsid w:val="009F5905"/>
    <w:rsid w:val="00A0179C"/>
    <w:rsid w:val="00A034C7"/>
    <w:rsid w:val="00A03B2E"/>
    <w:rsid w:val="00A0427D"/>
    <w:rsid w:val="00A04612"/>
    <w:rsid w:val="00A04E7A"/>
    <w:rsid w:val="00A06412"/>
    <w:rsid w:val="00A06FC3"/>
    <w:rsid w:val="00A07DF2"/>
    <w:rsid w:val="00A11FC7"/>
    <w:rsid w:val="00A12094"/>
    <w:rsid w:val="00A12616"/>
    <w:rsid w:val="00A14299"/>
    <w:rsid w:val="00A1479C"/>
    <w:rsid w:val="00A14BC6"/>
    <w:rsid w:val="00A15314"/>
    <w:rsid w:val="00A205FA"/>
    <w:rsid w:val="00A21391"/>
    <w:rsid w:val="00A2217C"/>
    <w:rsid w:val="00A23AF2"/>
    <w:rsid w:val="00A24136"/>
    <w:rsid w:val="00A2478A"/>
    <w:rsid w:val="00A2519B"/>
    <w:rsid w:val="00A2795F"/>
    <w:rsid w:val="00A30646"/>
    <w:rsid w:val="00A32FFB"/>
    <w:rsid w:val="00A33B04"/>
    <w:rsid w:val="00A37B41"/>
    <w:rsid w:val="00A41058"/>
    <w:rsid w:val="00A41874"/>
    <w:rsid w:val="00A4190B"/>
    <w:rsid w:val="00A45C2B"/>
    <w:rsid w:val="00A46E1E"/>
    <w:rsid w:val="00A47558"/>
    <w:rsid w:val="00A51891"/>
    <w:rsid w:val="00A538FD"/>
    <w:rsid w:val="00A5399A"/>
    <w:rsid w:val="00A54B60"/>
    <w:rsid w:val="00A54F55"/>
    <w:rsid w:val="00A56664"/>
    <w:rsid w:val="00A60CB6"/>
    <w:rsid w:val="00A61EBC"/>
    <w:rsid w:val="00A625CA"/>
    <w:rsid w:val="00A62941"/>
    <w:rsid w:val="00A62F8B"/>
    <w:rsid w:val="00A64604"/>
    <w:rsid w:val="00A64A84"/>
    <w:rsid w:val="00A65198"/>
    <w:rsid w:val="00A65D7F"/>
    <w:rsid w:val="00A66ADB"/>
    <w:rsid w:val="00A7089F"/>
    <w:rsid w:val="00A71A67"/>
    <w:rsid w:val="00A72E1A"/>
    <w:rsid w:val="00A73A87"/>
    <w:rsid w:val="00A73DD2"/>
    <w:rsid w:val="00A75721"/>
    <w:rsid w:val="00A76F32"/>
    <w:rsid w:val="00A7740E"/>
    <w:rsid w:val="00A7798C"/>
    <w:rsid w:val="00A81027"/>
    <w:rsid w:val="00A832C4"/>
    <w:rsid w:val="00A84071"/>
    <w:rsid w:val="00A85421"/>
    <w:rsid w:val="00A85DA3"/>
    <w:rsid w:val="00A85E32"/>
    <w:rsid w:val="00A8655C"/>
    <w:rsid w:val="00A8694B"/>
    <w:rsid w:val="00A86AB2"/>
    <w:rsid w:val="00A876F6"/>
    <w:rsid w:val="00A87EFD"/>
    <w:rsid w:val="00A912A9"/>
    <w:rsid w:val="00A92698"/>
    <w:rsid w:val="00A941C6"/>
    <w:rsid w:val="00A95C44"/>
    <w:rsid w:val="00A96BBC"/>
    <w:rsid w:val="00AA0A06"/>
    <w:rsid w:val="00AA18C2"/>
    <w:rsid w:val="00AA2530"/>
    <w:rsid w:val="00AA2903"/>
    <w:rsid w:val="00AA2925"/>
    <w:rsid w:val="00AA2ECF"/>
    <w:rsid w:val="00AA42C0"/>
    <w:rsid w:val="00AA5B46"/>
    <w:rsid w:val="00AA5BD8"/>
    <w:rsid w:val="00AA6060"/>
    <w:rsid w:val="00AA70E3"/>
    <w:rsid w:val="00AA74F0"/>
    <w:rsid w:val="00AB0B52"/>
    <w:rsid w:val="00AB0FBE"/>
    <w:rsid w:val="00AB1E34"/>
    <w:rsid w:val="00AB22A7"/>
    <w:rsid w:val="00AB3764"/>
    <w:rsid w:val="00AC049E"/>
    <w:rsid w:val="00AC1F52"/>
    <w:rsid w:val="00AC3A2A"/>
    <w:rsid w:val="00AC5C1C"/>
    <w:rsid w:val="00AC5CEF"/>
    <w:rsid w:val="00AC5F6E"/>
    <w:rsid w:val="00AC6303"/>
    <w:rsid w:val="00AD2182"/>
    <w:rsid w:val="00AD2722"/>
    <w:rsid w:val="00AD2D38"/>
    <w:rsid w:val="00AD321C"/>
    <w:rsid w:val="00AD44EA"/>
    <w:rsid w:val="00AD4F39"/>
    <w:rsid w:val="00AD60E4"/>
    <w:rsid w:val="00AD6E32"/>
    <w:rsid w:val="00AE031A"/>
    <w:rsid w:val="00AE1129"/>
    <w:rsid w:val="00AE1736"/>
    <w:rsid w:val="00AE17B3"/>
    <w:rsid w:val="00AE31DA"/>
    <w:rsid w:val="00AE4696"/>
    <w:rsid w:val="00AE4893"/>
    <w:rsid w:val="00AE4D3F"/>
    <w:rsid w:val="00AE5DB1"/>
    <w:rsid w:val="00AE7261"/>
    <w:rsid w:val="00AE749B"/>
    <w:rsid w:val="00AE7A82"/>
    <w:rsid w:val="00AF0C5D"/>
    <w:rsid w:val="00AF0EC2"/>
    <w:rsid w:val="00AF2891"/>
    <w:rsid w:val="00AF4755"/>
    <w:rsid w:val="00AF5211"/>
    <w:rsid w:val="00AF527D"/>
    <w:rsid w:val="00AF56CA"/>
    <w:rsid w:val="00AF6941"/>
    <w:rsid w:val="00AF6CF8"/>
    <w:rsid w:val="00B00236"/>
    <w:rsid w:val="00B012AB"/>
    <w:rsid w:val="00B01AD0"/>
    <w:rsid w:val="00B01FB8"/>
    <w:rsid w:val="00B0203B"/>
    <w:rsid w:val="00B02BEC"/>
    <w:rsid w:val="00B038DF"/>
    <w:rsid w:val="00B07FEA"/>
    <w:rsid w:val="00B1292F"/>
    <w:rsid w:val="00B146F4"/>
    <w:rsid w:val="00B150DF"/>
    <w:rsid w:val="00B16806"/>
    <w:rsid w:val="00B170BA"/>
    <w:rsid w:val="00B17197"/>
    <w:rsid w:val="00B17200"/>
    <w:rsid w:val="00B21C20"/>
    <w:rsid w:val="00B23137"/>
    <w:rsid w:val="00B24814"/>
    <w:rsid w:val="00B25D3A"/>
    <w:rsid w:val="00B265A7"/>
    <w:rsid w:val="00B27E5A"/>
    <w:rsid w:val="00B314AE"/>
    <w:rsid w:val="00B326C0"/>
    <w:rsid w:val="00B35A1F"/>
    <w:rsid w:val="00B3750C"/>
    <w:rsid w:val="00B37613"/>
    <w:rsid w:val="00B40556"/>
    <w:rsid w:val="00B40EF9"/>
    <w:rsid w:val="00B411FF"/>
    <w:rsid w:val="00B42392"/>
    <w:rsid w:val="00B45659"/>
    <w:rsid w:val="00B45760"/>
    <w:rsid w:val="00B45D2B"/>
    <w:rsid w:val="00B4649B"/>
    <w:rsid w:val="00B47DD3"/>
    <w:rsid w:val="00B47EEA"/>
    <w:rsid w:val="00B50466"/>
    <w:rsid w:val="00B52E90"/>
    <w:rsid w:val="00B54C08"/>
    <w:rsid w:val="00B55631"/>
    <w:rsid w:val="00B55CA6"/>
    <w:rsid w:val="00B568E7"/>
    <w:rsid w:val="00B570A9"/>
    <w:rsid w:val="00B57B2E"/>
    <w:rsid w:val="00B60BF3"/>
    <w:rsid w:val="00B6264B"/>
    <w:rsid w:val="00B63452"/>
    <w:rsid w:val="00B64713"/>
    <w:rsid w:val="00B64C33"/>
    <w:rsid w:val="00B64FEB"/>
    <w:rsid w:val="00B665A3"/>
    <w:rsid w:val="00B66CC6"/>
    <w:rsid w:val="00B6782E"/>
    <w:rsid w:val="00B7019F"/>
    <w:rsid w:val="00B706ED"/>
    <w:rsid w:val="00B747B4"/>
    <w:rsid w:val="00B75142"/>
    <w:rsid w:val="00B773C7"/>
    <w:rsid w:val="00B7745D"/>
    <w:rsid w:val="00B810EC"/>
    <w:rsid w:val="00B81197"/>
    <w:rsid w:val="00B84563"/>
    <w:rsid w:val="00B84FCB"/>
    <w:rsid w:val="00B85665"/>
    <w:rsid w:val="00B86BDB"/>
    <w:rsid w:val="00B87840"/>
    <w:rsid w:val="00B900F0"/>
    <w:rsid w:val="00B91F80"/>
    <w:rsid w:val="00B92695"/>
    <w:rsid w:val="00B94B9D"/>
    <w:rsid w:val="00B967B9"/>
    <w:rsid w:val="00BA2817"/>
    <w:rsid w:val="00BA28D1"/>
    <w:rsid w:val="00BA5DC7"/>
    <w:rsid w:val="00BA5E0A"/>
    <w:rsid w:val="00BA5E61"/>
    <w:rsid w:val="00BA7B84"/>
    <w:rsid w:val="00BB1D91"/>
    <w:rsid w:val="00BB2CD2"/>
    <w:rsid w:val="00BB2E0D"/>
    <w:rsid w:val="00BB33E1"/>
    <w:rsid w:val="00BB365A"/>
    <w:rsid w:val="00BB3E03"/>
    <w:rsid w:val="00BB3FA8"/>
    <w:rsid w:val="00BB579B"/>
    <w:rsid w:val="00BB5FEE"/>
    <w:rsid w:val="00BC1392"/>
    <w:rsid w:val="00BC322A"/>
    <w:rsid w:val="00BC43F9"/>
    <w:rsid w:val="00BC5FEE"/>
    <w:rsid w:val="00BC6703"/>
    <w:rsid w:val="00BC749F"/>
    <w:rsid w:val="00BD0179"/>
    <w:rsid w:val="00BD04E1"/>
    <w:rsid w:val="00BD2367"/>
    <w:rsid w:val="00BD3E44"/>
    <w:rsid w:val="00BD5ADE"/>
    <w:rsid w:val="00BD67DE"/>
    <w:rsid w:val="00BD6B38"/>
    <w:rsid w:val="00BD6FD8"/>
    <w:rsid w:val="00BD705E"/>
    <w:rsid w:val="00BD7950"/>
    <w:rsid w:val="00BD7983"/>
    <w:rsid w:val="00BD7DD5"/>
    <w:rsid w:val="00BE09DB"/>
    <w:rsid w:val="00BE1AEB"/>
    <w:rsid w:val="00BE299D"/>
    <w:rsid w:val="00BE362B"/>
    <w:rsid w:val="00BE4CF6"/>
    <w:rsid w:val="00BE4FE4"/>
    <w:rsid w:val="00BE530B"/>
    <w:rsid w:val="00BE6617"/>
    <w:rsid w:val="00BE77C8"/>
    <w:rsid w:val="00BF02FA"/>
    <w:rsid w:val="00BF2381"/>
    <w:rsid w:val="00BF26E2"/>
    <w:rsid w:val="00BF2F61"/>
    <w:rsid w:val="00BF3561"/>
    <w:rsid w:val="00BF6502"/>
    <w:rsid w:val="00BF6AC7"/>
    <w:rsid w:val="00BF6B7E"/>
    <w:rsid w:val="00BF752E"/>
    <w:rsid w:val="00BF757D"/>
    <w:rsid w:val="00C01810"/>
    <w:rsid w:val="00C032B2"/>
    <w:rsid w:val="00C0355C"/>
    <w:rsid w:val="00C0457A"/>
    <w:rsid w:val="00C0578E"/>
    <w:rsid w:val="00C116F9"/>
    <w:rsid w:val="00C120B4"/>
    <w:rsid w:val="00C1341A"/>
    <w:rsid w:val="00C145FB"/>
    <w:rsid w:val="00C14D04"/>
    <w:rsid w:val="00C15DA3"/>
    <w:rsid w:val="00C171E4"/>
    <w:rsid w:val="00C17381"/>
    <w:rsid w:val="00C2042E"/>
    <w:rsid w:val="00C20A78"/>
    <w:rsid w:val="00C20D60"/>
    <w:rsid w:val="00C2128B"/>
    <w:rsid w:val="00C21813"/>
    <w:rsid w:val="00C22752"/>
    <w:rsid w:val="00C23646"/>
    <w:rsid w:val="00C24F49"/>
    <w:rsid w:val="00C2703E"/>
    <w:rsid w:val="00C2736A"/>
    <w:rsid w:val="00C27DEE"/>
    <w:rsid w:val="00C304AA"/>
    <w:rsid w:val="00C31D9B"/>
    <w:rsid w:val="00C3286F"/>
    <w:rsid w:val="00C331F8"/>
    <w:rsid w:val="00C3331E"/>
    <w:rsid w:val="00C340C0"/>
    <w:rsid w:val="00C34826"/>
    <w:rsid w:val="00C358D7"/>
    <w:rsid w:val="00C35E9E"/>
    <w:rsid w:val="00C362F4"/>
    <w:rsid w:val="00C371D5"/>
    <w:rsid w:val="00C37215"/>
    <w:rsid w:val="00C37AB5"/>
    <w:rsid w:val="00C40CE8"/>
    <w:rsid w:val="00C4221F"/>
    <w:rsid w:val="00C42E53"/>
    <w:rsid w:val="00C4363F"/>
    <w:rsid w:val="00C44C2A"/>
    <w:rsid w:val="00C500E2"/>
    <w:rsid w:val="00C51603"/>
    <w:rsid w:val="00C52C46"/>
    <w:rsid w:val="00C5493E"/>
    <w:rsid w:val="00C55AED"/>
    <w:rsid w:val="00C567DA"/>
    <w:rsid w:val="00C571C0"/>
    <w:rsid w:val="00C571F8"/>
    <w:rsid w:val="00C576E0"/>
    <w:rsid w:val="00C609C2"/>
    <w:rsid w:val="00C63D1D"/>
    <w:rsid w:val="00C63F50"/>
    <w:rsid w:val="00C64607"/>
    <w:rsid w:val="00C64A6D"/>
    <w:rsid w:val="00C64C7F"/>
    <w:rsid w:val="00C658DA"/>
    <w:rsid w:val="00C678AC"/>
    <w:rsid w:val="00C70048"/>
    <w:rsid w:val="00C705C6"/>
    <w:rsid w:val="00C72F10"/>
    <w:rsid w:val="00C73631"/>
    <w:rsid w:val="00C7602F"/>
    <w:rsid w:val="00C77652"/>
    <w:rsid w:val="00C77CE3"/>
    <w:rsid w:val="00C815C0"/>
    <w:rsid w:val="00C8322D"/>
    <w:rsid w:val="00C8541A"/>
    <w:rsid w:val="00C871F9"/>
    <w:rsid w:val="00C877B7"/>
    <w:rsid w:val="00C9428B"/>
    <w:rsid w:val="00C95107"/>
    <w:rsid w:val="00CA0917"/>
    <w:rsid w:val="00CA1402"/>
    <w:rsid w:val="00CA2C71"/>
    <w:rsid w:val="00CA32C5"/>
    <w:rsid w:val="00CA3BE0"/>
    <w:rsid w:val="00CA3BFF"/>
    <w:rsid w:val="00CA3F49"/>
    <w:rsid w:val="00CA4B6B"/>
    <w:rsid w:val="00CA5301"/>
    <w:rsid w:val="00CA6D34"/>
    <w:rsid w:val="00CA7572"/>
    <w:rsid w:val="00CA7915"/>
    <w:rsid w:val="00CA7C3F"/>
    <w:rsid w:val="00CB1446"/>
    <w:rsid w:val="00CB3398"/>
    <w:rsid w:val="00CB3DD1"/>
    <w:rsid w:val="00CB51E8"/>
    <w:rsid w:val="00CB5C5C"/>
    <w:rsid w:val="00CB74C7"/>
    <w:rsid w:val="00CB7F45"/>
    <w:rsid w:val="00CC062B"/>
    <w:rsid w:val="00CC5663"/>
    <w:rsid w:val="00CC56F3"/>
    <w:rsid w:val="00CC5E9D"/>
    <w:rsid w:val="00CC75EF"/>
    <w:rsid w:val="00CC7E29"/>
    <w:rsid w:val="00CD1A9F"/>
    <w:rsid w:val="00CD291E"/>
    <w:rsid w:val="00CD30FC"/>
    <w:rsid w:val="00CD3AAD"/>
    <w:rsid w:val="00CD40A1"/>
    <w:rsid w:val="00CD441B"/>
    <w:rsid w:val="00CD74B8"/>
    <w:rsid w:val="00CE18A3"/>
    <w:rsid w:val="00CE29CA"/>
    <w:rsid w:val="00CE2EE7"/>
    <w:rsid w:val="00CE336C"/>
    <w:rsid w:val="00CE57A0"/>
    <w:rsid w:val="00CF0A90"/>
    <w:rsid w:val="00CF270B"/>
    <w:rsid w:val="00CF2DF7"/>
    <w:rsid w:val="00CF507A"/>
    <w:rsid w:val="00CF744F"/>
    <w:rsid w:val="00CF7BCB"/>
    <w:rsid w:val="00D022A5"/>
    <w:rsid w:val="00D03293"/>
    <w:rsid w:val="00D06356"/>
    <w:rsid w:val="00D12300"/>
    <w:rsid w:val="00D12DEE"/>
    <w:rsid w:val="00D1394B"/>
    <w:rsid w:val="00D14E17"/>
    <w:rsid w:val="00D15CB6"/>
    <w:rsid w:val="00D179B0"/>
    <w:rsid w:val="00D17C18"/>
    <w:rsid w:val="00D20B73"/>
    <w:rsid w:val="00D221B7"/>
    <w:rsid w:val="00D233D4"/>
    <w:rsid w:val="00D24058"/>
    <w:rsid w:val="00D246E7"/>
    <w:rsid w:val="00D24DBC"/>
    <w:rsid w:val="00D302F1"/>
    <w:rsid w:val="00D322B3"/>
    <w:rsid w:val="00D34ADB"/>
    <w:rsid w:val="00D35115"/>
    <w:rsid w:val="00D37773"/>
    <w:rsid w:val="00D4017F"/>
    <w:rsid w:val="00D409F0"/>
    <w:rsid w:val="00D415DD"/>
    <w:rsid w:val="00D41A94"/>
    <w:rsid w:val="00D431C8"/>
    <w:rsid w:val="00D43428"/>
    <w:rsid w:val="00D4368A"/>
    <w:rsid w:val="00D447A7"/>
    <w:rsid w:val="00D447F8"/>
    <w:rsid w:val="00D45274"/>
    <w:rsid w:val="00D45E0E"/>
    <w:rsid w:val="00D46ABC"/>
    <w:rsid w:val="00D47187"/>
    <w:rsid w:val="00D516CF"/>
    <w:rsid w:val="00D53861"/>
    <w:rsid w:val="00D54A1B"/>
    <w:rsid w:val="00D54BA6"/>
    <w:rsid w:val="00D570C2"/>
    <w:rsid w:val="00D60C9A"/>
    <w:rsid w:val="00D60D9A"/>
    <w:rsid w:val="00D63DE4"/>
    <w:rsid w:val="00D63EEC"/>
    <w:rsid w:val="00D666DC"/>
    <w:rsid w:val="00D67B9E"/>
    <w:rsid w:val="00D7056B"/>
    <w:rsid w:val="00D728A1"/>
    <w:rsid w:val="00D73370"/>
    <w:rsid w:val="00D759FF"/>
    <w:rsid w:val="00D764BD"/>
    <w:rsid w:val="00D76FD8"/>
    <w:rsid w:val="00D80BA1"/>
    <w:rsid w:val="00D81824"/>
    <w:rsid w:val="00D8191C"/>
    <w:rsid w:val="00D81936"/>
    <w:rsid w:val="00D81C90"/>
    <w:rsid w:val="00D82F65"/>
    <w:rsid w:val="00D830A9"/>
    <w:rsid w:val="00D84233"/>
    <w:rsid w:val="00D844BD"/>
    <w:rsid w:val="00D85801"/>
    <w:rsid w:val="00D86EDB"/>
    <w:rsid w:val="00D9058C"/>
    <w:rsid w:val="00D91156"/>
    <w:rsid w:val="00D93E30"/>
    <w:rsid w:val="00D945A0"/>
    <w:rsid w:val="00D965AE"/>
    <w:rsid w:val="00D96C40"/>
    <w:rsid w:val="00D971DF"/>
    <w:rsid w:val="00DA16D6"/>
    <w:rsid w:val="00DA3546"/>
    <w:rsid w:val="00DA36A8"/>
    <w:rsid w:val="00DA3C12"/>
    <w:rsid w:val="00DA49A2"/>
    <w:rsid w:val="00DA5471"/>
    <w:rsid w:val="00DA65E7"/>
    <w:rsid w:val="00DA7F5F"/>
    <w:rsid w:val="00DB1730"/>
    <w:rsid w:val="00DB22D3"/>
    <w:rsid w:val="00DB3349"/>
    <w:rsid w:val="00DB5C4C"/>
    <w:rsid w:val="00DC0791"/>
    <w:rsid w:val="00DC2435"/>
    <w:rsid w:val="00DC2985"/>
    <w:rsid w:val="00DC3D9D"/>
    <w:rsid w:val="00DC4299"/>
    <w:rsid w:val="00DC4577"/>
    <w:rsid w:val="00DC5926"/>
    <w:rsid w:val="00DC612A"/>
    <w:rsid w:val="00DC7849"/>
    <w:rsid w:val="00DD21CF"/>
    <w:rsid w:val="00DD3067"/>
    <w:rsid w:val="00DD4163"/>
    <w:rsid w:val="00DD500B"/>
    <w:rsid w:val="00DD597C"/>
    <w:rsid w:val="00DD66FB"/>
    <w:rsid w:val="00DD6E1F"/>
    <w:rsid w:val="00DE00A7"/>
    <w:rsid w:val="00DE05A3"/>
    <w:rsid w:val="00DE2687"/>
    <w:rsid w:val="00DE4612"/>
    <w:rsid w:val="00DF0C93"/>
    <w:rsid w:val="00DF2483"/>
    <w:rsid w:val="00DF32C2"/>
    <w:rsid w:val="00DF44D2"/>
    <w:rsid w:val="00DF4679"/>
    <w:rsid w:val="00DF4B35"/>
    <w:rsid w:val="00DF57BF"/>
    <w:rsid w:val="00DF6C9D"/>
    <w:rsid w:val="00E00302"/>
    <w:rsid w:val="00E01F18"/>
    <w:rsid w:val="00E02D9C"/>
    <w:rsid w:val="00E061EB"/>
    <w:rsid w:val="00E10BC6"/>
    <w:rsid w:val="00E118EE"/>
    <w:rsid w:val="00E12580"/>
    <w:rsid w:val="00E13397"/>
    <w:rsid w:val="00E16284"/>
    <w:rsid w:val="00E2110B"/>
    <w:rsid w:val="00E22344"/>
    <w:rsid w:val="00E25445"/>
    <w:rsid w:val="00E25A4B"/>
    <w:rsid w:val="00E25BB5"/>
    <w:rsid w:val="00E26D9F"/>
    <w:rsid w:val="00E3086F"/>
    <w:rsid w:val="00E30C87"/>
    <w:rsid w:val="00E325CB"/>
    <w:rsid w:val="00E3282F"/>
    <w:rsid w:val="00E336FB"/>
    <w:rsid w:val="00E349E8"/>
    <w:rsid w:val="00E362EF"/>
    <w:rsid w:val="00E36F63"/>
    <w:rsid w:val="00E3707C"/>
    <w:rsid w:val="00E418DC"/>
    <w:rsid w:val="00E41B37"/>
    <w:rsid w:val="00E4374F"/>
    <w:rsid w:val="00E4466C"/>
    <w:rsid w:val="00E47496"/>
    <w:rsid w:val="00E47B4E"/>
    <w:rsid w:val="00E50CCA"/>
    <w:rsid w:val="00E51F7D"/>
    <w:rsid w:val="00E5498E"/>
    <w:rsid w:val="00E560BF"/>
    <w:rsid w:val="00E611D3"/>
    <w:rsid w:val="00E615F8"/>
    <w:rsid w:val="00E61E77"/>
    <w:rsid w:val="00E6238F"/>
    <w:rsid w:val="00E63622"/>
    <w:rsid w:val="00E64E74"/>
    <w:rsid w:val="00E64ECF"/>
    <w:rsid w:val="00E653FB"/>
    <w:rsid w:val="00E65F26"/>
    <w:rsid w:val="00E66543"/>
    <w:rsid w:val="00E665CA"/>
    <w:rsid w:val="00E6693B"/>
    <w:rsid w:val="00E70698"/>
    <w:rsid w:val="00E70716"/>
    <w:rsid w:val="00E707AE"/>
    <w:rsid w:val="00E70B20"/>
    <w:rsid w:val="00E72434"/>
    <w:rsid w:val="00E73F60"/>
    <w:rsid w:val="00E74F30"/>
    <w:rsid w:val="00E75C4E"/>
    <w:rsid w:val="00E76603"/>
    <w:rsid w:val="00E838B6"/>
    <w:rsid w:val="00E83AA3"/>
    <w:rsid w:val="00E8423F"/>
    <w:rsid w:val="00E846C0"/>
    <w:rsid w:val="00E84D66"/>
    <w:rsid w:val="00E861F9"/>
    <w:rsid w:val="00E8683A"/>
    <w:rsid w:val="00E869F7"/>
    <w:rsid w:val="00E9007C"/>
    <w:rsid w:val="00E93125"/>
    <w:rsid w:val="00E93B15"/>
    <w:rsid w:val="00EA0DA1"/>
    <w:rsid w:val="00EA1D1E"/>
    <w:rsid w:val="00EA2E37"/>
    <w:rsid w:val="00EA4D74"/>
    <w:rsid w:val="00EA541A"/>
    <w:rsid w:val="00EA690A"/>
    <w:rsid w:val="00EA73C0"/>
    <w:rsid w:val="00EB10A4"/>
    <w:rsid w:val="00EB32A3"/>
    <w:rsid w:val="00EB33D2"/>
    <w:rsid w:val="00EB3611"/>
    <w:rsid w:val="00EB49EF"/>
    <w:rsid w:val="00EB665E"/>
    <w:rsid w:val="00EC0D8B"/>
    <w:rsid w:val="00EC1B80"/>
    <w:rsid w:val="00EC21D5"/>
    <w:rsid w:val="00EC2908"/>
    <w:rsid w:val="00EC361C"/>
    <w:rsid w:val="00EC449C"/>
    <w:rsid w:val="00EC44F2"/>
    <w:rsid w:val="00EC5883"/>
    <w:rsid w:val="00EC58BC"/>
    <w:rsid w:val="00EC6DFD"/>
    <w:rsid w:val="00EC6EA2"/>
    <w:rsid w:val="00EC7103"/>
    <w:rsid w:val="00EC7C3F"/>
    <w:rsid w:val="00ED07EC"/>
    <w:rsid w:val="00ED1068"/>
    <w:rsid w:val="00ED22EE"/>
    <w:rsid w:val="00ED2319"/>
    <w:rsid w:val="00ED2D87"/>
    <w:rsid w:val="00ED2E38"/>
    <w:rsid w:val="00ED3AA4"/>
    <w:rsid w:val="00ED4430"/>
    <w:rsid w:val="00ED44AC"/>
    <w:rsid w:val="00ED47D7"/>
    <w:rsid w:val="00ED783D"/>
    <w:rsid w:val="00ED7AE5"/>
    <w:rsid w:val="00EE0E96"/>
    <w:rsid w:val="00EE0EBA"/>
    <w:rsid w:val="00EE0F9A"/>
    <w:rsid w:val="00EE1E7A"/>
    <w:rsid w:val="00EE24D3"/>
    <w:rsid w:val="00EE4283"/>
    <w:rsid w:val="00EE43A5"/>
    <w:rsid w:val="00EE4544"/>
    <w:rsid w:val="00EE4E28"/>
    <w:rsid w:val="00EE53E0"/>
    <w:rsid w:val="00EE76D9"/>
    <w:rsid w:val="00EF1524"/>
    <w:rsid w:val="00EF16BF"/>
    <w:rsid w:val="00EF1ACF"/>
    <w:rsid w:val="00EF3899"/>
    <w:rsid w:val="00EF57AF"/>
    <w:rsid w:val="00EF6304"/>
    <w:rsid w:val="00EF6BDD"/>
    <w:rsid w:val="00EF6FFB"/>
    <w:rsid w:val="00EF7C1F"/>
    <w:rsid w:val="00EF7F15"/>
    <w:rsid w:val="00F02202"/>
    <w:rsid w:val="00F03209"/>
    <w:rsid w:val="00F05DED"/>
    <w:rsid w:val="00F06731"/>
    <w:rsid w:val="00F07F2B"/>
    <w:rsid w:val="00F10A98"/>
    <w:rsid w:val="00F11913"/>
    <w:rsid w:val="00F12081"/>
    <w:rsid w:val="00F13D60"/>
    <w:rsid w:val="00F161EB"/>
    <w:rsid w:val="00F1632F"/>
    <w:rsid w:val="00F1702A"/>
    <w:rsid w:val="00F20180"/>
    <w:rsid w:val="00F2083E"/>
    <w:rsid w:val="00F21257"/>
    <w:rsid w:val="00F226A0"/>
    <w:rsid w:val="00F22A63"/>
    <w:rsid w:val="00F2302E"/>
    <w:rsid w:val="00F23281"/>
    <w:rsid w:val="00F25128"/>
    <w:rsid w:val="00F255A9"/>
    <w:rsid w:val="00F25CC3"/>
    <w:rsid w:val="00F26EBE"/>
    <w:rsid w:val="00F321A6"/>
    <w:rsid w:val="00F35B65"/>
    <w:rsid w:val="00F36438"/>
    <w:rsid w:val="00F36D94"/>
    <w:rsid w:val="00F427CA"/>
    <w:rsid w:val="00F45032"/>
    <w:rsid w:val="00F47322"/>
    <w:rsid w:val="00F47DA5"/>
    <w:rsid w:val="00F510A0"/>
    <w:rsid w:val="00F52A16"/>
    <w:rsid w:val="00F5322A"/>
    <w:rsid w:val="00F5371B"/>
    <w:rsid w:val="00F5467D"/>
    <w:rsid w:val="00F54830"/>
    <w:rsid w:val="00F54BE6"/>
    <w:rsid w:val="00F54C03"/>
    <w:rsid w:val="00F55044"/>
    <w:rsid w:val="00F55929"/>
    <w:rsid w:val="00F57997"/>
    <w:rsid w:val="00F57E8D"/>
    <w:rsid w:val="00F618F9"/>
    <w:rsid w:val="00F6192D"/>
    <w:rsid w:val="00F63902"/>
    <w:rsid w:val="00F64C25"/>
    <w:rsid w:val="00F64E7E"/>
    <w:rsid w:val="00F658E8"/>
    <w:rsid w:val="00F72AAC"/>
    <w:rsid w:val="00F730C8"/>
    <w:rsid w:val="00F73645"/>
    <w:rsid w:val="00F74269"/>
    <w:rsid w:val="00F81EF2"/>
    <w:rsid w:val="00F83CFF"/>
    <w:rsid w:val="00F83D60"/>
    <w:rsid w:val="00F83E8F"/>
    <w:rsid w:val="00F85CAF"/>
    <w:rsid w:val="00F902DA"/>
    <w:rsid w:val="00F922B4"/>
    <w:rsid w:val="00F92E66"/>
    <w:rsid w:val="00F932BC"/>
    <w:rsid w:val="00F9338A"/>
    <w:rsid w:val="00F96CC2"/>
    <w:rsid w:val="00F97653"/>
    <w:rsid w:val="00FA0C5B"/>
    <w:rsid w:val="00FA39C1"/>
    <w:rsid w:val="00FA48E6"/>
    <w:rsid w:val="00FA588E"/>
    <w:rsid w:val="00FA5EDA"/>
    <w:rsid w:val="00FA66DA"/>
    <w:rsid w:val="00FB08F7"/>
    <w:rsid w:val="00FB1187"/>
    <w:rsid w:val="00FB1937"/>
    <w:rsid w:val="00FB1CFD"/>
    <w:rsid w:val="00FB2B99"/>
    <w:rsid w:val="00FB3DC0"/>
    <w:rsid w:val="00FB420C"/>
    <w:rsid w:val="00FB52AC"/>
    <w:rsid w:val="00FB5637"/>
    <w:rsid w:val="00FB5E4E"/>
    <w:rsid w:val="00FC00F7"/>
    <w:rsid w:val="00FC0EFA"/>
    <w:rsid w:val="00FC1BAB"/>
    <w:rsid w:val="00FC6E46"/>
    <w:rsid w:val="00FD0B84"/>
    <w:rsid w:val="00FD1166"/>
    <w:rsid w:val="00FD515C"/>
    <w:rsid w:val="00FD56F4"/>
    <w:rsid w:val="00FE0139"/>
    <w:rsid w:val="00FE0F63"/>
    <w:rsid w:val="00FE23C9"/>
    <w:rsid w:val="00FE4A01"/>
    <w:rsid w:val="00FE663A"/>
    <w:rsid w:val="00FE674B"/>
    <w:rsid w:val="00FE6E27"/>
    <w:rsid w:val="00FE7879"/>
    <w:rsid w:val="00FF15CB"/>
    <w:rsid w:val="00FF269D"/>
    <w:rsid w:val="00FF299C"/>
    <w:rsid w:val="00FF3ECD"/>
    <w:rsid w:val="00FF52FC"/>
    <w:rsid w:val="00FF5744"/>
    <w:rsid w:val="00FF5E7F"/>
    <w:rsid w:val="00FF7589"/>
    <w:rsid w:val="00FF78D1"/>
    <w:rsid w:val="0141F49D"/>
    <w:rsid w:val="019F17CA"/>
    <w:rsid w:val="01A2B8CD"/>
    <w:rsid w:val="01E75CCC"/>
    <w:rsid w:val="020DF8F1"/>
    <w:rsid w:val="0238D9DD"/>
    <w:rsid w:val="02532CB2"/>
    <w:rsid w:val="02B01A8D"/>
    <w:rsid w:val="0329D978"/>
    <w:rsid w:val="03931715"/>
    <w:rsid w:val="03AE439D"/>
    <w:rsid w:val="043015BD"/>
    <w:rsid w:val="04B01F40"/>
    <w:rsid w:val="04C5A9D9"/>
    <w:rsid w:val="04FB7ACE"/>
    <w:rsid w:val="050DD185"/>
    <w:rsid w:val="059BAEEF"/>
    <w:rsid w:val="069D7967"/>
    <w:rsid w:val="07338D14"/>
    <w:rsid w:val="07469CA4"/>
    <w:rsid w:val="07F963EE"/>
    <w:rsid w:val="08739EED"/>
    <w:rsid w:val="08E9D85C"/>
    <w:rsid w:val="08F4C8AA"/>
    <w:rsid w:val="0922A2A2"/>
    <w:rsid w:val="097D3AE2"/>
    <w:rsid w:val="09E69783"/>
    <w:rsid w:val="0B272A66"/>
    <w:rsid w:val="0B465D3B"/>
    <w:rsid w:val="0BBDF467"/>
    <w:rsid w:val="0CE22D9C"/>
    <w:rsid w:val="0D2D1F3A"/>
    <w:rsid w:val="0DCCF0BF"/>
    <w:rsid w:val="0DFF9F2E"/>
    <w:rsid w:val="0ED54823"/>
    <w:rsid w:val="0EDF09E0"/>
    <w:rsid w:val="0EFA6499"/>
    <w:rsid w:val="0F107180"/>
    <w:rsid w:val="0F40B645"/>
    <w:rsid w:val="0F5919E0"/>
    <w:rsid w:val="0FA0B4A2"/>
    <w:rsid w:val="0FBF7515"/>
    <w:rsid w:val="0FFA611D"/>
    <w:rsid w:val="1055D907"/>
    <w:rsid w:val="10A53F45"/>
    <w:rsid w:val="10BFFF9F"/>
    <w:rsid w:val="10C8D395"/>
    <w:rsid w:val="118D669A"/>
    <w:rsid w:val="11B126FC"/>
    <w:rsid w:val="12246194"/>
    <w:rsid w:val="12F7E495"/>
    <w:rsid w:val="1309B726"/>
    <w:rsid w:val="136B580C"/>
    <w:rsid w:val="14241C30"/>
    <w:rsid w:val="1465E8B6"/>
    <w:rsid w:val="1516DB71"/>
    <w:rsid w:val="15AF3268"/>
    <w:rsid w:val="16B2534A"/>
    <w:rsid w:val="17981E98"/>
    <w:rsid w:val="181A32AD"/>
    <w:rsid w:val="193B71F8"/>
    <w:rsid w:val="19AFC449"/>
    <w:rsid w:val="19B6116E"/>
    <w:rsid w:val="1A3642DF"/>
    <w:rsid w:val="1A568D7E"/>
    <w:rsid w:val="1B523B16"/>
    <w:rsid w:val="1C6A8EB7"/>
    <w:rsid w:val="1D975FFF"/>
    <w:rsid w:val="1E8E3E38"/>
    <w:rsid w:val="1E91D351"/>
    <w:rsid w:val="1E9F7E01"/>
    <w:rsid w:val="1F4667CB"/>
    <w:rsid w:val="1F4D9149"/>
    <w:rsid w:val="1F83888D"/>
    <w:rsid w:val="20499109"/>
    <w:rsid w:val="2205EBEB"/>
    <w:rsid w:val="226194CB"/>
    <w:rsid w:val="226A75EB"/>
    <w:rsid w:val="2286EFDE"/>
    <w:rsid w:val="22FAA7D3"/>
    <w:rsid w:val="23556D10"/>
    <w:rsid w:val="23817902"/>
    <w:rsid w:val="238528D5"/>
    <w:rsid w:val="239C0FBD"/>
    <w:rsid w:val="23A40C38"/>
    <w:rsid w:val="23C3FCC8"/>
    <w:rsid w:val="23F7E4B8"/>
    <w:rsid w:val="2431CD23"/>
    <w:rsid w:val="24543950"/>
    <w:rsid w:val="245E9CD0"/>
    <w:rsid w:val="24F8B33E"/>
    <w:rsid w:val="2505CAC8"/>
    <w:rsid w:val="259160DD"/>
    <w:rsid w:val="25BE90A0"/>
    <w:rsid w:val="26CA037E"/>
    <w:rsid w:val="27035F1D"/>
    <w:rsid w:val="27214113"/>
    <w:rsid w:val="2779CE42"/>
    <w:rsid w:val="27CA6480"/>
    <w:rsid w:val="27EC7ABB"/>
    <w:rsid w:val="28122B1A"/>
    <w:rsid w:val="285C1F57"/>
    <w:rsid w:val="2876C7A6"/>
    <w:rsid w:val="28C08995"/>
    <w:rsid w:val="2964C0C9"/>
    <w:rsid w:val="29A55980"/>
    <w:rsid w:val="2A333E4C"/>
    <w:rsid w:val="2A7A4B68"/>
    <w:rsid w:val="2AC89EBB"/>
    <w:rsid w:val="2AF34FF1"/>
    <w:rsid w:val="2B09DC1B"/>
    <w:rsid w:val="2B21B037"/>
    <w:rsid w:val="2BA5F21B"/>
    <w:rsid w:val="2C3C85DB"/>
    <w:rsid w:val="2C5B7B34"/>
    <w:rsid w:val="2DD32D57"/>
    <w:rsid w:val="2DD8563C"/>
    <w:rsid w:val="2F16119E"/>
    <w:rsid w:val="2F5CA802"/>
    <w:rsid w:val="30561918"/>
    <w:rsid w:val="30679C3C"/>
    <w:rsid w:val="30689638"/>
    <w:rsid w:val="30D5462A"/>
    <w:rsid w:val="30FCC3B2"/>
    <w:rsid w:val="310687D6"/>
    <w:rsid w:val="310FF6FE"/>
    <w:rsid w:val="317D8275"/>
    <w:rsid w:val="31CFAB27"/>
    <w:rsid w:val="32F9B037"/>
    <w:rsid w:val="331C0884"/>
    <w:rsid w:val="33BE5F49"/>
    <w:rsid w:val="33DC3A1C"/>
    <w:rsid w:val="34095501"/>
    <w:rsid w:val="345F809B"/>
    <w:rsid w:val="34CDE385"/>
    <w:rsid w:val="35E1E67F"/>
    <w:rsid w:val="371C7066"/>
    <w:rsid w:val="37BCEAE2"/>
    <w:rsid w:val="383051A9"/>
    <w:rsid w:val="387AA1A3"/>
    <w:rsid w:val="38AF237D"/>
    <w:rsid w:val="38B52C66"/>
    <w:rsid w:val="38DCE782"/>
    <w:rsid w:val="38EEA46B"/>
    <w:rsid w:val="3936F4CE"/>
    <w:rsid w:val="3995393D"/>
    <w:rsid w:val="39CE9706"/>
    <w:rsid w:val="39FC4FFB"/>
    <w:rsid w:val="3A851565"/>
    <w:rsid w:val="3A889A94"/>
    <w:rsid w:val="3A95FD76"/>
    <w:rsid w:val="3BF0C75E"/>
    <w:rsid w:val="3C5C350B"/>
    <w:rsid w:val="3CA75B5E"/>
    <w:rsid w:val="3CC5A137"/>
    <w:rsid w:val="3CEA843B"/>
    <w:rsid w:val="3CFC9105"/>
    <w:rsid w:val="3DFC78B8"/>
    <w:rsid w:val="3E5D312C"/>
    <w:rsid w:val="3EB20205"/>
    <w:rsid w:val="3EE60DD2"/>
    <w:rsid w:val="3FE4681A"/>
    <w:rsid w:val="40352D6A"/>
    <w:rsid w:val="40402DDF"/>
    <w:rsid w:val="4050462D"/>
    <w:rsid w:val="415A1E5C"/>
    <w:rsid w:val="41B75826"/>
    <w:rsid w:val="4246B3FD"/>
    <w:rsid w:val="42B19D46"/>
    <w:rsid w:val="43AE89BD"/>
    <w:rsid w:val="43F1A61D"/>
    <w:rsid w:val="44AB42F9"/>
    <w:rsid w:val="44B83D7A"/>
    <w:rsid w:val="44E0E5F2"/>
    <w:rsid w:val="4550FDB5"/>
    <w:rsid w:val="4555BE57"/>
    <w:rsid w:val="4595326E"/>
    <w:rsid w:val="45A39F60"/>
    <w:rsid w:val="45CB7A61"/>
    <w:rsid w:val="45FCFABA"/>
    <w:rsid w:val="462CE0FF"/>
    <w:rsid w:val="46D7C881"/>
    <w:rsid w:val="4793DAAA"/>
    <w:rsid w:val="47983F62"/>
    <w:rsid w:val="47B0CC45"/>
    <w:rsid w:val="47C59DE6"/>
    <w:rsid w:val="488BFE53"/>
    <w:rsid w:val="48D710CD"/>
    <w:rsid w:val="494C9CA6"/>
    <w:rsid w:val="496C6236"/>
    <w:rsid w:val="4974735F"/>
    <w:rsid w:val="4975A4D0"/>
    <w:rsid w:val="49D3330A"/>
    <w:rsid w:val="49FDC9C5"/>
    <w:rsid w:val="4B4B7A66"/>
    <w:rsid w:val="4B4C4E69"/>
    <w:rsid w:val="4BA18E0B"/>
    <w:rsid w:val="4C40B40B"/>
    <w:rsid w:val="4C72FB57"/>
    <w:rsid w:val="4C843D68"/>
    <w:rsid w:val="4CB799EE"/>
    <w:rsid w:val="4D1E7BD6"/>
    <w:rsid w:val="4D5A28ED"/>
    <w:rsid w:val="4D8DE20B"/>
    <w:rsid w:val="4D9B81BC"/>
    <w:rsid w:val="4DF53B81"/>
    <w:rsid w:val="4F625265"/>
    <w:rsid w:val="4F65842B"/>
    <w:rsid w:val="50228C11"/>
    <w:rsid w:val="50550CC8"/>
    <w:rsid w:val="5060D514"/>
    <w:rsid w:val="5066B446"/>
    <w:rsid w:val="507A0A8B"/>
    <w:rsid w:val="510B4703"/>
    <w:rsid w:val="517366B7"/>
    <w:rsid w:val="51C91CE7"/>
    <w:rsid w:val="51D8960F"/>
    <w:rsid w:val="522E7FE3"/>
    <w:rsid w:val="537A0B0F"/>
    <w:rsid w:val="539B284D"/>
    <w:rsid w:val="53A31874"/>
    <w:rsid w:val="541E7557"/>
    <w:rsid w:val="54DB0182"/>
    <w:rsid w:val="550A92A4"/>
    <w:rsid w:val="55C8333C"/>
    <w:rsid w:val="5602B4B8"/>
    <w:rsid w:val="5631F3BC"/>
    <w:rsid w:val="56DAB936"/>
    <w:rsid w:val="5734BB97"/>
    <w:rsid w:val="57B8EF75"/>
    <w:rsid w:val="57D3BD07"/>
    <w:rsid w:val="57FD3F18"/>
    <w:rsid w:val="58742781"/>
    <w:rsid w:val="5883F322"/>
    <w:rsid w:val="59AA87E8"/>
    <w:rsid w:val="59C2F8A7"/>
    <w:rsid w:val="5A0F8404"/>
    <w:rsid w:val="5A0FF7E2"/>
    <w:rsid w:val="5A44EC2D"/>
    <w:rsid w:val="5A8DFEBB"/>
    <w:rsid w:val="5BAE2A59"/>
    <w:rsid w:val="5BDB917A"/>
    <w:rsid w:val="5BE7F03A"/>
    <w:rsid w:val="5C341BF5"/>
    <w:rsid w:val="5C6CEBEB"/>
    <w:rsid w:val="5D06301A"/>
    <w:rsid w:val="5D399D41"/>
    <w:rsid w:val="5DC59F7D"/>
    <w:rsid w:val="5E1D13CE"/>
    <w:rsid w:val="5ECC267B"/>
    <w:rsid w:val="5EFD16E5"/>
    <w:rsid w:val="5F195AC4"/>
    <w:rsid w:val="5F5BB015"/>
    <w:rsid w:val="5F826572"/>
    <w:rsid w:val="5F996938"/>
    <w:rsid w:val="6022F1FA"/>
    <w:rsid w:val="61036C9A"/>
    <w:rsid w:val="61737676"/>
    <w:rsid w:val="61F4B7A5"/>
    <w:rsid w:val="63095276"/>
    <w:rsid w:val="6394EA79"/>
    <w:rsid w:val="64A367E9"/>
    <w:rsid w:val="650A9EB1"/>
    <w:rsid w:val="652715F8"/>
    <w:rsid w:val="652BD33B"/>
    <w:rsid w:val="6551414D"/>
    <w:rsid w:val="663F384A"/>
    <w:rsid w:val="66CFD6B1"/>
    <w:rsid w:val="66E95B7E"/>
    <w:rsid w:val="66F2D362"/>
    <w:rsid w:val="671BE8A6"/>
    <w:rsid w:val="681D514A"/>
    <w:rsid w:val="684163E0"/>
    <w:rsid w:val="684FBFA3"/>
    <w:rsid w:val="6862DCF6"/>
    <w:rsid w:val="6A069742"/>
    <w:rsid w:val="6A14D9A3"/>
    <w:rsid w:val="6A8A1D5A"/>
    <w:rsid w:val="6AAD8B08"/>
    <w:rsid w:val="6AB2041B"/>
    <w:rsid w:val="6AD84B6F"/>
    <w:rsid w:val="6BB5D99A"/>
    <w:rsid w:val="6BF5ACF0"/>
    <w:rsid w:val="6D3EB80A"/>
    <w:rsid w:val="6D5E41F1"/>
    <w:rsid w:val="6F0CB11B"/>
    <w:rsid w:val="6F2A9539"/>
    <w:rsid w:val="6F9AB660"/>
    <w:rsid w:val="6FC62C02"/>
    <w:rsid w:val="6FF4AB82"/>
    <w:rsid w:val="70E8A91B"/>
    <w:rsid w:val="71192F83"/>
    <w:rsid w:val="71277AA9"/>
    <w:rsid w:val="7161FC63"/>
    <w:rsid w:val="71B0D099"/>
    <w:rsid w:val="71EC6C76"/>
    <w:rsid w:val="72FDCCC4"/>
    <w:rsid w:val="733FAD52"/>
    <w:rsid w:val="73866C27"/>
    <w:rsid w:val="742B2174"/>
    <w:rsid w:val="7434D216"/>
    <w:rsid w:val="7488395D"/>
    <w:rsid w:val="748A8233"/>
    <w:rsid w:val="749CE314"/>
    <w:rsid w:val="74B5E9CC"/>
    <w:rsid w:val="74CFE33A"/>
    <w:rsid w:val="7639B627"/>
    <w:rsid w:val="76AF8E49"/>
    <w:rsid w:val="76E72CD6"/>
    <w:rsid w:val="76E7E744"/>
    <w:rsid w:val="77198655"/>
    <w:rsid w:val="77B0F211"/>
    <w:rsid w:val="77B263BD"/>
    <w:rsid w:val="788F7FF9"/>
    <w:rsid w:val="79598397"/>
    <w:rsid w:val="79644364"/>
    <w:rsid w:val="79E0D4B4"/>
    <w:rsid w:val="7A79C38B"/>
    <w:rsid w:val="7A94E37A"/>
    <w:rsid w:val="7D36AEC3"/>
    <w:rsid w:val="7D62E5AD"/>
    <w:rsid w:val="7D6779E6"/>
    <w:rsid w:val="7E06A6F2"/>
    <w:rsid w:val="7E10EA71"/>
    <w:rsid w:val="7FA163C4"/>
    <w:rsid w:val="7FFD03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72CC4"/>
  <w15:docId w15:val="{AD151D2E-A80B-4BBE-91C0-D91DAB73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B55"/>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6B6B55"/>
    <w:pPr>
      <w:widowControl w:val="0"/>
      <w:spacing w:before="360" w:after="24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B6B55"/>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6B6B55"/>
    <w:pPr>
      <w:keepNext/>
      <w:keepLines/>
      <w:spacing w:before="120" w:after="120"/>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6B6B55"/>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6B6B55"/>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B6B55"/>
    <w:rPr>
      <w:sz w:val="20"/>
      <w:szCs w:val="20"/>
    </w:rPr>
  </w:style>
  <w:style w:type="character" w:customStyle="1" w:styleId="CommentTextChar">
    <w:name w:val="Comment Text Char"/>
    <w:basedOn w:val="DefaultParagraphFont"/>
    <w:link w:val="CommentText"/>
    <w:uiPriority w:val="99"/>
    <w:rsid w:val="006B6B55"/>
    <w:rPr>
      <w:rFonts w:eastAsiaTheme="minorHAnsi" w:cstheme="minorBidi"/>
      <w:lang w:eastAsia="en-US"/>
    </w:rPr>
  </w:style>
  <w:style w:type="paragraph" w:styleId="Header">
    <w:name w:val="header"/>
    <w:basedOn w:val="Normal"/>
    <w:link w:val="HeaderChar"/>
    <w:uiPriority w:val="26"/>
    <w:rsid w:val="006B6B55"/>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6B6B55"/>
    <w:rPr>
      <w:rFonts w:ascii="Calibri" w:eastAsiaTheme="minorHAnsi" w:hAnsi="Calibri" w:cstheme="minorBidi"/>
      <w:szCs w:val="22"/>
      <w:lang w:eastAsia="en-US"/>
    </w:rPr>
  </w:style>
  <w:style w:type="paragraph" w:styleId="Footer">
    <w:name w:val="footer"/>
    <w:basedOn w:val="Normal"/>
    <w:link w:val="FooterChar"/>
    <w:uiPriority w:val="27"/>
    <w:rsid w:val="006B6B55"/>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6B6B55"/>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6B6B55"/>
    <w:rPr>
      <w:sz w:val="16"/>
      <w:szCs w:val="16"/>
    </w:rPr>
  </w:style>
  <w:style w:type="paragraph" w:styleId="CommentSubject">
    <w:name w:val="annotation subject"/>
    <w:basedOn w:val="CommentText"/>
    <w:next w:val="CommentText"/>
    <w:link w:val="CommentSubjectChar"/>
    <w:uiPriority w:val="99"/>
    <w:semiHidden/>
    <w:unhideWhenUsed/>
    <w:rsid w:val="006B6B55"/>
    <w:rPr>
      <w:b/>
      <w:bCs/>
    </w:rPr>
  </w:style>
  <w:style w:type="character" w:customStyle="1" w:styleId="CommentSubjectChar">
    <w:name w:val="Comment Subject Char"/>
    <w:basedOn w:val="CommentTextChar"/>
    <w:link w:val="CommentSubject"/>
    <w:uiPriority w:val="99"/>
    <w:semiHidden/>
    <w:rsid w:val="006B6B55"/>
    <w:rPr>
      <w:rFonts w:eastAsiaTheme="minorHAnsi" w:cstheme="minorBidi"/>
      <w:b/>
      <w:bCs/>
      <w:lang w:eastAsia="en-US"/>
    </w:rPr>
  </w:style>
  <w:style w:type="paragraph" w:styleId="BalloonText">
    <w:name w:val="Balloon Text"/>
    <w:basedOn w:val="Normal"/>
    <w:link w:val="BalloonTextChar"/>
    <w:uiPriority w:val="99"/>
    <w:semiHidden/>
    <w:unhideWhenUsed/>
    <w:rsid w:val="006B6B55"/>
    <w:rPr>
      <w:rFonts w:ascii="Calibri" w:hAnsi="Calibri"/>
      <w:sz w:val="18"/>
      <w:szCs w:val="18"/>
    </w:rPr>
  </w:style>
  <w:style w:type="character" w:customStyle="1" w:styleId="BalloonTextChar">
    <w:name w:val="Balloon Text Char"/>
    <w:basedOn w:val="DefaultParagraphFont"/>
    <w:link w:val="BalloonText"/>
    <w:uiPriority w:val="99"/>
    <w:semiHidden/>
    <w:rsid w:val="006B6B55"/>
    <w:rPr>
      <w:rFonts w:ascii="Calibri" w:eastAsiaTheme="minorHAnsi" w:hAnsi="Calibri" w:cstheme="minorBidi"/>
      <w:sz w:val="18"/>
      <w:szCs w:val="18"/>
      <w:lang w:eastAsia="en-US"/>
    </w:rPr>
  </w:style>
  <w:style w:type="table" w:styleId="TableGrid">
    <w:name w:val="Table Grid"/>
    <w:basedOn w:val="TableNormal"/>
    <w:rsid w:val="006B6B55"/>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6B6B55"/>
    <w:rPr>
      <w:sz w:val="16"/>
    </w:rPr>
  </w:style>
  <w:style w:type="character" w:customStyle="1" w:styleId="Heading1Char">
    <w:name w:val="Heading 1 Char"/>
    <w:basedOn w:val="DefaultParagraphFont"/>
    <w:link w:val="Heading1"/>
    <w:uiPriority w:val="1"/>
    <w:rsid w:val="006B6B55"/>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B6B55"/>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6B6B55"/>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6B6B5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6B6B55"/>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6B6B55"/>
    <w:pPr>
      <w:ind w:left="709" w:right="567"/>
    </w:pPr>
    <w:rPr>
      <w:iCs/>
      <w:color w:val="000000"/>
    </w:rPr>
  </w:style>
  <w:style w:type="character" w:customStyle="1" w:styleId="QuoteChar">
    <w:name w:val="Quote Char"/>
    <w:basedOn w:val="DefaultParagraphFont"/>
    <w:link w:val="Quote"/>
    <w:uiPriority w:val="18"/>
    <w:rsid w:val="006B6B55"/>
    <w:rPr>
      <w:rFonts w:eastAsiaTheme="minorHAnsi" w:cstheme="minorBidi"/>
      <w:iCs/>
      <w:color w:val="000000"/>
      <w:sz w:val="22"/>
      <w:szCs w:val="22"/>
      <w:lang w:eastAsia="en-US"/>
    </w:rPr>
  </w:style>
  <w:style w:type="paragraph" w:customStyle="1" w:styleId="BoxText">
    <w:name w:val="Box Text"/>
    <w:basedOn w:val="Normal"/>
    <w:uiPriority w:val="19"/>
    <w:qFormat/>
    <w:rsid w:val="006B6B55"/>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6B6B55"/>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6B6B55"/>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B6B55"/>
    <w:pPr>
      <w:spacing w:before="120"/>
    </w:pPr>
    <w:rPr>
      <w:b w:val="0"/>
      <w:sz w:val="44"/>
      <w:szCs w:val="56"/>
    </w:rPr>
  </w:style>
  <w:style w:type="character" w:customStyle="1" w:styleId="SubtitleChar">
    <w:name w:val="Subtitle Char"/>
    <w:basedOn w:val="DefaultParagraphFont"/>
    <w:link w:val="Subtitle"/>
    <w:uiPriority w:val="23"/>
    <w:rsid w:val="006B6B55"/>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rsid w:val="006B6B55"/>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6B6B55"/>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6B6B55"/>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6B6B55"/>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6B6B55"/>
    <w:rPr>
      <w:color w:val="165788"/>
      <w:u w:val="single"/>
    </w:rPr>
  </w:style>
  <w:style w:type="paragraph" w:styleId="ListBullet">
    <w:name w:val="List Bullet"/>
    <w:basedOn w:val="Normal"/>
    <w:uiPriority w:val="99"/>
    <w:qFormat/>
    <w:rsid w:val="006B6B55"/>
    <w:pPr>
      <w:numPr>
        <w:numId w:val="4"/>
      </w:numPr>
      <w:spacing w:before="120" w:after="120"/>
    </w:pPr>
  </w:style>
  <w:style w:type="paragraph" w:styleId="TableofFigures">
    <w:name w:val="table of figures"/>
    <w:basedOn w:val="Normal"/>
    <w:next w:val="Normal"/>
    <w:uiPriority w:val="99"/>
    <w:rsid w:val="006B6B55"/>
    <w:pPr>
      <w:spacing w:before="120" w:after="120" w:line="240" w:lineRule="auto"/>
    </w:pPr>
  </w:style>
  <w:style w:type="paragraph" w:styleId="ListBullet2">
    <w:name w:val="List Bullet 2"/>
    <w:basedOn w:val="Normal"/>
    <w:uiPriority w:val="8"/>
    <w:qFormat/>
    <w:rsid w:val="006B6B55"/>
    <w:pPr>
      <w:numPr>
        <w:ilvl w:val="1"/>
        <w:numId w:val="4"/>
      </w:numPr>
      <w:spacing w:before="120" w:after="120"/>
      <w:contextualSpacing/>
    </w:pPr>
  </w:style>
  <w:style w:type="paragraph" w:styleId="ListBullet3">
    <w:name w:val="List Bullet 3"/>
    <w:basedOn w:val="Normal"/>
    <w:uiPriority w:val="99"/>
    <w:rsid w:val="006B6B55"/>
    <w:pPr>
      <w:numPr>
        <w:ilvl w:val="2"/>
        <w:numId w:val="4"/>
      </w:numPr>
      <w:spacing w:after="120"/>
      <w:contextualSpacing/>
    </w:pPr>
  </w:style>
  <w:style w:type="paragraph" w:styleId="ListNumber">
    <w:name w:val="List Number"/>
    <w:basedOn w:val="Normal"/>
    <w:uiPriority w:val="9"/>
    <w:qFormat/>
    <w:rsid w:val="006B6B55"/>
    <w:pPr>
      <w:numPr>
        <w:numId w:val="5"/>
      </w:numPr>
      <w:tabs>
        <w:tab w:val="left" w:pos="142"/>
      </w:tabs>
      <w:spacing w:before="120" w:after="120"/>
    </w:pPr>
  </w:style>
  <w:style w:type="paragraph" w:styleId="ListNumber2">
    <w:name w:val="List Number 2"/>
    <w:uiPriority w:val="10"/>
    <w:qFormat/>
    <w:rsid w:val="006B6B55"/>
    <w:pPr>
      <w:numPr>
        <w:ilvl w:val="1"/>
        <w:numId w:val="5"/>
      </w:numPr>
      <w:tabs>
        <w:tab w:val="left" w:pos="567"/>
      </w:tabs>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6B6B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6B6B55"/>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6B6B55"/>
    <w:pPr>
      <w:spacing w:before="60" w:after="60" w:line="240" w:lineRule="auto"/>
    </w:pPr>
    <w:rPr>
      <w:sz w:val="18"/>
    </w:rPr>
  </w:style>
  <w:style w:type="table" w:styleId="TableGrid1">
    <w:name w:val="Table Grid 1"/>
    <w:basedOn w:val="TableNormal"/>
    <w:uiPriority w:val="99"/>
    <w:semiHidden/>
    <w:unhideWhenUsed/>
    <w:rsid w:val="006B6B55"/>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6B6B55"/>
    <w:pPr>
      <w:keepNext/>
    </w:pPr>
    <w:rPr>
      <w:b/>
    </w:rPr>
  </w:style>
  <w:style w:type="character" w:styleId="PlaceholderText">
    <w:name w:val="Placeholder Text"/>
    <w:basedOn w:val="DefaultParagraphFont"/>
    <w:uiPriority w:val="99"/>
    <w:semiHidden/>
    <w:rsid w:val="006B6B55"/>
    <w:rPr>
      <w:color w:val="808080"/>
    </w:rPr>
  </w:style>
  <w:style w:type="paragraph" w:customStyle="1" w:styleId="Author">
    <w:name w:val="Author"/>
    <w:basedOn w:val="Normal"/>
    <w:next w:val="Normal"/>
    <w:uiPriority w:val="24"/>
    <w:qFormat/>
    <w:rsid w:val="006B6B55"/>
    <w:pPr>
      <w:spacing w:after="60"/>
    </w:pPr>
    <w:rPr>
      <w:b/>
      <w:sz w:val="24"/>
      <w:szCs w:val="28"/>
    </w:rPr>
  </w:style>
  <w:style w:type="paragraph" w:customStyle="1" w:styleId="AuthorOrganisationAffiliation">
    <w:name w:val="Author Organisation/Affiliation"/>
    <w:basedOn w:val="Normal"/>
    <w:next w:val="Normal"/>
    <w:uiPriority w:val="25"/>
    <w:qFormat/>
    <w:rsid w:val="006B6B55"/>
  </w:style>
  <w:style w:type="character" w:styleId="Strong">
    <w:name w:val="Strong"/>
    <w:basedOn w:val="DefaultParagraphFont"/>
    <w:uiPriority w:val="99"/>
    <w:qFormat/>
    <w:rsid w:val="006B6B55"/>
    <w:rPr>
      <w:b/>
      <w:bCs/>
    </w:rPr>
  </w:style>
  <w:style w:type="paragraph" w:customStyle="1" w:styleId="Glossary">
    <w:name w:val="Glossary"/>
    <w:basedOn w:val="Normal"/>
    <w:link w:val="GlossaryChar"/>
    <w:uiPriority w:val="28"/>
    <w:semiHidden/>
    <w:locked/>
    <w:rsid w:val="006B6B55"/>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6B6B55"/>
    <w:rPr>
      <w:rFonts w:eastAsia="Calibri" w:cstheme="minorBidi"/>
      <w:color w:val="000000"/>
      <w:sz w:val="22"/>
      <w:szCs w:val="22"/>
      <w:lang w:eastAsia="en-US"/>
    </w:rPr>
  </w:style>
  <w:style w:type="character" w:styleId="Emphasis">
    <w:name w:val="Emphasis"/>
    <w:basedOn w:val="DefaultParagraphFont"/>
    <w:uiPriority w:val="99"/>
    <w:qFormat/>
    <w:rsid w:val="006B6B55"/>
    <w:rPr>
      <w:i/>
      <w:iCs/>
    </w:rPr>
  </w:style>
  <w:style w:type="paragraph" w:styleId="TOAHeading">
    <w:name w:val="toa heading"/>
    <w:basedOn w:val="Heading1"/>
    <w:next w:val="Normal"/>
    <w:uiPriority w:val="99"/>
    <w:semiHidden/>
    <w:unhideWhenUsed/>
    <w:rsid w:val="006B6B55"/>
    <w:pPr>
      <w:spacing w:before="120"/>
    </w:pPr>
    <w:rPr>
      <w:bCs w:val="0"/>
      <w:sz w:val="24"/>
    </w:rPr>
  </w:style>
  <w:style w:type="paragraph" w:styleId="NormalWeb">
    <w:name w:val="Normal (Web)"/>
    <w:basedOn w:val="Normal"/>
    <w:uiPriority w:val="99"/>
    <w:semiHidden/>
    <w:unhideWhenUsed/>
    <w:rsid w:val="006B6B55"/>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6B6B55"/>
    <w:pPr>
      <w:numPr>
        <w:numId w:val="2"/>
      </w:numPr>
    </w:pPr>
  </w:style>
  <w:style w:type="paragraph" w:customStyle="1" w:styleId="TableBullet1">
    <w:name w:val="Table Bullet 1"/>
    <w:basedOn w:val="TableText"/>
    <w:uiPriority w:val="15"/>
    <w:qFormat/>
    <w:rsid w:val="006B6B55"/>
    <w:pPr>
      <w:numPr>
        <w:numId w:val="6"/>
      </w:numPr>
    </w:pPr>
  </w:style>
  <w:style w:type="paragraph" w:styleId="DocumentMap">
    <w:name w:val="Document Map"/>
    <w:basedOn w:val="Normal"/>
    <w:link w:val="DocumentMapChar"/>
    <w:uiPriority w:val="99"/>
    <w:semiHidden/>
    <w:unhideWhenUsed/>
    <w:rsid w:val="006B6B5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B6B55"/>
    <w:rPr>
      <w:rFonts w:ascii="Tahoma" w:eastAsiaTheme="minorHAnsi" w:hAnsi="Tahoma" w:cs="Tahoma"/>
      <w:sz w:val="16"/>
      <w:szCs w:val="16"/>
      <w:lang w:eastAsia="en-US"/>
    </w:rPr>
  </w:style>
  <w:style w:type="paragraph" w:customStyle="1" w:styleId="BoxHeading">
    <w:name w:val="Box Heading"/>
    <w:basedOn w:val="BoxText"/>
    <w:uiPriority w:val="20"/>
    <w:qFormat/>
    <w:rsid w:val="006B6B55"/>
    <w:pPr>
      <w:spacing w:line="240" w:lineRule="auto"/>
    </w:pPr>
    <w:rPr>
      <w:b/>
    </w:rPr>
  </w:style>
  <w:style w:type="paragraph" w:customStyle="1" w:styleId="Picture">
    <w:name w:val="Picture"/>
    <w:basedOn w:val="Normal"/>
    <w:uiPriority w:val="17"/>
    <w:qFormat/>
    <w:rsid w:val="006B6B55"/>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6B6B55"/>
    <w:pPr>
      <w:spacing w:after="0"/>
    </w:pPr>
    <w:rPr>
      <w:b/>
      <w:color w:val="FF0000"/>
      <w:sz w:val="36"/>
      <w:szCs w:val="36"/>
    </w:rPr>
  </w:style>
  <w:style w:type="paragraph" w:customStyle="1" w:styleId="DisseminationLimitingMarker">
    <w:name w:val="Dissemination Limiting Marker"/>
    <w:basedOn w:val="Header"/>
    <w:next w:val="Header"/>
    <w:uiPriority w:val="27"/>
    <w:rsid w:val="006B6B55"/>
    <w:pPr>
      <w:spacing w:after="0"/>
    </w:pPr>
    <w:rPr>
      <w:b/>
      <w:sz w:val="36"/>
      <w:szCs w:val="36"/>
    </w:rPr>
  </w:style>
  <w:style w:type="paragraph" w:styleId="FootnoteText">
    <w:name w:val="footnote text"/>
    <w:basedOn w:val="Normal"/>
    <w:link w:val="FootnoteTextChar"/>
    <w:unhideWhenUsed/>
    <w:rsid w:val="006B6B55"/>
    <w:pPr>
      <w:spacing w:after="60" w:line="264" w:lineRule="auto"/>
    </w:pPr>
    <w:rPr>
      <w:sz w:val="20"/>
      <w:szCs w:val="20"/>
    </w:rPr>
  </w:style>
  <w:style w:type="character" w:customStyle="1" w:styleId="FootnoteTextChar">
    <w:name w:val="Footnote Text Char"/>
    <w:basedOn w:val="DefaultParagraphFont"/>
    <w:link w:val="FootnoteText"/>
    <w:rsid w:val="006B6B55"/>
    <w:rPr>
      <w:rFonts w:eastAsiaTheme="minorHAnsi" w:cstheme="minorBidi"/>
      <w:lang w:eastAsia="en-US"/>
    </w:rPr>
  </w:style>
  <w:style w:type="character" w:styleId="FootnoteReference">
    <w:name w:val="footnote reference"/>
    <w:basedOn w:val="DefaultParagraphFont"/>
    <w:semiHidden/>
    <w:unhideWhenUsed/>
    <w:rsid w:val="006B6B55"/>
    <w:rPr>
      <w:vertAlign w:val="superscript"/>
    </w:rPr>
  </w:style>
  <w:style w:type="paragraph" w:styleId="EndnoteText">
    <w:name w:val="endnote text"/>
    <w:basedOn w:val="Normal"/>
    <w:link w:val="EndnoteTextChar"/>
    <w:uiPriority w:val="99"/>
    <w:unhideWhenUsed/>
    <w:rsid w:val="006B6B55"/>
    <w:pPr>
      <w:spacing w:after="60" w:line="264" w:lineRule="auto"/>
    </w:pPr>
    <w:rPr>
      <w:sz w:val="20"/>
      <w:szCs w:val="20"/>
    </w:rPr>
  </w:style>
  <w:style w:type="character" w:customStyle="1" w:styleId="EndnoteTextChar">
    <w:name w:val="Endnote Text Char"/>
    <w:basedOn w:val="DefaultParagraphFont"/>
    <w:link w:val="EndnoteText"/>
    <w:uiPriority w:val="99"/>
    <w:rsid w:val="006B6B55"/>
    <w:rPr>
      <w:rFonts w:eastAsiaTheme="minorHAnsi" w:cstheme="minorBidi"/>
      <w:lang w:eastAsia="en-US"/>
    </w:rPr>
  </w:style>
  <w:style w:type="character" w:styleId="EndnoteReference">
    <w:name w:val="endnote reference"/>
    <w:basedOn w:val="DefaultParagraphFont"/>
    <w:uiPriority w:val="99"/>
    <w:semiHidden/>
    <w:unhideWhenUsed/>
    <w:rsid w:val="006B6B55"/>
    <w:rPr>
      <w:vertAlign w:val="superscript"/>
    </w:rPr>
  </w:style>
  <w:style w:type="character" w:styleId="FollowedHyperlink">
    <w:name w:val="FollowedHyperlink"/>
    <w:basedOn w:val="DefaultParagraphFont"/>
    <w:uiPriority w:val="99"/>
    <w:semiHidden/>
    <w:unhideWhenUsed/>
    <w:rsid w:val="006B6B55"/>
    <w:rPr>
      <w:color w:val="800080"/>
      <w:u w:val="single"/>
    </w:rPr>
  </w:style>
  <w:style w:type="paragraph" w:customStyle="1" w:styleId="BoxSource">
    <w:name w:val="Box Source"/>
    <w:basedOn w:val="FigureTableNoteSource"/>
    <w:uiPriority w:val="22"/>
    <w:qFormat/>
    <w:rsid w:val="006B6B55"/>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6B6B55"/>
    <w:pPr>
      <w:numPr>
        <w:numId w:val="4"/>
      </w:numPr>
    </w:pPr>
  </w:style>
  <w:style w:type="paragraph" w:styleId="Title">
    <w:name w:val="Title"/>
    <w:basedOn w:val="Normal"/>
    <w:next w:val="Normal"/>
    <w:link w:val="TitleChar"/>
    <w:uiPriority w:val="10"/>
    <w:semiHidden/>
    <w:qFormat/>
    <w:rsid w:val="006B6B55"/>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6B6B55"/>
    <w:rPr>
      <w:rFonts w:eastAsiaTheme="majorEastAsia" w:cstheme="majorBidi"/>
      <w:b/>
      <w:spacing w:val="5"/>
      <w:kern w:val="28"/>
      <w:sz w:val="72"/>
      <w:szCs w:val="52"/>
      <w:lang w:eastAsia="en-US"/>
    </w:rPr>
  </w:style>
  <w:style w:type="paragraph" w:customStyle="1" w:styleId="TOCHeading2">
    <w:name w:val="TOC Heading 2"/>
    <w:next w:val="Normal"/>
    <w:qFormat/>
    <w:rsid w:val="006B6B55"/>
    <w:rPr>
      <w:rFonts w:ascii="Calibri Light" w:eastAsiaTheme="minorHAnsi" w:hAnsi="Calibri Light" w:cstheme="minorBidi"/>
      <w:sz w:val="36"/>
      <w:szCs w:val="22"/>
      <w:lang w:eastAsia="en-US"/>
    </w:rPr>
  </w:style>
  <w:style w:type="numbering" w:customStyle="1" w:styleId="Numberlist">
    <w:name w:val="Number list"/>
    <w:uiPriority w:val="99"/>
    <w:rsid w:val="006B6B55"/>
    <w:pPr>
      <w:numPr>
        <w:numId w:val="5"/>
      </w:numPr>
    </w:pPr>
  </w:style>
  <w:style w:type="numbering" w:customStyle="1" w:styleId="Headinglist">
    <w:name w:val="Heading list"/>
    <w:uiPriority w:val="99"/>
    <w:rsid w:val="006B6B55"/>
    <w:pPr>
      <w:numPr>
        <w:numId w:val="3"/>
      </w:numPr>
    </w:pPr>
  </w:style>
  <w:style w:type="paragraph" w:customStyle="1" w:styleId="Normalsmall">
    <w:name w:val="Normal small"/>
    <w:qFormat/>
    <w:rsid w:val="006B6B55"/>
    <w:pPr>
      <w:spacing w:after="120" w:line="276" w:lineRule="auto"/>
    </w:pPr>
    <w:rPr>
      <w:rFonts w:eastAsiaTheme="minorHAnsi" w:cstheme="minorBidi"/>
      <w:sz w:val="18"/>
      <w:szCs w:val="18"/>
      <w:lang w:eastAsia="en-US"/>
    </w:rPr>
  </w:style>
  <w:style w:type="paragraph" w:styleId="ListNumber3">
    <w:name w:val="List Number 3"/>
    <w:uiPriority w:val="11"/>
    <w:qFormat/>
    <w:rsid w:val="006B6B55"/>
    <w:pPr>
      <w:numPr>
        <w:ilvl w:val="2"/>
        <w:numId w:val="5"/>
      </w:numPr>
      <w:spacing w:before="120" w:after="120" w:line="264" w:lineRule="auto"/>
    </w:pPr>
    <w:rPr>
      <w:rFonts w:eastAsia="Times New Roman"/>
      <w:sz w:val="22"/>
      <w:szCs w:val="24"/>
      <w:lang w:eastAsia="en-US"/>
    </w:rPr>
  </w:style>
  <w:style w:type="table" w:customStyle="1" w:styleId="ABARESTableleftrightalign">
    <w:name w:val="ABARES Table (left/right align)"/>
    <w:basedOn w:val="TableNormal"/>
    <w:uiPriority w:val="99"/>
    <w:rsid w:val="006B6B55"/>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rsid w:val="006B6B55"/>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B6B55"/>
    <w:pPr>
      <w:numPr>
        <w:numId w:val="9"/>
      </w:numPr>
      <w:spacing w:before="60" w:after="60"/>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sid w:val="006B6B55"/>
    <w:rPr>
      <w:i/>
      <w:iCs/>
      <w:color w:val="4F81BD" w:themeColor="accent1"/>
    </w:rPr>
  </w:style>
  <w:style w:type="paragraph" w:customStyle="1" w:styleId="TableBullet2">
    <w:name w:val="Table Bullet 2"/>
    <w:basedOn w:val="TableBullet1"/>
    <w:qFormat/>
    <w:rsid w:val="006B6B55"/>
    <w:pPr>
      <w:numPr>
        <w:numId w:val="7"/>
      </w:numPr>
      <w:tabs>
        <w:tab w:val="num" w:pos="284"/>
      </w:tabs>
    </w:pPr>
  </w:style>
  <w:style w:type="numbering" w:customStyle="1" w:styleId="TableBulletlist">
    <w:name w:val="Table Bullet list"/>
    <w:uiPriority w:val="99"/>
    <w:rsid w:val="006B6B55"/>
    <w:pPr>
      <w:numPr>
        <w:numId w:val="8"/>
      </w:numPr>
    </w:pPr>
  </w:style>
  <w:style w:type="paragraph" w:styleId="Date">
    <w:name w:val="Date"/>
    <w:basedOn w:val="Normal"/>
    <w:next w:val="Normal"/>
    <w:link w:val="DateChar"/>
    <w:uiPriority w:val="99"/>
    <w:unhideWhenUsed/>
    <w:rsid w:val="006B6B55"/>
    <w:pPr>
      <w:jc w:val="right"/>
    </w:pPr>
  </w:style>
  <w:style w:type="character" w:customStyle="1" w:styleId="DateChar">
    <w:name w:val="Date Char"/>
    <w:basedOn w:val="DefaultParagraphFont"/>
    <w:link w:val="Date"/>
    <w:uiPriority w:val="99"/>
    <w:rsid w:val="006B6B55"/>
    <w:rPr>
      <w:rFonts w:eastAsiaTheme="minorHAnsi" w:cstheme="minorBidi"/>
      <w:sz w:val="22"/>
      <w:szCs w:val="22"/>
      <w:lang w:eastAsia="en-US"/>
    </w:rPr>
  </w:style>
  <w:style w:type="paragraph" w:styleId="Revision">
    <w:name w:val="Revision"/>
    <w:hidden/>
    <w:uiPriority w:val="99"/>
    <w:semiHidden/>
    <w:rsid w:val="00CE18A3"/>
    <w:rPr>
      <w:rFonts w:eastAsiaTheme="minorHAnsi" w:cstheme="minorBidi"/>
      <w:sz w:val="22"/>
      <w:szCs w:val="22"/>
      <w:lang w:eastAsia="en-US"/>
    </w:rPr>
  </w:style>
  <w:style w:type="character" w:customStyle="1" w:styleId="UnresolvedMention1">
    <w:name w:val="Unresolved Mention1"/>
    <w:basedOn w:val="DefaultParagraphFont"/>
    <w:uiPriority w:val="99"/>
    <w:semiHidden/>
    <w:unhideWhenUsed/>
    <w:rsid w:val="006B6B55"/>
    <w:rPr>
      <w:color w:val="605E5C"/>
      <w:shd w:val="clear" w:color="auto" w:fill="E1DFDD"/>
    </w:rPr>
  </w:style>
  <w:style w:type="paragraph" w:customStyle="1" w:styleId="Instructiontext">
    <w:name w:val="Instruction text"/>
    <w:basedOn w:val="Normal"/>
    <w:next w:val="Normal"/>
    <w:qFormat/>
    <w:rsid w:val="006B6B55"/>
    <w:rPr>
      <w:color w:val="1F497D" w:themeColor="text2"/>
      <w:shd w:val="clear" w:color="auto" w:fill="DBE5F1" w:themeFill="accent1" w:themeFillTint="33"/>
    </w:rPr>
  </w:style>
  <w:style w:type="character" w:customStyle="1" w:styleId="UnresolvedMention2">
    <w:name w:val="Unresolved Mention2"/>
    <w:basedOn w:val="DefaultParagraphFont"/>
    <w:uiPriority w:val="99"/>
    <w:semiHidden/>
    <w:unhideWhenUsed/>
    <w:rsid w:val="006B6B55"/>
    <w:rPr>
      <w:color w:val="605E5C"/>
      <w:shd w:val="clear" w:color="auto" w:fill="E1DFDD"/>
    </w:rPr>
  </w:style>
  <w:style w:type="paragraph" w:customStyle="1" w:styleId="Tabletextinstruction">
    <w:name w:val="Table text instruction"/>
    <w:basedOn w:val="TableText"/>
    <w:qFormat/>
    <w:rsid w:val="006B6B55"/>
    <w:pPr>
      <w:shd w:val="clear" w:color="auto" w:fill="D9D9D9" w:themeFill="background1" w:themeFillShade="D9"/>
    </w:pPr>
  </w:style>
  <w:style w:type="character" w:customStyle="1" w:styleId="UnresolvedMention3">
    <w:name w:val="Unresolved Mention3"/>
    <w:basedOn w:val="DefaultParagraphFont"/>
    <w:uiPriority w:val="99"/>
    <w:semiHidden/>
    <w:unhideWhenUsed/>
    <w:rsid w:val="006B6B55"/>
    <w:rPr>
      <w:color w:val="605E5C"/>
      <w:shd w:val="clear" w:color="auto" w:fill="E1DFDD"/>
    </w:rPr>
  </w:style>
  <w:style w:type="paragraph" w:styleId="ListParagraph">
    <w:name w:val="List Paragraph"/>
    <w:basedOn w:val="Normal"/>
    <w:uiPriority w:val="99"/>
    <w:qFormat/>
    <w:rsid w:val="006B6B55"/>
    <w:pPr>
      <w:ind w:left="720"/>
      <w:contextualSpacing/>
    </w:pPr>
  </w:style>
  <w:style w:type="paragraph" w:customStyle="1" w:styleId="Consultationtext">
    <w:name w:val="Consultation text"/>
    <w:basedOn w:val="Normal"/>
    <w:qFormat/>
    <w:rsid w:val="006B6B55"/>
    <w:rPr>
      <w:color w:val="FF0000"/>
    </w:rPr>
  </w:style>
  <w:style w:type="character" w:styleId="UnresolvedMention">
    <w:name w:val="Unresolved Mention"/>
    <w:basedOn w:val="DefaultParagraphFont"/>
    <w:uiPriority w:val="99"/>
    <w:semiHidden/>
    <w:unhideWhenUsed/>
    <w:rsid w:val="00282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6551993">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3777201">
      <w:bodyDiv w:val="1"/>
      <w:marLeft w:val="0"/>
      <w:marRight w:val="0"/>
      <w:marTop w:val="0"/>
      <w:marBottom w:val="0"/>
      <w:divBdr>
        <w:top w:val="none" w:sz="0" w:space="0" w:color="auto"/>
        <w:left w:val="none" w:sz="0" w:space="0" w:color="auto"/>
        <w:bottom w:val="none" w:sz="0" w:space="0" w:color="auto"/>
        <w:right w:val="none" w:sz="0" w:space="0" w:color="auto"/>
      </w:divBdr>
    </w:div>
    <w:div w:id="1353536887">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023748">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cdn.environment.sa.gov.au/environment/docs/ecological-mgt-strategy-southern-emu-wren-fact.pdf" TargetMode="External"/><Relationship Id="rId26" Type="http://schemas.openxmlformats.org/officeDocument/2006/relationships/header" Target="header2.xml"/><Relationship Id="rId39" Type="http://schemas.openxmlformats.org/officeDocument/2006/relationships/header" Target="header4.xml"/><Relationship Id="rId21" Type="http://schemas.openxmlformats.org/officeDocument/2006/relationships/hyperlink" Target="http://www.environment.gov.au/system/files/resources/1846b741-4f68-4bda-a663-94418438d4e6/files/tap-fox-report.pdf" TargetMode="External"/><Relationship Id="rId34" Type="http://schemas.openxmlformats.org/officeDocument/2006/relationships/image" Target="media/image4.png"/><Relationship Id="rId42" Type="http://schemas.openxmlformats.org/officeDocument/2006/relationships/footer" Target="footer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environment.gov.au/science/erin/databases-maps/snes" TargetMode="External"/><Relationship Id="rId29" Type="http://schemas.openxmlformats.org/officeDocument/2006/relationships/footer" Target="footer2.xml"/><Relationship Id="rId20" Type="http://schemas.openxmlformats.org/officeDocument/2006/relationships/hyperlink" Target="http://www.environment.gov.au/system/files/resources/ee1f3b9f-6e2e-4a01-86f3-6abb167fb443/files/tap-phytophthora-cinnamomi-2018.pdf" TargetMode="External"/><Relationship Id="rId41" Type="http://schemas.openxmlformats.org/officeDocument/2006/relationships/header" Target="header6.xml"/><Relationship Id="rId1" Type="http://schemas.openxmlformats.org/officeDocument/2006/relationships/customXml" Target="../customXml/item1.xml"/><Relationship Id="rId45" Type="http://schemas.openxmlformats.org/officeDocument/2006/relationships/theme" Target="theme/theme1.xml"/><Relationship Id="rId11" Type="http://schemas.openxmlformats.org/officeDocument/2006/relationships/footnotes" Target="footnotes.xml"/><Relationship Id="rId24" Type="http://schemas.openxmlformats.org/officeDocument/2006/relationships/hyperlink" Target="https://www.southernlaunch.space/wwolc" TargetMode="External"/><Relationship Id="rId32" Type="http://schemas.openxmlformats.org/officeDocument/2006/relationships/hyperlink" Target="https://www.iucnredlist.org/resources/redlistguidelines" TargetMode="External"/><Relationship Id="rId37" Type="http://schemas.openxmlformats.org/officeDocument/2006/relationships/hyperlink" Target="https://www.environment.gov.au/cgi-bin/sprat/public/publicspecies.pl?taxon_id=26006" TargetMode="External"/><Relationship Id="rId40" Type="http://schemas.openxmlformats.org/officeDocument/2006/relationships/header" Target="header5.xml"/><Relationship Id="rId36" Type="http://schemas.openxmlformats.org/officeDocument/2006/relationships/hyperlink" Target="mailto:copyright@awe.gov.au" TargetMode="External"/><Relationship Id="rId15" Type="http://schemas.openxmlformats.org/officeDocument/2006/relationships/image" Target="media/image2.jpg"/><Relationship Id="rId23" Type="http://schemas.openxmlformats.org/officeDocument/2006/relationships/hyperlink" Target="https://www.ipcc.ch/report/ar6/wg1/downloads/factsheets/IPCC_AR6_WGI_Regional_Fact_Sheet_Australasia.pdf"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www.environment.gov.au/system/files/resources/78f3dea5-c278-4273-8923-fa0de27aacfb/files/tap-predation-feral-cats-2015.pdf" TargetMode="External"/><Relationship Id="rId31" Type="http://schemas.openxmlformats.org/officeDocument/2006/relationships/hyperlink" Target="https://www.iucnredlist.org/resources/categories-and-criteria"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nvironment.gov.au/cgi-bin/sprat/public/sprat.pl" TargetMode="External"/><Relationship Id="rId22" Type="http://schemas.openxmlformats.org/officeDocument/2006/relationships/hyperlink" Target="http://geocat.kew.org/editor" TargetMode="External"/><Relationship Id="rId27" Type="http://schemas.openxmlformats.org/officeDocument/2006/relationships/footer" Target="footer1.xml"/><Relationship Id="rId30" Type="http://schemas.openxmlformats.org/officeDocument/2006/relationships/hyperlink" Target="http://www.environment.gov.au/system/files/pages/d72dfd1a-f0d8-4699-8d43-5d95bbb02428/files/tssc-guidelines-assessing-species-2018.pdf" TargetMode="External"/><Relationship Id="rId35" Type="http://schemas.openxmlformats.org/officeDocument/2006/relationships/hyperlink" Target="https://creativecommons.org/licenses/by/4.0/legalcode"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awe.gov.au/environment/biodiversity/threatened/species/20-birds-by-2020" TargetMode="External"/><Relationship Id="rId25" Type="http://schemas.openxmlformats.org/officeDocument/2006/relationships/header" Target="header1.xml"/><Relationship Id="rId33" Type="http://schemas.openxmlformats.org/officeDocument/2006/relationships/hyperlink" Target="http://www.environment.gov.au/biodiversity/threatened/cam" TargetMode="External"/><Relationship Id="rId38" Type="http://schemas.openxmlformats.org/officeDocument/2006/relationships/hyperlink" Target="http://agricultur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03322B078641A9A98DC1B474F29AB8"/>
        <w:category>
          <w:name w:val="General"/>
          <w:gallery w:val="placeholder"/>
        </w:category>
        <w:types>
          <w:type w:val="bbPlcHdr"/>
        </w:types>
        <w:behaviors>
          <w:behavior w:val="content"/>
        </w:behaviors>
        <w:guid w:val="{62E71D1B-3F32-4E1F-84F6-3CCD42AFB39C}"/>
      </w:docPartPr>
      <w:docPartBody>
        <w:p w:rsidR="00114898" w:rsidRDefault="009836F1">
          <w:pPr>
            <w:pStyle w:val="8103322B078641A9A98DC1B474F29AB8"/>
          </w:pPr>
          <w:r w:rsidRPr="0045331C">
            <w:rPr>
              <w:rStyle w:val="PlaceholderText"/>
            </w:rPr>
            <w:t>Choose an item.</w:t>
          </w:r>
        </w:p>
      </w:docPartBody>
    </w:docPart>
    <w:docPart>
      <w:docPartPr>
        <w:name w:val="C4F3B210625A49D1A68855672522768C"/>
        <w:category>
          <w:name w:val="General"/>
          <w:gallery w:val="placeholder"/>
        </w:category>
        <w:types>
          <w:type w:val="bbPlcHdr"/>
        </w:types>
        <w:behaviors>
          <w:behavior w:val="content"/>
        </w:behaviors>
        <w:guid w:val="{A1D152A7-F375-4C00-8C2D-945162DFEA8D}"/>
      </w:docPartPr>
      <w:docPartBody>
        <w:p w:rsidR="00114898" w:rsidRDefault="009836F1">
          <w:pPr>
            <w:pStyle w:val="C4F3B210625A49D1A68855672522768C"/>
          </w:pPr>
          <w:r w:rsidRPr="0045331C">
            <w:rPr>
              <w:rStyle w:val="PlaceholderText"/>
            </w:rPr>
            <w:t>Choose an item.</w:t>
          </w:r>
        </w:p>
      </w:docPartBody>
    </w:docPart>
    <w:docPart>
      <w:docPartPr>
        <w:name w:val="3D0059D951D64E7187A8BEC276E4D5DE"/>
        <w:category>
          <w:name w:val="General"/>
          <w:gallery w:val="placeholder"/>
        </w:category>
        <w:types>
          <w:type w:val="bbPlcHdr"/>
        </w:types>
        <w:behaviors>
          <w:behavior w:val="content"/>
        </w:behaviors>
        <w:guid w:val="{001ACBA4-E68A-4CDD-94D4-44442DB78AF8}"/>
      </w:docPartPr>
      <w:docPartBody>
        <w:p w:rsidR="00114898" w:rsidRDefault="009836F1">
          <w:pPr>
            <w:pStyle w:val="3D0059D951D64E7187A8BEC276E4D5DE"/>
          </w:pPr>
          <w:r w:rsidRPr="0045331C">
            <w:rPr>
              <w:rStyle w:val="PlaceholderText"/>
            </w:rPr>
            <w:t>Choose an item.</w:t>
          </w:r>
        </w:p>
      </w:docPartBody>
    </w:docPart>
    <w:docPart>
      <w:docPartPr>
        <w:name w:val="D217EAE77AE049DFAAB7FB06C2A55358"/>
        <w:category>
          <w:name w:val="General"/>
          <w:gallery w:val="placeholder"/>
        </w:category>
        <w:types>
          <w:type w:val="bbPlcHdr"/>
        </w:types>
        <w:behaviors>
          <w:behavior w:val="content"/>
        </w:behaviors>
        <w:guid w:val="{AD2EE456-0BE9-414A-ACDA-E483B161C2D6}"/>
      </w:docPartPr>
      <w:docPartBody>
        <w:p w:rsidR="00114898" w:rsidRDefault="009836F1">
          <w:pPr>
            <w:pStyle w:val="D217EAE77AE049DFAAB7FB06C2A55358"/>
          </w:pPr>
          <w:r w:rsidRPr="0045331C">
            <w:rPr>
              <w:rStyle w:val="PlaceholderText"/>
            </w:rPr>
            <w:t>Choose an item.</w:t>
          </w:r>
        </w:p>
      </w:docPartBody>
    </w:docPart>
    <w:docPart>
      <w:docPartPr>
        <w:name w:val="77BBBD97678C4C10950B924FB291B6F0"/>
        <w:category>
          <w:name w:val="General"/>
          <w:gallery w:val="placeholder"/>
        </w:category>
        <w:types>
          <w:type w:val="bbPlcHdr"/>
        </w:types>
        <w:behaviors>
          <w:behavior w:val="content"/>
        </w:behaviors>
        <w:guid w:val="{B08FC959-E0E0-4477-98E4-B1AB7D94B7E8}"/>
      </w:docPartPr>
      <w:docPartBody>
        <w:p w:rsidR="00114898" w:rsidRDefault="009836F1">
          <w:pPr>
            <w:pStyle w:val="77BBBD97678C4C10950B924FB291B6F0"/>
          </w:pPr>
          <w:r w:rsidRPr="0045331C">
            <w:rPr>
              <w:rStyle w:val="PlaceholderText"/>
            </w:rPr>
            <w:t>Choose an item.</w:t>
          </w:r>
        </w:p>
      </w:docPartBody>
    </w:docPart>
    <w:docPart>
      <w:docPartPr>
        <w:name w:val="703D0D386FB448329095062685DA01BB"/>
        <w:category>
          <w:name w:val="General"/>
          <w:gallery w:val="placeholder"/>
        </w:category>
        <w:types>
          <w:type w:val="bbPlcHdr"/>
        </w:types>
        <w:behaviors>
          <w:behavior w:val="content"/>
        </w:behaviors>
        <w:guid w:val="{7477AD05-D351-43E0-AD2F-F681108ACF96}"/>
      </w:docPartPr>
      <w:docPartBody>
        <w:p w:rsidR="00114898" w:rsidRDefault="009836F1">
          <w:pPr>
            <w:pStyle w:val="703D0D386FB448329095062685DA01BB"/>
          </w:pPr>
          <w:r w:rsidRPr="0045331C">
            <w:rPr>
              <w:rStyle w:val="PlaceholderText"/>
            </w:rPr>
            <w:t>Choose an item.</w:t>
          </w:r>
        </w:p>
      </w:docPartBody>
    </w:docPart>
    <w:docPart>
      <w:docPartPr>
        <w:name w:val="AA3F430C24A344B7B131049C4B98C880"/>
        <w:category>
          <w:name w:val="General"/>
          <w:gallery w:val="placeholder"/>
        </w:category>
        <w:types>
          <w:type w:val="bbPlcHdr"/>
        </w:types>
        <w:behaviors>
          <w:behavior w:val="content"/>
        </w:behaviors>
        <w:guid w:val="{EA2E8C04-2A92-4EE0-85EC-DAF9F05B330E}"/>
      </w:docPartPr>
      <w:docPartBody>
        <w:p w:rsidR="00114898" w:rsidRDefault="009836F1">
          <w:pPr>
            <w:pStyle w:val="AA3F430C24A344B7B131049C4B98C880"/>
          </w:pPr>
          <w:r w:rsidRPr="0045331C">
            <w:rPr>
              <w:rStyle w:val="PlaceholderText"/>
            </w:rPr>
            <w:t>Choose an item.</w:t>
          </w:r>
        </w:p>
      </w:docPartBody>
    </w:docPart>
    <w:docPart>
      <w:docPartPr>
        <w:name w:val="7163FDDE01344F30BE6491AA91745DAD"/>
        <w:category>
          <w:name w:val="General"/>
          <w:gallery w:val="placeholder"/>
        </w:category>
        <w:types>
          <w:type w:val="bbPlcHdr"/>
        </w:types>
        <w:behaviors>
          <w:behavior w:val="content"/>
        </w:behaviors>
        <w:guid w:val="{79F92512-708D-413B-9304-37B5526941DB}"/>
      </w:docPartPr>
      <w:docPartBody>
        <w:p w:rsidR="00114898" w:rsidRDefault="009836F1">
          <w:pPr>
            <w:pStyle w:val="7163FDDE01344F30BE6491AA91745DAD"/>
          </w:pPr>
          <w:r w:rsidRPr="0045331C">
            <w:rPr>
              <w:rStyle w:val="PlaceholderText"/>
            </w:rPr>
            <w:t>Choose an item.</w:t>
          </w:r>
        </w:p>
      </w:docPartBody>
    </w:docPart>
    <w:docPart>
      <w:docPartPr>
        <w:name w:val="9FE9CCA6BA0940C09283EDDF3BC356EF"/>
        <w:category>
          <w:name w:val="General"/>
          <w:gallery w:val="placeholder"/>
        </w:category>
        <w:types>
          <w:type w:val="bbPlcHdr"/>
        </w:types>
        <w:behaviors>
          <w:behavior w:val="content"/>
        </w:behaviors>
        <w:guid w:val="{E5B8BCC9-BEC2-48E7-819E-87D53D5C6C44}"/>
      </w:docPartPr>
      <w:docPartBody>
        <w:p w:rsidR="00114898" w:rsidRDefault="009836F1">
          <w:pPr>
            <w:pStyle w:val="9FE9CCA6BA0940C09283EDDF3BC356EF"/>
          </w:pPr>
          <w:r w:rsidRPr="004D61C9">
            <w:rPr>
              <w:rStyle w:val="PlaceholderText"/>
              <w:highlight w:val="yellow"/>
            </w:rPr>
            <w:t>Choose an item.</w:t>
          </w:r>
        </w:p>
      </w:docPartBody>
    </w:docPart>
    <w:docPart>
      <w:docPartPr>
        <w:name w:val="F87EA736CAAE497098CFAB494038D52D"/>
        <w:category>
          <w:name w:val="General"/>
          <w:gallery w:val="placeholder"/>
        </w:category>
        <w:types>
          <w:type w:val="bbPlcHdr"/>
        </w:types>
        <w:behaviors>
          <w:behavior w:val="content"/>
        </w:behaviors>
        <w:guid w:val="{17906497-5E54-4E02-A7E5-69CDFD806F3F}"/>
      </w:docPartPr>
      <w:docPartBody>
        <w:p w:rsidR="00114898" w:rsidRDefault="009836F1">
          <w:pPr>
            <w:pStyle w:val="F87EA736CAAE497098CFAB494038D52D"/>
          </w:pPr>
          <w:r w:rsidRPr="00F20180">
            <w:rPr>
              <w:rStyle w:val="PlaceholderText"/>
              <w:highlight w:val="yellow"/>
            </w:rPr>
            <w:t>Choose an item.</w:t>
          </w:r>
        </w:p>
      </w:docPartBody>
    </w:docPart>
    <w:docPart>
      <w:docPartPr>
        <w:name w:val="255E30EAC289435A8DE04653341C3A22"/>
        <w:category>
          <w:name w:val="General"/>
          <w:gallery w:val="placeholder"/>
        </w:category>
        <w:types>
          <w:type w:val="bbPlcHdr"/>
        </w:types>
        <w:behaviors>
          <w:behavior w:val="content"/>
        </w:behaviors>
        <w:guid w:val="{EBEF11DC-5FCE-4E36-A0F2-D5951FC4E743}"/>
      </w:docPartPr>
      <w:docPartBody>
        <w:p w:rsidR="00114898" w:rsidRDefault="009836F1">
          <w:pPr>
            <w:pStyle w:val="255E30EAC289435A8DE04653341C3A22"/>
          </w:pPr>
          <w:r w:rsidRPr="0045331C">
            <w:rPr>
              <w:rStyle w:val="PlaceholderText"/>
            </w:rPr>
            <w:t>Choose an item.</w:t>
          </w:r>
        </w:p>
      </w:docPartBody>
    </w:docPart>
    <w:docPart>
      <w:docPartPr>
        <w:name w:val="A076AB8A713340A7929C061C6E074154"/>
        <w:category>
          <w:name w:val="General"/>
          <w:gallery w:val="placeholder"/>
        </w:category>
        <w:types>
          <w:type w:val="bbPlcHdr"/>
        </w:types>
        <w:behaviors>
          <w:behavior w:val="content"/>
        </w:behaviors>
        <w:guid w:val="{F3623FAA-6054-407C-AB63-2E2AF54C975E}"/>
      </w:docPartPr>
      <w:docPartBody>
        <w:p w:rsidR="00114898" w:rsidRDefault="009836F1">
          <w:pPr>
            <w:pStyle w:val="A076AB8A713340A7929C061C6E074154"/>
          </w:pPr>
          <w:r w:rsidRPr="00F20180">
            <w:rPr>
              <w:rStyle w:val="PlaceholderText"/>
              <w:highlight w:val="yellow"/>
            </w:rPr>
            <w:t>Choose an item.</w:t>
          </w:r>
        </w:p>
      </w:docPartBody>
    </w:docPart>
    <w:docPart>
      <w:docPartPr>
        <w:name w:val="2239F1CB0CAB4B7CA186482EA99C0DC3"/>
        <w:category>
          <w:name w:val="General"/>
          <w:gallery w:val="placeholder"/>
        </w:category>
        <w:types>
          <w:type w:val="bbPlcHdr"/>
        </w:types>
        <w:behaviors>
          <w:behavior w:val="content"/>
        </w:behaviors>
        <w:guid w:val="{D0EC7B31-8745-4A48-8E14-858604E4AF9B}"/>
      </w:docPartPr>
      <w:docPartBody>
        <w:p w:rsidR="00114898" w:rsidRDefault="009836F1">
          <w:pPr>
            <w:pStyle w:val="2239F1CB0CAB4B7CA186482EA99C0DC3"/>
          </w:pPr>
          <w:r w:rsidRPr="0045331C">
            <w:rPr>
              <w:rStyle w:val="PlaceholderText"/>
            </w:rPr>
            <w:t>Choose an item.</w:t>
          </w:r>
        </w:p>
      </w:docPartBody>
    </w:docPart>
    <w:docPart>
      <w:docPartPr>
        <w:name w:val="3D0767BD70AD4BB7A004CCD061D50F12"/>
        <w:category>
          <w:name w:val="General"/>
          <w:gallery w:val="placeholder"/>
        </w:category>
        <w:types>
          <w:type w:val="bbPlcHdr"/>
        </w:types>
        <w:behaviors>
          <w:behavior w:val="content"/>
        </w:behaviors>
        <w:guid w:val="{AC69868B-4449-4035-A7D9-1E5A9FBFFB84}"/>
      </w:docPartPr>
      <w:docPartBody>
        <w:p w:rsidR="00114898" w:rsidRDefault="009836F1">
          <w:pPr>
            <w:pStyle w:val="3D0767BD70AD4BB7A004CCD061D50F12"/>
          </w:pPr>
          <w:r w:rsidRPr="00F20180">
            <w:rPr>
              <w:rStyle w:val="PlaceholderText"/>
              <w:highlight w:val="yellow"/>
            </w:rPr>
            <w:t>Choose an item.</w:t>
          </w:r>
        </w:p>
      </w:docPartBody>
    </w:docPart>
    <w:docPart>
      <w:docPartPr>
        <w:name w:val="E31E8892A8DC4CE686A1166C712F1348"/>
        <w:category>
          <w:name w:val="General"/>
          <w:gallery w:val="placeholder"/>
        </w:category>
        <w:types>
          <w:type w:val="bbPlcHdr"/>
        </w:types>
        <w:behaviors>
          <w:behavior w:val="content"/>
        </w:behaviors>
        <w:guid w:val="{7B9B3C96-2699-41A7-B4EF-3467C22F0D1A}"/>
      </w:docPartPr>
      <w:docPartBody>
        <w:p w:rsidR="00D249C6" w:rsidRDefault="009836F1">
          <w:pPr>
            <w:pStyle w:val="E31E8892A8DC4CE686A1166C712F1348"/>
          </w:pPr>
          <w:r w:rsidRPr="004533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6F1"/>
    <w:rsid w:val="00002CA2"/>
    <w:rsid w:val="000102C0"/>
    <w:rsid w:val="000A40AF"/>
    <w:rsid w:val="000A6F79"/>
    <w:rsid w:val="000D6DB7"/>
    <w:rsid w:val="00114898"/>
    <w:rsid w:val="00132810"/>
    <w:rsid w:val="001665CA"/>
    <w:rsid w:val="001A09BE"/>
    <w:rsid w:val="001D46DA"/>
    <w:rsid w:val="00230ED5"/>
    <w:rsid w:val="002A56C9"/>
    <w:rsid w:val="00350AEA"/>
    <w:rsid w:val="00356112"/>
    <w:rsid w:val="00361CE6"/>
    <w:rsid w:val="004573F2"/>
    <w:rsid w:val="0049585D"/>
    <w:rsid w:val="004F30C2"/>
    <w:rsid w:val="00563610"/>
    <w:rsid w:val="005660D6"/>
    <w:rsid w:val="005E7387"/>
    <w:rsid w:val="006B0A9B"/>
    <w:rsid w:val="00730307"/>
    <w:rsid w:val="00871508"/>
    <w:rsid w:val="00921A2E"/>
    <w:rsid w:val="009447C9"/>
    <w:rsid w:val="00981C7F"/>
    <w:rsid w:val="009836F1"/>
    <w:rsid w:val="00A855BD"/>
    <w:rsid w:val="00B15076"/>
    <w:rsid w:val="00D10B0F"/>
    <w:rsid w:val="00D249C6"/>
    <w:rsid w:val="00D32336"/>
    <w:rsid w:val="00D654C3"/>
    <w:rsid w:val="00D6550B"/>
    <w:rsid w:val="00DA7CC7"/>
    <w:rsid w:val="00DE0010"/>
    <w:rsid w:val="00E10208"/>
    <w:rsid w:val="00E13E5B"/>
    <w:rsid w:val="00EB07C1"/>
    <w:rsid w:val="00FB1ACC"/>
    <w:rsid w:val="00FD48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0A9B"/>
    <w:rPr>
      <w:color w:val="808080"/>
    </w:rPr>
  </w:style>
  <w:style w:type="paragraph" w:customStyle="1" w:styleId="8103322B078641A9A98DC1B474F29AB8">
    <w:name w:val="8103322B078641A9A98DC1B474F29AB8"/>
  </w:style>
  <w:style w:type="paragraph" w:customStyle="1" w:styleId="C4F3B210625A49D1A68855672522768C">
    <w:name w:val="C4F3B210625A49D1A68855672522768C"/>
  </w:style>
  <w:style w:type="paragraph" w:customStyle="1" w:styleId="3D0059D951D64E7187A8BEC276E4D5DE">
    <w:name w:val="3D0059D951D64E7187A8BEC276E4D5DE"/>
  </w:style>
  <w:style w:type="paragraph" w:customStyle="1" w:styleId="D217EAE77AE049DFAAB7FB06C2A55358">
    <w:name w:val="D217EAE77AE049DFAAB7FB06C2A55358"/>
  </w:style>
  <w:style w:type="paragraph" w:customStyle="1" w:styleId="77BBBD97678C4C10950B924FB291B6F0">
    <w:name w:val="77BBBD97678C4C10950B924FB291B6F0"/>
  </w:style>
  <w:style w:type="paragraph" w:customStyle="1" w:styleId="703D0D386FB448329095062685DA01BB">
    <w:name w:val="703D0D386FB448329095062685DA01BB"/>
  </w:style>
  <w:style w:type="paragraph" w:customStyle="1" w:styleId="AA3F430C24A344B7B131049C4B98C880">
    <w:name w:val="AA3F430C24A344B7B131049C4B98C880"/>
  </w:style>
  <w:style w:type="paragraph" w:customStyle="1" w:styleId="7163FDDE01344F30BE6491AA91745DAD">
    <w:name w:val="7163FDDE01344F30BE6491AA91745DAD"/>
  </w:style>
  <w:style w:type="paragraph" w:customStyle="1" w:styleId="9FE9CCA6BA0940C09283EDDF3BC356EF">
    <w:name w:val="9FE9CCA6BA0940C09283EDDF3BC356EF"/>
  </w:style>
  <w:style w:type="paragraph" w:customStyle="1" w:styleId="F87EA736CAAE497098CFAB494038D52D">
    <w:name w:val="F87EA736CAAE497098CFAB494038D52D"/>
  </w:style>
  <w:style w:type="paragraph" w:customStyle="1" w:styleId="255E30EAC289435A8DE04653341C3A22">
    <w:name w:val="255E30EAC289435A8DE04653341C3A22"/>
  </w:style>
  <w:style w:type="paragraph" w:customStyle="1" w:styleId="A076AB8A713340A7929C061C6E074154">
    <w:name w:val="A076AB8A713340A7929C061C6E074154"/>
  </w:style>
  <w:style w:type="paragraph" w:customStyle="1" w:styleId="2239F1CB0CAB4B7CA186482EA99C0DC3">
    <w:name w:val="2239F1CB0CAB4B7CA186482EA99C0DC3"/>
  </w:style>
  <w:style w:type="paragraph" w:customStyle="1" w:styleId="3D0767BD70AD4BB7A004CCD061D50F12">
    <w:name w:val="3D0767BD70AD4BB7A004CCD061D50F12"/>
  </w:style>
  <w:style w:type="paragraph" w:customStyle="1" w:styleId="E31E8892A8DC4CE686A1166C712F1348">
    <w:name w:val="E31E8892A8DC4CE686A1166C712F13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FE1FFCE0-E0E2-4DDC-A3FE-02272A048C68}"/>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A8C0F07C-0C5A-4C1F-B33C-F859475FFF08}">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purl.org/dc/terms/"/>
    <ds:schemaRef ds:uri="344c6e69-c594-4ca4-b341-09ae9dfc1422"/>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DA88B2A4-12DD-4DCF-87D7-97588243638B}">
  <ds:schemaRefs>
    <ds:schemaRef ds:uri="http://schemas.microsoft.com/sharepoint/events"/>
  </ds:schemaRefs>
</ds:datastoreItem>
</file>

<file path=customXml/itemProps6.xml><?xml version="1.0" encoding="utf-8"?>
<ds:datastoreItem xmlns:ds="http://schemas.openxmlformats.org/officeDocument/2006/customXml" ds:itemID="{7498B7C6-65EA-405F-91F0-923A2F578F2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9408</Words>
  <Characters>53630</Characters>
  <Application>Microsoft Office Word</Application>
  <DocSecurity>4</DocSecurity>
  <Lines>446</Lines>
  <Paragraphs>125</Paragraphs>
  <ScaleCrop>false</ScaleCrop>
  <HeadingPairs>
    <vt:vector size="2" baseType="variant">
      <vt:variant>
        <vt:lpstr>Title</vt:lpstr>
      </vt:variant>
      <vt:variant>
        <vt:i4>1</vt:i4>
      </vt:variant>
    </vt:vector>
  </HeadingPairs>
  <TitlesOfParts>
    <vt:vector size="1" baseType="lpstr">
      <vt:lpstr>Conservation Advice for Stipiturus malachurus parimeda (Eyre Peninsula southern emu-wren)</vt:lpstr>
    </vt:vector>
  </TitlesOfParts>
  <Company/>
  <LinksUpToDate>false</LinksUpToDate>
  <CharactersWithSpaces>62913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Advice for Stipiturus malachurus parimeda (Eyre Peninsula southern emu-wren)</dc:title>
  <dc:creator>Department of Agriculture, Water and the Environment</dc:creator>
  <cp:lastModifiedBy>Bec Durack</cp:lastModifiedBy>
  <cp:revision>2</cp:revision>
  <cp:lastPrinted>2020-12-10T04:50:00Z</cp:lastPrinted>
  <dcterms:created xsi:type="dcterms:W3CDTF">2022-03-31T01:40:00Z</dcterms:created>
  <dcterms:modified xsi:type="dcterms:W3CDTF">2022-03-31T01:40:00Z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WorkflowType">
    <vt:lpwstr>ActiveSubmitStub</vt:lpwstr>
  </property>
  <property fmtid="{D5CDD505-2E9C-101B-9397-08002B2CF9AE}" pid="3" name="RecordPoint_ActiveItemSiteId">
    <vt:lpwstr>{8003c3b3-d20c-4e9a-bee9-0e2243d810ee}</vt:lpwstr>
  </property>
  <property fmtid="{D5CDD505-2E9C-101B-9397-08002B2CF9AE}" pid="4" name="RecordPoint_ActiveItemListId">
    <vt:lpwstr>{c2343697-786a-4864-9b9e-d8eda4729cc2}</vt:lpwstr>
  </property>
  <property fmtid="{D5CDD505-2E9C-101B-9397-08002B2CF9AE}" pid="5" name="RecordPoint_ActiveItemUniqueId">
    <vt:lpwstr>{9a5f5aba-fcf1-4455-bb70-92fcd883c93e}</vt:lpwstr>
  </property>
  <property fmtid="{D5CDD505-2E9C-101B-9397-08002B2CF9AE}" pid="6" name="RecordPoint_ActiveItemWebId">
    <vt:lpwstr>{ce0940a8-fbdd-4d61-aa5f-5fccf7e3a693}</vt:lpwstr>
  </property>
  <property fmtid="{D5CDD505-2E9C-101B-9397-08002B2CF9AE}" pid="7" name="RecordPoint_SubmissionDate">
    <vt:lpwstr/>
  </property>
  <property fmtid="{D5CDD505-2E9C-101B-9397-08002B2CF9AE}" pid="8" name="RecordPoint_RecordNumberSubmitted">
    <vt:lpwstr/>
  </property>
  <property fmtid="{D5CDD505-2E9C-101B-9397-08002B2CF9AE}" pid="9" name="RecordPoint_ActiveItemMoved">
    <vt:lpwstr/>
  </property>
  <property fmtid="{D5CDD505-2E9C-101B-9397-08002B2CF9AE}" pid="10" name="RecordPoint_SubmissionCompleted">
    <vt:lpwstr/>
  </property>
  <property fmtid="{D5CDD505-2E9C-101B-9397-08002B2CF9AE}" pid="11" name="RecordPoint_RecordFormat">
    <vt:lpwstr/>
  </property>
  <property fmtid="{D5CDD505-2E9C-101B-9397-08002B2CF9AE}" pid="12" name="ContentTypeId">
    <vt:lpwstr>0x0101004B6FD6131ACCD942B99EE496FC609FF4</vt:lpwstr>
  </property>
</Properties>
</file>