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95E5" w14:textId="77777777" w:rsidR="00BC2F05" w:rsidRPr="003140BB" w:rsidRDefault="00772FB6" w:rsidP="00032C1B">
      <w:pPr>
        <w:pStyle w:val="Heading1"/>
      </w:pPr>
      <w:bookmarkStart w:id="0" w:name="commodity"/>
      <w:bookmarkStart w:id="1" w:name="_Hlk87458256"/>
      <w:r>
        <w:t>Dragon fruit</w:t>
      </w:r>
      <w:bookmarkEnd w:id="0"/>
      <w:r>
        <w:t xml:space="preserve"> </w:t>
      </w:r>
      <w:r w:rsidRPr="00A8063E">
        <w:t>from</w:t>
      </w:r>
      <w:r>
        <w:t xml:space="preserve"> </w:t>
      </w:r>
      <w:bookmarkStart w:id="2" w:name="country"/>
      <w:r>
        <w:t>the Philippines</w:t>
      </w:r>
      <w:bookmarkEnd w:id="2"/>
      <w:r>
        <w:t xml:space="preserve">: biosecurity import requirements </w:t>
      </w:r>
      <w:bookmarkStart w:id="3" w:name="draft_final"/>
      <w:r>
        <w:t>draft</w:t>
      </w:r>
      <w:bookmarkEnd w:id="3"/>
      <w:r>
        <w:t xml:space="preserve"> </w:t>
      </w:r>
      <w:r w:rsidRPr="00A26A4F">
        <w:t>report</w:t>
      </w:r>
    </w:p>
    <w:p w14:paraId="1047564D" w14:textId="77777777" w:rsidR="00BC2F05" w:rsidRDefault="00772FB6" w:rsidP="00032C1B">
      <w:bookmarkStart w:id="4" w:name="month"/>
      <w:r>
        <w:t>December</w:t>
      </w:r>
      <w:bookmarkEnd w:id="4"/>
      <w:r>
        <w:t xml:space="preserve"> </w:t>
      </w:r>
      <w:bookmarkStart w:id="5" w:name="year"/>
      <w:r>
        <w:t>2022</w:t>
      </w:r>
      <w:bookmarkEnd w:id="5"/>
    </w:p>
    <w:p w14:paraId="1BC66EDD" w14:textId="77777777" w:rsidR="00BC2F05" w:rsidRDefault="00BC2F05" w:rsidP="00032C1B">
      <w:bookmarkStart w:id="6" w:name="_Hlk114578100"/>
      <w:bookmarkEnd w:id="6"/>
    </w:p>
    <w:p w14:paraId="2697D22E" w14:textId="77777777" w:rsidR="00BC2F05" w:rsidRDefault="00772FB6" w:rsidP="00032C1B">
      <w:r>
        <w:rPr>
          <w:noProof/>
          <w:sz w:val="16"/>
          <w:szCs w:val="16"/>
        </w:rPr>
        <w:drawing>
          <wp:inline distT="0" distB="0" distL="0" distR="0" wp14:anchorId="64C5DA94" wp14:editId="155F509C">
            <wp:extent cx="5987333" cy="3991555"/>
            <wp:effectExtent l="0" t="0" r="0" b="9525"/>
            <wp:docPr id="8" name="Picture 8" descr="A picture containing dragon fruit on a 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64831" name="Picture 8" descr="A picture containing dragon fruit on a plate.&#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3641" cy="3995761"/>
                    </a:xfrm>
                    <a:prstGeom prst="rect">
                      <a:avLst/>
                    </a:prstGeom>
                  </pic:spPr>
                </pic:pic>
              </a:graphicData>
            </a:graphic>
          </wp:inline>
        </w:drawing>
      </w:r>
    </w:p>
    <w:p w14:paraId="2966E389" w14:textId="77777777" w:rsidR="00BC2F05" w:rsidRDefault="00BC2F05" w:rsidP="00032C1B"/>
    <w:p w14:paraId="6B33DAC7" w14:textId="77777777" w:rsidR="00BC2F05" w:rsidRDefault="00BC2F05" w:rsidP="00032C1B"/>
    <w:p w14:paraId="3F5D0698" w14:textId="77777777" w:rsidR="00BC2F05" w:rsidRDefault="00BC2F05" w:rsidP="00032C1B">
      <w:pPr>
        <w:pStyle w:val="Picture"/>
        <w:rPr>
          <w:noProof w:val="0"/>
          <w:color w:val="000000" w:themeColor="text1"/>
          <w:sz w:val="18"/>
          <w:lang w:eastAsia="en-US"/>
        </w:rPr>
        <w:sectPr w:rsidR="00BC2F05" w:rsidSect="00F23D35">
          <w:headerReference w:type="default" r:id="rId8"/>
          <w:footerReference w:type="default" r:id="rId9"/>
          <w:pgSz w:w="11906" w:h="16838"/>
          <w:pgMar w:top="1440" w:right="1440" w:bottom="1440" w:left="1440" w:header="708" w:footer="708" w:gutter="0"/>
          <w:cols w:space="708"/>
          <w:docGrid w:linePitch="360"/>
        </w:sectPr>
      </w:pPr>
    </w:p>
    <w:p w14:paraId="6ED2CA43" w14:textId="77777777" w:rsidR="00BC2F05" w:rsidRDefault="00772FB6" w:rsidP="00032C1B">
      <w:pPr>
        <w:pStyle w:val="Normalsmall"/>
        <w:rPr>
          <w:color w:val="000000" w:themeColor="text1"/>
        </w:rPr>
      </w:pPr>
      <w:r>
        <w:rPr>
          <w:color w:val="000000" w:themeColor="text1"/>
        </w:rPr>
        <w:lastRenderedPageBreak/>
        <w:t xml:space="preserve">© Commonwealth of Australia </w:t>
      </w:r>
      <w:fldSimple w:instr=" REF  year  \* MERGEFORMAT " w:fldLock="1">
        <w:r>
          <w:t>2022</w:t>
        </w:r>
      </w:fldSimple>
    </w:p>
    <w:p w14:paraId="27A64C66" w14:textId="77777777" w:rsidR="00BC2F05" w:rsidRPr="002A24C9" w:rsidRDefault="00772FB6" w:rsidP="00032C1B">
      <w:pPr>
        <w:pStyle w:val="Normalsmall"/>
        <w:rPr>
          <w:color w:val="000000" w:themeColor="text1"/>
        </w:rPr>
      </w:pPr>
      <w:r w:rsidRPr="002A24C9">
        <w:rPr>
          <w:rFonts w:ascii="Calibri" w:hAnsi="Calibri"/>
          <w:b/>
          <w:color w:val="000000" w:themeColor="text1"/>
        </w:rPr>
        <w:t>Ownership of intellectual property rights</w:t>
      </w:r>
    </w:p>
    <w:p w14:paraId="31CDB9CD" w14:textId="77777777" w:rsidR="00BC2F05" w:rsidRPr="00800AEB" w:rsidRDefault="00772FB6" w:rsidP="00032C1B">
      <w:pPr>
        <w:pStyle w:val="Normalsmall"/>
        <w:rPr>
          <w:color w:val="000000" w:themeColor="text1"/>
        </w:rPr>
      </w:pPr>
      <w:r w:rsidRPr="00800AEB">
        <w:rPr>
          <w:color w:val="000000" w:themeColor="text1"/>
        </w:rPr>
        <w:t>Unless otherwise noted, copyright (and any other intellectual property rights</w:t>
      </w:r>
      <w:r>
        <w:rPr>
          <w:color w:val="000000" w:themeColor="text1"/>
        </w:rPr>
        <w:t>, if any</w:t>
      </w:r>
      <w:r w:rsidRPr="00800AEB">
        <w:rPr>
          <w:color w:val="000000" w:themeColor="text1"/>
        </w:rPr>
        <w:t>) in this publication is owned by the Commonwealth of Australia (referred to as the Commonwealth).</w:t>
      </w:r>
    </w:p>
    <w:p w14:paraId="3C5DB1A8" w14:textId="77777777" w:rsidR="00BC2F05" w:rsidRPr="00800AEB" w:rsidRDefault="00772FB6" w:rsidP="00032C1B">
      <w:pPr>
        <w:pStyle w:val="Normalsmall"/>
        <w:rPr>
          <w:rFonts w:ascii="Calibri" w:hAnsi="Calibri"/>
          <w:b/>
          <w:color w:val="000000" w:themeColor="text1"/>
        </w:rPr>
      </w:pPr>
      <w:r w:rsidRPr="00800AEB">
        <w:rPr>
          <w:rFonts w:ascii="Calibri" w:hAnsi="Calibri"/>
          <w:b/>
          <w:color w:val="000000" w:themeColor="text1"/>
        </w:rPr>
        <w:t>Creative Commons licence</w:t>
      </w:r>
    </w:p>
    <w:p w14:paraId="71755F1B" w14:textId="77D9FA90" w:rsidR="00BC2F05" w:rsidRDefault="00772FB6" w:rsidP="00032C1B">
      <w:pPr>
        <w:pStyle w:val="Normalsmall"/>
      </w:pPr>
      <w:r w:rsidRPr="00800AEB">
        <w:rPr>
          <w:color w:val="000000" w:themeColor="text1"/>
        </w:rPr>
        <w:t xml:space="preserve">All material in this publication is licensed under </w:t>
      </w:r>
      <w:r>
        <w:t xml:space="preserve">a </w:t>
      </w:r>
      <w:hyperlink r:id="rId10" w:history="1">
        <w:r w:rsidR="00A74525">
          <w:rPr>
            <w:rStyle w:val="Hyperlink"/>
          </w:rPr>
          <w:t>Creative Commons Attribution 4.0 International Licence</w:t>
        </w:r>
      </w:hyperlink>
      <w:r w:rsidR="00A74525">
        <w:rPr>
          <w:rStyle w:val="Hyperlink"/>
        </w:rPr>
        <w:t xml:space="preserve"> </w:t>
      </w:r>
      <w:r>
        <w:t xml:space="preserve">except content supplied by third parties, photographic images, </w:t>
      </w:r>
      <w:proofErr w:type="gramStart"/>
      <w:r>
        <w:t>logos</w:t>
      </w:r>
      <w:proofErr w:type="gramEnd"/>
      <w:r>
        <w:t xml:space="preserve"> and the Commonwealth Coat of Arms.</w:t>
      </w:r>
    </w:p>
    <w:p w14:paraId="3ECE9049" w14:textId="27E0FEF9" w:rsidR="00BC2F05" w:rsidRPr="00364A4A" w:rsidRDefault="00772FB6" w:rsidP="00430DCB">
      <w:pPr>
        <w:pStyle w:val="Normalsmall"/>
      </w:pPr>
      <w:r>
        <w:t xml:space="preserve">Inquiries about the licence and any use of this document should be </w:t>
      </w:r>
      <w:r w:rsidRPr="00364A4A">
        <w:t xml:space="preserve">emailed to </w:t>
      </w:r>
      <w:hyperlink r:id="rId11" w:history="1">
        <w:r w:rsidR="00A74525" w:rsidRPr="00743CC0">
          <w:rPr>
            <w:rStyle w:val="Hyperlink"/>
          </w:rPr>
          <w:t>copyright@agriculture.gov.au</w:t>
        </w:r>
      </w:hyperlink>
      <w:r w:rsidRPr="00364A4A">
        <w:t>.</w:t>
      </w:r>
    </w:p>
    <w:p w14:paraId="15821591" w14:textId="77777777" w:rsidR="00BC2F05" w:rsidRDefault="00772FB6" w:rsidP="00032C1B">
      <w:pPr>
        <w:pStyle w:val="Normalsmall"/>
      </w:pPr>
      <w:r>
        <w:rPr>
          <w:noProof/>
          <w:lang w:eastAsia="en-AU"/>
        </w:rPr>
        <w:drawing>
          <wp:inline distT="0" distB="0" distL="0" distR="0" wp14:anchorId="04A43948" wp14:editId="2B363302">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58078" name="Picture 1" descr="Copyright image CC BY 4.0."/>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A82155F" w14:textId="77777777" w:rsidR="00BC2F05" w:rsidRPr="008B146C" w:rsidRDefault="00772FB6" w:rsidP="00032C1B">
      <w:pPr>
        <w:pStyle w:val="Normalsmall"/>
        <w:rPr>
          <w:rStyle w:val="Strong"/>
        </w:rPr>
      </w:pPr>
      <w:r>
        <w:rPr>
          <w:rStyle w:val="Strong"/>
        </w:rPr>
        <w:t>Cataloguing data</w:t>
      </w:r>
    </w:p>
    <w:p w14:paraId="2B7AB21B" w14:textId="77777777" w:rsidR="00BC2F05" w:rsidRPr="0086721D" w:rsidRDefault="00772FB6" w:rsidP="00032C1B">
      <w:pPr>
        <w:pStyle w:val="Normalsmall"/>
      </w:pPr>
      <w:r w:rsidRPr="0086721D">
        <w:t>This publication (and any material sourced from it) should be attributed as: DA</w:t>
      </w:r>
      <w:r>
        <w:t>FF</w:t>
      </w:r>
      <w:r w:rsidRPr="0086721D">
        <w:t xml:space="preserve"> </w:t>
      </w:r>
      <w:fldSimple w:instr=" REF  year  \* MERGEFORMAT " w:fldLock="1">
        <w:r>
          <w:t>2022</w:t>
        </w:r>
      </w:fldSimple>
      <w:r w:rsidRPr="0086721D">
        <w:t xml:space="preserve">, </w:t>
      </w:r>
      <w:r w:rsidRPr="0086721D">
        <w:rPr>
          <w:rStyle w:val="Emphasis"/>
        </w:rPr>
        <w:fldChar w:fldCharType="begin" w:fldLock="1"/>
      </w:r>
      <w:r w:rsidRPr="0086721D">
        <w:rPr>
          <w:rStyle w:val="Emphasis"/>
        </w:rPr>
        <w:instrText xml:space="preserve"> REF commodity  \* MERGEFORMAT </w:instrText>
      </w:r>
      <w:r w:rsidRPr="0086721D">
        <w:rPr>
          <w:rStyle w:val="Emphasis"/>
        </w:rPr>
        <w:fldChar w:fldCharType="separate"/>
      </w:r>
      <w:r w:rsidRPr="007678C4">
        <w:rPr>
          <w:rStyle w:val="Emphasis"/>
        </w:rPr>
        <w:t xml:space="preserve">Dragon </w:t>
      </w:r>
      <w:r>
        <w:t>fruit</w:t>
      </w:r>
      <w:r w:rsidRPr="0086721D">
        <w:rPr>
          <w:rStyle w:val="Emphasis"/>
        </w:rPr>
        <w:fldChar w:fldCharType="end"/>
      </w:r>
      <w:r w:rsidRPr="0086721D">
        <w:rPr>
          <w:rStyle w:val="Emphasis"/>
        </w:rPr>
        <w:t xml:space="preserve"> from </w:t>
      </w:r>
      <w:r w:rsidRPr="0086721D">
        <w:rPr>
          <w:rStyle w:val="Emphasis"/>
        </w:rPr>
        <w:fldChar w:fldCharType="begin" w:fldLock="1"/>
      </w:r>
      <w:r w:rsidRPr="0086721D">
        <w:rPr>
          <w:rStyle w:val="Emphasis"/>
        </w:rPr>
        <w:instrText xml:space="preserve"> REF  country  \* MERGEFORMAT </w:instrText>
      </w:r>
      <w:r w:rsidRPr="0086721D">
        <w:rPr>
          <w:rStyle w:val="Emphasis"/>
        </w:rPr>
        <w:fldChar w:fldCharType="separate"/>
      </w:r>
      <w:r w:rsidRPr="007678C4">
        <w:rPr>
          <w:rStyle w:val="Emphasis"/>
        </w:rPr>
        <w:t xml:space="preserve">the </w:t>
      </w:r>
      <w:r>
        <w:t>Philippines</w:t>
      </w:r>
      <w:r w:rsidRPr="0086721D">
        <w:rPr>
          <w:rStyle w:val="Emphasis"/>
        </w:rPr>
        <w:fldChar w:fldCharType="end"/>
      </w:r>
      <w:r w:rsidRPr="0086721D">
        <w:rPr>
          <w:rStyle w:val="Emphasis"/>
        </w:rPr>
        <w:t xml:space="preserve">: biosecurity import requirements </w:t>
      </w:r>
      <w:r w:rsidRPr="0086721D">
        <w:rPr>
          <w:rStyle w:val="Emphasis"/>
        </w:rPr>
        <w:fldChar w:fldCharType="begin" w:fldLock="1"/>
      </w:r>
      <w:r w:rsidRPr="0086721D">
        <w:rPr>
          <w:rStyle w:val="Emphasis"/>
        </w:rPr>
        <w:instrText xml:space="preserve"> REF  draft_final  \* MERGEFORMAT </w:instrText>
      </w:r>
      <w:r w:rsidRPr="0086721D">
        <w:rPr>
          <w:rStyle w:val="Emphasis"/>
        </w:rPr>
        <w:fldChar w:fldCharType="separate"/>
      </w:r>
      <w:r w:rsidRPr="007678C4">
        <w:rPr>
          <w:rStyle w:val="Emphasis"/>
        </w:rPr>
        <w:t>draft</w:t>
      </w:r>
      <w:r w:rsidRPr="0086721D">
        <w:rPr>
          <w:rStyle w:val="Emphasis"/>
        </w:rPr>
        <w:fldChar w:fldCharType="end"/>
      </w:r>
      <w:r w:rsidRPr="0086721D">
        <w:rPr>
          <w:rStyle w:val="Emphasis"/>
        </w:rPr>
        <w:t xml:space="preserve"> report</w:t>
      </w:r>
      <w:r w:rsidRPr="0086721D">
        <w:t xml:space="preserve">, Department of Agriculture, </w:t>
      </w:r>
      <w:r>
        <w:t>Fisheries and Forestry</w:t>
      </w:r>
      <w:r w:rsidRPr="0086721D">
        <w:t>, Canberra, CC BY 4.0.</w:t>
      </w:r>
    </w:p>
    <w:p w14:paraId="1D0F926C" w14:textId="39A3BEE6" w:rsidR="00BC2F05" w:rsidRDefault="00772FB6" w:rsidP="00032C1B">
      <w:pPr>
        <w:pStyle w:val="Normalsmall"/>
      </w:pPr>
      <w:r w:rsidRPr="00101CBE">
        <w:rPr>
          <w:color w:val="000000" w:themeColor="text1"/>
        </w:rPr>
        <w:t xml:space="preserve">This publication is available </w:t>
      </w:r>
      <w:r w:rsidR="00A74525" w:rsidRPr="00101CBE">
        <w:rPr>
          <w:color w:val="000000" w:themeColor="text1"/>
        </w:rPr>
        <w:t xml:space="preserve">at </w:t>
      </w:r>
      <w:hyperlink r:id="rId13" w:history="1">
        <w:r w:rsidR="00A74525" w:rsidRPr="000844F0">
          <w:rPr>
            <w:rStyle w:val="Hyperlink"/>
          </w:rPr>
          <w:t>agriculture.gov.au/biosecurity-trade/policy/risk-analysis/plant/dragon-fruit-from-Philippines</w:t>
        </w:r>
      </w:hyperlink>
      <w:r w:rsidR="00A74525">
        <w:t>.</w:t>
      </w:r>
    </w:p>
    <w:p w14:paraId="79710030" w14:textId="77777777" w:rsidR="00BC2F05" w:rsidRDefault="00772FB6" w:rsidP="00032C1B">
      <w:pPr>
        <w:pStyle w:val="Normalsmall"/>
        <w:spacing w:after="0"/>
      </w:pPr>
      <w:r>
        <w:t>Department of Agriculture, Fisheries and Forestry</w:t>
      </w:r>
    </w:p>
    <w:p w14:paraId="7F213229" w14:textId="77777777" w:rsidR="00BC2F05" w:rsidRDefault="00772FB6" w:rsidP="00032C1B">
      <w:pPr>
        <w:pStyle w:val="Normalsmall"/>
        <w:spacing w:after="0"/>
      </w:pPr>
      <w:r>
        <w:t>GPO Box 858 Canberra ACT 2601</w:t>
      </w:r>
    </w:p>
    <w:p w14:paraId="378E517F" w14:textId="77777777" w:rsidR="00BC2F05" w:rsidRDefault="00772FB6" w:rsidP="00032C1B">
      <w:pPr>
        <w:pStyle w:val="Normalsmall"/>
        <w:spacing w:after="0"/>
      </w:pPr>
      <w:r>
        <w:t>Telephone 1800 900 090</w:t>
      </w:r>
    </w:p>
    <w:p w14:paraId="628DB6C7" w14:textId="77777777" w:rsidR="00A74525" w:rsidRDefault="00A74525" w:rsidP="00A74525">
      <w:pPr>
        <w:pStyle w:val="Normalsmall"/>
        <w:spacing w:after="0"/>
        <w:rPr>
          <w:color w:val="000000" w:themeColor="text1"/>
        </w:rPr>
      </w:pPr>
      <w:r>
        <w:t xml:space="preserve">Web </w:t>
      </w:r>
      <w:hyperlink r:id="rId14" w:history="1">
        <w:r w:rsidRPr="00D425DB">
          <w:rPr>
            <w:rStyle w:val="Hyperlink"/>
          </w:rPr>
          <w:t>a</w:t>
        </w:r>
        <w:r>
          <w:rPr>
            <w:rStyle w:val="Hyperlink"/>
          </w:rPr>
          <w:t>griculture</w:t>
        </w:r>
        <w:r w:rsidRPr="00D425DB">
          <w:rPr>
            <w:rStyle w:val="Hyperlink"/>
          </w:rPr>
          <w:t>.gov.au</w:t>
        </w:r>
      </w:hyperlink>
    </w:p>
    <w:p w14:paraId="71A9DD76" w14:textId="77777777" w:rsidR="00A74525" w:rsidRPr="007A3E3B" w:rsidRDefault="00A74525" w:rsidP="00A74525">
      <w:pPr>
        <w:pStyle w:val="Normalsmall"/>
        <w:rPr>
          <w:color w:val="000000" w:themeColor="text1"/>
        </w:rPr>
      </w:pPr>
      <w:r w:rsidRPr="007A3E3B">
        <w:rPr>
          <w:color w:val="000000" w:themeColor="text1"/>
        </w:rPr>
        <w:t>Email:</w:t>
      </w:r>
      <w:r>
        <w:rPr>
          <w:color w:val="000000" w:themeColor="text1"/>
        </w:rPr>
        <w:t xml:space="preserve"> </w:t>
      </w:r>
      <w:hyperlink r:id="rId15" w:history="1">
        <w:r w:rsidRPr="000844F0">
          <w:rPr>
            <w:rStyle w:val="Hyperlink"/>
          </w:rPr>
          <w:t>plantstakeholders@agriculture.gov.au</w:t>
        </w:r>
      </w:hyperlink>
    </w:p>
    <w:p w14:paraId="4F2BBF78" w14:textId="77777777" w:rsidR="00BC2F05" w:rsidRPr="008B146C" w:rsidRDefault="00772FB6" w:rsidP="00032C1B">
      <w:pPr>
        <w:pStyle w:val="Normalsmall"/>
        <w:rPr>
          <w:rStyle w:val="Strong"/>
        </w:rPr>
      </w:pPr>
      <w:r>
        <w:rPr>
          <w:rStyle w:val="Strong"/>
        </w:rPr>
        <w:t>Disclaimer</w:t>
      </w:r>
    </w:p>
    <w:p w14:paraId="5C5D2D1E" w14:textId="77777777" w:rsidR="00BC2F05" w:rsidRDefault="00772FB6" w:rsidP="00032C1B">
      <w:pPr>
        <w:pStyle w:val="Normalsmall"/>
        <w:rPr>
          <w:color w:val="000000" w:themeColor="text1"/>
        </w:rPr>
      </w:pPr>
      <w:r w:rsidRPr="00101CBE">
        <w:rPr>
          <w:color w:val="000000" w:themeColor="text1"/>
        </w:rPr>
        <w:t>The Australian Government acting through the Departm</w:t>
      </w:r>
      <w:r>
        <w:rPr>
          <w:color w:val="000000" w:themeColor="text1"/>
        </w:rPr>
        <w:t>ent of Agriculture, Fisheries and Forestry</w:t>
      </w:r>
      <w:r w:rsidRPr="00101CBE">
        <w:rPr>
          <w:color w:val="000000" w:themeColor="text1"/>
        </w:rPr>
        <w:t xml:space="preserve"> has exercised due care and skill in preparing and compiling the information </w:t>
      </w:r>
      <w:r>
        <w:rPr>
          <w:color w:val="000000" w:themeColor="text1"/>
        </w:rPr>
        <w:t xml:space="preserve">and data </w:t>
      </w:r>
      <w:r w:rsidRPr="00101CBE">
        <w:rPr>
          <w:color w:val="000000" w:themeColor="text1"/>
        </w:rPr>
        <w:t>in this publication. Notwithstanding, the Department of</w:t>
      </w:r>
      <w:r>
        <w:rPr>
          <w:color w:val="000000" w:themeColor="text1"/>
        </w:rPr>
        <w:t xml:space="preserve"> Agriculture</w:t>
      </w:r>
      <w:r w:rsidRPr="00101CBE">
        <w:rPr>
          <w:color w:val="000000" w:themeColor="text1"/>
        </w:rPr>
        <w:t>,</w:t>
      </w:r>
      <w:r>
        <w:rPr>
          <w:color w:val="000000" w:themeColor="text1"/>
        </w:rPr>
        <w:t xml:space="preserve"> Fisheries and Forestry,</w:t>
      </w:r>
      <w:r w:rsidRPr="00101CBE">
        <w:rPr>
          <w:color w:val="000000" w:themeColor="text1"/>
        </w:rPr>
        <w:t xml:space="preserve"> its employees and advisers disclaim all liability, including liability for negligence and for any loss, damage, injury, </w:t>
      </w:r>
      <w:proofErr w:type="gramStart"/>
      <w:r w:rsidRPr="00101CBE">
        <w:rPr>
          <w:color w:val="000000" w:themeColor="text1"/>
        </w:rPr>
        <w:t>expense</w:t>
      </w:r>
      <w:proofErr w:type="gramEnd"/>
      <w:r w:rsidRPr="00101CBE">
        <w:rPr>
          <w:color w:val="000000" w:themeColor="text1"/>
        </w:rPr>
        <w:t xml:space="preserve"> or cost incurred by any person as a result of accessing, using or relying upon any of the information or data in this publication to the maximum extent permitted by law.</w:t>
      </w:r>
    </w:p>
    <w:p w14:paraId="7D98BF85" w14:textId="77777777" w:rsidR="00BC2F05" w:rsidRDefault="00772FB6" w:rsidP="00032C1B">
      <w:pPr>
        <w:pStyle w:val="Normalsmall"/>
      </w:pPr>
      <w:r>
        <w:rPr>
          <w:rStyle w:val="Strong"/>
        </w:rPr>
        <w:t>Acknowledgement of Country</w:t>
      </w:r>
    </w:p>
    <w:p w14:paraId="67F85989" w14:textId="77777777" w:rsidR="00BC2F05" w:rsidRPr="00A2294D" w:rsidRDefault="00772FB6" w:rsidP="00032C1B">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3D8FBF4D" w14:textId="77777777" w:rsidR="00BC2F05" w:rsidRPr="002B2A18" w:rsidRDefault="00772FB6" w:rsidP="00032C1B">
      <w:pPr>
        <w:pStyle w:val="Normalsmall"/>
        <w:rPr>
          <w:rStyle w:val="Strong"/>
        </w:rPr>
      </w:pPr>
      <w:r w:rsidRPr="002B2A18">
        <w:rPr>
          <w:rStyle w:val="Strong"/>
        </w:rPr>
        <w:t>Stakeholder submissions on draft reports</w:t>
      </w:r>
    </w:p>
    <w:p w14:paraId="4EAAC157" w14:textId="77777777" w:rsidR="00BC2F05" w:rsidRPr="00E65D6D" w:rsidRDefault="00772FB6" w:rsidP="00032C1B">
      <w:pPr>
        <w:pStyle w:val="Normalsmall"/>
      </w:pPr>
      <w:r w:rsidRPr="00E65D6D">
        <w:t>This draft report has been issued to give all interested parties an opportunity to comment on relevant technical biosecurity issues, with supporting rationale. A final report will then be produced taking into consideration any comments received.</w:t>
      </w:r>
    </w:p>
    <w:p w14:paraId="07C814AE" w14:textId="77777777" w:rsidR="00BC2F05" w:rsidRPr="008D0946" w:rsidRDefault="00772FB6" w:rsidP="00032C1B">
      <w:pPr>
        <w:pStyle w:val="Normalsmall"/>
        <w:sectPr w:rsidR="00BC2F05" w:rsidRPr="008D0946" w:rsidSect="00E53C3B">
          <w:headerReference w:type="even" r:id="rId16"/>
          <w:headerReference w:type="default" r:id="rId17"/>
          <w:footerReference w:type="default" r:id="rId18"/>
          <w:headerReference w:type="first" r:id="rId19"/>
          <w:pgSz w:w="11906" w:h="16838"/>
          <w:pgMar w:top="1418" w:right="1418" w:bottom="1418" w:left="1418" w:header="567" w:footer="454" w:gutter="0"/>
          <w:pgNumType w:fmt="lowerRoman" w:start="2"/>
          <w:cols w:space="708"/>
          <w:docGrid w:linePitch="360"/>
        </w:sectPr>
      </w:pPr>
      <w:r w:rsidRPr="00E65D6D">
        <w:t>Submissions should be sent to the D</w:t>
      </w:r>
      <w:r>
        <w:t>epartment of Agriculture, Fisheries and Forestry</w:t>
      </w:r>
      <w:r w:rsidRPr="00E65D6D">
        <w:t xml:space="preserve"> following the conditions specified within the related Biosecurity Advice, which is available at:</w:t>
      </w:r>
      <w:r>
        <w:t xml:space="preserve"> </w:t>
      </w:r>
      <w:r>
        <w:rPr>
          <w:color w:val="165788"/>
          <w:u w:val="single"/>
        </w:rPr>
        <w:t>agriculture.gov.au/biosecurity-trade/policy/risk-analysis/memos</w:t>
      </w:r>
      <w:r>
        <w:t>.</w:t>
      </w:r>
    </w:p>
    <w:p w14:paraId="21CE042C" w14:textId="77777777" w:rsidR="00BC2F05" w:rsidRDefault="00772FB6" w:rsidP="00032C1B">
      <w:pPr>
        <w:pStyle w:val="TOCHeading"/>
      </w:pPr>
      <w:r w:rsidRPr="00772548">
        <w:lastRenderedPageBreak/>
        <w:t>Contents</w:t>
      </w:r>
    </w:p>
    <w:p w14:paraId="7782BEDC" w14:textId="2A8F5D2E" w:rsidR="005E6C25" w:rsidRDefault="00772FB6">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t>Summary</w:t>
      </w:r>
      <w:r>
        <w:tab/>
      </w:r>
      <w:r>
        <w:fldChar w:fldCharType="begin"/>
      </w:r>
      <w:r>
        <w:instrText xml:space="preserve"> PAGEREF _Toc119493088 \h </w:instrText>
      </w:r>
      <w:r>
        <w:fldChar w:fldCharType="separate"/>
      </w:r>
      <w:r w:rsidR="000C0A09">
        <w:t>vii</w:t>
      </w:r>
      <w:r>
        <w:fldChar w:fldCharType="end"/>
      </w:r>
    </w:p>
    <w:p w14:paraId="6DE0E492" w14:textId="010F0830" w:rsidR="005E6C25" w:rsidRDefault="00772FB6">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_Toc119493089 \h </w:instrText>
      </w:r>
      <w:r>
        <w:fldChar w:fldCharType="separate"/>
      </w:r>
      <w:r w:rsidR="000C0A09">
        <w:t>1</w:t>
      </w:r>
      <w:r>
        <w:fldChar w:fldCharType="end"/>
      </w:r>
    </w:p>
    <w:p w14:paraId="67ADAF8B" w14:textId="4BA0970D" w:rsidR="005E6C25" w:rsidRDefault="00772FB6">
      <w:pPr>
        <w:pStyle w:val="TOC2"/>
        <w:tabs>
          <w:tab w:val="left" w:pos="1105"/>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_Toc119493090 \h </w:instrText>
      </w:r>
      <w:r>
        <w:fldChar w:fldCharType="separate"/>
      </w:r>
      <w:r w:rsidR="000C0A09">
        <w:t>1</w:t>
      </w:r>
      <w:r>
        <w:fldChar w:fldCharType="end"/>
      </w:r>
    </w:p>
    <w:p w14:paraId="0D34671A" w14:textId="3B115459" w:rsidR="005E6C25" w:rsidRDefault="00772FB6">
      <w:pPr>
        <w:pStyle w:val="TOC2"/>
        <w:tabs>
          <w:tab w:val="left" w:pos="1105"/>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_Toc119493091 \h </w:instrText>
      </w:r>
      <w:r>
        <w:fldChar w:fldCharType="separate"/>
      </w:r>
      <w:r w:rsidR="000C0A09">
        <w:t>1</w:t>
      </w:r>
      <w:r>
        <w:fldChar w:fldCharType="end"/>
      </w:r>
    </w:p>
    <w:p w14:paraId="2E6410BC" w14:textId="2D13DC24" w:rsidR="005E6C25" w:rsidRDefault="00772FB6">
      <w:pPr>
        <w:pStyle w:val="TOC1"/>
        <w:rPr>
          <w:rFonts w:eastAsiaTheme="minorEastAsia"/>
          <w:b w:val="0"/>
          <w:lang w:eastAsia="en-AU"/>
        </w:rPr>
      </w:pPr>
      <w:r>
        <w:t>2</w:t>
      </w:r>
      <w:r>
        <w:rPr>
          <w:rFonts w:eastAsiaTheme="minorEastAsia"/>
          <w:b w:val="0"/>
          <w:lang w:eastAsia="en-AU"/>
        </w:rPr>
        <w:tab/>
      </w:r>
      <w:r>
        <w:t>Commercial production practices for dragon fruit in the Philippines</w:t>
      </w:r>
      <w:r>
        <w:tab/>
      </w:r>
      <w:r>
        <w:fldChar w:fldCharType="begin"/>
      </w:r>
      <w:r>
        <w:instrText xml:space="preserve"> PAGEREF _Toc119493092 \h </w:instrText>
      </w:r>
      <w:r>
        <w:fldChar w:fldCharType="separate"/>
      </w:r>
      <w:r w:rsidR="000C0A09">
        <w:t>9</w:t>
      </w:r>
      <w:r>
        <w:fldChar w:fldCharType="end"/>
      </w:r>
    </w:p>
    <w:p w14:paraId="4FE2D04A" w14:textId="582509C0" w:rsidR="005E6C25" w:rsidRDefault="00772FB6">
      <w:pPr>
        <w:pStyle w:val="TOC2"/>
        <w:tabs>
          <w:tab w:val="left" w:pos="1105"/>
        </w:tabs>
        <w:rPr>
          <w:rFonts w:eastAsiaTheme="minorEastAsia"/>
          <w:lang w:eastAsia="en-AU"/>
        </w:rPr>
      </w:pPr>
      <w:r>
        <w:t>2.1</w:t>
      </w:r>
      <w:r>
        <w:rPr>
          <w:rFonts w:eastAsiaTheme="minorEastAsia"/>
          <w:lang w:eastAsia="en-AU"/>
        </w:rPr>
        <w:tab/>
      </w:r>
      <w:r>
        <w:t>Considerations used in estimating unrestricted risk</w:t>
      </w:r>
      <w:r>
        <w:tab/>
      </w:r>
      <w:r>
        <w:fldChar w:fldCharType="begin"/>
      </w:r>
      <w:r>
        <w:instrText xml:space="preserve"> PAGEREF _Toc119493093 \h </w:instrText>
      </w:r>
      <w:r>
        <w:fldChar w:fldCharType="separate"/>
      </w:r>
      <w:r w:rsidR="000C0A09">
        <w:t>9</w:t>
      </w:r>
      <w:r>
        <w:fldChar w:fldCharType="end"/>
      </w:r>
    </w:p>
    <w:p w14:paraId="4B5D9879" w14:textId="6A16CC37" w:rsidR="005E6C25" w:rsidRDefault="00772FB6">
      <w:pPr>
        <w:pStyle w:val="TOC2"/>
        <w:tabs>
          <w:tab w:val="left" w:pos="1105"/>
        </w:tabs>
        <w:rPr>
          <w:rFonts w:eastAsiaTheme="minorEastAsia"/>
          <w:lang w:eastAsia="en-AU"/>
        </w:rPr>
      </w:pPr>
      <w:r>
        <w:t>2.2</w:t>
      </w:r>
      <w:r>
        <w:rPr>
          <w:rFonts w:eastAsiaTheme="minorEastAsia"/>
          <w:lang w:eastAsia="en-AU"/>
        </w:rPr>
        <w:tab/>
      </w:r>
      <w:r>
        <w:t>Production areas of dragon fruit</w:t>
      </w:r>
      <w:r>
        <w:tab/>
      </w:r>
      <w:r>
        <w:fldChar w:fldCharType="begin"/>
      </w:r>
      <w:r>
        <w:instrText xml:space="preserve"> PAGEREF _Toc119493094 \h </w:instrText>
      </w:r>
      <w:r>
        <w:fldChar w:fldCharType="separate"/>
      </w:r>
      <w:r w:rsidR="000C0A09">
        <w:t>9</w:t>
      </w:r>
      <w:r>
        <w:fldChar w:fldCharType="end"/>
      </w:r>
    </w:p>
    <w:p w14:paraId="60AF41E2" w14:textId="6BDDE1A0" w:rsidR="005E6C25" w:rsidRDefault="00772FB6">
      <w:pPr>
        <w:pStyle w:val="TOC2"/>
        <w:tabs>
          <w:tab w:val="left" w:pos="1105"/>
        </w:tabs>
        <w:rPr>
          <w:rFonts w:eastAsiaTheme="minorEastAsia"/>
          <w:lang w:eastAsia="en-AU"/>
        </w:rPr>
      </w:pPr>
      <w:r>
        <w:t>2.3</w:t>
      </w:r>
      <w:r>
        <w:rPr>
          <w:rFonts w:eastAsiaTheme="minorEastAsia"/>
          <w:lang w:eastAsia="en-AU"/>
        </w:rPr>
        <w:tab/>
      </w:r>
      <w:r>
        <w:t>Climate in production areas</w:t>
      </w:r>
      <w:r>
        <w:tab/>
      </w:r>
      <w:r>
        <w:fldChar w:fldCharType="begin"/>
      </w:r>
      <w:r>
        <w:instrText xml:space="preserve"> PAGEREF _Toc119493095 \h </w:instrText>
      </w:r>
      <w:r>
        <w:fldChar w:fldCharType="separate"/>
      </w:r>
      <w:r w:rsidR="000C0A09">
        <w:t>10</w:t>
      </w:r>
      <w:r>
        <w:fldChar w:fldCharType="end"/>
      </w:r>
    </w:p>
    <w:p w14:paraId="3E7F5278" w14:textId="5213F8FD" w:rsidR="005E6C25" w:rsidRDefault="00772FB6">
      <w:pPr>
        <w:pStyle w:val="TOC2"/>
        <w:tabs>
          <w:tab w:val="left" w:pos="1105"/>
        </w:tabs>
        <w:rPr>
          <w:rFonts w:eastAsiaTheme="minorEastAsia"/>
          <w:lang w:eastAsia="en-AU"/>
        </w:rPr>
      </w:pPr>
      <w:r>
        <w:t>2.4</w:t>
      </w:r>
      <w:r>
        <w:rPr>
          <w:rFonts w:eastAsiaTheme="minorEastAsia"/>
          <w:lang w:eastAsia="en-AU"/>
        </w:rPr>
        <w:tab/>
      </w:r>
      <w:r>
        <w:t>Pre-harvest</w:t>
      </w:r>
      <w:r>
        <w:tab/>
      </w:r>
      <w:r>
        <w:fldChar w:fldCharType="begin"/>
      </w:r>
      <w:r>
        <w:instrText xml:space="preserve"> PAGEREF _Toc119493096 \h </w:instrText>
      </w:r>
      <w:r>
        <w:fldChar w:fldCharType="separate"/>
      </w:r>
      <w:r w:rsidR="000C0A09">
        <w:t>13</w:t>
      </w:r>
      <w:r>
        <w:fldChar w:fldCharType="end"/>
      </w:r>
    </w:p>
    <w:p w14:paraId="358B977E" w14:textId="3E913811" w:rsidR="005E6C25" w:rsidRDefault="00772FB6">
      <w:pPr>
        <w:pStyle w:val="TOC2"/>
        <w:tabs>
          <w:tab w:val="left" w:pos="1105"/>
        </w:tabs>
        <w:rPr>
          <w:rFonts w:eastAsiaTheme="minorEastAsia"/>
          <w:lang w:eastAsia="en-AU"/>
        </w:rPr>
      </w:pPr>
      <w:r>
        <w:t>2.5</w:t>
      </w:r>
      <w:r>
        <w:rPr>
          <w:rFonts w:eastAsiaTheme="minorEastAsia"/>
          <w:lang w:eastAsia="en-AU"/>
        </w:rPr>
        <w:tab/>
      </w:r>
      <w:r>
        <w:t>Harvesting and handling procedures</w:t>
      </w:r>
      <w:r>
        <w:tab/>
      </w:r>
      <w:r>
        <w:fldChar w:fldCharType="begin"/>
      </w:r>
      <w:r>
        <w:instrText xml:space="preserve"> PAGEREF _Toc119493097 \h </w:instrText>
      </w:r>
      <w:r>
        <w:fldChar w:fldCharType="separate"/>
      </w:r>
      <w:r w:rsidR="000C0A09">
        <w:t>19</w:t>
      </w:r>
      <w:r>
        <w:fldChar w:fldCharType="end"/>
      </w:r>
    </w:p>
    <w:p w14:paraId="473F84B4" w14:textId="57854CDB" w:rsidR="005E6C25" w:rsidRDefault="00772FB6">
      <w:pPr>
        <w:pStyle w:val="TOC2"/>
        <w:tabs>
          <w:tab w:val="left" w:pos="1105"/>
        </w:tabs>
        <w:rPr>
          <w:rFonts w:eastAsiaTheme="minorEastAsia"/>
          <w:lang w:eastAsia="en-AU"/>
        </w:rPr>
      </w:pPr>
      <w:r>
        <w:t>2.6</w:t>
      </w:r>
      <w:r>
        <w:rPr>
          <w:rFonts w:eastAsiaTheme="minorEastAsia"/>
          <w:lang w:eastAsia="en-AU"/>
        </w:rPr>
        <w:tab/>
      </w:r>
      <w:r>
        <w:t>Post-harvest</w:t>
      </w:r>
      <w:r>
        <w:tab/>
      </w:r>
      <w:r>
        <w:fldChar w:fldCharType="begin"/>
      </w:r>
      <w:r>
        <w:instrText xml:space="preserve"> PAGEREF _Toc119493098 \h </w:instrText>
      </w:r>
      <w:r>
        <w:fldChar w:fldCharType="separate"/>
      </w:r>
      <w:r w:rsidR="000C0A09">
        <w:t>20</w:t>
      </w:r>
      <w:r>
        <w:fldChar w:fldCharType="end"/>
      </w:r>
    </w:p>
    <w:p w14:paraId="6AD2D59D" w14:textId="1966685F" w:rsidR="005E6C25" w:rsidRDefault="00772FB6">
      <w:pPr>
        <w:pStyle w:val="TOC2"/>
        <w:tabs>
          <w:tab w:val="left" w:pos="1105"/>
        </w:tabs>
        <w:rPr>
          <w:rFonts w:eastAsiaTheme="minorEastAsia"/>
          <w:lang w:eastAsia="en-AU"/>
        </w:rPr>
      </w:pPr>
      <w:r>
        <w:t>2.7</w:t>
      </w:r>
      <w:r>
        <w:rPr>
          <w:rFonts w:eastAsiaTheme="minorEastAsia"/>
          <w:lang w:eastAsia="en-AU"/>
        </w:rPr>
        <w:tab/>
      </w:r>
      <w:r>
        <w:t>Export capability</w:t>
      </w:r>
      <w:r>
        <w:tab/>
      </w:r>
      <w:r>
        <w:fldChar w:fldCharType="begin"/>
      </w:r>
      <w:r>
        <w:instrText xml:space="preserve"> PAGEREF _Toc119493099 \h </w:instrText>
      </w:r>
      <w:r>
        <w:fldChar w:fldCharType="separate"/>
      </w:r>
      <w:r w:rsidR="000C0A09">
        <w:t>26</w:t>
      </w:r>
      <w:r>
        <w:fldChar w:fldCharType="end"/>
      </w:r>
    </w:p>
    <w:p w14:paraId="3559DB47" w14:textId="1B1D6E9F" w:rsidR="005E6C25" w:rsidRDefault="00772FB6">
      <w:pPr>
        <w:pStyle w:val="TOC1"/>
        <w:rPr>
          <w:rFonts w:eastAsiaTheme="minorEastAsia"/>
          <w:b w:val="0"/>
          <w:lang w:eastAsia="en-AU"/>
        </w:rPr>
      </w:pPr>
      <w:r>
        <w:t>3</w:t>
      </w:r>
      <w:r>
        <w:rPr>
          <w:rFonts w:eastAsiaTheme="minorEastAsia"/>
          <w:b w:val="0"/>
          <w:lang w:eastAsia="en-AU"/>
        </w:rPr>
        <w:tab/>
      </w:r>
      <w:r>
        <w:t>Pest risk assessments for quarantine pests</w:t>
      </w:r>
      <w:r>
        <w:tab/>
      </w:r>
      <w:r>
        <w:fldChar w:fldCharType="begin"/>
      </w:r>
      <w:r>
        <w:instrText xml:space="preserve"> PAGEREF _Toc119493100 \h </w:instrText>
      </w:r>
      <w:r>
        <w:fldChar w:fldCharType="separate"/>
      </w:r>
      <w:r w:rsidR="000C0A09">
        <w:t>28</w:t>
      </w:r>
      <w:r>
        <w:fldChar w:fldCharType="end"/>
      </w:r>
    </w:p>
    <w:p w14:paraId="533DF45B" w14:textId="7E484A31" w:rsidR="005E6C25" w:rsidRDefault="00772FB6">
      <w:pPr>
        <w:pStyle w:val="TOC2"/>
        <w:tabs>
          <w:tab w:val="left" w:pos="1105"/>
        </w:tabs>
        <w:rPr>
          <w:rFonts w:eastAsiaTheme="minorEastAsia"/>
          <w:lang w:eastAsia="en-AU"/>
        </w:rPr>
      </w:pPr>
      <w:r>
        <w:t>3.1</w:t>
      </w:r>
      <w:r>
        <w:rPr>
          <w:rFonts w:eastAsiaTheme="minorEastAsia"/>
          <w:lang w:eastAsia="en-AU"/>
        </w:rPr>
        <w:tab/>
      </w:r>
      <w:r>
        <w:t>Summary of outcomes of pest initiation and categorisation</w:t>
      </w:r>
      <w:r>
        <w:tab/>
      </w:r>
      <w:r>
        <w:fldChar w:fldCharType="begin"/>
      </w:r>
      <w:r>
        <w:instrText xml:space="preserve"> PAGEREF _Toc119493101 \h </w:instrText>
      </w:r>
      <w:r>
        <w:fldChar w:fldCharType="separate"/>
      </w:r>
      <w:r w:rsidR="000C0A09">
        <w:t>28</w:t>
      </w:r>
      <w:r>
        <w:fldChar w:fldCharType="end"/>
      </w:r>
    </w:p>
    <w:p w14:paraId="0AD41E6E" w14:textId="336ED852" w:rsidR="005E6C25" w:rsidRDefault="00772FB6">
      <w:pPr>
        <w:pStyle w:val="TOC2"/>
        <w:tabs>
          <w:tab w:val="left" w:pos="1105"/>
        </w:tabs>
        <w:rPr>
          <w:rFonts w:eastAsiaTheme="minorEastAsia"/>
          <w:lang w:eastAsia="en-AU"/>
        </w:rPr>
      </w:pPr>
      <w:r>
        <w:t>3.2</w:t>
      </w:r>
      <w:r>
        <w:rPr>
          <w:rFonts w:eastAsiaTheme="minorEastAsia"/>
          <w:lang w:eastAsia="en-AU"/>
        </w:rPr>
        <w:tab/>
      </w:r>
      <w:r>
        <w:t>Pests requiring further pest risk assessment</w:t>
      </w:r>
      <w:r>
        <w:tab/>
      </w:r>
      <w:r>
        <w:fldChar w:fldCharType="begin"/>
      </w:r>
      <w:r>
        <w:instrText xml:space="preserve"> PAGEREF _Toc119493102 \h </w:instrText>
      </w:r>
      <w:r>
        <w:fldChar w:fldCharType="separate"/>
      </w:r>
      <w:r w:rsidR="000C0A09">
        <w:t>28</w:t>
      </w:r>
      <w:r>
        <w:fldChar w:fldCharType="end"/>
      </w:r>
    </w:p>
    <w:p w14:paraId="06A00D80" w14:textId="09C81167" w:rsidR="005E6C25" w:rsidRDefault="00772FB6">
      <w:pPr>
        <w:pStyle w:val="TOC2"/>
        <w:tabs>
          <w:tab w:val="left" w:pos="1105"/>
        </w:tabs>
        <w:rPr>
          <w:rFonts w:eastAsiaTheme="minorEastAsia"/>
          <w:lang w:eastAsia="en-AU"/>
        </w:rPr>
      </w:pPr>
      <w:r>
        <w:t>3.3</w:t>
      </w:r>
      <w:r>
        <w:rPr>
          <w:rFonts w:eastAsiaTheme="minorEastAsia"/>
          <w:lang w:eastAsia="en-AU"/>
        </w:rPr>
        <w:tab/>
      </w:r>
      <w:r>
        <w:t>Overview of pest risk assessment</w:t>
      </w:r>
      <w:r>
        <w:tab/>
      </w:r>
      <w:r>
        <w:fldChar w:fldCharType="begin"/>
      </w:r>
      <w:r>
        <w:instrText xml:space="preserve"> PAGEREF _Toc119493103 \h </w:instrText>
      </w:r>
      <w:r>
        <w:fldChar w:fldCharType="separate"/>
      </w:r>
      <w:r w:rsidR="000C0A09">
        <w:t>29</w:t>
      </w:r>
      <w:r>
        <w:fldChar w:fldCharType="end"/>
      </w:r>
    </w:p>
    <w:p w14:paraId="45328911" w14:textId="3369321D" w:rsidR="005E6C25" w:rsidRDefault="00772FB6">
      <w:pPr>
        <w:pStyle w:val="TOC2"/>
        <w:tabs>
          <w:tab w:val="left" w:pos="1105"/>
        </w:tabs>
        <w:rPr>
          <w:rFonts w:eastAsiaTheme="minorEastAsia"/>
          <w:lang w:eastAsia="en-AU"/>
        </w:rPr>
      </w:pPr>
      <w:r>
        <w:t>3.4</w:t>
      </w:r>
      <w:r>
        <w:rPr>
          <w:rFonts w:eastAsiaTheme="minorEastAsia"/>
          <w:lang w:eastAsia="en-AU"/>
        </w:rPr>
        <w:tab/>
      </w:r>
      <w:r>
        <w:t>Fruit flies</w:t>
      </w:r>
      <w:r>
        <w:tab/>
      </w:r>
      <w:r>
        <w:fldChar w:fldCharType="begin"/>
      </w:r>
      <w:r>
        <w:instrText xml:space="preserve"> PAGEREF _Toc119493104 \h </w:instrText>
      </w:r>
      <w:r>
        <w:fldChar w:fldCharType="separate"/>
      </w:r>
      <w:r w:rsidR="000C0A09">
        <w:t>30</w:t>
      </w:r>
      <w:r>
        <w:fldChar w:fldCharType="end"/>
      </w:r>
    </w:p>
    <w:p w14:paraId="3EC13967" w14:textId="528DC8F4" w:rsidR="005E6C25" w:rsidRDefault="00772FB6">
      <w:pPr>
        <w:pStyle w:val="TOC2"/>
        <w:tabs>
          <w:tab w:val="left" w:pos="1105"/>
        </w:tabs>
        <w:rPr>
          <w:rFonts w:eastAsiaTheme="minorEastAsia"/>
          <w:lang w:eastAsia="en-AU"/>
        </w:rPr>
      </w:pPr>
      <w:r>
        <w:t>3.5</w:t>
      </w:r>
      <w:r>
        <w:rPr>
          <w:rFonts w:eastAsiaTheme="minorEastAsia"/>
          <w:lang w:eastAsia="en-AU"/>
        </w:rPr>
        <w:tab/>
      </w:r>
      <w:r>
        <w:t>Mealybugs</w:t>
      </w:r>
      <w:r>
        <w:tab/>
      </w:r>
      <w:r>
        <w:fldChar w:fldCharType="begin"/>
      </w:r>
      <w:r>
        <w:instrText xml:space="preserve"> PAGEREF _Toc119493105 \h </w:instrText>
      </w:r>
      <w:r>
        <w:fldChar w:fldCharType="separate"/>
      </w:r>
      <w:r w:rsidR="000C0A09">
        <w:t>35</w:t>
      </w:r>
      <w:r>
        <w:fldChar w:fldCharType="end"/>
      </w:r>
    </w:p>
    <w:p w14:paraId="15C3F14C" w14:textId="079DAC4D" w:rsidR="005E6C25" w:rsidRDefault="00772FB6">
      <w:pPr>
        <w:pStyle w:val="TOC2"/>
        <w:tabs>
          <w:tab w:val="left" w:pos="1105"/>
        </w:tabs>
        <w:rPr>
          <w:rFonts w:eastAsiaTheme="minorEastAsia"/>
          <w:lang w:eastAsia="en-AU"/>
        </w:rPr>
      </w:pPr>
      <w:r>
        <w:t>3.6</w:t>
      </w:r>
      <w:r>
        <w:rPr>
          <w:rFonts w:eastAsiaTheme="minorEastAsia"/>
          <w:lang w:eastAsia="en-AU"/>
        </w:rPr>
        <w:tab/>
      </w:r>
      <w:r>
        <w:t>Thrips</w:t>
      </w:r>
      <w:r>
        <w:tab/>
      </w:r>
      <w:r>
        <w:fldChar w:fldCharType="begin"/>
      </w:r>
      <w:r>
        <w:instrText xml:space="preserve"> PAGEREF _Toc119493106 \h </w:instrText>
      </w:r>
      <w:r>
        <w:fldChar w:fldCharType="separate"/>
      </w:r>
      <w:r w:rsidR="000C0A09">
        <w:t>37</w:t>
      </w:r>
      <w:r>
        <w:fldChar w:fldCharType="end"/>
      </w:r>
    </w:p>
    <w:p w14:paraId="190CB206" w14:textId="4074FCF6" w:rsidR="005E6C25" w:rsidRDefault="00772FB6">
      <w:pPr>
        <w:pStyle w:val="TOC2"/>
        <w:tabs>
          <w:tab w:val="left" w:pos="1105"/>
        </w:tabs>
        <w:rPr>
          <w:rFonts w:eastAsiaTheme="minorEastAsia"/>
          <w:lang w:eastAsia="en-AU"/>
        </w:rPr>
      </w:pPr>
      <w:r>
        <w:t>3.7</w:t>
      </w:r>
      <w:r>
        <w:rPr>
          <w:rFonts w:eastAsiaTheme="minorEastAsia"/>
          <w:lang w:eastAsia="en-AU"/>
        </w:rPr>
        <w:tab/>
      </w:r>
      <w:r>
        <w:t>Pest risk assessment conclusions</w:t>
      </w:r>
      <w:r>
        <w:tab/>
      </w:r>
      <w:r>
        <w:fldChar w:fldCharType="begin"/>
      </w:r>
      <w:r>
        <w:instrText xml:space="preserve"> PAGEREF _Toc119493107 \h </w:instrText>
      </w:r>
      <w:r>
        <w:fldChar w:fldCharType="separate"/>
      </w:r>
      <w:r w:rsidR="000C0A09">
        <w:t>39</w:t>
      </w:r>
      <w:r>
        <w:fldChar w:fldCharType="end"/>
      </w:r>
    </w:p>
    <w:p w14:paraId="1716599D" w14:textId="5B427947" w:rsidR="005E6C25" w:rsidRDefault="00772FB6">
      <w:pPr>
        <w:pStyle w:val="TOC1"/>
        <w:rPr>
          <w:rFonts w:eastAsiaTheme="minorEastAsia"/>
          <w:b w:val="0"/>
          <w:lang w:eastAsia="en-AU"/>
        </w:rPr>
      </w:pPr>
      <w:r>
        <w:t>4</w:t>
      </w:r>
      <w:r>
        <w:rPr>
          <w:rFonts w:eastAsiaTheme="minorEastAsia"/>
          <w:b w:val="0"/>
          <w:lang w:eastAsia="en-AU"/>
        </w:rPr>
        <w:tab/>
      </w:r>
      <w:r>
        <w:t>Pest risk management</w:t>
      </w:r>
      <w:r>
        <w:tab/>
      </w:r>
      <w:r>
        <w:fldChar w:fldCharType="begin"/>
      </w:r>
      <w:r>
        <w:instrText xml:space="preserve"> PAGEREF _Toc119493108 \h </w:instrText>
      </w:r>
      <w:r>
        <w:fldChar w:fldCharType="separate"/>
      </w:r>
      <w:r w:rsidR="000C0A09">
        <w:t>42</w:t>
      </w:r>
      <w:r>
        <w:fldChar w:fldCharType="end"/>
      </w:r>
    </w:p>
    <w:p w14:paraId="4F788FCF" w14:textId="735984A5" w:rsidR="005E6C25" w:rsidRDefault="00772FB6">
      <w:pPr>
        <w:pStyle w:val="TOC2"/>
        <w:tabs>
          <w:tab w:val="left" w:pos="1105"/>
        </w:tabs>
        <w:rPr>
          <w:rFonts w:eastAsiaTheme="minorEastAsia"/>
          <w:lang w:eastAsia="en-AU"/>
        </w:rPr>
      </w:pPr>
      <w:r>
        <w:t>4.1</w:t>
      </w:r>
      <w:r>
        <w:rPr>
          <w:rFonts w:eastAsiaTheme="minorEastAsia"/>
          <w:lang w:eastAsia="en-AU"/>
        </w:rPr>
        <w:tab/>
      </w:r>
      <w:r>
        <w:t>Pest risk management measures and phytosanitary procedures</w:t>
      </w:r>
      <w:r>
        <w:tab/>
      </w:r>
      <w:r>
        <w:fldChar w:fldCharType="begin"/>
      </w:r>
      <w:r>
        <w:instrText xml:space="preserve"> PAGEREF _Toc119493109 \h </w:instrText>
      </w:r>
      <w:r>
        <w:fldChar w:fldCharType="separate"/>
      </w:r>
      <w:r w:rsidR="000C0A09">
        <w:t>42</w:t>
      </w:r>
      <w:r>
        <w:fldChar w:fldCharType="end"/>
      </w:r>
    </w:p>
    <w:p w14:paraId="5F31E5BE" w14:textId="361F679B" w:rsidR="005E6C25" w:rsidRDefault="00772FB6">
      <w:pPr>
        <w:pStyle w:val="TOC2"/>
        <w:tabs>
          <w:tab w:val="left" w:pos="1105"/>
        </w:tabs>
        <w:rPr>
          <w:rFonts w:eastAsiaTheme="minorEastAsia"/>
          <w:lang w:eastAsia="en-AU"/>
        </w:rPr>
      </w:pPr>
      <w:r>
        <w:t>4.2</w:t>
      </w:r>
      <w:r>
        <w:rPr>
          <w:rFonts w:eastAsiaTheme="minorEastAsia"/>
          <w:lang w:eastAsia="en-AU"/>
        </w:rPr>
        <w:tab/>
      </w:r>
      <w:r>
        <w:t>Operational system for the assurance, maintenance and verification of phytosanitary status</w:t>
      </w:r>
      <w:r>
        <w:tab/>
      </w:r>
      <w:r>
        <w:fldChar w:fldCharType="begin"/>
      </w:r>
      <w:r>
        <w:instrText xml:space="preserve"> PAGEREF _Toc119493110 \h </w:instrText>
      </w:r>
      <w:r>
        <w:fldChar w:fldCharType="separate"/>
      </w:r>
      <w:r w:rsidR="000C0A09">
        <w:t>45</w:t>
      </w:r>
      <w:r>
        <w:fldChar w:fldCharType="end"/>
      </w:r>
    </w:p>
    <w:p w14:paraId="1847994B" w14:textId="558E6C5E" w:rsidR="005E6C25" w:rsidRDefault="00772FB6">
      <w:pPr>
        <w:pStyle w:val="TOC2"/>
        <w:tabs>
          <w:tab w:val="left" w:pos="1105"/>
        </w:tabs>
        <w:rPr>
          <w:rFonts w:eastAsiaTheme="minorEastAsia"/>
          <w:lang w:eastAsia="en-AU"/>
        </w:rPr>
      </w:pPr>
      <w:r>
        <w:t>4.3</w:t>
      </w:r>
      <w:r>
        <w:rPr>
          <w:rFonts w:eastAsiaTheme="minorEastAsia"/>
          <w:lang w:eastAsia="en-AU"/>
        </w:rPr>
        <w:tab/>
      </w:r>
      <w:r>
        <w:t>Uncategorised pests</w:t>
      </w:r>
      <w:r>
        <w:tab/>
      </w:r>
      <w:r>
        <w:fldChar w:fldCharType="begin"/>
      </w:r>
      <w:r>
        <w:instrText xml:space="preserve"> PAGEREF _Toc119493111 \h </w:instrText>
      </w:r>
      <w:r>
        <w:fldChar w:fldCharType="separate"/>
      </w:r>
      <w:r w:rsidR="000C0A09">
        <w:t>50</w:t>
      </w:r>
      <w:r>
        <w:fldChar w:fldCharType="end"/>
      </w:r>
    </w:p>
    <w:p w14:paraId="0DD0A1F9" w14:textId="5CB07BCD" w:rsidR="005E6C25" w:rsidRDefault="00772FB6">
      <w:pPr>
        <w:pStyle w:val="TOC2"/>
        <w:tabs>
          <w:tab w:val="left" w:pos="1105"/>
        </w:tabs>
        <w:rPr>
          <w:rFonts w:eastAsiaTheme="minorEastAsia"/>
          <w:lang w:eastAsia="en-AU"/>
        </w:rPr>
      </w:pPr>
      <w:r>
        <w:t>4.4</w:t>
      </w:r>
      <w:r>
        <w:rPr>
          <w:rFonts w:eastAsiaTheme="minorEastAsia"/>
          <w:lang w:eastAsia="en-AU"/>
        </w:rPr>
        <w:tab/>
      </w:r>
      <w:r>
        <w:t>Review of processes</w:t>
      </w:r>
      <w:r>
        <w:tab/>
      </w:r>
      <w:r>
        <w:fldChar w:fldCharType="begin"/>
      </w:r>
      <w:r>
        <w:instrText xml:space="preserve"> PAGEREF _Toc119493112 \h </w:instrText>
      </w:r>
      <w:r>
        <w:fldChar w:fldCharType="separate"/>
      </w:r>
      <w:r w:rsidR="000C0A09">
        <w:t>50</w:t>
      </w:r>
      <w:r>
        <w:fldChar w:fldCharType="end"/>
      </w:r>
    </w:p>
    <w:p w14:paraId="17E28B20" w14:textId="4A654FCD" w:rsidR="005E6C25" w:rsidRDefault="00772FB6">
      <w:pPr>
        <w:pStyle w:val="TOC2"/>
        <w:tabs>
          <w:tab w:val="left" w:pos="1105"/>
        </w:tabs>
        <w:rPr>
          <w:rFonts w:eastAsiaTheme="minorEastAsia"/>
          <w:lang w:eastAsia="en-AU"/>
        </w:rPr>
      </w:pPr>
      <w:r>
        <w:t>4.5</w:t>
      </w:r>
      <w:r>
        <w:rPr>
          <w:rFonts w:eastAsiaTheme="minorEastAsia"/>
          <w:lang w:eastAsia="en-AU"/>
        </w:rPr>
        <w:tab/>
      </w:r>
      <w:r>
        <w:t>Meeting Australia’s food laws</w:t>
      </w:r>
      <w:r>
        <w:tab/>
      </w:r>
      <w:r>
        <w:fldChar w:fldCharType="begin"/>
      </w:r>
      <w:r>
        <w:instrText xml:space="preserve"> PAGEREF _Toc119493113 \h </w:instrText>
      </w:r>
      <w:r>
        <w:fldChar w:fldCharType="separate"/>
      </w:r>
      <w:r w:rsidR="000C0A09">
        <w:t>50</w:t>
      </w:r>
      <w:r>
        <w:fldChar w:fldCharType="end"/>
      </w:r>
    </w:p>
    <w:p w14:paraId="690010E8" w14:textId="16406DB4" w:rsidR="005E6C25" w:rsidRDefault="00772FB6">
      <w:pPr>
        <w:pStyle w:val="TOC1"/>
        <w:rPr>
          <w:rFonts w:eastAsiaTheme="minorEastAsia"/>
          <w:b w:val="0"/>
          <w:lang w:eastAsia="en-AU"/>
        </w:rPr>
      </w:pPr>
      <w:r>
        <w:t>5</w:t>
      </w:r>
      <w:r>
        <w:rPr>
          <w:rFonts w:eastAsiaTheme="minorEastAsia"/>
          <w:b w:val="0"/>
          <w:lang w:eastAsia="en-AU"/>
        </w:rPr>
        <w:tab/>
      </w:r>
      <w:r>
        <w:t>Conclusion</w:t>
      </w:r>
      <w:r>
        <w:tab/>
      </w:r>
      <w:r>
        <w:fldChar w:fldCharType="begin"/>
      </w:r>
      <w:r>
        <w:instrText xml:space="preserve"> PAGEREF _Toc119493114 \h </w:instrText>
      </w:r>
      <w:r>
        <w:fldChar w:fldCharType="separate"/>
      </w:r>
      <w:r w:rsidR="000C0A09">
        <w:t>52</w:t>
      </w:r>
      <w:r>
        <w:fldChar w:fldCharType="end"/>
      </w:r>
    </w:p>
    <w:p w14:paraId="42957CA8" w14:textId="3B924044" w:rsidR="005E6C25" w:rsidRDefault="00772FB6">
      <w:pPr>
        <w:pStyle w:val="TOC1"/>
        <w:rPr>
          <w:rFonts w:eastAsiaTheme="minorEastAsia"/>
          <w:b w:val="0"/>
          <w:lang w:eastAsia="en-AU"/>
        </w:rPr>
      </w:pPr>
      <w:r>
        <w:t>Appendix A: Method for pest risk analysis</w:t>
      </w:r>
      <w:r>
        <w:tab/>
      </w:r>
      <w:r>
        <w:fldChar w:fldCharType="begin"/>
      </w:r>
      <w:r>
        <w:instrText xml:space="preserve"> PAGEREF _Toc119493115 \h </w:instrText>
      </w:r>
      <w:r>
        <w:fldChar w:fldCharType="separate"/>
      </w:r>
      <w:r w:rsidR="000C0A09">
        <w:t>53</w:t>
      </w:r>
      <w:r>
        <w:fldChar w:fldCharType="end"/>
      </w:r>
    </w:p>
    <w:p w14:paraId="7BDC13D7" w14:textId="5A75A62C" w:rsidR="005E6C25" w:rsidRDefault="00772FB6">
      <w:pPr>
        <w:pStyle w:val="TOC1"/>
        <w:rPr>
          <w:rFonts w:eastAsiaTheme="minorEastAsia"/>
          <w:b w:val="0"/>
          <w:lang w:eastAsia="en-AU"/>
        </w:rPr>
      </w:pPr>
      <w:r>
        <w:t>Appendix B: Initiation and categorisation for pests of dragon fruit from the Philippines</w:t>
      </w:r>
      <w:r>
        <w:tab/>
      </w:r>
      <w:r>
        <w:fldChar w:fldCharType="begin"/>
      </w:r>
      <w:r>
        <w:instrText xml:space="preserve"> PAGEREF _Toc119493116 \h </w:instrText>
      </w:r>
      <w:r>
        <w:fldChar w:fldCharType="separate"/>
      </w:r>
      <w:r w:rsidR="000C0A09">
        <w:t>66</w:t>
      </w:r>
      <w:r>
        <w:fldChar w:fldCharType="end"/>
      </w:r>
    </w:p>
    <w:p w14:paraId="44F22501" w14:textId="0F715905" w:rsidR="005E6C25" w:rsidRDefault="00772FB6">
      <w:pPr>
        <w:pStyle w:val="TOC1"/>
        <w:rPr>
          <w:rFonts w:eastAsiaTheme="minorEastAsia"/>
          <w:b w:val="0"/>
          <w:lang w:eastAsia="en-AU"/>
        </w:rPr>
      </w:pPr>
      <w:r>
        <w:t>Glossary, acronyms and abbreviations</w:t>
      </w:r>
      <w:r>
        <w:tab/>
      </w:r>
      <w:r>
        <w:fldChar w:fldCharType="begin"/>
      </w:r>
      <w:r>
        <w:instrText xml:space="preserve"> PAGEREF _Toc119493117 \h </w:instrText>
      </w:r>
      <w:r>
        <w:fldChar w:fldCharType="separate"/>
      </w:r>
      <w:r w:rsidR="000C0A09">
        <w:t>94</w:t>
      </w:r>
      <w:r>
        <w:fldChar w:fldCharType="end"/>
      </w:r>
    </w:p>
    <w:p w14:paraId="1882619F" w14:textId="77777777" w:rsidR="00BC2F05" w:rsidRDefault="00772FB6" w:rsidP="00032C1B">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Figures</w:t>
      </w:r>
    </w:p>
    <w:p w14:paraId="5CE7C476" w14:textId="4F50D3E9" w:rsidR="005E6C25" w:rsidRDefault="00772FB6">
      <w:pPr>
        <w:pStyle w:val="TableofFigures"/>
        <w:tabs>
          <w:tab w:val="right" w:leader="dot" w:pos="9060"/>
        </w:tabs>
        <w:rPr>
          <w:rFonts w:eastAsiaTheme="minorEastAsia"/>
          <w:noProof/>
          <w:lang w:eastAsia="en-AU"/>
        </w:rPr>
      </w:pPr>
      <w:r>
        <w:rPr>
          <w:lang w:val="en-US"/>
        </w:rPr>
        <w:fldChar w:fldCharType="begin"/>
      </w:r>
      <w:r>
        <w:rPr>
          <w:lang w:val="en-US"/>
        </w:rPr>
        <w:instrText xml:space="preserve"> TOC \f \t "Caption" \c </w:instrText>
      </w:r>
      <w:r>
        <w:rPr>
          <w:lang w:val="en-US"/>
        </w:rPr>
        <w:fldChar w:fldCharType="separate"/>
      </w:r>
      <w:r>
        <w:rPr>
          <w:noProof/>
        </w:rPr>
        <w:t>Figure 1.1 Cross section of a dragon fruit showing key parts of the fruit</w:t>
      </w:r>
      <w:r>
        <w:rPr>
          <w:noProof/>
        </w:rPr>
        <w:tab/>
      </w:r>
      <w:r>
        <w:rPr>
          <w:noProof/>
        </w:rPr>
        <w:fldChar w:fldCharType="begin"/>
      </w:r>
      <w:r>
        <w:rPr>
          <w:noProof/>
        </w:rPr>
        <w:instrText xml:space="preserve"> PAGEREF _Toc119493118 \h </w:instrText>
      </w:r>
      <w:r>
        <w:rPr>
          <w:noProof/>
        </w:rPr>
      </w:r>
      <w:r>
        <w:rPr>
          <w:noProof/>
        </w:rPr>
        <w:fldChar w:fldCharType="separate"/>
      </w:r>
      <w:r w:rsidR="000C0A09">
        <w:rPr>
          <w:noProof/>
        </w:rPr>
        <w:t>3</w:t>
      </w:r>
      <w:r>
        <w:rPr>
          <w:noProof/>
        </w:rPr>
        <w:fldChar w:fldCharType="end"/>
      </w:r>
    </w:p>
    <w:p w14:paraId="4268C972" w14:textId="72AE7BA1" w:rsidR="005E6C25" w:rsidRDefault="00772FB6">
      <w:pPr>
        <w:pStyle w:val="TableofFigures"/>
        <w:tabs>
          <w:tab w:val="right" w:leader="dot" w:pos="9060"/>
        </w:tabs>
        <w:rPr>
          <w:rFonts w:eastAsiaTheme="minorEastAsia"/>
          <w:noProof/>
          <w:lang w:eastAsia="en-AU"/>
        </w:rPr>
      </w:pPr>
      <w:r>
        <w:rPr>
          <w:noProof/>
        </w:rPr>
        <w:t>Figure 1.2 Process flow diagram for conducting a risk analysis</w:t>
      </w:r>
      <w:r>
        <w:rPr>
          <w:noProof/>
        </w:rPr>
        <w:tab/>
      </w:r>
      <w:r>
        <w:rPr>
          <w:noProof/>
        </w:rPr>
        <w:fldChar w:fldCharType="begin"/>
      </w:r>
      <w:r>
        <w:rPr>
          <w:noProof/>
        </w:rPr>
        <w:instrText xml:space="preserve"> PAGEREF _Toc119493119 \h </w:instrText>
      </w:r>
      <w:r>
        <w:rPr>
          <w:noProof/>
        </w:rPr>
      </w:r>
      <w:r>
        <w:rPr>
          <w:noProof/>
        </w:rPr>
        <w:fldChar w:fldCharType="separate"/>
      </w:r>
      <w:r w:rsidR="000C0A09">
        <w:rPr>
          <w:noProof/>
        </w:rPr>
        <w:t>6</w:t>
      </w:r>
      <w:r>
        <w:rPr>
          <w:noProof/>
        </w:rPr>
        <w:fldChar w:fldCharType="end"/>
      </w:r>
    </w:p>
    <w:p w14:paraId="4904E771" w14:textId="18F2A4EA" w:rsidR="005E6C25" w:rsidRDefault="00772FB6">
      <w:pPr>
        <w:pStyle w:val="TableofFigures"/>
        <w:tabs>
          <w:tab w:val="right" w:leader="dot" w:pos="9060"/>
        </w:tabs>
        <w:rPr>
          <w:rFonts w:eastAsiaTheme="minorEastAsia"/>
          <w:noProof/>
          <w:lang w:eastAsia="en-AU"/>
        </w:rPr>
      </w:pPr>
      <w:r>
        <w:rPr>
          <w:noProof/>
        </w:rPr>
        <w:lastRenderedPageBreak/>
        <w:t>Figure 2.1 Mean monthly minimum and maximum temperatures and mean monthly rainfall in the main production areas of dragon fruit in the Philippines</w:t>
      </w:r>
      <w:r>
        <w:rPr>
          <w:noProof/>
        </w:rPr>
        <w:tab/>
      </w:r>
      <w:r>
        <w:rPr>
          <w:noProof/>
        </w:rPr>
        <w:fldChar w:fldCharType="begin"/>
      </w:r>
      <w:r>
        <w:rPr>
          <w:noProof/>
        </w:rPr>
        <w:instrText xml:space="preserve"> PAGEREF _Toc119493120 \h </w:instrText>
      </w:r>
      <w:r>
        <w:rPr>
          <w:noProof/>
        </w:rPr>
      </w:r>
      <w:r>
        <w:rPr>
          <w:noProof/>
        </w:rPr>
        <w:fldChar w:fldCharType="separate"/>
      </w:r>
      <w:r w:rsidR="000C0A09">
        <w:rPr>
          <w:noProof/>
        </w:rPr>
        <w:t>12</w:t>
      </w:r>
      <w:r>
        <w:rPr>
          <w:noProof/>
        </w:rPr>
        <w:fldChar w:fldCharType="end"/>
      </w:r>
    </w:p>
    <w:p w14:paraId="5C2FA966" w14:textId="2BEB5365" w:rsidR="005E6C25" w:rsidRDefault="00772FB6">
      <w:pPr>
        <w:pStyle w:val="TableofFigures"/>
        <w:tabs>
          <w:tab w:val="right" w:leader="dot" w:pos="9060"/>
        </w:tabs>
        <w:rPr>
          <w:rFonts w:eastAsiaTheme="minorEastAsia"/>
          <w:noProof/>
          <w:lang w:eastAsia="en-AU"/>
        </w:rPr>
      </w:pPr>
      <w:r>
        <w:rPr>
          <w:noProof/>
        </w:rPr>
        <w:t xml:space="preserve">Figure 2.2 </w:t>
      </w:r>
      <w:r w:rsidRPr="00585D5F">
        <w:rPr>
          <w:i/>
          <w:iCs/>
          <w:noProof/>
        </w:rPr>
        <w:t xml:space="preserve">Selenicereus monacanthus </w:t>
      </w:r>
      <w:r>
        <w:rPr>
          <w:noProof/>
        </w:rPr>
        <w:t>fruit and segments showing red flesh and seeds and</w:t>
      </w:r>
      <w:r w:rsidRPr="00585D5F">
        <w:rPr>
          <w:i/>
          <w:iCs/>
          <w:noProof/>
        </w:rPr>
        <w:t xml:space="preserve"> </w:t>
      </w:r>
      <w:r>
        <w:rPr>
          <w:noProof/>
        </w:rPr>
        <w:t>a cross-section of</w:t>
      </w:r>
      <w:r w:rsidRPr="00585D5F">
        <w:rPr>
          <w:i/>
          <w:iCs/>
          <w:noProof/>
        </w:rPr>
        <w:t xml:space="preserve"> Selenicereus undatus </w:t>
      </w:r>
      <w:r>
        <w:rPr>
          <w:noProof/>
        </w:rPr>
        <w:t>showing white flesh and seeds</w:t>
      </w:r>
      <w:r>
        <w:rPr>
          <w:noProof/>
        </w:rPr>
        <w:tab/>
      </w:r>
      <w:r>
        <w:rPr>
          <w:noProof/>
        </w:rPr>
        <w:fldChar w:fldCharType="begin"/>
      </w:r>
      <w:r>
        <w:rPr>
          <w:noProof/>
        </w:rPr>
        <w:instrText xml:space="preserve"> PAGEREF _Toc119493121 \h </w:instrText>
      </w:r>
      <w:r>
        <w:rPr>
          <w:noProof/>
        </w:rPr>
      </w:r>
      <w:r>
        <w:rPr>
          <w:noProof/>
        </w:rPr>
        <w:fldChar w:fldCharType="separate"/>
      </w:r>
      <w:r w:rsidR="000C0A09">
        <w:rPr>
          <w:noProof/>
        </w:rPr>
        <w:t>14</w:t>
      </w:r>
      <w:r>
        <w:rPr>
          <w:noProof/>
        </w:rPr>
        <w:fldChar w:fldCharType="end"/>
      </w:r>
    </w:p>
    <w:p w14:paraId="2B82959B" w14:textId="40C1C9F3" w:rsidR="005E6C25" w:rsidRDefault="00772FB6">
      <w:pPr>
        <w:pStyle w:val="TableofFigures"/>
        <w:tabs>
          <w:tab w:val="right" w:leader="dot" w:pos="9060"/>
        </w:tabs>
        <w:rPr>
          <w:rFonts w:eastAsiaTheme="minorEastAsia"/>
          <w:noProof/>
          <w:lang w:eastAsia="en-AU"/>
        </w:rPr>
      </w:pPr>
      <w:r>
        <w:rPr>
          <w:noProof/>
        </w:rPr>
        <w:t>Figure 2.3 Dragon fruit plantations with bordering tree lines</w:t>
      </w:r>
      <w:r>
        <w:rPr>
          <w:noProof/>
        </w:rPr>
        <w:tab/>
      </w:r>
      <w:r>
        <w:rPr>
          <w:noProof/>
        </w:rPr>
        <w:fldChar w:fldCharType="begin"/>
      </w:r>
      <w:r>
        <w:rPr>
          <w:noProof/>
        </w:rPr>
        <w:instrText xml:space="preserve"> PAGEREF _Toc119493122 \h </w:instrText>
      </w:r>
      <w:r>
        <w:rPr>
          <w:noProof/>
        </w:rPr>
      </w:r>
      <w:r>
        <w:rPr>
          <w:noProof/>
        </w:rPr>
        <w:fldChar w:fldCharType="separate"/>
      </w:r>
      <w:r w:rsidR="000C0A09">
        <w:rPr>
          <w:noProof/>
        </w:rPr>
        <w:t>16</w:t>
      </w:r>
      <w:r>
        <w:rPr>
          <w:noProof/>
        </w:rPr>
        <w:fldChar w:fldCharType="end"/>
      </w:r>
    </w:p>
    <w:p w14:paraId="4BB23632" w14:textId="2BEE5D55" w:rsidR="005E6C25" w:rsidRDefault="00772FB6">
      <w:pPr>
        <w:pStyle w:val="TableofFigures"/>
        <w:tabs>
          <w:tab w:val="right" w:leader="dot" w:pos="9060"/>
        </w:tabs>
        <w:rPr>
          <w:rFonts w:eastAsiaTheme="minorEastAsia"/>
          <w:noProof/>
          <w:lang w:eastAsia="en-AU"/>
        </w:rPr>
      </w:pPr>
      <w:r>
        <w:rPr>
          <w:noProof/>
        </w:rPr>
        <w:t>Figure 2.4 Dragon fruit stem cuttings tied to cement posts using plastic string</w:t>
      </w:r>
      <w:r>
        <w:rPr>
          <w:noProof/>
        </w:rPr>
        <w:tab/>
      </w:r>
      <w:r>
        <w:rPr>
          <w:noProof/>
        </w:rPr>
        <w:fldChar w:fldCharType="begin"/>
      </w:r>
      <w:r>
        <w:rPr>
          <w:noProof/>
        </w:rPr>
        <w:instrText xml:space="preserve"> PAGEREF _Toc119493123 \h </w:instrText>
      </w:r>
      <w:r>
        <w:rPr>
          <w:noProof/>
        </w:rPr>
      </w:r>
      <w:r>
        <w:rPr>
          <w:noProof/>
        </w:rPr>
        <w:fldChar w:fldCharType="separate"/>
      </w:r>
      <w:r w:rsidR="000C0A09">
        <w:rPr>
          <w:noProof/>
        </w:rPr>
        <w:t>16</w:t>
      </w:r>
      <w:r>
        <w:rPr>
          <w:noProof/>
        </w:rPr>
        <w:fldChar w:fldCharType="end"/>
      </w:r>
    </w:p>
    <w:p w14:paraId="0ED602AB" w14:textId="18464D06" w:rsidR="005E6C25" w:rsidRDefault="00772FB6">
      <w:pPr>
        <w:pStyle w:val="TableofFigures"/>
        <w:tabs>
          <w:tab w:val="right" w:leader="dot" w:pos="9060"/>
        </w:tabs>
        <w:rPr>
          <w:rFonts w:eastAsiaTheme="minorEastAsia"/>
          <w:noProof/>
          <w:lang w:eastAsia="en-AU"/>
        </w:rPr>
      </w:pPr>
      <w:r>
        <w:rPr>
          <w:noProof/>
        </w:rPr>
        <w:t>Figure 2.5 Trained dragon fruit stem forming a crown structure.</w:t>
      </w:r>
      <w:r>
        <w:rPr>
          <w:noProof/>
        </w:rPr>
        <w:tab/>
      </w:r>
      <w:r>
        <w:rPr>
          <w:noProof/>
        </w:rPr>
        <w:fldChar w:fldCharType="begin"/>
      </w:r>
      <w:r>
        <w:rPr>
          <w:noProof/>
        </w:rPr>
        <w:instrText xml:space="preserve"> PAGEREF _Toc119493124 \h </w:instrText>
      </w:r>
      <w:r>
        <w:rPr>
          <w:noProof/>
        </w:rPr>
      </w:r>
      <w:r>
        <w:rPr>
          <w:noProof/>
        </w:rPr>
        <w:fldChar w:fldCharType="separate"/>
      </w:r>
      <w:r w:rsidR="000C0A09">
        <w:rPr>
          <w:noProof/>
        </w:rPr>
        <w:t>17</w:t>
      </w:r>
      <w:r>
        <w:rPr>
          <w:noProof/>
        </w:rPr>
        <w:fldChar w:fldCharType="end"/>
      </w:r>
    </w:p>
    <w:p w14:paraId="4331202E" w14:textId="5DA6FF64" w:rsidR="005E6C25" w:rsidRDefault="00772FB6">
      <w:pPr>
        <w:pStyle w:val="TableofFigures"/>
        <w:tabs>
          <w:tab w:val="right" w:leader="dot" w:pos="9060"/>
        </w:tabs>
        <w:rPr>
          <w:rFonts w:eastAsiaTheme="minorEastAsia"/>
          <w:noProof/>
          <w:lang w:eastAsia="en-AU"/>
        </w:rPr>
      </w:pPr>
      <w:r>
        <w:rPr>
          <w:noProof/>
        </w:rPr>
        <w:t>Figure 2.6 Stripped dragon fruit trunks with exposed stem.</w:t>
      </w:r>
      <w:r>
        <w:rPr>
          <w:noProof/>
        </w:rPr>
        <w:tab/>
      </w:r>
      <w:r>
        <w:rPr>
          <w:noProof/>
        </w:rPr>
        <w:fldChar w:fldCharType="begin"/>
      </w:r>
      <w:r>
        <w:rPr>
          <w:noProof/>
        </w:rPr>
        <w:instrText xml:space="preserve"> PAGEREF _Toc119493125 \h </w:instrText>
      </w:r>
      <w:r>
        <w:rPr>
          <w:noProof/>
        </w:rPr>
      </w:r>
      <w:r>
        <w:rPr>
          <w:noProof/>
        </w:rPr>
        <w:fldChar w:fldCharType="separate"/>
      </w:r>
      <w:r w:rsidR="000C0A09">
        <w:rPr>
          <w:noProof/>
        </w:rPr>
        <w:t>19</w:t>
      </w:r>
      <w:r>
        <w:rPr>
          <w:noProof/>
        </w:rPr>
        <w:fldChar w:fldCharType="end"/>
      </w:r>
    </w:p>
    <w:p w14:paraId="4EAC582E" w14:textId="2ACAE77B" w:rsidR="005E6C25" w:rsidRDefault="00772FB6">
      <w:pPr>
        <w:pStyle w:val="TableofFigures"/>
        <w:tabs>
          <w:tab w:val="right" w:leader="dot" w:pos="9060"/>
        </w:tabs>
        <w:rPr>
          <w:rFonts w:eastAsiaTheme="minorEastAsia"/>
          <w:noProof/>
          <w:lang w:eastAsia="en-AU"/>
        </w:rPr>
      </w:pPr>
      <w:r>
        <w:rPr>
          <w:noProof/>
        </w:rPr>
        <w:t>Figure 2.7 Harvesting dragon fruit</w:t>
      </w:r>
      <w:r>
        <w:rPr>
          <w:noProof/>
        </w:rPr>
        <w:tab/>
      </w:r>
      <w:r>
        <w:rPr>
          <w:noProof/>
        </w:rPr>
        <w:fldChar w:fldCharType="begin"/>
      </w:r>
      <w:r>
        <w:rPr>
          <w:noProof/>
        </w:rPr>
        <w:instrText xml:space="preserve"> PAGEREF _Toc119493126 \h </w:instrText>
      </w:r>
      <w:r>
        <w:rPr>
          <w:noProof/>
        </w:rPr>
      </w:r>
      <w:r>
        <w:rPr>
          <w:noProof/>
        </w:rPr>
        <w:fldChar w:fldCharType="separate"/>
      </w:r>
      <w:r w:rsidR="000C0A09">
        <w:rPr>
          <w:noProof/>
        </w:rPr>
        <w:t>20</w:t>
      </w:r>
      <w:r>
        <w:rPr>
          <w:noProof/>
        </w:rPr>
        <w:fldChar w:fldCharType="end"/>
      </w:r>
    </w:p>
    <w:p w14:paraId="44BFC3E3" w14:textId="592AEBCC" w:rsidR="005E6C25" w:rsidRDefault="00772FB6">
      <w:pPr>
        <w:pStyle w:val="TableofFigures"/>
        <w:tabs>
          <w:tab w:val="right" w:leader="dot" w:pos="9060"/>
        </w:tabs>
        <w:rPr>
          <w:rFonts w:eastAsiaTheme="minorEastAsia"/>
          <w:noProof/>
          <w:lang w:eastAsia="en-AU"/>
        </w:rPr>
      </w:pPr>
      <w:r>
        <w:rPr>
          <w:noProof/>
        </w:rPr>
        <w:t>Figure 2.8 Harvested fruit in receival area</w:t>
      </w:r>
      <w:r>
        <w:rPr>
          <w:noProof/>
        </w:rPr>
        <w:tab/>
      </w:r>
      <w:r>
        <w:rPr>
          <w:noProof/>
        </w:rPr>
        <w:fldChar w:fldCharType="begin"/>
      </w:r>
      <w:r>
        <w:rPr>
          <w:noProof/>
        </w:rPr>
        <w:instrText xml:space="preserve"> PAGEREF _Toc119493127 \h </w:instrText>
      </w:r>
      <w:r>
        <w:rPr>
          <w:noProof/>
        </w:rPr>
      </w:r>
      <w:r>
        <w:rPr>
          <w:noProof/>
        </w:rPr>
        <w:fldChar w:fldCharType="separate"/>
      </w:r>
      <w:r w:rsidR="000C0A09">
        <w:rPr>
          <w:noProof/>
        </w:rPr>
        <w:t>21</w:t>
      </w:r>
      <w:r>
        <w:rPr>
          <w:noProof/>
        </w:rPr>
        <w:fldChar w:fldCharType="end"/>
      </w:r>
    </w:p>
    <w:p w14:paraId="0BCAB9E1" w14:textId="770FAFA6" w:rsidR="005E6C25" w:rsidRDefault="00772FB6">
      <w:pPr>
        <w:pStyle w:val="TableofFigures"/>
        <w:tabs>
          <w:tab w:val="right" w:leader="dot" w:pos="9060"/>
        </w:tabs>
        <w:rPr>
          <w:rFonts w:eastAsiaTheme="minorEastAsia"/>
          <w:noProof/>
          <w:lang w:eastAsia="en-AU"/>
        </w:rPr>
      </w:pPr>
      <w:r>
        <w:rPr>
          <w:noProof/>
        </w:rPr>
        <w:t>Figure 2.9 Dragon fruit being graded and sorted into different crates based on size and quality</w:t>
      </w:r>
      <w:r>
        <w:rPr>
          <w:noProof/>
        </w:rPr>
        <w:tab/>
      </w:r>
      <w:r>
        <w:rPr>
          <w:noProof/>
        </w:rPr>
        <w:fldChar w:fldCharType="begin"/>
      </w:r>
      <w:r>
        <w:rPr>
          <w:noProof/>
        </w:rPr>
        <w:instrText xml:space="preserve"> PAGEREF _Toc119493128 \h </w:instrText>
      </w:r>
      <w:r>
        <w:rPr>
          <w:noProof/>
        </w:rPr>
      </w:r>
      <w:r>
        <w:rPr>
          <w:noProof/>
        </w:rPr>
        <w:fldChar w:fldCharType="separate"/>
      </w:r>
      <w:r w:rsidR="000C0A09">
        <w:rPr>
          <w:noProof/>
        </w:rPr>
        <w:t>22</w:t>
      </w:r>
      <w:r>
        <w:rPr>
          <w:noProof/>
        </w:rPr>
        <w:fldChar w:fldCharType="end"/>
      </w:r>
    </w:p>
    <w:p w14:paraId="7B499B1E" w14:textId="34F43303" w:rsidR="005E6C25" w:rsidRDefault="00772FB6">
      <w:pPr>
        <w:pStyle w:val="TableofFigures"/>
        <w:tabs>
          <w:tab w:val="right" w:leader="dot" w:pos="9060"/>
        </w:tabs>
        <w:rPr>
          <w:rFonts w:eastAsiaTheme="minorEastAsia"/>
          <w:noProof/>
          <w:lang w:eastAsia="en-AU"/>
        </w:rPr>
      </w:pPr>
      <w:r>
        <w:rPr>
          <w:noProof/>
        </w:rPr>
        <w:t>Figure 2.10 Plastic covered fruit being packed into boxes</w:t>
      </w:r>
      <w:r>
        <w:rPr>
          <w:noProof/>
        </w:rPr>
        <w:tab/>
      </w:r>
      <w:r>
        <w:rPr>
          <w:noProof/>
        </w:rPr>
        <w:fldChar w:fldCharType="begin"/>
      </w:r>
      <w:r>
        <w:rPr>
          <w:noProof/>
        </w:rPr>
        <w:instrText xml:space="preserve"> PAGEREF _Toc119493129 \h </w:instrText>
      </w:r>
      <w:r>
        <w:rPr>
          <w:noProof/>
        </w:rPr>
      </w:r>
      <w:r>
        <w:rPr>
          <w:noProof/>
        </w:rPr>
        <w:fldChar w:fldCharType="separate"/>
      </w:r>
      <w:r w:rsidR="000C0A09">
        <w:rPr>
          <w:noProof/>
        </w:rPr>
        <w:t>23</w:t>
      </w:r>
      <w:r>
        <w:rPr>
          <w:noProof/>
        </w:rPr>
        <w:fldChar w:fldCharType="end"/>
      </w:r>
    </w:p>
    <w:p w14:paraId="51D0B872" w14:textId="5268465D" w:rsidR="005E6C25" w:rsidRDefault="00772FB6">
      <w:pPr>
        <w:pStyle w:val="TableofFigures"/>
        <w:tabs>
          <w:tab w:val="right" w:leader="dot" w:pos="9060"/>
        </w:tabs>
        <w:rPr>
          <w:rFonts w:eastAsiaTheme="minorEastAsia"/>
          <w:noProof/>
          <w:lang w:eastAsia="en-AU"/>
        </w:rPr>
      </w:pPr>
      <w:r>
        <w:rPr>
          <w:noProof/>
        </w:rPr>
        <w:t>Figure 2.11 Summary of operational steps for dragon fruit grown in the Philippines for export</w:t>
      </w:r>
      <w:r>
        <w:rPr>
          <w:noProof/>
        </w:rPr>
        <w:tab/>
      </w:r>
      <w:r>
        <w:rPr>
          <w:noProof/>
        </w:rPr>
        <w:fldChar w:fldCharType="begin"/>
      </w:r>
      <w:r>
        <w:rPr>
          <w:noProof/>
        </w:rPr>
        <w:instrText xml:space="preserve"> PAGEREF _Toc119493130 \h </w:instrText>
      </w:r>
      <w:r>
        <w:rPr>
          <w:noProof/>
        </w:rPr>
      </w:r>
      <w:r>
        <w:rPr>
          <w:noProof/>
        </w:rPr>
        <w:fldChar w:fldCharType="separate"/>
      </w:r>
      <w:r w:rsidR="000C0A09">
        <w:rPr>
          <w:noProof/>
        </w:rPr>
        <w:t>25</w:t>
      </w:r>
      <w:r>
        <w:rPr>
          <w:noProof/>
        </w:rPr>
        <w:fldChar w:fldCharType="end"/>
      </w:r>
    </w:p>
    <w:p w14:paraId="4F40D2A4" w14:textId="5B227A2E" w:rsidR="005E6C25" w:rsidRDefault="00772FB6">
      <w:pPr>
        <w:pStyle w:val="TableofFigures"/>
        <w:tabs>
          <w:tab w:val="right" w:leader="dot" w:pos="9060"/>
        </w:tabs>
        <w:rPr>
          <w:rFonts w:eastAsiaTheme="minorEastAsia"/>
          <w:noProof/>
          <w:lang w:eastAsia="en-AU"/>
        </w:rPr>
      </w:pPr>
      <w:r>
        <w:rPr>
          <w:noProof/>
        </w:rPr>
        <w:t>Figure 3.1 Overview of the PRA decision process for dragon fruit from the Philippines</w:t>
      </w:r>
      <w:r>
        <w:rPr>
          <w:noProof/>
        </w:rPr>
        <w:tab/>
      </w:r>
      <w:r>
        <w:rPr>
          <w:noProof/>
        </w:rPr>
        <w:fldChar w:fldCharType="begin"/>
      </w:r>
      <w:r>
        <w:rPr>
          <w:noProof/>
        </w:rPr>
        <w:instrText xml:space="preserve"> PAGEREF _Toc119493131 \h </w:instrText>
      </w:r>
      <w:r>
        <w:rPr>
          <w:noProof/>
        </w:rPr>
      </w:r>
      <w:r>
        <w:rPr>
          <w:noProof/>
        </w:rPr>
        <w:fldChar w:fldCharType="separate"/>
      </w:r>
      <w:r w:rsidR="000C0A09">
        <w:rPr>
          <w:noProof/>
        </w:rPr>
        <w:t>41</w:t>
      </w:r>
      <w:r>
        <w:rPr>
          <w:noProof/>
        </w:rPr>
        <w:fldChar w:fldCharType="end"/>
      </w:r>
    </w:p>
    <w:p w14:paraId="04DDC6A2" w14:textId="673B67AD" w:rsidR="005E6C25" w:rsidRDefault="00772FB6">
      <w:pPr>
        <w:pStyle w:val="TableofFigures"/>
        <w:tabs>
          <w:tab w:val="right" w:leader="dot" w:pos="9060"/>
        </w:tabs>
        <w:rPr>
          <w:rFonts w:eastAsiaTheme="minorEastAsia"/>
          <w:noProof/>
          <w:lang w:eastAsia="en-AU"/>
        </w:rPr>
      </w:pPr>
      <w:r>
        <w:rPr>
          <w:noProof/>
        </w:rPr>
        <w:t xml:space="preserve">Figure A.1 Decision rules for determining the impact score for each direct and indirect criterion, based on the </w:t>
      </w:r>
      <w:r w:rsidRPr="00585D5F">
        <w:rPr>
          <w:i/>
          <w:iCs/>
          <w:noProof/>
        </w:rPr>
        <w:t>level of impact</w:t>
      </w:r>
      <w:r>
        <w:rPr>
          <w:noProof/>
        </w:rPr>
        <w:t xml:space="preserve"> and the </w:t>
      </w:r>
      <w:r w:rsidRPr="00585D5F">
        <w:rPr>
          <w:i/>
          <w:iCs/>
          <w:noProof/>
        </w:rPr>
        <w:t>magnitude of impact</w:t>
      </w:r>
      <w:r>
        <w:rPr>
          <w:noProof/>
        </w:rPr>
        <w:tab/>
      </w:r>
      <w:r>
        <w:rPr>
          <w:noProof/>
        </w:rPr>
        <w:fldChar w:fldCharType="begin"/>
      </w:r>
      <w:r>
        <w:rPr>
          <w:noProof/>
        </w:rPr>
        <w:instrText xml:space="preserve"> PAGEREF _Toc119493132 \h </w:instrText>
      </w:r>
      <w:r>
        <w:rPr>
          <w:noProof/>
        </w:rPr>
      </w:r>
      <w:r>
        <w:rPr>
          <w:noProof/>
        </w:rPr>
        <w:fldChar w:fldCharType="separate"/>
      </w:r>
      <w:r w:rsidR="000C0A09">
        <w:rPr>
          <w:noProof/>
        </w:rPr>
        <w:t>61</w:t>
      </w:r>
      <w:r>
        <w:rPr>
          <w:noProof/>
        </w:rPr>
        <w:fldChar w:fldCharType="end"/>
      </w:r>
    </w:p>
    <w:p w14:paraId="4B19DB4A" w14:textId="77777777" w:rsidR="00BC2F05" w:rsidRDefault="00772FB6" w:rsidP="00032C1B">
      <w:pPr>
        <w:pStyle w:val="TOCHeading"/>
      </w:pPr>
      <w:r>
        <w:rPr>
          <w:rFonts w:asciiTheme="minorHAnsi" w:hAnsiTheme="minorHAnsi"/>
        </w:rPr>
        <w:fldChar w:fldCharType="end"/>
      </w:r>
      <w:r w:rsidRPr="00772548">
        <w:t>Tables</w:t>
      </w:r>
    </w:p>
    <w:p w14:paraId="39FE86B1" w14:textId="00D91EDB" w:rsidR="005E6C25" w:rsidRDefault="00772FB6">
      <w:pPr>
        <w:pStyle w:val="TableofFigures"/>
        <w:tabs>
          <w:tab w:val="right" w:leader="dot" w:pos="9060"/>
        </w:tabs>
        <w:rPr>
          <w:rFonts w:eastAsiaTheme="minorEastAsia"/>
          <w:noProof/>
          <w:lang w:eastAsia="en-AU"/>
        </w:rPr>
      </w:pPr>
      <w:r>
        <w:rPr>
          <w:rFonts w:ascii="Cambria" w:hAnsi="Cambria"/>
          <w:lang w:val="en-US"/>
        </w:rPr>
        <w:fldChar w:fldCharType="begin"/>
      </w:r>
      <w:r>
        <w:rPr>
          <w:lang w:val="en-US"/>
        </w:rPr>
        <w:instrText xml:space="preserve"> TOC \f T \t "Table caption" \c "Table" </w:instrText>
      </w:r>
      <w:r>
        <w:rPr>
          <w:rFonts w:ascii="Cambria" w:hAnsi="Cambria"/>
          <w:lang w:val="en-US"/>
        </w:rPr>
        <w:fldChar w:fldCharType="separate"/>
      </w:r>
      <w:r>
        <w:rPr>
          <w:noProof/>
        </w:rPr>
        <w:t>Table 3.1 Quarantine pests and regulated thrips potentially associated with dragon fruit from the Philippines, and requiring further pest risk assessment</w:t>
      </w:r>
      <w:r>
        <w:rPr>
          <w:noProof/>
        </w:rPr>
        <w:tab/>
      </w:r>
      <w:r>
        <w:rPr>
          <w:noProof/>
        </w:rPr>
        <w:fldChar w:fldCharType="begin"/>
      </w:r>
      <w:r>
        <w:rPr>
          <w:noProof/>
        </w:rPr>
        <w:instrText xml:space="preserve"> PAGEREF _Toc119493133 \h </w:instrText>
      </w:r>
      <w:r>
        <w:rPr>
          <w:noProof/>
        </w:rPr>
      </w:r>
      <w:r>
        <w:rPr>
          <w:noProof/>
        </w:rPr>
        <w:fldChar w:fldCharType="separate"/>
      </w:r>
      <w:r w:rsidR="000C0A09">
        <w:rPr>
          <w:noProof/>
        </w:rPr>
        <w:t>29</w:t>
      </w:r>
      <w:r>
        <w:rPr>
          <w:noProof/>
        </w:rPr>
        <w:fldChar w:fldCharType="end"/>
      </w:r>
    </w:p>
    <w:p w14:paraId="748201D9" w14:textId="142207E0" w:rsidR="005E6C25" w:rsidRDefault="00772FB6">
      <w:pPr>
        <w:pStyle w:val="TableofFigures"/>
        <w:tabs>
          <w:tab w:val="right" w:leader="dot" w:pos="9060"/>
        </w:tabs>
        <w:rPr>
          <w:rFonts w:eastAsiaTheme="minorEastAsia"/>
          <w:noProof/>
          <w:lang w:eastAsia="en-AU"/>
        </w:rPr>
      </w:pPr>
      <w:r>
        <w:rPr>
          <w:noProof/>
        </w:rPr>
        <w:t>Table 3.2 Quarantine mealybug species for dragon fruit from the Philippines</w:t>
      </w:r>
      <w:r>
        <w:rPr>
          <w:noProof/>
        </w:rPr>
        <w:tab/>
      </w:r>
      <w:r>
        <w:rPr>
          <w:noProof/>
        </w:rPr>
        <w:fldChar w:fldCharType="begin"/>
      </w:r>
      <w:r>
        <w:rPr>
          <w:noProof/>
        </w:rPr>
        <w:instrText xml:space="preserve"> PAGEREF _Toc119493134 \h </w:instrText>
      </w:r>
      <w:r>
        <w:rPr>
          <w:noProof/>
        </w:rPr>
      </w:r>
      <w:r>
        <w:rPr>
          <w:noProof/>
        </w:rPr>
        <w:fldChar w:fldCharType="separate"/>
      </w:r>
      <w:r w:rsidR="000C0A09">
        <w:rPr>
          <w:noProof/>
        </w:rPr>
        <w:t>35</w:t>
      </w:r>
      <w:r>
        <w:rPr>
          <w:noProof/>
        </w:rPr>
        <w:fldChar w:fldCharType="end"/>
      </w:r>
    </w:p>
    <w:p w14:paraId="3A8DE1F6" w14:textId="033C9A2C" w:rsidR="005E6C25" w:rsidRDefault="00772FB6">
      <w:pPr>
        <w:pStyle w:val="TableofFigures"/>
        <w:tabs>
          <w:tab w:val="right" w:leader="dot" w:pos="9060"/>
        </w:tabs>
        <w:rPr>
          <w:rFonts w:eastAsiaTheme="minorEastAsia"/>
          <w:noProof/>
          <w:lang w:eastAsia="en-AU"/>
        </w:rPr>
      </w:pPr>
      <w:r>
        <w:rPr>
          <w:noProof/>
        </w:rPr>
        <w:t>Table 3.3 Risk estimates for quarantine mealybugs</w:t>
      </w:r>
      <w:r>
        <w:rPr>
          <w:noProof/>
        </w:rPr>
        <w:tab/>
      </w:r>
      <w:r>
        <w:rPr>
          <w:noProof/>
        </w:rPr>
        <w:fldChar w:fldCharType="begin"/>
      </w:r>
      <w:r>
        <w:rPr>
          <w:noProof/>
        </w:rPr>
        <w:instrText xml:space="preserve"> PAGEREF _Toc119493135 \h </w:instrText>
      </w:r>
      <w:r>
        <w:rPr>
          <w:noProof/>
        </w:rPr>
      </w:r>
      <w:r>
        <w:rPr>
          <w:noProof/>
        </w:rPr>
        <w:fldChar w:fldCharType="separate"/>
      </w:r>
      <w:r w:rsidR="000C0A09">
        <w:rPr>
          <w:noProof/>
        </w:rPr>
        <w:t>35</w:t>
      </w:r>
      <w:r>
        <w:rPr>
          <w:noProof/>
        </w:rPr>
        <w:fldChar w:fldCharType="end"/>
      </w:r>
    </w:p>
    <w:p w14:paraId="70226538" w14:textId="7D8C5DE6" w:rsidR="005E6C25" w:rsidRDefault="00772FB6">
      <w:pPr>
        <w:pStyle w:val="TableofFigures"/>
        <w:tabs>
          <w:tab w:val="right" w:leader="dot" w:pos="9060"/>
        </w:tabs>
        <w:rPr>
          <w:rFonts w:eastAsiaTheme="minorEastAsia"/>
          <w:noProof/>
          <w:lang w:eastAsia="en-AU"/>
        </w:rPr>
      </w:pPr>
      <w:r>
        <w:rPr>
          <w:noProof/>
        </w:rPr>
        <w:t>Table 3.4 Quarantine and regulated thrips species for dragon</w:t>
      </w:r>
      <w:r w:rsidRPr="008917A5">
        <w:rPr>
          <w:noProof/>
        </w:rPr>
        <w:t xml:space="preserve"> </w:t>
      </w:r>
      <w:r>
        <w:rPr>
          <w:noProof/>
        </w:rPr>
        <w:t>fruit from the Philippines</w:t>
      </w:r>
      <w:r>
        <w:rPr>
          <w:noProof/>
        </w:rPr>
        <w:tab/>
      </w:r>
      <w:r>
        <w:rPr>
          <w:noProof/>
        </w:rPr>
        <w:fldChar w:fldCharType="begin"/>
      </w:r>
      <w:r>
        <w:rPr>
          <w:noProof/>
        </w:rPr>
        <w:instrText xml:space="preserve"> PAGEREF _Toc119493136 \h </w:instrText>
      </w:r>
      <w:r>
        <w:rPr>
          <w:noProof/>
        </w:rPr>
      </w:r>
      <w:r>
        <w:rPr>
          <w:noProof/>
        </w:rPr>
        <w:fldChar w:fldCharType="separate"/>
      </w:r>
      <w:r w:rsidR="000C0A09">
        <w:rPr>
          <w:noProof/>
        </w:rPr>
        <w:t>37</w:t>
      </w:r>
      <w:r>
        <w:rPr>
          <w:noProof/>
        </w:rPr>
        <w:fldChar w:fldCharType="end"/>
      </w:r>
    </w:p>
    <w:p w14:paraId="729200CA" w14:textId="1D7A499A" w:rsidR="005E6C25" w:rsidRDefault="00772FB6">
      <w:pPr>
        <w:pStyle w:val="TableofFigures"/>
        <w:tabs>
          <w:tab w:val="right" w:leader="dot" w:pos="9060"/>
        </w:tabs>
        <w:rPr>
          <w:rFonts w:eastAsiaTheme="minorEastAsia"/>
          <w:noProof/>
          <w:lang w:eastAsia="en-AU"/>
        </w:rPr>
      </w:pPr>
      <w:r>
        <w:rPr>
          <w:noProof/>
        </w:rPr>
        <w:t>Table 3.5 Risk estimates for quarantine thrips</w:t>
      </w:r>
      <w:r>
        <w:rPr>
          <w:noProof/>
        </w:rPr>
        <w:tab/>
      </w:r>
      <w:r>
        <w:rPr>
          <w:noProof/>
        </w:rPr>
        <w:fldChar w:fldCharType="begin"/>
      </w:r>
      <w:r>
        <w:rPr>
          <w:noProof/>
        </w:rPr>
        <w:instrText xml:space="preserve"> PAGEREF _Toc119493137 \h </w:instrText>
      </w:r>
      <w:r>
        <w:rPr>
          <w:noProof/>
        </w:rPr>
      </w:r>
      <w:r>
        <w:rPr>
          <w:noProof/>
        </w:rPr>
        <w:fldChar w:fldCharType="separate"/>
      </w:r>
      <w:r w:rsidR="000C0A09">
        <w:rPr>
          <w:noProof/>
        </w:rPr>
        <w:t>38</w:t>
      </w:r>
      <w:r>
        <w:rPr>
          <w:noProof/>
        </w:rPr>
        <w:fldChar w:fldCharType="end"/>
      </w:r>
    </w:p>
    <w:p w14:paraId="66353181" w14:textId="2EE70ADC" w:rsidR="005E6C25" w:rsidRDefault="00772FB6">
      <w:pPr>
        <w:pStyle w:val="TableofFigures"/>
        <w:tabs>
          <w:tab w:val="right" w:leader="dot" w:pos="9060"/>
        </w:tabs>
        <w:rPr>
          <w:rFonts w:eastAsiaTheme="minorEastAsia"/>
          <w:noProof/>
          <w:lang w:eastAsia="en-AU"/>
        </w:rPr>
      </w:pPr>
      <w:r>
        <w:rPr>
          <w:noProof/>
        </w:rPr>
        <w:t>Table 3.6 Risk estimates for emerging quarantine orthotospoviruses vectored by regulated thrips</w:t>
      </w:r>
      <w:r>
        <w:rPr>
          <w:noProof/>
        </w:rPr>
        <w:tab/>
      </w:r>
      <w:r>
        <w:rPr>
          <w:noProof/>
        </w:rPr>
        <w:fldChar w:fldCharType="begin"/>
      </w:r>
      <w:r>
        <w:rPr>
          <w:noProof/>
        </w:rPr>
        <w:instrText xml:space="preserve"> PAGEREF _Toc119493138 \h </w:instrText>
      </w:r>
      <w:r>
        <w:rPr>
          <w:noProof/>
        </w:rPr>
      </w:r>
      <w:r>
        <w:rPr>
          <w:noProof/>
        </w:rPr>
        <w:fldChar w:fldCharType="separate"/>
      </w:r>
      <w:r w:rsidR="000C0A09">
        <w:rPr>
          <w:noProof/>
        </w:rPr>
        <w:t>38</w:t>
      </w:r>
      <w:r>
        <w:rPr>
          <w:noProof/>
        </w:rPr>
        <w:fldChar w:fldCharType="end"/>
      </w:r>
    </w:p>
    <w:p w14:paraId="21B8FFE7" w14:textId="2045380E" w:rsidR="005E6C25" w:rsidRDefault="00772FB6">
      <w:pPr>
        <w:pStyle w:val="TableofFigures"/>
        <w:tabs>
          <w:tab w:val="right" w:leader="dot" w:pos="9060"/>
        </w:tabs>
        <w:rPr>
          <w:rFonts w:eastAsiaTheme="minorEastAsia"/>
          <w:noProof/>
          <w:lang w:eastAsia="en-AU"/>
        </w:rPr>
      </w:pPr>
      <w:r>
        <w:rPr>
          <w:noProof/>
        </w:rPr>
        <w:t>Table 3.7 Pest risk assessment conclusions for pests, and pest groups, potentially associated with the pathway of dragon fruit from the Philippines</w:t>
      </w:r>
      <w:r>
        <w:rPr>
          <w:noProof/>
        </w:rPr>
        <w:tab/>
      </w:r>
      <w:r>
        <w:rPr>
          <w:noProof/>
        </w:rPr>
        <w:fldChar w:fldCharType="begin"/>
      </w:r>
      <w:r>
        <w:rPr>
          <w:noProof/>
        </w:rPr>
        <w:instrText xml:space="preserve"> PAGEREF _Toc119493139 \h </w:instrText>
      </w:r>
      <w:r>
        <w:rPr>
          <w:noProof/>
        </w:rPr>
      </w:r>
      <w:r>
        <w:rPr>
          <w:noProof/>
        </w:rPr>
        <w:fldChar w:fldCharType="separate"/>
      </w:r>
      <w:r w:rsidR="000C0A09">
        <w:rPr>
          <w:noProof/>
        </w:rPr>
        <w:t>40</w:t>
      </w:r>
      <w:r>
        <w:rPr>
          <w:noProof/>
        </w:rPr>
        <w:fldChar w:fldCharType="end"/>
      </w:r>
    </w:p>
    <w:p w14:paraId="513DF2D2" w14:textId="5A7B79FC" w:rsidR="005E6C25" w:rsidRDefault="00772FB6">
      <w:pPr>
        <w:pStyle w:val="TableofFigures"/>
        <w:tabs>
          <w:tab w:val="right" w:leader="dot" w:pos="9060"/>
        </w:tabs>
        <w:rPr>
          <w:rFonts w:eastAsiaTheme="minorEastAsia"/>
          <w:noProof/>
          <w:lang w:eastAsia="en-AU"/>
        </w:rPr>
      </w:pPr>
      <w:r>
        <w:rPr>
          <w:noProof/>
        </w:rPr>
        <w:t xml:space="preserve">Table 4.1 </w:t>
      </w:r>
      <w:r w:rsidRPr="008917A5">
        <w:rPr>
          <w:noProof/>
          <w:color w:val="000000" w:themeColor="text1"/>
        </w:rPr>
        <w:t>Proposed</w:t>
      </w:r>
      <w:r>
        <w:rPr>
          <w:noProof/>
        </w:rPr>
        <w:t xml:space="preserve"> risk management measures for quarantine pests and regulated articles potentially associated with dragon fruit from the Philippines.</w:t>
      </w:r>
      <w:r>
        <w:rPr>
          <w:noProof/>
        </w:rPr>
        <w:tab/>
      </w:r>
      <w:r>
        <w:rPr>
          <w:noProof/>
        </w:rPr>
        <w:fldChar w:fldCharType="begin"/>
      </w:r>
      <w:r>
        <w:rPr>
          <w:noProof/>
        </w:rPr>
        <w:instrText xml:space="preserve"> PAGEREF _Toc119493140 \h </w:instrText>
      </w:r>
      <w:r>
        <w:rPr>
          <w:noProof/>
        </w:rPr>
      </w:r>
      <w:r>
        <w:rPr>
          <w:noProof/>
        </w:rPr>
        <w:fldChar w:fldCharType="separate"/>
      </w:r>
      <w:r w:rsidR="000C0A09">
        <w:rPr>
          <w:noProof/>
        </w:rPr>
        <w:t>42</w:t>
      </w:r>
      <w:r>
        <w:rPr>
          <w:noProof/>
        </w:rPr>
        <w:fldChar w:fldCharType="end"/>
      </w:r>
    </w:p>
    <w:p w14:paraId="50993B14" w14:textId="7A027269" w:rsidR="005E6C25" w:rsidRDefault="00772FB6">
      <w:pPr>
        <w:pStyle w:val="TableofFigures"/>
        <w:tabs>
          <w:tab w:val="right" w:leader="dot" w:pos="9060"/>
        </w:tabs>
        <w:rPr>
          <w:rFonts w:eastAsiaTheme="minorEastAsia"/>
          <w:noProof/>
          <w:lang w:eastAsia="en-AU"/>
        </w:rPr>
      </w:pPr>
      <w:r>
        <w:rPr>
          <w:noProof/>
        </w:rPr>
        <w:t>Table A.1 Nomenclature of likelihoods</w:t>
      </w:r>
      <w:r>
        <w:rPr>
          <w:noProof/>
        </w:rPr>
        <w:tab/>
      </w:r>
      <w:r>
        <w:rPr>
          <w:noProof/>
        </w:rPr>
        <w:fldChar w:fldCharType="begin"/>
      </w:r>
      <w:r>
        <w:rPr>
          <w:noProof/>
        </w:rPr>
        <w:instrText xml:space="preserve"> PAGEREF _Toc119493141 \h </w:instrText>
      </w:r>
      <w:r>
        <w:rPr>
          <w:noProof/>
        </w:rPr>
      </w:r>
      <w:r>
        <w:rPr>
          <w:noProof/>
        </w:rPr>
        <w:fldChar w:fldCharType="separate"/>
      </w:r>
      <w:r w:rsidR="000C0A09">
        <w:rPr>
          <w:noProof/>
        </w:rPr>
        <w:t>57</w:t>
      </w:r>
      <w:r>
        <w:rPr>
          <w:noProof/>
        </w:rPr>
        <w:fldChar w:fldCharType="end"/>
      </w:r>
    </w:p>
    <w:p w14:paraId="217C5179" w14:textId="5E6B8E64" w:rsidR="005E6C25" w:rsidRDefault="00772FB6">
      <w:pPr>
        <w:pStyle w:val="TableofFigures"/>
        <w:tabs>
          <w:tab w:val="right" w:leader="dot" w:pos="9060"/>
        </w:tabs>
        <w:rPr>
          <w:rFonts w:eastAsiaTheme="minorEastAsia"/>
          <w:noProof/>
          <w:lang w:eastAsia="en-AU"/>
        </w:rPr>
      </w:pPr>
      <w:r>
        <w:rPr>
          <w:noProof/>
        </w:rPr>
        <w:t>Table A.2 Matrix of rules for combining likelihoods</w:t>
      </w:r>
      <w:r>
        <w:rPr>
          <w:noProof/>
        </w:rPr>
        <w:tab/>
      </w:r>
      <w:r>
        <w:rPr>
          <w:noProof/>
        </w:rPr>
        <w:fldChar w:fldCharType="begin"/>
      </w:r>
      <w:r>
        <w:rPr>
          <w:noProof/>
        </w:rPr>
        <w:instrText xml:space="preserve"> PAGEREF _Toc119493142 \h </w:instrText>
      </w:r>
      <w:r>
        <w:rPr>
          <w:noProof/>
        </w:rPr>
      </w:r>
      <w:r>
        <w:rPr>
          <w:noProof/>
        </w:rPr>
        <w:fldChar w:fldCharType="separate"/>
      </w:r>
      <w:r w:rsidR="000C0A09">
        <w:rPr>
          <w:noProof/>
        </w:rPr>
        <w:t>58</w:t>
      </w:r>
      <w:r>
        <w:rPr>
          <w:noProof/>
        </w:rPr>
        <w:fldChar w:fldCharType="end"/>
      </w:r>
    </w:p>
    <w:p w14:paraId="394E5551" w14:textId="1456071D" w:rsidR="005E6C25" w:rsidRDefault="00772FB6">
      <w:pPr>
        <w:pStyle w:val="TableofFigures"/>
        <w:tabs>
          <w:tab w:val="right" w:leader="dot" w:pos="9060"/>
        </w:tabs>
        <w:rPr>
          <w:rFonts w:eastAsiaTheme="minorEastAsia"/>
          <w:noProof/>
          <w:lang w:eastAsia="en-AU"/>
        </w:rPr>
      </w:pPr>
      <w:r>
        <w:rPr>
          <w:noProof/>
        </w:rPr>
        <w:t>Table A.3 Decision rules for determining the overall consequence rating for each pest</w:t>
      </w:r>
      <w:r>
        <w:rPr>
          <w:noProof/>
        </w:rPr>
        <w:tab/>
      </w:r>
      <w:r>
        <w:rPr>
          <w:noProof/>
        </w:rPr>
        <w:fldChar w:fldCharType="begin"/>
      </w:r>
      <w:r>
        <w:rPr>
          <w:noProof/>
        </w:rPr>
        <w:instrText xml:space="preserve"> PAGEREF _Toc119493143 \h </w:instrText>
      </w:r>
      <w:r>
        <w:rPr>
          <w:noProof/>
        </w:rPr>
      </w:r>
      <w:r>
        <w:rPr>
          <w:noProof/>
        </w:rPr>
        <w:fldChar w:fldCharType="separate"/>
      </w:r>
      <w:r w:rsidR="000C0A09">
        <w:rPr>
          <w:noProof/>
        </w:rPr>
        <w:t>62</w:t>
      </w:r>
      <w:r>
        <w:rPr>
          <w:noProof/>
        </w:rPr>
        <w:fldChar w:fldCharType="end"/>
      </w:r>
    </w:p>
    <w:p w14:paraId="0D2BCD69" w14:textId="2B2A865C" w:rsidR="005E6C25" w:rsidRDefault="00772FB6">
      <w:pPr>
        <w:pStyle w:val="TableofFigures"/>
        <w:tabs>
          <w:tab w:val="right" w:leader="dot" w:pos="9060"/>
        </w:tabs>
        <w:rPr>
          <w:rFonts w:eastAsiaTheme="minorEastAsia"/>
          <w:noProof/>
          <w:lang w:eastAsia="en-AU"/>
        </w:rPr>
      </w:pPr>
      <w:r>
        <w:rPr>
          <w:noProof/>
        </w:rPr>
        <w:t>Table A.4 Risk estimation matrix</w:t>
      </w:r>
      <w:r>
        <w:rPr>
          <w:noProof/>
        </w:rPr>
        <w:tab/>
      </w:r>
      <w:r>
        <w:rPr>
          <w:noProof/>
        </w:rPr>
        <w:fldChar w:fldCharType="begin"/>
      </w:r>
      <w:r>
        <w:rPr>
          <w:noProof/>
        </w:rPr>
        <w:instrText xml:space="preserve"> PAGEREF _Toc119493144 \h </w:instrText>
      </w:r>
      <w:r>
        <w:rPr>
          <w:noProof/>
        </w:rPr>
      </w:r>
      <w:r>
        <w:rPr>
          <w:noProof/>
        </w:rPr>
        <w:fldChar w:fldCharType="separate"/>
      </w:r>
      <w:r w:rsidR="000C0A09">
        <w:rPr>
          <w:noProof/>
        </w:rPr>
        <w:t>62</w:t>
      </w:r>
      <w:r>
        <w:rPr>
          <w:noProof/>
        </w:rPr>
        <w:fldChar w:fldCharType="end"/>
      </w:r>
    </w:p>
    <w:p w14:paraId="6473E579" w14:textId="77777777" w:rsidR="00BC2F05" w:rsidRPr="00A30CE2" w:rsidRDefault="00772FB6" w:rsidP="00032C1B">
      <w:pPr>
        <w:rPr>
          <w:lang w:val="en-US"/>
        </w:rPr>
      </w:pPr>
      <w:r>
        <w:rPr>
          <w:rFonts w:asciiTheme="minorHAnsi" w:hAnsiTheme="minorHAnsi"/>
          <w:lang w:val="en-US"/>
        </w:rPr>
        <w:fldChar w:fldCharType="end"/>
      </w:r>
    </w:p>
    <w:p w14:paraId="4D3732DD" w14:textId="77777777" w:rsidR="00BC2F05" w:rsidRPr="00772548" w:rsidRDefault="00772FB6" w:rsidP="00032C1B">
      <w:pPr>
        <w:pStyle w:val="TOCHeading"/>
      </w:pPr>
      <w:r w:rsidRPr="00772548">
        <w:t>Maps</w:t>
      </w:r>
    </w:p>
    <w:p w14:paraId="59A7354E" w14:textId="77777777" w:rsidR="00BC2F05" w:rsidRDefault="00772FB6">
      <w:pPr>
        <w:pStyle w:val="TableofFigures"/>
        <w:tabs>
          <w:tab w:val="right" w:leader="dot" w:pos="9060"/>
        </w:tabs>
        <w:rPr>
          <w:rFonts w:eastAsiaTheme="minorEastAsia"/>
          <w:noProof/>
          <w:lang w:eastAsia="en-AU"/>
        </w:rPr>
      </w:pPr>
      <w:r w:rsidRPr="005409E7">
        <w:rPr>
          <w:rFonts w:ascii="Calibri" w:hAnsi="Calibri" w:cs="Calibri"/>
        </w:rPr>
        <w:fldChar w:fldCharType="begin" w:fldLock="1"/>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15948529" w:history="1">
        <w:r w:rsidRPr="00655157">
          <w:rPr>
            <w:rStyle w:val="Hyperlink"/>
            <w:noProof/>
          </w:rPr>
          <w:t>Map 1 Map of Australia</w:t>
        </w:r>
        <w:r>
          <w:rPr>
            <w:noProof/>
            <w:webHidden/>
          </w:rPr>
          <w:tab/>
        </w:r>
        <w:r>
          <w:rPr>
            <w:noProof/>
            <w:webHidden/>
          </w:rPr>
          <w:fldChar w:fldCharType="begin" w:fldLock="1"/>
        </w:r>
        <w:r>
          <w:rPr>
            <w:noProof/>
            <w:webHidden/>
          </w:rPr>
          <w:instrText xml:space="preserve"> PAGEREF _Toc115948529 \h </w:instrText>
        </w:r>
        <w:r>
          <w:rPr>
            <w:noProof/>
            <w:webHidden/>
          </w:rPr>
        </w:r>
        <w:r>
          <w:rPr>
            <w:noProof/>
            <w:webHidden/>
          </w:rPr>
          <w:fldChar w:fldCharType="separate"/>
        </w:r>
        <w:r>
          <w:rPr>
            <w:noProof/>
            <w:webHidden/>
          </w:rPr>
          <w:t>vi</w:t>
        </w:r>
        <w:r>
          <w:rPr>
            <w:noProof/>
            <w:webHidden/>
          </w:rPr>
          <w:fldChar w:fldCharType="end"/>
        </w:r>
      </w:hyperlink>
    </w:p>
    <w:p w14:paraId="7EB4D630" w14:textId="77777777" w:rsidR="00BC2F05" w:rsidRDefault="000C0A09">
      <w:pPr>
        <w:pStyle w:val="TableofFigures"/>
        <w:tabs>
          <w:tab w:val="right" w:leader="dot" w:pos="9060"/>
        </w:tabs>
        <w:rPr>
          <w:rFonts w:eastAsiaTheme="minorEastAsia"/>
          <w:noProof/>
          <w:lang w:eastAsia="en-AU"/>
        </w:rPr>
      </w:pPr>
      <w:hyperlink w:anchor="_Toc115948530" w:history="1">
        <w:r w:rsidR="00772FB6" w:rsidRPr="00655157">
          <w:rPr>
            <w:rStyle w:val="Hyperlink"/>
            <w:noProof/>
          </w:rPr>
          <w:t>Map 2 A guide to Australia’s bio-climatic zones</w:t>
        </w:r>
        <w:r w:rsidR="00772FB6">
          <w:rPr>
            <w:noProof/>
            <w:webHidden/>
          </w:rPr>
          <w:tab/>
        </w:r>
        <w:r w:rsidR="00772FB6">
          <w:rPr>
            <w:noProof/>
            <w:webHidden/>
          </w:rPr>
          <w:fldChar w:fldCharType="begin" w:fldLock="1"/>
        </w:r>
        <w:r w:rsidR="00772FB6">
          <w:rPr>
            <w:noProof/>
            <w:webHidden/>
          </w:rPr>
          <w:instrText xml:space="preserve"> PAGEREF _Toc115948530 \h </w:instrText>
        </w:r>
        <w:r w:rsidR="00772FB6">
          <w:rPr>
            <w:noProof/>
            <w:webHidden/>
          </w:rPr>
        </w:r>
        <w:r w:rsidR="00772FB6">
          <w:rPr>
            <w:noProof/>
            <w:webHidden/>
          </w:rPr>
          <w:fldChar w:fldCharType="separate"/>
        </w:r>
        <w:r w:rsidR="00772FB6">
          <w:rPr>
            <w:noProof/>
            <w:webHidden/>
          </w:rPr>
          <w:t>vi</w:t>
        </w:r>
        <w:r w:rsidR="00772FB6">
          <w:rPr>
            <w:noProof/>
            <w:webHidden/>
          </w:rPr>
          <w:fldChar w:fldCharType="end"/>
        </w:r>
      </w:hyperlink>
    </w:p>
    <w:p w14:paraId="7A89DC01" w14:textId="77777777" w:rsidR="00BC2F05" w:rsidRDefault="000C0A09">
      <w:pPr>
        <w:pStyle w:val="TableofFigures"/>
        <w:tabs>
          <w:tab w:val="right" w:leader="dot" w:pos="9060"/>
        </w:tabs>
        <w:rPr>
          <w:rFonts w:eastAsiaTheme="minorEastAsia"/>
          <w:noProof/>
          <w:lang w:eastAsia="en-AU"/>
        </w:rPr>
      </w:pPr>
      <w:hyperlink w:anchor="_Toc115948531" w:history="1">
        <w:r w:rsidR="00772FB6" w:rsidRPr="00655157">
          <w:rPr>
            <w:rStyle w:val="Hyperlink"/>
            <w:noProof/>
          </w:rPr>
          <w:t>Map 3 Main production areas of dragon fruit in the Philippines</w:t>
        </w:r>
        <w:r w:rsidR="00772FB6">
          <w:rPr>
            <w:noProof/>
            <w:webHidden/>
          </w:rPr>
          <w:tab/>
        </w:r>
        <w:r w:rsidR="00772FB6">
          <w:rPr>
            <w:noProof/>
            <w:webHidden/>
          </w:rPr>
          <w:fldChar w:fldCharType="begin" w:fldLock="1"/>
        </w:r>
        <w:r w:rsidR="00772FB6">
          <w:rPr>
            <w:noProof/>
            <w:webHidden/>
          </w:rPr>
          <w:instrText xml:space="preserve"> PAGEREF _Toc115948531 \h </w:instrText>
        </w:r>
        <w:r w:rsidR="00772FB6">
          <w:rPr>
            <w:noProof/>
            <w:webHidden/>
          </w:rPr>
        </w:r>
        <w:r w:rsidR="00772FB6">
          <w:rPr>
            <w:noProof/>
            <w:webHidden/>
          </w:rPr>
          <w:fldChar w:fldCharType="separate"/>
        </w:r>
        <w:r w:rsidR="00772FB6">
          <w:rPr>
            <w:noProof/>
            <w:webHidden/>
          </w:rPr>
          <w:t>10</w:t>
        </w:r>
        <w:r w:rsidR="00772FB6">
          <w:rPr>
            <w:noProof/>
            <w:webHidden/>
          </w:rPr>
          <w:fldChar w:fldCharType="end"/>
        </w:r>
      </w:hyperlink>
    </w:p>
    <w:p w14:paraId="15CA1A36" w14:textId="77777777" w:rsidR="00BC2F05" w:rsidRDefault="000C0A09">
      <w:pPr>
        <w:pStyle w:val="TableofFigures"/>
        <w:tabs>
          <w:tab w:val="right" w:leader="dot" w:pos="9060"/>
        </w:tabs>
        <w:rPr>
          <w:rFonts w:eastAsiaTheme="minorEastAsia"/>
          <w:noProof/>
          <w:lang w:eastAsia="en-AU"/>
        </w:rPr>
      </w:pPr>
      <w:hyperlink w:anchor="_Toc115948532" w:history="1">
        <w:r w:rsidR="00772FB6" w:rsidRPr="00655157">
          <w:rPr>
            <w:rStyle w:val="Hyperlink"/>
            <w:noProof/>
          </w:rPr>
          <w:t>Map 4 Four climate types of the Philippines</w:t>
        </w:r>
        <w:r w:rsidR="00772FB6">
          <w:rPr>
            <w:noProof/>
            <w:webHidden/>
          </w:rPr>
          <w:tab/>
        </w:r>
        <w:r w:rsidR="00772FB6">
          <w:rPr>
            <w:noProof/>
            <w:webHidden/>
          </w:rPr>
          <w:fldChar w:fldCharType="begin" w:fldLock="1"/>
        </w:r>
        <w:r w:rsidR="00772FB6">
          <w:rPr>
            <w:noProof/>
            <w:webHidden/>
          </w:rPr>
          <w:instrText xml:space="preserve"> PAGEREF _Toc115948532 \h </w:instrText>
        </w:r>
        <w:r w:rsidR="00772FB6">
          <w:rPr>
            <w:noProof/>
            <w:webHidden/>
          </w:rPr>
        </w:r>
        <w:r w:rsidR="00772FB6">
          <w:rPr>
            <w:noProof/>
            <w:webHidden/>
          </w:rPr>
          <w:fldChar w:fldCharType="separate"/>
        </w:r>
        <w:r w:rsidR="00772FB6">
          <w:rPr>
            <w:noProof/>
            <w:webHidden/>
          </w:rPr>
          <w:t>11</w:t>
        </w:r>
        <w:r w:rsidR="00772FB6">
          <w:rPr>
            <w:noProof/>
            <w:webHidden/>
          </w:rPr>
          <w:fldChar w:fldCharType="end"/>
        </w:r>
      </w:hyperlink>
    </w:p>
    <w:p w14:paraId="055C493C" w14:textId="77777777" w:rsidR="00BC2F05" w:rsidRDefault="00772FB6" w:rsidP="00032C1B">
      <w:pPr>
        <w:sectPr w:rsidR="00BC2F05" w:rsidSect="00E53C3B">
          <w:headerReference w:type="even" r:id="rId20"/>
          <w:headerReference w:type="default" r:id="rId21"/>
          <w:headerReference w:type="first" r:id="rId22"/>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40723E71" w14:textId="77777777" w:rsidR="00BC2F05" w:rsidRDefault="00772FB6" w:rsidP="00032C1B">
      <w:pPr>
        <w:pStyle w:val="Mapheading"/>
      </w:pPr>
      <w:bookmarkStart w:id="7" w:name="_Toc527118184"/>
      <w:bookmarkStart w:id="8" w:name="_Toc67476875"/>
      <w:bookmarkStart w:id="9" w:name="_Toc115948529"/>
      <w:r>
        <w:lastRenderedPageBreak/>
        <w:t xml:space="preserve">Map </w:t>
      </w:r>
      <w:r>
        <w:rPr>
          <w:noProof/>
        </w:rPr>
        <w:fldChar w:fldCharType="begin" w:fldLock="1"/>
      </w:r>
      <w:r>
        <w:rPr>
          <w:noProof/>
        </w:rPr>
        <w:instrText xml:space="preserve"> SEQ Map \* ARABIC </w:instrText>
      </w:r>
      <w:r>
        <w:rPr>
          <w:noProof/>
        </w:rPr>
        <w:fldChar w:fldCharType="separate"/>
      </w:r>
      <w:r>
        <w:rPr>
          <w:noProof/>
        </w:rPr>
        <w:t>1</w:t>
      </w:r>
      <w:r>
        <w:rPr>
          <w:noProof/>
        </w:rPr>
        <w:fldChar w:fldCharType="end"/>
      </w:r>
      <w:r>
        <w:t xml:space="preserve"> Map of Australia</w:t>
      </w:r>
      <w:bookmarkEnd w:id="7"/>
      <w:bookmarkEnd w:id="8"/>
      <w:bookmarkEnd w:id="9"/>
    </w:p>
    <w:p w14:paraId="79D23F00" w14:textId="77777777" w:rsidR="00BC2F05" w:rsidRDefault="00772FB6" w:rsidP="00032C1B">
      <w:r w:rsidRPr="000B277B">
        <w:rPr>
          <w:noProof/>
        </w:rPr>
        <w:drawing>
          <wp:inline distT="0" distB="0" distL="0" distR="0" wp14:anchorId="594FA1E0" wp14:editId="5F01F985">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8292"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11C7EDEC" w14:textId="77777777" w:rsidR="00BC2F05" w:rsidRDefault="00772FB6" w:rsidP="00032C1B">
      <w:pPr>
        <w:pStyle w:val="Mapheading"/>
      </w:pPr>
      <w:bookmarkStart w:id="10" w:name="_Toc384979273"/>
      <w:bookmarkStart w:id="11" w:name="_Toc384979288"/>
      <w:bookmarkStart w:id="12" w:name="_Toc450740182"/>
      <w:bookmarkStart w:id="13" w:name="_Toc527118185"/>
      <w:bookmarkStart w:id="14" w:name="_Toc67476876"/>
      <w:bookmarkStart w:id="15" w:name="_Toc115948530"/>
      <w:r>
        <w:t xml:space="preserve">Map </w:t>
      </w:r>
      <w:r>
        <w:rPr>
          <w:noProof/>
        </w:rPr>
        <w:fldChar w:fldCharType="begin" w:fldLock="1"/>
      </w:r>
      <w:r>
        <w:rPr>
          <w:noProof/>
        </w:rPr>
        <w:instrText xml:space="preserve"> SEQ Map \* ARABIC </w:instrText>
      </w:r>
      <w:r>
        <w:rPr>
          <w:noProof/>
        </w:rPr>
        <w:fldChar w:fldCharType="separate"/>
      </w:r>
      <w:r>
        <w:rPr>
          <w:noProof/>
        </w:rPr>
        <w:t>2</w:t>
      </w:r>
      <w:r>
        <w:rPr>
          <w:noProof/>
        </w:rPr>
        <w:fldChar w:fldCharType="end"/>
      </w:r>
      <w:r>
        <w:t xml:space="preserve"> A guide to Australia’s bio-climatic zones</w:t>
      </w:r>
      <w:bookmarkEnd w:id="10"/>
      <w:bookmarkEnd w:id="11"/>
      <w:bookmarkEnd w:id="12"/>
      <w:bookmarkEnd w:id="13"/>
      <w:bookmarkEnd w:id="14"/>
      <w:bookmarkEnd w:id="15"/>
    </w:p>
    <w:p w14:paraId="3DFF2138" w14:textId="77777777" w:rsidR="00BC2F05" w:rsidRDefault="00772FB6" w:rsidP="00032C1B">
      <w:r>
        <w:rPr>
          <w:noProof/>
          <w:lang w:eastAsia="en-AU"/>
        </w:rPr>
        <w:drawing>
          <wp:inline distT="0" distB="0" distL="0" distR="0" wp14:anchorId="69CE59C7" wp14:editId="2C5707CD">
            <wp:extent cx="5040000" cy="3602776"/>
            <wp:effectExtent l="0" t="0" r="8255" b="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2568"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40000" cy="3602776"/>
                    </a:xfrm>
                    <a:prstGeom prst="rect">
                      <a:avLst/>
                    </a:prstGeom>
                    <a:noFill/>
                    <a:ln w="9525">
                      <a:noFill/>
                      <a:miter lim="800000"/>
                      <a:headEnd/>
                      <a:tailEnd/>
                    </a:ln>
                  </pic:spPr>
                </pic:pic>
              </a:graphicData>
            </a:graphic>
          </wp:inline>
        </w:drawing>
      </w:r>
    </w:p>
    <w:p w14:paraId="7FAA3ACE" w14:textId="77777777" w:rsidR="00BC2F05" w:rsidRDefault="00BC2F05" w:rsidP="00032C1B">
      <w:pPr>
        <w:sectPr w:rsidR="00BC2F05" w:rsidSect="00E53C3B">
          <w:headerReference w:type="default" r:id="rId25"/>
          <w:pgSz w:w="11906" w:h="16838"/>
          <w:pgMar w:top="1418" w:right="1418" w:bottom="1418" w:left="1418" w:header="567" w:footer="454" w:gutter="0"/>
          <w:pgNumType w:fmt="lowerRoman"/>
          <w:cols w:space="708"/>
          <w:docGrid w:linePitch="360"/>
        </w:sectPr>
      </w:pPr>
    </w:p>
    <w:p w14:paraId="409EEC65" w14:textId="77777777" w:rsidR="00BC2F05" w:rsidRDefault="00772FB6" w:rsidP="00032C1B">
      <w:pPr>
        <w:pStyle w:val="Heading2"/>
        <w:numPr>
          <w:ilvl w:val="0"/>
          <w:numId w:val="0"/>
        </w:numPr>
        <w:ind w:left="794" w:hanging="794"/>
      </w:pPr>
      <w:bookmarkStart w:id="16" w:name="_Toc8032613"/>
      <w:bookmarkStart w:id="17" w:name="_Toc8033796"/>
      <w:bookmarkStart w:id="18" w:name="_Toc8033852"/>
      <w:bookmarkStart w:id="19" w:name="_Toc8035102"/>
      <w:bookmarkStart w:id="20" w:name="_Toc119493088"/>
      <w:r>
        <w:lastRenderedPageBreak/>
        <w:t>Summary</w:t>
      </w:r>
      <w:bookmarkEnd w:id="16"/>
      <w:bookmarkEnd w:id="17"/>
      <w:bookmarkEnd w:id="18"/>
      <w:bookmarkEnd w:id="19"/>
      <w:bookmarkEnd w:id="20"/>
    </w:p>
    <w:p w14:paraId="2BDFA666" w14:textId="77777777" w:rsidR="00BC2F05" w:rsidRDefault="00772FB6" w:rsidP="00032C1B">
      <w:pPr>
        <w:rPr>
          <w:color w:val="000000" w:themeColor="text1"/>
        </w:rPr>
      </w:pPr>
      <w:r w:rsidRPr="00FE29EC">
        <w:rPr>
          <w:color w:val="000000" w:themeColor="text1"/>
        </w:rPr>
        <w:t xml:space="preserve">The </w:t>
      </w:r>
      <w:r>
        <w:rPr>
          <w:color w:val="000000" w:themeColor="text1"/>
        </w:rPr>
        <w:t xml:space="preserve">Australian Government </w:t>
      </w:r>
      <w:r w:rsidRPr="00FE29EC">
        <w:rPr>
          <w:color w:val="000000" w:themeColor="text1"/>
        </w:rPr>
        <w:t xml:space="preserve">Department of </w:t>
      </w:r>
      <w:r>
        <w:rPr>
          <w:color w:val="000000" w:themeColor="text1"/>
        </w:rPr>
        <w:t xml:space="preserve">Agriculture, Fisheries and Forestry (the department) has prepared this </w:t>
      </w:r>
      <w:r>
        <w:rPr>
          <w:color w:val="000000" w:themeColor="text1"/>
        </w:rPr>
        <w:fldChar w:fldCharType="begin" w:fldLock="1"/>
      </w:r>
      <w:r>
        <w:rPr>
          <w:color w:val="000000" w:themeColor="text1"/>
        </w:rPr>
        <w:instrText xml:space="preserve"> REF  draft_final  \* MERGEFORMAT </w:instrText>
      </w:r>
      <w:r>
        <w:rPr>
          <w:color w:val="000000" w:themeColor="text1"/>
        </w:rPr>
        <w:fldChar w:fldCharType="separate"/>
      </w:r>
      <w:r w:rsidRPr="007678C4">
        <w:rPr>
          <w:rStyle w:val="PlaceholderText"/>
          <w:rFonts w:cs="Calibri"/>
          <w:color w:val="000000" w:themeColor="text1"/>
        </w:rPr>
        <w:t>draft</w:t>
      </w:r>
      <w:r>
        <w:rPr>
          <w:color w:val="000000" w:themeColor="text1"/>
        </w:rPr>
        <w:fldChar w:fldCharType="end"/>
      </w:r>
      <w:r>
        <w:rPr>
          <w:color w:val="000000" w:themeColor="text1"/>
        </w:rPr>
        <w:t xml:space="preserve"> </w:t>
      </w:r>
      <w:r w:rsidRPr="00FE29EC">
        <w:rPr>
          <w:color w:val="000000" w:themeColor="text1"/>
        </w:rPr>
        <w:t>r</w:t>
      </w:r>
      <w:r>
        <w:rPr>
          <w:color w:val="000000" w:themeColor="text1"/>
        </w:rPr>
        <w:t>eport to assess the proposal by the Republic of the Philippines (the Philippines) f</w:t>
      </w:r>
      <w:r w:rsidRPr="00FE29EC">
        <w:rPr>
          <w:color w:val="000000" w:themeColor="text1"/>
        </w:rPr>
        <w:t>or</w:t>
      </w:r>
      <w:r>
        <w:rPr>
          <w:color w:val="000000" w:themeColor="text1"/>
        </w:rPr>
        <w:t xml:space="preserve"> market access to Australia for fresh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Pr="007678C4">
        <w:rPr>
          <w:rStyle w:val="PlaceholderText"/>
          <w:rFonts w:cs="Calibri"/>
          <w:color w:val="000000" w:themeColor="text1"/>
        </w:rPr>
        <w:t>dragon</w:t>
      </w:r>
      <w:r w:rsidRPr="007678C4">
        <w:rPr>
          <w:color w:val="000000" w:themeColor="text1"/>
        </w:rPr>
        <w:t xml:space="preserve"> </w:t>
      </w:r>
      <w:r>
        <w:t>fruit</w:t>
      </w:r>
      <w:r>
        <w:rPr>
          <w:color w:val="000000" w:themeColor="text1"/>
        </w:rPr>
        <w:fldChar w:fldCharType="end"/>
      </w:r>
      <w:r>
        <w:rPr>
          <w:color w:val="000000" w:themeColor="text1"/>
        </w:rPr>
        <w:t xml:space="preserve"> for </w:t>
      </w:r>
      <w:r w:rsidRPr="00FE29EC">
        <w:rPr>
          <w:color w:val="000000" w:themeColor="text1"/>
        </w:rPr>
        <w:t>human consumption.</w:t>
      </w:r>
    </w:p>
    <w:p w14:paraId="3DFF6A60" w14:textId="77777777" w:rsidR="00BC2F05" w:rsidRPr="00A922F6" w:rsidRDefault="00772FB6" w:rsidP="00032C1B">
      <w:pPr>
        <w:rPr>
          <w:color w:val="000000" w:themeColor="text1"/>
        </w:rPr>
      </w:pPr>
      <w:r w:rsidRPr="00FE29EC">
        <w:rPr>
          <w:color w:val="000000" w:themeColor="text1"/>
        </w:rPr>
        <w:t>Austr</w:t>
      </w:r>
      <w:r>
        <w:rPr>
          <w:color w:val="000000" w:themeColor="text1"/>
        </w:rPr>
        <w:t xml:space="preserve">alia currently permits the importation of fresh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rPr>
          <w:color w:val="000000" w:themeColor="text1"/>
        </w:rPr>
        <w:t xml:space="preserve"> from </w:t>
      </w:r>
      <w:bookmarkStart w:id="21" w:name="othercountry_countries"/>
      <w:r>
        <w:rPr>
          <w:color w:val="000000" w:themeColor="text1"/>
        </w:rPr>
        <w:t>Vietnam</w:t>
      </w:r>
      <w:bookmarkEnd w:id="21"/>
      <w:r>
        <w:rPr>
          <w:color w:val="000000" w:themeColor="text1"/>
        </w:rPr>
        <w:t xml:space="preserve"> for human consumption, provided Australian biosecurity import c</w:t>
      </w:r>
      <w:r w:rsidRPr="00FE29EC">
        <w:rPr>
          <w:color w:val="000000" w:themeColor="text1"/>
        </w:rPr>
        <w:t>onditions</w:t>
      </w:r>
      <w:r>
        <w:rPr>
          <w:color w:val="000000" w:themeColor="text1"/>
        </w:rPr>
        <w:t xml:space="preserve"> are met</w:t>
      </w:r>
      <w:r w:rsidRPr="00FE29EC">
        <w:rPr>
          <w:color w:val="000000" w:themeColor="text1"/>
        </w:rPr>
        <w:t>.</w:t>
      </w:r>
      <w:r w:rsidRPr="00A922F6">
        <w:rPr>
          <w:color w:val="000000" w:themeColor="text1"/>
        </w:rPr>
        <w:t xml:space="preserve"> An import risk analysis for dragon fruit from Indonesia has also been completed, however, import conditions are yet to be finalised for this market.</w:t>
      </w:r>
    </w:p>
    <w:p w14:paraId="0AA0BE1E" w14:textId="77777777" w:rsidR="00BC2F05" w:rsidRPr="00FE29EC" w:rsidRDefault="00772FB6" w:rsidP="00032C1B">
      <w:pPr>
        <w:rPr>
          <w:color w:val="000000" w:themeColor="text1"/>
        </w:rPr>
      </w:pPr>
      <w:r w:rsidRPr="00FE29EC">
        <w:rPr>
          <w:color w:val="000000" w:themeColor="text1"/>
        </w:rPr>
        <w:t>This</w:t>
      </w:r>
      <w:r>
        <w:rPr>
          <w:color w:val="000000" w:themeColor="text1"/>
        </w:rPr>
        <w:t xml:space="preserve"> </w:t>
      </w:r>
      <w:r>
        <w:rPr>
          <w:color w:val="000000" w:themeColor="text1"/>
        </w:rPr>
        <w:fldChar w:fldCharType="begin" w:fldLock="1"/>
      </w:r>
      <w:r>
        <w:rPr>
          <w:color w:val="000000" w:themeColor="text1"/>
        </w:rPr>
        <w:instrText xml:space="preserve"> REF  draft_final  \* MERGEFORMAT </w:instrText>
      </w:r>
      <w:r>
        <w:rPr>
          <w:color w:val="000000" w:themeColor="text1"/>
        </w:rPr>
        <w:fldChar w:fldCharType="separate"/>
      </w:r>
      <w:r w:rsidRPr="007678C4">
        <w:rPr>
          <w:rStyle w:val="PlaceholderText"/>
          <w:rFonts w:cs="Calibri"/>
          <w:color w:val="000000" w:themeColor="text1"/>
        </w:rPr>
        <w:t>draft</w:t>
      </w:r>
      <w:r>
        <w:rPr>
          <w:color w:val="000000" w:themeColor="text1"/>
        </w:rPr>
        <w:fldChar w:fldCharType="end"/>
      </w:r>
      <w:r>
        <w:rPr>
          <w:color w:val="000000" w:themeColor="text1"/>
        </w:rPr>
        <w:t xml:space="preserve"> report </w:t>
      </w:r>
      <w:bookmarkStart w:id="22" w:name="proposes_recommends"/>
      <w:r>
        <w:rPr>
          <w:color w:val="000000" w:themeColor="text1"/>
        </w:rPr>
        <w:t>proposes</w:t>
      </w:r>
      <w:bookmarkEnd w:id="22"/>
      <w:r>
        <w:rPr>
          <w:color w:val="000000" w:themeColor="text1"/>
        </w:rPr>
        <w:t xml:space="preserve"> </w:t>
      </w:r>
      <w:r w:rsidRPr="00FE29EC">
        <w:rPr>
          <w:color w:val="000000" w:themeColor="text1"/>
        </w:rPr>
        <w:t>that the importation o</w:t>
      </w:r>
      <w:r>
        <w:rPr>
          <w:color w:val="000000" w:themeColor="text1"/>
        </w:rPr>
        <w:t xml:space="preserve">f commercially produced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Pr="007678C4">
        <w:rPr>
          <w:rStyle w:val="PlaceholderText"/>
          <w:rFonts w:cs="Calibri"/>
          <w:color w:val="000000" w:themeColor="text1"/>
        </w:rPr>
        <w:t>dragon</w:t>
      </w:r>
      <w:r>
        <w:t xml:space="preserve"> fruit</w:t>
      </w:r>
      <w:r>
        <w:rPr>
          <w:color w:val="000000" w:themeColor="text1"/>
        </w:rPr>
        <w:fldChar w:fldCharType="end"/>
      </w:r>
      <w:r>
        <w:rPr>
          <w:color w:val="000000" w:themeColor="text1"/>
        </w:rPr>
        <w:t xml:space="preserve"> to</w:t>
      </w:r>
      <w:r w:rsidRPr="00A11182">
        <w:rPr>
          <w:color w:val="000000" w:themeColor="text1"/>
        </w:rPr>
        <w:t xml:space="preserve"> </w:t>
      </w:r>
      <w:r w:rsidRPr="00FE29EC">
        <w:rPr>
          <w:color w:val="000000" w:themeColor="text1"/>
        </w:rPr>
        <w:t xml:space="preserve">Australia from all commercial </w:t>
      </w:r>
      <w:r>
        <w:rPr>
          <w:color w:val="000000" w:themeColor="text1"/>
        </w:rPr>
        <w:t xml:space="preserve">export </w:t>
      </w:r>
      <w:r w:rsidRPr="00FE29EC">
        <w:rPr>
          <w:color w:val="000000" w:themeColor="text1"/>
        </w:rPr>
        <w:t>production areas of</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Pr="007678C4">
        <w:rPr>
          <w:rFonts w:cs="Calibri"/>
          <w:color w:val="000000" w:themeColor="text1"/>
        </w:rPr>
        <w:t>the</w:t>
      </w:r>
      <w:r>
        <w:t xml:space="preserve"> Philippines</w:t>
      </w:r>
      <w:r>
        <w:rPr>
          <w:color w:val="000000" w:themeColor="text1"/>
        </w:rPr>
        <w:fldChar w:fldCharType="end"/>
      </w:r>
      <w:r>
        <w:rPr>
          <w:color w:val="000000" w:themeColor="text1"/>
        </w:rPr>
        <w:t xml:space="preserve"> be</w:t>
      </w:r>
      <w:r w:rsidRPr="00FE29EC">
        <w:rPr>
          <w:color w:val="000000" w:themeColor="text1"/>
        </w:rPr>
        <w:t xml:space="preserve"> permitted, subject to a range of biosecurity requirements.</w:t>
      </w:r>
    </w:p>
    <w:p w14:paraId="53AA4530" w14:textId="77777777" w:rsidR="00BC2F05" w:rsidRPr="00FE29EC" w:rsidRDefault="00772FB6" w:rsidP="00032C1B">
      <w:pPr>
        <w:rPr>
          <w:color w:val="000000" w:themeColor="text1"/>
        </w:rPr>
      </w:pPr>
      <w:r>
        <w:rPr>
          <w:color w:val="000000" w:themeColor="text1"/>
        </w:rPr>
        <w:t xml:space="preserve">This draft report contains details of plant </w:t>
      </w:r>
      <w:r w:rsidRPr="00FE29EC">
        <w:rPr>
          <w:color w:val="000000" w:themeColor="text1"/>
        </w:rPr>
        <w:t xml:space="preserve">pests that are of biosecurity concern to Australia and </w:t>
      </w:r>
      <w:r>
        <w:rPr>
          <w:color w:val="000000" w:themeColor="text1"/>
        </w:rPr>
        <w:t xml:space="preserve">are potentially </w:t>
      </w:r>
      <w:r w:rsidRPr="00FE29EC">
        <w:rPr>
          <w:color w:val="000000" w:themeColor="text1"/>
        </w:rPr>
        <w:t>associated with the importation of</w:t>
      </w:r>
      <w:r>
        <w:rPr>
          <w:color w:val="000000" w:themeColor="text1"/>
        </w:rPr>
        <w:t xml:space="preserve">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Pr="007678C4">
        <w:rPr>
          <w:rStyle w:val="PlaceholderText"/>
          <w:rFonts w:cs="Calibri"/>
          <w:color w:val="000000" w:themeColor="text1"/>
        </w:rPr>
        <w:t>dragon</w:t>
      </w:r>
      <w:r w:rsidRPr="007678C4">
        <w:rPr>
          <w:color w:val="000000" w:themeColor="text1"/>
        </w:rPr>
        <w:t xml:space="preserve"> </w:t>
      </w:r>
      <w:r>
        <w:t>fruit</w:t>
      </w:r>
      <w:r>
        <w:rPr>
          <w:color w:val="000000" w:themeColor="text1"/>
        </w:rPr>
        <w:fldChar w:fldCharType="end"/>
      </w:r>
      <w:r>
        <w:rPr>
          <w:color w:val="000000" w:themeColor="text1"/>
        </w:rPr>
        <w:t xml:space="preserve"> f</w:t>
      </w:r>
      <w:r w:rsidRPr="00FE29EC">
        <w:rPr>
          <w:color w:val="000000" w:themeColor="text1"/>
        </w:rPr>
        <w:t>rom</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Pr="007678C4">
        <w:rPr>
          <w:rFonts w:cs="Calibri"/>
          <w:color w:val="000000" w:themeColor="text1"/>
        </w:rPr>
        <w:t>the</w:t>
      </w:r>
      <w:r>
        <w:t xml:space="preserve"> Philippines</w:t>
      </w:r>
      <w:r>
        <w:rPr>
          <w:color w:val="000000" w:themeColor="text1"/>
        </w:rPr>
        <w:fldChar w:fldCharType="end"/>
      </w:r>
      <w:r>
        <w:rPr>
          <w:color w:val="000000" w:themeColor="text1"/>
        </w:rPr>
        <w:t xml:space="preserve">. Also included are the </w:t>
      </w:r>
      <w:r w:rsidRPr="00FE29EC">
        <w:rPr>
          <w:color w:val="000000" w:themeColor="text1"/>
        </w:rPr>
        <w:t xml:space="preserve">risk assessments for </w:t>
      </w:r>
      <w:r>
        <w:rPr>
          <w:color w:val="000000" w:themeColor="text1"/>
        </w:rPr>
        <w:t>the identified quarantine pests</w:t>
      </w:r>
      <w:bookmarkStart w:id="23" w:name="regulatedarticledropdown"/>
      <w:r>
        <w:rPr>
          <w:color w:val="000000" w:themeColor="text1"/>
        </w:rPr>
        <w:t xml:space="preserve"> and regulated articles</w:t>
      </w:r>
      <w:bookmarkEnd w:id="23"/>
      <w:r>
        <w:rPr>
          <w:color w:val="000000" w:themeColor="text1"/>
        </w:rPr>
        <w:t xml:space="preserve">, and, where required, </w:t>
      </w:r>
      <w:bookmarkStart w:id="24" w:name="proposed_recommended"/>
      <w:r>
        <w:rPr>
          <w:color w:val="000000" w:themeColor="text1"/>
        </w:rPr>
        <w:t>proposed</w:t>
      </w:r>
      <w:bookmarkEnd w:id="24"/>
      <w:r>
        <w:rPr>
          <w:color w:val="000000" w:themeColor="text1"/>
        </w:rPr>
        <w:t xml:space="preserve"> risk management measures to</w:t>
      </w:r>
      <w:r w:rsidRPr="00FE29EC">
        <w:rPr>
          <w:color w:val="000000" w:themeColor="text1"/>
        </w:rPr>
        <w:t xml:space="preserve"> reduce the biosecuri</w:t>
      </w:r>
      <w:r>
        <w:rPr>
          <w:color w:val="000000" w:themeColor="text1"/>
        </w:rPr>
        <w:t>ty risk to an acceptable level, that is, to achieve the appropriate level of protection (ALOP) for Australia.</w:t>
      </w:r>
    </w:p>
    <w:p w14:paraId="462D166F" w14:textId="77777777" w:rsidR="00BC2F05" w:rsidRDefault="00772FB6" w:rsidP="00032C1B">
      <w:pPr>
        <w:rPr>
          <w:color w:val="000000" w:themeColor="text1"/>
        </w:rPr>
      </w:pPr>
      <w:bookmarkStart w:id="25" w:name="numberofpests"/>
      <w:r>
        <w:rPr>
          <w:color w:val="000000" w:themeColor="text1"/>
        </w:rPr>
        <w:t>Seven</w:t>
      </w:r>
      <w:bookmarkEnd w:id="25"/>
      <w:r>
        <w:rPr>
          <w:color w:val="000000" w:themeColor="text1"/>
        </w:rPr>
        <w:t xml:space="preserve"> quarantine pests have been</w:t>
      </w:r>
      <w:r w:rsidRPr="00FE29EC">
        <w:rPr>
          <w:color w:val="000000" w:themeColor="text1"/>
        </w:rPr>
        <w:t xml:space="preserve"> identified in this risk analysis as requiring risk management measures to reduce the biosecurity </w:t>
      </w:r>
      <w:r>
        <w:rPr>
          <w:color w:val="000000" w:themeColor="text1"/>
        </w:rPr>
        <w:t>risk to an acceptable level. These pests are:</w:t>
      </w:r>
    </w:p>
    <w:p w14:paraId="4AC26B8D" w14:textId="77777777" w:rsidR="00BC2F05" w:rsidRDefault="00772FB6" w:rsidP="00BC2F05">
      <w:pPr>
        <w:pStyle w:val="ListBullet"/>
        <w:spacing w:before="0"/>
        <w:rPr>
          <w:color w:val="000000" w:themeColor="text1"/>
        </w:rPr>
      </w:pPr>
      <w:bookmarkStart w:id="26" w:name="numberofregulatedarticles"/>
      <w:r>
        <w:rPr>
          <w:color w:val="000000" w:themeColor="text1"/>
        </w:rPr>
        <w:t>fruit flies: Oriental fruit fly (</w:t>
      </w:r>
      <w:r>
        <w:rPr>
          <w:i/>
          <w:iCs/>
          <w:color w:val="000000" w:themeColor="text1"/>
        </w:rPr>
        <w:t>Bactrocera dorsalis</w:t>
      </w:r>
      <w:r>
        <w:rPr>
          <w:color w:val="000000" w:themeColor="text1"/>
        </w:rPr>
        <w:t>) and melon fly (</w:t>
      </w:r>
      <w:r>
        <w:rPr>
          <w:i/>
          <w:iCs/>
          <w:color w:val="000000" w:themeColor="text1"/>
        </w:rPr>
        <w:t>Zeugodacus cucurbitae</w:t>
      </w:r>
      <w:r>
        <w:rPr>
          <w:color w:val="000000" w:themeColor="text1"/>
        </w:rPr>
        <w:t>)</w:t>
      </w:r>
    </w:p>
    <w:p w14:paraId="1FA4E827" w14:textId="77777777" w:rsidR="00BC2F05" w:rsidRDefault="00772FB6" w:rsidP="00BC2F05">
      <w:pPr>
        <w:pStyle w:val="ListBullet"/>
        <w:rPr>
          <w:color w:val="000000" w:themeColor="text1"/>
        </w:rPr>
      </w:pPr>
      <w:r>
        <w:rPr>
          <w:color w:val="000000" w:themeColor="text1"/>
        </w:rPr>
        <w:t>mealybugs: grey pineapple mealybug (</w:t>
      </w:r>
      <w:r>
        <w:rPr>
          <w:i/>
          <w:iCs/>
          <w:color w:val="000000" w:themeColor="text1"/>
        </w:rPr>
        <w:t>Dysmicoccus neobrevipes</w:t>
      </w:r>
      <w:r>
        <w:rPr>
          <w:color w:val="000000" w:themeColor="text1"/>
        </w:rPr>
        <w:t>), papaya mealybug (</w:t>
      </w:r>
      <w:r>
        <w:rPr>
          <w:i/>
          <w:iCs/>
          <w:color w:val="000000" w:themeColor="text1"/>
        </w:rPr>
        <w:t>Paracoccus marginatus</w:t>
      </w:r>
      <w:r>
        <w:rPr>
          <w:color w:val="000000" w:themeColor="text1"/>
        </w:rPr>
        <w:t>) and Jack Beardsley mealybug (</w:t>
      </w:r>
      <w:r>
        <w:rPr>
          <w:i/>
          <w:iCs/>
          <w:color w:val="000000" w:themeColor="text1"/>
        </w:rPr>
        <w:t>Pseudococcus jackbeardsleyi</w:t>
      </w:r>
      <w:r>
        <w:rPr>
          <w:color w:val="000000" w:themeColor="text1"/>
        </w:rPr>
        <w:t>)</w:t>
      </w:r>
    </w:p>
    <w:p w14:paraId="146AD12D" w14:textId="77777777" w:rsidR="00BC2F05" w:rsidRDefault="00772FB6" w:rsidP="00BC2F05">
      <w:pPr>
        <w:pStyle w:val="ListBullet"/>
        <w:rPr>
          <w:color w:val="000000" w:themeColor="text1"/>
        </w:rPr>
      </w:pPr>
      <w:r>
        <w:rPr>
          <w:color w:val="000000" w:themeColor="text1"/>
        </w:rPr>
        <w:t>thrips: western flower thrips (</w:t>
      </w:r>
      <w:r>
        <w:rPr>
          <w:i/>
          <w:iCs/>
          <w:color w:val="000000" w:themeColor="text1"/>
        </w:rPr>
        <w:t>Frankliniella occidentalis</w:t>
      </w:r>
      <w:r>
        <w:rPr>
          <w:color w:val="000000" w:themeColor="text1"/>
        </w:rPr>
        <w:t>) and melon thrips (</w:t>
      </w:r>
      <w:r>
        <w:rPr>
          <w:i/>
          <w:iCs/>
          <w:color w:val="000000" w:themeColor="text1"/>
        </w:rPr>
        <w:t>Thrips palmi</w:t>
      </w:r>
      <w:r>
        <w:rPr>
          <w:color w:val="000000" w:themeColor="text1"/>
        </w:rPr>
        <w:t>).</w:t>
      </w:r>
    </w:p>
    <w:bookmarkEnd w:id="26"/>
    <w:p w14:paraId="60E756E1" w14:textId="77777777" w:rsidR="00BC2F05" w:rsidRDefault="00772FB6" w:rsidP="00032C1B">
      <w:pPr>
        <w:rPr>
          <w:color w:val="000000" w:themeColor="text1"/>
        </w:rPr>
      </w:pPr>
      <w:r>
        <w:rPr>
          <w:color w:val="000000" w:themeColor="text1"/>
        </w:rPr>
        <w:t xml:space="preserve">The </w:t>
      </w:r>
      <w:proofErr w:type="gramStart"/>
      <w:r>
        <w:rPr>
          <w:color w:val="000000" w:themeColor="text1"/>
        </w:rPr>
        <w:t>2 quarantine</w:t>
      </w:r>
      <w:proofErr w:type="gramEnd"/>
      <w:r>
        <w:rPr>
          <w:color w:val="000000" w:themeColor="text1"/>
        </w:rPr>
        <w:t xml:space="preserve"> thrips were also assessed as regulated articles for all of Australia, as they are capable of harbouring and spreading emerging </w:t>
      </w:r>
      <w:proofErr w:type="spellStart"/>
      <w:r>
        <w:rPr>
          <w:color w:val="000000" w:themeColor="text1"/>
        </w:rPr>
        <w:t>orthotospoviruses</w:t>
      </w:r>
      <w:proofErr w:type="spellEnd"/>
      <w:r>
        <w:rPr>
          <w:color w:val="000000" w:themeColor="text1"/>
        </w:rPr>
        <w:t xml:space="preserve"> that are quarantine pests for Australia.</w:t>
      </w:r>
    </w:p>
    <w:p w14:paraId="25FCE409" w14:textId="77777777" w:rsidR="00BC2F05" w:rsidRDefault="00772FB6" w:rsidP="00032C1B">
      <w:pPr>
        <w:rPr>
          <w:color w:val="000000" w:themeColor="text1"/>
        </w:rPr>
      </w:pPr>
      <w:r>
        <w:rPr>
          <w:color w:val="000000" w:themeColor="text1"/>
        </w:rPr>
        <w:t>An additional thrips species, c</w:t>
      </w:r>
      <w:r w:rsidRPr="00BB0CAF">
        <w:rPr>
          <w:color w:val="000000" w:themeColor="text1"/>
        </w:rPr>
        <w:t>hilli thrips (</w:t>
      </w:r>
      <w:r w:rsidRPr="00BB0CAF">
        <w:rPr>
          <w:rStyle w:val="Emphasis"/>
        </w:rPr>
        <w:t>Scirtothrips dorsalis</w:t>
      </w:r>
      <w:r w:rsidRPr="00BB0CAF">
        <w:rPr>
          <w:color w:val="000000" w:themeColor="text1"/>
        </w:rPr>
        <w:t>)</w:t>
      </w:r>
      <w:r>
        <w:rPr>
          <w:color w:val="000000" w:themeColor="text1"/>
        </w:rPr>
        <w:t>, which was identified as a non-quarantine pest as it is present in Australia, has</w:t>
      </w:r>
      <w:r w:rsidRPr="00BB0CAF">
        <w:rPr>
          <w:color w:val="000000" w:themeColor="text1"/>
        </w:rPr>
        <w:t xml:space="preserve"> been assessed as a regulated article for Australia</w:t>
      </w:r>
      <w:r>
        <w:rPr>
          <w:color w:val="000000" w:themeColor="text1"/>
        </w:rPr>
        <w:t>,</w:t>
      </w:r>
      <w:r w:rsidRPr="00BB0CAF">
        <w:rPr>
          <w:color w:val="000000" w:themeColor="text1"/>
        </w:rPr>
        <w:t xml:space="preserve"> as it is capable of harbouring and spreading emerging </w:t>
      </w:r>
      <w:proofErr w:type="spellStart"/>
      <w:r w:rsidRPr="00BB0CAF">
        <w:rPr>
          <w:color w:val="000000" w:themeColor="text1"/>
        </w:rPr>
        <w:t>orthotospoviruses</w:t>
      </w:r>
      <w:proofErr w:type="spellEnd"/>
      <w:r w:rsidRPr="00BB0CAF">
        <w:rPr>
          <w:color w:val="000000" w:themeColor="text1"/>
        </w:rPr>
        <w:t xml:space="preserve"> that are quarantine pests for Australia.</w:t>
      </w:r>
    </w:p>
    <w:p w14:paraId="71C4EF21" w14:textId="77777777" w:rsidR="00BC2F05" w:rsidRDefault="00772FB6" w:rsidP="00032C1B">
      <w:pPr>
        <w:rPr>
          <w:color w:val="000000" w:themeColor="text1"/>
        </w:rPr>
      </w:pPr>
      <w:r>
        <w:rPr>
          <w:color w:val="000000" w:themeColor="text1"/>
        </w:rPr>
        <w:t>The identified</w:t>
      </w:r>
      <w:r w:rsidRPr="008A0C78">
        <w:rPr>
          <w:color w:val="000000" w:themeColor="text1"/>
        </w:rPr>
        <w:t xml:space="preserve"> pests are the same, or of the same pest groups, as those associated with other horticultural commodities that have been </w:t>
      </w:r>
      <w:r>
        <w:rPr>
          <w:color w:val="000000" w:themeColor="text1"/>
        </w:rPr>
        <w:t>analysed</w:t>
      </w:r>
      <w:r w:rsidRPr="008A0C78">
        <w:rPr>
          <w:color w:val="000000" w:themeColor="text1"/>
        </w:rPr>
        <w:t xml:space="preserve"> previously by the department.</w:t>
      </w:r>
    </w:p>
    <w:p w14:paraId="2B16B83B" w14:textId="77777777" w:rsidR="00BC2F05" w:rsidRDefault="00772FB6" w:rsidP="00032C1B">
      <w:pPr>
        <w:rPr>
          <w:color w:val="000000" w:themeColor="text1"/>
        </w:rPr>
      </w:pPr>
      <w:r>
        <w:rPr>
          <w:color w:val="000000" w:themeColor="text1"/>
        </w:rPr>
        <w:t xml:space="preserve">The </w:t>
      </w:r>
      <w:r>
        <w:rPr>
          <w:color w:val="000000" w:themeColor="text1"/>
        </w:rPr>
        <w:fldChar w:fldCharType="begin" w:fldLock="1"/>
      </w:r>
      <w:r>
        <w:rPr>
          <w:color w:val="000000" w:themeColor="text1"/>
        </w:rPr>
        <w:instrText xml:space="preserve"> REF  proposed_recommended \* FirstCap  \* MERGEFORMAT </w:instrText>
      </w:r>
      <w:r>
        <w:rPr>
          <w:color w:val="000000" w:themeColor="text1"/>
        </w:rPr>
        <w:fldChar w:fldCharType="separate"/>
      </w:r>
      <w:r>
        <w:rPr>
          <w:rStyle w:val="PlaceholderText"/>
          <w:color w:val="000000" w:themeColor="text1"/>
        </w:rPr>
        <w:t>p</w:t>
      </w:r>
      <w:r w:rsidRPr="007678C4">
        <w:rPr>
          <w:rStyle w:val="PlaceholderText"/>
          <w:color w:val="000000" w:themeColor="text1"/>
        </w:rPr>
        <w:t>roposed</w:t>
      </w:r>
      <w:r>
        <w:rPr>
          <w:color w:val="000000" w:themeColor="text1"/>
        </w:rPr>
        <w:fldChar w:fldCharType="end"/>
      </w:r>
      <w:r>
        <w:rPr>
          <w:color w:val="000000" w:themeColor="text1"/>
        </w:rPr>
        <w:t xml:space="preserve"> ris</w:t>
      </w:r>
      <w:r w:rsidRPr="00A11182">
        <w:rPr>
          <w:color w:val="000000" w:themeColor="text1"/>
        </w:rPr>
        <w:t xml:space="preserve">k </w:t>
      </w:r>
      <w:r w:rsidRPr="00FE29EC">
        <w:rPr>
          <w:color w:val="000000" w:themeColor="text1"/>
        </w:rPr>
        <w:t>management measures take account of regional differences in pest distribution within Australia.</w:t>
      </w:r>
      <w:r w:rsidRPr="00451FDB">
        <w:rPr>
          <w:color w:val="000000" w:themeColor="text1"/>
        </w:rPr>
        <w:t xml:space="preserve"> </w:t>
      </w:r>
      <w:r>
        <w:rPr>
          <w:color w:val="000000" w:themeColor="text1"/>
        </w:rPr>
        <w:t>One of the</w:t>
      </w:r>
      <w:r w:rsidRPr="00CD3634">
        <w:rPr>
          <w:color w:val="000000" w:themeColor="text1"/>
        </w:rPr>
        <w:t xml:space="preserve"> pest</w:t>
      </w:r>
      <w:r>
        <w:rPr>
          <w:color w:val="000000" w:themeColor="text1"/>
        </w:rPr>
        <w:t>s</w:t>
      </w:r>
      <w:r w:rsidRPr="00CD3634">
        <w:rPr>
          <w:color w:val="000000" w:themeColor="text1"/>
        </w:rPr>
        <w:t xml:space="preserve"> requiring risk management measures, </w:t>
      </w:r>
      <w:r>
        <w:rPr>
          <w:i/>
          <w:lang w:val="pt-BR"/>
        </w:rPr>
        <w:t>F</w:t>
      </w:r>
      <w:proofErr w:type="spellStart"/>
      <w:r>
        <w:rPr>
          <w:i/>
          <w:iCs/>
          <w:color w:val="000000" w:themeColor="text1"/>
        </w:rPr>
        <w:t>rankliniella</w:t>
      </w:r>
      <w:proofErr w:type="spellEnd"/>
      <w:r>
        <w:rPr>
          <w:i/>
          <w:lang w:val="pt-BR"/>
        </w:rPr>
        <w:t xml:space="preserve"> occidentalis,</w:t>
      </w:r>
      <w:r w:rsidRPr="00CD3634">
        <w:rPr>
          <w:i/>
          <w:iCs/>
          <w:color w:val="000000" w:themeColor="text1"/>
        </w:rPr>
        <w:t xml:space="preserve"> </w:t>
      </w:r>
      <w:r w:rsidRPr="00CD3634">
        <w:rPr>
          <w:color w:val="000000" w:themeColor="text1"/>
        </w:rPr>
        <w:t>ha</w:t>
      </w:r>
      <w:r>
        <w:rPr>
          <w:color w:val="000000" w:themeColor="text1"/>
        </w:rPr>
        <w:t>s</w:t>
      </w:r>
      <w:r w:rsidRPr="00CD3634">
        <w:rPr>
          <w:color w:val="000000" w:themeColor="text1"/>
        </w:rPr>
        <w:t xml:space="preserve"> been identified as a regional quarantine pest </w:t>
      </w:r>
      <w:r>
        <w:rPr>
          <w:color w:val="000000" w:themeColor="text1"/>
        </w:rPr>
        <w:t xml:space="preserve">for the Northern Territory, and another pest, </w:t>
      </w:r>
      <w:r w:rsidRPr="002D09AF">
        <w:rPr>
          <w:i/>
          <w:iCs/>
          <w:color w:val="000000" w:themeColor="text1"/>
        </w:rPr>
        <w:t>Thrips palmi</w:t>
      </w:r>
      <w:r>
        <w:rPr>
          <w:i/>
          <w:iCs/>
          <w:color w:val="000000" w:themeColor="text1"/>
        </w:rPr>
        <w:t>,</w:t>
      </w:r>
      <w:r>
        <w:rPr>
          <w:color w:val="000000" w:themeColor="text1"/>
        </w:rPr>
        <w:t xml:space="preserve"> has been identified as a regional quarantine pest for Western Australia and South Australia.</w:t>
      </w:r>
    </w:p>
    <w:p w14:paraId="21A670FF" w14:textId="77777777" w:rsidR="00BC2F05" w:rsidRDefault="00772FB6" w:rsidP="00032C1B">
      <w:pPr>
        <w:spacing w:after="120"/>
        <w:rPr>
          <w:color w:val="000000" w:themeColor="text1"/>
        </w:rPr>
      </w:pPr>
      <w:r>
        <w:rPr>
          <w:color w:val="000000" w:themeColor="text1"/>
        </w:rPr>
        <w:t xml:space="preserve">In this draft report the department </w:t>
      </w:r>
      <w:r>
        <w:rPr>
          <w:color w:val="000000" w:themeColor="text1"/>
        </w:rPr>
        <w:fldChar w:fldCharType="begin" w:fldLock="1"/>
      </w:r>
      <w:r>
        <w:rPr>
          <w:color w:val="000000" w:themeColor="text1"/>
        </w:rPr>
        <w:instrText xml:space="preserve"> REF  proposes_recommends  \* MERGEFORMAT </w:instrText>
      </w:r>
      <w:r>
        <w:rPr>
          <w:color w:val="000000" w:themeColor="text1"/>
        </w:rPr>
        <w:fldChar w:fldCharType="separate"/>
      </w:r>
      <w:r w:rsidRPr="007678C4">
        <w:rPr>
          <w:rStyle w:val="PlaceholderText"/>
          <w:color w:val="000000" w:themeColor="text1"/>
        </w:rPr>
        <w:t>proposes</w:t>
      </w:r>
      <w:r>
        <w:rPr>
          <w:color w:val="000000" w:themeColor="text1"/>
        </w:rPr>
        <w:fldChar w:fldCharType="end"/>
      </w:r>
      <w:r w:rsidRPr="00FE29EC">
        <w:rPr>
          <w:color w:val="000000" w:themeColor="text1"/>
        </w:rPr>
        <w:t xml:space="preserve"> </w:t>
      </w:r>
      <w:r>
        <w:rPr>
          <w:color w:val="000000" w:themeColor="text1"/>
        </w:rPr>
        <w:t xml:space="preserve">a </w:t>
      </w:r>
      <w:r w:rsidRPr="00FE29EC">
        <w:rPr>
          <w:color w:val="000000" w:themeColor="text1"/>
        </w:rPr>
        <w:t xml:space="preserve">range of risk management measures, combined with operational systems, </w:t>
      </w:r>
      <w:r>
        <w:rPr>
          <w:color w:val="000000" w:themeColor="text1"/>
        </w:rPr>
        <w:t>to reduce the risks posed by the 8 identified species</w:t>
      </w:r>
      <w:r w:rsidRPr="00775E2B">
        <w:rPr>
          <w:color w:val="000000" w:themeColor="text1"/>
        </w:rPr>
        <w:t xml:space="preserve"> </w:t>
      </w:r>
      <w:r w:rsidRPr="00FE29EC">
        <w:rPr>
          <w:color w:val="000000" w:themeColor="text1"/>
        </w:rPr>
        <w:t xml:space="preserve">to achieve the </w:t>
      </w:r>
      <w:r>
        <w:rPr>
          <w:color w:val="000000" w:themeColor="text1"/>
        </w:rPr>
        <w:lastRenderedPageBreak/>
        <w:t>ALOP for Australia. Of the 8 identified species, 7 are quarantine pest</w:t>
      </w:r>
      <w:r w:rsidRPr="00880145">
        <w:t>s</w:t>
      </w:r>
      <w:r>
        <w:t xml:space="preserve">, 2 of which are also regulated articles, </w:t>
      </w:r>
      <w:r>
        <w:rPr>
          <w:color w:val="000000" w:themeColor="text1"/>
        </w:rPr>
        <w:t xml:space="preserve">and the eighth species is an additional regulated article. </w:t>
      </w:r>
    </w:p>
    <w:p w14:paraId="0949BE02" w14:textId="77777777" w:rsidR="00BC2F05" w:rsidRDefault="00772FB6" w:rsidP="00032C1B">
      <w:pPr>
        <w:spacing w:after="120"/>
        <w:rPr>
          <w:color w:val="000000" w:themeColor="text1"/>
        </w:rPr>
      </w:pPr>
      <w:r w:rsidRPr="00FE29EC">
        <w:rPr>
          <w:color w:val="000000" w:themeColor="text1"/>
        </w:rPr>
        <w:t xml:space="preserve">The </w:t>
      </w:r>
      <w:r>
        <w:rPr>
          <w:color w:val="000000" w:themeColor="text1"/>
        </w:rPr>
        <w:fldChar w:fldCharType="begin" w:fldLock="1"/>
      </w:r>
      <w:r>
        <w:rPr>
          <w:color w:val="000000" w:themeColor="text1"/>
        </w:rPr>
        <w:instrText xml:space="preserve"> REF  proposed_recommended \* Lower </w:instrText>
      </w:r>
      <w:r>
        <w:rPr>
          <w:color w:val="000000" w:themeColor="text1"/>
        </w:rPr>
        <w:fldChar w:fldCharType="separate"/>
      </w:r>
      <w:r>
        <w:rPr>
          <w:color w:val="000000" w:themeColor="text1"/>
        </w:rPr>
        <w:t>proposed</w:t>
      </w:r>
      <w:r>
        <w:rPr>
          <w:color w:val="000000" w:themeColor="text1"/>
        </w:rPr>
        <w:fldChar w:fldCharType="end"/>
      </w:r>
      <w:r>
        <w:rPr>
          <w:color w:val="000000" w:themeColor="text1"/>
        </w:rPr>
        <w:t xml:space="preserve"> </w:t>
      </w:r>
      <w:r w:rsidRPr="00FE29EC">
        <w:rPr>
          <w:color w:val="000000" w:themeColor="text1"/>
        </w:rPr>
        <w:t xml:space="preserve">measures </w:t>
      </w:r>
      <w:r>
        <w:rPr>
          <w:color w:val="000000" w:themeColor="text1"/>
        </w:rPr>
        <w:t>are</w:t>
      </w:r>
      <w:r w:rsidRPr="00FE29EC">
        <w:rPr>
          <w:color w:val="000000" w:themeColor="text1"/>
        </w:rPr>
        <w:t>:</w:t>
      </w:r>
    </w:p>
    <w:p w14:paraId="6D0AFE42" w14:textId="77777777" w:rsidR="00BC2F05" w:rsidRDefault="00772FB6" w:rsidP="00BC2F05">
      <w:pPr>
        <w:pStyle w:val="ListBullet"/>
      </w:pPr>
      <w:r>
        <w:t>for fruit flies:</w:t>
      </w:r>
    </w:p>
    <w:p w14:paraId="59C91845" w14:textId="77777777" w:rsidR="00BC2F05" w:rsidRDefault="00772FB6" w:rsidP="00BC2F05">
      <w:pPr>
        <w:pStyle w:val="ListBullet2"/>
        <w:ind w:left="794" w:hanging="397"/>
      </w:pPr>
      <w:r>
        <w:t>pest free areas, pest free places of production or pest free production sites, or</w:t>
      </w:r>
    </w:p>
    <w:p w14:paraId="12B4F74B" w14:textId="77777777" w:rsidR="00BC2F05" w:rsidRDefault="00772FB6" w:rsidP="00BC2F05">
      <w:pPr>
        <w:pStyle w:val="ListBullet2"/>
        <w:ind w:left="794" w:hanging="397"/>
      </w:pPr>
      <w:r>
        <w:t>fruit treatment considered to be effective against fruit flies such as irradiation or vapour heat treatment</w:t>
      </w:r>
    </w:p>
    <w:p w14:paraId="437FC51F" w14:textId="77777777" w:rsidR="00BC2F05" w:rsidRDefault="00772FB6" w:rsidP="00BC2F05">
      <w:pPr>
        <w:pStyle w:val="ListBullet"/>
      </w:pPr>
      <w:r>
        <w:t>for mealybugs and thrips:</w:t>
      </w:r>
    </w:p>
    <w:p w14:paraId="17BA1E0A" w14:textId="77777777" w:rsidR="00BC2F05" w:rsidRDefault="00772FB6" w:rsidP="00BC2F05">
      <w:pPr>
        <w:pStyle w:val="ListBullet2"/>
        <w:ind w:left="794" w:hanging="397"/>
      </w:pPr>
      <w:r>
        <w:t>pre-export visual inspection and, if found, remedial action.</w:t>
      </w:r>
    </w:p>
    <w:p w14:paraId="5A1F2F10" w14:textId="77777777" w:rsidR="00BC2F05" w:rsidRDefault="00772FB6" w:rsidP="00032C1B">
      <w:pPr>
        <w:rPr>
          <w:color w:val="000000" w:themeColor="text1"/>
        </w:rPr>
      </w:pPr>
      <w:r w:rsidRPr="00144695">
        <w:rPr>
          <w:color w:val="000000" w:themeColor="text1"/>
        </w:rPr>
        <w:t xml:space="preserve">This draft report has been published on the department website to allow interested parties to provide comments </w:t>
      </w:r>
      <w:r>
        <w:rPr>
          <w:color w:val="000000" w:themeColor="text1"/>
        </w:rPr>
        <w:t xml:space="preserve">and submissions </w:t>
      </w:r>
      <w:r w:rsidRPr="00144695">
        <w:rPr>
          <w:color w:val="000000" w:themeColor="text1"/>
        </w:rPr>
        <w:t>within the specified consultation period.</w:t>
      </w:r>
    </w:p>
    <w:p w14:paraId="795D52F3" w14:textId="77777777" w:rsidR="00BC2F05" w:rsidRDefault="00BC2F05" w:rsidP="00032C1B">
      <w:pPr>
        <w:spacing w:after="160" w:line="259" w:lineRule="auto"/>
        <w:sectPr w:rsidR="00BC2F05" w:rsidSect="00E53C3B">
          <w:headerReference w:type="even" r:id="rId26"/>
          <w:headerReference w:type="default" r:id="rId27"/>
          <w:headerReference w:type="first" r:id="rId28"/>
          <w:pgSz w:w="11906" w:h="16838"/>
          <w:pgMar w:top="1418" w:right="1418" w:bottom="1418" w:left="1418" w:header="567" w:footer="454" w:gutter="0"/>
          <w:pgNumType w:fmt="lowerRoman"/>
          <w:cols w:space="708"/>
          <w:docGrid w:linePitch="360"/>
        </w:sectPr>
      </w:pPr>
    </w:p>
    <w:p w14:paraId="0C4421D3" w14:textId="77777777" w:rsidR="00BC2F05" w:rsidRDefault="00772FB6" w:rsidP="00032C1B">
      <w:pPr>
        <w:pStyle w:val="Heading2"/>
      </w:pPr>
      <w:bookmarkStart w:id="27" w:name="_Toc524598934"/>
      <w:bookmarkStart w:id="28" w:name="_Toc119493089"/>
      <w:r w:rsidRPr="00772548">
        <w:lastRenderedPageBreak/>
        <w:t>Introduction</w:t>
      </w:r>
      <w:bookmarkEnd w:id="27"/>
      <w:bookmarkEnd w:id="28"/>
    </w:p>
    <w:p w14:paraId="2CD264B5" w14:textId="77777777" w:rsidR="00BC2F05" w:rsidRPr="005211B8" w:rsidRDefault="00772FB6" w:rsidP="00032C1B">
      <w:pPr>
        <w:pStyle w:val="Heading3"/>
      </w:pPr>
      <w:bookmarkStart w:id="29" w:name="_Toc119493090"/>
      <w:r>
        <w:t>Australia’s biosecurity policy framework</w:t>
      </w:r>
      <w:bookmarkEnd w:id="29"/>
    </w:p>
    <w:p w14:paraId="1E6E516B" w14:textId="77777777" w:rsidR="00BC2F05" w:rsidRPr="00772548" w:rsidRDefault="00772FB6" w:rsidP="00032C1B">
      <w:r w:rsidRPr="00772548">
        <w:t xml:space="preserve">Australia’s biosecurity policies aim to protect Australia against the risks that may arise from exotic </w:t>
      </w:r>
      <w:r>
        <w:t xml:space="preserve">pests entering, </w:t>
      </w:r>
      <w:proofErr w:type="gramStart"/>
      <w:r>
        <w:t>establishing</w:t>
      </w:r>
      <w:proofErr w:type="gramEnd"/>
      <w:r>
        <w:t xml:space="preserve"> and</w:t>
      </w:r>
      <w:r w:rsidRPr="00772548">
        <w:t xml:space="preserve"> spreading in Australia, </w:t>
      </w:r>
      <w:r>
        <w:t xml:space="preserve">thereby threatening Australia’s </w:t>
      </w:r>
      <w:r w:rsidRPr="00772548">
        <w:t xml:space="preserve">unique flora and fauna, </w:t>
      </w:r>
      <w:r>
        <w:t>as well as those</w:t>
      </w:r>
      <w:r w:rsidRPr="00772548">
        <w:t xml:space="preserve"> agricultural industries that are relatively free from serious pests.</w:t>
      </w:r>
    </w:p>
    <w:p w14:paraId="09362B4C" w14:textId="77777777" w:rsidR="00BC2F05" w:rsidRDefault="00772FB6" w:rsidP="00032C1B">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proposals to import goods into Australia. If the biosecurity risks do not achieve the appropriate level of protection (ALOP) for Australia, risk management mea</w:t>
      </w:r>
      <w:r>
        <w:t>sures are proposed</w:t>
      </w:r>
      <w:r w:rsidRPr="00772548">
        <w:t xml:space="preserve"> to reduce the risks to an acceptable level</w:t>
      </w:r>
      <w:r>
        <w:t xml:space="preserve">. </w:t>
      </w:r>
      <w:r w:rsidRPr="00772548">
        <w:t>If the risks cannot be reduced to an acceptable level, the goods will not be imported into Australia until suitable measures are identified or developed.</w:t>
      </w:r>
    </w:p>
    <w:p w14:paraId="7E27C9A3" w14:textId="77777777" w:rsidR="00BC2F05" w:rsidRDefault="00772FB6" w:rsidP="00032C1B">
      <w:r>
        <w:t xml:space="preserve">Successive Australian governments have maintained a stringent, but not a zero risk, approach to the management of biosecurity risks. This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576F79E9" w14:textId="77777777" w:rsidR="00BC2F05" w:rsidRPr="00772548" w:rsidRDefault="00772FB6" w:rsidP="00032C1B">
      <w:r w:rsidRPr="00772548">
        <w:t xml:space="preserve">Australia’s risk analyses are undertaken by the </w:t>
      </w:r>
      <w:r>
        <w:t>Department of Agriculture, Fisheries and Forestry using</w:t>
      </w:r>
      <w:r w:rsidRPr="00772548">
        <w:t xml:space="preserve"> technical and scientific experts in relevant fields and </w:t>
      </w:r>
      <w:r>
        <w:t>involve</w:t>
      </w:r>
      <w:r w:rsidRPr="00772548">
        <w:t xml:space="preserve"> consultation with stakeholders at var</w:t>
      </w:r>
      <w:r>
        <w:t>ious stages during the process.</w:t>
      </w:r>
    </w:p>
    <w:p w14:paraId="6AA4B7AF" w14:textId="77777777" w:rsidR="00BC2F05" w:rsidRPr="00E45FB8" w:rsidRDefault="00772FB6" w:rsidP="00032C1B">
      <w:pPr>
        <w:rPr>
          <w:color w:val="000000" w:themeColor="text1"/>
        </w:rPr>
      </w:pPr>
      <w:r w:rsidRPr="00E45FB8">
        <w:rPr>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4C279ED2" w14:textId="7D78063E" w:rsidR="00BC2F05" w:rsidRPr="00772548" w:rsidRDefault="00772FB6" w:rsidP="00032C1B">
      <w:r w:rsidRPr="00772548">
        <w:t xml:space="preserve">Further information about Australia’s biosecurity framework is provided in the </w:t>
      </w:r>
      <w:r w:rsidRPr="00772548">
        <w:rPr>
          <w:i/>
          <w:iCs/>
        </w:rPr>
        <w:t>Biosecurity</w:t>
      </w:r>
      <w:r w:rsidRPr="00772548">
        <w:t xml:space="preserve"> </w:t>
      </w:r>
      <w:r w:rsidRPr="00772548">
        <w:rPr>
          <w:i/>
          <w:iCs/>
        </w:rPr>
        <w:t>Import Risk Analysis Guidelines</w:t>
      </w:r>
      <w:r>
        <w:rPr>
          <w:i/>
          <w:iCs/>
        </w:rPr>
        <w:t> </w:t>
      </w:r>
      <w:r w:rsidRPr="00772548">
        <w:rPr>
          <w:i/>
          <w:iCs/>
        </w:rPr>
        <w:t>2016</w:t>
      </w:r>
      <w:r w:rsidRPr="00772548">
        <w:t xml:space="preserve"> located on the</w:t>
      </w:r>
      <w:r>
        <w:t xml:space="preserve"> Department of Agriculture, Fisheries and Forestry</w:t>
      </w:r>
      <w:r w:rsidRPr="00AF0688">
        <w:t xml:space="preserve"> website</w:t>
      </w:r>
      <w:r>
        <w:t xml:space="preserve"> at</w:t>
      </w:r>
      <w:r w:rsidRPr="00772548">
        <w:t xml:space="preserve"> </w:t>
      </w:r>
      <w:hyperlink r:id="rId29" w:history="1">
        <w:r w:rsidRPr="00A74525">
          <w:rPr>
            <w:rStyle w:val="Hyperlink"/>
          </w:rPr>
          <w:t>agriculture.gov.au/b</w:t>
        </w:r>
        <w:r w:rsidRPr="00A74525">
          <w:rPr>
            <w:rStyle w:val="Hyperlink"/>
          </w:rPr>
          <w:t>i</w:t>
        </w:r>
        <w:r w:rsidRPr="00A74525">
          <w:rPr>
            <w:rStyle w:val="Hyperlink"/>
          </w:rPr>
          <w:t>osecurity-trade/policy/risk-analysis/guidelines.</w:t>
        </w:r>
      </w:hyperlink>
    </w:p>
    <w:p w14:paraId="2704CDDC" w14:textId="77777777" w:rsidR="00BC2F05" w:rsidRDefault="00772FB6" w:rsidP="00032C1B">
      <w:pPr>
        <w:pStyle w:val="Heading3"/>
      </w:pPr>
      <w:bookmarkStart w:id="30" w:name="_Toc119493091"/>
      <w:r>
        <w:t>This risk analysis</w:t>
      </w:r>
      <w:bookmarkEnd w:id="30"/>
    </w:p>
    <w:p w14:paraId="7E5A3627" w14:textId="77777777" w:rsidR="00BC2F05" w:rsidRDefault="00772FB6" w:rsidP="00032C1B">
      <w:pPr>
        <w:pStyle w:val="Heading4"/>
      </w:pPr>
      <w:r>
        <w:t>Background</w:t>
      </w:r>
    </w:p>
    <w:p w14:paraId="65DC7013" w14:textId="77777777" w:rsidR="00BC2F05" w:rsidRDefault="00772FB6" w:rsidP="00032C1B">
      <w:r>
        <w:t xml:space="preserve">The Republic of the Philippines, Department of Agriculture (the Philippines DA) </w:t>
      </w:r>
      <w:r w:rsidRPr="00772548">
        <w:t>formally requested market access to Australia for</w:t>
      </w:r>
      <w:r>
        <w:t xml:space="preserve"> fresh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Pr="007678C4">
        <w:rPr>
          <w:rStyle w:val="PlaceholderText"/>
          <w:rFonts w:cs="Calibri"/>
          <w:color w:val="000000" w:themeColor="text1"/>
        </w:rPr>
        <w:t>dragon</w:t>
      </w:r>
      <w:r w:rsidRPr="007678C4">
        <w:rPr>
          <w:color w:val="000000" w:themeColor="text1"/>
        </w:rPr>
        <w:t xml:space="preserve"> </w:t>
      </w:r>
      <w:r>
        <w:t>fruit</w:t>
      </w:r>
      <w:r>
        <w:rPr>
          <w:rStyle w:val="PlaceholderText"/>
          <w:color w:val="63B1E5"/>
        </w:rPr>
        <w:fldChar w:fldCharType="end"/>
      </w:r>
      <w:r>
        <w:t xml:space="preserve"> f</w:t>
      </w:r>
      <w:r w:rsidRPr="00772548">
        <w:t xml:space="preserve">or human consumption in a </w:t>
      </w:r>
      <w:r>
        <w:t>letter</w:t>
      </w:r>
      <w:r w:rsidRPr="00772548">
        <w:t xml:space="preserve"> received in </w:t>
      </w:r>
      <w:r>
        <w:t>October 2018</w:t>
      </w:r>
      <w:r w:rsidRPr="00772548">
        <w:t xml:space="preserve">. </w:t>
      </w:r>
      <w:r>
        <w:t xml:space="preserve">A technical submission was further received in April 2020 to support this market access request. </w:t>
      </w:r>
      <w:r w:rsidRPr="00772548">
        <w:t>This submission provided information on the pests associated with</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Pr="007678C4">
        <w:rPr>
          <w:rStyle w:val="PlaceholderText"/>
          <w:rFonts w:cs="Calibri"/>
          <w:color w:val="000000" w:themeColor="text1"/>
        </w:rPr>
        <w:t>dragon</w:t>
      </w:r>
      <w:r>
        <w:t xml:space="preserve"> fruit</w:t>
      </w:r>
      <w:r>
        <w:rPr>
          <w:rStyle w:val="PlaceholderText"/>
          <w:color w:val="63B1E5"/>
        </w:rPr>
        <w:fldChar w:fldCharType="end"/>
      </w:r>
      <w:r>
        <w:t xml:space="preserve"> i</w:t>
      </w:r>
      <w:r w:rsidRPr="00772548">
        <w:t>n</w:t>
      </w:r>
      <w:r>
        <w:t xml:space="preserve"> </w:t>
      </w:r>
      <w:fldSimple w:instr=" REF  country  \* MERGEFORMAT " w:fldLock="1">
        <w:r w:rsidRPr="007678C4">
          <w:rPr>
            <w:rFonts w:cs="Calibri"/>
            <w:color w:val="000000" w:themeColor="text1"/>
          </w:rPr>
          <w:t>the</w:t>
        </w:r>
        <w:r>
          <w:t xml:space="preserve"> Philippines</w:t>
        </w:r>
      </w:fldSimple>
      <w:r>
        <w:t xml:space="preserve">, </w:t>
      </w:r>
      <w:r w:rsidRPr="00772548">
        <w:t>i</w:t>
      </w:r>
      <w:r>
        <w:t xml:space="preserve">ncluding the plant part </w:t>
      </w:r>
      <w:r w:rsidRPr="00772548">
        <w:t>affected. Information was also provided on the standard commercial production practices for</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Pr="007678C4">
        <w:rPr>
          <w:rStyle w:val="PlaceholderText"/>
          <w:rFonts w:cs="Calibri"/>
          <w:color w:val="000000" w:themeColor="text1"/>
        </w:rPr>
        <w:t>dragon</w:t>
      </w:r>
      <w:r>
        <w:t xml:space="preserve"> fruit</w:t>
      </w:r>
      <w:r>
        <w:rPr>
          <w:rStyle w:val="PlaceholderText"/>
          <w:color w:val="63B1E5"/>
        </w:rPr>
        <w:fldChar w:fldCharType="end"/>
      </w:r>
      <w:r>
        <w:t xml:space="preserve"> 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Pr="007678C4">
        <w:rPr>
          <w:rFonts w:cs="Calibri"/>
          <w:color w:val="000000" w:themeColor="text1"/>
        </w:rPr>
        <w:t>the</w:t>
      </w:r>
      <w:r>
        <w:t xml:space="preserve"> Philippines</w:t>
      </w:r>
      <w:r>
        <w:rPr>
          <w:color w:val="000000" w:themeColor="text1"/>
        </w:rPr>
        <w:fldChar w:fldCharType="end"/>
      </w:r>
      <w:r>
        <w:rPr>
          <w:color w:val="000000" w:themeColor="text1"/>
        </w:rPr>
        <w:t>.</w:t>
      </w:r>
    </w:p>
    <w:p w14:paraId="54C4771F" w14:textId="77777777" w:rsidR="00BC2F05" w:rsidRDefault="00772FB6" w:rsidP="00032C1B">
      <w:r>
        <w:t xml:space="preserve">On 21 February 2022, the department notified stakeholders of the decision to progress the request for market access for </w:t>
      </w:r>
      <w:fldSimple w:instr=" REF  commodity \* Lower  \* MERGEFORMAT " w:fldLock="1">
        <w:r w:rsidRPr="007678C4">
          <w:rPr>
            <w:rStyle w:val="PlaceholderText"/>
            <w:rFonts w:cs="Calibri"/>
            <w:color w:val="000000" w:themeColor="text1"/>
          </w:rPr>
          <w:t>dragon</w:t>
        </w:r>
        <w:r>
          <w:t xml:space="preserve"> fruit</w:t>
        </w:r>
      </w:fldSimple>
      <w:r>
        <w:t xml:space="preserve"> from </w:t>
      </w:r>
      <w:fldSimple w:instr=" REF  country  \* MERGEFORMAT " w:fldLock="1">
        <w:r w:rsidRPr="007678C4">
          <w:rPr>
            <w:rFonts w:cs="Calibri"/>
            <w:color w:val="000000" w:themeColor="text1"/>
          </w:rPr>
          <w:t>the</w:t>
        </w:r>
        <w:r>
          <w:t xml:space="preserve"> Philippines</w:t>
        </w:r>
      </w:fldSimple>
      <w:r>
        <w:t xml:space="preserve"> as a review of biosecurity import requirements. This analysis is conducted in accordance with </w:t>
      </w:r>
      <w:r w:rsidRPr="00772548">
        <w:t xml:space="preserve">the </w:t>
      </w:r>
      <w:r w:rsidRPr="00772548">
        <w:rPr>
          <w:i/>
        </w:rPr>
        <w:t>Biosecurity Act</w:t>
      </w:r>
      <w:r>
        <w:rPr>
          <w:i/>
        </w:rPr>
        <w:t> </w:t>
      </w:r>
      <w:r w:rsidRPr="00772548">
        <w:rPr>
          <w:i/>
        </w:rPr>
        <w:t>2015</w:t>
      </w:r>
      <w:r w:rsidRPr="00772548">
        <w:t>.</w:t>
      </w:r>
    </w:p>
    <w:p w14:paraId="101AC186" w14:textId="77777777" w:rsidR="00BC2F05" w:rsidRPr="00772548" w:rsidRDefault="00772FB6" w:rsidP="00E64522">
      <w:r w:rsidRPr="00772548">
        <w:lastRenderedPageBreak/>
        <w:t xml:space="preserve">In </w:t>
      </w:r>
      <w:r>
        <w:t>June 2022</w:t>
      </w:r>
      <w:r w:rsidRPr="00772548">
        <w:t xml:space="preserve">, </w:t>
      </w:r>
      <w:r>
        <w:t xml:space="preserve">departmental officers visited export production </w:t>
      </w:r>
      <w:r w:rsidRPr="003F1101">
        <w:t xml:space="preserve">areas for </w:t>
      </w:r>
      <w:r w:rsidRPr="003F1101">
        <w:fldChar w:fldCharType="begin" w:fldLock="1"/>
      </w:r>
      <w:r w:rsidRPr="003F1101">
        <w:instrText xml:space="preserve"> REF  commodity \* Lower </w:instrText>
      </w:r>
      <w:r>
        <w:instrText xml:space="preserve"> \* MERGEFORMAT </w:instrText>
      </w:r>
      <w:r w:rsidRPr="003F1101">
        <w:fldChar w:fldCharType="separate"/>
      </w:r>
      <w:r>
        <w:t>dragon fruit</w:t>
      </w:r>
      <w:r w:rsidRPr="003F1101">
        <w:fldChar w:fldCharType="end"/>
      </w:r>
      <w:r w:rsidRPr="003F1101">
        <w:t xml:space="preserve"> </w:t>
      </w:r>
      <w:r>
        <w:t>in</w:t>
      </w:r>
      <w:r w:rsidRPr="003F1101">
        <w:t xml:space="preserve"> </w:t>
      </w:r>
      <w:r w:rsidRPr="003F1101">
        <w:fldChar w:fldCharType="begin" w:fldLock="1"/>
      </w:r>
      <w:r w:rsidRPr="003F1101">
        <w:instrText xml:space="preserve"> REF country </w:instrText>
      </w:r>
      <w:r>
        <w:instrText xml:space="preserve"> \* MERGEFORMAT </w:instrText>
      </w:r>
      <w:r w:rsidRPr="003F1101">
        <w:fldChar w:fldCharType="separate"/>
      </w:r>
      <w:r>
        <w:t>the Philippines</w:t>
      </w:r>
      <w:r w:rsidRPr="003F1101">
        <w:fldChar w:fldCharType="end"/>
      </w:r>
      <w:r w:rsidRPr="003F1101">
        <w:t>. The objective</w:t>
      </w:r>
      <w:r>
        <w:rPr>
          <w:color w:val="000000" w:themeColor="text1"/>
        </w:rPr>
        <w:t xml:space="preserve"> </w:t>
      </w:r>
      <w:r w:rsidRPr="00772548">
        <w:t xml:space="preserve">of </w:t>
      </w:r>
      <w:r>
        <w:t>this visit</w:t>
      </w:r>
      <w:r w:rsidRPr="00772548">
        <w:t xml:space="preserve"> was to observe commercial</w:t>
      </w:r>
      <w:r>
        <w:t xml:space="preserve"> export</w:t>
      </w:r>
      <w:r w:rsidRPr="00772548">
        <w:t xml:space="preserve"> production, pest management and other export</w:t>
      </w:r>
      <w:r>
        <w:t xml:space="preserve"> practices.</w:t>
      </w:r>
    </w:p>
    <w:p w14:paraId="6D7EDC50" w14:textId="77777777" w:rsidR="00BC2F05" w:rsidRDefault="00772FB6" w:rsidP="00032C1B">
      <w:pPr>
        <w:pStyle w:val="Heading4"/>
      </w:pPr>
      <w:bookmarkStart w:id="31" w:name="_Ref94701666"/>
      <w:r>
        <w:t>Scope</w:t>
      </w:r>
      <w:bookmarkEnd w:id="31"/>
    </w:p>
    <w:p w14:paraId="36D6D077" w14:textId="77777777" w:rsidR="00BC2F05" w:rsidRDefault="00772FB6" w:rsidP="00032C1B">
      <w:r w:rsidRPr="00772548">
        <w:t>The scope of this risk analysis is to consider the biosecurity risk that may be associated with the pathway of</w:t>
      </w:r>
      <w:r>
        <w:t xml:space="preserve"> imported fresh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Pr="007678C4">
        <w:rPr>
          <w:rStyle w:val="PlaceholderText"/>
          <w:rFonts w:cs="Calibri"/>
          <w:color w:val="000000" w:themeColor="text1"/>
        </w:rPr>
        <w:t>dragon</w:t>
      </w:r>
      <w:r>
        <w:t xml:space="preserve"> fruit</w:t>
      </w:r>
      <w:r>
        <w:rPr>
          <w:rStyle w:val="PlaceholderText"/>
          <w:color w:val="63B1E5"/>
        </w:rPr>
        <w:fldChar w:fldCharType="end"/>
      </w:r>
      <w:r>
        <w:t xml:space="preserve"> (</w:t>
      </w:r>
      <w:r w:rsidRPr="007B2DDE">
        <w:rPr>
          <w:rStyle w:val="Emphasis"/>
        </w:rPr>
        <w:t xml:space="preserve">Selenicereus </w:t>
      </w:r>
      <w:r w:rsidRPr="00A74525">
        <w:rPr>
          <w:rStyle w:val="Emphasis"/>
          <w:i w:val="0"/>
          <w:iCs w:val="0"/>
          <w:color w:val="000000" w:themeColor="text1"/>
        </w:rPr>
        <w:t>spp</w:t>
      </w:r>
      <w:r w:rsidRPr="00B536DC">
        <w:rPr>
          <w:rStyle w:val="Emphasis"/>
          <w:color w:val="000000" w:themeColor="text1"/>
        </w:rPr>
        <w:t xml:space="preserve">. </w:t>
      </w:r>
      <w:bookmarkStart w:id="32" w:name="_Hlk117231482"/>
      <w:r w:rsidRPr="00D10314">
        <w:rPr>
          <w:rStyle w:val="Emphasis"/>
          <w:i w:val="0"/>
          <w:iCs w:val="0"/>
          <w:color w:val="000000" w:themeColor="text1"/>
        </w:rPr>
        <w:t>that were previously known as</w:t>
      </w:r>
      <w:r w:rsidRPr="00B536DC">
        <w:rPr>
          <w:rStyle w:val="Emphasis"/>
          <w:color w:val="000000" w:themeColor="text1"/>
        </w:rPr>
        <w:t xml:space="preserve"> Hylocereus </w:t>
      </w:r>
      <w:r w:rsidRPr="00A74525">
        <w:rPr>
          <w:rStyle w:val="Emphasis"/>
          <w:i w:val="0"/>
          <w:iCs w:val="0"/>
          <w:color w:val="000000" w:themeColor="text1"/>
        </w:rPr>
        <w:t xml:space="preserve">spp. </w:t>
      </w:r>
      <w:r w:rsidRPr="00D10314">
        <w:rPr>
          <w:rStyle w:val="Emphasis"/>
          <w:i w:val="0"/>
          <w:iCs w:val="0"/>
          <w:color w:val="000000" w:themeColor="text1"/>
        </w:rPr>
        <w:t>and hybrids thereof</w:t>
      </w:r>
      <w:bookmarkEnd w:id="32"/>
      <w:r>
        <w:t>) grown 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Pr="007678C4">
        <w:rPr>
          <w:rFonts w:cs="Calibri"/>
          <w:color w:val="000000" w:themeColor="text1"/>
        </w:rPr>
        <w:t>the</w:t>
      </w:r>
      <w:r>
        <w:t xml:space="preserve"> Philippines</w:t>
      </w:r>
      <w:r>
        <w:rPr>
          <w:color w:val="000000" w:themeColor="text1"/>
        </w:rPr>
        <w:fldChar w:fldCharType="end"/>
      </w:r>
      <w:r>
        <w:rPr>
          <w:color w:val="000000" w:themeColor="text1"/>
        </w:rPr>
        <w:t xml:space="preserve">, using standard commercial production practices as described in Chapter 2, </w:t>
      </w:r>
      <w:r w:rsidRPr="00772548">
        <w:t>for human consumption in Australia.</w:t>
      </w:r>
    </w:p>
    <w:p w14:paraId="6A08322E" w14:textId="77777777" w:rsidR="00BC2F05" w:rsidRDefault="00772FB6" w:rsidP="00032C1B">
      <w:pPr>
        <w:rPr>
          <w:color w:val="000000" w:themeColor="text1"/>
        </w:rPr>
      </w:pPr>
      <w:r w:rsidRPr="00772548">
        <w:t>In this risk analysis,</w:t>
      </w:r>
      <w:r>
        <w:rPr>
          <w:color w:val="000000" w:themeColor="text1"/>
        </w:rPr>
        <w:t xml:space="preserve">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Pr="007678C4">
        <w:rPr>
          <w:rStyle w:val="PlaceholderText"/>
          <w:rFonts w:cs="Calibri"/>
          <w:color w:val="000000" w:themeColor="text1"/>
        </w:rPr>
        <w:t>dragon</w:t>
      </w:r>
      <w:r>
        <w:t xml:space="preserve"> fruit</w:t>
      </w:r>
      <w:r>
        <w:rPr>
          <w:color w:val="000000" w:themeColor="text1"/>
        </w:rPr>
        <w:fldChar w:fldCharType="end"/>
      </w:r>
      <w:r w:rsidRPr="00772548">
        <w:t xml:space="preserve"> </w:t>
      </w:r>
      <w:r>
        <w:t>a</w:t>
      </w:r>
      <w:r w:rsidRPr="00772548">
        <w:t xml:space="preserve">re defined as </w:t>
      </w:r>
      <w:r w:rsidRPr="00754AC0">
        <w:rPr>
          <w:color w:val="000000" w:themeColor="text1"/>
        </w:rPr>
        <w:t>the entire fruit with the flesh, seed</w:t>
      </w:r>
      <w:r>
        <w:rPr>
          <w:color w:val="000000" w:themeColor="text1"/>
        </w:rPr>
        <w:t>s</w:t>
      </w:r>
      <w:r w:rsidRPr="00754AC0">
        <w:rPr>
          <w:color w:val="000000" w:themeColor="text1"/>
        </w:rPr>
        <w:t>, skin</w:t>
      </w:r>
      <w:r>
        <w:rPr>
          <w:color w:val="000000" w:themeColor="text1"/>
        </w:rPr>
        <w:t xml:space="preserve"> including full bracts</w:t>
      </w:r>
      <w:r w:rsidRPr="00754AC0">
        <w:rPr>
          <w:color w:val="000000" w:themeColor="text1"/>
        </w:rPr>
        <w:t xml:space="preserve"> and potentially a small portion of the</w:t>
      </w:r>
      <w:r>
        <w:rPr>
          <w:color w:val="000000" w:themeColor="text1"/>
        </w:rPr>
        <w:t xml:space="preserve"> cut stem including the</w:t>
      </w:r>
      <w:r w:rsidRPr="00754AC0">
        <w:rPr>
          <w:color w:val="000000" w:themeColor="text1"/>
        </w:rPr>
        <w:t xml:space="preserve"> </w:t>
      </w:r>
      <w:r>
        <w:rPr>
          <w:color w:val="000000" w:themeColor="text1"/>
        </w:rPr>
        <w:t xml:space="preserve">areole </w:t>
      </w:r>
      <w:r>
        <w:t>(</w:t>
      </w:r>
      <w:r>
        <w:fldChar w:fldCharType="begin" w:fldLock="1"/>
      </w:r>
      <w:r>
        <w:instrText xml:space="preserve"> REF _Ref90361592 \h </w:instrText>
      </w:r>
      <w:r>
        <w:fldChar w:fldCharType="separate"/>
      </w:r>
      <w:r>
        <w:t xml:space="preserve">Figure </w:t>
      </w:r>
      <w:r>
        <w:rPr>
          <w:noProof/>
        </w:rPr>
        <w:t>1</w:t>
      </w:r>
      <w:r>
        <w:t>.</w:t>
      </w:r>
      <w:r>
        <w:rPr>
          <w:noProof/>
        </w:rPr>
        <w:t>1</w:t>
      </w:r>
      <w:r>
        <w:fldChar w:fldCharType="end"/>
      </w:r>
      <w:r>
        <w:t xml:space="preserve">). </w:t>
      </w:r>
    </w:p>
    <w:p w14:paraId="5779FD74" w14:textId="77777777" w:rsidR="00BC2F05" w:rsidRDefault="00772FB6" w:rsidP="00032C1B">
      <w:pPr>
        <w:rPr>
          <w:color w:val="000000" w:themeColor="text1"/>
        </w:rPr>
      </w:pPr>
      <w:r>
        <w:rPr>
          <w:color w:val="000000" w:themeColor="text1"/>
        </w:rPr>
        <w:t xml:space="preserve">The main edible dragon fruit species were previously classified as being in the genus </w:t>
      </w:r>
      <w:r>
        <w:rPr>
          <w:i/>
          <w:iCs/>
          <w:color w:val="000000" w:themeColor="text1"/>
        </w:rPr>
        <w:t>Hylocereus</w:t>
      </w:r>
      <w:r>
        <w:rPr>
          <w:color w:val="000000" w:themeColor="text1"/>
        </w:rPr>
        <w:t xml:space="preserve"> and were assessed in the previous risk assessments for dragon fruit from Vietnam</w:t>
      </w:r>
      <w:r w:rsidRPr="00E64522">
        <w:t xml:space="preserve"> </w:t>
      </w:r>
      <w:r>
        <w:rPr>
          <w:noProof/>
          <w:color w:val="000000" w:themeColor="text1"/>
        </w:rPr>
        <w:t>(DAWR 2017b)</w:t>
      </w:r>
      <w:r>
        <w:rPr>
          <w:color w:val="000000" w:themeColor="text1"/>
        </w:rPr>
        <w:t xml:space="preserve"> and dragon fruit from Indonesia</w:t>
      </w:r>
      <w:r w:rsidRPr="00E64522">
        <w:t xml:space="preserve"> </w:t>
      </w:r>
      <w:r>
        <w:rPr>
          <w:noProof/>
          <w:color w:val="000000" w:themeColor="text1"/>
        </w:rPr>
        <w:t>(DAWR 2018)</w:t>
      </w:r>
      <w:r>
        <w:rPr>
          <w:color w:val="000000" w:themeColor="text1"/>
        </w:rPr>
        <w:t xml:space="preserve">. Recently, phylogenetic DNA analysis revised this taxonomy, concluding that there is no separation between </w:t>
      </w:r>
      <w:r w:rsidRPr="00A5488A">
        <w:rPr>
          <w:i/>
          <w:iCs/>
          <w:color w:val="000000" w:themeColor="text1"/>
        </w:rPr>
        <w:t>Hylocereus</w:t>
      </w:r>
      <w:r>
        <w:rPr>
          <w:color w:val="000000" w:themeColor="text1"/>
        </w:rPr>
        <w:t xml:space="preserve"> and the broader flowering cactus genus </w:t>
      </w:r>
      <w:r w:rsidRPr="00A5488A">
        <w:rPr>
          <w:i/>
          <w:iCs/>
          <w:color w:val="000000" w:themeColor="text1"/>
        </w:rPr>
        <w:t>Selenicereus</w:t>
      </w:r>
      <w:r>
        <w:rPr>
          <w:color w:val="000000" w:themeColor="text1"/>
        </w:rPr>
        <w:t xml:space="preserve">. Therefore, edible dragon fruit species are now classified as being part of the </w:t>
      </w:r>
      <w:r w:rsidRPr="00422ED8">
        <w:rPr>
          <w:i/>
          <w:iCs/>
          <w:color w:val="000000" w:themeColor="text1"/>
        </w:rPr>
        <w:t>Selenicereus</w:t>
      </w:r>
      <w:r>
        <w:rPr>
          <w:color w:val="000000" w:themeColor="text1"/>
        </w:rPr>
        <w:t xml:space="preserve"> genus </w:t>
      </w:r>
      <w:r>
        <w:rPr>
          <w:noProof/>
          <w:color w:val="000000" w:themeColor="text1"/>
        </w:rPr>
        <w:t>(Korotkova, Borsch &amp; Arias 2017)</w:t>
      </w:r>
      <w:r>
        <w:rPr>
          <w:color w:val="000000" w:themeColor="text1"/>
        </w:rPr>
        <w:t>.</w:t>
      </w:r>
    </w:p>
    <w:p w14:paraId="7DFD36CF" w14:textId="77777777" w:rsidR="00BC2F05" w:rsidRPr="00F6606E" w:rsidRDefault="00772FB6" w:rsidP="00F6606E">
      <w:r w:rsidRPr="00F6606E">
        <w:t xml:space="preserve">This risk analysis </w:t>
      </w:r>
      <w:r w:rsidRPr="00F6606E">
        <w:rPr>
          <w:u w:val="single"/>
        </w:rPr>
        <w:t>only</w:t>
      </w:r>
      <w:r w:rsidRPr="00F6606E">
        <w:t xml:space="preserve"> covers commercially grown edible dragon fruit species of the genus </w:t>
      </w:r>
      <w:r w:rsidRPr="00F6606E">
        <w:rPr>
          <w:i/>
          <w:iCs/>
        </w:rPr>
        <w:t>Selenicereus</w:t>
      </w:r>
      <w:r w:rsidRPr="00F6606E">
        <w:t xml:space="preserve"> produced for export in Philippine dragon fruit production regions. All other </w:t>
      </w:r>
      <w:r w:rsidRPr="00F6606E">
        <w:rPr>
          <w:i/>
          <w:iCs/>
        </w:rPr>
        <w:t>Selenicereus</w:t>
      </w:r>
      <w:r w:rsidRPr="00F6606E">
        <w:t xml:space="preserve"> species are excluded from the scope of this report. </w:t>
      </w:r>
      <w:bookmarkStart w:id="33" w:name="_Hlk117231491"/>
      <w:r w:rsidRPr="00F6606E">
        <w:t>The main dragon fruit species grown in the Philippines</w:t>
      </w:r>
      <w:r>
        <w:t xml:space="preserve"> and</w:t>
      </w:r>
      <w:r w:rsidRPr="00F6606E">
        <w:t xml:space="preserve"> considered likely for export are listed in </w:t>
      </w:r>
      <w:r w:rsidRPr="00F6606E">
        <w:fldChar w:fldCharType="begin" w:fldLock="1"/>
      </w:r>
      <w:r w:rsidRPr="00F6606E">
        <w:instrText xml:space="preserve"> REF Cultivars \h  \* MERGEFORMAT </w:instrText>
      </w:r>
      <w:r w:rsidRPr="00F6606E">
        <w:fldChar w:fldCharType="separate"/>
      </w:r>
      <w:r>
        <w:t>2.4.1.</w:t>
      </w:r>
    </w:p>
    <w:p w14:paraId="762CA413" w14:textId="77777777" w:rsidR="00BC2F05" w:rsidRDefault="00772FB6" w:rsidP="00032C1B">
      <w:r w:rsidRPr="00F6606E">
        <w:fldChar w:fldCharType="end"/>
      </w:r>
      <w:bookmarkEnd w:id="33"/>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r>
        <w:fldChar w:fldCharType="begin" w:fldLock="1"/>
      </w:r>
      <w:r>
        <w:instrText xml:space="preserve"> REF z2_4_1 \h </w:instrText>
      </w:r>
      <w:r w:rsidR="000C0A09">
        <w:fldChar w:fldCharType="separate"/>
      </w:r>
      <w:r>
        <w:fldChar w:fldCharType="end"/>
      </w:r>
    </w:p>
    <w:p w14:paraId="299F56ED" w14:textId="77777777" w:rsidR="00BC2F05" w:rsidRDefault="00772FB6" w:rsidP="00032C1B">
      <w:pPr>
        <w:pStyle w:val="Caption"/>
      </w:pPr>
      <w:bookmarkStart w:id="34" w:name="_Ref90361592"/>
      <w:bookmarkStart w:id="35" w:name="_Ref90361571"/>
      <w:bookmarkStart w:id="36" w:name="_Toc119493118"/>
      <w:r>
        <w:lastRenderedPageBreak/>
        <w:t xml:space="preserve">Figure </w:t>
      </w:r>
      <w:r w:rsidR="000C0A09">
        <w:fldChar w:fldCharType="begin" w:fldLock="1"/>
      </w:r>
      <w:r w:rsidR="000C0A09">
        <w:instrText xml:space="preserve"> STYLEREF 2 \s </w:instrText>
      </w:r>
      <w:r w:rsidR="000C0A09">
        <w:fldChar w:fldCharType="separate"/>
      </w:r>
      <w:r>
        <w:rPr>
          <w:noProof/>
        </w:rPr>
        <w:t>1</w:t>
      </w:r>
      <w:r w:rsidR="000C0A09">
        <w:rPr>
          <w:noProof/>
        </w:rPr>
        <w:fldChar w:fldCharType="end"/>
      </w:r>
      <w:r>
        <w:t>.</w:t>
      </w:r>
      <w:r w:rsidR="000C0A09">
        <w:fldChar w:fldCharType="begin" w:fldLock="1"/>
      </w:r>
      <w:r w:rsidR="000C0A09">
        <w:instrText xml:space="preserve"> SEQ Figure \* ARABIC \s 2 </w:instrText>
      </w:r>
      <w:r w:rsidR="000C0A09">
        <w:fldChar w:fldCharType="separate"/>
      </w:r>
      <w:r>
        <w:rPr>
          <w:noProof/>
        </w:rPr>
        <w:t>1</w:t>
      </w:r>
      <w:r w:rsidR="000C0A09">
        <w:rPr>
          <w:noProof/>
        </w:rPr>
        <w:fldChar w:fldCharType="end"/>
      </w:r>
      <w:bookmarkEnd w:id="34"/>
      <w:r>
        <w:t xml:space="preserve"> </w:t>
      </w:r>
      <w:bookmarkEnd w:id="35"/>
      <w:r>
        <w:t>Cross section of a dragon fruit showing key parts of the fruit</w:t>
      </w:r>
      <w:bookmarkEnd w:id="36"/>
    </w:p>
    <w:p w14:paraId="60D69CD6" w14:textId="77777777" w:rsidR="00BC2F05" w:rsidRDefault="00772FB6" w:rsidP="00032C1B">
      <w:pPr>
        <w:pStyle w:val="FigureTableNoteSource"/>
        <w:spacing w:line="276" w:lineRule="auto"/>
      </w:pPr>
      <w:r>
        <w:rPr>
          <w:noProof/>
        </w:rPr>
        <w:drawing>
          <wp:anchor distT="0" distB="0" distL="114300" distR="114300" simplePos="0" relativeHeight="251665408" behindDoc="1" locked="0" layoutInCell="1" allowOverlap="1" wp14:anchorId="21D31B84" wp14:editId="3AD35AD7">
            <wp:simplePos x="0" y="0"/>
            <wp:positionH relativeFrom="margin">
              <wp:posOffset>452755</wp:posOffset>
            </wp:positionH>
            <wp:positionV relativeFrom="paragraph">
              <wp:posOffset>15875</wp:posOffset>
            </wp:positionV>
            <wp:extent cx="4966970" cy="6064250"/>
            <wp:effectExtent l="0" t="0" r="5080" b="0"/>
            <wp:wrapTight wrapText="bothSides">
              <wp:wrapPolygon edited="0">
                <wp:start x="0" y="0"/>
                <wp:lineTo x="0" y="21510"/>
                <wp:lineTo x="21539" y="21510"/>
                <wp:lineTo x="21539" y="0"/>
                <wp:lineTo x="0" y="0"/>
              </wp:wrapPolygon>
            </wp:wrapTight>
            <wp:docPr id="7" name="Picture 7" descr="Diagram of a cross section of dragon fruit showing the flower end pit at the top of the fruit, pink skin, bracts extending from the skin, white flesh inside the cut fruit, small black seeds throughout the flesh and an areole at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78447" name="Picture 7" descr="Diagram of a cross section of dragon fruit showing the flower end pit at the top of the fruit, pink skin, bracts extending from the skin, white flesh inside the cut fruit, small black seeds throughout the flesh and an areole at the bas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966970" cy="6064250"/>
                    </a:xfrm>
                    <a:prstGeom prst="rect">
                      <a:avLst/>
                    </a:prstGeom>
                    <a:noFill/>
                    <a:ln>
                      <a:noFill/>
                    </a:ln>
                  </pic:spPr>
                </pic:pic>
              </a:graphicData>
            </a:graphic>
            <wp14:sizeRelH relativeFrom="margin">
              <wp14:pctWidth>0</wp14:pctWidth>
            </wp14:sizeRelH>
          </wp:anchor>
        </w:drawing>
      </w:r>
    </w:p>
    <w:p w14:paraId="244B964F" w14:textId="77777777" w:rsidR="00BC2F05" w:rsidRDefault="00BC2F05" w:rsidP="00032C1B">
      <w:pPr>
        <w:pStyle w:val="FigureTableNoteSource"/>
        <w:spacing w:line="276" w:lineRule="auto"/>
      </w:pPr>
    </w:p>
    <w:p w14:paraId="02D22301" w14:textId="77777777" w:rsidR="00BC2F05" w:rsidRPr="005913A5" w:rsidRDefault="00772FB6" w:rsidP="00032C1B">
      <w:pPr>
        <w:pStyle w:val="FigureTableNoteSource"/>
        <w:spacing w:line="276" w:lineRule="auto"/>
      </w:pPr>
      <w:r>
        <w:t>Source: Wikipedia</w:t>
      </w:r>
    </w:p>
    <w:p w14:paraId="529589B8" w14:textId="77777777" w:rsidR="00BC2F05" w:rsidRPr="00772548" w:rsidRDefault="00772FB6" w:rsidP="00032C1B">
      <w:pPr>
        <w:pStyle w:val="Heading4"/>
      </w:pPr>
      <w:r w:rsidRPr="00772548">
        <w:t>Existing policy</w:t>
      </w:r>
    </w:p>
    <w:p w14:paraId="4DD14611" w14:textId="77777777" w:rsidR="00BC2F05" w:rsidRDefault="00772FB6" w:rsidP="00032C1B">
      <w:pPr>
        <w:pStyle w:val="Heading5"/>
      </w:pPr>
      <w:r w:rsidRPr="00772548">
        <w:t>International policy</w:t>
      </w:r>
    </w:p>
    <w:p w14:paraId="7079CC12" w14:textId="52714A80" w:rsidR="00BC2F05" w:rsidRDefault="00772FB6" w:rsidP="00032C1B">
      <w:r>
        <w:t>Import policies exist for f</w:t>
      </w:r>
      <w:r w:rsidRPr="00CC2079">
        <w:t xml:space="preserve">resh </w:t>
      </w:r>
      <w:r>
        <w:t>dragon fruit</w:t>
      </w:r>
      <w:r w:rsidRPr="00CC2079">
        <w:t xml:space="preserve"> for human consumption</w:t>
      </w:r>
      <w:r>
        <w:t xml:space="preserve"> from Vietnam </w:t>
      </w:r>
      <w:r>
        <w:rPr>
          <w:noProof/>
        </w:rPr>
        <w:t>(DAWR 2017b)</w:t>
      </w:r>
      <w:r>
        <w:t xml:space="preserve"> and Indonesia </w:t>
      </w:r>
      <w:r>
        <w:rPr>
          <w:noProof/>
        </w:rPr>
        <w:t>(DAWR 2018)</w:t>
      </w:r>
      <w:r w:rsidRPr="00CC2079">
        <w:t>.</w:t>
      </w:r>
      <w:r>
        <w:t xml:space="preserve"> Australia also has existing import policies for Philippine mangoes </w:t>
      </w:r>
      <w:r>
        <w:rPr>
          <w:noProof/>
        </w:rPr>
        <w:t>(AQIS 1999)</w:t>
      </w:r>
      <w:r>
        <w:t xml:space="preserve">, pineapples </w:t>
      </w:r>
      <w:r>
        <w:rPr>
          <w:noProof/>
        </w:rPr>
        <w:t>(Biosecurity Australia 2002)</w:t>
      </w:r>
      <w:r>
        <w:t xml:space="preserve"> and bananas </w:t>
      </w:r>
      <w:r>
        <w:rPr>
          <w:noProof/>
        </w:rPr>
        <w:t>(Biosecurity Australia 2008)</w:t>
      </w:r>
      <w:r w:rsidRPr="00CC2079">
        <w:t>.</w:t>
      </w:r>
    </w:p>
    <w:p w14:paraId="0B96BCD6" w14:textId="4F389220" w:rsidR="00BC2F05" w:rsidRDefault="00772FB6" w:rsidP="00032C1B">
      <w:r w:rsidRPr="00772548">
        <w:t xml:space="preserve">The </w:t>
      </w:r>
      <w:r>
        <w:t>biosecurity import conditions</w:t>
      </w:r>
      <w:r w:rsidRPr="00772548">
        <w:t xml:space="preserve"> for these commodity pathways</w:t>
      </w:r>
      <w:bookmarkStart w:id="37" w:name="_Hlk117231365"/>
      <w:r>
        <w:t>, except for Indonesian dragon fruit and Philippine bananas, for which conditions are yet to be finalised,</w:t>
      </w:r>
      <w:r w:rsidRPr="00772548">
        <w:t xml:space="preserve"> </w:t>
      </w:r>
      <w:bookmarkEnd w:id="37"/>
      <w:r w:rsidRPr="00772548">
        <w:t xml:space="preserve">can be found </w:t>
      </w:r>
      <w:r>
        <w:t>on</w:t>
      </w:r>
      <w:r w:rsidRPr="00772548">
        <w:t xml:space="preserve"> the </w:t>
      </w:r>
      <w:r>
        <w:t xml:space="preserve">department’s </w:t>
      </w:r>
      <w:r w:rsidRPr="00772548">
        <w:t>Biosecurity Import Conditions (BICON) system on th</w:t>
      </w:r>
      <w:r>
        <w:t xml:space="preserve">e department website at </w:t>
      </w:r>
      <w:hyperlink r:id="rId31" w:history="1">
        <w:r w:rsidRPr="00A74525">
          <w:rPr>
            <w:rStyle w:val="Hyperlink"/>
          </w:rPr>
          <w:t>bicon.agriculture.gov.a</w:t>
        </w:r>
        <w:r w:rsidRPr="00A74525">
          <w:rPr>
            <w:rStyle w:val="Hyperlink"/>
          </w:rPr>
          <w:t>u</w:t>
        </w:r>
        <w:r w:rsidRPr="00A74525">
          <w:rPr>
            <w:rStyle w:val="Hyperlink"/>
          </w:rPr>
          <w:t>/BiconWeb</w:t>
        </w:r>
        <w:r w:rsidRPr="00A74525">
          <w:rPr>
            <w:rStyle w:val="Hyperlink"/>
          </w:rPr>
          <w:t>4</w:t>
        </w:r>
        <w:r w:rsidRPr="00A74525">
          <w:rPr>
            <w:rStyle w:val="Hyperlink"/>
          </w:rPr>
          <w:t>.0</w:t>
        </w:r>
      </w:hyperlink>
      <w:r>
        <w:t>.</w:t>
      </w:r>
    </w:p>
    <w:p w14:paraId="30D71F9B" w14:textId="77777777" w:rsidR="00BC2F05" w:rsidRPr="003664FE" w:rsidRDefault="00772FB6" w:rsidP="00032C1B">
      <w:pPr>
        <w:rPr>
          <w:color w:val="000000" w:themeColor="text1"/>
        </w:rPr>
      </w:pPr>
      <w:r>
        <w:lastRenderedPageBreak/>
        <w:t xml:space="preserve">A preliminary </w:t>
      </w:r>
      <w:r w:rsidRPr="00074141">
        <w:t xml:space="preserve">assessment has identified that the potential pests of biosecurity concern for </w:t>
      </w:r>
      <w:fldSimple w:instr=" REF  commodity \* Lower  \* MERGEFORMAT " w:fldLock="1">
        <w:r>
          <w:t>dragon fruit</w:t>
        </w:r>
      </w:fldSimple>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t>the Philippines</w:t>
      </w:r>
      <w:r w:rsidRPr="00074141">
        <w:fldChar w:fldCharType="end"/>
      </w:r>
      <w:r w:rsidRPr="00074141">
        <w:t xml:space="preserve"> are the</w:t>
      </w:r>
      <w:r>
        <w:t xml:space="preserve"> same, </w:t>
      </w:r>
      <w:r w:rsidRPr="001725FA">
        <w:rPr>
          <w:color w:val="000000" w:themeColor="text1"/>
        </w:rPr>
        <w:t xml:space="preserve">or of the same pest groups, as those associated with </w:t>
      </w:r>
      <w:r>
        <w:rPr>
          <w:color w:val="000000" w:themeColor="text1"/>
        </w:rPr>
        <w:t xml:space="preserve">this and </w:t>
      </w:r>
      <w:r w:rsidRPr="001725FA">
        <w:rPr>
          <w:color w:val="000000" w:themeColor="text1"/>
        </w:rPr>
        <w:t>other horticultural commodities that have been assessed previously by the department, and for which risk management measures are established.</w:t>
      </w:r>
    </w:p>
    <w:p w14:paraId="47E44A2F" w14:textId="77777777" w:rsidR="00BC2F05" w:rsidRDefault="00772FB6" w:rsidP="00032C1B">
      <w:r w:rsidRPr="00772548">
        <w:t>The department has reviewed all the pests and pest groups previously identified in</w:t>
      </w:r>
      <w:r>
        <w:t xml:space="preserve"> </w:t>
      </w:r>
      <w:r w:rsidRPr="00772548">
        <w:t xml:space="preserve">existing policies and, where relevant, the information in those assessments has been considered in this risk analysis. The department has </w:t>
      </w:r>
      <w:r>
        <w:t xml:space="preserve">also </w:t>
      </w:r>
      <w:r w:rsidRPr="00772548">
        <w:t xml:space="preserve">reviewed the latest </w:t>
      </w:r>
      <w:r>
        <w:t xml:space="preserve">scientific </w:t>
      </w:r>
      <w:r w:rsidRPr="00772548">
        <w:t xml:space="preserve">literature </w:t>
      </w:r>
      <w:r>
        <w:t xml:space="preserve">and other information </w:t>
      </w:r>
      <w:r w:rsidRPr="00772548">
        <w:t xml:space="preserve">to ensure that </w:t>
      </w:r>
      <w:r>
        <w:t xml:space="preserve">the </w:t>
      </w:r>
      <w:r w:rsidRPr="00772548">
        <w:t>previ</w:t>
      </w:r>
      <w:r>
        <w:t>ous assessments are still valid.</w:t>
      </w:r>
    </w:p>
    <w:p w14:paraId="1BFED4DA" w14:textId="77777777" w:rsidR="00BC2F05" w:rsidRDefault="00772FB6" w:rsidP="00032C1B">
      <w:r>
        <w:t>T</w:t>
      </w:r>
      <w:r w:rsidRPr="00074141">
        <w:t xml:space="preserve">he biosecurity risk posed by mealybugs </w:t>
      </w:r>
      <w:r>
        <w:t xml:space="preserve">and the viruses they transmit </w:t>
      </w:r>
      <w:r w:rsidRPr="00074141">
        <w:t xml:space="preserve">was previously assessed </w:t>
      </w:r>
      <w:r>
        <w:t xml:space="preserve">for all countries </w:t>
      </w:r>
      <w:r w:rsidRPr="00074141">
        <w:t xml:space="preserve">in the </w:t>
      </w:r>
      <w:r w:rsidRPr="001101C7">
        <w:rPr>
          <w:i/>
        </w:rPr>
        <w:t xml:space="preserve">Final group pest risk analysis for mealybugs and the viruses they transmit on fresh fruit, vegetable, </w:t>
      </w:r>
      <w:proofErr w:type="gramStart"/>
      <w:r w:rsidRPr="001101C7">
        <w:rPr>
          <w:i/>
        </w:rPr>
        <w:t>cut-flower</w:t>
      </w:r>
      <w:proofErr w:type="gramEnd"/>
      <w:r w:rsidRPr="001101C7">
        <w:rPr>
          <w:i/>
        </w:rPr>
        <w:t xml:space="preserve"> and foliage imports</w:t>
      </w:r>
      <w:r w:rsidRPr="00074141">
        <w:t xml:space="preserve"> </w:t>
      </w:r>
      <w:r>
        <w:t xml:space="preserve">(mealybugs Group PRA) </w:t>
      </w:r>
      <w:r>
        <w:rPr>
          <w:noProof/>
        </w:rPr>
        <w:t>(DAWR 2019)</w:t>
      </w:r>
      <w:r>
        <w:t>.</w:t>
      </w:r>
    </w:p>
    <w:p w14:paraId="1A3878A1" w14:textId="77777777" w:rsidR="00BC2F05" w:rsidRDefault="00772FB6" w:rsidP="00032C1B">
      <w:pPr>
        <w:rPr>
          <w:color w:val="000000" w:themeColor="text1"/>
        </w:rPr>
      </w:pPr>
      <w:r w:rsidRPr="00124F90">
        <w:rPr>
          <w:color w:val="000000" w:themeColor="text1"/>
        </w:rPr>
        <w:t xml:space="preserve">The biosecurity risk posed by thrips and the </w:t>
      </w:r>
      <w:proofErr w:type="spellStart"/>
      <w:r w:rsidRPr="00124F90">
        <w:rPr>
          <w:color w:val="000000" w:themeColor="text1"/>
        </w:rPr>
        <w:t>orthotospoviruses</w:t>
      </w:r>
      <w:proofErr w:type="spellEnd"/>
      <w:r w:rsidRPr="00124F90">
        <w:rPr>
          <w:color w:val="000000" w:themeColor="text1"/>
        </w:rPr>
        <w:t xml:space="preserve"> they transmit</w:t>
      </w:r>
      <w:r>
        <w:rPr>
          <w:color w:val="000000" w:themeColor="text1"/>
        </w:rPr>
        <w:t xml:space="preserve"> </w:t>
      </w:r>
      <w:r w:rsidRPr="00124F90">
        <w:rPr>
          <w:color w:val="000000" w:themeColor="text1"/>
        </w:rPr>
        <w:t xml:space="preserve">was previously assessed </w:t>
      </w:r>
      <w:r>
        <w:rPr>
          <w:color w:val="000000" w:themeColor="text1"/>
        </w:rPr>
        <w:t xml:space="preserve">for all countries </w:t>
      </w:r>
      <w:r w:rsidRPr="00124F90">
        <w:rPr>
          <w:color w:val="000000" w:themeColor="text1"/>
        </w:rPr>
        <w:t xml:space="preserve">in the </w:t>
      </w:r>
      <w:r w:rsidRPr="00124F90">
        <w:rPr>
          <w:i/>
          <w:color w:val="000000" w:themeColor="text1"/>
        </w:rPr>
        <w:t xml:space="preserve">Final group pest risk analysis for thrips and </w:t>
      </w:r>
      <w:proofErr w:type="spellStart"/>
      <w:r w:rsidRPr="00124F90">
        <w:rPr>
          <w:i/>
          <w:color w:val="000000" w:themeColor="text1"/>
        </w:rPr>
        <w:t>orthotospoviruses</w:t>
      </w:r>
      <w:proofErr w:type="spellEnd"/>
      <w:r w:rsidRPr="00124F90">
        <w:rPr>
          <w:i/>
          <w:color w:val="000000" w:themeColor="text1"/>
        </w:rPr>
        <w:t xml:space="preserve"> on fresh fruit, vegetable, </w:t>
      </w:r>
      <w:proofErr w:type="gramStart"/>
      <w:r w:rsidRPr="00124F90">
        <w:rPr>
          <w:i/>
          <w:color w:val="000000" w:themeColor="text1"/>
        </w:rPr>
        <w:t>cut-flower</w:t>
      </w:r>
      <w:proofErr w:type="gramEnd"/>
      <w:r w:rsidRPr="00124F90">
        <w:rPr>
          <w:i/>
          <w:color w:val="000000" w:themeColor="text1"/>
        </w:rPr>
        <w:t xml:space="preserve"> and foliage imports</w:t>
      </w:r>
      <w:r w:rsidRPr="00124F90">
        <w:rPr>
          <w:color w:val="000000" w:themeColor="text1"/>
        </w:rPr>
        <w:t xml:space="preserve"> </w:t>
      </w:r>
      <w:r>
        <w:rPr>
          <w:color w:val="000000" w:themeColor="text1"/>
        </w:rPr>
        <w:t xml:space="preserve">(thrips Group PRA) </w:t>
      </w:r>
      <w:r>
        <w:rPr>
          <w:noProof/>
          <w:color w:val="000000" w:themeColor="text1"/>
        </w:rPr>
        <w:t>(DAWR 2017a)</w:t>
      </w:r>
      <w:r>
        <w:rPr>
          <w:color w:val="000000" w:themeColor="text1"/>
        </w:rPr>
        <w:t>.</w:t>
      </w:r>
    </w:p>
    <w:p w14:paraId="03786C45" w14:textId="77777777" w:rsidR="00BC2F05" w:rsidRDefault="00772FB6" w:rsidP="00032C1B">
      <w:r>
        <w:t>T</w:t>
      </w:r>
      <w:r w:rsidRPr="00074141">
        <w:t xml:space="preserve">he biosecurity risk posed by </w:t>
      </w:r>
      <w:r>
        <w:t>soft and hard scale insects</w:t>
      </w:r>
      <w:r w:rsidRPr="00074141">
        <w:t xml:space="preserve"> from was previously assessed </w:t>
      </w:r>
      <w:r>
        <w:t xml:space="preserve">for all countries </w:t>
      </w:r>
      <w:r w:rsidRPr="00074141">
        <w:t xml:space="preserve">in the </w:t>
      </w:r>
      <w:r w:rsidRPr="001101C7">
        <w:rPr>
          <w:i/>
        </w:rPr>
        <w:t xml:space="preserve">Final group pest risk analysis for </w:t>
      </w:r>
      <w:r>
        <w:rPr>
          <w:i/>
        </w:rPr>
        <w:t>soft and hard scale insects</w:t>
      </w:r>
      <w:r w:rsidRPr="001101C7">
        <w:rPr>
          <w:i/>
        </w:rPr>
        <w:t xml:space="preserve"> on fresh fruit, vegetable, </w:t>
      </w:r>
      <w:proofErr w:type="gramStart"/>
      <w:r w:rsidRPr="001101C7">
        <w:rPr>
          <w:i/>
        </w:rPr>
        <w:t>cut-flower</w:t>
      </w:r>
      <w:proofErr w:type="gramEnd"/>
      <w:r w:rsidRPr="001101C7">
        <w:rPr>
          <w:i/>
        </w:rPr>
        <w:t xml:space="preserve"> and foliage imports</w:t>
      </w:r>
      <w:r w:rsidRPr="00074141">
        <w:t xml:space="preserve"> </w:t>
      </w:r>
      <w:r>
        <w:t xml:space="preserve">(scales Group PRA) </w:t>
      </w:r>
      <w:r>
        <w:rPr>
          <w:noProof/>
        </w:rPr>
        <w:t>(DAWE 2021)</w:t>
      </w:r>
      <w:r>
        <w:t>.</w:t>
      </w:r>
    </w:p>
    <w:p w14:paraId="3DDE33E3" w14:textId="77777777" w:rsidR="00BC2F05" w:rsidRPr="00CC2079" w:rsidRDefault="00772FB6" w:rsidP="00032C1B">
      <w:r>
        <w:t xml:space="preserve">These Group policies are </w:t>
      </w:r>
      <w:r w:rsidRPr="00074141">
        <w:t xml:space="preserve">applicable </w:t>
      </w:r>
      <w:r>
        <w:t>f</w:t>
      </w:r>
      <w:r w:rsidRPr="00074141">
        <w:t>o</w:t>
      </w:r>
      <w:r>
        <w:t>r</w:t>
      </w:r>
      <w:r w:rsidRPr="00074141">
        <w:t xml:space="preserve"> </w:t>
      </w:r>
      <w:fldSimple w:instr=" REF  commodity \* Lower  \* MERGEFORMAT " w:fldLock="1">
        <w:r>
          <w:t>dragon fruit</w:t>
        </w:r>
      </w:fldSimple>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t>the Philippines</w:t>
      </w:r>
      <w:r w:rsidRPr="00074141">
        <w:fldChar w:fldCharType="end"/>
      </w:r>
      <w:r w:rsidRPr="00074141">
        <w:t>.</w:t>
      </w:r>
      <w:r>
        <w:t xml:space="preserve"> </w:t>
      </w:r>
      <w:r w:rsidRPr="00074141">
        <w:t xml:space="preserve">The department has determined that the information in </w:t>
      </w:r>
      <w:r>
        <w:t xml:space="preserve">those Group policies </w:t>
      </w:r>
      <w:r w:rsidRPr="00074141">
        <w:t>can be adopted for the species under consideration</w:t>
      </w:r>
      <w:r w:rsidRPr="00772548">
        <w:t xml:space="preserve"> in this risk analysis.</w:t>
      </w:r>
    </w:p>
    <w:p w14:paraId="10795460" w14:textId="77777777" w:rsidR="00BC2F05" w:rsidRPr="00772548" w:rsidRDefault="00772FB6" w:rsidP="00032C1B">
      <w:pPr>
        <w:pStyle w:val="Heading5"/>
      </w:pPr>
      <w:r w:rsidRPr="00772548">
        <w:t>Domestic arrangements</w:t>
      </w:r>
    </w:p>
    <w:p w14:paraId="19A6903D" w14:textId="77777777" w:rsidR="00BC2F05" w:rsidRPr="00772548" w:rsidRDefault="00772FB6" w:rsidP="00032C1B">
      <w:r w:rsidRPr="00772548">
        <w:t xml:space="preserve">The Australian Government is responsible for regulating the movement of goods such as plants and plant products into </w:t>
      </w:r>
      <w:r>
        <w:t>and out of Australia. T</w:t>
      </w:r>
      <w:r w:rsidRPr="00772548">
        <w: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25F831D4" w14:textId="77777777" w:rsidR="00BC2F05" w:rsidRPr="00772548" w:rsidRDefault="00772FB6" w:rsidP="00032C1B">
      <w:pPr>
        <w:pStyle w:val="Heading4"/>
      </w:pPr>
      <w:r w:rsidRPr="00772548">
        <w:t>Contaminating pests</w:t>
      </w:r>
    </w:p>
    <w:p w14:paraId="3D9C584D" w14:textId="77777777" w:rsidR="00BC2F05" w:rsidRPr="00772548" w:rsidRDefault="00772FB6" w:rsidP="00032C1B">
      <w:r w:rsidRPr="00772548">
        <w:t>In addition to the pests of</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Pr="007678C4">
        <w:rPr>
          <w:rStyle w:val="PlaceholderText"/>
          <w:rFonts w:cs="Calibri"/>
          <w:color w:val="000000" w:themeColor="text1"/>
        </w:rPr>
        <w:t>dragon</w:t>
      </w:r>
      <w:r>
        <w:t xml:space="preserve"> fruit</w:t>
      </w:r>
      <w:r>
        <w:rPr>
          <w:rStyle w:val="PlaceholderText"/>
          <w:color w:val="63B1E5"/>
        </w:rPr>
        <w:fldChar w:fldCharType="end"/>
      </w:r>
      <w:r>
        <w:t xml:space="preserve"> f</w:t>
      </w:r>
      <w:r w:rsidRPr="00772548">
        <w:t>rom</w:t>
      </w:r>
      <w:r>
        <w:t xml:space="preserve"> </w:t>
      </w:r>
      <w:fldSimple w:instr=" REF  country  \* MERGEFORMAT " w:fldLock="1">
        <w:r w:rsidRPr="007678C4">
          <w:rPr>
            <w:rFonts w:cs="Calibri"/>
            <w:color w:val="000000" w:themeColor="text1"/>
          </w:rPr>
          <w:t>the</w:t>
        </w:r>
        <w:r>
          <w:t xml:space="preserve"> Philippines</w:t>
        </w:r>
      </w:fldSimple>
      <w:r>
        <w:t xml:space="preserve"> t</w:t>
      </w:r>
      <w:r w:rsidRPr="00772548">
        <w:t>hat are assessed i</w:t>
      </w:r>
      <w:r>
        <w:t xml:space="preserve">n this risk analysis, other organisms </w:t>
      </w:r>
      <w:r w:rsidRPr="00772548">
        <w:t xml:space="preserve">may arrive with the imported </w:t>
      </w:r>
      <w:r>
        <w:t>commodity. These organisms may</w:t>
      </w:r>
      <w:r w:rsidRPr="00772548">
        <w:t xml:space="preserve"> include pests </w:t>
      </w:r>
      <w:r>
        <w:t xml:space="preserve">considered not to be associated with the fruit pathway, pests </w:t>
      </w:r>
      <w:r w:rsidRPr="00772548">
        <w:t>of other crops, or pre</w:t>
      </w:r>
      <w:r>
        <w:t xml:space="preserve">dators and </w:t>
      </w:r>
      <w:proofErr w:type="spellStart"/>
      <w:r>
        <w:t>parasitoids</w:t>
      </w:r>
      <w:proofErr w:type="spellEnd"/>
      <w:r>
        <w:t xml:space="preserve">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human or animal life or health) or phytosanitary (</w:t>
      </w:r>
      <w:r>
        <w:t xml:space="preserve">to </w:t>
      </w:r>
      <w:r w:rsidRPr="00772548">
        <w:t xml:space="preserve">plant life or health) risks. These risks are identified and addressed using </w:t>
      </w:r>
      <w:r>
        <w:t xml:space="preserve">existing operational </w:t>
      </w:r>
      <w:r w:rsidRPr="00BF425E">
        <w:t xml:space="preserve">procedures that require an inspection of all consignments during processing and preparation for export. Consignments will also undergo another </w:t>
      </w:r>
      <w:r>
        <w:t>verification</w:t>
      </w:r>
      <w:r w:rsidRPr="00BF425E">
        <w:t xml:space="preserve"> on arrival in Australia. The department will investigate whether any pest identified through import verification processes may </w:t>
      </w:r>
      <w:r>
        <w:t>be of biosecurity concern to Australia and may thus require remedial action</w:t>
      </w:r>
      <w:r w:rsidRPr="00772548">
        <w:t>.</w:t>
      </w:r>
    </w:p>
    <w:p w14:paraId="31F443FC" w14:textId="77777777" w:rsidR="00BC2F05" w:rsidRPr="00772548" w:rsidRDefault="00772FB6" w:rsidP="00032C1B">
      <w:pPr>
        <w:pStyle w:val="Heading4"/>
      </w:pPr>
      <w:r>
        <w:lastRenderedPageBreak/>
        <w:t>Consultation</w:t>
      </w:r>
    </w:p>
    <w:p w14:paraId="02E0F55D" w14:textId="77777777" w:rsidR="00BC2F05" w:rsidRPr="00772548" w:rsidRDefault="00772FB6" w:rsidP="00032C1B">
      <w:r w:rsidRPr="00772548">
        <w:t>On</w:t>
      </w:r>
      <w:r>
        <w:t xml:space="preserve"> 21 February 2022,</w:t>
      </w:r>
      <w:r w:rsidRPr="00772548">
        <w:t xml:space="preserve"> the department notified stakeholders, in Biosecurity Advice </w:t>
      </w:r>
      <w:r>
        <w:t>2022-P01</w:t>
      </w:r>
      <w:r w:rsidRPr="00772548">
        <w:t xml:space="preserve">, of the </w:t>
      </w:r>
      <w:r>
        <w:t>commencement of a review of biosecurity import requirements</w:t>
      </w:r>
      <w:r w:rsidRPr="00772548">
        <w:t xml:space="preserve"> </w:t>
      </w:r>
      <w:r>
        <w:t xml:space="preserve">to assess a proposal by </w:t>
      </w:r>
      <w:fldSimple w:instr=" REF country  \* MERGEFORMAT " w:fldLock="1">
        <w:r>
          <w:t>the Philippines</w:t>
        </w:r>
      </w:fldSimple>
      <w:r>
        <w:t xml:space="preserve"> </w:t>
      </w:r>
      <w:r>
        <w:rPr>
          <w:color w:val="000000" w:themeColor="text1"/>
        </w:rPr>
        <w:t xml:space="preserve">for market access to Australia for fresh </w:t>
      </w:r>
      <w:fldSimple w:instr=" REF  commodity \* Lower  \* MERGEFORMAT " w:fldLock="1">
        <w:r>
          <w:t>dragon fruit</w:t>
        </w:r>
      </w:fldSimple>
      <w:r>
        <w:rPr>
          <w:color w:val="000000" w:themeColor="text1"/>
        </w:rPr>
        <w:t xml:space="preserve"> for human consumption.</w:t>
      </w:r>
    </w:p>
    <w:p w14:paraId="0B31A9F6" w14:textId="77777777" w:rsidR="00BC2F05" w:rsidRPr="00772548" w:rsidRDefault="00772FB6" w:rsidP="00032C1B">
      <w:r w:rsidRPr="00772548">
        <w:t>Prior to</w:t>
      </w:r>
      <w:r>
        <w:t>, and following</w:t>
      </w:r>
      <w:r w:rsidRPr="00772548">
        <w:t xml:space="preserve"> the announc</w:t>
      </w:r>
      <w:r>
        <w:t xml:space="preserve">ement of this decision, </w:t>
      </w:r>
      <w:r w:rsidRPr="00772548">
        <w:t xml:space="preserve">the department engaged with </w:t>
      </w:r>
      <w:r>
        <w:t xml:space="preserve">the Australian </w:t>
      </w:r>
      <w:r w:rsidRPr="0055446D">
        <w:rPr>
          <w:color w:val="000000" w:themeColor="text1"/>
        </w:rPr>
        <w:t>Dragon Fruit Growers Association</w:t>
      </w:r>
      <w:r>
        <w:rPr>
          <w:color w:val="000000" w:themeColor="text1"/>
        </w:rPr>
        <w:t xml:space="preserve">, </w:t>
      </w:r>
      <w:proofErr w:type="spellStart"/>
      <w:r>
        <w:rPr>
          <w:color w:val="000000" w:themeColor="text1"/>
        </w:rPr>
        <w:t>Growcom</w:t>
      </w:r>
      <w:proofErr w:type="spellEnd"/>
      <w:r>
        <w:rPr>
          <w:color w:val="000000" w:themeColor="text1"/>
        </w:rPr>
        <w:t xml:space="preserve"> and NT Farmers Association</w:t>
      </w:r>
      <w:r>
        <w:t>.</w:t>
      </w:r>
    </w:p>
    <w:p w14:paraId="0B51E630" w14:textId="77777777" w:rsidR="00BC2F05" w:rsidRDefault="00772FB6" w:rsidP="00032C1B">
      <w:r w:rsidRPr="00772548">
        <w:t xml:space="preserve">The department has also consulted with </w:t>
      </w:r>
      <w:r>
        <w:t xml:space="preserve">the government of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Pr="007678C4">
        <w:rPr>
          <w:rFonts w:cs="Calibri"/>
          <w:color w:val="000000" w:themeColor="text1"/>
        </w:rPr>
        <w:t>the</w:t>
      </w:r>
      <w:r>
        <w:t xml:space="preserve"> Philippines</w:t>
      </w:r>
      <w:r>
        <w:rPr>
          <w:color w:val="000000" w:themeColor="text1"/>
        </w:rPr>
        <w:fldChar w:fldCharType="end"/>
      </w:r>
      <w:r>
        <w:rPr>
          <w:color w:val="000000" w:themeColor="text1"/>
        </w:rPr>
        <w:t xml:space="preserve"> </w:t>
      </w:r>
      <w:r w:rsidRPr="00772548">
        <w:t>and Australian state and territory governments during the preparation of this report.</w:t>
      </w:r>
    </w:p>
    <w:p w14:paraId="5FF88329" w14:textId="77777777" w:rsidR="00BC2F05" w:rsidRPr="00D85E4D" w:rsidRDefault="00772FB6" w:rsidP="00032C1B">
      <w:pPr>
        <w:pStyle w:val="Heading4"/>
      </w:pPr>
      <w:r>
        <w:t>Overview of this pest risk analysis</w:t>
      </w:r>
    </w:p>
    <w:p w14:paraId="5BCCB4A1" w14:textId="77777777" w:rsidR="00BC2F05" w:rsidRDefault="00772FB6" w:rsidP="00032C1B">
      <w:pPr>
        <w:rPr>
          <w:rFonts w:cs="Cambria"/>
          <w:color w:val="000000"/>
        </w:rPr>
      </w:pPr>
      <w:r>
        <w:t xml:space="preserve">A pest risk analysis (PRA) is ‘the process of evaluating biological or other scientific and economic evidence to determine whether an organism is a pest, whether it should be regulated, and the strength of any phytosanitary measures to be taken against it’. </w:t>
      </w:r>
      <w:r w:rsidRPr="008411AA">
        <w:rPr>
          <w:rFonts w:cs="Cambria"/>
          <w:color w:val="000000"/>
        </w:rPr>
        <w:t xml:space="preserve">A pest is ‘any species, strain or biotype of plant, animal, or pathogenic agent injurious to plants or plant products’ </w:t>
      </w:r>
      <w:r>
        <w:rPr>
          <w:rFonts w:cs="Cambria"/>
          <w:noProof/>
          <w:color w:val="000000"/>
        </w:rPr>
        <w:t>(FAO 2022)</w:t>
      </w:r>
      <w:r>
        <w:rPr>
          <w:rFonts w:cs="Cambria"/>
          <w:color w:val="000000"/>
        </w:rPr>
        <w:t xml:space="preserve">. </w:t>
      </w:r>
      <w:r w:rsidRPr="008411AA">
        <w:rPr>
          <w:rFonts w:cs="Cambria"/>
          <w:color w:val="000000"/>
        </w:rPr>
        <w:t xml:space="preserve">This definition is also applied in the </w:t>
      </w:r>
      <w:r w:rsidRPr="008411AA">
        <w:rPr>
          <w:rFonts w:cs="Cambria"/>
          <w:i/>
          <w:iCs/>
          <w:color w:val="000000"/>
        </w:rPr>
        <w:t>Biosecurity Act</w:t>
      </w:r>
      <w:r>
        <w:rPr>
          <w:rFonts w:cs="Cambria"/>
          <w:i/>
          <w:iCs/>
          <w:color w:val="000000"/>
        </w:rPr>
        <w:t> </w:t>
      </w:r>
      <w:r w:rsidRPr="008411AA">
        <w:rPr>
          <w:rFonts w:cs="Cambria"/>
          <w:i/>
          <w:iCs/>
          <w:color w:val="000000"/>
        </w:rPr>
        <w:t>2015</w:t>
      </w:r>
      <w:r w:rsidRPr="008411AA">
        <w:rPr>
          <w:rFonts w:cs="Cambria"/>
          <w:color w:val="000000"/>
        </w:rPr>
        <w:t>.</w:t>
      </w:r>
    </w:p>
    <w:p w14:paraId="573A7DA5" w14:textId="77777777" w:rsidR="00BC2F05" w:rsidRPr="00F1076C" w:rsidRDefault="00772FB6" w:rsidP="00032C1B">
      <w:r w:rsidRPr="00772548">
        <w:t xml:space="preserve">The </w:t>
      </w:r>
      <w:r w:rsidRPr="00F1076C">
        <w:t>department</w:t>
      </w:r>
      <w:r w:rsidRPr="00772548">
        <w:t xml:space="preserve"> conducted this</w:t>
      </w:r>
      <w:r>
        <w:t xml:space="preserve"> PRA</w:t>
      </w:r>
      <w:r w:rsidRPr="00772548">
        <w:t xml:space="preserve"> in accordance with </w:t>
      </w:r>
      <w:r>
        <w:t xml:space="preserve">Australia’s method for pest risk analysis (Appendix A), which is consistent with </w:t>
      </w:r>
      <w:r w:rsidRPr="00772548">
        <w:t>the International Standards for Phytosanitary Measures (ISPMs), including ISP</w:t>
      </w:r>
      <w:r>
        <w:t>M </w:t>
      </w:r>
      <w:r w:rsidRPr="00772548">
        <w:t xml:space="preserve">2: </w:t>
      </w:r>
      <w:r w:rsidRPr="00772548">
        <w:rPr>
          <w:i/>
        </w:rPr>
        <w:t>Framework for pest risk analysis</w:t>
      </w:r>
      <w:r w:rsidRPr="00772548">
        <w:t xml:space="preserve"> </w:t>
      </w:r>
      <w:r>
        <w:rPr>
          <w:noProof/>
        </w:rPr>
        <w:t>(FAO 2019a)</w:t>
      </w:r>
      <w:r>
        <w:t xml:space="preserve"> and ISPM </w:t>
      </w:r>
      <w:r w:rsidRPr="00772548">
        <w:t xml:space="preserve">11: </w:t>
      </w:r>
      <w:r w:rsidRPr="00772548">
        <w:rPr>
          <w:i/>
        </w:rPr>
        <w:t>Pest risk analysis for quarantine pests</w:t>
      </w:r>
      <w:r>
        <w:t xml:space="preserve"> </w:t>
      </w:r>
      <w:r>
        <w:rPr>
          <w:noProof/>
        </w:rPr>
        <w:t>(FAO 2019b)</w:t>
      </w:r>
      <w:r>
        <w:t xml:space="preserve">, and the WTO Agreement on the Application of Sanitary and Phytosanitary Measures (the SPS Agreement) </w:t>
      </w:r>
      <w:r>
        <w:rPr>
          <w:noProof/>
        </w:rPr>
        <w:t>(WTO 1995)</w:t>
      </w:r>
      <w:r w:rsidRPr="00772548">
        <w:t>.</w:t>
      </w:r>
    </w:p>
    <w:p w14:paraId="79F31820" w14:textId="77777777" w:rsidR="00BC2F05" w:rsidRDefault="00772FB6" w:rsidP="00032C1B">
      <w:r>
        <w:t xml:space="preserve">A summary of the process used by the department to conduct a risk analysis is provided in </w:t>
      </w:r>
      <w:r>
        <w:fldChar w:fldCharType="begin" w:fldLock="1"/>
      </w:r>
      <w:r>
        <w:instrText xml:space="preserve"> REF _Ref51313468 \h </w:instrText>
      </w:r>
      <w:r>
        <w:fldChar w:fldCharType="separate"/>
      </w:r>
      <w:r>
        <w:t xml:space="preserve">Figure </w:t>
      </w:r>
      <w:r>
        <w:rPr>
          <w:noProof/>
        </w:rPr>
        <w:t>1</w:t>
      </w:r>
      <w:r>
        <w:t>.</w:t>
      </w:r>
      <w:r>
        <w:rPr>
          <w:noProof/>
        </w:rPr>
        <w:t>2</w:t>
      </w:r>
      <w:r>
        <w:fldChar w:fldCharType="end"/>
      </w:r>
      <w:r>
        <w:t>.</w:t>
      </w:r>
    </w:p>
    <w:p w14:paraId="7DF1871F" w14:textId="77777777" w:rsidR="00BC2F05" w:rsidRDefault="00772FB6" w:rsidP="00032C1B">
      <w:pPr>
        <w:pStyle w:val="Caption"/>
        <w:contextualSpacing/>
      </w:pPr>
      <w:bookmarkStart w:id="38" w:name="_Ref51313468"/>
      <w:bookmarkStart w:id="39" w:name="Figure1b"/>
      <w:bookmarkStart w:id="40" w:name="_Toc119493119"/>
      <w:r>
        <w:lastRenderedPageBreak/>
        <w:t xml:space="preserve">Figure </w:t>
      </w:r>
      <w:r w:rsidR="000C0A09">
        <w:fldChar w:fldCharType="begin" w:fldLock="1"/>
      </w:r>
      <w:r w:rsidR="000C0A09">
        <w:instrText xml:space="preserve"> STYLEREF 2 \s </w:instrText>
      </w:r>
      <w:r w:rsidR="000C0A09">
        <w:fldChar w:fldCharType="separate"/>
      </w:r>
      <w:r>
        <w:rPr>
          <w:noProof/>
        </w:rPr>
        <w:t>1</w:t>
      </w:r>
      <w:r w:rsidR="000C0A09">
        <w:rPr>
          <w:noProof/>
        </w:rPr>
        <w:fldChar w:fldCharType="end"/>
      </w:r>
      <w:r>
        <w:t>.</w:t>
      </w:r>
      <w:r w:rsidR="000C0A09">
        <w:fldChar w:fldCharType="begin" w:fldLock="1"/>
      </w:r>
      <w:r w:rsidR="000C0A09">
        <w:instrText xml:space="preserve"> SEQ Figure \* ARABIC \s 2 </w:instrText>
      </w:r>
      <w:r w:rsidR="000C0A09">
        <w:fldChar w:fldCharType="separate"/>
      </w:r>
      <w:r>
        <w:rPr>
          <w:noProof/>
        </w:rPr>
        <w:t>2</w:t>
      </w:r>
      <w:r w:rsidR="000C0A09">
        <w:rPr>
          <w:noProof/>
        </w:rPr>
        <w:fldChar w:fldCharType="end"/>
      </w:r>
      <w:bookmarkEnd w:id="38"/>
      <w:bookmarkEnd w:id="39"/>
      <w:r>
        <w:t xml:space="preserve"> Process flow diagram for conducting a risk analysis</w:t>
      </w:r>
      <w:bookmarkEnd w:id="40"/>
    </w:p>
    <w:p w14:paraId="35D9A813" w14:textId="77777777" w:rsidR="00BC2F05" w:rsidRDefault="00772FB6" w:rsidP="00032C1B">
      <w:r>
        <w:rPr>
          <w:noProof/>
        </w:rPr>
        <w:drawing>
          <wp:inline distT="0" distB="0" distL="0" distR="0" wp14:anchorId="5950B34F" wp14:editId="07FBC94D">
            <wp:extent cx="5911200" cy="8359200"/>
            <wp:effectExtent l="0" t="0" r="0" b="3810"/>
            <wp:docPr id="6" name="Picture 6"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publish of import conditions on BICON; trade commence. Stakeholder notification and public consultation occur at various stages through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32149" name="Picture 6"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publish of import conditions on BICON; trade commence. Stakeholder notification and public consultation occur at various stages through the process."/>
                    <pic:cNvPicPr/>
                  </pic:nvPicPr>
                  <pic:blipFill>
                    <a:blip r:embed="rId32"/>
                    <a:stretch>
                      <a:fillRect/>
                    </a:stretch>
                  </pic:blipFill>
                  <pic:spPr>
                    <a:xfrm>
                      <a:off x="0" y="0"/>
                      <a:ext cx="5911200" cy="8359200"/>
                    </a:xfrm>
                    <a:prstGeom prst="rect">
                      <a:avLst/>
                    </a:prstGeom>
                  </pic:spPr>
                </pic:pic>
              </a:graphicData>
            </a:graphic>
          </wp:inline>
        </w:drawing>
      </w:r>
    </w:p>
    <w:p w14:paraId="7A11A575" w14:textId="77777777" w:rsidR="00BC2F05" w:rsidRPr="00475B9D" w:rsidRDefault="00772FB6" w:rsidP="00032C1B">
      <w:pPr>
        <w:autoSpaceDE w:val="0"/>
        <w:autoSpaceDN w:val="0"/>
        <w:adjustRightInd w:val="0"/>
      </w:pPr>
      <w:r w:rsidRPr="00475B9D">
        <w:lastRenderedPageBreak/>
        <w:t>The PRA was conducted in the following 3 consecutive stages:</w:t>
      </w:r>
    </w:p>
    <w:p w14:paraId="1205816D" w14:textId="77777777" w:rsidR="00BC2F05" w:rsidRDefault="00772FB6" w:rsidP="00BC2F05">
      <w:pPr>
        <w:pStyle w:val="ListNumber"/>
      </w:pPr>
      <w:r>
        <w:t>Initiation—identification of:</w:t>
      </w:r>
    </w:p>
    <w:p w14:paraId="7842F940" w14:textId="77777777" w:rsidR="00BC2F05" w:rsidRPr="005B363A" w:rsidRDefault="00772FB6" w:rsidP="00BC2F05">
      <w:pPr>
        <w:pStyle w:val="ListBullet2"/>
        <w:ind w:left="794" w:hanging="397"/>
      </w:pPr>
      <w:r w:rsidRPr="005B363A">
        <w:t>the pathway being assessed in the risk analysis</w:t>
      </w:r>
    </w:p>
    <w:p w14:paraId="3C611778" w14:textId="77777777" w:rsidR="00BC2F05" w:rsidRPr="005B363A" w:rsidRDefault="00772FB6" w:rsidP="00BC2F05">
      <w:pPr>
        <w:pStyle w:val="ListBullet2"/>
        <w:ind w:left="794" w:hanging="397"/>
      </w:pPr>
      <w:r w:rsidRPr="005B363A">
        <w:t>the pest(s) that have potential to be associated with the pathway and are of biosecurity concern and should be considered for analysis in relation to the identified PRA area.</w:t>
      </w:r>
    </w:p>
    <w:p w14:paraId="73CE1CF3" w14:textId="77777777" w:rsidR="00BC2F05" w:rsidRDefault="00772FB6" w:rsidP="00BC2F05">
      <w:pPr>
        <w:pStyle w:val="ListNumber"/>
      </w:pPr>
      <w:r>
        <w:t>Pest risk assessment—this was conducted in 2 sequential steps:</w:t>
      </w:r>
    </w:p>
    <w:p w14:paraId="4539859F" w14:textId="77777777" w:rsidR="00BC2F05" w:rsidRDefault="00772FB6" w:rsidP="00032C1B">
      <w:pPr>
        <w:pStyle w:val="ListNumber2"/>
        <w:numPr>
          <w:ilvl w:val="0"/>
          <w:numId w:val="0"/>
        </w:numPr>
        <w:ind w:left="794" w:hanging="397"/>
      </w:pPr>
      <w:r>
        <w:t>2a. Pest categorisation: examination of each pest identified in stage 1 to determine whether it is a quarantine pest and requires further pest risk assessment.</w:t>
      </w:r>
    </w:p>
    <w:p w14:paraId="4AC7FB9A" w14:textId="77777777" w:rsidR="00BC2F05" w:rsidRDefault="00772FB6" w:rsidP="00032C1B">
      <w:pPr>
        <w:pStyle w:val="ListNumber2"/>
        <w:numPr>
          <w:ilvl w:val="0"/>
          <w:numId w:val="0"/>
        </w:numPr>
        <w:ind w:left="794" w:hanging="397"/>
      </w:pPr>
      <w:r>
        <w:t>2b. F</w:t>
      </w:r>
      <w:r w:rsidRPr="00175A50">
        <w:t>urther pest risk assessment</w:t>
      </w:r>
      <w:r>
        <w:t xml:space="preserve">: evaluation of the likelihoods of the introduction (entry and establishment) and spread, and the magnitude of the potential consequences of the quarantine pest(s). </w:t>
      </w:r>
      <w:r w:rsidRPr="005B363A">
        <w:t>The combination of the likelihoods and consequence</w:t>
      </w:r>
      <w:r>
        <w:t>s</w:t>
      </w:r>
      <w:r w:rsidRPr="005B363A">
        <w:t xml:space="preserve"> give</w:t>
      </w:r>
      <w:r w:rsidRPr="00235E2D">
        <w:t>s</w:t>
      </w:r>
      <w:r w:rsidRPr="005B363A">
        <w:t xml:space="preserve"> an overall estimate of the biosecurity risk of the pest, known as the unrestricted risk estimate (URE).</w:t>
      </w:r>
    </w:p>
    <w:p w14:paraId="750C30CA" w14:textId="77777777" w:rsidR="00BC2F05" w:rsidRDefault="00772FB6" w:rsidP="00BC2F05">
      <w:pPr>
        <w:pStyle w:val="ListNumber"/>
      </w:pPr>
      <w:r>
        <w:t>P</w:t>
      </w:r>
      <w:r w:rsidRPr="00772548">
        <w:t>est risk man</w:t>
      </w:r>
      <w:r>
        <w:t xml:space="preserve">agement—the process of identifying and </w:t>
      </w:r>
      <w:r w:rsidRPr="00A30FE2">
        <w:t>proposing</w:t>
      </w:r>
      <w:r>
        <w:t xml:space="preserve"> required phytosanitary measures to reduce the biosecurity risk to achieve the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6FB89A29" w14:textId="77777777" w:rsidR="00BC2F05" w:rsidRDefault="00772FB6" w:rsidP="00032C1B">
      <w:pPr>
        <w:pStyle w:val="ListNumber"/>
        <w:numPr>
          <w:ilvl w:val="0"/>
          <w:numId w:val="0"/>
        </w:numPr>
      </w:pPr>
      <w:r w:rsidRPr="00BC6E66">
        <w:t xml:space="preserve">A phytosanitary measure is ‘any legislation, regulation or official procedure having the purpose to prevent the introduction or spread of quarantine pests, or to limit the economic impact of regulated non-quarantine pests’ </w:t>
      </w:r>
      <w:r>
        <w:rPr>
          <w:rFonts w:cs="Cambria"/>
          <w:noProof/>
          <w:color w:val="000000"/>
        </w:rPr>
        <w:t>(FAO 2022)</w:t>
      </w:r>
      <w:r w:rsidRPr="00BC6E66">
        <w:t>.</w:t>
      </w:r>
    </w:p>
    <w:p w14:paraId="17FEFC93" w14:textId="77777777" w:rsidR="00BC2F05" w:rsidRPr="005B363A" w:rsidRDefault="00772FB6" w:rsidP="00032C1B">
      <w:pPr>
        <w:pStyle w:val="ListNumber"/>
        <w:numPr>
          <w:ilvl w:val="0"/>
          <w:numId w:val="0"/>
        </w:numPr>
      </w:pPr>
      <w:r w:rsidRPr="005B363A">
        <w:t>For further information on the:</w:t>
      </w:r>
    </w:p>
    <w:p w14:paraId="2C2C599D" w14:textId="77777777" w:rsidR="00BC2F05" w:rsidRDefault="00772FB6" w:rsidP="00BC2F05">
      <w:pPr>
        <w:pStyle w:val="ListBullet"/>
      </w:pPr>
      <w:r>
        <w:t xml:space="preserve">method for </w:t>
      </w:r>
      <w:r w:rsidRPr="005B363A">
        <w:t>PRA</w:t>
      </w:r>
      <w:r>
        <w:t>:</w:t>
      </w:r>
      <w:r w:rsidRPr="005B363A">
        <w:t xml:space="preserve"> see Appendix</w:t>
      </w:r>
      <w:r>
        <w:t> </w:t>
      </w:r>
      <w:r w:rsidRPr="005B363A">
        <w:t>A</w:t>
      </w:r>
    </w:p>
    <w:p w14:paraId="3C769714" w14:textId="77777777" w:rsidR="00BC2F05" w:rsidRPr="005B363A" w:rsidRDefault="00772FB6" w:rsidP="00BC2F05">
      <w:pPr>
        <w:pStyle w:val="ListBullet"/>
      </w:pPr>
      <w:r w:rsidRPr="005B363A">
        <w:t>terms used in this risk analysis</w:t>
      </w:r>
      <w:r>
        <w:t>:</w:t>
      </w:r>
      <w:r w:rsidRPr="005B363A">
        <w:t xml:space="preserve"> see Glossary, </w:t>
      </w:r>
      <w:proofErr w:type="gramStart"/>
      <w:r w:rsidRPr="005B363A">
        <w:t>acronyms</w:t>
      </w:r>
      <w:proofErr w:type="gramEnd"/>
      <w:r w:rsidRPr="005B363A">
        <w:t xml:space="preserve"> and abbreviations at the end of this report</w:t>
      </w:r>
    </w:p>
    <w:p w14:paraId="2C8EB934" w14:textId="77777777" w:rsidR="00BC2F05" w:rsidRPr="005B363A" w:rsidRDefault="00772FB6" w:rsidP="00BC2F05">
      <w:pPr>
        <w:pStyle w:val="ListBullet"/>
      </w:pPr>
      <w:r w:rsidRPr="005B363A">
        <w:t>pathway being assessed in this risk analysis</w:t>
      </w:r>
      <w:r>
        <w:t>:</w:t>
      </w:r>
      <w:r w:rsidRPr="005B363A">
        <w:t xml:space="preserve"> see </w:t>
      </w:r>
      <w:r>
        <w:t>s</w:t>
      </w:r>
      <w:r w:rsidRPr="005B363A">
        <w:t>ection</w:t>
      </w:r>
      <w:r>
        <w:t> </w:t>
      </w:r>
      <w:r>
        <w:fldChar w:fldCharType="begin" w:fldLock="1"/>
      </w:r>
      <w:r>
        <w:instrText xml:space="preserve"> REF _Ref94701666 \n \h  \* MERGEFORMAT </w:instrText>
      </w:r>
      <w:r>
        <w:fldChar w:fldCharType="separate"/>
      </w:r>
      <w:r>
        <w:t>1.2.2</w:t>
      </w:r>
      <w:r>
        <w:fldChar w:fldCharType="end"/>
      </w:r>
    </w:p>
    <w:p w14:paraId="7A63B8AF" w14:textId="77777777" w:rsidR="00BC2F05" w:rsidRPr="005B363A" w:rsidRDefault="00772FB6" w:rsidP="00BC2F05">
      <w:pPr>
        <w:pStyle w:val="ListBullet"/>
      </w:pPr>
      <w:r w:rsidRPr="005B363A">
        <w:t>initiation and pest categorisation</w:t>
      </w:r>
      <w:r>
        <w:t>:</w:t>
      </w:r>
      <w:r w:rsidRPr="005B363A">
        <w:t xml:space="preserve"> see Appendix</w:t>
      </w:r>
      <w:r>
        <w:t> </w:t>
      </w:r>
      <w:r w:rsidRPr="005B363A">
        <w:t>B</w:t>
      </w:r>
    </w:p>
    <w:p w14:paraId="5EB105A3" w14:textId="77777777" w:rsidR="00BC2F05" w:rsidRPr="005B363A" w:rsidRDefault="00772FB6" w:rsidP="00BC2F05">
      <w:pPr>
        <w:pStyle w:val="ListBullet"/>
      </w:pPr>
      <w:r w:rsidRPr="005B363A">
        <w:t>pest risk assessments for pests/pest groups identified in Appendix B as requiring further pest risk assessment</w:t>
      </w:r>
      <w:r>
        <w:t>:</w:t>
      </w:r>
      <w:r w:rsidRPr="005B363A">
        <w:t xml:space="preserve"> see Chapter</w:t>
      </w:r>
      <w:r>
        <w:t> </w:t>
      </w:r>
      <w:r w:rsidRPr="005B363A">
        <w:t>3</w:t>
      </w:r>
    </w:p>
    <w:p w14:paraId="483225FE" w14:textId="77777777" w:rsidR="00BC2F05" w:rsidRDefault="00772FB6" w:rsidP="00BC2F05">
      <w:pPr>
        <w:pStyle w:val="ListBullet"/>
      </w:pPr>
      <w:r w:rsidRPr="005B363A">
        <w:t>risk management measures for pests/pest groups assessed in Chapter</w:t>
      </w:r>
      <w:r>
        <w:t> </w:t>
      </w:r>
      <w:r w:rsidRPr="005B363A">
        <w:t xml:space="preserve">3 as not achieving </w:t>
      </w:r>
      <w:r>
        <w:t>the</w:t>
      </w:r>
      <w:r w:rsidRPr="005B363A">
        <w:t xml:space="preserve"> ALOP </w:t>
      </w:r>
      <w:r>
        <w:t xml:space="preserve">for Australia: </w:t>
      </w:r>
      <w:r w:rsidRPr="005B363A">
        <w:t>see Chapter</w:t>
      </w:r>
      <w:r>
        <w:t> </w:t>
      </w:r>
      <w:r w:rsidRPr="005B363A">
        <w:t>4.</w:t>
      </w:r>
    </w:p>
    <w:p w14:paraId="46E84AB4" w14:textId="77777777" w:rsidR="00BC2F05" w:rsidRDefault="00772FB6" w:rsidP="00032C1B">
      <w:pPr>
        <w:pStyle w:val="Heading4"/>
      </w:pPr>
      <w:r w:rsidRPr="00772548">
        <w:t xml:space="preserve">Next </w:t>
      </w:r>
      <w:r>
        <w:t>s</w:t>
      </w:r>
      <w:r w:rsidRPr="00772548">
        <w:t>teps</w:t>
      </w:r>
    </w:p>
    <w:p w14:paraId="5886B587" w14:textId="77777777" w:rsidR="00BC2F05" w:rsidRDefault="00772FB6" w:rsidP="000F74CF">
      <w:r>
        <w:t xml:space="preserve">The department has notified the proposer, the registered </w:t>
      </w:r>
      <w:proofErr w:type="gramStart"/>
      <w:r>
        <w:t>stakeholders</w:t>
      </w:r>
      <w:proofErr w:type="gramEnd"/>
      <w:r>
        <w:t xml:space="preserve"> and the WTO-Secretariat about the release of this draft report.</w:t>
      </w:r>
    </w:p>
    <w:p w14:paraId="42EEE997" w14:textId="77777777" w:rsidR="00BC2F05" w:rsidRPr="00DC00A4" w:rsidRDefault="00772FB6" w:rsidP="009D6961">
      <w:r w:rsidRPr="00DC00A4">
        <w:t xml:space="preserve">This draft report gives stakeholders an opportunity to comment on the department’s review and proposed measures, and to draw attention to any scientific, </w:t>
      </w:r>
      <w:proofErr w:type="gramStart"/>
      <w:r w:rsidRPr="00DC00A4">
        <w:t>technical</w:t>
      </w:r>
      <w:proofErr w:type="gramEnd"/>
      <w:r w:rsidRPr="00DC00A4">
        <w:t xml:space="preserve"> or other gaps in the data, or misinterpretations or errors.</w:t>
      </w:r>
    </w:p>
    <w:p w14:paraId="62840EC2" w14:textId="77777777" w:rsidR="00BC2F05" w:rsidRDefault="00772FB6" w:rsidP="000F74CF">
      <w:r w:rsidRPr="00DC00A4">
        <w:t xml:space="preserve">The department will consider submissions received on the draft report and may consult </w:t>
      </w:r>
      <w:r>
        <w:t xml:space="preserve">further </w:t>
      </w:r>
      <w:r w:rsidRPr="00DC00A4">
        <w:t>with stakeholders. The department will revise the report as appropriate</w:t>
      </w:r>
      <w:r>
        <w:t xml:space="preserve"> and</w:t>
      </w:r>
      <w:r w:rsidRPr="00DC00A4">
        <w:t xml:space="preserve"> then prepare a final report, </w:t>
      </w:r>
      <w:proofErr w:type="gramStart"/>
      <w:r w:rsidRPr="00DC00A4">
        <w:t>taking into account</w:t>
      </w:r>
      <w:proofErr w:type="gramEnd"/>
      <w:r w:rsidRPr="00DC00A4">
        <w:t xml:space="preserve"> stakeholder comments.</w:t>
      </w:r>
    </w:p>
    <w:p w14:paraId="7F371E8F" w14:textId="77777777" w:rsidR="00BC2F05" w:rsidRDefault="00772FB6" w:rsidP="00032C1B">
      <w:r w:rsidRPr="00772548">
        <w:lastRenderedPageBreak/>
        <w:t xml:space="preserve">The final report will be published on </w:t>
      </w:r>
      <w:r>
        <w:t xml:space="preserve">the department website </w:t>
      </w:r>
      <w:r w:rsidRPr="00772548">
        <w:t xml:space="preserve">with a notice advising stakeholders of </w:t>
      </w:r>
      <w:r>
        <w:t>the</w:t>
      </w:r>
      <w:r w:rsidRPr="00772548">
        <w:t xml:space="preserve"> release. The department will also notify the proposer, the registered </w:t>
      </w:r>
      <w:proofErr w:type="gramStart"/>
      <w:r w:rsidRPr="00772548">
        <w:t>stakeholders</w:t>
      </w:r>
      <w:proofErr w:type="gramEnd"/>
      <w:r w:rsidRPr="00772548">
        <w:t xml:space="preserve"> and the WTO Secretariat about the release of the final report. Publication of the final report represents the end of the risk analysis process.</w:t>
      </w:r>
    </w:p>
    <w:p w14:paraId="009C5E59" w14:textId="77777777" w:rsidR="00BC2F05" w:rsidRDefault="00772FB6" w:rsidP="00032C1B">
      <w:r w:rsidRPr="00772548">
        <w:t xml:space="preserve">The biosecurity requirements recommended in the final report will form the basis of the conditions published </w:t>
      </w:r>
      <w:r>
        <w:t>on</w:t>
      </w:r>
      <w:r w:rsidRPr="00772548">
        <w:t xml:space="preserve"> BICON</w:t>
      </w:r>
      <w:r>
        <w:rPr>
          <w:color w:val="000000" w:themeColor="text1"/>
        </w:rPr>
        <w:t xml:space="preserve">, </w:t>
      </w:r>
      <w:r w:rsidRPr="00772548">
        <w:t>and</w:t>
      </w:r>
      <w:r>
        <w:t xml:space="preserve"> for any import permits subsequently issued.</w:t>
      </w:r>
    </w:p>
    <w:p w14:paraId="09DC1C54" w14:textId="77777777" w:rsidR="00BC2F05" w:rsidRDefault="00772FB6" w:rsidP="00032C1B">
      <w:pPr>
        <w:sectPr w:rsidR="00BC2F05" w:rsidSect="006C3E9D">
          <w:headerReference w:type="even" r:id="rId33"/>
          <w:headerReference w:type="default" r:id="rId34"/>
          <w:footerReference w:type="default" r:id="rId35"/>
          <w:headerReference w:type="first" r:id="rId36"/>
          <w:pgSz w:w="11906" w:h="16838"/>
          <w:pgMar w:top="1418" w:right="1418" w:bottom="1418" w:left="1418" w:header="567" w:footer="454" w:gutter="0"/>
          <w:pgNumType w:start="1"/>
          <w:cols w:space="708"/>
          <w:docGrid w:linePitch="360"/>
        </w:sectPr>
      </w:pPr>
      <w:r>
        <w:t xml:space="preserve">Should the final report recommend importation be permitted, </w:t>
      </w:r>
      <w:fldSimple w:instr=" REF country  \* MERGEFORMAT " w:fldLock="1">
        <w:r>
          <w:t>the Philippines</w:t>
        </w:r>
      </w:fldSimple>
      <w:r>
        <w:t xml:space="preserve"> must be able to demonstrate to the department that </w:t>
      </w:r>
      <w:proofErr w:type="gramStart"/>
      <w:r>
        <w:t>processes</w:t>
      </w:r>
      <w:proofErr w:type="gramEnd"/>
      <w:r>
        <w:t xml:space="preserve"> and procedures are in place to implement the agreed risk management measures prior to publication of import conditions on BICON. This will ensure safe trade in fresh </w:t>
      </w:r>
      <w:fldSimple w:instr=" REF  commodity \* Lower  \* MERGEFORMAT " w:fldLock="1">
        <w:r>
          <w:t>dragon fruit</w:t>
        </w:r>
      </w:fldSimple>
      <w:r>
        <w:t xml:space="preserve"> from </w:t>
      </w:r>
      <w:fldSimple w:instr=" REF country  \* MERGEFORMAT " w:fldLock="1">
        <w:r>
          <w:t>the Philippines</w:t>
        </w:r>
      </w:fldSimple>
      <w:r>
        <w:t>.</w:t>
      </w:r>
    </w:p>
    <w:p w14:paraId="5C378B7F" w14:textId="77777777" w:rsidR="00BC2F05" w:rsidRDefault="00772FB6" w:rsidP="00032C1B">
      <w:pPr>
        <w:pStyle w:val="Heading2"/>
      </w:pPr>
      <w:bookmarkStart w:id="41" w:name="_Toc119493092"/>
      <w:bookmarkStart w:id="42" w:name="_Hlk87016551"/>
      <w:r w:rsidRPr="00F46724">
        <w:lastRenderedPageBreak/>
        <w:t>Commercial producti</w:t>
      </w:r>
      <w:r>
        <w:t>on practices for dragon fruit in the Philippines</w:t>
      </w:r>
      <w:bookmarkEnd w:id="41"/>
    </w:p>
    <w:p w14:paraId="59EF6954" w14:textId="77777777" w:rsidR="00BC2F05" w:rsidRDefault="00772FB6" w:rsidP="00032C1B">
      <w:r>
        <w:t xml:space="preserve">This chapter provides information on the pre-harvest, harvest and post-harvest practices considered to be standard practices in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for the production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for export. It also outlines the export capability of </w:t>
      </w:r>
      <w:r w:rsidR="000C0A09">
        <w:fldChar w:fldCharType="begin" w:fldLock="1"/>
      </w:r>
      <w:r w:rsidR="000C0A09">
        <w:instrText xml:space="preserve"> REF  Country  \* MERGEFORMAT </w:instrText>
      </w:r>
      <w:r w:rsidR="000C0A09">
        <w:fldChar w:fldCharType="separate"/>
      </w:r>
      <w:r>
        <w:t>the Philippines</w:t>
      </w:r>
      <w:r w:rsidR="000C0A09">
        <w:fldChar w:fldCharType="end"/>
      </w:r>
      <w:r>
        <w:t>.</w:t>
      </w:r>
    </w:p>
    <w:p w14:paraId="50A8AA1C" w14:textId="77777777" w:rsidR="00BC2F05" w:rsidRDefault="00772FB6" w:rsidP="00032C1B">
      <w:pPr>
        <w:pStyle w:val="Heading3"/>
      </w:pPr>
      <w:bookmarkStart w:id="43" w:name="_Toc119493093"/>
      <w:r>
        <w:t>Considerations used in estimating unrestricted risk</w:t>
      </w:r>
      <w:bookmarkEnd w:id="43"/>
    </w:p>
    <w:p w14:paraId="7192D1E8" w14:textId="77777777" w:rsidR="00BC2F05" w:rsidRPr="00833EEA" w:rsidRDefault="000C0A09" w:rsidP="00032C1B">
      <w:r>
        <w:fldChar w:fldCharType="begin" w:fldLock="1"/>
      </w:r>
      <w:r>
        <w:instrText xml:space="preserve"> REF  Country \* FirstCap  \* MERGEFORMAT </w:instrText>
      </w:r>
      <w:r>
        <w:fldChar w:fldCharType="separate"/>
      </w:r>
      <w:r w:rsidR="00772FB6">
        <w:t>The Philippines</w:t>
      </w:r>
      <w:r>
        <w:fldChar w:fldCharType="end"/>
      </w:r>
      <w:r w:rsidR="00772FB6">
        <w:t xml:space="preserve"> provided a technical market access submission to Australia that included information on commercial production practices of </w:t>
      </w:r>
      <w:r>
        <w:fldChar w:fldCharType="begin" w:fldLock="1"/>
      </w:r>
      <w:r>
        <w:instrText xml:space="preserve"> REF  commodity \* </w:instrText>
      </w:r>
      <w:r>
        <w:instrText xml:space="preserve">Lower  \* MERGEFORMAT </w:instrText>
      </w:r>
      <w:r>
        <w:fldChar w:fldCharType="separate"/>
      </w:r>
      <w:r w:rsidR="00772FB6">
        <w:t>dragon fruit</w:t>
      </w:r>
      <w:r>
        <w:fldChar w:fldCharType="end"/>
      </w:r>
      <w:r w:rsidR="00772FB6">
        <w:t xml:space="preserve"> in </w:t>
      </w:r>
      <w:r>
        <w:fldChar w:fldCharType="begin" w:fldLock="1"/>
      </w:r>
      <w:r>
        <w:instrText xml:space="preserve"> REF  Country  \* MERGEFORMAT </w:instrText>
      </w:r>
      <w:r>
        <w:fldChar w:fldCharType="separate"/>
      </w:r>
      <w:r w:rsidR="00772FB6">
        <w:t>the Philippines</w:t>
      </w:r>
      <w:r>
        <w:fldChar w:fldCharType="end"/>
      </w:r>
      <w:r w:rsidR="00772FB6">
        <w:t>.</w:t>
      </w:r>
    </w:p>
    <w:p w14:paraId="288B940A" w14:textId="77777777" w:rsidR="00BC2F05" w:rsidRPr="00C673F7" w:rsidRDefault="00772FB6" w:rsidP="00032C1B">
      <w:pPr>
        <w:rPr>
          <w:color w:val="FF0000"/>
        </w:rPr>
      </w:pPr>
      <w:r w:rsidRPr="00505E13">
        <w:t xml:space="preserve">The department visited </w:t>
      </w:r>
      <w:r>
        <w:t>dragon fruit</w:t>
      </w:r>
      <w:r w:rsidRPr="00505E13">
        <w:t xml:space="preserve"> </w:t>
      </w:r>
      <w:r>
        <w:t>export production</w:t>
      </w:r>
      <w:r w:rsidRPr="00505E13">
        <w:t xml:space="preserve"> areas in</w:t>
      </w:r>
      <w:r>
        <w:t xml:space="preserve"> the Cavite and Batangas provinces in the </w:t>
      </w:r>
      <w:proofErr w:type="spellStart"/>
      <w:r>
        <w:t>Calabarzon</w:t>
      </w:r>
      <w:proofErr w:type="spellEnd"/>
      <w:r>
        <w:t xml:space="preserve"> region of the Philippines</w:t>
      </w:r>
      <w:r w:rsidRPr="00505E13">
        <w:t xml:space="preserve"> in </w:t>
      </w:r>
      <w:r>
        <w:t>June</w:t>
      </w:r>
      <w:r w:rsidRPr="00505E13">
        <w:t xml:space="preserve"> </w:t>
      </w:r>
      <w:r>
        <w:t xml:space="preserve">2022, to observe pest status and </w:t>
      </w:r>
      <w:r w:rsidRPr="00505E13">
        <w:t>production practices</w:t>
      </w:r>
      <w:r>
        <w:t xml:space="preserve"> for dragon fruit</w:t>
      </w:r>
      <w:r w:rsidRPr="00505E13">
        <w:t xml:space="preserve">. The department’s observations, and additional information provided during and after the visits confirmed the production, harvest, processing and packing procedures described in this chapter as standard commercial production practices for </w:t>
      </w:r>
      <w:r>
        <w:t>dragon fruit</w:t>
      </w:r>
      <w:r w:rsidRPr="00505E13">
        <w:t xml:space="preserve"> for export</w:t>
      </w:r>
      <w:r w:rsidRPr="00556A38">
        <w:t>.</w:t>
      </w:r>
    </w:p>
    <w:p w14:paraId="0DBB06B2" w14:textId="77777777" w:rsidR="00BC2F05" w:rsidRDefault="00772FB6" w:rsidP="00032C1B">
      <w:r>
        <w:t xml:space="preserve">The information provided by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and gathered by the department during the visit has been supplemented with data from published literature and other sources and has been taken into consideration when estimating the unrestricted risks of pests that may be associated with import of this commodity.</w:t>
      </w:r>
    </w:p>
    <w:p w14:paraId="5AFCA3F1" w14:textId="77777777" w:rsidR="00BC2F05" w:rsidRPr="00360C0A" w:rsidRDefault="00772FB6" w:rsidP="00032C1B">
      <w:r>
        <w:t xml:space="preserve">In estimating the likelihood of pest introduction, it was considered that the pre-harvest, harvest and post-harvest production practices 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as described in this chapter, are implemented by all growers and packing houses for all </w:t>
      </w:r>
      <w:r>
        <w:rPr>
          <w:color w:val="000000" w:themeColor="text1"/>
        </w:rPr>
        <w:t xml:space="preserve">species </w:t>
      </w:r>
      <w:r>
        <w:t xml:space="preserve">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produced for export</w:t>
      </w:r>
      <w:r w:rsidRPr="00360C0A">
        <w:t>.</w:t>
      </w:r>
    </w:p>
    <w:p w14:paraId="292A471E" w14:textId="77777777" w:rsidR="00BC2F05" w:rsidRDefault="00772FB6" w:rsidP="00032C1B">
      <w:pPr>
        <w:pStyle w:val="Heading3"/>
      </w:pPr>
      <w:bookmarkStart w:id="44" w:name="_Toc119493094"/>
      <w:r>
        <w:t xml:space="preserve">Production areas of </w:t>
      </w:r>
      <w:r w:rsidR="000C0A09">
        <w:fldChar w:fldCharType="begin" w:fldLock="1"/>
      </w:r>
      <w:r w:rsidR="000C0A09">
        <w:instrText xml:space="preserve"> REF  commodity \* Lower  \* MERGEFORMAT </w:instrText>
      </w:r>
      <w:r w:rsidR="000C0A09">
        <w:fldChar w:fldCharType="separate"/>
      </w:r>
      <w:r>
        <w:t>dragon fruit</w:t>
      </w:r>
      <w:bookmarkEnd w:id="44"/>
      <w:r w:rsidR="000C0A09">
        <w:fldChar w:fldCharType="end"/>
      </w:r>
    </w:p>
    <w:p w14:paraId="55F71952" w14:textId="77777777" w:rsidR="00BC2F05" w:rsidRDefault="00772FB6" w:rsidP="00032C1B">
      <w:r>
        <w:t xml:space="preserve">The Philippine dragon fruit industry is a new and emerging industry that has taken several years to become established. Dragon fruit was originally a backyard ornamental plant that is now commercially cultivated </w:t>
      </w:r>
      <w:r>
        <w:rPr>
          <w:noProof/>
        </w:rPr>
        <w:t>(Eusebio &amp; Alaban 2018)</w:t>
      </w:r>
      <w:r>
        <w:t xml:space="preserve"> across the whole of the Philippines with</w:t>
      </w:r>
      <w:r w:rsidRPr="001362D0">
        <w:t xml:space="preserve"> </w:t>
      </w:r>
      <w:r>
        <w:t xml:space="preserve">production mainly focused on supplying the domestic market. Production is expanding as the fruit becomes more profitable to produce. Some farmers have replaced coffee and pineapple plantations with dragon fruit, due to its increasing value </w:t>
      </w:r>
      <w:r>
        <w:rPr>
          <w:noProof/>
        </w:rPr>
        <w:t>(Tepora 2019)</w:t>
      </w:r>
      <w:r>
        <w:t xml:space="preserve">. </w:t>
      </w:r>
    </w:p>
    <w:p w14:paraId="03934D50" w14:textId="77777777" w:rsidR="00BC2F05" w:rsidRDefault="00772FB6" w:rsidP="00032C1B">
      <w:proofErr w:type="gramStart"/>
      <w:r>
        <w:t>The majority of</w:t>
      </w:r>
      <w:proofErr w:type="gramEnd"/>
      <w:r>
        <w:t xml:space="preserve"> dragon fruit is produced in 5 regions of the country: </w:t>
      </w:r>
      <w:proofErr w:type="spellStart"/>
      <w:r>
        <w:t>Ilocos</w:t>
      </w:r>
      <w:proofErr w:type="spellEnd"/>
      <w:r>
        <w:t xml:space="preserve"> Region, Cagayan Valley, Central Luzon, </w:t>
      </w:r>
      <w:proofErr w:type="spellStart"/>
      <w:r>
        <w:t>Calabarzon</w:t>
      </w:r>
      <w:proofErr w:type="spellEnd"/>
      <w:r>
        <w:t xml:space="preserve"> and Central Visayas (</w:t>
      </w:r>
      <w:r>
        <w:fldChar w:fldCharType="begin" w:fldLock="1"/>
      </w:r>
      <w:r>
        <w:instrText xml:space="preserve"> REF  Table2_1 \h </w:instrText>
      </w:r>
      <w:r>
        <w:fldChar w:fldCharType="separate"/>
      </w:r>
      <w:r>
        <w:t>Table 2.1</w:t>
      </w:r>
      <w:r>
        <w:fldChar w:fldCharType="end"/>
      </w:r>
      <w:r>
        <w:t xml:space="preserve">) </w:t>
      </w:r>
      <w:r>
        <w:rPr>
          <w:noProof/>
        </w:rPr>
        <w:t>(BPI 2022)</w:t>
      </w:r>
      <w:r>
        <w:t xml:space="preserve">. From 2015 to 2021, production volumes were low and fluctuated each year according to local conditions. </w:t>
      </w:r>
    </w:p>
    <w:p w14:paraId="4509A677" w14:textId="77777777" w:rsidR="00BC2F05" w:rsidRDefault="00772FB6" w:rsidP="00032C1B">
      <w:r>
        <w:t xml:space="preserve">The main production areas are identified in </w:t>
      </w:r>
      <w:r>
        <w:fldChar w:fldCharType="begin" w:fldLock="1"/>
      </w:r>
      <w:r>
        <w:instrText xml:space="preserve"> REF _Ref86655748 \h  \* MERGEFORMAT </w:instrText>
      </w:r>
      <w:r>
        <w:fldChar w:fldCharType="separate"/>
      </w:r>
      <w:r>
        <w:t xml:space="preserve">Map </w:t>
      </w:r>
      <w:r>
        <w:fldChar w:fldCharType="end"/>
      </w:r>
      <w:r>
        <w:t>3.</w:t>
      </w:r>
    </w:p>
    <w:p w14:paraId="1E440A1C" w14:textId="77777777" w:rsidR="00BC2F05" w:rsidRDefault="00BC2F05" w:rsidP="00032C1B"/>
    <w:p w14:paraId="334496B6" w14:textId="77777777" w:rsidR="00BC2F05" w:rsidRDefault="00772FB6" w:rsidP="00032C1B">
      <w:pPr>
        <w:pStyle w:val="Mapheading"/>
        <w:ind w:right="-995"/>
      </w:pPr>
      <w:bookmarkStart w:id="45" w:name="_Ref86655748"/>
      <w:bookmarkStart w:id="46" w:name="_Toc115948531"/>
      <w:r>
        <w:lastRenderedPageBreak/>
        <w:t xml:space="preserve">Map </w:t>
      </w:r>
      <w:bookmarkEnd w:id="45"/>
      <w:r>
        <w:t>3</w:t>
      </w:r>
      <w:r w:rsidRPr="0073175C">
        <w:t xml:space="preserve"> Main produc</w:t>
      </w:r>
      <w:r>
        <w:t>tion</w:t>
      </w:r>
      <w:r w:rsidRPr="0073175C">
        <w:t xml:space="preserve"> areas of </w:t>
      </w:r>
      <w:r w:rsidRPr="0073175C">
        <w:fldChar w:fldCharType="begin" w:fldLock="1"/>
      </w:r>
      <w:r w:rsidRPr="0073175C">
        <w:instrText xml:space="preserve"> REF  commodity \* Lower \h  \* MERGEFORMAT </w:instrText>
      </w:r>
      <w:r w:rsidRPr="0073175C">
        <w:fldChar w:fldCharType="separate"/>
      </w:r>
      <w:r>
        <w:t>dragon fruit</w:t>
      </w:r>
      <w:r w:rsidRPr="0073175C">
        <w:fldChar w:fldCharType="end"/>
      </w:r>
      <w:r w:rsidRPr="0073175C">
        <w:t xml:space="preserve"> in </w:t>
      </w:r>
      <w:r w:rsidRPr="0073175C">
        <w:fldChar w:fldCharType="begin" w:fldLock="1"/>
      </w:r>
      <w:r w:rsidRPr="0073175C">
        <w:instrText xml:space="preserve"> REF  Country </w:instrText>
      </w:r>
      <w:r>
        <w:instrText xml:space="preserve"> \* MERGEFORMAT </w:instrText>
      </w:r>
      <w:r w:rsidRPr="0073175C">
        <w:fldChar w:fldCharType="separate"/>
      </w:r>
      <w:r>
        <w:t>the Philippines</w:t>
      </w:r>
      <w:bookmarkEnd w:id="46"/>
      <w:r w:rsidRPr="0073175C">
        <w:fldChar w:fldCharType="end"/>
      </w:r>
      <w:r>
        <w:t xml:space="preserve"> marked by red boxes</w:t>
      </w:r>
    </w:p>
    <w:p w14:paraId="695682FB" w14:textId="77777777" w:rsidR="00BC2F05" w:rsidRDefault="00772FB6" w:rsidP="00032C1B">
      <w:r>
        <w:rPr>
          <w:noProof/>
          <w:lang w:eastAsia="en-AU"/>
        </w:rPr>
        <w:drawing>
          <wp:anchor distT="0" distB="0" distL="114300" distR="114300" simplePos="0" relativeHeight="251670528" behindDoc="1" locked="0" layoutInCell="1" allowOverlap="1" wp14:anchorId="61663C27" wp14:editId="2A1E9250">
            <wp:simplePos x="0" y="0"/>
            <wp:positionH relativeFrom="margin">
              <wp:align>center</wp:align>
            </wp:positionH>
            <wp:positionV relativeFrom="paragraph">
              <wp:posOffset>8382</wp:posOffset>
            </wp:positionV>
            <wp:extent cx="3400425" cy="5304790"/>
            <wp:effectExtent l="0" t="0" r="9525" b="0"/>
            <wp:wrapTight wrapText="bothSides">
              <wp:wrapPolygon edited="0">
                <wp:start x="0" y="0"/>
                <wp:lineTo x="0" y="21486"/>
                <wp:lineTo x="21539" y="21486"/>
                <wp:lineTo x="21539" y="0"/>
                <wp:lineTo x="0" y="0"/>
              </wp:wrapPolygon>
            </wp:wrapTight>
            <wp:docPr id="13" name="Picture 13" descr="A map of the Philippines divided into main geographical regions by colour. The 5 main dragon fruit production areas Cagayan Valley, Calabarzon, Central Luzon, Central Visayas and Ilocos are highlighted by text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7463" name="Picture 13" descr="A map of the Philippines divided into main geographical regions by colour. The 5 main dragon fruit production areas Cagayan Valley, Calabarzon, Central Luzon, Central Visayas and Ilocos are highlighted by text in a red bo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0425" cy="5304790"/>
                    </a:xfrm>
                    <a:prstGeom prst="rect">
                      <a:avLst/>
                    </a:prstGeom>
                  </pic:spPr>
                </pic:pic>
              </a:graphicData>
            </a:graphic>
            <wp14:sizeRelH relativeFrom="margin">
              <wp14:pctWidth>0</wp14:pctWidth>
            </wp14:sizeRelH>
            <wp14:sizeRelV relativeFrom="margin">
              <wp14:pctHeight>0</wp14:pctHeight>
            </wp14:sizeRelV>
          </wp:anchor>
        </w:drawing>
      </w:r>
    </w:p>
    <w:p w14:paraId="36EBC03C" w14:textId="77777777" w:rsidR="00BC2F05" w:rsidRDefault="00BC2F05" w:rsidP="00032C1B"/>
    <w:p w14:paraId="0D3A8A9A" w14:textId="77777777" w:rsidR="00BC2F05" w:rsidRDefault="00BC2F05" w:rsidP="00032C1B"/>
    <w:p w14:paraId="19E3F064" w14:textId="77777777" w:rsidR="00BC2F05" w:rsidRDefault="00BC2F05" w:rsidP="00032C1B"/>
    <w:p w14:paraId="5889F9E1" w14:textId="77777777" w:rsidR="00BC2F05" w:rsidRDefault="00BC2F05" w:rsidP="00032C1B"/>
    <w:p w14:paraId="40440681" w14:textId="77777777" w:rsidR="00BC2F05" w:rsidRDefault="00BC2F05" w:rsidP="00032C1B"/>
    <w:p w14:paraId="0CBA4D92" w14:textId="77777777" w:rsidR="00BC2F05" w:rsidRDefault="00BC2F05" w:rsidP="00032C1B"/>
    <w:p w14:paraId="623E912F" w14:textId="77777777" w:rsidR="00BC2F05" w:rsidRDefault="00BC2F05" w:rsidP="00032C1B"/>
    <w:p w14:paraId="1554AC4A" w14:textId="77777777" w:rsidR="00BC2F05" w:rsidRDefault="00BC2F05" w:rsidP="00032C1B"/>
    <w:p w14:paraId="6C626228" w14:textId="77777777" w:rsidR="00BC2F05" w:rsidRDefault="00BC2F05" w:rsidP="00032C1B"/>
    <w:p w14:paraId="155C791E" w14:textId="77777777" w:rsidR="00BC2F05" w:rsidRDefault="00BC2F05" w:rsidP="00032C1B"/>
    <w:p w14:paraId="179F2C9F" w14:textId="77777777" w:rsidR="00BC2F05" w:rsidRDefault="00BC2F05" w:rsidP="00032C1B"/>
    <w:p w14:paraId="507F967E" w14:textId="77777777" w:rsidR="00BC2F05" w:rsidRDefault="00BC2F05" w:rsidP="00032C1B"/>
    <w:p w14:paraId="49BD4B98" w14:textId="77777777" w:rsidR="00BC2F05" w:rsidRDefault="00BC2F05" w:rsidP="00032C1B"/>
    <w:p w14:paraId="7E09EEAA" w14:textId="77777777" w:rsidR="00BC2F05" w:rsidRDefault="00BC2F05" w:rsidP="00032C1B"/>
    <w:p w14:paraId="5E15F7E7" w14:textId="77777777" w:rsidR="00BC2F05" w:rsidRDefault="00BC2F05" w:rsidP="00032C1B"/>
    <w:p w14:paraId="0BD43469" w14:textId="77777777" w:rsidR="00BC2F05" w:rsidRDefault="00BC2F05" w:rsidP="00032C1B"/>
    <w:p w14:paraId="66EB4B4D" w14:textId="77777777" w:rsidR="00BC2F05" w:rsidRPr="000B1396" w:rsidRDefault="00772FB6" w:rsidP="00032C1B">
      <w:pPr>
        <w:rPr>
          <w:sz w:val="18"/>
          <w:szCs w:val="18"/>
        </w:rPr>
      </w:pPr>
      <w:r>
        <w:rPr>
          <w:sz w:val="18"/>
          <w:szCs w:val="18"/>
        </w:rPr>
        <w:t xml:space="preserve">Dragon fruit is grown throughout the Philippines. The different growing regions are represented by different colours. The red boxes indicate the main production areas that are most likely to produce for export. Source: </w:t>
      </w:r>
      <w:r>
        <w:rPr>
          <w:noProof/>
          <w:sz w:val="18"/>
          <w:szCs w:val="18"/>
        </w:rPr>
        <w:t>Department of Agriculture (2020)</w:t>
      </w:r>
    </w:p>
    <w:p w14:paraId="6BB4BAC9" w14:textId="77777777" w:rsidR="00BC2F05" w:rsidRDefault="00772FB6" w:rsidP="00032C1B">
      <w:pPr>
        <w:pStyle w:val="Tabletitle0"/>
      </w:pPr>
      <w:bookmarkStart w:id="47" w:name="Table2_1"/>
      <w:r>
        <w:t>Table 2.1</w:t>
      </w:r>
      <w:bookmarkEnd w:id="47"/>
      <w:r>
        <w:t>. Area and volume of the top 5 dragon fruit producing regions of the Philippines (2021)</w:t>
      </w:r>
    </w:p>
    <w:tbl>
      <w:tblPr>
        <w:tblStyle w:val="TableGrid"/>
        <w:tblW w:w="0" w:type="auto"/>
        <w:tblLook w:val="04A0" w:firstRow="1" w:lastRow="0" w:firstColumn="1" w:lastColumn="0" w:noHBand="0" w:noVBand="1"/>
      </w:tblPr>
      <w:tblGrid>
        <w:gridCol w:w="3079"/>
        <w:gridCol w:w="2884"/>
        <w:gridCol w:w="3097"/>
      </w:tblGrid>
      <w:tr w:rsidR="00C80041" w14:paraId="23E8F45F" w14:textId="77777777" w:rsidTr="00976665">
        <w:tc>
          <w:tcPr>
            <w:tcW w:w="3079" w:type="dxa"/>
          </w:tcPr>
          <w:p w14:paraId="0F6EADDA" w14:textId="77777777" w:rsidR="00BC2F05" w:rsidRDefault="00772FB6" w:rsidP="00976665">
            <w:pPr>
              <w:pStyle w:val="Tabletitle0"/>
            </w:pPr>
            <w:r>
              <w:t>Region</w:t>
            </w:r>
          </w:p>
        </w:tc>
        <w:tc>
          <w:tcPr>
            <w:tcW w:w="2884" w:type="dxa"/>
          </w:tcPr>
          <w:p w14:paraId="24104F5A" w14:textId="77777777" w:rsidR="00BC2F05" w:rsidRDefault="00772FB6" w:rsidP="00A922F6">
            <w:pPr>
              <w:pStyle w:val="Tabletitle0"/>
              <w:jc w:val="center"/>
            </w:pPr>
            <w:r>
              <w:t>Area planted (hectares)</w:t>
            </w:r>
          </w:p>
        </w:tc>
        <w:tc>
          <w:tcPr>
            <w:tcW w:w="3097" w:type="dxa"/>
          </w:tcPr>
          <w:p w14:paraId="20C0EA4B" w14:textId="77777777" w:rsidR="00BC2F05" w:rsidRDefault="00772FB6" w:rsidP="00A922F6">
            <w:pPr>
              <w:pStyle w:val="Tabletitle0"/>
              <w:jc w:val="center"/>
            </w:pPr>
            <w:r>
              <w:t>Production (tonnes)</w:t>
            </w:r>
          </w:p>
        </w:tc>
      </w:tr>
      <w:tr w:rsidR="00C80041" w14:paraId="489D68DA" w14:textId="77777777" w:rsidTr="00976665">
        <w:tc>
          <w:tcPr>
            <w:tcW w:w="3079" w:type="dxa"/>
          </w:tcPr>
          <w:p w14:paraId="3AF3B209" w14:textId="77777777" w:rsidR="00BC2F05" w:rsidRDefault="00772FB6" w:rsidP="00976665">
            <w:pPr>
              <w:pStyle w:val="TableText"/>
            </w:pPr>
            <w:proofErr w:type="spellStart"/>
            <w:r>
              <w:t>Ilocos</w:t>
            </w:r>
            <w:proofErr w:type="spellEnd"/>
            <w:r>
              <w:t xml:space="preserve"> Region</w:t>
            </w:r>
          </w:p>
        </w:tc>
        <w:tc>
          <w:tcPr>
            <w:tcW w:w="2884" w:type="dxa"/>
          </w:tcPr>
          <w:p w14:paraId="3201CEB9" w14:textId="77777777" w:rsidR="00BC2F05" w:rsidRDefault="00772FB6" w:rsidP="00A922F6">
            <w:pPr>
              <w:pStyle w:val="TableText"/>
              <w:jc w:val="right"/>
            </w:pPr>
            <w:r>
              <w:t>177.7</w:t>
            </w:r>
          </w:p>
        </w:tc>
        <w:tc>
          <w:tcPr>
            <w:tcW w:w="3097" w:type="dxa"/>
          </w:tcPr>
          <w:p w14:paraId="0A6465AE" w14:textId="77777777" w:rsidR="00BC2F05" w:rsidRDefault="00772FB6" w:rsidP="00A922F6">
            <w:pPr>
              <w:pStyle w:val="TableText"/>
              <w:jc w:val="right"/>
            </w:pPr>
            <w:r>
              <w:t>568.7</w:t>
            </w:r>
          </w:p>
        </w:tc>
      </w:tr>
      <w:tr w:rsidR="00C80041" w14:paraId="71A44252" w14:textId="77777777" w:rsidTr="00976665">
        <w:tc>
          <w:tcPr>
            <w:tcW w:w="3079" w:type="dxa"/>
          </w:tcPr>
          <w:p w14:paraId="59CC4637" w14:textId="77777777" w:rsidR="00BC2F05" w:rsidRDefault="00772FB6" w:rsidP="00976665">
            <w:pPr>
              <w:pStyle w:val="TableText"/>
            </w:pPr>
            <w:r>
              <w:t>Cagayan Valley</w:t>
            </w:r>
          </w:p>
        </w:tc>
        <w:tc>
          <w:tcPr>
            <w:tcW w:w="2884" w:type="dxa"/>
          </w:tcPr>
          <w:p w14:paraId="0CAE8FB7" w14:textId="77777777" w:rsidR="00BC2F05" w:rsidRDefault="00772FB6" w:rsidP="00A922F6">
            <w:pPr>
              <w:pStyle w:val="TableText"/>
              <w:jc w:val="right"/>
            </w:pPr>
            <w:r>
              <w:t>140.0</w:t>
            </w:r>
          </w:p>
        </w:tc>
        <w:tc>
          <w:tcPr>
            <w:tcW w:w="3097" w:type="dxa"/>
          </w:tcPr>
          <w:p w14:paraId="1FCC09E4" w14:textId="77777777" w:rsidR="00BC2F05" w:rsidRDefault="00772FB6" w:rsidP="00A922F6">
            <w:pPr>
              <w:pStyle w:val="TableText"/>
              <w:jc w:val="right"/>
            </w:pPr>
            <w:r>
              <w:t>455.4</w:t>
            </w:r>
          </w:p>
        </w:tc>
      </w:tr>
      <w:tr w:rsidR="00C80041" w14:paraId="0A65CE4C" w14:textId="77777777" w:rsidTr="00976665">
        <w:tc>
          <w:tcPr>
            <w:tcW w:w="3079" w:type="dxa"/>
          </w:tcPr>
          <w:p w14:paraId="45914378" w14:textId="77777777" w:rsidR="00BC2F05" w:rsidRDefault="00772FB6" w:rsidP="00976665">
            <w:pPr>
              <w:pStyle w:val="TableText"/>
            </w:pPr>
            <w:r>
              <w:t>Central Luzon</w:t>
            </w:r>
          </w:p>
        </w:tc>
        <w:tc>
          <w:tcPr>
            <w:tcW w:w="2884" w:type="dxa"/>
          </w:tcPr>
          <w:p w14:paraId="70D619D9" w14:textId="77777777" w:rsidR="00BC2F05" w:rsidRDefault="00772FB6" w:rsidP="00A922F6">
            <w:pPr>
              <w:pStyle w:val="TableText"/>
              <w:jc w:val="right"/>
            </w:pPr>
            <w:r>
              <w:t>40.5</w:t>
            </w:r>
          </w:p>
        </w:tc>
        <w:tc>
          <w:tcPr>
            <w:tcW w:w="3097" w:type="dxa"/>
          </w:tcPr>
          <w:p w14:paraId="60AA9011" w14:textId="77777777" w:rsidR="00BC2F05" w:rsidRDefault="00772FB6" w:rsidP="00A922F6">
            <w:pPr>
              <w:pStyle w:val="TableText"/>
              <w:jc w:val="right"/>
            </w:pPr>
            <w:r>
              <w:t>239.6</w:t>
            </w:r>
          </w:p>
        </w:tc>
      </w:tr>
      <w:tr w:rsidR="00C80041" w14:paraId="0FACF764" w14:textId="77777777" w:rsidTr="00976665">
        <w:tc>
          <w:tcPr>
            <w:tcW w:w="3079" w:type="dxa"/>
          </w:tcPr>
          <w:p w14:paraId="7EA7DF38" w14:textId="77777777" w:rsidR="00BC2F05" w:rsidRDefault="00772FB6" w:rsidP="00976665">
            <w:pPr>
              <w:pStyle w:val="TableText"/>
            </w:pPr>
            <w:proofErr w:type="spellStart"/>
            <w:r>
              <w:t>Calabarzon</w:t>
            </w:r>
            <w:proofErr w:type="spellEnd"/>
          </w:p>
        </w:tc>
        <w:tc>
          <w:tcPr>
            <w:tcW w:w="2884" w:type="dxa"/>
          </w:tcPr>
          <w:p w14:paraId="092B6E98" w14:textId="77777777" w:rsidR="00BC2F05" w:rsidRDefault="00772FB6" w:rsidP="00A922F6">
            <w:pPr>
              <w:pStyle w:val="TableText"/>
              <w:jc w:val="right"/>
            </w:pPr>
            <w:r>
              <w:t>57.3</w:t>
            </w:r>
          </w:p>
        </w:tc>
        <w:tc>
          <w:tcPr>
            <w:tcW w:w="3097" w:type="dxa"/>
          </w:tcPr>
          <w:p w14:paraId="623E6B73" w14:textId="77777777" w:rsidR="00BC2F05" w:rsidRDefault="00772FB6" w:rsidP="00A922F6">
            <w:pPr>
              <w:pStyle w:val="TableText"/>
              <w:jc w:val="right"/>
            </w:pPr>
            <w:r>
              <w:t>185.1</w:t>
            </w:r>
          </w:p>
        </w:tc>
      </w:tr>
      <w:tr w:rsidR="00C80041" w14:paraId="2AF87616" w14:textId="77777777" w:rsidTr="00976665">
        <w:tc>
          <w:tcPr>
            <w:tcW w:w="3079" w:type="dxa"/>
          </w:tcPr>
          <w:p w14:paraId="799B7E48" w14:textId="77777777" w:rsidR="00BC2F05" w:rsidRDefault="00772FB6" w:rsidP="00976665">
            <w:pPr>
              <w:pStyle w:val="TableText"/>
            </w:pPr>
            <w:r>
              <w:t>Central Visayas</w:t>
            </w:r>
          </w:p>
        </w:tc>
        <w:tc>
          <w:tcPr>
            <w:tcW w:w="2884" w:type="dxa"/>
          </w:tcPr>
          <w:p w14:paraId="5D4890E2" w14:textId="77777777" w:rsidR="00BC2F05" w:rsidRDefault="00772FB6" w:rsidP="00A922F6">
            <w:pPr>
              <w:pStyle w:val="TableText"/>
              <w:jc w:val="right"/>
            </w:pPr>
            <w:r>
              <w:t>76.0</w:t>
            </w:r>
          </w:p>
        </w:tc>
        <w:tc>
          <w:tcPr>
            <w:tcW w:w="3097" w:type="dxa"/>
          </w:tcPr>
          <w:p w14:paraId="43EB0A57" w14:textId="77777777" w:rsidR="00BC2F05" w:rsidRDefault="00772FB6" w:rsidP="00A922F6">
            <w:pPr>
              <w:pStyle w:val="TableText"/>
              <w:jc w:val="right"/>
            </w:pPr>
            <w:r>
              <w:t>173.5</w:t>
            </w:r>
          </w:p>
        </w:tc>
      </w:tr>
    </w:tbl>
    <w:p w14:paraId="0925B1CD" w14:textId="6B3E29AC" w:rsidR="00BC2F05" w:rsidRPr="00DA532F" w:rsidRDefault="00772FB6" w:rsidP="00032C1B">
      <w:pPr>
        <w:rPr>
          <w:sz w:val="18"/>
          <w:szCs w:val="18"/>
        </w:rPr>
      </w:pPr>
      <w:r w:rsidRPr="00BE64E7">
        <w:rPr>
          <w:sz w:val="18"/>
          <w:szCs w:val="18"/>
        </w:rPr>
        <w:t xml:space="preserve">Source: </w:t>
      </w:r>
      <w:r>
        <w:rPr>
          <w:noProof/>
          <w:sz w:val="18"/>
          <w:szCs w:val="18"/>
        </w:rPr>
        <w:t>BPI (2022)</w:t>
      </w:r>
    </w:p>
    <w:p w14:paraId="0622AD43" w14:textId="77777777" w:rsidR="00BC2F05" w:rsidRDefault="00772FB6" w:rsidP="00032C1B">
      <w:pPr>
        <w:pStyle w:val="Heading3"/>
      </w:pPr>
      <w:bookmarkStart w:id="48" w:name="_Toc119493095"/>
      <w:r>
        <w:t>Climate in production areas</w:t>
      </w:r>
      <w:bookmarkEnd w:id="48"/>
    </w:p>
    <w:p w14:paraId="7B5DA81F" w14:textId="77777777" w:rsidR="00BC2F05" w:rsidRDefault="00772FB6" w:rsidP="00032C1B">
      <w:r>
        <w:t xml:space="preserve">The Philippines has a tropical climate, which is characterised by relatively high temperature, high </w:t>
      </w:r>
      <w:proofErr w:type="gramStart"/>
      <w:r>
        <w:t>humidity</w:t>
      </w:r>
      <w:proofErr w:type="gramEnd"/>
      <w:r>
        <w:t xml:space="preserve"> and abundant rainfall. The mean annual temperature across the Philippines is </w:t>
      </w:r>
      <w:r w:rsidRPr="00C779DD">
        <w:t>26.6°C. The co</w:t>
      </w:r>
      <w:r>
        <w:t>olest month is January, averaging 25.</w:t>
      </w:r>
      <w:r w:rsidRPr="00C779DD">
        <w:t>5°C</w:t>
      </w:r>
      <w:r>
        <w:t xml:space="preserve"> and the warmest is May, </w:t>
      </w:r>
      <w:r w:rsidRPr="00C779DD">
        <w:t xml:space="preserve">averaging </w:t>
      </w:r>
      <w:r w:rsidRPr="00C779DD">
        <w:lastRenderedPageBreak/>
        <w:t>28.3°C.</w:t>
      </w:r>
      <w:r>
        <w:t xml:space="preserve"> Areas of high altitude have cooler than overall average weather </w:t>
      </w:r>
      <w:r>
        <w:rPr>
          <w:noProof/>
        </w:rPr>
        <w:t>(PAGASA 2021)</w:t>
      </w:r>
      <w:r>
        <w:t xml:space="preserve">. </w:t>
      </w:r>
      <w:r>
        <w:fldChar w:fldCharType="begin" w:fldLock="1"/>
      </w:r>
      <w:r>
        <w:instrText xml:space="preserve"> REF Figure2_1 \h </w:instrText>
      </w:r>
      <w:r>
        <w:fldChar w:fldCharType="separate"/>
      </w:r>
      <w:r>
        <w:t xml:space="preserve">Figure </w:t>
      </w:r>
      <w:r>
        <w:rPr>
          <w:noProof/>
        </w:rPr>
        <w:t>2</w:t>
      </w:r>
      <w:r>
        <w:t>.</w:t>
      </w:r>
      <w:r>
        <w:rPr>
          <w:noProof/>
        </w:rPr>
        <w:t>1</w:t>
      </w:r>
      <w:r>
        <w:fldChar w:fldCharType="end"/>
      </w:r>
      <w:r>
        <w:t xml:space="preserve"> shows mean monthly minimum and maximum temperatures, as well as mean monthly rainfall in the cities of major dragon fruit growing regions. </w:t>
      </w:r>
    </w:p>
    <w:p w14:paraId="5307A3B9" w14:textId="77777777" w:rsidR="00BC2F05" w:rsidRDefault="00772FB6" w:rsidP="00032C1B">
      <w:r>
        <w:t>The Philippines’ climate can be divided into 2 seasons, the wet season from June to November and dry season from December to May. Depending on the amount of rainfall and length of the dry season, the country can be split into 4 climate types (</w:t>
      </w:r>
      <w:r>
        <w:fldChar w:fldCharType="begin" w:fldLock="1"/>
      </w:r>
      <w:r>
        <w:instrText xml:space="preserve"> REF Map5 \h </w:instrText>
      </w:r>
      <w:r>
        <w:fldChar w:fldCharType="separate"/>
      </w:r>
      <w:r>
        <w:t>Map 4</w:t>
      </w:r>
      <w:r>
        <w:fldChar w:fldCharType="end"/>
      </w:r>
      <w:r>
        <w:t xml:space="preserve">). Generally, the 2 climates (Types 2 and 4) on the north-eastern and south-eastern coasts receive high amounts of rain and barely have a dry season. The central Philippine region (Type 3) has a short dry </w:t>
      </w:r>
      <w:proofErr w:type="gramStart"/>
      <w:r>
        <w:t>season</w:t>
      </w:r>
      <w:proofErr w:type="gramEnd"/>
      <w:r>
        <w:t xml:space="preserve"> and the west coast (Type 1) has both a pronounced dry and wet season </w:t>
      </w:r>
      <w:r>
        <w:rPr>
          <w:noProof/>
        </w:rPr>
        <w:t>(PAGASA 2021)</w:t>
      </w:r>
      <w:r>
        <w:t xml:space="preserve">. </w:t>
      </w:r>
    </w:p>
    <w:p w14:paraId="6720D0CA" w14:textId="77777777" w:rsidR="00BC2F05" w:rsidRDefault="00772FB6" w:rsidP="00032C1B">
      <w:pPr>
        <w:pStyle w:val="Mapheading"/>
        <w:ind w:right="-995"/>
      </w:pPr>
      <w:bookmarkStart w:id="49" w:name="Map5"/>
      <w:bookmarkStart w:id="50" w:name="_Toc115948532"/>
      <w:bookmarkStart w:id="51" w:name="_Hlk80019975"/>
      <w:r>
        <w:t xml:space="preserve">Map 4 </w:t>
      </w:r>
      <w:bookmarkEnd w:id="49"/>
      <w:r>
        <w:t>Four climate types of the Philippines</w:t>
      </w:r>
      <w:bookmarkEnd w:id="50"/>
    </w:p>
    <w:p w14:paraId="70F6B464" w14:textId="77777777" w:rsidR="00BC2F05" w:rsidRDefault="00772FB6" w:rsidP="00032C1B">
      <w:pPr>
        <w:keepNext/>
        <w:spacing w:after="0"/>
      </w:pPr>
      <w:r>
        <w:rPr>
          <w:noProof/>
        </w:rPr>
        <w:drawing>
          <wp:anchor distT="0" distB="0" distL="114300" distR="114300" simplePos="0" relativeHeight="251669504" behindDoc="1" locked="0" layoutInCell="1" allowOverlap="1" wp14:anchorId="71DFE159" wp14:editId="34D50ED1">
            <wp:simplePos x="0" y="0"/>
            <wp:positionH relativeFrom="margin">
              <wp:align>center</wp:align>
            </wp:positionH>
            <wp:positionV relativeFrom="paragraph">
              <wp:posOffset>4445</wp:posOffset>
            </wp:positionV>
            <wp:extent cx="3422015" cy="4467860"/>
            <wp:effectExtent l="0" t="0" r="6985" b="8890"/>
            <wp:wrapTight wrapText="bothSides">
              <wp:wrapPolygon edited="0">
                <wp:start x="0" y="0"/>
                <wp:lineTo x="0" y="21551"/>
                <wp:lineTo x="21524" y="21551"/>
                <wp:lineTo x="21524" y="0"/>
                <wp:lineTo x="0" y="0"/>
              </wp:wrapPolygon>
            </wp:wrapTight>
            <wp:docPr id="11" name="Picture 11" descr="A map of the Philippines colour coded by the 4 types of climate. Type 2 and Type 4 on the north-eastern and south-eastern coasts receive high amounts of rain and barely have a dry season. Type 3 , the central Philippine region has a short dry season and type 1, the west coast has both a pronounced dry and wet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3546" name="Picture 11" descr="A map of the Philippines colour coded by the 4 types of climate. Type 2 and Type 4 on the north-eastern and south-eastern coasts receive high amounts of rain and barely have a dry season. Type 3 , the central Philippine region has a short dry season and type 1, the west coast has both a pronounced dry and wet season "/>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22015" cy="446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34675" w14:textId="77777777" w:rsidR="00BC2F05" w:rsidRDefault="00BC2F05" w:rsidP="00032C1B">
      <w:pPr>
        <w:keepNext/>
        <w:spacing w:after="0"/>
      </w:pPr>
    </w:p>
    <w:p w14:paraId="3862C029" w14:textId="77777777" w:rsidR="00BC2F05" w:rsidRDefault="00BC2F05" w:rsidP="00032C1B">
      <w:pPr>
        <w:keepNext/>
        <w:spacing w:after="0"/>
      </w:pPr>
    </w:p>
    <w:p w14:paraId="3F72AD93" w14:textId="77777777" w:rsidR="00BC2F05" w:rsidRDefault="00BC2F05" w:rsidP="00032C1B">
      <w:pPr>
        <w:keepNext/>
        <w:spacing w:after="0"/>
      </w:pPr>
    </w:p>
    <w:p w14:paraId="2D79C196" w14:textId="77777777" w:rsidR="00BC2F05" w:rsidRDefault="00BC2F05" w:rsidP="00032C1B">
      <w:pPr>
        <w:keepNext/>
        <w:spacing w:after="0"/>
      </w:pPr>
    </w:p>
    <w:p w14:paraId="33046186" w14:textId="77777777" w:rsidR="00BC2F05" w:rsidRDefault="00BC2F05" w:rsidP="00032C1B">
      <w:pPr>
        <w:keepNext/>
        <w:spacing w:after="0"/>
      </w:pPr>
    </w:p>
    <w:p w14:paraId="4A1E16D7" w14:textId="77777777" w:rsidR="00BC2F05" w:rsidRDefault="00BC2F05" w:rsidP="00032C1B">
      <w:pPr>
        <w:keepNext/>
        <w:spacing w:after="0"/>
      </w:pPr>
    </w:p>
    <w:p w14:paraId="7F5F02AE" w14:textId="77777777" w:rsidR="00BC2F05" w:rsidRDefault="00BC2F05" w:rsidP="00032C1B">
      <w:pPr>
        <w:keepNext/>
        <w:spacing w:after="0"/>
      </w:pPr>
    </w:p>
    <w:p w14:paraId="7AF6BF79" w14:textId="77777777" w:rsidR="00BC2F05" w:rsidRDefault="00BC2F05" w:rsidP="00032C1B">
      <w:pPr>
        <w:keepNext/>
        <w:spacing w:after="0"/>
      </w:pPr>
    </w:p>
    <w:p w14:paraId="671C854F" w14:textId="77777777" w:rsidR="00BC2F05" w:rsidRDefault="00BC2F05" w:rsidP="00032C1B">
      <w:pPr>
        <w:keepNext/>
        <w:spacing w:after="0"/>
      </w:pPr>
    </w:p>
    <w:p w14:paraId="4C330762" w14:textId="77777777" w:rsidR="00BC2F05" w:rsidRDefault="00BC2F05" w:rsidP="00032C1B">
      <w:pPr>
        <w:keepNext/>
        <w:spacing w:after="0"/>
      </w:pPr>
    </w:p>
    <w:p w14:paraId="5CAF12B7" w14:textId="77777777" w:rsidR="00BC2F05" w:rsidRDefault="00BC2F05" w:rsidP="00032C1B">
      <w:pPr>
        <w:keepNext/>
        <w:spacing w:after="0"/>
      </w:pPr>
    </w:p>
    <w:p w14:paraId="436DE7B2" w14:textId="77777777" w:rsidR="00BC2F05" w:rsidRDefault="00BC2F05" w:rsidP="00032C1B">
      <w:pPr>
        <w:keepNext/>
        <w:spacing w:after="0"/>
      </w:pPr>
    </w:p>
    <w:p w14:paraId="6A5E831C" w14:textId="77777777" w:rsidR="00BC2F05" w:rsidRDefault="00BC2F05" w:rsidP="00032C1B">
      <w:pPr>
        <w:keepNext/>
        <w:spacing w:after="0"/>
      </w:pPr>
    </w:p>
    <w:p w14:paraId="46D8B525" w14:textId="77777777" w:rsidR="00BC2F05" w:rsidRDefault="00BC2F05" w:rsidP="00032C1B">
      <w:pPr>
        <w:keepNext/>
        <w:spacing w:after="0"/>
      </w:pPr>
    </w:p>
    <w:p w14:paraId="02AA1C78" w14:textId="77777777" w:rsidR="00BC2F05" w:rsidRDefault="00BC2F05" w:rsidP="00032C1B">
      <w:pPr>
        <w:keepNext/>
        <w:spacing w:after="0"/>
      </w:pPr>
    </w:p>
    <w:p w14:paraId="5312DAC5" w14:textId="77777777" w:rsidR="00BC2F05" w:rsidRDefault="00BC2F05" w:rsidP="00032C1B">
      <w:pPr>
        <w:keepNext/>
        <w:spacing w:after="0"/>
      </w:pPr>
    </w:p>
    <w:p w14:paraId="155F93BC" w14:textId="77777777" w:rsidR="00BC2F05" w:rsidRDefault="00BC2F05" w:rsidP="00032C1B">
      <w:pPr>
        <w:keepNext/>
        <w:spacing w:after="0"/>
      </w:pPr>
    </w:p>
    <w:p w14:paraId="0EB34773" w14:textId="77777777" w:rsidR="00BC2F05" w:rsidRDefault="00BC2F05" w:rsidP="00032C1B">
      <w:pPr>
        <w:keepNext/>
        <w:spacing w:after="0"/>
      </w:pPr>
    </w:p>
    <w:p w14:paraId="0EC8CA71" w14:textId="77777777" w:rsidR="00BC2F05" w:rsidRDefault="00BC2F05" w:rsidP="00032C1B">
      <w:pPr>
        <w:keepNext/>
        <w:spacing w:after="0"/>
      </w:pPr>
    </w:p>
    <w:p w14:paraId="480B055A" w14:textId="77777777" w:rsidR="00BC2F05" w:rsidRDefault="00BC2F05" w:rsidP="00032C1B">
      <w:pPr>
        <w:keepNext/>
        <w:spacing w:after="0"/>
      </w:pPr>
    </w:p>
    <w:p w14:paraId="69D91F4A" w14:textId="77777777" w:rsidR="00BC2F05" w:rsidRDefault="00BC2F05" w:rsidP="00032C1B">
      <w:pPr>
        <w:keepNext/>
        <w:spacing w:after="0"/>
      </w:pPr>
    </w:p>
    <w:p w14:paraId="499252AB" w14:textId="77777777" w:rsidR="00BC2F05" w:rsidRDefault="00BC2F05" w:rsidP="00032C1B">
      <w:pPr>
        <w:keepNext/>
        <w:spacing w:after="0"/>
      </w:pPr>
    </w:p>
    <w:p w14:paraId="0D7A3C78" w14:textId="77777777" w:rsidR="00BC2F05" w:rsidRDefault="00BC2F05" w:rsidP="00032C1B">
      <w:pPr>
        <w:keepNext/>
        <w:spacing w:after="0"/>
      </w:pPr>
    </w:p>
    <w:p w14:paraId="256E92F9" w14:textId="77777777" w:rsidR="00BC2F05" w:rsidRDefault="00772FB6" w:rsidP="00032C1B">
      <w:pPr>
        <w:pStyle w:val="FigureTableNoteSource"/>
        <w:spacing w:line="276" w:lineRule="auto"/>
      </w:pPr>
      <w:r>
        <w:t>Source:</w:t>
      </w:r>
      <w:r w:rsidRPr="00377E6C">
        <w:t xml:space="preserve"> </w:t>
      </w:r>
      <w:r>
        <w:rPr>
          <w:noProof/>
        </w:rPr>
        <w:t>Department of Agriculture (2020); PAGASA (2021)</w:t>
      </w:r>
    </w:p>
    <w:p w14:paraId="1E0929F5" w14:textId="77777777" w:rsidR="00BC2F05" w:rsidRDefault="00BC2F05" w:rsidP="00032C1B"/>
    <w:p w14:paraId="609B6B20" w14:textId="77777777" w:rsidR="00BC2F05" w:rsidRPr="00875C0B" w:rsidRDefault="00BC2F05" w:rsidP="00032C1B"/>
    <w:p w14:paraId="4569A3A2" w14:textId="77777777" w:rsidR="00BC2F05" w:rsidRDefault="00772FB6" w:rsidP="00032C1B">
      <w:pPr>
        <w:pStyle w:val="Caption"/>
        <w:ind w:left="-567"/>
      </w:pPr>
      <w:bookmarkStart w:id="52" w:name="Figure2_1"/>
      <w:bookmarkStart w:id="53" w:name="_Toc119493120"/>
      <w:bookmarkEnd w:id="51"/>
      <w:r w:rsidRPr="008407FD">
        <w:rPr>
          <w:noProof/>
        </w:rPr>
        <w:lastRenderedPageBreak/>
        <w:drawing>
          <wp:anchor distT="0" distB="0" distL="114300" distR="114300" simplePos="0" relativeHeight="251663360" behindDoc="1" locked="0" layoutInCell="1" allowOverlap="1" wp14:anchorId="6CA62896" wp14:editId="3D6FF954">
            <wp:simplePos x="0" y="0"/>
            <wp:positionH relativeFrom="column">
              <wp:posOffset>-382270</wp:posOffset>
            </wp:positionH>
            <wp:positionV relativeFrom="paragraph">
              <wp:posOffset>5763260</wp:posOffset>
            </wp:positionV>
            <wp:extent cx="3358515" cy="2771775"/>
            <wp:effectExtent l="0" t="0" r="13335" b="9525"/>
            <wp:wrapTight wrapText="bothSides">
              <wp:wrapPolygon edited="0">
                <wp:start x="0" y="0"/>
                <wp:lineTo x="0" y="21526"/>
                <wp:lineTo x="21563" y="21526"/>
                <wp:lineTo x="21563" y="0"/>
                <wp:lineTo x="0" y="0"/>
              </wp:wrapPolygon>
            </wp:wrapTight>
            <wp:docPr id="24" name="Chart 24" descr="Chart showing the monthly minimum temperature, maximum temperature and mean rainfall in the Central Visayas region.">
              <a:extLst xmlns:a="http://schemas.openxmlformats.org/drawingml/2006/main">
                <a:ext uri="{FF2B5EF4-FFF2-40B4-BE49-F238E27FC236}">
                  <a16:creationId xmlns:a16="http://schemas.microsoft.com/office/drawing/2014/main" id="{26DE1649-264C-4BE5-812D-06AAA1070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8407FD">
        <w:rPr>
          <w:noProof/>
        </w:rPr>
        <w:drawing>
          <wp:anchor distT="0" distB="0" distL="114300" distR="114300" simplePos="0" relativeHeight="251662336" behindDoc="1" locked="0" layoutInCell="1" allowOverlap="1" wp14:anchorId="0BBCE8A8" wp14:editId="6936200A">
            <wp:simplePos x="0" y="0"/>
            <wp:positionH relativeFrom="column">
              <wp:posOffset>2981960</wp:posOffset>
            </wp:positionH>
            <wp:positionV relativeFrom="paragraph">
              <wp:posOffset>3067685</wp:posOffset>
            </wp:positionV>
            <wp:extent cx="3358515" cy="2699385"/>
            <wp:effectExtent l="0" t="0" r="13335" b="5715"/>
            <wp:wrapTight wrapText="bothSides">
              <wp:wrapPolygon edited="0">
                <wp:start x="0" y="0"/>
                <wp:lineTo x="0" y="21493"/>
                <wp:lineTo x="21563" y="21493"/>
                <wp:lineTo x="21563" y="0"/>
                <wp:lineTo x="0" y="0"/>
              </wp:wrapPolygon>
            </wp:wrapTight>
            <wp:docPr id="18" name="Chart 18" descr="Chart showing the monthly minimum temperature, maximum temperature and mean rainfall in the Calabarzon region.">
              <a:extLst xmlns:a="http://schemas.openxmlformats.org/drawingml/2006/main">
                <a:ext uri="{FF2B5EF4-FFF2-40B4-BE49-F238E27FC236}">
                  <a16:creationId xmlns:a16="http://schemas.microsoft.com/office/drawing/2014/main" id="{1CC8090C-8C85-4FA7-AF69-8FEE4BD4A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8407FD">
        <w:rPr>
          <w:noProof/>
        </w:rPr>
        <w:drawing>
          <wp:anchor distT="0" distB="0" distL="114300" distR="114300" simplePos="0" relativeHeight="251661312" behindDoc="1" locked="0" layoutInCell="1" allowOverlap="1" wp14:anchorId="5C780383" wp14:editId="032B974E">
            <wp:simplePos x="0" y="0"/>
            <wp:positionH relativeFrom="margin">
              <wp:posOffset>-381635</wp:posOffset>
            </wp:positionH>
            <wp:positionV relativeFrom="paragraph">
              <wp:posOffset>3075940</wp:posOffset>
            </wp:positionV>
            <wp:extent cx="3358515" cy="2699385"/>
            <wp:effectExtent l="0" t="0" r="13335" b="5715"/>
            <wp:wrapTight wrapText="bothSides">
              <wp:wrapPolygon edited="0">
                <wp:start x="0" y="0"/>
                <wp:lineTo x="0" y="21493"/>
                <wp:lineTo x="21563" y="21493"/>
                <wp:lineTo x="21563" y="0"/>
                <wp:lineTo x="0" y="0"/>
              </wp:wrapPolygon>
            </wp:wrapTight>
            <wp:docPr id="15" name="Chart 15" descr="Chart showing the monthly minimum temperature, maximum temperature and mean rainfall in the Cagayan Valley region.">
              <a:extLst xmlns:a="http://schemas.openxmlformats.org/drawingml/2006/main">
                <a:ext uri="{FF2B5EF4-FFF2-40B4-BE49-F238E27FC236}">
                  <a16:creationId xmlns:a16="http://schemas.microsoft.com/office/drawing/2014/main" id="{CA0A2BE7-99FD-44E4-80B3-21EF37AD1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8407FD">
        <w:rPr>
          <w:noProof/>
        </w:rPr>
        <w:drawing>
          <wp:anchor distT="0" distB="0" distL="114300" distR="114300" simplePos="0" relativeHeight="251660288" behindDoc="1" locked="0" layoutInCell="1" allowOverlap="1" wp14:anchorId="3A582F3A" wp14:editId="64189E22">
            <wp:simplePos x="0" y="0"/>
            <wp:positionH relativeFrom="column">
              <wp:posOffset>2989580</wp:posOffset>
            </wp:positionH>
            <wp:positionV relativeFrom="paragraph">
              <wp:posOffset>375920</wp:posOffset>
            </wp:positionV>
            <wp:extent cx="3358800" cy="2700000"/>
            <wp:effectExtent l="0" t="0" r="13335" b="5715"/>
            <wp:wrapTight wrapText="bothSides">
              <wp:wrapPolygon edited="0">
                <wp:start x="0" y="0"/>
                <wp:lineTo x="0" y="21493"/>
                <wp:lineTo x="21563" y="21493"/>
                <wp:lineTo x="21563" y="0"/>
                <wp:lineTo x="0" y="0"/>
              </wp:wrapPolygon>
            </wp:wrapTight>
            <wp:docPr id="14" name="Chart 14" descr="Chart showing the monthly minimum temperature, maximum temperature and mean rainfall in the Ilocos region.">
              <a:extLst xmlns:a="http://schemas.openxmlformats.org/drawingml/2006/main">
                <a:ext uri="{FF2B5EF4-FFF2-40B4-BE49-F238E27FC236}">
                  <a16:creationId xmlns:a16="http://schemas.microsoft.com/office/drawing/2014/main" id="{9CB63A7C-CE37-4C94-9850-42C06FEE8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bookmarkStart w:id="54" w:name="_Hlk107994019"/>
      <w:r>
        <w:t xml:space="preserve">Figure </w:t>
      </w:r>
      <w:r w:rsidR="000C0A09">
        <w:fldChar w:fldCharType="begin" w:fldLock="1"/>
      </w:r>
      <w:r w:rsidR="000C0A09">
        <w:instrText xml:space="preserve"> STYLEREF 2 \s </w:instrText>
      </w:r>
      <w:r w:rsidR="000C0A09">
        <w:fldChar w:fldCharType="separate"/>
      </w:r>
      <w:r>
        <w:rPr>
          <w:noProof/>
        </w:rPr>
        <w:t>2</w:t>
      </w:r>
      <w:r w:rsidR="000C0A09">
        <w:rPr>
          <w:noProof/>
        </w:rPr>
        <w:fldChar w:fldCharType="end"/>
      </w:r>
      <w:r>
        <w:t>.</w:t>
      </w:r>
      <w:r w:rsidR="000C0A09">
        <w:fldChar w:fldCharType="begin" w:fldLock="1"/>
      </w:r>
      <w:r w:rsidR="000C0A09">
        <w:instrText xml:space="preserve"> SEQ Figure \* ARABIC \s 2 </w:instrText>
      </w:r>
      <w:r w:rsidR="000C0A09">
        <w:fldChar w:fldCharType="separate"/>
      </w:r>
      <w:r>
        <w:rPr>
          <w:noProof/>
        </w:rPr>
        <w:t>1</w:t>
      </w:r>
      <w:r w:rsidR="000C0A09">
        <w:rPr>
          <w:noProof/>
        </w:rPr>
        <w:fldChar w:fldCharType="end"/>
      </w:r>
      <w:bookmarkEnd w:id="52"/>
      <w:r w:rsidRPr="0011237D">
        <w:t xml:space="preserve"> </w:t>
      </w:r>
      <w:r w:rsidRPr="006B5199">
        <w:t xml:space="preserve">Mean monthly minimum and maximum temperatures and </w:t>
      </w:r>
      <w:r>
        <w:t xml:space="preserve">mean </w:t>
      </w:r>
      <w:r w:rsidRPr="006B5199">
        <w:t xml:space="preserve">monthly rainfall in the main production </w:t>
      </w:r>
      <w:r w:rsidRPr="00C506ED">
        <w:t xml:space="preserve">areas of </w:t>
      </w:r>
      <w:r w:rsidRPr="00C506ED">
        <w:fldChar w:fldCharType="begin" w:fldLock="1"/>
      </w:r>
      <w:r w:rsidRPr="00C506ED">
        <w:instrText xml:space="preserve"> REF  commodity \* Lower </w:instrText>
      </w:r>
      <w:r>
        <w:instrText xml:space="preserve"> \* MERGEFORMAT </w:instrText>
      </w:r>
      <w:r w:rsidRPr="00C506ED">
        <w:fldChar w:fldCharType="separate"/>
      </w:r>
      <w:r>
        <w:t>dragon fruit</w:t>
      </w:r>
      <w:r w:rsidRPr="00C506ED">
        <w:fldChar w:fldCharType="end"/>
      </w:r>
      <w:bookmarkEnd w:id="54"/>
      <w:r w:rsidRPr="00C506ED">
        <w:t xml:space="preserve"> in </w:t>
      </w:r>
      <w:r w:rsidRPr="00C506ED">
        <w:fldChar w:fldCharType="begin" w:fldLock="1"/>
      </w:r>
      <w:r w:rsidRPr="00C506ED">
        <w:instrText xml:space="preserve"> REF Country </w:instrText>
      </w:r>
      <w:r>
        <w:instrText xml:space="preserve"> \* MERGEFORMAT </w:instrText>
      </w:r>
      <w:r w:rsidRPr="00C506ED">
        <w:fldChar w:fldCharType="separate"/>
      </w:r>
      <w:r>
        <w:t>the Philippines</w:t>
      </w:r>
      <w:bookmarkEnd w:id="53"/>
      <w:r w:rsidRPr="00C506ED">
        <w:fldChar w:fldCharType="end"/>
      </w:r>
    </w:p>
    <w:p w14:paraId="00B7651B" w14:textId="77777777" w:rsidR="00BC2F05" w:rsidRDefault="00772FB6" w:rsidP="00032C1B">
      <w:pPr>
        <w:pStyle w:val="FigureTableNoteSource"/>
        <w:spacing w:line="276" w:lineRule="auto"/>
      </w:pPr>
      <w:r w:rsidRPr="008407FD">
        <w:rPr>
          <w:noProof/>
        </w:rPr>
        <w:drawing>
          <wp:anchor distT="0" distB="0" distL="114300" distR="114300" simplePos="0" relativeHeight="251658240" behindDoc="1" locked="0" layoutInCell="1" allowOverlap="1" wp14:anchorId="1F777BEF" wp14:editId="45DA43C9">
            <wp:simplePos x="0" y="0"/>
            <wp:positionH relativeFrom="margin">
              <wp:posOffset>-386715</wp:posOffset>
            </wp:positionH>
            <wp:positionV relativeFrom="paragraph">
              <wp:posOffset>1905</wp:posOffset>
            </wp:positionV>
            <wp:extent cx="3358800" cy="2700000"/>
            <wp:effectExtent l="0" t="0" r="13335" b="5715"/>
            <wp:wrapTight wrapText="bothSides">
              <wp:wrapPolygon edited="0">
                <wp:start x="0" y="0"/>
                <wp:lineTo x="0" y="21493"/>
                <wp:lineTo x="21563" y="21493"/>
                <wp:lineTo x="21563" y="0"/>
                <wp:lineTo x="0" y="0"/>
              </wp:wrapPolygon>
            </wp:wrapTight>
            <wp:docPr id="12" name="Chart 12" descr="Chart showing the monthly minimum temperature, maximum temperature and mean rainfall in the Central Luzon region.">
              <a:extLst xmlns:a="http://schemas.openxmlformats.org/drawingml/2006/main">
                <a:ext uri="{FF2B5EF4-FFF2-40B4-BE49-F238E27FC236}">
                  <a16:creationId xmlns:a16="http://schemas.microsoft.com/office/drawing/2014/main" id="{F608E563-5EF9-424A-BCAC-736789EC0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t>Source:</w:t>
      </w:r>
      <w:r w:rsidRPr="008407FD">
        <w:t xml:space="preserve"> </w:t>
      </w:r>
      <w:r>
        <w:rPr>
          <w:noProof/>
        </w:rPr>
        <w:t>Climate-data.org (2022)</w:t>
      </w:r>
    </w:p>
    <w:p w14:paraId="16AE7BD3" w14:textId="77777777" w:rsidR="00BC2F05" w:rsidRDefault="00772FB6" w:rsidP="00032C1B">
      <w:pPr>
        <w:spacing w:after="160" w:line="259" w:lineRule="auto"/>
      </w:pPr>
      <w:r>
        <w:br w:type="page"/>
      </w:r>
    </w:p>
    <w:p w14:paraId="3ED11E47" w14:textId="77777777" w:rsidR="00BC2F05" w:rsidRDefault="00772FB6" w:rsidP="00032C1B">
      <w:pPr>
        <w:pStyle w:val="Heading3"/>
      </w:pPr>
      <w:bookmarkStart w:id="55" w:name="_Toc119493096"/>
      <w:r>
        <w:lastRenderedPageBreak/>
        <w:t>Pre-harvest</w:t>
      </w:r>
      <w:bookmarkEnd w:id="55"/>
    </w:p>
    <w:p w14:paraId="778359DA" w14:textId="77777777" w:rsidR="00BC2F05" w:rsidRDefault="00772FB6" w:rsidP="00032C1B">
      <w:pPr>
        <w:pStyle w:val="Heading4"/>
      </w:pPr>
      <w:bookmarkStart w:id="56" w:name="z2_4_1"/>
      <w:bookmarkStart w:id="57" w:name="Cultivars"/>
      <w:bookmarkEnd w:id="56"/>
      <w:r>
        <w:t>Cultivars</w:t>
      </w:r>
    </w:p>
    <w:bookmarkEnd w:id="57"/>
    <w:p w14:paraId="051AF071" w14:textId="77777777" w:rsidR="00BC2F05" w:rsidRPr="00A5488A" w:rsidRDefault="00772FB6" w:rsidP="00736B35">
      <w:pPr>
        <w:rPr>
          <w:color w:val="000000" w:themeColor="text1"/>
        </w:rPr>
      </w:pPr>
      <w:r>
        <w:rPr>
          <w:color w:val="000000" w:themeColor="text1"/>
        </w:rPr>
        <w:t xml:space="preserve">There are </w:t>
      </w:r>
      <w:proofErr w:type="gramStart"/>
      <w:r>
        <w:rPr>
          <w:color w:val="000000" w:themeColor="text1"/>
        </w:rPr>
        <w:t>a number of</w:t>
      </w:r>
      <w:proofErr w:type="gramEnd"/>
      <w:r>
        <w:rPr>
          <w:color w:val="000000" w:themeColor="text1"/>
        </w:rPr>
        <w:t xml:space="preserve"> different dragon fruit species and varieties that can differ in appearance, taste and growing requirements. </w:t>
      </w:r>
    </w:p>
    <w:p w14:paraId="7586D66B" w14:textId="77777777" w:rsidR="00BC2F05" w:rsidRDefault="00772FB6" w:rsidP="00032C1B">
      <w:r>
        <w:t xml:space="preserve">Generally, all species of dragon fruit display certain similar fruit characteristics. The fruit is consistently spherical or oval shaped with waxy skin from which numerous bracts protrude over the whole fruit. At the tip of the fruit is a flower end pit and the base at the other end is connected directly to the plant stem. The fruit flesh is uniform and evenly filled with small edible black seeds </w:t>
      </w:r>
      <w:r>
        <w:rPr>
          <w:noProof/>
        </w:rPr>
        <w:t>(Le Bellec, Vaillant &amp; Imbert 2006)</w:t>
      </w:r>
      <w:r>
        <w:t>.</w:t>
      </w:r>
    </w:p>
    <w:p w14:paraId="50DCCFFD" w14:textId="77777777" w:rsidR="00BC2F05" w:rsidRDefault="00772FB6" w:rsidP="00032C1B">
      <w:r>
        <w:t xml:space="preserve">Dragon fruit was first introduced into the Philippines in 1992 using nursery stock from Vietnam and Taiwan </w:t>
      </w:r>
      <w:r>
        <w:rPr>
          <w:noProof/>
        </w:rPr>
        <w:t>(Department of Agriculture 2020)</w:t>
      </w:r>
      <w:r>
        <w:t xml:space="preserve">. The white-fleshed variety was initially produced on a small farm in the Cavite region, which soon expanded to other farms in this region and then into other areas of the country </w:t>
      </w:r>
      <w:r>
        <w:rPr>
          <w:noProof/>
        </w:rPr>
        <w:t>(Department of Agriculture 2020)</w:t>
      </w:r>
      <w:r>
        <w:t xml:space="preserve">. Since its introduction, production has expanded to include several varieties and species of edible dragon fruit. </w:t>
      </w:r>
    </w:p>
    <w:p w14:paraId="42240656" w14:textId="77777777" w:rsidR="00BC2F05" w:rsidRPr="00895209" w:rsidRDefault="00772FB6" w:rsidP="00032C1B">
      <w:r>
        <w:t>The Philippines DA identified 2 species currently produced in the Philippines (</w:t>
      </w:r>
      <w:r>
        <w:rPr>
          <w:i/>
          <w:iCs/>
        </w:rPr>
        <w:t xml:space="preserve">Selenicereus monacanthus </w:t>
      </w:r>
      <w:r>
        <w:t xml:space="preserve">and </w:t>
      </w:r>
      <w:r>
        <w:rPr>
          <w:i/>
          <w:iCs/>
        </w:rPr>
        <w:t>S. undatus</w:t>
      </w:r>
      <w:bookmarkStart w:id="58" w:name="_Hlk117231513"/>
      <w:r>
        <w:rPr>
          <w:i/>
          <w:iCs/>
        </w:rPr>
        <w:t xml:space="preserve">; </w:t>
      </w:r>
      <w:r w:rsidRPr="00B536DC">
        <w:t xml:space="preserve">previously known as </w:t>
      </w:r>
      <w:r w:rsidRPr="00B536DC">
        <w:rPr>
          <w:i/>
          <w:iCs/>
        </w:rPr>
        <w:t xml:space="preserve">Hylocereus </w:t>
      </w:r>
      <w:r>
        <w:rPr>
          <w:i/>
          <w:iCs/>
        </w:rPr>
        <w:t xml:space="preserve">monacanthus </w:t>
      </w:r>
      <w:r w:rsidRPr="00B536DC">
        <w:t>and</w:t>
      </w:r>
      <w:r>
        <w:rPr>
          <w:i/>
          <w:iCs/>
        </w:rPr>
        <w:t xml:space="preserve"> H. undatus</w:t>
      </w:r>
      <w:bookmarkEnd w:id="58"/>
      <w:r>
        <w:t>) as likely to be exported to Australia</w:t>
      </w:r>
      <w:r>
        <w:rPr>
          <w:i/>
          <w:iCs/>
        </w:rPr>
        <w:t xml:space="preserve">. </w:t>
      </w:r>
      <w:r>
        <w:t xml:space="preserve">A description of these species is provided </w:t>
      </w:r>
      <w:proofErr w:type="gramStart"/>
      <w:r>
        <w:t>below</w:t>
      </w:r>
      <w:proofErr w:type="gramEnd"/>
      <w:r>
        <w:t xml:space="preserve"> and images of the fruits are in </w:t>
      </w:r>
      <w:r>
        <w:fldChar w:fldCharType="begin" w:fldLock="1"/>
      </w:r>
      <w:r>
        <w:instrText xml:space="preserve"> REF Figure2_2 \h </w:instrText>
      </w:r>
      <w:r>
        <w:fldChar w:fldCharType="separate"/>
      </w:r>
      <w:r>
        <w:t>Figure 2.2.</w:t>
      </w:r>
      <w:r w:rsidRPr="0011237D">
        <w:t xml:space="preserve"> </w:t>
      </w:r>
      <w:r>
        <w:fldChar w:fldCharType="end"/>
      </w:r>
    </w:p>
    <w:p w14:paraId="7B13DA85" w14:textId="77777777" w:rsidR="00BC2F05" w:rsidRPr="002374B9" w:rsidRDefault="00772FB6" w:rsidP="00BC2F05">
      <w:pPr>
        <w:pStyle w:val="ListParagraph"/>
        <w:numPr>
          <w:ilvl w:val="0"/>
          <w:numId w:val="27"/>
        </w:numPr>
        <w:ind w:left="357" w:hanging="357"/>
      </w:pPr>
      <w:r w:rsidRPr="00285CE5">
        <w:rPr>
          <w:b/>
          <w:bCs/>
          <w:i/>
          <w:iCs/>
        </w:rPr>
        <w:t>Selenicereus monacanthus</w:t>
      </w:r>
      <w:r w:rsidRPr="00285CE5">
        <w:rPr>
          <w:b/>
          <w:bCs/>
        </w:rPr>
        <w:t xml:space="preserve"> </w:t>
      </w:r>
      <w:r w:rsidRPr="00B250CF">
        <w:t xml:space="preserve">(synonym = </w:t>
      </w:r>
      <w:r w:rsidRPr="00285CE5">
        <w:rPr>
          <w:i/>
          <w:iCs/>
        </w:rPr>
        <w:t>S. polyrhizus</w:t>
      </w:r>
      <w:r w:rsidRPr="00B250CF">
        <w:t>)</w:t>
      </w:r>
      <w:r>
        <w:t xml:space="preserve"> — The plant of </w:t>
      </w:r>
      <w:r w:rsidRPr="00285CE5">
        <w:rPr>
          <w:i/>
          <w:iCs/>
        </w:rPr>
        <w:t xml:space="preserve">S. monacanthus </w:t>
      </w:r>
      <w:r>
        <w:t>has slender stems and</w:t>
      </w:r>
      <w:r w:rsidRPr="00285CE5">
        <w:rPr>
          <w:i/>
          <w:iCs/>
        </w:rPr>
        <w:t xml:space="preserve"> </w:t>
      </w:r>
      <w:r>
        <w:t>produces 25–</w:t>
      </w:r>
      <w:proofErr w:type="gramStart"/>
      <w:r>
        <w:t>30 centimetre long</w:t>
      </w:r>
      <w:proofErr w:type="gramEnd"/>
      <w:r>
        <w:t xml:space="preserve"> flowers with red margins and yellow stigma. The fruit is oblong in shape, 10–12 centimetres in diameter, weighs 130–350 grams and the skin </w:t>
      </w:r>
      <w:proofErr w:type="gramStart"/>
      <w:r>
        <w:t>is</w:t>
      </w:r>
      <w:proofErr w:type="gramEnd"/>
      <w:r>
        <w:t xml:space="preserve"> scarlet in colour. The surface is covered in bracts of varying size. The flesh is red with many small black edible seeds </w:t>
      </w:r>
      <w:r>
        <w:rPr>
          <w:noProof/>
        </w:rPr>
        <w:t>(Le Bellec, Vaillant &amp; Imbert 2006)</w:t>
      </w:r>
      <w:r>
        <w:t>.</w:t>
      </w:r>
    </w:p>
    <w:p w14:paraId="43B312E2" w14:textId="77777777" w:rsidR="00BC2F05" w:rsidRDefault="00772FB6" w:rsidP="00BC2F05">
      <w:pPr>
        <w:pStyle w:val="ListParagraph"/>
        <w:numPr>
          <w:ilvl w:val="0"/>
          <w:numId w:val="27"/>
        </w:numPr>
        <w:ind w:left="357" w:hanging="357"/>
      </w:pPr>
      <w:r w:rsidRPr="00285CE5">
        <w:rPr>
          <w:b/>
          <w:bCs/>
          <w:i/>
          <w:iCs/>
        </w:rPr>
        <w:t>Selenicereus undatus</w:t>
      </w:r>
      <w:r w:rsidRPr="00285CE5">
        <w:rPr>
          <w:b/>
          <w:bCs/>
        </w:rPr>
        <w:t xml:space="preserve"> </w:t>
      </w:r>
      <w:r w:rsidRPr="00C32FF3">
        <w:t>—</w:t>
      </w:r>
      <w:r w:rsidRPr="00285CE5">
        <w:rPr>
          <w:b/>
          <w:bCs/>
        </w:rPr>
        <w:t xml:space="preserve"> </w:t>
      </w:r>
      <w:r>
        <w:t xml:space="preserve">The plant of </w:t>
      </w:r>
      <w:r w:rsidRPr="00285CE5">
        <w:rPr>
          <w:i/>
          <w:iCs/>
        </w:rPr>
        <w:t>S. undatus</w:t>
      </w:r>
      <w:r>
        <w:t xml:space="preserve"> has long green stems and produces flowers up to 29 centimetres long that are green on the outside and white on the inside. The oblong shaped fruit is 15–22 centimetres long weighing 300–800 grams. The fruit skin is rosy red and covered with large and long red bracts with green tips. The flesh is white with many small black edible seeds </w:t>
      </w:r>
      <w:r>
        <w:rPr>
          <w:noProof/>
        </w:rPr>
        <w:t>(Le Bellec, Vaillant &amp; Imbert 2006)</w:t>
      </w:r>
      <w:r>
        <w:t>.</w:t>
      </w:r>
    </w:p>
    <w:p w14:paraId="47E8379A" w14:textId="77777777" w:rsidR="00BC2F05" w:rsidRDefault="00772FB6" w:rsidP="00032C1B">
      <w:pPr>
        <w:pStyle w:val="Caption"/>
        <w:rPr>
          <w:noProof/>
        </w:rPr>
      </w:pPr>
      <w:bookmarkStart w:id="59" w:name="Figure2_2"/>
      <w:bookmarkStart w:id="60" w:name="_Toc119493121"/>
      <w:r>
        <w:rPr>
          <w:noProof/>
        </w:rPr>
        <w:lastRenderedPageBreak/>
        <w:drawing>
          <wp:anchor distT="0" distB="0" distL="114300" distR="114300" simplePos="0" relativeHeight="251664384" behindDoc="1" locked="0" layoutInCell="1" allowOverlap="1" wp14:anchorId="61674631" wp14:editId="51FCAD47">
            <wp:simplePos x="0" y="0"/>
            <wp:positionH relativeFrom="column">
              <wp:posOffset>3035300</wp:posOffset>
            </wp:positionH>
            <wp:positionV relativeFrom="paragraph">
              <wp:posOffset>377825</wp:posOffset>
            </wp:positionV>
            <wp:extent cx="2586355" cy="2229485"/>
            <wp:effectExtent l="0" t="0" r="4445" b="0"/>
            <wp:wrapTight wrapText="bothSides">
              <wp:wrapPolygon edited="0">
                <wp:start x="0" y="0"/>
                <wp:lineTo x="0" y="21409"/>
                <wp:lineTo x="21478" y="21409"/>
                <wp:lineTo x="21478" y="0"/>
                <wp:lineTo x="0" y="0"/>
              </wp:wrapPolygon>
            </wp:wrapTight>
            <wp:docPr id="70" name="Picture 70" descr="A plate with a Selenicereus monacanthus  dragon fruit segmented into 6 pieces with deep red flesh and small black seeds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5711" name="Picture 70" descr="A plate with a Selenicereus monacanthus  dragon fruit segmented into 6 pieces with deep red flesh and small black seeds throughout."/>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58635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59050B6" wp14:editId="6C7540BD">
            <wp:simplePos x="0" y="0"/>
            <wp:positionH relativeFrom="margin">
              <wp:align>center</wp:align>
            </wp:positionH>
            <wp:positionV relativeFrom="paragraph">
              <wp:posOffset>2631881</wp:posOffset>
            </wp:positionV>
            <wp:extent cx="2703195" cy="2214880"/>
            <wp:effectExtent l="0" t="0" r="1905" b="0"/>
            <wp:wrapTopAndBottom/>
            <wp:docPr id="16" name="Picture 16" descr="A Selenicereus undatus dragon fruit halved with white flesh, pink skin and small black seeds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47536" name="Picture 16" descr="A Selenicereus undatus dragon fruit halved with white flesh, pink skin and small black seeds throughou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03195" cy="2214880"/>
                    </a:xfrm>
                    <a:prstGeom prst="rect">
                      <a:avLst/>
                    </a:prstGeom>
                    <a:noFill/>
                    <a:ln>
                      <a:noFill/>
                    </a:ln>
                  </pic:spPr>
                </pic:pic>
              </a:graphicData>
            </a:graphic>
          </wp:anchor>
        </w:drawing>
      </w:r>
      <w:r>
        <w:t>Figure 2.2</w:t>
      </w:r>
      <w:r w:rsidRPr="0011237D">
        <w:t xml:space="preserve"> </w:t>
      </w:r>
      <w:bookmarkEnd w:id="59"/>
      <w:r w:rsidRPr="00974E17">
        <w:rPr>
          <w:i/>
          <w:iCs/>
        </w:rPr>
        <w:t>Selenicereus monacanthus</w:t>
      </w:r>
      <w:r>
        <w:rPr>
          <w:i/>
          <w:iCs/>
        </w:rPr>
        <w:t xml:space="preserve"> </w:t>
      </w:r>
      <w:r>
        <w:t>fruit and segments showing red flesh and seeds</w:t>
      </w:r>
      <w:r w:rsidRPr="006729B0">
        <w:t xml:space="preserve"> and</w:t>
      </w:r>
      <w:r>
        <w:rPr>
          <w:i/>
          <w:iCs/>
        </w:rPr>
        <w:t xml:space="preserve"> </w:t>
      </w:r>
      <w:r w:rsidRPr="000F4A33">
        <w:t xml:space="preserve">a </w:t>
      </w:r>
      <w:r>
        <w:t>cross-section of</w:t>
      </w:r>
      <w:r>
        <w:rPr>
          <w:i/>
          <w:iCs/>
        </w:rPr>
        <w:t xml:space="preserve"> </w:t>
      </w:r>
      <w:r w:rsidRPr="00974E17">
        <w:rPr>
          <w:i/>
          <w:iCs/>
        </w:rPr>
        <w:t>Selenicereus undatus</w:t>
      </w:r>
      <w:r>
        <w:rPr>
          <w:i/>
          <w:iCs/>
        </w:rPr>
        <w:t xml:space="preserve"> </w:t>
      </w:r>
      <w:r>
        <w:t>showing white flesh and seeds</w:t>
      </w:r>
      <w:bookmarkEnd w:id="60"/>
    </w:p>
    <w:p w14:paraId="32A9DE12" w14:textId="77777777" w:rsidR="00BC2F05" w:rsidRDefault="00772FB6" w:rsidP="00032C1B">
      <w:pPr>
        <w:rPr>
          <w:sz w:val="16"/>
          <w:szCs w:val="16"/>
        </w:rPr>
      </w:pPr>
      <w:bookmarkStart w:id="61" w:name="_Toc114580709"/>
      <w:bookmarkStart w:id="62" w:name="_Toc114823828"/>
      <w:bookmarkStart w:id="63" w:name="_Toc115092668"/>
      <w:r>
        <w:rPr>
          <w:noProof/>
        </w:rPr>
        <w:drawing>
          <wp:anchor distT="0" distB="0" distL="114300" distR="114300" simplePos="0" relativeHeight="251667456" behindDoc="1" locked="0" layoutInCell="1" allowOverlap="1" wp14:anchorId="69417EB4" wp14:editId="10A6BCE6">
            <wp:simplePos x="0" y="0"/>
            <wp:positionH relativeFrom="column">
              <wp:posOffset>366395</wp:posOffset>
            </wp:positionH>
            <wp:positionV relativeFrom="paragraph">
              <wp:posOffset>-362585</wp:posOffset>
            </wp:positionV>
            <wp:extent cx="2218055" cy="2966720"/>
            <wp:effectExtent l="6668" t="0" r="0" b="0"/>
            <wp:wrapTight wrapText="bothSides">
              <wp:wrapPolygon edited="0">
                <wp:start x="65" y="21649"/>
                <wp:lineTo x="21399" y="21649"/>
                <wp:lineTo x="21399" y="150"/>
                <wp:lineTo x="65" y="150"/>
                <wp:lineTo x="65" y="21649"/>
              </wp:wrapPolygon>
            </wp:wrapTight>
            <wp:docPr id="71" name="Picture 71" descr="A basket of Selenicereus monacanthus  dragon fruits with pink skin and green tipped bracts. Fruits are labelled with a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4876" name="Picture 71" descr="A basket of Selenicereus monacanthus  dragon fruits with pink skin and green tipped bracts. Fruits are labelled with a sticker"/>
                    <pic:cNvPicPr>
                      <a:picLocks noChangeAspect="1" noChangeArrowheads="1"/>
                    </pic:cNvPicPr>
                  </pic:nvPicPr>
                  <pic:blipFill>
                    <a:blip r:embed="rId46" cstate="print">
                      <a:extLst>
                        <a:ext uri="{28A0092B-C50C-407E-A947-70E740481C1C}">
                          <a14:useLocalDpi xmlns:a14="http://schemas.microsoft.com/office/drawing/2010/main" val="0"/>
                        </a:ext>
                      </a:extLst>
                    </a:blip>
                    <a:srcRect l="20606" t="1835" r="25720" b="2459"/>
                    <a:stretch>
                      <a:fillRect/>
                    </a:stretch>
                  </pic:blipFill>
                  <pic:spPr bwMode="auto">
                    <a:xfrm rot="5400000">
                      <a:off x="0" y="0"/>
                      <a:ext cx="2218055" cy="2966720"/>
                    </a:xfrm>
                    <a:prstGeom prst="rect">
                      <a:avLst/>
                    </a:prstGeom>
                    <a:noFill/>
                    <a:ln>
                      <a:noFill/>
                    </a:ln>
                    <a:extLst>
                      <a:ext uri="{53640926-AAD7-44D8-BBD7-CCE9431645EC}">
                        <a14:shadowObscured xmlns:a14="http://schemas.microsoft.com/office/drawing/2010/main"/>
                      </a:ext>
                    </a:extLst>
                  </pic:spPr>
                </pic:pic>
              </a:graphicData>
            </a:graphic>
          </wp:anchor>
        </w:drawing>
      </w:r>
      <w:bookmarkEnd w:id="61"/>
      <w:bookmarkEnd w:id="62"/>
      <w:bookmarkEnd w:id="63"/>
      <w:r>
        <w:rPr>
          <w:sz w:val="16"/>
          <w:szCs w:val="16"/>
        </w:rPr>
        <w:t>Source: Wikipedia</w:t>
      </w:r>
    </w:p>
    <w:p w14:paraId="39B92B30" w14:textId="77777777" w:rsidR="00BC2F05" w:rsidRDefault="00772FB6" w:rsidP="00032C1B">
      <w:r>
        <w:t>Two other species</w:t>
      </w:r>
      <w:r w:rsidRPr="00B0481F">
        <w:rPr>
          <w:i/>
          <w:iCs/>
        </w:rPr>
        <w:t xml:space="preserve"> </w:t>
      </w:r>
      <w:r>
        <w:t>(</w:t>
      </w:r>
      <w:r>
        <w:rPr>
          <w:i/>
          <w:iCs/>
        </w:rPr>
        <w:t xml:space="preserve">S. </w:t>
      </w:r>
      <w:proofErr w:type="spellStart"/>
      <w:r>
        <w:rPr>
          <w:i/>
          <w:iCs/>
        </w:rPr>
        <w:t>costaricensis</w:t>
      </w:r>
      <w:proofErr w:type="spellEnd"/>
      <w:r>
        <w:rPr>
          <w:i/>
          <w:iCs/>
        </w:rPr>
        <w:t xml:space="preserve"> </w:t>
      </w:r>
      <w:r>
        <w:t xml:space="preserve">and </w:t>
      </w:r>
      <w:r>
        <w:rPr>
          <w:i/>
          <w:iCs/>
        </w:rPr>
        <w:t xml:space="preserve">S. </w:t>
      </w:r>
      <w:proofErr w:type="spellStart"/>
      <w:r>
        <w:rPr>
          <w:i/>
          <w:iCs/>
        </w:rPr>
        <w:t>megalanthus</w:t>
      </w:r>
      <w:proofErr w:type="spellEnd"/>
      <w:r>
        <w:t>;</w:t>
      </w:r>
      <w:r w:rsidRPr="00B536DC">
        <w:t xml:space="preserve"> </w:t>
      </w:r>
      <w:bookmarkStart w:id="64" w:name="_Hlk117231528"/>
      <w:r w:rsidRPr="00E36C56">
        <w:t xml:space="preserve">previously known as </w:t>
      </w:r>
      <w:r w:rsidRPr="00B536DC">
        <w:rPr>
          <w:i/>
          <w:iCs/>
        </w:rPr>
        <w:t>Hylocer</w:t>
      </w:r>
      <w:r w:rsidRPr="00E36C56">
        <w:rPr>
          <w:i/>
          <w:iCs/>
        </w:rPr>
        <w:t>eu</w:t>
      </w:r>
      <w:r w:rsidRPr="00B536DC">
        <w:rPr>
          <w:i/>
          <w:iCs/>
        </w:rPr>
        <w:t xml:space="preserve">s </w:t>
      </w:r>
      <w:proofErr w:type="spellStart"/>
      <w:r>
        <w:rPr>
          <w:i/>
          <w:iCs/>
        </w:rPr>
        <w:t>costaricensis</w:t>
      </w:r>
      <w:proofErr w:type="spellEnd"/>
      <w:r>
        <w:rPr>
          <w:i/>
          <w:iCs/>
        </w:rPr>
        <w:t xml:space="preserve"> </w:t>
      </w:r>
      <w:r w:rsidRPr="00E36C56">
        <w:t>and</w:t>
      </w:r>
      <w:r>
        <w:rPr>
          <w:i/>
          <w:iCs/>
        </w:rPr>
        <w:t xml:space="preserve"> H. </w:t>
      </w:r>
      <w:proofErr w:type="spellStart"/>
      <w:r>
        <w:rPr>
          <w:i/>
          <w:iCs/>
        </w:rPr>
        <w:t>megalanthus</w:t>
      </w:r>
      <w:bookmarkEnd w:id="64"/>
      <w:proofErr w:type="spellEnd"/>
      <w:r w:rsidRPr="00B536DC">
        <w:t>)</w:t>
      </w:r>
      <w:r>
        <w:t xml:space="preserve"> are also commonly produced in the Philippines. While the Philippines DA has not currently identified these species for export to Australia, they are also produced in the Philippines and could potentially be exported. Therefore, they have been specifically included and described below.</w:t>
      </w:r>
    </w:p>
    <w:p w14:paraId="0FBA9154" w14:textId="77777777" w:rsidR="00BC2F05" w:rsidRDefault="00772FB6" w:rsidP="00BC2F05">
      <w:pPr>
        <w:pStyle w:val="ListParagraph"/>
        <w:numPr>
          <w:ilvl w:val="0"/>
          <w:numId w:val="28"/>
        </w:numPr>
        <w:ind w:left="357" w:hanging="357"/>
      </w:pPr>
      <w:r w:rsidRPr="009034E7">
        <w:rPr>
          <w:b/>
          <w:bCs/>
          <w:i/>
          <w:iCs/>
        </w:rPr>
        <w:t xml:space="preserve">Selenicereus </w:t>
      </w:r>
      <w:proofErr w:type="spellStart"/>
      <w:r w:rsidRPr="009034E7">
        <w:rPr>
          <w:b/>
          <w:bCs/>
          <w:i/>
          <w:iCs/>
        </w:rPr>
        <w:t>costaricensis</w:t>
      </w:r>
      <w:proofErr w:type="spellEnd"/>
      <w:r w:rsidRPr="009034E7">
        <w:rPr>
          <w:b/>
          <w:bCs/>
        </w:rPr>
        <w:t xml:space="preserve"> </w:t>
      </w:r>
      <w:r>
        <w:rPr>
          <w:b/>
          <w:bCs/>
        </w:rPr>
        <w:t xml:space="preserve">— </w:t>
      </w:r>
      <w:r>
        <w:t xml:space="preserve">The plant of </w:t>
      </w:r>
      <w:r w:rsidRPr="009034E7">
        <w:rPr>
          <w:i/>
          <w:iCs/>
        </w:rPr>
        <w:t xml:space="preserve">S. </w:t>
      </w:r>
      <w:proofErr w:type="spellStart"/>
      <w:r w:rsidRPr="009034E7">
        <w:rPr>
          <w:i/>
          <w:iCs/>
        </w:rPr>
        <w:t>costaricensis</w:t>
      </w:r>
      <w:proofErr w:type="spellEnd"/>
      <w:r>
        <w:t xml:space="preserve"> has stout waxy white stems and produces 25–</w:t>
      </w:r>
      <w:proofErr w:type="gramStart"/>
      <w:r>
        <w:t>30 centimetre long</w:t>
      </w:r>
      <w:proofErr w:type="gramEnd"/>
      <w:r>
        <w:t xml:space="preserve"> flowers with red margins on the petals </w:t>
      </w:r>
      <w:r>
        <w:rPr>
          <w:noProof/>
        </w:rPr>
        <w:t>(Le Bellec, Vaillant &amp; Imbert 2006)</w:t>
      </w:r>
      <w:r>
        <w:t>. The fruit is ovoid in shape, 10–15 centimetres in diameter, weighs 250–600 grams, and the skin is scarlet in colour. The surface is covered in bracts of varying size. The flesh is reddish-purple with many small black edible seeds.</w:t>
      </w:r>
    </w:p>
    <w:p w14:paraId="03660289" w14:textId="77777777" w:rsidR="00BC2F05" w:rsidRDefault="00772FB6" w:rsidP="00BC2F05">
      <w:pPr>
        <w:pStyle w:val="ListParagraph"/>
        <w:numPr>
          <w:ilvl w:val="0"/>
          <w:numId w:val="28"/>
        </w:numPr>
        <w:ind w:left="357" w:hanging="357"/>
      </w:pPr>
      <w:r w:rsidRPr="009034E7">
        <w:rPr>
          <w:b/>
          <w:bCs/>
          <w:i/>
          <w:iCs/>
        </w:rPr>
        <w:t xml:space="preserve">Selenicereus </w:t>
      </w:r>
      <w:proofErr w:type="spellStart"/>
      <w:r w:rsidRPr="009034E7">
        <w:rPr>
          <w:b/>
          <w:bCs/>
          <w:i/>
          <w:iCs/>
        </w:rPr>
        <w:t>megalanthus</w:t>
      </w:r>
      <w:proofErr w:type="spellEnd"/>
      <w:r w:rsidRPr="009034E7">
        <w:rPr>
          <w:b/>
          <w:bCs/>
        </w:rPr>
        <w:t xml:space="preserve"> </w:t>
      </w:r>
      <w:r>
        <w:rPr>
          <w:b/>
          <w:bCs/>
        </w:rPr>
        <w:t xml:space="preserve">— </w:t>
      </w:r>
      <w:r>
        <w:t xml:space="preserve">The fruit of </w:t>
      </w:r>
      <w:r w:rsidRPr="009034E7">
        <w:rPr>
          <w:i/>
          <w:iCs/>
        </w:rPr>
        <w:t xml:space="preserve">S. </w:t>
      </w:r>
      <w:proofErr w:type="spellStart"/>
      <w:r w:rsidRPr="009034E7">
        <w:rPr>
          <w:i/>
          <w:iCs/>
        </w:rPr>
        <w:t>megalanthus</w:t>
      </w:r>
      <w:proofErr w:type="spellEnd"/>
      <w:r>
        <w:t xml:space="preserve"> is oblong in shape and typically smaller than other varieties of dragon fruit, weighing as little as 120 grams </w:t>
      </w:r>
      <w:r>
        <w:rPr>
          <w:noProof/>
        </w:rPr>
        <w:t>(Nerd &amp; Mizrahi 1998)</w:t>
      </w:r>
      <w:r>
        <w:t>. The fruit surface is covered in bracts that are smaller and more uniform in shape than other species and the skin is yellow in colour.</w:t>
      </w:r>
      <w:r w:rsidRPr="002F29ED">
        <w:t xml:space="preserve"> </w:t>
      </w:r>
      <w:r>
        <w:t>The flesh is white with many small black edible seeds.</w:t>
      </w:r>
    </w:p>
    <w:p w14:paraId="7B7BEC07" w14:textId="77777777" w:rsidR="00BC2F05" w:rsidRPr="008C6D9D" w:rsidRDefault="00772FB6" w:rsidP="00032C1B">
      <w:r>
        <w:t xml:space="preserve">It is uncertain whether </w:t>
      </w:r>
      <w:r w:rsidRPr="0043058A">
        <w:rPr>
          <w:i/>
          <w:iCs/>
        </w:rPr>
        <w:t xml:space="preserve">S. </w:t>
      </w:r>
      <w:proofErr w:type="spellStart"/>
      <w:r w:rsidRPr="0043058A">
        <w:rPr>
          <w:i/>
          <w:iCs/>
        </w:rPr>
        <w:t>costaricensis</w:t>
      </w:r>
      <w:proofErr w:type="spellEnd"/>
      <w:r w:rsidRPr="0043058A">
        <w:rPr>
          <w:i/>
          <w:iCs/>
        </w:rPr>
        <w:t>, S. monacanthus</w:t>
      </w:r>
      <w:r>
        <w:t xml:space="preserve"> and </w:t>
      </w:r>
      <w:r w:rsidRPr="0043058A">
        <w:rPr>
          <w:i/>
          <w:iCs/>
        </w:rPr>
        <w:t>S. polyrhizus</w:t>
      </w:r>
      <w:r>
        <w:t xml:space="preserve"> should continue to be split into separate species.</w:t>
      </w:r>
      <w:r w:rsidRPr="008B4D7E">
        <w:t xml:space="preserve"> </w:t>
      </w:r>
      <w:r>
        <w:t xml:space="preserve">Each of the names are often identified in the literature as a synonym of one or </w:t>
      </w:r>
      <w:proofErr w:type="gramStart"/>
      <w:r>
        <w:t>both of the other</w:t>
      </w:r>
      <w:proofErr w:type="gramEnd"/>
      <w:r>
        <w:t xml:space="preserve"> 2 species, depending on the source </w:t>
      </w:r>
      <w:r>
        <w:rPr>
          <w:noProof/>
          <w:color w:val="000000" w:themeColor="text1"/>
        </w:rPr>
        <w:t xml:space="preserve">(Korotkova, Borsch &amp; Arias 2017; </w:t>
      </w:r>
      <w:r>
        <w:rPr>
          <w:noProof/>
          <w:color w:val="000000" w:themeColor="text1"/>
        </w:rPr>
        <w:lastRenderedPageBreak/>
        <w:t>Paśko et al. 2021; Temak et al. 2018)</w:t>
      </w:r>
      <w:r>
        <w:rPr>
          <w:color w:val="000000" w:themeColor="text1"/>
        </w:rPr>
        <w:t>.</w:t>
      </w:r>
      <w:r>
        <w:t xml:space="preserve"> A phylogenetic study by </w:t>
      </w:r>
      <w:r>
        <w:rPr>
          <w:noProof/>
        </w:rPr>
        <w:t>Korotkova, Borsch and Arias (2017)</w:t>
      </w:r>
      <w:r>
        <w:t xml:space="preserve"> concluded further analysis is required to determine whether these are the same or separate species</w:t>
      </w:r>
      <w:r>
        <w:rPr>
          <w:color w:val="000000" w:themeColor="text1"/>
        </w:rPr>
        <w:t>.</w:t>
      </w:r>
      <w:r>
        <w:t xml:space="preserve"> </w:t>
      </w:r>
    </w:p>
    <w:p w14:paraId="5C1AB377" w14:textId="77777777" w:rsidR="00BC2F05" w:rsidRDefault="00772FB6" w:rsidP="00032C1B">
      <w:pPr>
        <w:pStyle w:val="Heading4"/>
      </w:pPr>
      <w:r>
        <w:t>Cultivation practices</w:t>
      </w:r>
    </w:p>
    <w:p w14:paraId="0763BDDE" w14:textId="77777777" w:rsidR="00BC2F05" w:rsidRDefault="00772FB6" w:rsidP="00032C1B">
      <w:r>
        <w:t xml:space="preserve">Dragon </w:t>
      </w:r>
      <w:proofErr w:type="gramStart"/>
      <w:r>
        <w:t>fruit</w:t>
      </w:r>
      <w:proofErr w:type="gramEnd"/>
      <w:r>
        <w:t xml:space="preserve"> are tropical, climbing, semi-epiphytic cacti. They have roots below ground and aerial roots that enable them to attach to and climb over any natural or artificial support structures </w:t>
      </w:r>
      <w:r>
        <w:rPr>
          <w:noProof/>
        </w:rPr>
        <w:t>(Le Bellec, Vaillant &amp; Imbert 2006)</w:t>
      </w:r>
      <w:r>
        <w:t xml:space="preserve">. </w:t>
      </w:r>
    </w:p>
    <w:p w14:paraId="187794C4" w14:textId="77777777" w:rsidR="00BC2F05" w:rsidRDefault="00772FB6" w:rsidP="00032C1B">
      <w:r w:rsidRPr="00351245">
        <w:rPr>
          <w:b/>
          <w:bCs/>
        </w:rPr>
        <w:t>Cuttings</w:t>
      </w:r>
    </w:p>
    <w:p w14:paraId="3E92CFA3" w14:textId="77777777" w:rsidR="00BC2F05" w:rsidRDefault="00772FB6" w:rsidP="00032C1B">
      <w:r>
        <w:t xml:space="preserve">Dragon fruit was initially introduced to the Philippines using nursery stock from Vietnam and Taiwan </w:t>
      </w:r>
      <w:r>
        <w:rPr>
          <w:noProof/>
        </w:rPr>
        <w:t>(Department of Agriculture 2020)</w:t>
      </w:r>
      <w:r>
        <w:t>. The Philippines currently allows the importation of dragon fruit c</w:t>
      </w:r>
      <w:r w:rsidRPr="00EF761A">
        <w:t>uttings and seedlings</w:t>
      </w:r>
      <w:r>
        <w:t xml:space="preserve"> for propagation </w:t>
      </w:r>
      <w:r w:rsidRPr="00EF761A">
        <w:t xml:space="preserve">from China, Korea, Malaysia, Peru, Singapore, Taiwan, </w:t>
      </w:r>
      <w:proofErr w:type="gramStart"/>
      <w:r w:rsidRPr="00EF761A">
        <w:t>Thailand</w:t>
      </w:r>
      <w:proofErr w:type="gramEnd"/>
      <w:r w:rsidRPr="00EF761A">
        <w:t xml:space="preserve"> </w:t>
      </w:r>
      <w:r>
        <w:t>and</w:t>
      </w:r>
      <w:r w:rsidRPr="00EF761A">
        <w:t xml:space="preserve"> Vietnam</w:t>
      </w:r>
      <w:r w:rsidRPr="00271BDB">
        <w:t xml:space="preserve"> </w:t>
      </w:r>
      <w:r>
        <w:rPr>
          <w:noProof/>
        </w:rPr>
        <w:t>(NPQSD 2022)</w:t>
      </w:r>
      <w:r>
        <w:t xml:space="preserve">. However, while planting material can be imported for crop establishment, this is not common practice, as commercial farms have access to established </w:t>
      </w:r>
      <w:r w:rsidRPr="008B2EEC">
        <w:t>crops</w:t>
      </w:r>
      <w:r>
        <w:t xml:space="preserve"> with good quality, healthy c</w:t>
      </w:r>
      <w:r w:rsidRPr="008B2EEC">
        <w:t xml:space="preserve">uttings </w:t>
      </w:r>
      <w:r>
        <w:t xml:space="preserve">that can be used instead </w:t>
      </w:r>
      <w:r>
        <w:rPr>
          <w:noProof/>
        </w:rPr>
        <w:t>(Pascua, Pascua &amp; Gabriel 2015)</w:t>
      </w:r>
      <w:r w:rsidRPr="008B2EEC">
        <w:t>.</w:t>
      </w:r>
      <w:r>
        <w:t xml:space="preserve"> </w:t>
      </w:r>
    </w:p>
    <w:p w14:paraId="21346F0B" w14:textId="77777777" w:rsidR="00BC2F05" w:rsidRDefault="00772FB6" w:rsidP="00646D32">
      <w:r w:rsidRPr="008B2EEC">
        <w:t>Cuttings of the entire stem or 15</w:t>
      </w:r>
      <w:r>
        <w:t>–</w:t>
      </w:r>
      <w:proofErr w:type="gramStart"/>
      <w:r w:rsidRPr="008B2EEC">
        <w:t>20 c</w:t>
      </w:r>
      <w:r>
        <w:t xml:space="preserve">entimetre </w:t>
      </w:r>
      <w:r w:rsidRPr="008B2EEC">
        <w:t>long</w:t>
      </w:r>
      <w:proofErr w:type="gramEnd"/>
      <w:r w:rsidRPr="008B2EEC">
        <w:t xml:space="preserve"> segments are taken from </w:t>
      </w:r>
      <w:r>
        <w:t xml:space="preserve">healthy plants, dipped in fungicide and left to dry. Healthy cuttings are then selected to be planted and </w:t>
      </w:r>
      <w:r w:rsidRPr="008B2EEC">
        <w:t xml:space="preserve">treated with rooting hormones to improve rooting. The cuttings </w:t>
      </w:r>
      <w:r>
        <w:t>can be</w:t>
      </w:r>
      <w:r w:rsidRPr="008B2EEC">
        <w:t xml:space="preserve"> stored in a cool, dry area for </w:t>
      </w:r>
      <w:r>
        <w:t>approximately 1 to 2 weeks</w:t>
      </w:r>
      <w:r w:rsidRPr="008B2EEC">
        <w:t xml:space="preserve"> before planting. The stem cuttings are planted using a well-drained potting medium </w:t>
      </w:r>
      <w:r>
        <w:t>(Pascua, Pascua &amp; Gabriel 2015) or planted directly into the ground.</w:t>
      </w:r>
    </w:p>
    <w:p w14:paraId="7394AFC4" w14:textId="77777777" w:rsidR="00BC2F05" w:rsidRPr="00646D32" w:rsidRDefault="00772FB6" w:rsidP="00646D32">
      <w:r>
        <w:t>While dragon fruit can be grown from seed, this is not recommended for planting as they are slow growing compared to propagation from cuttings</w:t>
      </w:r>
      <w:r w:rsidRPr="0098719A">
        <w:t xml:space="preserve"> </w:t>
      </w:r>
      <w:r>
        <w:rPr>
          <w:noProof/>
        </w:rPr>
        <w:t>(Department of Agriculture 2020)</w:t>
      </w:r>
      <w:r>
        <w:t xml:space="preserve">. </w:t>
      </w:r>
    </w:p>
    <w:p w14:paraId="2A27E9F1" w14:textId="77777777" w:rsidR="00BC2F05" w:rsidRPr="00351245" w:rsidRDefault="00772FB6" w:rsidP="00032C1B">
      <w:pPr>
        <w:rPr>
          <w:b/>
          <w:bCs/>
        </w:rPr>
      </w:pPr>
      <w:r>
        <w:rPr>
          <w:b/>
          <w:bCs/>
        </w:rPr>
        <w:t>Planting</w:t>
      </w:r>
    </w:p>
    <w:p w14:paraId="58468037" w14:textId="77777777" w:rsidR="00BC2F05" w:rsidRPr="002562E8" w:rsidRDefault="00772FB6" w:rsidP="00032C1B">
      <w:r>
        <w:t>D</w:t>
      </w:r>
      <w:r w:rsidRPr="002562E8">
        <w:t>ragon fruit</w:t>
      </w:r>
      <w:r>
        <w:t xml:space="preserve"> on</w:t>
      </w:r>
      <w:r w:rsidRPr="002562E8">
        <w:t xml:space="preserve"> export farms </w:t>
      </w:r>
      <w:proofErr w:type="gramStart"/>
      <w:r w:rsidRPr="002562E8">
        <w:t>are</w:t>
      </w:r>
      <w:proofErr w:type="gramEnd"/>
      <w:r w:rsidRPr="002562E8">
        <w:t xml:space="preserve"> grown as a single crop, usually in rural areas, </w:t>
      </w:r>
      <w:r>
        <w:t xml:space="preserve">often </w:t>
      </w:r>
      <w:r w:rsidRPr="002562E8">
        <w:t xml:space="preserve">surrounded by roadside fruit stalls and small farms growing other crops for personal consumption such as banana, corn, durian and pineapple. </w:t>
      </w:r>
    </w:p>
    <w:p w14:paraId="23B1AAA1" w14:textId="77777777" w:rsidR="00BC2F05" w:rsidRDefault="00772FB6" w:rsidP="00032C1B">
      <w:r w:rsidRPr="002562E8">
        <w:t xml:space="preserve">Dragon fruit </w:t>
      </w:r>
      <w:r>
        <w:t xml:space="preserve">plants </w:t>
      </w:r>
      <w:r w:rsidRPr="002562E8">
        <w:t>are grown in open fields (</w:t>
      </w:r>
      <w:r w:rsidRPr="00C32FF3">
        <w:t>Figure 2.3)</w:t>
      </w:r>
      <w:r w:rsidRPr="002562E8">
        <w:t xml:space="preserve"> with direct exposure to sunlight</w:t>
      </w:r>
      <w:r>
        <w:t>,</w:t>
      </w:r>
      <w:r w:rsidRPr="002562E8">
        <w:t xml:space="preserve"> and well-draining,</w:t>
      </w:r>
      <w:r w:rsidRPr="00492C63">
        <w:t xml:space="preserve"> sandy soil with high organic matter </w:t>
      </w:r>
      <w:r>
        <w:rPr>
          <w:noProof/>
        </w:rPr>
        <w:t>(Department of Agriculture 2020; Pascua, Pascua &amp; Gabriel 2015)</w:t>
      </w:r>
      <w:r w:rsidRPr="002562E8">
        <w:t>. Dragon fruit f</w:t>
      </w:r>
      <w:r w:rsidRPr="00492C63">
        <w:t xml:space="preserve">arms that have been converted from other crops often still have sections of tree screening or other remnant trees </w:t>
      </w:r>
      <w:r>
        <w:t>bordering</w:t>
      </w:r>
      <w:r w:rsidRPr="00492C63">
        <w:t xml:space="preserve"> the farm (</w:t>
      </w:r>
      <w:r>
        <w:fldChar w:fldCharType="begin" w:fldLock="1"/>
      </w:r>
      <w:r>
        <w:instrText xml:space="preserve"> REF Figure2_3 \h </w:instrText>
      </w:r>
      <w:r>
        <w:fldChar w:fldCharType="separate"/>
      </w:r>
      <w:r>
        <w:t>Figure 2.3</w:t>
      </w:r>
      <w:r>
        <w:fldChar w:fldCharType="end"/>
      </w:r>
      <w:r w:rsidRPr="00492C63">
        <w:t>).</w:t>
      </w:r>
    </w:p>
    <w:p w14:paraId="71EBA47F" w14:textId="77777777" w:rsidR="00BC2F05" w:rsidRDefault="00BC2F05" w:rsidP="00032C1B"/>
    <w:p w14:paraId="78129D4F" w14:textId="77777777" w:rsidR="00BC2F05" w:rsidRDefault="00BC2F05" w:rsidP="00032C1B"/>
    <w:p w14:paraId="7D29E598" w14:textId="77777777" w:rsidR="00BC2F05" w:rsidRDefault="00BC2F05" w:rsidP="00032C1B"/>
    <w:p w14:paraId="4B59E8D6" w14:textId="77777777" w:rsidR="00BC2F05" w:rsidRPr="00224721" w:rsidRDefault="00772FB6" w:rsidP="00032C1B">
      <w:pPr>
        <w:pStyle w:val="Caption"/>
      </w:pPr>
      <w:bookmarkStart w:id="65" w:name="Figure2_3"/>
      <w:bookmarkStart w:id="66" w:name="_Toc119493122"/>
      <w:r>
        <w:rPr>
          <w:noProof/>
        </w:rPr>
        <w:lastRenderedPageBreak/>
        <w:drawing>
          <wp:anchor distT="0" distB="0" distL="114300" distR="114300" simplePos="0" relativeHeight="251672576" behindDoc="1" locked="0" layoutInCell="1" allowOverlap="1" wp14:anchorId="67A9808B" wp14:editId="6CB54F27">
            <wp:simplePos x="0" y="0"/>
            <wp:positionH relativeFrom="column">
              <wp:posOffset>2661340</wp:posOffset>
            </wp:positionH>
            <wp:positionV relativeFrom="paragraph">
              <wp:posOffset>210323</wp:posOffset>
            </wp:positionV>
            <wp:extent cx="3872865" cy="2668905"/>
            <wp:effectExtent l="0" t="0" r="0" b="0"/>
            <wp:wrapTight wrapText="bothSides">
              <wp:wrapPolygon edited="0">
                <wp:start x="21600" y="21600"/>
                <wp:lineTo x="21600" y="170"/>
                <wp:lineTo x="138" y="170"/>
                <wp:lineTo x="138" y="21600"/>
                <wp:lineTo x="21600" y="21600"/>
              </wp:wrapPolygon>
            </wp:wrapTight>
            <wp:docPr id="72" name="Picture 72" descr="A large dragon fruit orchard with trees bordering  the plan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53002" name="Picture 72" descr="A large dragon fruit orchard with trees bordering  the planted area."/>
                    <pic:cNvPicPr>
                      <a:picLocks noChangeAspect="1" noChangeArrowheads="1"/>
                    </pic:cNvPicPr>
                  </pic:nvPicPr>
                  <pic:blipFill>
                    <a:blip r:embed="rId47" cstate="print">
                      <a:extLst>
                        <a:ext uri="{28A0092B-C50C-407E-A947-70E740481C1C}">
                          <a14:useLocalDpi xmlns:a14="http://schemas.microsoft.com/office/drawing/2010/main" val="0"/>
                        </a:ext>
                      </a:extLst>
                    </a:blip>
                    <a:srcRect l="8171" t="-1" b="33828"/>
                    <a:stretch>
                      <a:fillRect/>
                    </a:stretch>
                  </pic:blipFill>
                  <pic:spPr bwMode="auto">
                    <a:xfrm rot="10800000">
                      <a:off x="0" y="0"/>
                      <a:ext cx="3872865" cy="266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02AA7246" wp14:editId="5FEE9882">
            <wp:simplePos x="0" y="0"/>
            <wp:positionH relativeFrom="column">
              <wp:posOffset>-499745</wp:posOffset>
            </wp:positionH>
            <wp:positionV relativeFrom="paragraph">
              <wp:posOffset>631825</wp:posOffset>
            </wp:positionV>
            <wp:extent cx="3394710" cy="2546350"/>
            <wp:effectExtent l="5080" t="0" r="1270" b="0"/>
            <wp:wrapTight wrapText="bothSides">
              <wp:wrapPolygon edited="0">
                <wp:start x="32" y="21643"/>
                <wp:lineTo x="17244" y="21643"/>
                <wp:lineTo x="17244" y="151"/>
                <wp:lineTo x="32" y="151"/>
                <wp:lineTo x="32" y="21643"/>
              </wp:wrapPolygon>
            </wp:wrapTight>
            <wp:docPr id="19" name="Picture 19" descr="A dragon fruit orchard. Dragon fruit plants are arranged in rows about 3 metre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9083" name="Picture 19" descr="A dragon fruit orchard. Dragon fruit plants are arranged in rows about 3 metres apart."/>
                    <pic:cNvPicPr/>
                  </pic:nvPicPr>
                  <pic:blipFill>
                    <a:blip r:embed="rId48" cstate="print">
                      <a:extLst>
                        <a:ext uri="{28A0092B-C50C-407E-A947-70E740481C1C}">
                          <a14:useLocalDpi xmlns:a14="http://schemas.microsoft.com/office/drawing/2010/main" val="0"/>
                        </a:ext>
                      </a:extLst>
                    </a:blip>
                    <a:srcRect l="21035" t="1002" r="-21035" b="-1002"/>
                    <a:stretch>
                      <a:fillRect/>
                    </a:stretch>
                  </pic:blipFill>
                  <pic:spPr bwMode="auto">
                    <a:xfrm rot="5400000">
                      <a:off x="0" y="0"/>
                      <a:ext cx="3394710" cy="2546350"/>
                    </a:xfrm>
                    <a:prstGeom prst="rect">
                      <a:avLst/>
                    </a:prstGeom>
                    <a:ln>
                      <a:noFill/>
                    </a:ln>
                    <a:extLst>
                      <a:ext uri="{53640926-AAD7-44D8-BBD7-CCE9431645EC}">
                        <a14:shadowObscured xmlns:a14="http://schemas.microsoft.com/office/drawing/2010/main"/>
                      </a:ext>
                    </a:extLst>
                  </pic:spPr>
                </pic:pic>
              </a:graphicData>
            </a:graphic>
          </wp:anchor>
        </w:drawing>
      </w:r>
      <w:r>
        <w:t xml:space="preserve">Figure 2.3 </w:t>
      </w:r>
      <w:bookmarkEnd w:id="65"/>
      <w:r>
        <w:t>Dragon fruit plantations with bordering tree lines</w:t>
      </w:r>
      <w:bookmarkEnd w:id="66"/>
    </w:p>
    <w:p w14:paraId="534633E1" w14:textId="77777777" w:rsidR="00BC2F05" w:rsidRPr="002562E8" w:rsidRDefault="00772FB6" w:rsidP="00032C1B">
      <w:r w:rsidRPr="00492C63">
        <w:t xml:space="preserve">Dragon fruit plants require support structures to grow effectively. Two-metre-high cement, PVC or wooden posts are placed into </w:t>
      </w:r>
      <w:r>
        <w:t xml:space="preserve">mounded </w:t>
      </w:r>
      <w:r w:rsidRPr="00492C63">
        <w:t>rows as support</w:t>
      </w:r>
      <w:r>
        <w:t xml:space="preserve"> for the plant</w:t>
      </w:r>
      <w:r w:rsidRPr="00492C63">
        <w:t xml:space="preserve"> </w:t>
      </w:r>
      <w:r w:rsidRPr="002562E8">
        <w:rPr>
          <w:noProof/>
        </w:rPr>
        <w:t>(Department of Agriculture 2020; Pascua, Pascua &amp; Gabriel 2015)</w:t>
      </w:r>
      <w:r w:rsidRPr="002562E8">
        <w:t>. The posts are buried in the ground with a planting distance 2</w:t>
      </w:r>
      <w:r w:rsidRPr="00492C63">
        <w:t>–3 metr</w:t>
      </w:r>
      <w:r>
        <w:t>e</w:t>
      </w:r>
      <w:r w:rsidRPr="00492C63">
        <w:t xml:space="preserve">s between posts and 2.5–4 metres between rows </w:t>
      </w:r>
      <w:r w:rsidRPr="002562E8">
        <w:rPr>
          <w:noProof/>
        </w:rPr>
        <w:t>(Department of Agriculture 2020; Pascua, Pascua &amp; Gabriel 2015)</w:t>
      </w:r>
      <w:r w:rsidRPr="002562E8">
        <w:t xml:space="preserve">. Used tyres, steel bars or alternative materials are used to make a crown at the top of the posts. </w:t>
      </w:r>
    </w:p>
    <w:p w14:paraId="47412C49" w14:textId="77777777" w:rsidR="00BC2F05" w:rsidRDefault="00772FB6" w:rsidP="00032C1B">
      <w:r w:rsidRPr="002562E8">
        <w:t>Approximately 2</w:t>
      </w:r>
      <w:r w:rsidRPr="00492C63">
        <w:t>–</w:t>
      </w:r>
      <w:r w:rsidRPr="002562E8">
        <w:t>4 s</w:t>
      </w:r>
      <w:r w:rsidRPr="00492C63">
        <w:t>tem cuttings or propagules are</w:t>
      </w:r>
      <w:r>
        <w:t xml:space="preserve"> planted into the soil around the base of each support post and </w:t>
      </w:r>
      <w:r w:rsidRPr="00492C63">
        <w:t>tied to the post using plastic string (</w:t>
      </w:r>
      <w:r>
        <w:fldChar w:fldCharType="begin" w:fldLock="1"/>
      </w:r>
      <w:r>
        <w:instrText xml:space="preserve"> REF Figure2_4 \h </w:instrText>
      </w:r>
      <w:r>
        <w:fldChar w:fldCharType="separate"/>
      </w:r>
      <w:r>
        <w:t>Figure 2.4</w:t>
      </w:r>
      <w:r>
        <w:fldChar w:fldCharType="end"/>
      </w:r>
      <w:r>
        <w:t>). This provides</w:t>
      </w:r>
      <w:r w:rsidRPr="00492C63">
        <w:t xml:space="preserve"> stability and a structure for the plant to climb </w:t>
      </w:r>
      <w:r w:rsidRPr="002562E8">
        <w:rPr>
          <w:noProof/>
        </w:rPr>
        <w:t>(Pascua, Pascua &amp; Gabriel 2015)</w:t>
      </w:r>
      <w:r w:rsidRPr="002562E8">
        <w:t xml:space="preserve">. </w:t>
      </w:r>
    </w:p>
    <w:p w14:paraId="2A4CB56D" w14:textId="77777777" w:rsidR="00BC2F05" w:rsidRPr="00224721" w:rsidRDefault="00772FB6" w:rsidP="00032C1B">
      <w:pPr>
        <w:pStyle w:val="Caption"/>
      </w:pPr>
      <w:bookmarkStart w:id="67" w:name="Figure2_4"/>
      <w:bookmarkStart w:id="68" w:name="_Toc119493123"/>
      <w:r>
        <w:t xml:space="preserve">Figure 2.4 </w:t>
      </w:r>
      <w:bookmarkEnd w:id="67"/>
      <w:r>
        <w:t>Dragon fruit stem cuttings tied to cement posts using plastic string</w:t>
      </w:r>
      <w:bookmarkEnd w:id="68"/>
    </w:p>
    <w:p w14:paraId="5BD8E652" w14:textId="77777777" w:rsidR="00BC2F05" w:rsidRDefault="00772FB6" w:rsidP="00032C1B">
      <w:r>
        <w:rPr>
          <w:noProof/>
        </w:rPr>
        <w:drawing>
          <wp:anchor distT="0" distB="0" distL="114300" distR="114300" simplePos="0" relativeHeight="251673600" behindDoc="1" locked="0" layoutInCell="1" allowOverlap="1" wp14:anchorId="5F5D8C18" wp14:editId="22D44F89">
            <wp:simplePos x="0" y="0"/>
            <wp:positionH relativeFrom="column">
              <wp:posOffset>109220</wp:posOffset>
            </wp:positionH>
            <wp:positionV relativeFrom="paragraph">
              <wp:posOffset>19050</wp:posOffset>
            </wp:positionV>
            <wp:extent cx="2552065" cy="3235960"/>
            <wp:effectExtent l="0" t="0" r="635" b="2540"/>
            <wp:wrapTight wrapText="bothSides">
              <wp:wrapPolygon edited="0">
                <wp:start x="0" y="0"/>
                <wp:lineTo x="0" y="21490"/>
                <wp:lineTo x="21444" y="21490"/>
                <wp:lineTo x="21444" y="0"/>
                <wp:lineTo x="0" y="0"/>
              </wp:wrapPolygon>
            </wp:wrapTight>
            <wp:docPr id="10" name="Picture 10" descr="Multiple dragon fruit stems that have been planted around the base of a cement posts. The stems have been tie to the post using plastic string and have climbed to the top of the post where multiple shoots form a umbrella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79758" name="Picture 10" descr="Multiple dragon fruit stems that have been planted around the base of a cement posts. The stems have been tie to the post using plastic string and have climbed to the top of the post where multiple shoots form a umbrella canopy"/>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552065"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8BBD2" w14:textId="77777777" w:rsidR="00BC2F05" w:rsidRDefault="00BC2F05" w:rsidP="00032C1B"/>
    <w:p w14:paraId="091A2D93" w14:textId="77777777" w:rsidR="00BC2F05" w:rsidRDefault="00BC2F05" w:rsidP="00032C1B"/>
    <w:p w14:paraId="4C53226A" w14:textId="77777777" w:rsidR="00BC2F05" w:rsidRDefault="00BC2F05" w:rsidP="00032C1B"/>
    <w:p w14:paraId="2C5C1753" w14:textId="77777777" w:rsidR="00BC2F05" w:rsidRDefault="00BC2F05" w:rsidP="00032C1B"/>
    <w:p w14:paraId="63F78452" w14:textId="77777777" w:rsidR="00BC2F05" w:rsidRDefault="00BC2F05" w:rsidP="00032C1B"/>
    <w:p w14:paraId="299C2E55" w14:textId="77777777" w:rsidR="00BC2F05" w:rsidRDefault="00BC2F05" w:rsidP="00032C1B"/>
    <w:p w14:paraId="67AA45F9" w14:textId="77777777" w:rsidR="00BC2F05" w:rsidRDefault="00BC2F05" w:rsidP="00032C1B"/>
    <w:p w14:paraId="0A4B4C29" w14:textId="77777777" w:rsidR="00BC2F05" w:rsidRDefault="00BC2F05" w:rsidP="00032C1B"/>
    <w:p w14:paraId="05B56730" w14:textId="77777777" w:rsidR="00BC2F05" w:rsidRDefault="00BC2F05" w:rsidP="00032C1B"/>
    <w:p w14:paraId="1B4448F3" w14:textId="77777777" w:rsidR="00BC2F05" w:rsidRDefault="00BC2F05" w:rsidP="00032C1B"/>
    <w:p w14:paraId="25AF41B5" w14:textId="77777777" w:rsidR="00BC2F05" w:rsidRDefault="00772FB6" w:rsidP="00032C1B">
      <w:r w:rsidRPr="00492C63">
        <w:lastRenderedPageBreak/>
        <w:t>The stems of the dragon fruit</w:t>
      </w:r>
      <w:r>
        <w:t xml:space="preserve"> plants</w:t>
      </w:r>
      <w:r w:rsidRPr="00492C63">
        <w:t xml:space="preserve"> are trained to grow towards the crown of the structure and are topped when approximately 1 metre high to promote growth into multiple shoots. The shoots branch out and spread around the crown of the structure to form an umbrella-like canopy </w:t>
      </w:r>
      <w:r w:rsidRPr="002562E8">
        <w:rPr>
          <w:noProof/>
        </w:rPr>
        <w:t>(Pascua, Pascua &amp; Gabriel 2015)</w:t>
      </w:r>
      <w:r w:rsidRPr="002562E8">
        <w:t xml:space="preserve"> </w:t>
      </w:r>
      <w:r w:rsidRPr="00C32FF3">
        <w:t>(Figure 2.5)</w:t>
      </w:r>
      <w:r w:rsidRPr="008971A0">
        <w:t>.</w:t>
      </w:r>
    </w:p>
    <w:p w14:paraId="4F7895C5" w14:textId="77777777" w:rsidR="00BC2F05" w:rsidRPr="00224721" w:rsidRDefault="00772FB6" w:rsidP="009E4A00">
      <w:pPr>
        <w:pStyle w:val="Caption"/>
      </w:pPr>
      <w:bookmarkStart w:id="69" w:name="_Toc119493124"/>
      <w:r>
        <w:t>Figure 2.5 Trained dragon fruit stem forming a crown structure</w:t>
      </w:r>
      <w:r w:rsidRPr="008215ED">
        <w:t>.</w:t>
      </w:r>
      <w:bookmarkEnd w:id="69"/>
    </w:p>
    <w:p w14:paraId="60167850" w14:textId="77777777" w:rsidR="00BC2F05" w:rsidRDefault="00772FB6" w:rsidP="00032C1B">
      <w:r w:rsidRPr="004D7EE6">
        <w:t xml:space="preserve"> </w:t>
      </w:r>
      <w:r>
        <w:rPr>
          <w:noProof/>
        </w:rPr>
        <w:drawing>
          <wp:inline distT="0" distB="0" distL="0" distR="0" wp14:anchorId="45FBF3F1" wp14:editId="6DCA2EBA">
            <wp:extent cx="3559597" cy="2669894"/>
            <wp:effectExtent l="6668" t="0" r="0" b="0"/>
            <wp:docPr id="73" name="Picture 73" descr="A close up of an established dragon fruit plant with multiple shoots forming a umbrella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16000" name="Picture 73" descr="A close up of an established dragon fruit plant with multiple shoots forming a umbrella canopy"/>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3566659" cy="2675191"/>
                    </a:xfrm>
                    <a:prstGeom prst="rect">
                      <a:avLst/>
                    </a:prstGeom>
                    <a:noFill/>
                    <a:ln>
                      <a:noFill/>
                    </a:ln>
                  </pic:spPr>
                </pic:pic>
              </a:graphicData>
            </a:graphic>
          </wp:inline>
        </w:drawing>
      </w:r>
    </w:p>
    <w:p w14:paraId="5912756B" w14:textId="77777777" w:rsidR="00BC2F05" w:rsidRPr="00914343" w:rsidRDefault="00772FB6" w:rsidP="00032C1B">
      <w:r>
        <w:t xml:space="preserve">Dragon fruit is a shallow rooted plant with most roots concentrated in the top 15–30 centimetres of the soil. Organic fertilisers are used liberally at the base of the post and incorporated into the soil before planting. Inorganic fertilisers are applied approximately every 3 </w:t>
      </w:r>
      <w:r w:rsidRPr="00492C63">
        <w:t>month</w:t>
      </w:r>
      <w:r>
        <w:t xml:space="preserve">s 5–8 centimetres away from the base of the plant to prevent </w:t>
      </w:r>
      <w:r w:rsidRPr="00492C63">
        <w:t>direct contact. Foliar fertiliser is also applied every 2 weeks</w:t>
      </w:r>
      <w:r>
        <w:t xml:space="preserve"> during the establishment period</w:t>
      </w:r>
      <w:r w:rsidRPr="00492C63">
        <w:t xml:space="preserve"> </w:t>
      </w:r>
      <w:r w:rsidRPr="00492C63">
        <w:rPr>
          <w:noProof/>
        </w:rPr>
        <w:t>(Pascua, Pascua &amp; Gabriel 2015)</w:t>
      </w:r>
      <w:r w:rsidRPr="00492C63">
        <w:t>. Fertilisers that contain around 30% calcium are applied during the fruiting stage to prevent fruit split. It is common practice to not use fertiliser</w:t>
      </w:r>
      <w:r>
        <w:t>s</w:t>
      </w:r>
      <w:r w:rsidRPr="00492C63">
        <w:t xml:space="preserve"> that contain nitrogen during th</w:t>
      </w:r>
      <w:r>
        <w:t xml:space="preserve">e fruiting </w:t>
      </w:r>
      <w:r w:rsidRPr="00492C63">
        <w:t>stage, as it induces growth of new stems.</w:t>
      </w:r>
      <w:r>
        <w:t xml:space="preserve"> Bio-fertilisers such as </w:t>
      </w:r>
      <w:proofErr w:type="spellStart"/>
      <w:r>
        <w:t>Mykovam</w:t>
      </w:r>
      <w:proofErr w:type="spellEnd"/>
      <w:r>
        <w:t xml:space="preserve">, Bio-N or vermicompost are also used as cheaper alternatives to synthetic fertilisers in some farms </w:t>
      </w:r>
      <w:r>
        <w:rPr>
          <w:noProof/>
        </w:rPr>
        <w:t>(Eusebio &amp; Alaban 2018)</w:t>
      </w:r>
      <w:r>
        <w:t>.</w:t>
      </w:r>
    </w:p>
    <w:p w14:paraId="342F7A57" w14:textId="77777777" w:rsidR="00BC2F05" w:rsidRDefault="00772FB6" w:rsidP="00032C1B">
      <w:pPr>
        <w:rPr>
          <w:b/>
          <w:bCs/>
        </w:rPr>
      </w:pPr>
      <w:r w:rsidRPr="00351245">
        <w:rPr>
          <w:b/>
          <w:bCs/>
        </w:rPr>
        <w:t>Planting time</w:t>
      </w:r>
    </w:p>
    <w:p w14:paraId="1C7527BC" w14:textId="77777777" w:rsidR="00BC2F05" w:rsidRPr="003C1DDD" w:rsidRDefault="00772FB6" w:rsidP="00032C1B">
      <w:r w:rsidRPr="003C1DDD">
        <w:t xml:space="preserve">New dragon fruit propagation material is planted during the wet season </w:t>
      </w:r>
      <w:r>
        <w:t xml:space="preserve">(June to November) </w:t>
      </w:r>
      <w:r w:rsidRPr="003C1DDD">
        <w:t xml:space="preserve">to save on both irrigation costs and to ensure that the crop coincides with the subsequent flowering season </w:t>
      </w:r>
      <w:r>
        <w:rPr>
          <w:noProof/>
        </w:rPr>
        <w:t>(Pascua, Pascua &amp; Gabriel 2015)</w:t>
      </w:r>
      <w:r w:rsidRPr="003C1DDD">
        <w:t>.</w:t>
      </w:r>
    </w:p>
    <w:p w14:paraId="55821FC0" w14:textId="77777777" w:rsidR="00BC2F05" w:rsidRDefault="00772FB6" w:rsidP="00032C1B">
      <w:pPr>
        <w:rPr>
          <w:b/>
          <w:bCs/>
        </w:rPr>
      </w:pPr>
      <w:r>
        <w:rPr>
          <w:b/>
          <w:bCs/>
        </w:rPr>
        <w:t>Pruning and weeding</w:t>
      </w:r>
    </w:p>
    <w:p w14:paraId="7C08FB63" w14:textId="77777777" w:rsidR="00BC2F05" w:rsidRDefault="00772FB6" w:rsidP="00032C1B">
      <w:r>
        <w:t>Stems are pruned with sterile s</w:t>
      </w:r>
      <w:r w:rsidRPr="00631571">
        <w:t xml:space="preserve">ecateurs </w:t>
      </w:r>
      <w:r>
        <w:t xml:space="preserve">to create an open, manageable, productive canopy. Low hanging stems or additional shoots that develop at the base of the plants are removed. Pruned stems are usually </w:t>
      </w:r>
      <w:r w:rsidRPr="00492C63">
        <w:t xml:space="preserve">disposed of </w:t>
      </w:r>
      <w:r>
        <w:t xml:space="preserve">by burial </w:t>
      </w:r>
      <w:r w:rsidRPr="00492C63">
        <w:t xml:space="preserve">away from the plants. Any stems with </w:t>
      </w:r>
      <w:r>
        <w:t xml:space="preserve">possible </w:t>
      </w:r>
      <w:r w:rsidRPr="00492C63">
        <w:t xml:space="preserve">disease </w:t>
      </w:r>
      <w:r w:rsidRPr="00492C63">
        <w:lastRenderedPageBreak/>
        <w:t>symptoms such as stem canker or anthracnose are pruned and deep buried offsite.</w:t>
      </w:r>
      <w:r>
        <w:t xml:space="preserve"> Pruned healthy stems can be used as new planting materials if required.</w:t>
      </w:r>
    </w:p>
    <w:p w14:paraId="7FA101B8" w14:textId="77777777" w:rsidR="00BC2F05" w:rsidRDefault="00772FB6" w:rsidP="00032C1B">
      <w:r>
        <w:t xml:space="preserve">Weeds, </w:t>
      </w:r>
      <w:proofErr w:type="gramStart"/>
      <w:r>
        <w:t>grass</w:t>
      </w:r>
      <w:proofErr w:type="gramEnd"/>
      <w:r>
        <w:t xml:space="preserve"> and other vegetation around the diameter of each post are mechanically removed </w:t>
      </w:r>
      <w:r>
        <w:rPr>
          <w:noProof/>
        </w:rPr>
        <w:t>(Pascua, Pascua &amp; Gabriel 2015)</w:t>
      </w:r>
      <w:r>
        <w:t xml:space="preserve">. </w:t>
      </w:r>
      <w:r w:rsidRPr="00492C63">
        <w:t>Cut grass is piled onto the planting mounds to act as mulch for water retention during the summer months.</w:t>
      </w:r>
    </w:p>
    <w:p w14:paraId="5ECBDA51" w14:textId="77777777" w:rsidR="00BC2F05" w:rsidRDefault="00772FB6" w:rsidP="00032C1B">
      <w:pPr>
        <w:rPr>
          <w:b/>
          <w:bCs/>
        </w:rPr>
      </w:pPr>
      <w:r w:rsidRPr="00351245">
        <w:rPr>
          <w:b/>
          <w:bCs/>
        </w:rPr>
        <w:t xml:space="preserve">Bagging </w:t>
      </w:r>
    </w:p>
    <w:p w14:paraId="4D83339C" w14:textId="77777777" w:rsidR="00BC2F05" w:rsidRPr="004A25F2" w:rsidRDefault="00772FB6" w:rsidP="00032C1B">
      <w:r>
        <w:t xml:space="preserve">Plastic, </w:t>
      </w:r>
      <w:proofErr w:type="gramStart"/>
      <w:r>
        <w:t>cloth</w:t>
      </w:r>
      <w:proofErr w:type="gramEnd"/>
      <w:r>
        <w:t xml:space="preserve"> or paper bags can be used to cover fruit to prevent fruit fly infestation </w:t>
      </w:r>
      <w:r>
        <w:rPr>
          <w:noProof/>
        </w:rPr>
        <w:t>(Eusebio &amp; Alaban 2018; Pascua, Pascua &amp; Gabriel 2015)</w:t>
      </w:r>
      <w:r>
        <w:t xml:space="preserve">. This practice is not standard across all commercial production </w:t>
      </w:r>
      <w:proofErr w:type="gramStart"/>
      <w:r>
        <w:t>areas, but</w:t>
      </w:r>
      <w:proofErr w:type="gramEnd"/>
      <w:r>
        <w:t xml:space="preserve"> is recommended as a practice in areas where fruit flies are a problem</w:t>
      </w:r>
      <w:r w:rsidRPr="000036ED">
        <w:t>.</w:t>
      </w:r>
    </w:p>
    <w:p w14:paraId="3D5FCDE0" w14:textId="77777777" w:rsidR="00BC2F05" w:rsidRDefault="00772FB6" w:rsidP="00032C1B">
      <w:pPr>
        <w:rPr>
          <w:b/>
          <w:bCs/>
        </w:rPr>
      </w:pPr>
      <w:r w:rsidRPr="00351245">
        <w:rPr>
          <w:b/>
          <w:bCs/>
        </w:rPr>
        <w:t>Irrigation</w:t>
      </w:r>
    </w:p>
    <w:p w14:paraId="1F69DAED" w14:textId="77777777" w:rsidR="00BC2F05" w:rsidRDefault="00772FB6" w:rsidP="00032C1B">
      <w:r>
        <w:t xml:space="preserve">Newly planted dragon fruit are generally irrigated twice each week. Plants are irrigated just after fertilisation </w:t>
      </w:r>
      <w:r>
        <w:rPr>
          <w:noProof/>
        </w:rPr>
        <w:t>(Pascua, Pascua &amp; Gabriel 2015)</w:t>
      </w:r>
      <w:r>
        <w:t xml:space="preserve"> and frequently throughout the dry season </w:t>
      </w:r>
      <w:r>
        <w:rPr>
          <w:noProof/>
        </w:rPr>
        <w:t>(Department of Agriculture 2020)</w:t>
      </w:r>
      <w:r>
        <w:t>. The frequency and amount of watering required is dependent on the amount of rainfall in the production area.</w:t>
      </w:r>
    </w:p>
    <w:p w14:paraId="3B0073B0" w14:textId="77777777" w:rsidR="00BC2F05" w:rsidRDefault="00772FB6" w:rsidP="00032C1B">
      <w:r>
        <w:t xml:space="preserve">The posts of the growing structure are also wet to enhance the growth of aerial roots from the underside of the stems that provide anchorage for climbing </w:t>
      </w:r>
      <w:r>
        <w:rPr>
          <w:noProof/>
        </w:rPr>
        <w:t>(Pascua, Pascua &amp; Gabriel 2015)</w:t>
      </w:r>
      <w:r>
        <w:t>.</w:t>
      </w:r>
    </w:p>
    <w:p w14:paraId="1B630C9E" w14:textId="77777777" w:rsidR="00BC2F05" w:rsidRPr="00CA4553" w:rsidRDefault="00772FB6" w:rsidP="00032C1B">
      <w:pPr>
        <w:rPr>
          <w:b/>
          <w:bCs/>
        </w:rPr>
      </w:pPr>
      <w:r w:rsidRPr="00CA4553">
        <w:rPr>
          <w:b/>
          <w:bCs/>
        </w:rPr>
        <w:t>Forced flower induction</w:t>
      </w:r>
    </w:p>
    <w:p w14:paraId="41E7CF88" w14:textId="77777777" w:rsidR="00BC2F05" w:rsidRDefault="00772FB6" w:rsidP="00032C1B">
      <w:r w:rsidRPr="00CA4553">
        <w:t xml:space="preserve">Dragon fruit is photoperiodic, blooming under long daylight conditions. </w:t>
      </w:r>
      <w:r>
        <w:t>A</w:t>
      </w:r>
      <w:r w:rsidRPr="00CA4553">
        <w:t>rtificial lighting</w:t>
      </w:r>
      <w:r>
        <w:t>,</w:t>
      </w:r>
      <w:r w:rsidRPr="00CA4553">
        <w:t xml:space="preserve"> during periods of the night</w:t>
      </w:r>
      <w:r>
        <w:t>,</w:t>
      </w:r>
      <w:r w:rsidRPr="00CA4553">
        <w:t xml:space="preserve"> </w:t>
      </w:r>
      <w:r>
        <w:t xml:space="preserve">is used to extend the harvesting period when the length of daylight time is insufficient to </w:t>
      </w:r>
      <w:r w:rsidRPr="00CA4553">
        <w:t>induce flower</w:t>
      </w:r>
      <w:r>
        <w:t>ing. For example, one export orchard in the Philippines used artificial lighting every night between 7pm and 1am in September to extend its production season by 3 months.</w:t>
      </w:r>
      <w:r w:rsidRPr="00CA4553">
        <w:t xml:space="preserve"> </w:t>
      </w:r>
      <w:r>
        <w:t>In this instance s</w:t>
      </w:r>
      <w:r w:rsidRPr="00CA4553">
        <w:t xml:space="preserve">ix-watt </w:t>
      </w:r>
      <w:r>
        <w:t>l</w:t>
      </w:r>
      <w:r w:rsidRPr="00CA4553">
        <w:t xml:space="preserve">ight </w:t>
      </w:r>
      <w:r>
        <w:t>e</w:t>
      </w:r>
      <w:r w:rsidRPr="00CA4553">
        <w:t xml:space="preserve">mitting </w:t>
      </w:r>
      <w:r>
        <w:t>d</w:t>
      </w:r>
      <w:r w:rsidRPr="00CA4553">
        <w:t xml:space="preserve">iode (LED) bulbs or 26-watt compact fluorescent lamps (CFL) </w:t>
      </w:r>
      <w:r>
        <w:t>were</w:t>
      </w:r>
      <w:r w:rsidRPr="00CA4553">
        <w:t xml:space="preserve"> suspended at the centre of </w:t>
      </w:r>
      <w:r>
        <w:t>4</w:t>
      </w:r>
      <w:r w:rsidRPr="00CA4553">
        <w:t xml:space="preserve"> posts of dragon fruit plants, 1.5 metres above the ground to </w:t>
      </w:r>
      <w:r>
        <w:t>achieve the desired effect</w:t>
      </w:r>
      <w:r w:rsidRPr="00CA4553">
        <w:t>.</w:t>
      </w:r>
      <w:r>
        <w:t xml:space="preserve"> </w:t>
      </w:r>
    </w:p>
    <w:p w14:paraId="75116ED7" w14:textId="77777777" w:rsidR="00BC2F05" w:rsidRDefault="00772FB6" w:rsidP="00032C1B">
      <w:pPr>
        <w:pStyle w:val="Heading4"/>
      </w:pPr>
      <w:r>
        <w:t>Pest management</w:t>
      </w:r>
    </w:p>
    <w:p w14:paraId="38D63786" w14:textId="77777777" w:rsidR="00BC2F05" w:rsidRPr="005D59E1" w:rsidRDefault="00772FB6" w:rsidP="00032C1B">
      <w:r>
        <w:rPr>
          <w:color w:val="000000" w:themeColor="text1"/>
        </w:rPr>
        <w:t xml:space="preserve">A range of pests can occur on commercially grown dragon fruit plants such as fungi and insects, including fruit flies. Relevant </w:t>
      </w:r>
      <w:r>
        <w:t xml:space="preserve">pest management practices are independently assessed and applied by farm managers to manage pests or diseases specific to the production area </w:t>
      </w:r>
      <w:r>
        <w:rPr>
          <w:noProof/>
        </w:rPr>
        <w:t>(Eusebio &amp; Alaban 2018)</w:t>
      </w:r>
      <w:r>
        <w:t>.</w:t>
      </w:r>
      <w:r w:rsidRPr="000F4A33">
        <w:t xml:space="preserve"> Staff are trained to identify pests and apply</w:t>
      </w:r>
      <w:r>
        <w:t xml:space="preserve"> the</w:t>
      </w:r>
      <w:r w:rsidRPr="005D59E1">
        <w:t xml:space="preserve"> appropriate management practices. </w:t>
      </w:r>
    </w:p>
    <w:p w14:paraId="0D1CEE9E" w14:textId="77777777" w:rsidR="00BC2F05" w:rsidRPr="005D59E1" w:rsidRDefault="00772FB6" w:rsidP="00032C1B">
      <w:pPr>
        <w:rPr>
          <w:color w:val="000000" w:themeColor="text1"/>
        </w:rPr>
      </w:pPr>
      <w:r w:rsidRPr="005D59E1">
        <w:rPr>
          <w:color w:val="000000" w:themeColor="text1"/>
        </w:rPr>
        <w:t>Stem canker</w:t>
      </w:r>
      <w:r>
        <w:rPr>
          <w:color w:val="000000" w:themeColor="text1"/>
        </w:rPr>
        <w:t xml:space="preserve"> due to fungal infection</w:t>
      </w:r>
      <w:r w:rsidRPr="005D59E1">
        <w:rPr>
          <w:color w:val="000000" w:themeColor="text1"/>
        </w:rPr>
        <w:t xml:space="preserve"> is one of the main </w:t>
      </w:r>
      <w:r>
        <w:rPr>
          <w:color w:val="000000" w:themeColor="text1"/>
        </w:rPr>
        <w:t>diseases</w:t>
      </w:r>
      <w:r w:rsidRPr="005D59E1">
        <w:rPr>
          <w:color w:val="000000" w:themeColor="text1"/>
        </w:rPr>
        <w:t xml:space="preserve"> of concern affecting dragon fruit</w:t>
      </w:r>
      <w:r>
        <w:rPr>
          <w:color w:val="000000" w:themeColor="text1"/>
        </w:rPr>
        <w:t xml:space="preserve"> production</w:t>
      </w:r>
      <w:r w:rsidRPr="005D59E1">
        <w:rPr>
          <w:color w:val="000000" w:themeColor="text1"/>
        </w:rPr>
        <w:t xml:space="preserve"> in the Philippines. Stem canker is managed through pruning to ensure sufficient aeration around the canopy at the top of the plant. The increased aeration limits conditions that are favourable for fungi to grow and cause the cankers.</w:t>
      </w:r>
    </w:p>
    <w:p w14:paraId="29FADC32" w14:textId="77777777" w:rsidR="00BC2F05" w:rsidRDefault="00772FB6" w:rsidP="00032C1B">
      <w:r>
        <w:t xml:space="preserve">Soft rot and anthracnose are fungal diseases that affect dragon fruit plants and contribute to low fruit yield </w:t>
      </w:r>
      <w:r>
        <w:rPr>
          <w:noProof/>
        </w:rPr>
        <w:t>(Eusebio &amp; Alaban 2018)</w:t>
      </w:r>
      <w:r>
        <w:t xml:space="preserve">. Anthracnose caused by fungi affects the base stems close to the surface of the soil. Infected </w:t>
      </w:r>
      <w:r w:rsidRPr="005D59E1">
        <w:t xml:space="preserve">stems are stripped down to their woody stem using a technique called ‘scraping’. This management practice removes the source of spores and reduces likelihood </w:t>
      </w:r>
      <w:r w:rsidRPr="005D59E1">
        <w:lastRenderedPageBreak/>
        <w:t>of fungal infection (</w:t>
      </w:r>
      <w:r>
        <w:fldChar w:fldCharType="begin" w:fldLock="1"/>
      </w:r>
      <w:r>
        <w:instrText xml:space="preserve"> REF Figure2_6 \h </w:instrText>
      </w:r>
      <w:r>
        <w:fldChar w:fldCharType="separate"/>
      </w:r>
      <w:r>
        <w:t>Figure 2.6</w:t>
      </w:r>
      <w:r>
        <w:fldChar w:fldCharType="end"/>
      </w:r>
      <w:r w:rsidRPr="005D59E1">
        <w:t xml:space="preserve">). Canopy stems </w:t>
      </w:r>
      <w:r>
        <w:t>infected</w:t>
      </w:r>
      <w:r w:rsidRPr="005D59E1">
        <w:t xml:space="preserve"> by soft rot or anthracnose are removed from the plant through pruning. Infected stems are deep buried offsite to avoid re-infection.</w:t>
      </w:r>
      <w:r>
        <w:t xml:space="preserve"> Application of copper-based fungicide and good soil health are also used to combat these diseases </w:t>
      </w:r>
      <w:r>
        <w:rPr>
          <w:noProof/>
        </w:rPr>
        <w:t>(Eusebio &amp; Alaban 2018)</w:t>
      </w:r>
      <w:r>
        <w:t xml:space="preserve">. </w:t>
      </w:r>
    </w:p>
    <w:p w14:paraId="17DE37DE" w14:textId="77777777" w:rsidR="00BC2F05" w:rsidRDefault="00772FB6" w:rsidP="00032C1B">
      <w:pPr>
        <w:rPr>
          <w:color w:val="000000" w:themeColor="text1"/>
        </w:rPr>
      </w:pPr>
      <w:r w:rsidRPr="00C34658">
        <w:t xml:space="preserve">Crops are monitored for pests and diseases daily. Growers and farmhands inspect </w:t>
      </w:r>
      <w:r>
        <w:t>the</w:t>
      </w:r>
      <w:r w:rsidRPr="00C34658">
        <w:t xml:space="preserve"> plant</w:t>
      </w:r>
      <w:r>
        <w:t>s</w:t>
      </w:r>
      <w:r w:rsidRPr="00C34658">
        <w:t xml:space="preserve"> and any obvious external feeding pests </w:t>
      </w:r>
      <w:r>
        <w:t>encountered</w:t>
      </w:r>
      <w:r w:rsidRPr="00C34658">
        <w:t xml:space="preserve"> are physically removed and squashed</w:t>
      </w:r>
      <w:r w:rsidRPr="00A77E8C">
        <w:t>.</w:t>
      </w:r>
      <w:r>
        <w:t xml:space="preserve"> Soap spray solutions or chlorpyrifos-based insecticides are also used to control the presence of pests such as ants and scale insects </w:t>
      </w:r>
      <w:r>
        <w:rPr>
          <w:noProof/>
        </w:rPr>
        <w:t>(Eusebio &amp; Alaban 2018; Pascua, Pascua &amp; Gabriel 2015)</w:t>
      </w:r>
      <w:r>
        <w:t xml:space="preserve">. </w:t>
      </w:r>
    </w:p>
    <w:p w14:paraId="431200FC" w14:textId="77777777" w:rsidR="00BC2F05" w:rsidRDefault="00772FB6" w:rsidP="00032C1B">
      <w:r>
        <w:t>The Philippines DA oversees the national fruit fly monitoring and surveillance program to assess the distribution and prevalence of key fruit fly pests across the country. In some circumstances f</w:t>
      </w:r>
      <w:r w:rsidRPr="001B4D02">
        <w:t>arms use methyl eugenol traps, as well as bagging, to prevent fruit fly attack</w:t>
      </w:r>
      <w:r>
        <w:t>s</w:t>
      </w:r>
      <w:r w:rsidRPr="001B4D02">
        <w:t xml:space="preserve"> </w:t>
      </w:r>
      <w:r>
        <w:rPr>
          <w:noProof/>
        </w:rPr>
        <w:t>(Eusebio &amp; Alaban 2018; Pascua, Pascua &amp; Gabriel 2015)</w:t>
      </w:r>
      <w:r w:rsidRPr="001B4D02">
        <w:t>.</w:t>
      </w:r>
      <w:r>
        <w:t xml:space="preserve"> </w:t>
      </w:r>
    </w:p>
    <w:p w14:paraId="24BCAC60" w14:textId="77777777" w:rsidR="00BC2F05" w:rsidRPr="00224721" w:rsidRDefault="00772FB6" w:rsidP="00032C1B">
      <w:pPr>
        <w:pStyle w:val="Caption"/>
      </w:pPr>
      <w:bookmarkStart w:id="70" w:name="Figure2_6"/>
      <w:bookmarkStart w:id="71" w:name="_Toc119493125"/>
      <w:r>
        <w:t xml:space="preserve">Figure 2.6 </w:t>
      </w:r>
      <w:bookmarkEnd w:id="70"/>
      <w:r w:rsidRPr="008215ED">
        <w:t>Stripped dragon fruit trunks with exposed stem.</w:t>
      </w:r>
      <w:bookmarkEnd w:id="71"/>
    </w:p>
    <w:p w14:paraId="752D96C5" w14:textId="77777777" w:rsidR="00BC2F05" w:rsidRDefault="00BC2F05" w:rsidP="00032C1B">
      <w:pPr>
        <w:rPr>
          <w:b/>
          <w:bCs/>
        </w:rPr>
      </w:pPr>
    </w:p>
    <w:p w14:paraId="70FDF0BC" w14:textId="77777777" w:rsidR="00BC2F05" w:rsidRDefault="00772FB6" w:rsidP="00032C1B">
      <w:pPr>
        <w:rPr>
          <w:b/>
          <w:bCs/>
        </w:rPr>
      </w:pPr>
      <w:r>
        <w:rPr>
          <w:b/>
          <w:bCs/>
          <w:noProof/>
        </w:rPr>
        <w:drawing>
          <wp:anchor distT="0" distB="0" distL="114300" distR="114300" simplePos="0" relativeHeight="251666432" behindDoc="0" locked="0" layoutInCell="1" allowOverlap="1" wp14:anchorId="006F8F09" wp14:editId="52CEEA51">
            <wp:simplePos x="0" y="0"/>
            <wp:positionH relativeFrom="column">
              <wp:posOffset>-249860</wp:posOffset>
            </wp:positionH>
            <wp:positionV relativeFrom="paragraph">
              <wp:posOffset>123749</wp:posOffset>
            </wp:positionV>
            <wp:extent cx="3632835" cy="2724785"/>
            <wp:effectExtent l="0" t="3175" r="2540" b="2540"/>
            <wp:wrapNone/>
            <wp:docPr id="20" name="Picture 20" descr="Several dragon fruit stems growing from the ground that have been secured to a concrete pole by a plastic tie. The stems have been striped down to the woody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979" name="Picture 20" descr="Several dragon fruit stems growing from the ground that have been secured to a concrete pole by a plastic tie. The stems have been striped down to the woody cor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632835" cy="2724785"/>
                    </a:xfrm>
                    <a:prstGeom prst="rect">
                      <a:avLst/>
                    </a:prstGeom>
                  </pic:spPr>
                </pic:pic>
              </a:graphicData>
            </a:graphic>
          </wp:anchor>
        </w:drawing>
      </w:r>
    </w:p>
    <w:p w14:paraId="59094F29" w14:textId="77777777" w:rsidR="00BC2F05" w:rsidRDefault="00BC2F05" w:rsidP="00032C1B">
      <w:pPr>
        <w:rPr>
          <w:b/>
          <w:bCs/>
        </w:rPr>
      </w:pPr>
    </w:p>
    <w:p w14:paraId="552EC344" w14:textId="77777777" w:rsidR="00BC2F05" w:rsidRDefault="00BC2F05" w:rsidP="00032C1B">
      <w:pPr>
        <w:rPr>
          <w:b/>
          <w:bCs/>
        </w:rPr>
      </w:pPr>
    </w:p>
    <w:p w14:paraId="7E05ECB4" w14:textId="77777777" w:rsidR="00BC2F05" w:rsidRDefault="00BC2F05" w:rsidP="00032C1B">
      <w:pPr>
        <w:rPr>
          <w:b/>
          <w:bCs/>
        </w:rPr>
      </w:pPr>
    </w:p>
    <w:p w14:paraId="4456AFE6" w14:textId="77777777" w:rsidR="00BC2F05" w:rsidRDefault="00BC2F05" w:rsidP="00032C1B">
      <w:pPr>
        <w:rPr>
          <w:b/>
          <w:bCs/>
        </w:rPr>
      </w:pPr>
    </w:p>
    <w:p w14:paraId="4CA6E3CB" w14:textId="77777777" w:rsidR="00BC2F05" w:rsidRDefault="00BC2F05" w:rsidP="00032C1B">
      <w:pPr>
        <w:rPr>
          <w:color w:val="000000" w:themeColor="text1"/>
        </w:rPr>
      </w:pPr>
    </w:p>
    <w:p w14:paraId="397DC966" w14:textId="77777777" w:rsidR="00BC2F05" w:rsidRDefault="00BC2F05" w:rsidP="00032C1B">
      <w:pPr>
        <w:rPr>
          <w:color w:val="000000" w:themeColor="text1"/>
        </w:rPr>
      </w:pPr>
    </w:p>
    <w:p w14:paraId="29A4220D" w14:textId="77777777" w:rsidR="00BC2F05" w:rsidRDefault="00BC2F05" w:rsidP="00032C1B">
      <w:pPr>
        <w:rPr>
          <w:color w:val="000000" w:themeColor="text1"/>
        </w:rPr>
      </w:pPr>
    </w:p>
    <w:p w14:paraId="18BB17F4" w14:textId="77777777" w:rsidR="00BC2F05" w:rsidRDefault="00BC2F05" w:rsidP="00032C1B">
      <w:pPr>
        <w:rPr>
          <w:color w:val="000000" w:themeColor="text1"/>
        </w:rPr>
      </w:pPr>
    </w:p>
    <w:p w14:paraId="5C92AD34" w14:textId="77777777" w:rsidR="00BC2F05" w:rsidRDefault="00BC2F05" w:rsidP="00032C1B">
      <w:pPr>
        <w:rPr>
          <w:color w:val="000000" w:themeColor="text1"/>
        </w:rPr>
      </w:pPr>
    </w:p>
    <w:p w14:paraId="020B7B43" w14:textId="77777777" w:rsidR="00BC2F05" w:rsidRDefault="00BC2F05" w:rsidP="00032C1B">
      <w:pPr>
        <w:rPr>
          <w:color w:val="000000" w:themeColor="text1"/>
        </w:rPr>
      </w:pPr>
    </w:p>
    <w:p w14:paraId="0D8464E0" w14:textId="77777777" w:rsidR="00BC2F05" w:rsidRDefault="00772FB6" w:rsidP="00032C1B">
      <w:pPr>
        <w:pStyle w:val="Heading3"/>
      </w:pPr>
      <w:bookmarkStart w:id="72" w:name="_Toc119493097"/>
      <w:r>
        <w:t>Harvesting and handling procedures</w:t>
      </w:r>
      <w:bookmarkEnd w:id="72"/>
    </w:p>
    <w:p w14:paraId="2B1EAD4F" w14:textId="77777777" w:rsidR="00BC2F05" w:rsidRDefault="00772FB6" w:rsidP="00032C1B">
      <w:r>
        <w:t xml:space="preserve">A newly established plant takes around 18 months to bear fruit, and plants can live up to 30 years. The main dragon fruit production period is </w:t>
      </w:r>
      <w:r w:rsidRPr="005C14BC">
        <w:t xml:space="preserve">between May and October, although it can extend through to December with the use of artificial lighting. </w:t>
      </w:r>
    </w:p>
    <w:p w14:paraId="52EB8890" w14:textId="77777777" w:rsidR="00BC2F05" w:rsidRDefault="00772FB6" w:rsidP="00032C1B">
      <w:r>
        <w:t xml:space="preserve">Dragon fruit is harvested approximately 25 to 45 days after flowering, when the fruit has reached its appropriate level of ripeness, that being when the fruit skin starts to change from green to a ripened colour </w:t>
      </w:r>
      <w:r>
        <w:rPr>
          <w:noProof/>
        </w:rPr>
        <w:t>(Department of Agriculture 2020; Rodeo, Castro &amp; Esguerra 2018)</w:t>
      </w:r>
      <w:r>
        <w:t>. Fr</w:t>
      </w:r>
      <w:r w:rsidRPr="00713D2E">
        <w:t xml:space="preserve">uits harvested up to 50 </w:t>
      </w:r>
      <w:r>
        <w:t>days after flowering are</w:t>
      </w:r>
      <w:r w:rsidRPr="00713D2E">
        <w:t xml:space="preserve"> sweeter and heavier</w:t>
      </w:r>
      <w:r>
        <w:t>, h</w:t>
      </w:r>
      <w:r w:rsidRPr="00713D2E">
        <w:t xml:space="preserve">owever, </w:t>
      </w:r>
      <w:r>
        <w:t>have a</w:t>
      </w:r>
      <w:r w:rsidRPr="00713D2E">
        <w:t xml:space="preserve"> relatively shorter shelf life</w:t>
      </w:r>
      <w:r>
        <w:t xml:space="preserve">. The Philippines National Standard for dragon fruit </w:t>
      </w:r>
      <w:r>
        <w:rPr>
          <w:noProof/>
        </w:rPr>
        <w:t xml:space="preserve">(Department of </w:t>
      </w:r>
      <w:r>
        <w:rPr>
          <w:noProof/>
        </w:rPr>
        <w:lastRenderedPageBreak/>
        <w:t>Trade &amp; Industry‚ Philippines 2013)</w:t>
      </w:r>
      <w:r>
        <w:t xml:space="preserve"> sets out the requirements of fruit maturity for fruit supplied to consumers.</w:t>
      </w:r>
    </w:p>
    <w:p w14:paraId="30E2E67D" w14:textId="77777777" w:rsidR="00BC2F05" w:rsidRPr="008407FD" w:rsidRDefault="00772FB6" w:rsidP="00032C1B">
      <w:r>
        <w:t xml:space="preserve">The fruit is harvested manually using a sterilised garden knife, scissors, secateurs or pruning shears to cut the fruit from the stems. </w:t>
      </w:r>
      <w:bookmarkStart w:id="73" w:name="_Hlk114572920"/>
      <w:r w:rsidRPr="00BC4DAE">
        <w:t>A ‘v’ shape is cut into the stem and a small</w:t>
      </w:r>
      <w:r>
        <w:t xml:space="preserve"> stem</w:t>
      </w:r>
      <w:r w:rsidRPr="00BC4DAE">
        <w:t xml:space="preserve"> piece </w:t>
      </w:r>
      <w:r>
        <w:t xml:space="preserve">often </w:t>
      </w:r>
      <w:r w:rsidRPr="00BC4DAE">
        <w:t xml:space="preserve">remains attached to the </w:t>
      </w:r>
      <w:r w:rsidRPr="008971A0">
        <w:t xml:space="preserve">fruit </w:t>
      </w:r>
      <w:bookmarkEnd w:id="73"/>
      <w:r w:rsidRPr="00C32FF3">
        <w:t>(</w:t>
      </w:r>
      <w:r>
        <w:fldChar w:fldCharType="begin" w:fldLock="1"/>
      </w:r>
      <w:r>
        <w:instrText xml:space="preserve"> REF Figure2_7 \h </w:instrText>
      </w:r>
      <w:r>
        <w:fldChar w:fldCharType="separate"/>
      </w:r>
      <w:r>
        <w:t>Figure 2.7</w:t>
      </w:r>
      <w:r>
        <w:fldChar w:fldCharType="end"/>
      </w:r>
      <w:r w:rsidRPr="00C32FF3">
        <w:t>).</w:t>
      </w:r>
      <w:r>
        <w:t xml:space="preserve"> Harvested fruits are collected in plastic crates in the field prior to transfer to the packing house </w:t>
      </w:r>
      <w:r>
        <w:rPr>
          <w:noProof/>
        </w:rPr>
        <w:t>(Pascua, Pascua &amp; Gabriel 2015)</w:t>
      </w:r>
      <w:r w:rsidRPr="00713D2E">
        <w:t>.</w:t>
      </w:r>
    </w:p>
    <w:bookmarkStart w:id="74" w:name="Figure2_7"/>
    <w:bookmarkStart w:id="75" w:name="_Toc119493126"/>
    <w:p w14:paraId="0BB10BA6" w14:textId="77777777" w:rsidR="00BC2F05" w:rsidRPr="00224721" w:rsidRDefault="00772FB6" w:rsidP="00032C1B">
      <w:pPr>
        <w:pStyle w:val="Caption"/>
      </w:pPr>
      <w:r>
        <w:rPr>
          <w:noProof/>
        </w:rPr>
        <mc:AlternateContent>
          <mc:Choice Requires="wps">
            <w:drawing>
              <wp:anchor distT="45720" distB="45720" distL="114300" distR="114300" simplePos="0" relativeHeight="251687936" behindDoc="0" locked="0" layoutInCell="1" allowOverlap="1" wp14:anchorId="66FFF90B" wp14:editId="05021B94">
                <wp:simplePos x="0" y="0"/>
                <wp:positionH relativeFrom="column">
                  <wp:posOffset>5564505</wp:posOffset>
                </wp:positionH>
                <wp:positionV relativeFrom="paragraph">
                  <wp:posOffset>2757119</wp:posOffset>
                </wp:positionV>
                <wp:extent cx="263348" cy="263347"/>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5A6EA6AD" w14:textId="77777777" w:rsidR="00BC2F05" w:rsidRPr="003C22B3" w:rsidRDefault="00772FB6" w:rsidP="003C22B3">
                            <w:pPr>
                              <w:rPr>
                                <w:sz w:val="24"/>
                                <w:szCs w:val="24"/>
                              </w:rPr>
                            </w:pPr>
                            <w:r>
                              <w:rPr>
                                <w:sz w:val="24"/>
                                <w:szCs w:val="24"/>
                              </w:rPr>
                              <w:t>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6FFF90B" id="_x0000_t202" coordsize="21600,21600" o:spt="202" path="m,l,21600r21600,l21600,xe">
                <v:stroke joinstyle="miter"/>
                <v:path gradientshapeok="t" o:connecttype="rect"/>
              </v:shapetype>
              <v:shape id="Text Box 2" o:spid="_x0000_s1026" type="#_x0000_t202" style="position:absolute;margin-left:438.15pt;margin-top:217.1pt;width:20.75pt;height:20.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" filled="f" stroked="f">
                <v:textbox>
                  <w:txbxContent>
                    <w:p w14:paraId="5A6EA6AD" w14:textId="77777777" w:rsidR="00BC2F05" w:rsidRPr="003C22B3" w:rsidRDefault="00772FB6" w:rsidP="003C22B3">
                      <w:pPr>
                        <w:rPr>
                          <w:sz w:val="24"/>
                          <w:szCs w:val="24"/>
                        </w:rPr>
                      </w:pPr>
                      <w:r>
                        <w:rPr>
                          <w:sz w:val="24"/>
                          <w:szCs w:val="24"/>
                        </w:rPr>
                        <w:t>b</w:t>
                      </w:r>
                    </w:p>
                  </w:txbxContent>
                </v:textbox>
              </v:shape>
            </w:pict>
          </mc:Fallback>
        </mc:AlternateContent>
      </w:r>
      <w:r>
        <w:rPr>
          <w:noProof/>
        </w:rPr>
        <w:drawing>
          <wp:anchor distT="0" distB="0" distL="114300" distR="114300" simplePos="0" relativeHeight="251674624" behindDoc="1" locked="0" layoutInCell="1" allowOverlap="1" wp14:anchorId="3CE8A48E" wp14:editId="43FDA05F">
            <wp:simplePos x="0" y="0"/>
            <wp:positionH relativeFrom="margin">
              <wp:posOffset>2903220</wp:posOffset>
            </wp:positionH>
            <wp:positionV relativeFrom="paragraph">
              <wp:posOffset>250825</wp:posOffset>
            </wp:positionV>
            <wp:extent cx="2743200" cy="2698750"/>
            <wp:effectExtent l="0" t="0" r="0" b="6350"/>
            <wp:wrapTight wrapText="bothSides">
              <wp:wrapPolygon edited="0">
                <wp:start x="0" y="0"/>
                <wp:lineTo x="0" y="21498"/>
                <wp:lineTo x="21450" y="21498"/>
                <wp:lineTo x="21450" y="0"/>
                <wp:lineTo x="0" y="0"/>
              </wp:wrapPolygon>
            </wp:wrapTight>
            <wp:docPr id="4" name="Picture 4" descr="A harvested dragon fruit with a small portion of the stem remaining on th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1933" name="Picture 4" descr="A harvested dragon fruit with a small portion of the stem remaining on the frui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698750"/>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85888" behindDoc="0" locked="0" layoutInCell="1" allowOverlap="1" wp14:anchorId="73FE2C9B" wp14:editId="79023D2D">
                <wp:simplePos x="0" y="0"/>
                <wp:positionH relativeFrom="column">
                  <wp:posOffset>2464054</wp:posOffset>
                </wp:positionH>
                <wp:positionV relativeFrom="paragraph">
                  <wp:posOffset>2745130</wp:posOffset>
                </wp:positionV>
                <wp:extent cx="263348" cy="26334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490907D4" w14:textId="77777777" w:rsidR="00BC2F05" w:rsidRPr="003C22B3" w:rsidRDefault="00772FB6">
                            <w:pPr>
                              <w:rPr>
                                <w:sz w:val="24"/>
                                <w:szCs w:val="24"/>
                              </w:rPr>
                            </w:pPr>
                            <w:r w:rsidRPr="003C22B3">
                              <w:rPr>
                                <w:sz w:val="24"/>
                                <w:szCs w:val="24"/>
                              </w:rPr>
                              <w: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3FE2C9B" id="_x0000_s1027" type="#_x0000_t202" style="position:absolute;margin-left:194pt;margin-top:216.15pt;width:20.75pt;height:2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" filled="f" stroked="f">
                <v:textbox>
                  <w:txbxContent>
                    <w:p w14:paraId="490907D4" w14:textId="77777777" w:rsidR="00BC2F05" w:rsidRPr="003C22B3" w:rsidRDefault="00772FB6">
                      <w:pPr>
                        <w:rPr>
                          <w:sz w:val="24"/>
                          <w:szCs w:val="24"/>
                        </w:rPr>
                      </w:pPr>
                      <w:r w:rsidRPr="003C22B3">
                        <w:rPr>
                          <w:sz w:val="24"/>
                          <w:szCs w:val="24"/>
                        </w:rPr>
                        <w:t>a</w:t>
                      </w:r>
                    </w:p>
                  </w:txbxContent>
                </v:textbox>
              </v:shape>
            </w:pict>
          </mc:Fallback>
        </mc:AlternateContent>
      </w:r>
      <w:r>
        <w:rPr>
          <w:noProof/>
        </w:rPr>
        <w:drawing>
          <wp:anchor distT="0" distB="0" distL="114300" distR="114300" simplePos="0" relativeHeight="251675648" behindDoc="1" locked="0" layoutInCell="1" allowOverlap="1" wp14:anchorId="65F1E5C0" wp14:editId="0C07E114">
            <wp:simplePos x="0" y="0"/>
            <wp:positionH relativeFrom="margin">
              <wp:align>left</wp:align>
            </wp:positionH>
            <wp:positionV relativeFrom="paragraph">
              <wp:posOffset>254305</wp:posOffset>
            </wp:positionV>
            <wp:extent cx="2554605" cy="2698750"/>
            <wp:effectExtent l="0" t="0" r="0" b="6350"/>
            <wp:wrapTight wrapText="bothSides">
              <wp:wrapPolygon edited="0">
                <wp:start x="0" y="0"/>
                <wp:lineTo x="0" y="21498"/>
                <wp:lineTo x="21423" y="21498"/>
                <wp:lineTo x="21423" y="0"/>
                <wp:lineTo x="0" y="0"/>
              </wp:wrapPolygon>
            </wp:wrapTight>
            <wp:docPr id="17" name="Picture 17" descr="A farm worker cutting a dragon fruit from  the dragon fruit stem using secateurs and collecting in a plastic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82176" name="Picture 17" descr="A farm worker cutting a dragon fruit from  the dragon fruit stem using secateurs and collecting in a plastic crate."/>
                    <pic:cNvPicPr>
                      <a:picLocks noChangeAspect="1" noChangeArrowheads="1"/>
                    </pic:cNvPicPr>
                  </pic:nvPicPr>
                  <pic:blipFill>
                    <a:blip r:embed="rId53" cstate="print">
                      <a:extLst>
                        <a:ext uri="{28A0092B-C50C-407E-A947-70E740481C1C}">
                          <a14:useLocalDpi xmlns:a14="http://schemas.microsoft.com/office/drawing/2010/main" val="0"/>
                        </a:ext>
                      </a:extLst>
                    </a:blip>
                    <a:srcRect r="333" b="21046"/>
                    <a:stretch>
                      <a:fillRect/>
                    </a:stretch>
                  </pic:blipFill>
                  <pic:spPr bwMode="auto">
                    <a:xfrm>
                      <a:off x="0" y="0"/>
                      <a:ext cx="2554605" cy="269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Figure 2.7</w:t>
      </w:r>
      <w:r w:rsidRPr="0011237D">
        <w:t xml:space="preserve"> </w:t>
      </w:r>
      <w:bookmarkEnd w:id="74"/>
      <w:r>
        <w:t>Harvesting dragon fruit</w:t>
      </w:r>
      <w:bookmarkEnd w:id="75"/>
    </w:p>
    <w:p w14:paraId="2218A8A9" w14:textId="77777777" w:rsidR="00BC2F05" w:rsidRDefault="00772FB6" w:rsidP="00032C1B">
      <w:r w:rsidRPr="007D07DD">
        <w:rPr>
          <w:sz w:val="18"/>
          <w:szCs w:val="18"/>
        </w:rPr>
        <w:t xml:space="preserve"> </w:t>
      </w:r>
      <w:r w:rsidRPr="007D07DD">
        <w:rPr>
          <w:b/>
          <w:bCs/>
          <w:sz w:val="18"/>
          <w:szCs w:val="18"/>
        </w:rPr>
        <w:t>a</w:t>
      </w:r>
      <w:r w:rsidRPr="007D07DD">
        <w:rPr>
          <w:sz w:val="18"/>
          <w:szCs w:val="18"/>
        </w:rPr>
        <w:t>: Dragon fruit being harvested with pruning shears and collect</w:t>
      </w:r>
      <w:r>
        <w:rPr>
          <w:sz w:val="18"/>
          <w:szCs w:val="18"/>
        </w:rPr>
        <w:t>ed</w:t>
      </w:r>
      <w:r w:rsidRPr="007D07DD">
        <w:rPr>
          <w:sz w:val="18"/>
          <w:szCs w:val="18"/>
        </w:rPr>
        <w:t xml:space="preserve"> in a plastic crate</w:t>
      </w:r>
      <w:r w:rsidRPr="007D07DD">
        <w:rPr>
          <w:b/>
          <w:bCs/>
          <w:sz w:val="18"/>
          <w:szCs w:val="18"/>
        </w:rPr>
        <w:t>. b</w:t>
      </w:r>
      <w:r w:rsidRPr="007D07DD">
        <w:rPr>
          <w:sz w:val="18"/>
          <w:szCs w:val="18"/>
        </w:rPr>
        <w:t>: Dragon fruit with small portion of stem remaining on the fruit</w:t>
      </w:r>
      <w:r>
        <w:rPr>
          <w:sz w:val="18"/>
          <w:szCs w:val="18"/>
        </w:rPr>
        <w:t>.</w:t>
      </w:r>
      <w:r w:rsidRPr="007D07DD">
        <w:rPr>
          <w:sz w:val="18"/>
          <w:szCs w:val="18"/>
        </w:rPr>
        <w:t xml:space="preserve"> </w:t>
      </w:r>
      <w:r>
        <w:rPr>
          <w:sz w:val="18"/>
          <w:szCs w:val="18"/>
        </w:rPr>
        <w:t xml:space="preserve">Source: </w:t>
      </w:r>
      <w:r w:rsidRPr="007D07DD">
        <w:rPr>
          <w:bCs/>
          <w:sz w:val="18"/>
          <w:szCs w:val="18"/>
        </w:rPr>
        <w:t>(Department of Agriculture 2020; Rodeo, Castro &amp; Esguerra 2018)</w:t>
      </w:r>
      <w:r>
        <w:rPr>
          <w:bCs/>
          <w:sz w:val="18"/>
          <w:szCs w:val="18"/>
        </w:rPr>
        <w:t>.</w:t>
      </w:r>
    </w:p>
    <w:p w14:paraId="270B2E91" w14:textId="77777777" w:rsidR="00BC2F05" w:rsidRPr="00ED08B3" w:rsidRDefault="00772FB6" w:rsidP="00032C1B">
      <w:pPr>
        <w:pStyle w:val="Heading3"/>
      </w:pPr>
      <w:bookmarkStart w:id="76" w:name="_Toc119493098"/>
      <w:r>
        <w:t>Post-harvest</w:t>
      </w:r>
      <w:bookmarkEnd w:id="76"/>
    </w:p>
    <w:p w14:paraId="73063BFA" w14:textId="77777777" w:rsidR="00BC2F05" w:rsidRDefault="00772FB6" w:rsidP="00032C1B">
      <w:pPr>
        <w:pStyle w:val="Heading4"/>
      </w:pPr>
      <w:r>
        <w:t>Packing house processes</w:t>
      </w:r>
    </w:p>
    <w:p w14:paraId="5137D4B7" w14:textId="77777777" w:rsidR="00BC2F05" w:rsidRPr="007167CB" w:rsidRDefault="00772FB6" w:rsidP="00032C1B">
      <w:pPr>
        <w:rPr>
          <w:rFonts w:asciiTheme="minorHAnsi" w:hAnsiTheme="minorHAnsi"/>
        </w:rPr>
      </w:pPr>
      <w:r>
        <w:t>Packing house operations in the Philippines are described as being “not sophisticated due to a limited number of [processes] done before marketing”</w:t>
      </w:r>
      <w:r w:rsidRPr="00D869CE">
        <w:t xml:space="preserve"> </w:t>
      </w:r>
      <w:r>
        <w:rPr>
          <w:noProof/>
        </w:rPr>
        <w:t>(Rodeo, Castro &amp; Esguerra 2018)</w:t>
      </w:r>
      <w:r>
        <w:t xml:space="preserve">. This is largely attributed to the current focus on supplying the domestic market. For small- to medium-scale producers, harvested fruit are sorted in packing houses constructed on the farm </w:t>
      </w:r>
      <w:r>
        <w:rPr>
          <w:noProof/>
        </w:rPr>
        <w:t>(Rodeo, Castro &amp; Esguerra 2018)</w:t>
      </w:r>
      <w:r>
        <w:t xml:space="preserve">. Packing houses used for processing fruit must be registered and have their standard operating procedures that describe operational practices approved with the Philippines DA, prior to export. </w:t>
      </w:r>
    </w:p>
    <w:p w14:paraId="65E843B9" w14:textId="77777777" w:rsidR="00BC2F05" w:rsidRPr="004238DF" w:rsidRDefault="00772FB6" w:rsidP="00032C1B">
      <w:pPr>
        <w:pStyle w:val="Heading5"/>
        <w:rPr>
          <w:rFonts w:ascii="Cambria" w:hAnsi="Cambria"/>
        </w:rPr>
      </w:pPr>
      <w:r w:rsidRPr="004238DF">
        <w:rPr>
          <w:rFonts w:ascii="Cambria" w:hAnsi="Cambria"/>
        </w:rPr>
        <w:t>Fruit receival, pre-sorting and cleaning</w:t>
      </w:r>
    </w:p>
    <w:p w14:paraId="1A7B08D8" w14:textId="77777777" w:rsidR="00BC2F05" w:rsidRPr="00DF01D1" w:rsidRDefault="00772FB6" w:rsidP="00032C1B">
      <w:r>
        <w:t>H</w:t>
      </w:r>
      <w:r w:rsidRPr="00DF01D1">
        <w:t xml:space="preserve">arvested fruit </w:t>
      </w:r>
      <w:r>
        <w:t>are</w:t>
      </w:r>
      <w:r w:rsidRPr="00DF01D1">
        <w:t xml:space="preserve"> put in plastic crates and taken to the packing</w:t>
      </w:r>
      <w:r>
        <w:t xml:space="preserve"> </w:t>
      </w:r>
      <w:r w:rsidRPr="00DF01D1">
        <w:t>house</w:t>
      </w:r>
      <w:r>
        <w:t xml:space="preserve"> </w:t>
      </w:r>
      <w:r w:rsidRPr="00DF01D1">
        <w:t xml:space="preserve">either by farmhands or via trucks, </w:t>
      </w:r>
      <w:r>
        <w:t>utility vehicles</w:t>
      </w:r>
      <w:r w:rsidRPr="00DF01D1">
        <w:t xml:space="preserve"> or closed vans depending on the distance of the production site </w:t>
      </w:r>
      <w:r>
        <w:t xml:space="preserve">from packing location </w:t>
      </w:r>
      <w:r>
        <w:rPr>
          <w:noProof/>
        </w:rPr>
        <w:t>(Rodeo, Castro &amp; Esguerra 2018)</w:t>
      </w:r>
      <w:r w:rsidRPr="00DF01D1">
        <w:t xml:space="preserve">. </w:t>
      </w:r>
    </w:p>
    <w:p w14:paraId="7D0F0AE0" w14:textId="77777777" w:rsidR="00BC2F05" w:rsidRDefault="00772FB6" w:rsidP="00032C1B">
      <w:r>
        <w:t>The fruit are unloaded in the receiving area, documentation checked, and fruit weighed and labelled to indicate their production site, harvest date and sorting date (</w:t>
      </w:r>
      <w:r>
        <w:fldChar w:fldCharType="begin" w:fldLock="1"/>
      </w:r>
      <w:r>
        <w:instrText xml:space="preserve"> REF Figure2_8 \h </w:instrText>
      </w:r>
      <w:r>
        <w:fldChar w:fldCharType="separate"/>
      </w:r>
      <w:r>
        <w:t>Figure 2.8</w:t>
      </w:r>
      <w:r>
        <w:fldChar w:fldCharType="end"/>
      </w:r>
      <w:r>
        <w:t>). If required, fruit are pre-sorted at this stage, accepting fruit that are fit for market, or rejecting based on poor quality or observed damage.</w:t>
      </w:r>
    </w:p>
    <w:p w14:paraId="45212D5C" w14:textId="77777777" w:rsidR="00BC2F05" w:rsidRPr="00630B21" w:rsidRDefault="00772FB6" w:rsidP="00032C1B">
      <w:pPr>
        <w:rPr>
          <w:rFonts w:asciiTheme="minorHAnsi" w:hAnsiTheme="minorHAnsi"/>
        </w:rPr>
      </w:pPr>
      <w:r>
        <w:lastRenderedPageBreak/>
        <w:t xml:space="preserve">Washing of the fruit is currently not done as part of the packing house process, however, trimming of the stem and wiping of the fruit is sometimes done at this stage to remove dirt and increase fruit appeal </w:t>
      </w:r>
      <w:r>
        <w:rPr>
          <w:noProof/>
        </w:rPr>
        <w:t>(Rodeo, Castro &amp; Esguerra 2018)</w:t>
      </w:r>
      <w:r>
        <w:t xml:space="preserve">. </w:t>
      </w:r>
      <w:r w:rsidRPr="00D731FE">
        <w:t>Industrial</w:t>
      </w:r>
      <w:r>
        <w:t>-</w:t>
      </w:r>
      <w:r w:rsidRPr="00D731FE">
        <w:t>sized fan</w:t>
      </w:r>
      <w:r w:rsidRPr="00A77E8C">
        <w:t>s</w:t>
      </w:r>
      <w:r>
        <w:t xml:space="preserve"> are also used to dry harvested wet fruit before packing, when necessary, to decrease the chance of post-harvest rot.</w:t>
      </w:r>
      <w:r w:rsidRPr="00277F27">
        <w:t xml:space="preserve"> </w:t>
      </w:r>
      <w:r>
        <w:t xml:space="preserve">Applying </w:t>
      </w:r>
      <w:r w:rsidRPr="00CB557A">
        <w:t>h</w:t>
      </w:r>
      <w:r w:rsidRPr="00CB557A">
        <w:rPr>
          <w:color w:val="000000" w:themeColor="text1"/>
        </w:rPr>
        <w:t xml:space="preserve">igh pressure air to fruit during </w:t>
      </w:r>
      <w:r>
        <w:rPr>
          <w:color w:val="000000" w:themeColor="text1"/>
        </w:rPr>
        <w:t xml:space="preserve">the </w:t>
      </w:r>
      <w:r w:rsidRPr="00CB557A">
        <w:rPr>
          <w:color w:val="000000" w:themeColor="text1"/>
        </w:rPr>
        <w:t>packing processes to remove arthropod pests that may be present during packing</w:t>
      </w:r>
      <w:r>
        <w:rPr>
          <w:color w:val="000000" w:themeColor="text1"/>
        </w:rPr>
        <w:t xml:space="preserve"> is not currently </w:t>
      </w:r>
      <w:proofErr w:type="gramStart"/>
      <w:r>
        <w:rPr>
          <w:color w:val="000000" w:themeColor="text1"/>
        </w:rPr>
        <w:t>used, but</w:t>
      </w:r>
      <w:proofErr w:type="gramEnd"/>
      <w:r>
        <w:rPr>
          <w:color w:val="000000" w:themeColor="text1"/>
        </w:rPr>
        <w:t xml:space="preserve"> may be introduced if required</w:t>
      </w:r>
      <w:r w:rsidRPr="00CB557A">
        <w:rPr>
          <w:color w:val="000000" w:themeColor="text1"/>
        </w:rPr>
        <w:t xml:space="preserve">. </w:t>
      </w:r>
      <w:r w:rsidRPr="00277F27">
        <w:t xml:space="preserve">Fruit </w:t>
      </w:r>
      <w:proofErr w:type="gramStart"/>
      <w:r w:rsidRPr="00277F27">
        <w:t>are</w:t>
      </w:r>
      <w:proofErr w:type="gramEnd"/>
      <w:r w:rsidRPr="00277F27">
        <w:t xml:space="preserve"> usually processed on the same day that they are harvested.</w:t>
      </w:r>
    </w:p>
    <w:bookmarkStart w:id="77" w:name="Figure2_8"/>
    <w:bookmarkStart w:id="78" w:name="_Toc119493127"/>
    <w:p w14:paraId="24D5F12C" w14:textId="77777777" w:rsidR="00BC2F05" w:rsidRPr="00224721" w:rsidRDefault="00772FB6" w:rsidP="00032C1B">
      <w:pPr>
        <w:pStyle w:val="Caption"/>
      </w:pPr>
      <w:r>
        <w:rPr>
          <w:noProof/>
        </w:rPr>
        <mc:AlternateContent>
          <mc:Choice Requires="wps">
            <w:drawing>
              <wp:anchor distT="45720" distB="45720" distL="114300" distR="114300" simplePos="0" relativeHeight="251696128" behindDoc="0" locked="0" layoutInCell="1" allowOverlap="1" wp14:anchorId="25526614" wp14:editId="6522CE60">
                <wp:simplePos x="0" y="0"/>
                <wp:positionH relativeFrom="column">
                  <wp:posOffset>6042355</wp:posOffset>
                </wp:positionH>
                <wp:positionV relativeFrom="paragraph">
                  <wp:posOffset>5355921</wp:posOffset>
                </wp:positionV>
                <wp:extent cx="263348" cy="263347"/>
                <wp:effectExtent l="0" t="0" r="0" b="38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54DF0AD1" w14:textId="77777777" w:rsidR="00BC2F05" w:rsidRPr="003C22B3" w:rsidRDefault="00772FB6" w:rsidP="00910AD7">
                            <w:pPr>
                              <w:rPr>
                                <w:sz w:val="24"/>
                                <w:szCs w:val="24"/>
                              </w:rPr>
                            </w:pPr>
                            <w:r>
                              <w:rPr>
                                <w:sz w:val="24"/>
                                <w:szCs w:val="24"/>
                              </w:rPr>
                              <w:t>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526614" id="_x0000_s1028" type="#_x0000_t202" style="position:absolute;margin-left:475.8pt;margin-top:421.75pt;width:20.75pt;height:20.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" filled="f" stroked="f">
                <v:textbox>
                  <w:txbxContent>
                    <w:p w14:paraId="54DF0AD1" w14:textId="77777777" w:rsidR="00BC2F05" w:rsidRPr="003C22B3" w:rsidRDefault="00772FB6" w:rsidP="00910AD7">
                      <w:pPr>
                        <w:rPr>
                          <w:sz w:val="24"/>
                          <w:szCs w:val="24"/>
                        </w:rPr>
                      </w:pPr>
                      <w:r>
                        <w:rPr>
                          <w:sz w:val="24"/>
                          <w:szCs w:val="24"/>
                        </w:rPr>
                        <w:t>d</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03543329" wp14:editId="503B7027">
                <wp:simplePos x="0" y="0"/>
                <wp:positionH relativeFrom="column">
                  <wp:posOffset>3657600</wp:posOffset>
                </wp:positionH>
                <wp:positionV relativeFrom="paragraph">
                  <wp:posOffset>5275453</wp:posOffset>
                </wp:positionV>
                <wp:extent cx="263348" cy="263347"/>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4CE7A090" w14:textId="77777777" w:rsidR="00BC2F05" w:rsidRPr="003C22B3" w:rsidRDefault="00772FB6" w:rsidP="00910AD7">
                            <w:pPr>
                              <w:rPr>
                                <w:sz w:val="24"/>
                                <w:szCs w:val="24"/>
                              </w:rPr>
                            </w:pPr>
                            <w:r>
                              <w:rPr>
                                <w:sz w:val="24"/>
                                <w:szCs w:val="24"/>
                              </w:rPr>
                              <w:t>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543329" id="_x0000_s1029" type="#_x0000_t202" style="position:absolute;margin-left:4in;margin-top:415.4pt;width:20.75pt;height:20.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" filled="f" stroked="f">
                <v:textbox>
                  <w:txbxContent>
                    <w:p w14:paraId="4CE7A090" w14:textId="77777777" w:rsidR="00BC2F05" w:rsidRPr="003C22B3" w:rsidRDefault="00772FB6" w:rsidP="00910AD7">
                      <w:pPr>
                        <w:rPr>
                          <w:sz w:val="24"/>
                          <w:szCs w:val="24"/>
                        </w:rPr>
                      </w:pPr>
                      <w:r>
                        <w:rPr>
                          <w:sz w:val="24"/>
                          <w:szCs w:val="24"/>
                        </w:rPr>
                        <w:t>c</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134A7438" wp14:editId="2A594FFA">
                <wp:simplePos x="0" y="0"/>
                <wp:positionH relativeFrom="column">
                  <wp:posOffset>6427902</wp:posOffset>
                </wp:positionH>
                <wp:positionV relativeFrom="paragraph">
                  <wp:posOffset>2909062</wp:posOffset>
                </wp:positionV>
                <wp:extent cx="263348" cy="263347"/>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575AEF07" w14:textId="77777777" w:rsidR="00BC2F05" w:rsidRPr="003C22B3" w:rsidRDefault="00772FB6" w:rsidP="00910AD7">
                            <w:pPr>
                              <w:rPr>
                                <w:sz w:val="24"/>
                                <w:szCs w:val="24"/>
                              </w:rPr>
                            </w:pPr>
                            <w:r>
                              <w:rPr>
                                <w:sz w:val="24"/>
                                <w:szCs w:val="24"/>
                              </w:rPr>
                              <w:t>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34A7438" id="_x0000_s1030" type="#_x0000_t202" style="position:absolute;margin-left:506.15pt;margin-top:229.05pt;width:20.75pt;height:2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" filled="f" stroked="f">
                <v:textbox>
                  <w:txbxContent>
                    <w:p w14:paraId="575AEF07" w14:textId="77777777" w:rsidR="00BC2F05" w:rsidRPr="003C22B3" w:rsidRDefault="00772FB6" w:rsidP="00910AD7">
                      <w:pPr>
                        <w:rPr>
                          <w:sz w:val="24"/>
                          <w:szCs w:val="24"/>
                        </w:rPr>
                      </w:pPr>
                      <w:r>
                        <w:rPr>
                          <w:sz w:val="24"/>
                          <w:szCs w:val="24"/>
                        </w:rPr>
                        <w:t>b</w:t>
                      </w:r>
                    </w:p>
                  </w:txbxContent>
                </v:textbox>
              </v:shape>
            </w:pict>
          </mc:Fallback>
        </mc:AlternateContent>
      </w:r>
      <w:r w:rsidRPr="00286F75">
        <w:rPr>
          <w:noProof/>
        </w:rPr>
        <w:drawing>
          <wp:anchor distT="0" distB="0" distL="114300" distR="114300" simplePos="0" relativeHeight="251678720" behindDoc="1" locked="0" layoutInCell="1" allowOverlap="1" wp14:anchorId="3F5DF62C" wp14:editId="12B9D359">
            <wp:simplePos x="0" y="0"/>
            <wp:positionH relativeFrom="margin">
              <wp:posOffset>-357124</wp:posOffset>
            </wp:positionH>
            <wp:positionV relativeFrom="paragraph">
              <wp:posOffset>3208960</wp:posOffset>
            </wp:positionV>
            <wp:extent cx="4079875" cy="2279015"/>
            <wp:effectExtent l="0" t="0" r="0" b="6985"/>
            <wp:wrapTight wrapText="bothSides">
              <wp:wrapPolygon edited="0">
                <wp:start x="0" y="0"/>
                <wp:lineTo x="0" y="21486"/>
                <wp:lineTo x="21482" y="21486"/>
                <wp:lineTo x="21482" y="0"/>
                <wp:lineTo x="0" y="0"/>
              </wp:wrapPolygon>
            </wp:wrapTight>
            <wp:docPr id="39" name="Picture 39" descr="Crates full of dragon fruit stacked in piles in the corner of the receival area. Crates have labels with information from the document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8013" name="Picture 39" descr="Crates full of dragon fruit stacked in piles in the corner of the receival area. Crates have labels with information from the documentation checks"/>
                    <pic:cNvPicPr>
                      <a:picLocks noChangeAspect="1" noChangeArrowheads="1"/>
                    </pic:cNvPicPr>
                  </pic:nvPicPr>
                  <pic:blipFill>
                    <a:blip r:embed="rId54">
                      <a:extLst>
                        <a:ext uri="{28A0092B-C50C-407E-A947-70E740481C1C}">
                          <a14:useLocalDpi xmlns:a14="http://schemas.microsoft.com/office/drawing/2010/main" val="0"/>
                        </a:ext>
                      </a:extLst>
                    </a:blip>
                    <a:srcRect l="17770" r="6789" b="4640"/>
                    <a:stretch>
                      <a:fillRect/>
                    </a:stretch>
                  </pic:blipFill>
                  <pic:spPr bwMode="auto">
                    <a:xfrm>
                      <a:off x="0" y="0"/>
                      <a:ext cx="4079875" cy="227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9984" behindDoc="0" locked="0" layoutInCell="1" allowOverlap="1" wp14:anchorId="7DEDBD3E" wp14:editId="2481F168">
                <wp:simplePos x="0" y="0"/>
                <wp:positionH relativeFrom="column">
                  <wp:posOffset>3649726</wp:posOffset>
                </wp:positionH>
                <wp:positionV relativeFrom="paragraph">
                  <wp:posOffset>2868346</wp:posOffset>
                </wp:positionV>
                <wp:extent cx="263348" cy="263347"/>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8" cy="263347"/>
                        </a:xfrm>
                        <a:prstGeom prst="rect">
                          <a:avLst/>
                        </a:prstGeom>
                        <a:noFill/>
                        <a:ln w="9525">
                          <a:noFill/>
                          <a:miter lim="800000"/>
                          <a:headEnd/>
                          <a:tailEnd/>
                        </a:ln>
                      </wps:spPr>
                      <wps:txbx>
                        <w:txbxContent>
                          <w:p w14:paraId="094734BA" w14:textId="77777777" w:rsidR="00BC2F05" w:rsidRPr="003C22B3" w:rsidRDefault="00772FB6" w:rsidP="00910AD7">
                            <w:pPr>
                              <w:rPr>
                                <w:sz w:val="24"/>
                                <w:szCs w:val="24"/>
                              </w:rPr>
                            </w:pPr>
                            <w:r w:rsidRPr="003C22B3">
                              <w:rPr>
                                <w:sz w:val="24"/>
                                <w:szCs w:val="24"/>
                              </w:rPr>
                              <w: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EDBD3E" id="_x0000_s1031" type="#_x0000_t202" style="position:absolute;margin-left:287.4pt;margin-top:225.85pt;width:20.75pt;height:2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" filled="f" stroked="f">
                <v:textbox>
                  <w:txbxContent>
                    <w:p w14:paraId="094734BA" w14:textId="77777777" w:rsidR="00BC2F05" w:rsidRPr="003C22B3" w:rsidRDefault="00772FB6" w:rsidP="00910AD7">
                      <w:pPr>
                        <w:rPr>
                          <w:sz w:val="24"/>
                          <w:szCs w:val="24"/>
                        </w:rPr>
                      </w:pPr>
                      <w:r w:rsidRPr="003C22B3">
                        <w:rPr>
                          <w:sz w:val="24"/>
                          <w:szCs w:val="24"/>
                        </w:rPr>
                        <w:t>a</w:t>
                      </w:r>
                    </w:p>
                  </w:txbxContent>
                </v:textbox>
              </v:shape>
            </w:pict>
          </mc:Fallback>
        </mc:AlternateContent>
      </w:r>
      <w:r w:rsidRPr="00B259B9">
        <w:rPr>
          <w:noProof/>
        </w:rPr>
        <w:drawing>
          <wp:anchor distT="0" distB="0" distL="114300" distR="114300" simplePos="0" relativeHeight="251677696" behindDoc="1" locked="0" layoutInCell="1" allowOverlap="1" wp14:anchorId="2816DC41" wp14:editId="100C694E">
            <wp:simplePos x="0" y="0"/>
            <wp:positionH relativeFrom="margin">
              <wp:posOffset>-411378</wp:posOffset>
            </wp:positionH>
            <wp:positionV relativeFrom="paragraph">
              <wp:posOffset>286029</wp:posOffset>
            </wp:positionV>
            <wp:extent cx="4148455" cy="2811145"/>
            <wp:effectExtent l="0" t="0" r="4445" b="8255"/>
            <wp:wrapTight wrapText="bothSides">
              <wp:wrapPolygon edited="0">
                <wp:start x="0" y="0"/>
                <wp:lineTo x="0" y="21517"/>
                <wp:lineTo x="21524" y="21517"/>
                <wp:lineTo x="21524" y="0"/>
                <wp:lineTo x="0" y="0"/>
              </wp:wrapPolygon>
            </wp:wrapTight>
            <wp:docPr id="33" name="Picture 33" descr="Six crates full of harvested dragon fruit. Traceability cards showing details of the harvest are placed on top of the crates of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1070" name="Picture 33" descr="Six crates full of harvested dragon fruit. Traceability cards showing details of the harvest are placed on top of the crates of fruit"/>
                    <pic:cNvPicPr>
                      <a:picLocks noChangeAspect="1" noChangeArrowheads="1"/>
                    </pic:cNvPicPr>
                  </pic:nvPicPr>
                  <pic:blipFill>
                    <a:blip r:embed="rId55">
                      <a:extLst>
                        <a:ext uri="{28A0092B-C50C-407E-A947-70E740481C1C}">
                          <a14:useLocalDpi xmlns:a14="http://schemas.microsoft.com/office/drawing/2010/main" val="0"/>
                        </a:ext>
                      </a:extLst>
                    </a:blip>
                    <a:srcRect t="4932" r="7267" b="5482"/>
                    <a:stretch>
                      <a:fillRect/>
                    </a:stretch>
                  </pic:blipFill>
                  <pic:spPr bwMode="auto">
                    <a:xfrm>
                      <a:off x="0" y="0"/>
                      <a:ext cx="4148455"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473097F2" wp14:editId="2E420B1D">
            <wp:simplePos x="0" y="0"/>
            <wp:positionH relativeFrom="column">
              <wp:posOffset>4144741</wp:posOffset>
            </wp:positionH>
            <wp:positionV relativeFrom="paragraph">
              <wp:posOffset>3145790</wp:posOffset>
            </wp:positionV>
            <wp:extent cx="1974850" cy="2432050"/>
            <wp:effectExtent l="0" t="0" r="6350" b="6350"/>
            <wp:wrapTight wrapText="bothSides">
              <wp:wrapPolygon edited="0">
                <wp:start x="0" y="0"/>
                <wp:lineTo x="0" y="21487"/>
                <wp:lineTo x="21461" y="21487"/>
                <wp:lineTo x="21461" y="0"/>
                <wp:lineTo x="0" y="0"/>
              </wp:wrapPolygon>
            </wp:wrapTight>
            <wp:docPr id="74" name="Picture 74" descr="A close up of harvest documentation being checked by a farm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30770" name="Picture 74" descr="A close up of harvest documentation being checked by a farm worker"/>
                    <pic:cNvPicPr/>
                  </pic:nvPicPr>
                  <pic:blipFill>
                    <a:blip r:embed="rId56">
                      <a:extLst>
                        <a:ext uri="{28A0092B-C50C-407E-A947-70E740481C1C}">
                          <a14:useLocalDpi xmlns:a14="http://schemas.microsoft.com/office/drawing/2010/main" val="0"/>
                        </a:ext>
                      </a:extLst>
                    </a:blip>
                    <a:srcRect t="10730" r="7529"/>
                    <a:stretch>
                      <a:fillRect/>
                    </a:stretch>
                  </pic:blipFill>
                  <pic:spPr bwMode="auto">
                    <a:xfrm>
                      <a:off x="0" y="0"/>
                      <a:ext cx="197485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9B9">
        <w:rPr>
          <w:noProof/>
        </w:rPr>
        <w:drawing>
          <wp:anchor distT="0" distB="0" distL="114300" distR="114300" simplePos="0" relativeHeight="251676672" behindDoc="1" locked="0" layoutInCell="1" allowOverlap="1" wp14:anchorId="36B1161A" wp14:editId="42A9B09F">
            <wp:simplePos x="0" y="0"/>
            <wp:positionH relativeFrom="page">
              <wp:align>right</wp:align>
            </wp:positionH>
            <wp:positionV relativeFrom="paragraph">
              <wp:posOffset>130194</wp:posOffset>
            </wp:positionV>
            <wp:extent cx="2966720" cy="3015615"/>
            <wp:effectExtent l="0" t="0" r="5080" b="0"/>
            <wp:wrapTight wrapText="bothSides">
              <wp:wrapPolygon edited="0">
                <wp:start x="0" y="0"/>
                <wp:lineTo x="0" y="21423"/>
                <wp:lineTo x="21498" y="21423"/>
                <wp:lineTo x="21498" y="0"/>
                <wp:lineTo x="0" y="0"/>
              </wp:wrapPolygon>
            </wp:wrapTight>
            <wp:docPr id="75" name="Picture 75" descr="A full crate of dragon fruit being weighed on a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9321" name="Picture 75" descr="A full crate of dragon fruit being weighed on a scale."/>
                    <pic:cNvPicPr>
                      <a:picLocks noChangeAspect="1" noChangeArrowheads="1"/>
                    </pic:cNvPicPr>
                  </pic:nvPicPr>
                  <pic:blipFill>
                    <a:blip r:embed="rId57">
                      <a:extLst>
                        <a:ext uri="{28A0092B-C50C-407E-A947-70E740481C1C}">
                          <a14:useLocalDpi xmlns:a14="http://schemas.microsoft.com/office/drawing/2010/main" val="0"/>
                        </a:ext>
                      </a:extLst>
                    </a:blip>
                    <a:srcRect t="6034"/>
                    <a:stretch>
                      <a:fillRect/>
                    </a:stretch>
                  </pic:blipFill>
                  <pic:spPr bwMode="auto">
                    <a:xfrm>
                      <a:off x="0" y="0"/>
                      <a:ext cx="2968964" cy="301789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Figure 2.8</w:t>
      </w:r>
      <w:r w:rsidRPr="0011237D">
        <w:t xml:space="preserve"> </w:t>
      </w:r>
      <w:bookmarkEnd w:id="77"/>
      <w:r>
        <w:t>Harvested fruit in receival area</w:t>
      </w:r>
      <w:bookmarkEnd w:id="78"/>
      <w:r>
        <w:t xml:space="preserve"> </w:t>
      </w:r>
    </w:p>
    <w:p w14:paraId="3E91FB27" w14:textId="77777777" w:rsidR="00BC2F05" w:rsidRPr="000F4A33" w:rsidRDefault="00772FB6" w:rsidP="00032C1B">
      <w:pPr>
        <w:rPr>
          <w:bCs/>
          <w:noProof/>
        </w:rPr>
      </w:pPr>
      <w:r w:rsidRPr="00D731FE">
        <w:rPr>
          <w:b/>
          <w:bCs/>
          <w:sz w:val="18"/>
          <w:szCs w:val="16"/>
        </w:rPr>
        <w:t>a</w:t>
      </w:r>
      <w:r w:rsidRPr="00117E9B">
        <w:rPr>
          <w:sz w:val="18"/>
          <w:szCs w:val="16"/>
        </w:rPr>
        <w:t xml:space="preserve">: </w:t>
      </w:r>
      <w:r>
        <w:rPr>
          <w:sz w:val="18"/>
          <w:szCs w:val="16"/>
        </w:rPr>
        <w:t>Fr</w:t>
      </w:r>
      <w:r w:rsidRPr="00F97843">
        <w:rPr>
          <w:sz w:val="18"/>
          <w:szCs w:val="16"/>
        </w:rPr>
        <w:t>uit</w:t>
      </w:r>
      <w:r>
        <w:rPr>
          <w:sz w:val="18"/>
          <w:szCs w:val="16"/>
        </w:rPr>
        <w:t xml:space="preserve"> in crates in</w:t>
      </w:r>
      <w:r w:rsidRPr="00F97843">
        <w:rPr>
          <w:sz w:val="18"/>
          <w:szCs w:val="16"/>
        </w:rPr>
        <w:t xml:space="preserve"> receival </w:t>
      </w:r>
      <w:r>
        <w:rPr>
          <w:sz w:val="18"/>
          <w:szCs w:val="16"/>
        </w:rPr>
        <w:t xml:space="preserve">area </w:t>
      </w:r>
      <w:r w:rsidRPr="00F97843">
        <w:rPr>
          <w:sz w:val="18"/>
          <w:szCs w:val="16"/>
        </w:rPr>
        <w:t>with traceability card</w:t>
      </w:r>
      <w:r>
        <w:rPr>
          <w:sz w:val="18"/>
          <w:szCs w:val="16"/>
        </w:rPr>
        <w:t>s</w:t>
      </w:r>
      <w:r>
        <w:rPr>
          <w:b/>
          <w:bCs/>
          <w:sz w:val="18"/>
          <w:szCs w:val="16"/>
        </w:rPr>
        <w:t>.</w:t>
      </w:r>
      <w:r w:rsidRPr="00117E9B">
        <w:rPr>
          <w:b/>
          <w:bCs/>
          <w:sz w:val="18"/>
          <w:szCs w:val="16"/>
        </w:rPr>
        <w:t xml:space="preserve"> </w:t>
      </w:r>
      <w:r w:rsidRPr="00CF5D23">
        <w:rPr>
          <w:b/>
          <w:bCs/>
          <w:sz w:val="18"/>
          <w:szCs w:val="16"/>
        </w:rPr>
        <w:t>b</w:t>
      </w:r>
      <w:r w:rsidRPr="00117E9B">
        <w:rPr>
          <w:sz w:val="18"/>
          <w:szCs w:val="16"/>
        </w:rPr>
        <w:t xml:space="preserve">: </w:t>
      </w:r>
      <w:r>
        <w:rPr>
          <w:sz w:val="18"/>
          <w:szCs w:val="16"/>
        </w:rPr>
        <w:t>Crates of d</w:t>
      </w:r>
      <w:r w:rsidRPr="00884D13">
        <w:rPr>
          <w:sz w:val="18"/>
          <w:szCs w:val="16"/>
        </w:rPr>
        <w:t xml:space="preserve">ragon fruit </w:t>
      </w:r>
      <w:r>
        <w:rPr>
          <w:sz w:val="18"/>
          <w:szCs w:val="16"/>
        </w:rPr>
        <w:t xml:space="preserve">being weighed </w:t>
      </w:r>
      <w:r>
        <w:rPr>
          <w:b/>
          <w:sz w:val="18"/>
          <w:szCs w:val="16"/>
        </w:rPr>
        <w:t xml:space="preserve">c: </w:t>
      </w:r>
      <w:r>
        <w:rPr>
          <w:bCs/>
          <w:sz w:val="18"/>
          <w:szCs w:val="16"/>
        </w:rPr>
        <w:t>L</w:t>
      </w:r>
      <w:r w:rsidRPr="00D731FE">
        <w:rPr>
          <w:bCs/>
          <w:sz w:val="18"/>
          <w:szCs w:val="16"/>
        </w:rPr>
        <w:t>abell</w:t>
      </w:r>
      <w:r>
        <w:rPr>
          <w:bCs/>
          <w:sz w:val="18"/>
          <w:szCs w:val="16"/>
        </w:rPr>
        <w:t>ed</w:t>
      </w:r>
      <w:r w:rsidRPr="00D731FE">
        <w:rPr>
          <w:bCs/>
          <w:sz w:val="18"/>
          <w:szCs w:val="16"/>
        </w:rPr>
        <w:t xml:space="preserve"> crate</w:t>
      </w:r>
      <w:r>
        <w:rPr>
          <w:bCs/>
          <w:sz w:val="18"/>
          <w:szCs w:val="16"/>
        </w:rPr>
        <w:t>s</w:t>
      </w:r>
      <w:r w:rsidRPr="00D731FE">
        <w:rPr>
          <w:bCs/>
          <w:sz w:val="18"/>
          <w:szCs w:val="16"/>
        </w:rPr>
        <w:t xml:space="preserve"> </w:t>
      </w:r>
      <w:r>
        <w:rPr>
          <w:bCs/>
          <w:sz w:val="18"/>
          <w:szCs w:val="16"/>
        </w:rPr>
        <w:t>after</w:t>
      </w:r>
      <w:r w:rsidRPr="00D731FE">
        <w:rPr>
          <w:bCs/>
          <w:sz w:val="18"/>
          <w:szCs w:val="16"/>
        </w:rPr>
        <w:t xml:space="preserve"> doc</w:t>
      </w:r>
      <w:r>
        <w:rPr>
          <w:bCs/>
          <w:sz w:val="18"/>
          <w:szCs w:val="16"/>
        </w:rPr>
        <w:t>umentation</w:t>
      </w:r>
      <w:r w:rsidRPr="00D731FE">
        <w:rPr>
          <w:bCs/>
          <w:sz w:val="18"/>
          <w:szCs w:val="16"/>
        </w:rPr>
        <w:t xml:space="preserve"> checks</w:t>
      </w:r>
      <w:r>
        <w:rPr>
          <w:bCs/>
          <w:sz w:val="18"/>
          <w:szCs w:val="16"/>
        </w:rPr>
        <w:t xml:space="preserve">. </w:t>
      </w:r>
      <w:r w:rsidRPr="00D731FE">
        <w:rPr>
          <w:b/>
          <w:sz w:val="18"/>
          <w:szCs w:val="16"/>
        </w:rPr>
        <w:t>d:</w:t>
      </w:r>
      <w:r>
        <w:rPr>
          <w:bCs/>
          <w:sz w:val="18"/>
          <w:szCs w:val="16"/>
        </w:rPr>
        <w:t xml:space="preserve"> Harvested fruit documents being checked.</w:t>
      </w:r>
      <w:r w:rsidRPr="00D731FE">
        <w:rPr>
          <w:bCs/>
          <w:sz w:val="14"/>
          <w:szCs w:val="12"/>
        </w:rPr>
        <w:t xml:space="preserve"> </w:t>
      </w:r>
      <w:r w:rsidRPr="009376F7">
        <w:rPr>
          <w:bCs/>
          <w:sz w:val="18"/>
          <w:szCs w:val="16"/>
        </w:rPr>
        <w:t>Source:</w:t>
      </w:r>
      <w:r>
        <w:rPr>
          <w:noProof/>
          <w:sz w:val="18"/>
          <w:szCs w:val="18"/>
        </w:rPr>
        <w:t xml:space="preserve"> BP</w:t>
      </w:r>
      <w:r w:rsidRPr="00D731FE">
        <w:rPr>
          <w:noProof/>
          <w:sz w:val="18"/>
          <w:szCs w:val="18"/>
        </w:rPr>
        <w:t xml:space="preserve">I </w:t>
      </w:r>
      <w:r>
        <w:rPr>
          <w:noProof/>
          <w:sz w:val="18"/>
          <w:szCs w:val="18"/>
        </w:rPr>
        <w:t>(</w:t>
      </w:r>
      <w:r w:rsidRPr="00D731FE">
        <w:rPr>
          <w:noProof/>
          <w:sz w:val="18"/>
          <w:szCs w:val="18"/>
        </w:rPr>
        <w:t>2022)</w:t>
      </w:r>
      <w:r>
        <w:rPr>
          <w:noProof/>
          <w:sz w:val="18"/>
          <w:szCs w:val="18"/>
        </w:rPr>
        <w:t>.</w:t>
      </w:r>
    </w:p>
    <w:p w14:paraId="015CDCAA" w14:textId="77777777" w:rsidR="00BC2F05" w:rsidRPr="00630B21" w:rsidRDefault="00772FB6" w:rsidP="00032C1B">
      <w:pPr>
        <w:pStyle w:val="Heading5"/>
        <w:rPr>
          <w:rFonts w:ascii="Cambria" w:hAnsi="Cambria"/>
        </w:rPr>
      </w:pPr>
      <w:r w:rsidRPr="00904444">
        <w:rPr>
          <w:rFonts w:ascii="Cambria" w:hAnsi="Cambria"/>
        </w:rPr>
        <w:t>Grading</w:t>
      </w:r>
      <w:r>
        <w:rPr>
          <w:rFonts w:ascii="Cambria" w:hAnsi="Cambria"/>
        </w:rPr>
        <w:t xml:space="preserve"> and sorting </w:t>
      </w:r>
    </w:p>
    <w:p w14:paraId="628A22E6" w14:textId="77777777" w:rsidR="00BC2F05" w:rsidRDefault="00772FB6" w:rsidP="00032C1B">
      <w:r>
        <w:t xml:space="preserve">Grading and sorting takes place in a separate room to the receival area. Fruit </w:t>
      </w:r>
      <w:proofErr w:type="gramStart"/>
      <w:r>
        <w:t>are</w:t>
      </w:r>
      <w:proofErr w:type="gramEnd"/>
      <w:r>
        <w:t xml:space="preserve"> examined by farmhands, graded by size and quality and then sorted into different crates based on grade (</w:t>
      </w:r>
      <w:r>
        <w:fldChar w:fldCharType="begin" w:fldLock="1"/>
      </w:r>
      <w:r>
        <w:instrText xml:space="preserve"> REF Figure2_9 \h </w:instrText>
      </w:r>
      <w:r>
        <w:fldChar w:fldCharType="separate"/>
      </w:r>
      <w:r w:rsidRPr="001F58F6">
        <w:t>Figure 2.</w:t>
      </w:r>
      <w:r>
        <w:t>9</w:t>
      </w:r>
      <w:r>
        <w:fldChar w:fldCharType="end"/>
      </w:r>
      <w:r>
        <w:t xml:space="preserve">). The Philippine government has developed a Philippine National Standard (PNS) for the classification, grading and quality requirements for fresh dragon fruit intended for both domestic and international markets. Based on the PNS, dragon fruit can be classified into 3 classes, Extra class, Class I and Class II </w:t>
      </w:r>
      <w:r>
        <w:rPr>
          <w:noProof/>
        </w:rPr>
        <w:t>(Department of Trade &amp; Industry‚ Philippines 2013)</w:t>
      </w:r>
      <w:r>
        <w:t xml:space="preserve">. </w:t>
      </w:r>
      <w:r>
        <w:lastRenderedPageBreak/>
        <w:t xml:space="preserve">However, growers, </w:t>
      </w:r>
      <w:proofErr w:type="gramStart"/>
      <w:r>
        <w:t>traders</w:t>
      </w:r>
      <w:proofErr w:type="gramEnd"/>
      <w:r>
        <w:t xml:space="preserve"> and owners of commercial dragon fruit farms in the Philippines often implement additional quality classifications based on buyers’ requirements when preparing the fruit for market. If graded fruit meets the Extra class quality requirements, it can be reserved for export, otherwise </w:t>
      </w:r>
      <w:proofErr w:type="gramStart"/>
      <w:r>
        <w:t>high class</w:t>
      </w:r>
      <w:proofErr w:type="gramEnd"/>
      <w:r>
        <w:t xml:space="preserve"> fruit goes to supermarkets and wholesale fruit markets, while lower class fruit goes to wet markets, is fed to livestock or used for processing </w:t>
      </w:r>
      <w:r>
        <w:rPr>
          <w:noProof/>
        </w:rPr>
        <w:t>(Rodeo, Castro &amp; Esguerra 2018)</w:t>
      </w:r>
      <w:r>
        <w:t xml:space="preserve">. </w:t>
      </w:r>
    </w:p>
    <w:p w14:paraId="6869B3C9" w14:textId="77777777" w:rsidR="00BC2F05" w:rsidRDefault="00772FB6" w:rsidP="00032C1B">
      <w:r>
        <w:t>To satisfy the minimum quality requirements of the PNS, fresh dragon fruit in all classes must be:</w:t>
      </w:r>
    </w:p>
    <w:p w14:paraId="3A231058" w14:textId="77777777" w:rsidR="00BC2F05" w:rsidRDefault="00772FB6" w:rsidP="00BC2F05">
      <w:pPr>
        <w:pStyle w:val="ListBullet2"/>
        <w:spacing w:before="0" w:after="0"/>
        <w:jc w:val="both"/>
      </w:pPr>
      <w:r>
        <w:t>whole, ripe, firm, sound, clean and free of any visible foreign matter</w:t>
      </w:r>
    </w:p>
    <w:p w14:paraId="6E36D024" w14:textId="77777777" w:rsidR="00BC2F05" w:rsidRDefault="00772FB6" w:rsidP="00BC2F05">
      <w:pPr>
        <w:pStyle w:val="ListBullet2"/>
        <w:spacing w:before="0" w:after="0"/>
        <w:jc w:val="both"/>
      </w:pPr>
      <w:r>
        <w:t>fresh in appearance</w:t>
      </w:r>
    </w:p>
    <w:p w14:paraId="47DBDC8E" w14:textId="77777777" w:rsidR="00BC2F05" w:rsidRDefault="00772FB6" w:rsidP="00BC2F05">
      <w:pPr>
        <w:pStyle w:val="ListBullet2"/>
        <w:contextualSpacing/>
        <w:jc w:val="both"/>
      </w:pPr>
      <w:r>
        <w:t>practically free of pests affecting the general appearance of the produce</w:t>
      </w:r>
    </w:p>
    <w:p w14:paraId="58A90794" w14:textId="77777777" w:rsidR="00BC2F05" w:rsidRDefault="00772FB6" w:rsidP="00BC2F05">
      <w:pPr>
        <w:pStyle w:val="ListBullet2"/>
        <w:contextualSpacing/>
        <w:jc w:val="both"/>
      </w:pPr>
      <w:r>
        <w:t>practically free of damage caused by pests</w:t>
      </w:r>
    </w:p>
    <w:p w14:paraId="6794AA5B" w14:textId="77777777" w:rsidR="00BC2F05" w:rsidRDefault="00772FB6" w:rsidP="00BC2F05">
      <w:pPr>
        <w:pStyle w:val="ListBullet2"/>
        <w:ind w:left="851" w:hanging="425"/>
        <w:contextualSpacing/>
        <w:jc w:val="both"/>
      </w:pPr>
      <w:r>
        <w:t>free of abnormal external moisture excluding condensation following cold storage</w:t>
      </w:r>
    </w:p>
    <w:p w14:paraId="4D584CFC" w14:textId="77777777" w:rsidR="00BC2F05" w:rsidRDefault="00772FB6" w:rsidP="00BC2F05">
      <w:pPr>
        <w:pStyle w:val="ListBullet2"/>
        <w:contextualSpacing/>
        <w:jc w:val="both"/>
      </w:pPr>
      <w:r>
        <w:t>free of any foreign smell and/or taste</w:t>
      </w:r>
    </w:p>
    <w:p w14:paraId="4F8E36EA" w14:textId="77777777" w:rsidR="00BC2F05" w:rsidRDefault="00772FB6" w:rsidP="00BC2F05">
      <w:pPr>
        <w:pStyle w:val="ListBullet2"/>
        <w:contextualSpacing/>
        <w:jc w:val="both"/>
      </w:pPr>
      <w:r>
        <w:t>free of cracks in the skin</w:t>
      </w:r>
    </w:p>
    <w:p w14:paraId="1DDD80E8" w14:textId="77777777" w:rsidR="00BC2F05" w:rsidRDefault="00772FB6" w:rsidP="00BC2F05">
      <w:pPr>
        <w:pStyle w:val="ListBullet2"/>
        <w:contextualSpacing/>
        <w:jc w:val="both"/>
      </w:pPr>
      <w:r>
        <w:t>have a peduncle between 0.5–1.0 centimetre in length</w:t>
      </w:r>
    </w:p>
    <w:p w14:paraId="55A70C36" w14:textId="77777777" w:rsidR="00BC2F05" w:rsidRDefault="00772FB6" w:rsidP="00BC2F05">
      <w:pPr>
        <w:pStyle w:val="ListBullet2"/>
        <w:contextualSpacing/>
        <w:jc w:val="both"/>
      </w:pPr>
      <w:r>
        <w:t>thornless.</w:t>
      </w:r>
    </w:p>
    <w:p w14:paraId="048C5BD9" w14:textId="77777777" w:rsidR="00BC2F05" w:rsidRDefault="00772FB6" w:rsidP="00032C1B">
      <w:r>
        <w:t xml:space="preserve">In addition, the dragon fruit must have reached an appropriate degree of development and ripeness in accordance with the characteristics of the variety and/or type and the area in which they are grown </w:t>
      </w:r>
      <w:r>
        <w:rPr>
          <w:noProof/>
        </w:rPr>
        <w:t>(Department of Trade &amp; Industry‚ Philippines 2013)</w:t>
      </w:r>
      <w:r>
        <w:t>.</w:t>
      </w:r>
    </w:p>
    <w:p w14:paraId="17AC3A59" w14:textId="77777777" w:rsidR="00BC2F05" w:rsidRPr="00D731FE" w:rsidRDefault="00772FB6" w:rsidP="00032C1B">
      <w:pPr>
        <w:pStyle w:val="Caption"/>
      </w:pPr>
      <w:bookmarkStart w:id="79" w:name="Figure2_9"/>
      <w:bookmarkStart w:id="80" w:name="_Toc119493128"/>
      <w:r w:rsidRPr="00A67ABE">
        <w:rPr>
          <w:noProof/>
        </w:rPr>
        <w:drawing>
          <wp:anchor distT="0" distB="0" distL="114300" distR="114300" simplePos="0" relativeHeight="251682816" behindDoc="1" locked="0" layoutInCell="1" allowOverlap="1" wp14:anchorId="02E9A10D" wp14:editId="57D428AB">
            <wp:simplePos x="0" y="0"/>
            <wp:positionH relativeFrom="margin">
              <wp:posOffset>3895725</wp:posOffset>
            </wp:positionH>
            <wp:positionV relativeFrom="paragraph">
              <wp:posOffset>240665</wp:posOffset>
            </wp:positionV>
            <wp:extent cx="2207895" cy="3088005"/>
            <wp:effectExtent l="0" t="0" r="1905" b="0"/>
            <wp:wrapTight wrapText="bothSides">
              <wp:wrapPolygon edited="0">
                <wp:start x="0" y="0"/>
                <wp:lineTo x="0" y="21453"/>
                <wp:lineTo x="21432" y="21453"/>
                <wp:lineTo x="21432" y="0"/>
                <wp:lineTo x="0" y="0"/>
              </wp:wrapPolygon>
            </wp:wrapTight>
            <wp:docPr id="41" name="Picture 41" descr="Several crates with different amounts of dragon fruit within them based on their grade. Paper cards are on the crates to indicate the grade of the sorted drago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98464" name="Picture 41" descr="Several crates with different amounts of dragon fruit within them based on their grade. Paper cards are on the crates to indicate the grade of the sorted dragon fruit."/>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207895" cy="308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ABE">
        <w:rPr>
          <w:noProof/>
        </w:rPr>
        <w:drawing>
          <wp:anchor distT="0" distB="0" distL="114300" distR="114300" simplePos="0" relativeHeight="251684864" behindDoc="1" locked="0" layoutInCell="1" allowOverlap="1" wp14:anchorId="012903C4" wp14:editId="1D821FF1">
            <wp:simplePos x="0" y="0"/>
            <wp:positionH relativeFrom="column">
              <wp:posOffset>1920240</wp:posOffset>
            </wp:positionH>
            <wp:positionV relativeFrom="paragraph">
              <wp:posOffset>223520</wp:posOffset>
            </wp:positionV>
            <wp:extent cx="2012950" cy="3139440"/>
            <wp:effectExtent l="0" t="0" r="6350" b="3810"/>
            <wp:wrapTight wrapText="bothSides">
              <wp:wrapPolygon edited="0">
                <wp:start x="0" y="0"/>
                <wp:lineTo x="0" y="21495"/>
                <wp:lineTo x="21464" y="21495"/>
                <wp:lineTo x="21464" y="0"/>
                <wp:lineTo x="0" y="0"/>
              </wp:wrapPolygon>
            </wp:wrapTight>
            <wp:docPr id="40" name="Picture 40" descr="Several crates with different amounts of dragon fruit within them based on their grade. A farm worker is sorting a dragon fruit into the appropriate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20943" name="Picture 40" descr="Several crates with different amounts of dragon fruit within them based on their grade. A farm worker is sorting a dragon fruit into the appropriate crate."/>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01295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357">
        <w:rPr>
          <w:noProof/>
        </w:rPr>
        <w:drawing>
          <wp:anchor distT="0" distB="0" distL="114300" distR="114300" simplePos="0" relativeHeight="251683840" behindDoc="1" locked="0" layoutInCell="1" allowOverlap="1" wp14:anchorId="24101AB3" wp14:editId="18DD0236">
            <wp:simplePos x="0" y="0"/>
            <wp:positionH relativeFrom="margin">
              <wp:posOffset>-227965</wp:posOffset>
            </wp:positionH>
            <wp:positionV relativeFrom="paragraph">
              <wp:posOffset>240665</wp:posOffset>
            </wp:positionV>
            <wp:extent cx="2070100" cy="3009265"/>
            <wp:effectExtent l="0" t="0" r="6350" b="635"/>
            <wp:wrapTight wrapText="bothSides">
              <wp:wrapPolygon edited="0">
                <wp:start x="0" y="0"/>
                <wp:lineTo x="0" y="21468"/>
                <wp:lineTo x="21467" y="21468"/>
                <wp:lineTo x="21467" y="0"/>
                <wp:lineTo x="0" y="0"/>
              </wp:wrapPolygon>
            </wp:wrapTight>
            <wp:docPr id="29" name="Picture 29" descr="A farm worker holding two dragon fruit at a metal grading table. The table has digital scales. Crates surround the worker where graded fruit are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69071" name="Picture 29" descr="A farm worker holding two dragon fruit at a metal grading table. The table has digital scales. Crates surround the worker where graded fruit are plac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7010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8F6">
        <w:t>Figure 2.</w:t>
      </w:r>
      <w:r>
        <w:t>9</w:t>
      </w:r>
      <w:r w:rsidRPr="001F58F6">
        <w:t xml:space="preserve"> </w:t>
      </w:r>
      <w:bookmarkEnd w:id="79"/>
      <w:r>
        <w:t>Dragon f</w:t>
      </w:r>
      <w:r w:rsidRPr="001F58F6">
        <w:t xml:space="preserve">ruit </w:t>
      </w:r>
      <w:r>
        <w:t>being graded and sorted into different crates based on size and quality</w:t>
      </w:r>
      <w:bookmarkEnd w:id="80"/>
    </w:p>
    <w:p w14:paraId="454729BF" w14:textId="77777777" w:rsidR="00BC2F05" w:rsidRPr="00C32FF3" w:rsidRDefault="00772FB6" w:rsidP="00032C1B">
      <w:pPr>
        <w:rPr>
          <w:bCs/>
          <w:noProof/>
        </w:rPr>
      </w:pPr>
      <w:r>
        <w:rPr>
          <w:sz w:val="18"/>
          <w:szCs w:val="16"/>
        </w:rPr>
        <w:t>Source:</w:t>
      </w:r>
      <w:r w:rsidRPr="0087094D">
        <w:rPr>
          <w:noProof/>
        </w:rPr>
        <w:t xml:space="preserve"> </w:t>
      </w:r>
      <w:r w:rsidRPr="00C32FF3">
        <w:rPr>
          <w:noProof/>
          <w:sz w:val="18"/>
          <w:szCs w:val="18"/>
        </w:rPr>
        <w:t xml:space="preserve">BPI </w:t>
      </w:r>
      <w:r>
        <w:rPr>
          <w:noProof/>
          <w:sz w:val="18"/>
          <w:szCs w:val="18"/>
        </w:rPr>
        <w:t>(</w:t>
      </w:r>
      <w:r w:rsidRPr="00C32FF3">
        <w:rPr>
          <w:noProof/>
          <w:sz w:val="18"/>
          <w:szCs w:val="18"/>
        </w:rPr>
        <w:t>2022)</w:t>
      </w:r>
    </w:p>
    <w:p w14:paraId="56194DD1" w14:textId="77777777" w:rsidR="00BC2F05" w:rsidRDefault="00772FB6" w:rsidP="00032C1B">
      <w:pPr>
        <w:pStyle w:val="Heading5"/>
        <w:rPr>
          <w:rFonts w:ascii="Cambria" w:hAnsi="Cambria"/>
        </w:rPr>
      </w:pPr>
      <w:r w:rsidRPr="00904444">
        <w:rPr>
          <w:rFonts w:ascii="Cambria" w:hAnsi="Cambria"/>
        </w:rPr>
        <w:t>Packing</w:t>
      </w:r>
    </w:p>
    <w:p w14:paraId="23CB2511" w14:textId="77777777" w:rsidR="00BC2F05" w:rsidRDefault="00772FB6" w:rsidP="00032C1B">
      <w:r>
        <w:t>After grading and sorting, f</w:t>
      </w:r>
      <w:r w:rsidRPr="00A77E8C">
        <w:t xml:space="preserve">ruit </w:t>
      </w:r>
      <w:r>
        <w:t>are moved to a separate area to be</w:t>
      </w:r>
      <w:r w:rsidRPr="00A77E8C">
        <w:t xml:space="preserve"> packed into boxes or cartons for market delivery.</w:t>
      </w:r>
      <w:r>
        <w:t xml:space="preserve"> It is a requirement that export-registered packing houses handle and pack fruit in accordance with the appropriate sections of the Recommended International Code of Practice for Packaging and Transport, the Code of Hygienic Practice for Fresh Fruit and Vegetables and other Codes </w:t>
      </w:r>
      <w:r>
        <w:rPr>
          <w:noProof/>
        </w:rPr>
        <w:t>(Department of Trade &amp; Industry‚ Philippines 2013)</w:t>
      </w:r>
      <w:r>
        <w:t>.</w:t>
      </w:r>
      <w:r w:rsidRPr="00714CBE">
        <w:t xml:space="preserve"> </w:t>
      </w:r>
    </w:p>
    <w:p w14:paraId="4359C45C" w14:textId="77777777" w:rsidR="00BC2F05" w:rsidRDefault="00772FB6" w:rsidP="00032C1B">
      <w:pPr>
        <w:rPr>
          <w:lang w:val="en-US"/>
        </w:rPr>
      </w:pPr>
      <w:r>
        <w:lastRenderedPageBreak/>
        <w:t xml:space="preserve">Packing houses are designed to ensure fruit are processed in a clean and hygienic environment. For example, the packing area of an export-registered packing house visited was enclosed with white sheets including thick black ground sheets </w:t>
      </w:r>
      <w:r w:rsidRPr="00A77E8C">
        <w:t>to avoid contamination by insect pests and dirt while packing</w:t>
      </w:r>
      <w:r>
        <w:t xml:space="preserve">. The </w:t>
      </w:r>
      <w:r w:rsidRPr="00A77E8C">
        <w:t>fruit</w:t>
      </w:r>
      <w:r>
        <w:t xml:space="preserve"> are placed inside boxes or cartons according to market requirements. Boxes usually have</w:t>
      </w:r>
      <w:r w:rsidRPr="00A77E8C">
        <w:t xml:space="preserve"> holes on the sides</w:t>
      </w:r>
      <w:r>
        <w:t xml:space="preserve">, which </w:t>
      </w:r>
      <w:r w:rsidRPr="00A77E8C">
        <w:t>allow air circulation</w:t>
      </w:r>
      <w:r>
        <w:t xml:space="preserve"> during transport and contain a plastic insert (Figure 2.10).</w:t>
      </w:r>
      <w:r w:rsidRPr="00A77E8C">
        <w:t xml:space="preserve"> </w:t>
      </w:r>
      <w:bookmarkStart w:id="81" w:name="_Hlk114565955"/>
      <w:r>
        <w:t xml:space="preserve">The materials used for packing must be new, clean, and of a quality which avoids causing damage to the produce </w:t>
      </w:r>
      <w:bookmarkEnd w:id="81"/>
      <w:r>
        <w:rPr>
          <w:noProof/>
        </w:rPr>
        <w:t>(Department of Trade &amp; Industry‚ Philippines 2013)</w:t>
      </w:r>
      <w:r>
        <w:t xml:space="preserve">. </w:t>
      </w:r>
      <w:r w:rsidRPr="00A77E8C">
        <w:t xml:space="preserve">The number of </w:t>
      </w:r>
      <w:proofErr w:type="gramStart"/>
      <w:r w:rsidRPr="00A77E8C">
        <w:t>frui</w:t>
      </w:r>
      <w:r>
        <w:t>t</w:t>
      </w:r>
      <w:proofErr w:type="gramEnd"/>
      <w:r w:rsidRPr="00A77E8C">
        <w:t xml:space="preserve"> in each box depends on the box </w:t>
      </w:r>
      <w:r>
        <w:t>and fruit size</w:t>
      </w:r>
      <w:r w:rsidRPr="00A77E8C">
        <w:t xml:space="preserve"> and market requirements. </w:t>
      </w:r>
      <w:r>
        <w:t>C</w:t>
      </w:r>
      <w:r w:rsidRPr="00A77E8C">
        <w:t>ommon</w:t>
      </w:r>
      <w:r>
        <w:t>ly,</w:t>
      </w:r>
      <w:r w:rsidRPr="00A77E8C">
        <w:t xml:space="preserve"> around</w:t>
      </w:r>
      <w:r w:rsidRPr="00A84A4E">
        <w:t xml:space="preserve"> </w:t>
      </w:r>
      <w:r w:rsidRPr="00A77E8C">
        <w:t xml:space="preserve">24–28 fruit </w:t>
      </w:r>
      <w:r>
        <w:t>are placed in each</w:t>
      </w:r>
      <w:r w:rsidRPr="00A77E8C">
        <w:t xml:space="preserve"> box.</w:t>
      </w:r>
      <w:r>
        <w:t xml:space="preserve"> </w:t>
      </w:r>
      <w:r w:rsidRPr="00317100">
        <w:rPr>
          <w:lang w:val="en-US"/>
        </w:rPr>
        <w:t xml:space="preserve">Boxed </w:t>
      </w:r>
      <w:proofErr w:type="gramStart"/>
      <w:r w:rsidRPr="00317100">
        <w:rPr>
          <w:lang w:val="en-US"/>
        </w:rPr>
        <w:t>fruit</w:t>
      </w:r>
      <w:proofErr w:type="gramEnd"/>
      <w:r w:rsidRPr="00317100">
        <w:rPr>
          <w:lang w:val="en-US"/>
        </w:rPr>
        <w:t xml:space="preserve"> are stored in the consolidation room until ready for loading.</w:t>
      </w:r>
    </w:p>
    <w:p w14:paraId="65CEC653" w14:textId="77777777" w:rsidR="00BC2F05" w:rsidRDefault="00772FB6" w:rsidP="00032C1B">
      <w:pPr>
        <w:rPr>
          <w:lang w:val="en-US"/>
        </w:rPr>
      </w:pPr>
      <w:r>
        <w:t xml:space="preserve">Packing houses are used to pack fruit intended for both export and domestic markets. Therefore, farm managers ensure fruit intended for the different markets are packed at separate times, with cleaning being undertaken between activities, to ensure cross-contamination does not occur. </w:t>
      </w:r>
    </w:p>
    <w:p w14:paraId="489B543D" w14:textId="77777777" w:rsidR="00BC2F05" w:rsidRDefault="00772FB6" w:rsidP="00032C1B">
      <w:pPr>
        <w:rPr>
          <w:bCs/>
        </w:rPr>
      </w:pPr>
      <w:r w:rsidRPr="001F58F6">
        <w:rPr>
          <w:bCs/>
          <w:noProof/>
        </w:rPr>
        <w:drawing>
          <wp:anchor distT="0" distB="0" distL="114300" distR="114300" simplePos="0" relativeHeight="251681792" behindDoc="1" locked="0" layoutInCell="1" allowOverlap="1" wp14:anchorId="71AA7DC9" wp14:editId="34A87800">
            <wp:simplePos x="0" y="0"/>
            <wp:positionH relativeFrom="column">
              <wp:posOffset>98736</wp:posOffset>
            </wp:positionH>
            <wp:positionV relativeFrom="paragraph">
              <wp:posOffset>360129</wp:posOffset>
            </wp:positionV>
            <wp:extent cx="2633345" cy="3768090"/>
            <wp:effectExtent l="0" t="0" r="0" b="3810"/>
            <wp:wrapTight wrapText="bothSides">
              <wp:wrapPolygon edited="0">
                <wp:start x="0" y="0"/>
                <wp:lineTo x="0" y="21513"/>
                <wp:lineTo x="21407" y="21513"/>
                <wp:lineTo x="21407" y="0"/>
                <wp:lineTo x="0" y="0"/>
              </wp:wrapPolygon>
            </wp:wrapTight>
            <wp:docPr id="28" name="Picture 28" descr="A full cardboard box of dragon fruit. A farm worker adjusts a plastic insert which covers all of the dragon fruit within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63190" name="Picture 28" descr="A full cardboard box of dragon fruit. A farm worker adjusts a plastic insert which covers all of the dragon fruit within the box."/>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633345" cy="3768090"/>
                    </a:xfrm>
                    <a:prstGeom prst="rect">
                      <a:avLst/>
                    </a:prstGeom>
                    <a:noFill/>
                    <a:ln>
                      <a:noFill/>
                    </a:ln>
                  </pic:spPr>
                </pic:pic>
              </a:graphicData>
            </a:graphic>
          </wp:anchor>
        </w:drawing>
      </w:r>
      <w:bookmarkStart w:id="82" w:name="_Toc119493129"/>
      <w:r w:rsidRPr="00B00CD8">
        <w:rPr>
          <w:rStyle w:val="CaptionChar"/>
        </w:rPr>
        <w:t>Figure 2.</w:t>
      </w:r>
      <w:r>
        <w:rPr>
          <w:rStyle w:val="CaptionChar"/>
        </w:rPr>
        <w:t>10</w:t>
      </w:r>
      <w:r w:rsidRPr="00B00CD8">
        <w:rPr>
          <w:rStyle w:val="CaptionChar"/>
        </w:rPr>
        <w:t xml:space="preserve"> Plastic covered fruit being </w:t>
      </w:r>
      <w:r>
        <w:rPr>
          <w:rStyle w:val="CaptionChar"/>
        </w:rPr>
        <w:t>packed</w:t>
      </w:r>
      <w:r w:rsidRPr="00B00CD8">
        <w:rPr>
          <w:rStyle w:val="CaptionChar"/>
        </w:rPr>
        <w:t xml:space="preserve"> into boxes</w:t>
      </w:r>
      <w:bookmarkEnd w:id="82"/>
      <w:r w:rsidRPr="001218DE">
        <w:rPr>
          <w:rStyle w:val="CaptionChar"/>
        </w:rPr>
        <w:t xml:space="preserve"> </w:t>
      </w:r>
    </w:p>
    <w:p w14:paraId="09FB8C31" w14:textId="77777777" w:rsidR="00BC2F05" w:rsidRDefault="00772FB6" w:rsidP="00032C1B">
      <w:pPr>
        <w:pStyle w:val="Heading5"/>
        <w:rPr>
          <w:rFonts w:ascii="Cambria" w:hAnsi="Cambria"/>
        </w:rPr>
      </w:pPr>
      <w:r w:rsidRPr="001218DE">
        <w:rPr>
          <w:rStyle w:val="CaptionChar"/>
          <w:noProof/>
        </w:rPr>
        <w:drawing>
          <wp:anchor distT="0" distB="0" distL="114300" distR="114300" simplePos="0" relativeHeight="251680768" behindDoc="1" locked="0" layoutInCell="1" allowOverlap="1" wp14:anchorId="3E10707E" wp14:editId="17B8591C">
            <wp:simplePos x="0" y="0"/>
            <wp:positionH relativeFrom="margin">
              <wp:posOffset>3185783</wp:posOffset>
            </wp:positionH>
            <wp:positionV relativeFrom="paragraph">
              <wp:posOffset>24154</wp:posOffset>
            </wp:positionV>
            <wp:extent cx="2592705" cy="3726180"/>
            <wp:effectExtent l="0" t="0" r="0" b="7620"/>
            <wp:wrapTight wrapText="bothSides">
              <wp:wrapPolygon edited="0">
                <wp:start x="0" y="0"/>
                <wp:lineTo x="0" y="21534"/>
                <wp:lineTo x="21425" y="21534"/>
                <wp:lineTo x="21425" y="0"/>
                <wp:lineTo x="0" y="0"/>
              </wp:wrapPolygon>
            </wp:wrapTight>
            <wp:docPr id="42" name="Picture 42" descr="A cardboard box full of dragon fruit covered in a plastic insert, ready to be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98694" name="Picture 42" descr="A cardboard box full of dragon fruit covered in a plastic insert, ready to be seal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592705"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DFA16" w14:textId="77777777" w:rsidR="00BC2F05" w:rsidRDefault="00BC2F05" w:rsidP="00032C1B">
      <w:pPr>
        <w:pStyle w:val="Heading5"/>
        <w:rPr>
          <w:rFonts w:ascii="Cambria" w:hAnsi="Cambria"/>
        </w:rPr>
      </w:pPr>
    </w:p>
    <w:p w14:paraId="6EAFE000" w14:textId="77777777" w:rsidR="00BC2F05" w:rsidRDefault="00BC2F05" w:rsidP="00032C1B">
      <w:pPr>
        <w:pStyle w:val="Heading5"/>
        <w:rPr>
          <w:rFonts w:ascii="Cambria" w:hAnsi="Cambria"/>
        </w:rPr>
      </w:pPr>
    </w:p>
    <w:p w14:paraId="6C31612D" w14:textId="77777777" w:rsidR="00BC2F05" w:rsidRDefault="00BC2F05" w:rsidP="00032C1B">
      <w:pPr>
        <w:pStyle w:val="Heading5"/>
        <w:rPr>
          <w:rFonts w:ascii="Cambria" w:hAnsi="Cambria"/>
        </w:rPr>
      </w:pPr>
    </w:p>
    <w:p w14:paraId="3D69DAE2" w14:textId="77777777" w:rsidR="00BC2F05" w:rsidRDefault="00BC2F05" w:rsidP="00032C1B">
      <w:pPr>
        <w:pStyle w:val="Heading5"/>
        <w:rPr>
          <w:rFonts w:ascii="Cambria" w:hAnsi="Cambria"/>
        </w:rPr>
      </w:pPr>
    </w:p>
    <w:p w14:paraId="20FEDA5C" w14:textId="77777777" w:rsidR="00BC2F05" w:rsidRDefault="00BC2F05" w:rsidP="00032C1B">
      <w:pPr>
        <w:pStyle w:val="Heading5"/>
        <w:rPr>
          <w:rFonts w:ascii="Cambria" w:hAnsi="Cambria"/>
        </w:rPr>
      </w:pPr>
    </w:p>
    <w:p w14:paraId="6C0BAF1F" w14:textId="77777777" w:rsidR="00BC2F05" w:rsidRDefault="00BC2F05" w:rsidP="00032C1B">
      <w:pPr>
        <w:pStyle w:val="Heading5"/>
        <w:rPr>
          <w:rFonts w:ascii="Cambria" w:hAnsi="Cambria"/>
        </w:rPr>
      </w:pPr>
    </w:p>
    <w:p w14:paraId="174A1ED7" w14:textId="77777777" w:rsidR="00BC2F05" w:rsidRDefault="00BC2F05" w:rsidP="00032C1B">
      <w:pPr>
        <w:pStyle w:val="Heading5"/>
        <w:rPr>
          <w:rFonts w:ascii="Cambria" w:hAnsi="Cambria"/>
        </w:rPr>
      </w:pPr>
    </w:p>
    <w:p w14:paraId="118DEB36" w14:textId="77777777" w:rsidR="00BC2F05" w:rsidRDefault="00BC2F05" w:rsidP="00032C1B">
      <w:pPr>
        <w:pStyle w:val="Heading5"/>
        <w:rPr>
          <w:rFonts w:ascii="Cambria" w:hAnsi="Cambria"/>
        </w:rPr>
      </w:pPr>
    </w:p>
    <w:p w14:paraId="0C852693" w14:textId="77777777" w:rsidR="00BC2F05" w:rsidRDefault="00BC2F05" w:rsidP="00032C1B">
      <w:pPr>
        <w:pStyle w:val="Heading5"/>
        <w:rPr>
          <w:rFonts w:ascii="Cambria" w:hAnsi="Cambria"/>
        </w:rPr>
      </w:pPr>
    </w:p>
    <w:p w14:paraId="6B259277" w14:textId="77777777" w:rsidR="00BC2F05" w:rsidRDefault="00BC2F05" w:rsidP="00032C1B">
      <w:pPr>
        <w:pStyle w:val="Heading5"/>
        <w:rPr>
          <w:rFonts w:ascii="Cambria" w:hAnsi="Cambria"/>
        </w:rPr>
      </w:pPr>
    </w:p>
    <w:p w14:paraId="1B70E0DC" w14:textId="77777777" w:rsidR="00BC2F05" w:rsidRDefault="00BC2F05" w:rsidP="00032C1B">
      <w:pPr>
        <w:pStyle w:val="Heading5"/>
        <w:rPr>
          <w:rFonts w:ascii="Cambria" w:hAnsi="Cambria"/>
        </w:rPr>
      </w:pPr>
    </w:p>
    <w:p w14:paraId="546F14B0" w14:textId="77777777" w:rsidR="00BC2F05" w:rsidRDefault="00BC2F05" w:rsidP="00032C1B">
      <w:pPr>
        <w:pStyle w:val="Heading5"/>
        <w:rPr>
          <w:rFonts w:ascii="Cambria" w:hAnsi="Cambria"/>
        </w:rPr>
      </w:pPr>
    </w:p>
    <w:p w14:paraId="447989B1" w14:textId="77777777" w:rsidR="00BC2F05" w:rsidRDefault="00BC2F05" w:rsidP="00032C1B">
      <w:pPr>
        <w:pStyle w:val="Heading5"/>
        <w:rPr>
          <w:rFonts w:ascii="Cambria" w:hAnsi="Cambria"/>
        </w:rPr>
      </w:pPr>
    </w:p>
    <w:p w14:paraId="05A41868" w14:textId="77777777" w:rsidR="00BC2F05" w:rsidRDefault="00BC2F05" w:rsidP="00032C1B">
      <w:pPr>
        <w:pStyle w:val="Heading5"/>
        <w:rPr>
          <w:rFonts w:ascii="Cambria" w:hAnsi="Cambria"/>
        </w:rPr>
      </w:pPr>
    </w:p>
    <w:p w14:paraId="0348FDBD" w14:textId="77777777" w:rsidR="00BC2F05" w:rsidRDefault="00BC2F05" w:rsidP="00032C1B">
      <w:pPr>
        <w:pStyle w:val="Heading5"/>
        <w:rPr>
          <w:rFonts w:ascii="Cambria" w:hAnsi="Cambria"/>
        </w:rPr>
      </w:pPr>
    </w:p>
    <w:p w14:paraId="223AF8BB" w14:textId="77777777" w:rsidR="00BC2F05" w:rsidRDefault="00772FB6" w:rsidP="00032C1B">
      <w:pPr>
        <w:rPr>
          <w:noProof/>
          <w:sz w:val="18"/>
          <w:szCs w:val="18"/>
        </w:rPr>
      </w:pPr>
      <w:r>
        <w:rPr>
          <w:sz w:val="18"/>
          <w:szCs w:val="16"/>
        </w:rPr>
        <w:t>Source:</w:t>
      </w:r>
      <w:r w:rsidRPr="0087094D">
        <w:rPr>
          <w:noProof/>
        </w:rPr>
        <w:t xml:space="preserve"> </w:t>
      </w:r>
      <w:r w:rsidRPr="00C32FF3">
        <w:rPr>
          <w:noProof/>
          <w:sz w:val="18"/>
          <w:szCs w:val="18"/>
        </w:rPr>
        <w:t xml:space="preserve">BPI </w:t>
      </w:r>
      <w:r>
        <w:rPr>
          <w:noProof/>
          <w:sz w:val="18"/>
          <w:szCs w:val="18"/>
        </w:rPr>
        <w:t>(</w:t>
      </w:r>
      <w:r w:rsidRPr="00C32FF3">
        <w:rPr>
          <w:noProof/>
          <w:sz w:val="18"/>
          <w:szCs w:val="18"/>
        </w:rPr>
        <w:t>2022)</w:t>
      </w:r>
    </w:p>
    <w:p w14:paraId="4B64D2D6" w14:textId="77777777" w:rsidR="00BC2F05" w:rsidRDefault="00772FB6" w:rsidP="00032C1B">
      <w:pPr>
        <w:pStyle w:val="Heading5"/>
        <w:rPr>
          <w:rFonts w:ascii="Cambria" w:hAnsi="Cambria"/>
        </w:rPr>
      </w:pPr>
      <w:r w:rsidRPr="00904444">
        <w:rPr>
          <w:rFonts w:ascii="Cambria" w:hAnsi="Cambria"/>
        </w:rPr>
        <w:t>Storage</w:t>
      </w:r>
    </w:p>
    <w:p w14:paraId="75F92F5C" w14:textId="77777777" w:rsidR="00BC2F05" w:rsidRPr="00E57CEE" w:rsidRDefault="00772FB6" w:rsidP="00032C1B">
      <w:pPr>
        <w:rPr>
          <w:b/>
        </w:rPr>
      </w:pPr>
      <w:r w:rsidRPr="00E57CEE">
        <w:t xml:space="preserve">Dragon fruit is a non-climacteric </w:t>
      </w:r>
      <w:proofErr w:type="gramStart"/>
      <w:r w:rsidRPr="00E57CEE">
        <w:t>fruit</w:t>
      </w:r>
      <w:proofErr w:type="gramEnd"/>
      <w:r w:rsidRPr="00E57CEE">
        <w:t xml:space="preserve"> and its overall quality starts to decline after harvest </w:t>
      </w:r>
      <w:r>
        <w:rPr>
          <w:noProof/>
        </w:rPr>
        <w:t>(Tepora 2019)</w:t>
      </w:r>
      <w:r w:rsidRPr="00E57CEE">
        <w:t xml:space="preserve">. Cold storage at 5°C and 90% relative humidity can be used to keep the fruit fresh for between 17 and 40 days </w:t>
      </w:r>
      <w:r>
        <w:rPr>
          <w:noProof/>
        </w:rPr>
        <w:t>(Pascua, Pascua &amp; Gabriel 2015; Tepora 2019)</w:t>
      </w:r>
      <w:r>
        <w:t xml:space="preserve">. </w:t>
      </w:r>
      <w:r w:rsidRPr="00E57CEE">
        <w:t>Fruit that are</w:t>
      </w:r>
      <w:r>
        <w:t xml:space="preserve"> not</w:t>
      </w:r>
      <w:r w:rsidRPr="00E57CEE">
        <w:t xml:space="preserve"> put in cold storage can be stored for 3</w:t>
      </w:r>
      <w:r>
        <w:t xml:space="preserve"> to </w:t>
      </w:r>
      <w:r w:rsidRPr="00E57CEE">
        <w:t>4 days at ambient temperature</w:t>
      </w:r>
      <w:r>
        <w:t>, or</w:t>
      </w:r>
      <w:r w:rsidRPr="00E57CEE">
        <w:t xml:space="preserve"> 1</w:t>
      </w:r>
      <w:r>
        <w:t xml:space="preserve"> week or </w:t>
      </w:r>
      <w:r w:rsidRPr="00E57CEE">
        <w:t xml:space="preserve">2 weeks at 20°C or 14°C respectively </w:t>
      </w:r>
      <w:r>
        <w:rPr>
          <w:noProof/>
        </w:rPr>
        <w:t>(Tepora 2019)</w:t>
      </w:r>
      <w:r>
        <w:rPr>
          <w:b/>
        </w:rPr>
        <w:t xml:space="preserve">. </w:t>
      </w:r>
      <w:r>
        <w:t>Currently, post-harvest</w:t>
      </w:r>
      <w:r w:rsidRPr="00E57CEE">
        <w:t xml:space="preserve"> cold storage facilities</w:t>
      </w:r>
      <w:r>
        <w:t xml:space="preserve"> and technologies</w:t>
      </w:r>
      <w:r w:rsidRPr="00E57CEE">
        <w:t xml:space="preserve"> </w:t>
      </w:r>
      <w:r>
        <w:t>are lacking</w:t>
      </w:r>
      <w:r w:rsidRPr="00E57CEE">
        <w:t xml:space="preserve"> in the Philippines</w:t>
      </w:r>
      <w:r>
        <w:t>,</w:t>
      </w:r>
      <w:r w:rsidRPr="00E57CEE">
        <w:t xml:space="preserve"> </w:t>
      </w:r>
      <w:r>
        <w:t xml:space="preserve">causing post-harvest losses during storage and </w:t>
      </w:r>
      <w:r>
        <w:lastRenderedPageBreak/>
        <w:t xml:space="preserve">transportation </w:t>
      </w:r>
      <w:r>
        <w:rPr>
          <w:noProof/>
        </w:rPr>
        <w:t>(Tridge 2022)</w:t>
      </w:r>
      <w:r>
        <w:t>. H</w:t>
      </w:r>
      <w:r w:rsidRPr="00E57CEE">
        <w:t>arvested fruit are mostly packed and delivered within 24 hours</w:t>
      </w:r>
      <w:r>
        <w:t xml:space="preserve"> to combat the lack of post-harvest facilities</w:t>
      </w:r>
      <w:r w:rsidRPr="00E57CEE">
        <w:t xml:space="preserve"> </w:t>
      </w:r>
      <w:r>
        <w:rPr>
          <w:noProof/>
        </w:rPr>
        <w:t>(Rodeo, Castro &amp; Esguerra 2018)</w:t>
      </w:r>
      <w:r w:rsidRPr="00E57CEE">
        <w:t xml:space="preserve">. </w:t>
      </w:r>
    </w:p>
    <w:p w14:paraId="739AD188" w14:textId="77777777" w:rsidR="00BC2F05" w:rsidRDefault="00772FB6" w:rsidP="00032C1B">
      <w:pPr>
        <w:pStyle w:val="Heading4"/>
      </w:pPr>
      <w:r>
        <w:t>Transport</w:t>
      </w:r>
    </w:p>
    <w:p w14:paraId="15654B04" w14:textId="77777777" w:rsidR="00BC2F05" w:rsidRDefault="00772FB6" w:rsidP="00032C1B">
      <w:pPr>
        <w:rPr>
          <w:rFonts w:eastAsiaTheme="majorEastAsia" w:cstheme="majorBidi"/>
          <w:b/>
          <w:bCs/>
          <w:color w:val="595959" w:themeColor="text1" w:themeTint="A6"/>
          <w:sz w:val="20"/>
          <w:szCs w:val="18"/>
        </w:rPr>
      </w:pPr>
      <w:r>
        <w:t xml:space="preserve">Packed fruit boxes are loaded into small trucks or non-refrigerated vans and delivered to ports for export. Transportation generally occurs in the evening to avoid excess heat during transportation, which can affect shelf life. Fruit </w:t>
      </w:r>
      <w:proofErr w:type="gramStart"/>
      <w:r>
        <w:t>are</w:t>
      </w:r>
      <w:proofErr w:type="gramEnd"/>
      <w:r>
        <w:t xml:space="preserve"> then transported by sea or air to the destination country. </w:t>
      </w:r>
    </w:p>
    <w:p w14:paraId="69FB8EA0" w14:textId="77777777" w:rsidR="00BC2F05" w:rsidRPr="00ED08B3" w:rsidRDefault="00772FB6" w:rsidP="00032C1B">
      <w:pPr>
        <w:pStyle w:val="Heading4"/>
      </w:pPr>
      <w:r>
        <w:t>Phytosanitary inspection and certification</w:t>
      </w:r>
    </w:p>
    <w:p w14:paraId="729B7679" w14:textId="77777777" w:rsidR="00BC2F05" w:rsidRDefault="00772FB6" w:rsidP="00032C1B">
      <w:pPr>
        <w:rPr>
          <w:lang w:val="en-US"/>
        </w:rPr>
      </w:pPr>
      <w:r>
        <w:rPr>
          <w:lang w:val="en-US"/>
        </w:rPr>
        <w:t xml:space="preserve">Prior to export, all consignments of fresh dragon fruit are required to undergo a phytosanitary inspection by </w:t>
      </w:r>
      <w:r>
        <w:t xml:space="preserve">Philippines </w:t>
      </w:r>
      <w:r>
        <w:rPr>
          <w:lang w:val="en-US"/>
        </w:rPr>
        <w:t xml:space="preserve">DA approved personnel, as described in section </w:t>
      </w:r>
      <w:r>
        <w:rPr>
          <w:lang w:val="en-US"/>
        </w:rPr>
        <w:fldChar w:fldCharType="begin" w:fldLock="1"/>
      </w:r>
      <w:r>
        <w:rPr>
          <w:lang w:val="en-US"/>
        </w:rPr>
        <w:instrText xml:space="preserve"> REF Phyto_inspect \h </w:instrText>
      </w:r>
      <w:r>
        <w:rPr>
          <w:lang w:val="en-US"/>
        </w:rPr>
      </w:r>
      <w:r>
        <w:rPr>
          <w:lang w:val="en-US"/>
        </w:rPr>
        <w:fldChar w:fldCharType="separate"/>
      </w:r>
      <w:r>
        <w:t>4.2.6</w:t>
      </w:r>
      <w:r>
        <w:rPr>
          <w:lang w:val="en-US"/>
        </w:rPr>
        <w:fldChar w:fldCharType="end"/>
      </w:r>
      <w:r>
        <w:rPr>
          <w:lang w:val="en-US"/>
        </w:rPr>
        <w:t xml:space="preserve">. If the consignment is found to be free of pests and meets the requirements of importation, it is issued with a phytosanitary certificate. </w:t>
      </w:r>
      <w:r w:rsidRPr="00205775">
        <w:rPr>
          <w:lang w:val="en-US"/>
        </w:rPr>
        <w:t xml:space="preserve">Currently, the Philippines </w:t>
      </w:r>
      <w:r>
        <w:rPr>
          <w:lang w:val="en-US"/>
        </w:rPr>
        <w:t>exports dragon fruit only to</w:t>
      </w:r>
      <w:r w:rsidRPr="00205775">
        <w:rPr>
          <w:lang w:val="en-US"/>
        </w:rPr>
        <w:t xml:space="preserve"> markets </w:t>
      </w:r>
      <w:r>
        <w:rPr>
          <w:lang w:val="en-US"/>
        </w:rPr>
        <w:t>that</w:t>
      </w:r>
      <w:r w:rsidRPr="00205775">
        <w:rPr>
          <w:lang w:val="en-US"/>
        </w:rPr>
        <w:t xml:space="preserve"> do not require </w:t>
      </w:r>
      <w:r>
        <w:rPr>
          <w:lang w:val="en-US"/>
        </w:rPr>
        <w:t>p</w:t>
      </w:r>
      <w:r w:rsidRPr="00205775">
        <w:rPr>
          <w:lang w:val="en-US"/>
        </w:rPr>
        <w:t>hytosanitary certification</w:t>
      </w:r>
      <w:r>
        <w:rPr>
          <w:lang w:val="en-US"/>
        </w:rPr>
        <w:t xml:space="preserve">. </w:t>
      </w:r>
      <w:r w:rsidRPr="00205775">
        <w:rPr>
          <w:lang w:val="en-US"/>
        </w:rPr>
        <w:t>Phytosanitary inspection</w:t>
      </w:r>
      <w:r>
        <w:rPr>
          <w:lang w:val="en-US"/>
        </w:rPr>
        <w:t xml:space="preserve"> and certification procedures for exporting dragon fruit would need to be established</w:t>
      </w:r>
      <w:r w:rsidRPr="00205775">
        <w:rPr>
          <w:lang w:val="en-US"/>
        </w:rPr>
        <w:t xml:space="preserve"> before trade to Australia commences.</w:t>
      </w:r>
    </w:p>
    <w:p w14:paraId="511D04CE" w14:textId="77777777" w:rsidR="00BC2F05" w:rsidRPr="00E7755F" w:rsidRDefault="00772FB6" w:rsidP="00032C1B">
      <w:pPr>
        <w:spacing w:after="160" w:line="259" w:lineRule="auto"/>
        <w:rPr>
          <w:rFonts w:eastAsiaTheme="majorEastAsia" w:cstheme="majorBidi"/>
          <w:b/>
          <w:bCs/>
          <w:color w:val="595959" w:themeColor="text1" w:themeTint="A6"/>
          <w:sz w:val="20"/>
          <w:szCs w:val="18"/>
        </w:rPr>
      </w:pPr>
      <w:r>
        <w:t>A</w:t>
      </w:r>
      <w:r w:rsidRPr="00D147A6">
        <w:t xml:space="preserve"> </w:t>
      </w:r>
      <w:r>
        <w:t xml:space="preserve">summary of the operational steps 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grown in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for export is provided in </w:t>
      </w:r>
      <w:r>
        <w:fldChar w:fldCharType="begin" w:fldLock="1"/>
      </w:r>
      <w:r>
        <w:instrText xml:space="preserve"> REF Figure2_7 \h </w:instrText>
      </w:r>
      <w:r>
        <w:fldChar w:fldCharType="separate"/>
      </w:r>
      <w:r>
        <w:fldChar w:fldCharType="begin" w:fldLock="1"/>
      </w:r>
      <w:r>
        <w:instrText xml:space="preserve"> REF Figure2_11 \h </w:instrText>
      </w:r>
      <w:r>
        <w:fldChar w:fldCharType="separate"/>
      </w:r>
      <w:r w:rsidRPr="0090303C">
        <w:t xml:space="preserve">Figure </w:t>
      </w:r>
      <w:r>
        <w:t>2.11</w:t>
      </w:r>
      <w:r>
        <w:fldChar w:fldCharType="end"/>
      </w:r>
      <w:r>
        <w:fldChar w:fldCharType="end"/>
      </w:r>
      <w:r>
        <w:t>.</w:t>
      </w:r>
    </w:p>
    <w:p w14:paraId="614E2E9F" w14:textId="77777777" w:rsidR="00BC2F05" w:rsidRDefault="00772FB6" w:rsidP="00032C1B">
      <w:pPr>
        <w:spacing w:after="160" w:line="259" w:lineRule="auto"/>
        <w:rPr>
          <w:rFonts w:eastAsiaTheme="majorEastAsia" w:cstheme="majorBidi"/>
          <w:b/>
          <w:bCs/>
          <w:color w:val="595959" w:themeColor="text1" w:themeTint="A6"/>
          <w:sz w:val="20"/>
          <w:szCs w:val="18"/>
        </w:rPr>
      </w:pPr>
      <w:bookmarkStart w:id="83" w:name="_Ref87462486"/>
      <w:r>
        <w:br w:type="page"/>
      </w:r>
    </w:p>
    <w:p w14:paraId="0F5F7729" w14:textId="77777777" w:rsidR="00BC2F05" w:rsidRPr="0090303C" w:rsidRDefault="00772FB6" w:rsidP="00032C1B">
      <w:pPr>
        <w:pStyle w:val="Caption"/>
      </w:pPr>
      <w:bookmarkStart w:id="84" w:name="Figure2_11"/>
      <w:bookmarkStart w:id="85" w:name="_Toc119493130"/>
      <w:r w:rsidRPr="0090303C">
        <w:lastRenderedPageBreak/>
        <w:t xml:space="preserve">Figure </w:t>
      </w:r>
      <w:bookmarkEnd w:id="83"/>
      <w:r>
        <w:t>2.11</w:t>
      </w:r>
      <w:r w:rsidRPr="0090303C">
        <w:t xml:space="preserve"> </w:t>
      </w:r>
      <w:bookmarkEnd w:id="84"/>
      <w:r>
        <w:t>Summary of o</w:t>
      </w:r>
      <w:r w:rsidRPr="0090303C">
        <w:t xml:space="preserve">perational steps 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rsidRPr="0090303C">
        <w:t xml:space="preserve"> grown in </w:t>
      </w:r>
      <w:fldSimple w:instr=" REF Country  \* MERGEFORMAT " w:fldLock="1">
        <w:r>
          <w:t>the Philippines</w:t>
        </w:r>
      </w:fldSimple>
      <w:r w:rsidRPr="0090303C">
        <w:t xml:space="preserve"> for export</w:t>
      </w:r>
      <w:bookmarkEnd w:id="85"/>
    </w:p>
    <w:p w14:paraId="5C6B1ADD" w14:textId="77777777" w:rsidR="00BC2F05" w:rsidRDefault="000C0A09" w:rsidP="00032C1B">
      <w:r>
        <w:pict w14:anchorId="163F3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7.95pt;margin-top:9.55pt;width:422.6pt;height:553pt;z-index:251659264" wrapcoords="5678 205 729 440 422 440 422 703 5678 1143 5678 2843 8440 3019 307 3048 307 3136 12584 3488 5678 3634 5678 6301 12507 6301 12315 6506 12315 6624 12469 6770 192 7210 192 7474 3069 7708 4412 7767 5678 8177 5678 9203 11318 9584 12392 9584 5678 9965 5678 12104 230 12485 230 12573 12584 12866 5678 13042 5678 13335 422 13423 422 13775 5678 13804 5678 15152 12507 15211 269 15416 269 15504 12469 15680 5678 15973 5678 16149 384 16471 422 16735 4489 17087 5678 17087 5678 18112 11318 18493 12392 18493 5678 18933 5678 21014 20027 21014 20065 18933 13313 18493 14387 18493 20027 18112 20104 16002 19490 15944 13236 15680 21485 15504 21485 15416 13198 15211 20104 15152 20104 13042 19758 13042 13121 12866 21447 12573 21447 12485 15577 12397 20065 12104 20104 9965 13313 9584 14387 9584 20027 9203 20104 7093 19490 7034 13236 6770 13390 6712 13390 6506 13198 6301 19835 6301 20104 6272 20104 3634 13121 3488 21523 3136 21523 3048 17303 3019 20065 2843 20027 205 5678 205">
            <v:imagedata r:id="rId63" o:title=""/>
            <w10:wrap type="tight"/>
          </v:shape>
        </w:pict>
      </w:r>
    </w:p>
    <w:p w14:paraId="13F26841" w14:textId="77777777" w:rsidR="00BC2F05" w:rsidRDefault="00772FB6" w:rsidP="00032C1B">
      <w:r w:rsidRPr="00250DC1">
        <w:br w:type="page"/>
      </w:r>
    </w:p>
    <w:p w14:paraId="55964287" w14:textId="77777777" w:rsidR="00BC2F05" w:rsidRDefault="00772FB6" w:rsidP="00032C1B">
      <w:pPr>
        <w:pStyle w:val="Heading3"/>
      </w:pPr>
      <w:bookmarkStart w:id="86" w:name="_Toc119493099"/>
      <w:r>
        <w:lastRenderedPageBreak/>
        <w:t>Export capability</w:t>
      </w:r>
      <w:bookmarkEnd w:id="86"/>
    </w:p>
    <w:p w14:paraId="008328BD" w14:textId="77777777" w:rsidR="00BC2F05" w:rsidRDefault="00772FB6" w:rsidP="00032C1B">
      <w:pPr>
        <w:pStyle w:val="Heading4"/>
      </w:pPr>
      <w:r>
        <w:t>Production statistics</w:t>
      </w:r>
    </w:p>
    <w:p w14:paraId="42BE7928" w14:textId="77777777" w:rsidR="00BC2F05" w:rsidRDefault="00772FB6" w:rsidP="00032C1B">
      <w:r w:rsidRPr="00BB3D30">
        <w:t>Currently, Philippine dragon fruit production only accounts for a small proportion of the global market, producing approximately 2</w:t>
      </w:r>
      <w:r>
        <w:t>,</w:t>
      </w:r>
      <w:r w:rsidRPr="00BB3D30">
        <w:t xml:space="preserve">090 tonnes of dragon fruit in 2021 </w:t>
      </w:r>
      <w:r>
        <w:rPr>
          <w:noProof/>
        </w:rPr>
        <w:t>(BPI 2022)</w:t>
      </w:r>
      <w:r w:rsidRPr="00BB3D30">
        <w:t xml:space="preserve">. In comparison, Vietnam the largest producer of dragon fruit, produced approximately 1.4 million tonnes in 2021 </w:t>
      </w:r>
      <w:r>
        <w:rPr>
          <w:noProof/>
        </w:rPr>
        <w:t>(Tridge 2022)</w:t>
      </w:r>
      <w:r w:rsidRPr="00BB3D30">
        <w:t>.</w:t>
      </w:r>
      <w:r>
        <w:t xml:space="preserve"> </w:t>
      </w:r>
    </w:p>
    <w:p w14:paraId="203ACA9A" w14:textId="77777777" w:rsidR="00BC2F05" w:rsidRDefault="00772FB6" w:rsidP="00032C1B">
      <w:r>
        <w:t>However, the dragon fruit production areas and volumes</w:t>
      </w:r>
      <w:r w:rsidRPr="00842C36">
        <w:t xml:space="preserve"> ha</w:t>
      </w:r>
      <w:r>
        <w:t>ve</w:t>
      </w:r>
      <w:r w:rsidRPr="00842C36">
        <w:t xml:space="preserve"> increas</w:t>
      </w:r>
      <w:r>
        <w:t>ed</w:t>
      </w:r>
      <w:r w:rsidRPr="00842C36">
        <w:t xml:space="preserve"> in the Philippines </w:t>
      </w:r>
      <w:r>
        <w:t>in recent</w:t>
      </w:r>
      <w:r w:rsidRPr="00842C36">
        <w:t xml:space="preserve"> years</w:t>
      </w:r>
      <w:r>
        <w:t xml:space="preserve">, with more growth forecasted </w:t>
      </w:r>
      <w:r>
        <w:rPr>
          <w:noProof/>
        </w:rPr>
        <w:t>(Tridge 2022)</w:t>
      </w:r>
      <w:r>
        <w:t xml:space="preserve">. In 2012, dragon fruit production area and average annual production were </w:t>
      </w:r>
      <w:r w:rsidRPr="00842C36">
        <w:t xml:space="preserve">182 hectares </w:t>
      </w:r>
      <w:r>
        <w:t>and 256 metric tonnes respectively. This had increased to 596</w:t>
      </w:r>
      <w:r w:rsidRPr="00842C36">
        <w:t xml:space="preserve"> </w:t>
      </w:r>
      <w:r>
        <w:t>hectares</w:t>
      </w:r>
      <w:r w:rsidRPr="00842C36">
        <w:t xml:space="preserve"> </w:t>
      </w:r>
      <w:r>
        <w:t>and 2090 metric tonnes in 2021</w:t>
      </w:r>
      <w:r w:rsidRPr="00CF550B">
        <w:t xml:space="preserve"> </w:t>
      </w:r>
      <w:r>
        <w:rPr>
          <w:noProof/>
        </w:rPr>
        <w:t>(BPI 2022; Department of Agriculture 2020; Tridge 2022)</w:t>
      </w:r>
      <w:r>
        <w:t xml:space="preserve"> (</w:t>
      </w:r>
      <w:r>
        <w:fldChar w:fldCharType="begin" w:fldLock="1"/>
      </w:r>
      <w:r>
        <w:instrText xml:space="preserve"> REF Table1 \h </w:instrText>
      </w:r>
      <w:r>
        <w:fldChar w:fldCharType="separate"/>
      </w:r>
      <w:r>
        <w:t>Table 2.1</w:t>
      </w:r>
      <w:r>
        <w:fldChar w:fldCharType="end"/>
      </w:r>
      <w:r>
        <w:t>)</w:t>
      </w:r>
      <w:r w:rsidRPr="00842C36">
        <w:t>.</w:t>
      </w:r>
      <w:r>
        <w:t xml:space="preserve"> Production is forecast to further increase with expected rising demand in the coming years, with one source forecasting the production area to reach approximately 12,000 hectares by 2025 </w:t>
      </w:r>
      <w:r>
        <w:rPr>
          <w:noProof/>
        </w:rPr>
        <w:t>(Tridge 2022)</w:t>
      </w:r>
      <w:r>
        <w:t>.</w:t>
      </w:r>
    </w:p>
    <w:p w14:paraId="0A7B3770" w14:textId="77777777" w:rsidR="00BC2F05" w:rsidRPr="00842C36" w:rsidRDefault="00772FB6" w:rsidP="00032C1B">
      <w:r>
        <w:t>Over time, the average</w:t>
      </w:r>
      <w:r w:rsidRPr="00842C36">
        <w:t xml:space="preserve"> </w:t>
      </w:r>
      <w:r>
        <w:t>y</w:t>
      </w:r>
      <w:r w:rsidRPr="00842C36">
        <w:t xml:space="preserve">ield per hectare </w:t>
      </w:r>
      <w:r>
        <w:t xml:space="preserve">has also increased due to initiatives by government, private </w:t>
      </w:r>
      <w:proofErr w:type="gramStart"/>
      <w:r>
        <w:t>farms</w:t>
      </w:r>
      <w:proofErr w:type="gramEnd"/>
      <w:r>
        <w:t xml:space="preserve"> and the Growers’ association. In 2012, the average yield was</w:t>
      </w:r>
      <w:r w:rsidRPr="00842C36">
        <w:t xml:space="preserve"> 1.41</w:t>
      </w:r>
      <w:r>
        <w:t xml:space="preserve"> metric tonnes per hectare</w:t>
      </w:r>
      <w:r w:rsidRPr="00842C36">
        <w:t xml:space="preserve"> </w:t>
      </w:r>
      <w:r>
        <w:t>compared to</w:t>
      </w:r>
      <w:r w:rsidRPr="00842C36">
        <w:t xml:space="preserve"> 3.25</w:t>
      </w:r>
      <w:r>
        <w:t xml:space="preserve"> metric tonnes per hectare</w:t>
      </w:r>
      <w:r w:rsidRPr="00842C36">
        <w:t xml:space="preserve"> </w:t>
      </w:r>
      <w:r>
        <w:t>in 2017</w:t>
      </w:r>
      <w:r w:rsidRPr="00842C36">
        <w:t xml:space="preserve">. </w:t>
      </w:r>
      <w:r w:rsidRPr="00C0715B">
        <w:t xml:space="preserve">In 2022, </w:t>
      </w:r>
      <w:r>
        <w:t>a</w:t>
      </w:r>
      <w:r w:rsidRPr="00C0715B">
        <w:t xml:space="preserve"> commercial plantation approved for export in the </w:t>
      </w:r>
      <w:proofErr w:type="spellStart"/>
      <w:r w:rsidRPr="00C0715B">
        <w:t>Calabarzon</w:t>
      </w:r>
      <w:proofErr w:type="spellEnd"/>
      <w:r w:rsidRPr="00C0715B">
        <w:t xml:space="preserve"> region produced 12–15 metric tonnes per hectare from newly established plantations, and up to 20 metric tonnes per hectare for established plantations</w:t>
      </w:r>
      <w:r>
        <w:t>.</w:t>
      </w:r>
    </w:p>
    <w:p w14:paraId="340A6DB9" w14:textId="77777777" w:rsidR="00BC2F05" w:rsidRDefault="00772FB6" w:rsidP="00032C1B">
      <w:r>
        <w:t xml:space="preserve">Compared to other ASEAN countries, the Philippines has relatively low production yield per hectare, since most of the production areas have marginal environmental conditions for agriculture </w:t>
      </w:r>
      <w:r>
        <w:rPr>
          <w:noProof/>
        </w:rPr>
        <w:t>(Pascua, Pascua &amp; Gabriel 2015; Rodeo, Castro &amp; Esguerra 2018)</w:t>
      </w:r>
      <w:r>
        <w:t xml:space="preserve"> and the industry is still developing the best methods for production. Growers, provincial </w:t>
      </w:r>
      <w:proofErr w:type="gramStart"/>
      <w:r>
        <w:t>government</w:t>
      </w:r>
      <w:proofErr w:type="gramEnd"/>
      <w:r>
        <w:t xml:space="preserve"> and universities have recently partnered to improve production quality and marketing </w:t>
      </w:r>
      <w:r>
        <w:rPr>
          <w:noProof/>
        </w:rPr>
        <w:t>(Tridge 2022)</w:t>
      </w:r>
      <w:r>
        <w:t>.</w:t>
      </w:r>
      <w:r w:rsidRPr="00277F27">
        <w:t xml:space="preserve"> </w:t>
      </w:r>
    </w:p>
    <w:bookmarkStart w:id="87" w:name="Table1"/>
    <w:p w14:paraId="0F20283A" w14:textId="77777777" w:rsidR="00BC2F05" w:rsidRDefault="00772FB6" w:rsidP="00032C1B">
      <w:pPr>
        <w:pStyle w:val="Tabletitle0"/>
      </w:pPr>
      <w:r>
        <w:fldChar w:fldCharType="begin" w:fldLock="1"/>
      </w:r>
      <w:r>
        <w:instrText xml:space="preserve"> REF Table1 \h </w:instrText>
      </w:r>
      <w:r>
        <w:fldChar w:fldCharType="separate"/>
      </w:r>
      <w:r>
        <w:t>Table 2.1</w:t>
      </w:r>
      <w:r>
        <w:fldChar w:fldCharType="end"/>
      </w:r>
      <w:bookmarkEnd w:id="87"/>
      <w:r>
        <w:t>. Current area and production of dragon fruit in the Philippines (2012–2021)</w:t>
      </w:r>
    </w:p>
    <w:tbl>
      <w:tblPr>
        <w:tblStyle w:val="TableGrid"/>
        <w:tblW w:w="0" w:type="auto"/>
        <w:tblLook w:val="04A0" w:firstRow="1" w:lastRow="0" w:firstColumn="1" w:lastColumn="0" w:noHBand="0" w:noVBand="1"/>
      </w:tblPr>
      <w:tblGrid>
        <w:gridCol w:w="1555"/>
        <w:gridCol w:w="1417"/>
        <w:gridCol w:w="1985"/>
      </w:tblGrid>
      <w:tr w:rsidR="00C80041" w14:paraId="40C630AD" w14:textId="77777777" w:rsidTr="00D65C1B">
        <w:tc>
          <w:tcPr>
            <w:tcW w:w="1555" w:type="dxa"/>
          </w:tcPr>
          <w:p w14:paraId="5FB400A0" w14:textId="77777777" w:rsidR="00BC2F05" w:rsidRDefault="00772FB6" w:rsidP="00D65C1B">
            <w:pPr>
              <w:pStyle w:val="Tabletitle0"/>
              <w:jc w:val="center"/>
            </w:pPr>
            <w:r>
              <w:t>Year</w:t>
            </w:r>
          </w:p>
        </w:tc>
        <w:tc>
          <w:tcPr>
            <w:tcW w:w="1417" w:type="dxa"/>
          </w:tcPr>
          <w:p w14:paraId="1788E5E0" w14:textId="77777777" w:rsidR="00BC2F05" w:rsidRDefault="00772FB6" w:rsidP="00D65C1B">
            <w:pPr>
              <w:pStyle w:val="Tabletitle0"/>
              <w:jc w:val="center"/>
            </w:pPr>
            <w:r>
              <w:t>Area (ha)</w:t>
            </w:r>
          </w:p>
        </w:tc>
        <w:tc>
          <w:tcPr>
            <w:tcW w:w="1985" w:type="dxa"/>
          </w:tcPr>
          <w:p w14:paraId="79E77D7D" w14:textId="77777777" w:rsidR="00BC2F05" w:rsidRDefault="00772FB6" w:rsidP="00D65C1B">
            <w:pPr>
              <w:pStyle w:val="Tabletitle0"/>
              <w:jc w:val="center"/>
            </w:pPr>
            <w:r>
              <w:t>Production (tonnes)</w:t>
            </w:r>
          </w:p>
        </w:tc>
      </w:tr>
      <w:tr w:rsidR="00C80041" w14:paraId="001AD049" w14:textId="77777777" w:rsidTr="00D65C1B">
        <w:tc>
          <w:tcPr>
            <w:tcW w:w="1555" w:type="dxa"/>
          </w:tcPr>
          <w:p w14:paraId="0E4637E4" w14:textId="77777777" w:rsidR="00BC2F05" w:rsidRDefault="00772FB6" w:rsidP="00D65C1B">
            <w:pPr>
              <w:pStyle w:val="TableText"/>
              <w:jc w:val="center"/>
            </w:pPr>
            <w:r>
              <w:t>2012</w:t>
            </w:r>
          </w:p>
        </w:tc>
        <w:tc>
          <w:tcPr>
            <w:tcW w:w="1417" w:type="dxa"/>
          </w:tcPr>
          <w:p w14:paraId="36DACD8A" w14:textId="77777777" w:rsidR="00BC2F05" w:rsidRDefault="00772FB6" w:rsidP="00D65C1B">
            <w:pPr>
              <w:pStyle w:val="TableText"/>
              <w:jc w:val="right"/>
            </w:pPr>
            <w:r>
              <w:t>181.9</w:t>
            </w:r>
          </w:p>
        </w:tc>
        <w:tc>
          <w:tcPr>
            <w:tcW w:w="1985" w:type="dxa"/>
          </w:tcPr>
          <w:p w14:paraId="030C0B51" w14:textId="77777777" w:rsidR="00BC2F05" w:rsidRDefault="00772FB6" w:rsidP="00D65C1B">
            <w:pPr>
              <w:pStyle w:val="TableText"/>
              <w:jc w:val="right"/>
            </w:pPr>
            <w:r>
              <w:t>256.5</w:t>
            </w:r>
          </w:p>
        </w:tc>
      </w:tr>
      <w:tr w:rsidR="00C80041" w14:paraId="1FCF4354" w14:textId="77777777" w:rsidTr="00D65C1B">
        <w:tc>
          <w:tcPr>
            <w:tcW w:w="1555" w:type="dxa"/>
          </w:tcPr>
          <w:p w14:paraId="1FB53A4B" w14:textId="77777777" w:rsidR="00BC2F05" w:rsidRDefault="00772FB6" w:rsidP="00D65C1B">
            <w:pPr>
              <w:pStyle w:val="TableText"/>
              <w:jc w:val="center"/>
            </w:pPr>
            <w:r>
              <w:t>2013</w:t>
            </w:r>
          </w:p>
        </w:tc>
        <w:tc>
          <w:tcPr>
            <w:tcW w:w="1417" w:type="dxa"/>
          </w:tcPr>
          <w:p w14:paraId="068A1B72" w14:textId="77777777" w:rsidR="00BC2F05" w:rsidRDefault="00772FB6" w:rsidP="00D65C1B">
            <w:pPr>
              <w:pStyle w:val="TableText"/>
              <w:jc w:val="right"/>
            </w:pPr>
            <w:r>
              <w:t>223.5</w:t>
            </w:r>
          </w:p>
        </w:tc>
        <w:tc>
          <w:tcPr>
            <w:tcW w:w="1985" w:type="dxa"/>
          </w:tcPr>
          <w:p w14:paraId="7B4BA393" w14:textId="77777777" w:rsidR="00BC2F05" w:rsidRDefault="00772FB6" w:rsidP="00D65C1B">
            <w:pPr>
              <w:pStyle w:val="TableText"/>
              <w:jc w:val="right"/>
            </w:pPr>
            <w:r>
              <w:t>411.5</w:t>
            </w:r>
          </w:p>
        </w:tc>
      </w:tr>
      <w:tr w:rsidR="00C80041" w14:paraId="4BCA28A2" w14:textId="77777777" w:rsidTr="00D65C1B">
        <w:tc>
          <w:tcPr>
            <w:tcW w:w="1555" w:type="dxa"/>
          </w:tcPr>
          <w:p w14:paraId="6D56A9FB" w14:textId="77777777" w:rsidR="00BC2F05" w:rsidRDefault="00772FB6" w:rsidP="00D65C1B">
            <w:pPr>
              <w:pStyle w:val="TableText"/>
              <w:jc w:val="center"/>
            </w:pPr>
            <w:r>
              <w:t>2014</w:t>
            </w:r>
          </w:p>
        </w:tc>
        <w:tc>
          <w:tcPr>
            <w:tcW w:w="1417" w:type="dxa"/>
          </w:tcPr>
          <w:p w14:paraId="30C3F26D" w14:textId="77777777" w:rsidR="00BC2F05" w:rsidRDefault="00772FB6" w:rsidP="00D65C1B">
            <w:pPr>
              <w:pStyle w:val="TableText"/>
              <w:jc w:val="right"/>
            </w:pPr>
            <w:r>
              <w:t>295.4</w:t>
            </w:r>
          </w:p>
        </w:tc>
        <w:tc>
          <w:tcPr>
            <w:tcW w:w="1985" w:type="dxa"/>
          </w:tcPr>
          <w:p w14:paraId="68381D55" w14:textId="77777777" w:rsidR="00BC2F05" w:rsidRDefault="00772FB6" w:rsidP="00D65C1B">
            <w:pPr>
              <w:pStyle w:val="TableText"/>
              <w:jc w:val="right"/>
            </w:pPr>
            <w:r>
              <w:t>671.8</w:t>
            </w:r>
          </w:p>
        </w:tc>
      </w:tr>
      <w:tr w:rsidR="00C80041" w14:paraId="7ADF58D3" w14:textId="77777777" w:rsidTr="00D65C1B">
        <w:tc>
          <w:tcPr>
            <w:tcW w:w="1555" w:type="dxa"/>
          </w:tcPr>
          <w:p w14:paraId="2585B821" w14:textId="77777777" w:rsidR="00BC2F05" w:rsidRDefault="00772FB6" w:rsidP="00D65C1B">
            <w:pPr>
              <w:pStyle w:val="TableText"/>
              <w:jc w:val="center"/>
            </w:pPr>
            <w:r>
              <w:t>2015</w:t>
            </w:r>
          </w:p>
        </w:tc>
        <w:tc>
          <w:tcPr>
            <w:tcW w:w="1417" w:type="dxa"/>
          </w:tcPr>
          <w:p w14:paraId="15F58556" w14:textId="77777777" w:rsidR="00BC2F05" w:rsidRDefault="00772FB6" w:rsidP="00D65C1B">
            <w:pPr>
              <w:pStyle w:val="TableText"/>
              <w:jc w:val="right"/>
            </w:pPr>
            <w:r>
              <w:t>329.3</w:t>
            </w:r>
          </w:p>
        </w:tc>
        <w:tc>
          <w:tcPr>
            <w:tcW w:w="1985" w:type="dxa"/>
          </w:tcPr>
          <w:p w14:paraId="0708E254" w14:textId="77777777" w:rsidR="00BC2F05" w:rsidRDefault="00772FB6" w:rsidP="00D65C1B">
            <w:pPr>
              <w:pStyle w:val="TableText"/>
              <w:jc w:val="right"/>
            </w:pPr>
            <w:r>
              <w:t>863.5</w:t>
            </w:r>
          </w:p>
        </w:tc>
      </w:tr>
      <w:tr w:rsidR="00C80041" w14:paraId="335932FA" w14:textId="77777777" w:rsidTr="00D65C1B">
        <w:tc>
          <w:tcPr>
            <w:tcW w:w="1555" w:type="dxa"/>
          </w:tcPr>
          <w:p w14:paraId="655F8C36" w14:textId="77777777" w:rsidR="00BC2F05" w:rsidRDefault="00772FB6" w:rsidP="00D65C1B">
            <w:pPr>
              <w:pStyle w:val="TableText"/>
              <w:jc w:val="center"/>
            </w:pPr>
            <w:r>
              <w:t>2016</w:t>
            </w:r>
          </w:p>
        </w:tc>
        <w:tc>
          <w:tcPr>
            <w:tcW w:w="1417" w:type="dxa"/>
          </w:tcPr>
          <w:p w14:paraId="1D92F3AC" w14:textId="77777777" w:rsidR="00BC2F05" w:rsidRDefault="00772FB6" w:rsidP="00D65C1B">
            <w:pPr>
              <w:pStyle w:val="TableText"/>
              <w:jc w:val="right"/>
            </w:pPr>
            <w:r>
              <w:t>407.6</w:t>
            </w:r>
          </w:p>
        </w:tc>
        <w:tc>
          <w:tcPr>
            <w:tcW w:w="1985" w:type="dxa"/>
          </w:tcPr>
          <w:p w14:paraId="299AD139" w14:textId="77777777" w:rsidR="00BC2F05" w:rsidRDefault="00772FB6" w:rsidP="00D65C1B">
            <w:pPr>
              <w:pStyle w:val="TableText"/>
              <w:jc w:val="right"/>
            </w:pPr>
            <w:r>
              <w:t>1,237.8</w:t>
            </w:r>
          </w:p>
        </w:tc>
      </w:tr>
      <w:tr w:rsidR="00C80041" w14:paraId="03380563" w14:textId="77777777" w:rsidTr="00D65C1B">
        <w:tc>
          <w:tcPr>
            <w:tcW w:w="1555" w:type="dxa"/>
          </w:tcPr>
          <w:p w14:paraId="00056E4D" w14:textId="77777777" w:rsidR="00BC2F05" w:rsidRDefault="00772FB6" w:rsidP="00D65C1B">
            <w:pPr>
              <w:pStyle w:val="TableText"/>
              <w:jc w:val="center"/>
            </w:pPr>
            <w:r>
              <w:t>2017</w:t>
            </w:r>
          </w:p>
        </w:tc>
        <w:tc>
          <w:tcPr>
            <w:tcW w:w="1417" w:type="dxa"/>
          </w:tcPr>
          <w:p w14:paraId="6B652C67" w14:textId="77777777" w:rsidR="00BC2F05" w:rsidRDefault="00772FB6" w:rsidP="00D65C1B">
            <w:pPr>
              <w:pStyle w:val="TableText"/>
              <w:jc w:val="right"/>
            </w:pPr>
            <w:r>
              <w:t>472.5</w:t>
            </w:r>
          </w:p>
        </w:tc>
        <w:tc>
          <w:tcPr>
            <w:tcW w:w="1985" w:type="dxa"/>
          </w:tcPr>
          <w:p w14:paraId="2365609C" w14:textId="77777777" w:rsidR="00BC2F05" w:rsidRDefault="00772FB6" w:rsidP="00D65C1B">
            <w:pPr>
              <w:pStyle w:val="TableText"/>
              <w:jc w:val="right"/>
            </w:pPr>
            <w:r>
              <w:t>1,462.5</w:t>
            </w:r>
          </w:p>
        </w:tc>
      </w:tr>
      <w:tr w:rsidR="00C80041" w14:paraId="63F1E2E3" w14:textId="77777777" w:rsidTr="00D65C1B">
        <w:tc>
          <w:tcPr>
            <w:tcW w:w="1555" w:type="dxa"/>
          </w:tcPr>
          <w:p w14:paraId="173349BC" w14:textId="77777777" w:rsidR="00BC2F05" w:rsidRDefault="00772FB6" w:rsidP="00D65C1B">
            <w:pPr>
              <w:pStyle w:val="TableText"/>
              <w:jc w:val="center"/>
            </w:pPr>
            <w:r>
              <w:t>2018</w:t>
            </w:r>
          </w:p>
        </w:tc>
        <w:tc>
          <w:tcPr>
            <w:tcW w:w="1417" w:type="dxa"/>
          </w:tcPr>
          <w:p w14:paraId="25A06F91" w14:textId="77777777" w:rsidR="00BC2F05" w:rsidRDefault="00772FB6" w:rsidP="00D65C1B">
            <w:pPr>
              <w:pStyle w:val="TableText"/>
              <w:jc w:val="right"/>
            </w:pPr>
            <w:r>
              <w:t>499.4</w:t>
            </w:r>
          </w:p>
        </w:tc>
        <w:tc>
          <w:tcPr>
            <w:tcW w:w="1985" w:type="dxa"/>
          </w:tcPr>
          <w:p w14:paraId="16E4D5FC" w14:textId="77777777" w:rsidR="00BC2F05" w:rsidRDefault="00772FB6" w:rsidP="00D65C1B">
            <w:pPr>
              <w:pStyle w:val="TableText"/>
              <w:jc w:val="right"/>
            </w:pPr>
            <w:r>
              <w:t>1,435.4</w:t>
            </w:r>
          </w:p>
        </w:tc>
      </w:tr>
      <w:tr w:rsidR="00C80041" w14:paraId="5B8A1219" w14:textId="77777777" w:rsidTr="00D65C1B">
        <w:tc>
          <w:tcPr>
            <w:tcW w:w="1555" w:type="dxa"/>
          </w:tcPr>
          <w:p w14:paraId="5199FD19" w14:textId="77777777" w:rsidR="00BC2F05" w:rsidRDefault="00772FB6" w:rsidP="00D65C1B">
            <w:pPr>
              <w:pStyle w:val="TableText"/>
              <w:jc w:val="center"/>
            </w:pPr>
            <w:r>
              <w:t>2019</w:t>
            </w:r>
          </w:p>
        </w:tc>
        <w:tc>
          <w:tcPr>
            <w:tcW w:w="1417" w:type="dxa"/>
          </w:tcPr>
          <w:p w14:paraId="1B8F91BC" w14:textId="77777777" w:rsidR="00BC2F05" w:rsidRDefault="00772FB6" w:rsidP="00D65C1B">
            <w:pPr>
              <w:pStyle w:val="TableText"/>
              <w:jc w:val="right"/>
            </w:pPr>
            <w:r>
              <w:t>539.0</w:t>
            </w:r>
          </w:p>
        </w:tc>
        <w:tc>
          <w:tcPr>
            <w:tcW w:w="1985" w:type="dxa"/>
          </w:tcPr>
          <w:p w14:paraId="6DD6911E" w14:textId="77777777" w:rsidR="00BC2F05" w:rsidRDefault="00772FB6" w:rsidP="00D65C1B">
            <w:pPr>
              <w:pStyle w:val="TableText"/>
              <w:jc w:val="right"/>
            </w:pPr>
            <w:r>
              <w:t>1,751.2</w:t>
            </w:r>
          </w:p>
        </w:tc>
      </w:tr>
      <w:tr w:rsidR="00C80041" w14:paraId="781CD8E1" w14:textId="77777777" w:rsidTr="00D65C1B">
        <w:tc>
          <w:tcPr>
            <w:tcW w:w="1555" w:type="dxa"/>
          </w:tcPr>
          <w:p w14:paraId="5AE53FFE" w14:textId="77777777" w:rsidR="00BC2F05" w:rsidRDefault="00772FB6" w:rsidP="00D65C1B">
            <w:pPr>
              <w:pStyle w:val="TableText"/>
              <w:jc w:val="center"/>
            </w:pPr>
            <w:r>
              <w:t>2020</w:t>
            </w:r>
          </w:p>
        </w:tc>
        <w:tc>
          <w:tcPr>
            <w:tcW w:w="1417" w:type="dxa"/>
          </w:tcPr>
          <w:p w14:paraId="27D4D73B" w14:textId="77777777" w:rsidR="00BC2F05" w:rsidRDefault="00772FB6" w:rsidP="00D65C1B">
            <w:pPr>
              <w:pStyle w:val="TableText"/>
              <w:jc w:val="right"/>
            </w:pPr>
            <w:r>
              <w:t>582.7</w:t>
            </w:r>
          </w:p>
        </w:tc>
        <w:tc>
          <w:tcPr>
            <w:tcW w:w="1985" w:type="dxa"/>
          </w:tcPr>
          <w:p w14:paraId="2B51B1C0" w14:textId="77777777" w:rsidR="00BC2F05" w:rsidRDefault="00772FB6" w:rsidP="00D65C1B">
            <w:pPr>
              <w:pStyle w:val="TableText"/>
              <w:jc w:val="right"/>
            </w:pPr>
            <w:r>
              <w:t>1,863.8</w:t>
            </w:r>
          </w:p>
        </w:tc>
      </w:tr>
      <w:tr w:rsidR="00C80041" w14:paraId="788B5ED1" w14:textId="77777777" w:rsidTr="00D65C1B">
        <w:tc>
          <w:tcPr>
            <w:tcW w:w="1555" w:type="dxa"/>
          </w:tcPr>
          <w:p w14:paraId="05B9308B" w14:textId="77777777" w:rsidR="00BC2F05" w:rsidRDefault="00772FB6" w:rsidP="00D65C1B">
            <w:pPr>
              <w:pStyle w:val="TableText"/>
              <w:jc w:val="center"/>
            </w:pPr>
            <w:r>
              <w:t>2021</w:t>
            </w:r>
          </w:p>
        </w:tc>
        <w:tc>
          <w:tcPr>
            <w:tcW w:w="1417" w:type="dxa"/>
          </w:tcPr>
          <w:p w14:paraId="2C880144" w14:textId="77777777" w:rsidR="00BC2F05" w:rsidRDefault="00772FB6" w:rsidP="00D65C1B">
            <w:pPr>
              <w:pStyle w:val="TableText"/>
              <w:jc w:val="right"/>
            </w:pPr>
            <w:r>
              <w:t>596.8</w:t>
            </w:r>
          </w:p>
        </w:tc>
        <w:tc>
          <w:tcPr>
            <w:tcW w:w="1985" w:type="dxa"/>
          </w:tcPr>
          <w:p w14:paraId="78A54D17" w14:textId="77777777" w:rsidR="00BC2F05" w:rsidRDefault="00772FB6" w:rsidP="00D65C1B">
            <w:pPr>
              <w:pStyle w:val="TableText"/>
              <w:jc w:val="right"/>
            </w:pPr>
            <w:r>
              <w:t>2,091.0</w:t>
            </w:r>
          </w:p>
        </w:tc>
      </w:tr>
    </w:tbl>
    <w:p w14:paraId="15C174AF" w14:textId="77777777" w:rsidR="00BC2F05" w:rsidRPr="00BE64E7" w:rsidRDefault="00772FB6" w:rsidP="00032C1B">
      <w:pPr>
        <w:rPr>
          <w:b/>
          <w:bCs/>
          <w:sz w:val="18"/>
          <w:szCs w:val="18"/>
        </w:rPr>
      </w:pPr>
      <w:r w:rsidRPr="00BE64E7">
        <w:rPr>
          <w:sz w:val="18"/>
          <w:szCs w:val="18"/>
        </w:rPr>
        <w:t xml:space="preserve">Source: </w:t>
      </w:r>
      <w:r>
        <w:rPr>
          <w:noProof/>
          <w:sz w:val="18"/>
          <w:szCs w:val="18"/>
        </w:rPr>
        <w:t>BPI (2022); Department of Agriculture (2020); Tridge (2022)</w:t>
      </w:r>
    </w:p>
    <w:p w14:paraId="39A621AF" w14:textId="77777777" w:rsidR="00BC2F05" w:rsidRDefault="00772FB6" w:rsidP="00032C1B">
      <w:pPr>
        <w:pStyle w:val="Heading4"/>
      </w:pPr>
      <w:r>
        <w:t>Export statistics</w:t>
      </w:r>
    </w:p>
    <w:p w14:paraId="356714AF" w14:textId="77777777" w:rsidR="00BC2F05" w:rsidRDefault="00772FB6" w:rsidP="00032C1B">
      <w:r>
        <w:t>Information provided by the Philippines DA indicates the Philippines started exporting dragon fruit in 2009. Exports have generally been sporadic and in very low volumes to</w:t>
      </w:r>
      <w:r w:rsidRPr="00C0715B">
        <w:t xml:space="preserve"> </w:t>
      </w:r>
      <w:r>
        <w:t xml:space="preserve">Bahrain, Canada, </w:t>
      </w:r>
      <w:r>
        <w:lastRenderedPageBreak/>
        <w:t xml:space="preserve">China, Japan, Qatar, Singapore, South Korea, United Arab </w:t>
      </w:r>
      <w:proofErr w:type="gramStart"/>
      <w:r>
        <w:t>Emirates</w:t>
      </w:r>
      <w:proofErr w:type="gramEnd"/>
      <w:r>
        <w:t xml:space="preserve"> and the United Kingdom. Exports have been of both the yellow skin variety and red skin and flesh variety of dragon fruit</w:t>
      </w:r>
      <w:r w:rsidRPr="00737D6F">
        <w:t xml:space="preserve"> </w:t>
      </w:r>
      <w:r>
        <w:rPr>
          <w:noProof/>
        </w:rPr>
        <w:t>(BPI 2022; Department of Agriculture 2020)</w:t>
      </w:r>
      <w:r>
        <w:t xml:space="preserve">. </w:t>
      </w:r>
      <w:r w:rsidRPr="00633BE1">
        <w:t>Volumes of dragon fruit exports are low</w:t>
      </w:r>
      <w:r w:rsidRPr="000F4A33">
        <w:t xml:space="preserve">, with the largest volume </w:t>
      </w:r>
      <w:r>
        <w:t>being</w:t>
      </w:r>
      <w:r w:rsidRPr="000F4A33">
        <w:t xml:space="preserve"> 24 metric tonnes</w:t>
      </w:r>
      <w:r>
        <w:t>,</w:t>
      </w:r>
      <w:r w:rsidRPr="00E81964">
        <w:t xml:space="preserve"> </w:t>
      </w:r>
      <w:r w:rsidRPr="000F4A33">
        <w:t>exported in 2021</w:t>
      </w:r>
      <w:r>
        <w:t>.</w:t>
      </w:r>
    </w:p>
    <w:p w14:paraId="4E915CCF" w14:textId="77777777" w:rsidR="00BC2F05" w:rsidRDefault="00772FB6" w:rsidP="00032C1B">
      <w:pPr>
        <w:pStyle w:val="Heading4"/>
      </w:pPr>
      <w:r>
        <w:t>Export season</w:t>
      </w:r>
    </w:p>
    <w:p w14:paraId="39A245DE" w14:textId="77777777" w:rsidR="00BC2F05" w:rsidRDefault="00772FB6" w:rsidP="00032C1B">
      <w:pPr>
        <w:rPr>
          <w:color w:val="000000" w:themeColor="text1"/>
        </w:rPr>
      </w:pPr>
      <w:r>
        <w:t>The Philippine production period for dragon fruit is between May and October</w:t>
      </w:r>
      <w:r w:rsidRPr="006A08DD">
        <w:t>, although it can extend into December with the use of artificial lighting</w:t>
      </w:r>
      <w:r>
        <w:t>.</w:t>
      </w:r>
    </w:p>
    <w:p w14:paraId="215F393B" w14:textId="77777777" w:rsidR="00BC2F05" w:rsidRDefault="00BC2F05" w:rsidP="00032C1B">
      <w:pPr>
        <w:sectPr w:rsidR="00BC2F05" w:rsidSect="00E53C3B">
          <w:headerReference w:type="even" r:id="rId64"/>
          <w:headerReference w:type="default" r:id="rId65"/>
          <w:footerReference w:type="default" r:id="rId66"/>
          <w:headerReference w:type="first" r:id="rId67"/>
          <w:pgSz w:w="11906" w:h="16838"/>
          <w:pgMar w:top="1418" w:right="1418" w:bottom="1418" w:left="1418" w:header="567" w:footer="454" w:gutter="0"/>
          <w:cols w:space="708"/>
          <w:docGrid w:linePitch="360"/>
        </w:sectPr>
      </w:pPr>
    </w:p>
    <w:p w14:paraId="5D234F45" w14:textId="77777777" w:rsidR="00BC2F05" w:rsidRDefault="00772FB6" w:rsidP="008D0946">
      <w:pPr>
        <w:pStyle w:val="Heading2"/>
      </w:pPr>
      <w:bookmarkStart w:id="88" w:name="_Toc119493100"/>
      <w:bookmarkEnd w:id="42"/>
      <w:r>
        <w:lastRenderedPageBreak/>
        <w:t>Pest risk assessments for quarantine pests</w:t>
      </w:r>
      <w:bookmarkEnd w:id="88"/>
    </w:p>
    <w:p w14:paraId="2EA4E4CE" w14:textId="77777777" w:rsidR="00BC2F05" w:rsidRDefault="00772FB6" w:rsidP="008D0946">
      <w:pPr>
        <w:pStyle w:val="Heading3"/>
      </w:pPr>
      <w:bookmarkStart w:id="89" w:name="_Toc119493101"/>
      <w:r>
        <w:t>Summary of outcomes of pest initiation and categorisation</w:t>
      </w:r>
      <w:bookmarkEnd w:id="89"/>
    </w:p>
    <w:p w14:paraId="06EA8B68" w14:textId="77777777" w:rsidR="00BC2F05" w:rsidRDefault="00772FB6" w:rsidP="008D0946">
      <w:r>
        <w:t xml:space="preserve">The initiation process (Appendix B) identified </w:t>
      </w:r>
      <w:bookmarkStart w:id="90" w:name="Totalnumberofassociatedpests"/>
      <w:bookmarkStart w:id="91" w:name="Apests"/>
      <w:r>
        <w:t>80</w:t>
      </w:r>
      <w:bookmarkEnd w:id="90"/>
      <w:bookmarkEnd w:id="91"/>
      <w:r>
        <w:t xml:space="preserve"> pests as being associated with dragon fruit in the Philippines.</w:t>
      </w:r>
    </w:p>
    <w:p w14:paraId="6EF2BCB7" w14:textId="77777777" w:rsidR="00BC2F05" w:rsidRDefault="00772FB6" w:rsidP="008D0946">
      <w:r>
        <w:t xml:space="preserve">Of these </w:t>
      </w:r>
      <w:r w:rsidR="000C0A09">
        <w:fldChar w:fldCharType="begin" w:fldLock="1"/>
      </w:r>
      <w:r w:rsidR="000C0A09">
        <w:instrText xml:space="preserve"> REF Apests </w:instrText>
      </w:r>
      <w:r w:rsidR="000C0A09">
        <w:fldChar w:fldCharType="separate"/>
      </w:r>
      <w:r>
        <w:t>80</w:t>
      </w:r>
      <w:r w:rsidR="000C0A09">
        <w:fldChar w:fldCharType="end"/>
      </w:r>
      <w:r>
        <w:t xml:space="preserve"> pests, the pest categorisation process (Appendix B) identified:</w:t>
      </w:r>
    </w:p>
    <w:p w14:paraId="713EB190" w14:textId="77777777" w:rsidR="00BC2F05" w:rsidRDefault="00772FB6" w:rsidP="00BC2F05">
      <w:pPr>
        <w:pStyle w:val="ListBullet"/>
      </w:pPr>
      <w:bookmarkStart w:id="92" w:name="NumberofpestsalreadyinAustralia"/>
      <w:r>
        <w:t>63</w:t>
      </w:r>
      <w:bookmarkEnd w:id="92"/>
      <w:r>
        <w:t xml:space="preserve"> pests as already present in Australia and not under official control, and therefore not requiring further assessment</w:t>
      </w:r>
    </w:p>
    <w:p w14:paraId="0D2ECF89" w14:textId="77777777" w:rsidR="00BC2F05" w:rsidRDefault="00772FB6" w:rsidP="00BC2F05">
      <w:pPr>
        <w:pStyle w:val="ListBullet"/>
      </w:pPr>
      <w:bookmarkStart w:id="93" w:name="_Hlk88565999"/>
      <w:r>
        <w:t xml:space="preserve">8 pests as not having potential to enter on </w:t>
      </w:r>
      <w:r w:rsidRPr="00F1349D">
        <w:t>th</w:t>
      </w:r>
      <w:r>
        <w:t xml:space="preserve">e commercially produced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w:t>
      </w:r>
      <w:r w:rsidRPr="00F1349D">
        <w:t>fro</w:t>
      </w:r>
      <w:r>
        <w:t xml:space="preserve">m </w:t>
      </w:r>
      <w:fldSimple w:instr=" REF country  \* MERGEFORMAT " w:fldLock="1">
        <w:r>
          <w:t>the Philippines</w:t>
        </w:r>
      </w:fldSimple>
      <w:r>
        <w:t xml:space="preserve"> </w:t>
      </w:r>
      <w:r w:rsidRPr="00F1349D">
        <w:t>pathway</w:t>
      </w:r>
      <w:r>
        <w:t>, and therefore not requiring further assessment</w:t>
      </w:r>
    </w:p>
    <w:p w14:paraId="57DC75BD" w14:textId="77777777" w:rsidR="00BC2F05" w:rsidRDefault="00772FB6" w:rsidP="00BC2F05">
      <w:pPr>
        <w:pStyle w:val="ListBullet"/>
      </w:pPr>
      <w:r>
        <w:t>one pest as not having potential to establish and spread in Australia, and therefore not requiring further assessment.</w:t>
      </w:r>
    </w:p>
    <w:p w14:paraId="3F9DABA0" w14:textId="77777777" w:rsidR="00BC2F05" w:rsidRDefault="00772FB6" w:rsidP="00DF1523">
      <w:pPr>
        <w:pStyle w:val="ListBullet"/>
        <w:numPr>
          <w:ilvl w:val="0"/>
          <w:numId w:val="0"/>
        </w:numPr>
      </w:pPr>
      <w:r>
        <w:t>The remaining</w:t>
      </w:r>
      <w:bookmarkStart w:id="94" w:name="Hpests"/>
      <w:r>
        <w:t xml:space="preserve"> </w:t>
      </w:r>
      <w:bookmarkEnd w:id="94"/>
      <w:r>
        <w:t>8 pests were assessed as having potential to establish, spread and cause consequences in Australia, and therefore as requiring further pest risk assessment.</w:t>
      </w:r>
    </w:p>
    <w:p w14:paraId="1ECDFC68" w14:textId="77777777" w:rsidR="00BC2F05" w:rsidRDefault="00772FB6" w:rsidP="004D0FFA">
      <w:r>
        <w:t>Up to</w:t>
      </w:r>
      <w:r w:rsidRPr="006D0500">
        <w:t xml:space="preserve"> </w:t>
      </w:r>
      <w:r>
        <w:t>3</w:t>
      </w:r>
      <w:r w:rsidRPr="006D0500">
        <w:t xml:space="preserve"> </w:t>
      </w:r>
      <w:r>
        <w:t>quarantine pests</w:t>
      </w:r>
      <w:r w:rsidRPr="006D0500">
        <w:t xml:space="preserve"> </w:t>
      </w:r>
      <w:r>
        <w:t>for</w:t>
      </w:r>
      <w:r w:rsidRPr="006D0500">
        <w:t xml:space="preserve"> each</w:t>
      </w:r>
      <w:r>
        <w:t xml:space="preserve"> of</w:t>
      </w:r>
      <w:r w:rsidRPr="006D0500">
        <w:t xml:space="preserve"> </w:t>
      </w:r>
      <w:r>
        <w:t xml:space="preserve">the mealybug and thrips </w:t>
      </w:r>
      <w:r w:rsidRPr="006D0500">
        <w:t>group</w:t>
      </w:r>
      <w:r>
        <w:t>s were categorised on</w:t>
      </w:r>
      <w:r w:rsidRPr="006D0500">
        <w:t xml:space="preserve"> the </w:t>
      </w:r>
      <w:r>
        <w:t>import</w:t>
      </w:r>
      <w:r w:rsidRPr="006D0500">
        <w:t xml:space="preserve"> pathway</w:t>
      </w:r>
      <w:r>
        <w:t xml:space="preserve">. </w:t>
      </w:r>
      <w:r w:rsidRPr="006D0500">
        <w:t xml:space="preserve">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r w:rsidRPr="004D0FFA">
        <w:t xml:space="preserve"> </w:t>
      </w:r>
      <w:r>
        <w:t xml:space="preserve">The application of the Group PRAs to this risk analysis is outlined in Appendix A in section </w:t>
      </w:r>
      <w:r>
        <w:fldChar w:fldCharType="begin" w:fldLock="1"/>
      </w:r>
      <w:r>
        <w:instrText xml:space="preserve"> REF A_2_7 \h </w:instrText>
      </w:r>
      <w:r w:rsidR="000C0A09">
        <w:fldChar w:fldCharType="separate"/>
      </w:r>
      <w:r>
        <w:fldChar w:fldCharType="end"/>
      </w:r>
      <w:r>
        <w:fldChar w:fldCharType="begin" w:fldLock="1"/>
      </w:r>
      <w:r>
        <w:instrText xml:space="preserve"> REF A_2_7 \h </w:instrText>
      </w:r>
      <w:r w:rsidR="000C0A09">
        <w:fldChar w:fldCharType="separate"/>
      </w:r>
      <w:r>
        <w:fldChar w:fldCharType="end"/>
      </w:r>
      <w:r>
        <w:fldChar w:fldCharType="begin" w:fldLock="1"/>
      </w:r>
      <w:r>
        <w:instrText xml:space="preserve"> REF A_2_7 \h </w:instrText>
      </w:r>
      <w:r>
        <w:fldChar w:fldCharType="separate"/>
      </w:r>
      <w:r>
        <w:t>A2.7</w:t>
      </w:r>
      <w:r>
        <w:fldChar w:fldCharType="end"/>
      </w:r>
      <w:r>
        <w:t>.</w:t>
      </w:r>
    </w:p>
    <w:p w14:paraId="5F58EF1B" w14:textId="77777777" w:rsidR="00BC2F05" w:rsidRPr="005C13D2" w:rsidRDefault="00772FB6" w:rsidP="008D0946">
      <w:pPr>
        <w:pStyle w:val="Heading3"/>
      </w:pPr>
      <w:bookmarkStart w:id="95" w:name="_Toc119493102"/>
      <w:bookmarkEnd w:id="93"/>
      <w:r>
        <w:t>Pests requiring further pest risk assessment</w:t>
      </w:r>
      <w:bookmarkEnd w:id="95"/>
    </w:p>
    <w:p w14:paraId="71D9CA07" w14:textId="77777777" w:rsidR="00BC2F05" w:rsidRDefault="00772FB6" w:rsidP="00D65C1B">
      <w:r>
        <w:t xml:space="preserve">The 8 pests, associated with commercially produced </w:t>
      </w:r>
      <w:r w:rsidR="000C0A09">
        <w:fldChar w:fldCharType="begin" w:fldLock="1"/>
      </w:r>
      <w:r w:rsidR="000C0A09">
        <w:instrText xml:space="preserve"> REF  commod</w:instrText>
      </w:r>
      <w:r w:rsidR="000C0A09">
        <w:instrText xml:space="preserve">ity \* Lower  \* MERGEFORMAT </w:instrText>
      </w:r>
      <w:r w:rsidR="000C0A09">
        <w:fldChar w:fldCharType="separate"/>
      </w:r>
      <w:r>
        <w:t>dragon fruit</w:t>
      </w:r>
      <w:r w:rsidR="000C0A09">
        <w:fldChar w:fldCharType="end"/>
      </w:r>
      <w:r>
        <w:t xml:space="preserve"> for export from </w:t>
      </w:r>
      <w:fldSimple w:instr=" REF country  \* MERGEFORMAT " w:fldLock="1">
        <w:r>
          <w:t>the Philippines</w:t>
        </w:r>
      </w:fldSimple>
      <w:r w:rsidRPr="00F1349D">
        <w:t xml:space="preserve">, </w:t>
      </w:r>
      <w:r>
        <w:t xml:space="preserve">identified as requiring further pest risk assessment are listed in </w:t>
      </w:r>
      <w:r>
        <w:fldChar w:fldCharType="begin" w:fldLock="1"/>
      </w:r>
      <w:r>
        <w:instrText xml:space="preserve"> REF _Ref87356364 \h  \* MERGEFORMAT </w:instrText>
      </w:r>
      <w:r>
        <w:fldChar w:fldCharType="separate"/>
      </w:r>
      <w:r w:rsidRPr="00F1349D">
        <w:t xml:space="preserve">Table </w:t>
      </w:r>
      <w:r>
        <w:rPr>
          <w:noProof/>
        </w:rPr>
        <w:t>3</w:t>
      </w:r>
      <w:r>
        <w:t>.</w:t>
      </w:r>
      <w:r>
        <w:rPr>
          <w:noProof/>
        </w:rPr>
        <w:t>1</w:t>
      </w:r>
      <w:r>
        <w:fldChar w:fldCharType="end"/>
      </w:r>
      <w:r>
        <w:t>. Of these</w:t>
      </w:r>
      <w:r>
        <w:fldChar w:fldCharType="begin" w:fldLock="1"/>
      </w:r>
      <w:r>
        <w:instrText xml:space="preserve"> REF Hpests \h  \* MERGEFORMAT </w:instrText>
      </w:r>
      <w:r>
        <w:fldChar w:fldCharType="separate"/>
      </w:r>
      <w:r>
        <w:t xml:space="preserve"> </w:t>
      </w:r>
      <w:r>
        <w:fldChar w:fldCharType="end"/>
      </w:r>
      <w:r>
        <w:t>8 pests:</w:t>
      </w:r>
    </w:p>
    <w:p w14:paraId="4B286BF9" w14:textId="77777777" w:rsidR="00BC2F05" w:rsidRDefault="00772FB6" w:rsidP="00BC2F05">
      <w:pPr>
        <w:pStyle w:val="ListBullet"/>
      </w:pPr>
      <w:bookmarkStart w:id="96" w:name="_Ref87356364"/>
      <w:bookmarkStart w:id="97" w:name="_Toc9951894"/>
      <w:bookmarkStart w:id="98" w:name="_Ref51655660"/>
      <w:bookmarkStart w:id="99" w:name="_Hlk81488440"/>
      <w:bookmarkStart w:id="100" w:name="_Hlk88566379"/>
      <w:r>
        <w:t xml:space="preserve">7 are quarantine pests and one is a regulated article for Australia as it vectors emerging quarantine </w:t>
      </w:r>
      <w:proofErr w:type="spellStart"/>
      <w:r>
        <w:t>orthotospoviruses</w:t>
      </w:r>
      <w:proofErr w:type="spellEnd"/>
    </w:p>
    <w:p w14:paraId="68C30BFE" w14:textId="77777777" w:rsidR="00BC2F05" w:rsidRDefault="00772FB6" w:rsidP="00BC2F05">
      <w:pPr>
        <w:pStyle w:val="ListBullet"/>
      </w:pPr>
      <w:r>
        <w:t xml:space="preserve">2 of the 7 quarantine pests are also regulated articles for Australia as they vector emerging quarantine </w:t>
      </w:r>
      <w:proofErr w:type="spellStart"/>
      <w:r>
        <w:t>orthotospoviruses</w:t>
      </w:r>
      <w:proofErr w:type="spellEnd"/>
    </w:p>
    <w:p w14:paraId="1DAFF5A1" w14:textId="77777777" w:rsidR="00BC2F05" w:rsidRDefault="00772FB6" w:rsidP="00BC2F05">
      <w:pPr>
        <w:pStyle w:val="ListBullet"/>
      </w:pPr>
      <w:r>
        <w:t>2 of the 7 quarantine pests are regional quarantine pests as, whilst they have been recorded in some regions of Australia, interstate quarantine regulations are in place and enforced.</w:t>
      </w:r>
    </w:p>
    <w:p w14:paraId="026ED99D" w14:textId="77777777" w:rsidR="00BC2F05" w:rsidRDefault="00772FB6">
      <w:pPr>
        <w:spacing w:after="160" w:line="259" w:lineRule="auto"/>
      </w:pPr>
      <w:r>
        <w:br w:type="page"/>
      </w:r>
    </w:p>
    <w:p w14:paraId="719F1162" w14:textId="77777777" w:rsidR="00BC2F05" w:rsidRPr="00FE59AD" w:rsidRDefault="00772FB6" w:rsidP="008D0946">
      <w:pPr>
        <w:pStyle w:val="Tablecaption"/>
      </w:pPr>
      <w:bookmarkStart w:id="101" w:name="_Toc113430648"/>
      <w:bookmarkStart w:id="102" w:name="_Toc119493133"/>
      <w:r w:rsidRPr="00F1349D">
        <w:lastRenderedPageBreak/>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1</w:t>
      </w:r>
      <w:r w:rsidR="000C0A09">
        <w:rPr>
          <w:noProof/>
        </w:rPr>
        <w:fldChar w:fldCharType="end"/>
      </w:r>
      <w:bookmarkEnd w:id="96"/>
      <w:r w:rsidRPr="00F1349D">
        <w:t xml:space="preserve"> </w:t>
      </w:r>
      <w:r>
        <w:t>Quarantine</w:t>
      </w:r>
      <w:r w:rsidRPr="00F1349D">
        <w:t xml:space="preserve"> pests </w:t>
      </w:r>
      <w:r>
        <w:t xml:space="preserve">and regulated thrips potentially </w:t>
      </w:r>
      <w:r w:rsidRPr="00F1349D">
        <w:t xml:space="preserve">associated with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w:t>
      </w:r>
      <w:r w:rsidRPr="00F1349D">
        <w:t>fr</w:t>
      </w:r>
      <w:bookmarkEnd w:id="97"/>
      <w:r w:rsidRPr="00F1349D">
        <w:t>o</w:t>
      </w:r>
      <w:r>
        <w:t xml:space="preserve">m </w:t>
      </w:r>
      <w:fldSimple w:instr=" REF country  \* MERGEFORMAT " w:fldLock="1">
        <w:r>
          <w:t>the Philippines</w:t>
        </w:r>
      </w:fldSimple>
      <w:r w:rsidRPr="00F1349D">
        <w:t>,</w:t>
      </w:r>
      <w:r>
        <w:t xml:space="preserve"> </w:t>
      </w:r>
      <w:r w:rsidRPr="00F1349D">
        <w:t>and requiring further pest risk assessment</w:t>
      </w:r>
      <w:bookmarkEnd w:id="98"/>
      <w:bookmarkEnd w:id="99"/>
      <w:bookmarkEnd w:id="101"/>
      <w:bookmarkEnd w:id="102"/>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82"/>
        <w:gridCol w:w="2783"/>
        <w:gridCol w:w="2090"/>
        <w:gridCol w:w="1415"/>
      </w:tblGrid>
      <w:tr w:rsidR="00C80041" w14:paraId="1FD2A616" w14:textId="77777777" w:rsidTr="00976665">
        <w:trPr>
          <w:cantSplit/>
          <w:tblHeader/>
        </w:trPr>
        <w:tc>
          <w:tcPr>
            <w:tcW w:w="1534" w:type="pct"/>
            <w:tcBorders>
              <w:bottom w:val="single" w:sz="4" w:space="0" w:color="auto"/>
            </w:tcBorders>
          </w:tcPr>
          <w:p w14:paraId="7E6AC307" w14:textId="77777777" w:rsidR="00BC2F05" w:rsidRDefault="00772FB6" w:rsidP="00976665">
            <w:pPr>
              <w:pStyle w:val="TableHeading"/>
            </w:pPr>
            <w:bookmarkStart w:id="103" w:name="_Hlk102741949"/>
            <w:bookmarkEnd w:id="100"/>
            <w:r>
              <w:t>Pest/pest group</w:t>
            </w:r>
          </w:p>
        </w:tc>
        <w:tc>
          <w:tcPr>
            <w:tcW w:w="1534" w:type="pct"/>
            <w:tcBorders>
              <w:bottom w:val="single" w:sz="4" w:space="0" w:color="auto"/>
            </w:tcBorders>
            <w:shd w:val="clear" w:color="auto" w:fill="auto"/>
          </w:tcPr>
          <w:p w14:paraId="60C8DFFF" w14:textId="77777777" w:rsidR="00BC2F05" w:rsidRPr="006D45AB" w:rsidRDefault="00772FB6" w:rsidP="00976665">
            <w:pPr>
              <w:pStyle w:val="TableHeading"/>
            </w:pPr>
            <w:r>
              <w:t>Scientific name</w:t>
            </w:r>
          </w:p>
        </w:tc>
        <w:tc>
          <w:tcPr>
            <w:tcW w:w="1152" w:type="pct"/>
            <w:tcBorders>
              <w:bottom w:val="single" w:sz="4" w:space="0" w:color="auto"/>
            </w:tcBorders>
            <w:shd w:val="clear" w:color="auto" w:fill="auto"/>
          </w:tcPr>
          <w:p w14:paraId="15462E9A" w14:textId="77777777" w:rsidR="00BC2F05" w:rsidRPr="006D45AB" w:rsidRDefault="00772FB6" w:rsidP="00976665">
            <w:pPr>
              <w:pStyle w:val="TableHeading"/>
            </w:pPr>
            <w:r>
              <w:t>Common name</w:t>
            </w:r>
          </w:p>
        </w:tc>
        <w:tc>
          <w:tcPr>
            <w:tcW w:w="780" w:type="pct"/>
            <w:tcBorders>
              <w:bottom w:val="single" w:sz="4" w:space="0" w:color="auto"/>
            </w:tcBorders>
            <w:shd w:val="clear" w:color="auto" w:fill="auto"/>
          </w:tcPr>
          <w:p w14:paraId="4076922D" w14:textId="77777777" w:rsidR="00BC2F05" w:rsidRDefault="00772FB6" w:rsidP="00976665">
            <w:pPr>
              <w:pStyle w:val="TableHeading"/>
            </w:pPr>
            <w:r>
              <w:t>Policy status/region</w:t>
            </w:r>
          </w:p>
        </w:tc>
      </w:tr>
      <w:tr w:rsidR="00C80041" w14:paraId="719F372A" w14:textId="77777777" w:rsidTr="00976665">
        <w:tc>
          <w:tcPr>
            <w:tcW w:w="1534" w:type="pct"/>
            <w:vMerge w:val="restart"/>
            <w:tcBorders>
              <w:top w:val="single" w:sz="4" w:space="0" w:color="auto"/>
            </w:tcBorders>
          </w:tcPr>
          <w:p w14:paraId="6F3A5662" w14:textId="77777777" w:rsidR="00BC2F05" w:rsidRDefault="00772FB6" w:rsidP="00976665">
            <w:pPr>
              <w:pStyle w:val="TableText"/>
            </w:pPr>
            <w:r>
              <w:t xml:space="preserve">Fruit flies </w:t>
            </w:r>
          </w:p>
          <w:p w14:paraId="2C10D6E1" w14:textId="77777777" w:rsidR="00BC2F05" w:rsidRPr="00F874D6" w:rsidRDefault="00772FB6" w:rsidP="00976665">
            <w:pPr>
              <w:pStyle w:val="TableText"/>
            </w:pPr>
            <w:r>
              <w:t xml:space="preserve">[Diptera: </w:t>
            </w:r>
            <w:proofErr w:type="spellStart"/>
            <w:r>
              <w:t>Tephritidae</w:t>
            </w:r>
            <w:proofErr w:type="spellEnd"/>
            <w:r>
              <w:t>]</w:t>
            </w:r>
          </w:p>
        </w:tc>
        <w:tc>
          <w:tcPr>
            <w:tcW w:w="1534" w:type="pct"/>
            <w:tcBorders>
              <w:top w:val="single" w:sz="4" w:space="0" w:color="auto"/>
              <w:bottom w:val="single" w:sz="4" w:space="0" w:color="A5A5A5" w:themeColor="accent3"/>
            </w:tcBorders>
            <w:shd w:val="clear" w:color="auto" w:fill="auto"/>
          </w:tcPr>
          <w:p w14:paraId="1D103129" w14:textId="77777777" w:rsidR="00BC2F05" w:rsidRPr="00744BB7" w:rsidRDefault="00772FB6" w:rsidP="00976665">
            <w:pPr>
              <w:pStyle w:val="TableText"/>
              <w:rPr>
                <w:rStyle w:val="Emphasis"/>
                <w:color w:val="000000" w:themeColor="text1"/>
              </w:rPr>
            </w:pPr>
            <w:r>
              <w:rPr>
                <w:rStyle w:val="Emphasis"/>
                <w:color w:val="000000" w:themeColor="text1"/>
              </w:rPr>
              <w:t>Bactrocera dorsalis</w:t>
            </w:r>
          </w:p>
        </w:tc>
        <w:tc>
          <w:tcPr>
            <w:tcW w:w="1152" w:type="pct"/>
            <w:tcBorders>
              <w:top w:val="single" w:sz="4" w:space="0" w:color="auto"/>
              <w:bottom w:val="single" w:sz="4" w:space="0" w:color="A5A5A5" w:themeColor="accent3"/>
            </w:tcBorders>
            <w:shd w:val="clear" w:color="auto" w:fill="auto"/>
          </w:tcPr>
          <w:p w14:paraId="113AA6F2" w14:textId="77777777" w:rsidR="00BC2F05" w:rsidRPr="00744BB7" w:rsidRDefault="00772FB6" w:rsidP="00976665">
            <w:pPr>
              <w:pStyle w:val="TableText"/>
              <w:rPr>
                <w:color w:val="000000" w:themeColor="text1"/>
              </w:rPr>
            </w:pPr>
            <w:r>
              <w:rPr>
                <w:color w:val="000000" w:themeColor="text1"/>
              </w:rPr>
              <w:t>Oriental fruit fly</w:t>
            </w:r>
          </w:p>
        </w:tc>
        <w:tc>
          <w:tcPr>
            <w:tcW w:w="780" w:type="pct"/>
            <w:tcBorders>
              <w:top w:val="single" w:sz="4" w:space="0" w:color="auto"/>
              <w:bottom w:val="single" w:sz="4" w:space="0" w:color="A5A5A5" w:themeColor="accent3"/>
            </w:tcBorders>
            <w:shd w:val="clear" w:color="auto" w:fill="auto"/>
          </w:tcPr>
          <w:p w14:paraId="12235C79" w14:textId="77777777" w:rsidR="00BC2F05" w:rsidRPr="00744BB7" w:rsidRDefault="00772FB6" w:rsidP="00976665">
            <w:pPr>
              <w:pStyle w:val="TableText"/>
              <w:rPr>
                <w:color w:val="000000" w:themeColor="text1"/>
              </w:rPr>
            </w:pPr>
            <w:r>
              <w:rPr>
                <w:color w:val="000000" w:themeColor="text1"/>
              </w:rPr>
              <w:t>EP</w:t>
            </w:r>
          </w:p>
        </w:tc>
      </w:tr>
      <w:tr w:rsidR="00C80041" w14:paraId="6EDD8EC9" w14:textId="77777777" w:rsidTr="00976665">
        <w:tc>
          <w:tcPr>
            <w:tcW w:w="1534" w:type="pct"/>
            <w:vMerge/>
            <w:tcBorders>
              <w:bottom w:val="single" w:sz="4" w:space="0" w:color="BFBFBF" w:themeColor="background1" w:themeShade="BF"/>
            </w:tcBorders>
          </w:tcPr>
          <w:p w14:paraId="041442B8" w14:textId="77777777" w:rsidR="00BC2F05" w:rsidRDefault="00BC2F05" w:rsidP="00976665">
            <w:pPr>
              <w:pStyle w:val="TableText"/>
            </w:pPr>
          </w:p>
        </w:tc>
        <w:tc>
          <w:tcPr>
            <w:tcW w:w="1534" w:type="pct"/>
            <w:tcBorders>
              <w:top w:val="single" w:sz="4" w:space="0" w:color="A5A5A5" w:themeColor="accent3"/>
              <w:bottom w:val="single" w:sz="4" w:space="0" w:color="BFBFBF" w:themeColor="background1" w:themeShade="BF"/>
            </w:tcBorders>
            <w:shd w:val="clear" w:color="auto" w:fill="auto"/>
          </w:tcPr>
          <w:p w14:paraId="18503515" w14:textId="77777777" w:rsidR="00BC2F05" w:rsidRDefault="00772FB6" w:rsidP="00976665">
            <w:pPr>
              <w:pStyle w:val="TableText"/>
              <w:rPr>
                <w:rStyle w:val="Emphasis"/>
                <w:color w:val="000000" w:themeColor="text1"/>
              </w:rPr>
            </w:pPr>
            <w:r>
              <w:rPr>
                <w:rStyle w:val="Emphasis"/>
                <w:color w:val="000000" w:themeColor="text1"/>
              </w:rPr>
              <w:t>Zeugodacus cucurbitae</w:t>
            </w:r>
          </w:p>
        </w:tc>
        <w:tc>
          <w:tcPr>
            <w:tcW w:w="1152" w:type="pct"/>
            <w:tcBorders>
              <w:top w:val="single" w:sz="4" w:space="0" w:color="A5A5A5" w:themeColor="accent3"/>
              <w:bottom w:val="single" w:sz="4" w:space="0" w:color="BFBFBF" w:themeColor="background1" w:themeShade="BF"/>
            </w:tcBorders>
            <w:shd w:val="clear" w:color="auto" w:fill="auto"/>
          </w:tcPr>
          <w:p w14:paraId="58112EDC" w14:textId="77777777" w:rsidR="00BC2F05" w:rsidRDefault="00772FB6" w:rsidP="00976665">
            <w:pPr>
              <w:pStyle w:val="TableText"/>
              <w:rPr>
                <w:color w:val="000000" w:themeColor="text1"/>
              </w:rPr>
            </w:pPr>
            <w:r>
              <w:t>melon fly</w:t>
            </w:r>
          </w:p>
        </w:tc>
        <w:tc>
          <w:tcPr>
            <w:tcW w:w="780" w:type="pct"/>
            <w:tcBorders>
              <w:top w:val="single" w:sz="4" w:space="0" w:color="A5A5A5" w:themeColor="accent3"/>
              <w:bottom w:val="single" w:sz="4" w:space="0" w:color="BFBFBF" w:themeColor="background1" w:themeShade="BF"/>
            </w:tcBorders>
            <w:shd w:val="clear" w:color="auto" w:fill="auto"/>
          </w:tcPr>
          <w:p w14:paraId="263F8BA9" w14:textId="77777777" w:rsidR="00BC2F05" w:rsidRDefault="00772FB6" w:rsidP="00976665">
            <w:pPr>
              <w:pStyle w:val="TableText"/>
              <w:rPr>
                <w:color w:val="000000" w:themeColor="text1"/>
              </w:rPr>
            </w:pPr>
            <w:r>
              <w:rPr>
                <w:color w:val="000000" w:themeColor="text1"/>
              </w:rPr>
              <w:t>EP</w:t>
            </w:r>
          </w:p>
        </w:tc>
      </w:tr>
      <w:tr w:rsidR="00C80041" w14:paraId="7A5B74C5" w14:textId="77777777" w:rsidTr="00976665">
        <w:tc>
          <w:tcPr>
            <w:tcW w:w="1534" w:type="pct"/>
            <w:vMerge w:val="restart"/>
            <w:tcBorders>
              <w:top w:val="single" w:sz="4" w:space="0" w:color="BFBFBF" w:themeColor="background1" w:themeShade="BF"/>
            </w:tcBorders>
          </w:tcPr>
          <w:p w14:paraId="44BB9E4B" w14:textId="77777777" w:rsidR="00BC2F05" w:rsidRPr="00F874D6" w:rsidRDefault="00772FB6" w:rsidP="00976665">
            <w:pPr>
              <w:pStyle w:val="TableText"/>
            </w:pPr>
            <w:r>
              <w:t xml:space="preserve">Mealybugs </w:t>
            </w:r>
          </w:p>
          <w:p w14:paraId="6CB48506" w14:textId="77777777" w:rsidR="00BC2F05" w:rsidRPr="00F874D6" w:rsidRDefault="00772FB6" w:rsidP="00976665">
            <w:pPr>
              <w:pStyle w:val="TableText"/>
            </w:pPr>
            <w:r w:rsidRPr="00F874D6">
              <w:t>[</w:t>
            </w:r>
            <w:r>
              <w:t>Hemiptera</w:t>
            </w:r>
            <w:r w:rsidRPr="00F874D6">
              <w:t xml:space="preserve">: </w:t>
            </w:r>
            <w:proofErr w:type="spellStart"/>
            <w:r w:rsidRPr="007B2FED">
              <w:t>Pseudococcidae</w:t>
            </w:r>
            <w:proofErr w:type="spellEnd"/>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646038F4" w14:textId="77777777" w:rsidR="00BC2F05" w:rsidRPr="00967D21" w:rsidRDefault="00772FB6" w:rsidP="00976665">
            <w:pPr>
              <w:pStyle w:val="TableText"/>
              <w:rPr>
                <w:rStyle w:val="Emphasis"/>
              </w:rPr>
            </w:pPr>
            <w:r w:rsidRPr="00062A5B">
              <w:rPr>
                <w:i/>
                <w:iCs/>
              </w:rPr>
              <w:t>Dysmicoccus neobrevipes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A75D98E" w14:textId="77777777" w:rsidR="00BC2F05" w:rsidRPr="006C1854" w:rsidRDefault="00772FB6" w:rsidP="00976665">
            <w:pPr>
              <w:pStyle w:val="TableText"/>
            </w:pPr>
            <w:r>
              <w:t>g</w:t>
            </w:r>
            <w:r w:rsidRPr="0092694D">
              <w:t>rey pineapple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76281285" w14:textId="77777777" w:rsidR="00BC2F05" w:rsidRPr="006C1854" w:rsidRDefault="00772FB6" w:rsidP="00976665">
            <w:pPr>
              <w:pStyle w:val="TableText"/>
            </w:pPr>
            <w:r>
              <w:t>GP</w:t>
            </w:r>
          </w:p>
        </w:tc>
      </w:tr>
      <w:tr w:rsidR="00C80041" w14:paraId="65E64A62" w14:textId="77777777" w:rsidTr="00976665">
        <w:tc>
          <w:tcPr>
            <w:tcW w:w="1534" w:type="pct"/>
            <w:vMerge/>
          </w:tcPr>
          <w:p w14:paraId="219B9E88" w14:textId="77777777" w:rsidR="00BC2F05" w:rsidRPr="00F874D6" w:rsidRDefault="00BC2F05" w:rsidP="00976665">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6A1D8FB6" w14:textId="77777777" w:rsidR="00BC2F05" w:rsidRPr="00967D21" w:rsidRDefault="00772FB6" w:rsidP="00976665">
            <w:pPr>
              <w:pStyle w:val="TableText"/>
              <w:rPr>
                <w:rStyle w:val="Emphasis"/>
              </w:rPr>
            </w:pPr>
            <w:r w:rsidRPr="00062A5B">
              <w:rPr>
                <w:i/>
                <w:iCs/>
              </w:rPr>
              <w:t>Paracoccus marginatus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B1F1DD3" w14:textId="77777777" w:rsidR="00BC2F05" w:rsidRPr="006C1854" w:rsidRDefault="00772FB6" w:rsidP="00976665">
            <w:pPr>
              <w:pStyle w:val="TableText"/>
            </w:pPr>
            <w:r>
              <w:t>papaya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3C7DFEC" w14:textId="77777777" w:rsidR="00BC2F05" w:rsidRPr="006C1854" w:rsidRDefault="00772FB6" w:rsidP="00976665">
            <w:pPr>
              <w:pStyle w:val="TableText"/>
            </w:pPr>
            <w:r>
              <w:t>GP</w:t>
            </w:r>
          </w:p>
        </w:tc>
      </w:tr>
      <w:tr w:rsidR="00C80041" w14:paraId="15B7485B" w14:textId="77777777" w:rsidTr="00976665">
        <w:tc>
          <w:tcPr>
            <w:tcW w:w="1534" w:type="pct"/>
            <w:vMerge/>
            <w:tcBorders>
              <w:bottom w:val="single" w:sz="4" w:space="0" w:color="BFBFBF" w:themeColor="background1" w:themeShade="BF"/>
            </w:tcBorders>
          </w:tcPr>
          <w:p w14:paraId="4EC06FC9" w14:textId="77777777" w:rsidR="00BC2F05" w:rsidRPr="00F874D6" w:rsidRDefault="00BC2F05" w:rsidP="00976665">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478D5839" w14:textId="77777777" w:rsidR="00BC2F05" w:rsidRPr="00062A5B" w:rsidRDefault="00772FB6" w:rsidP="00976665">
            <w:pPr>
              <w:pStyle w:val="TableText"/>
              <w:rPr>
                <w:i/>
                <w:iCs/>
              </w:rPr>
            </w:pPr>
            <w:r>
              <w:rPr>
                <w:i/>
                <w:iCs/>
              </w:rPr>
              <w:t>Pseudococcus jackbeardsleyi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47E5342" w14:textId="77777777" w:rsidR="00BC2F05" w:rsidRPr="006C1854" w:rsidRDefault="00772FB6" w:rsidP="00976665">
            <w:pPr>
              <w:pStyle w:val="TableText"/>
            </w:pPr>
            <w:r>
              <w:t>Jack Beardsley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D4CC891" w14:textId="77777777" w:rsidR="00BC2F05" w:rsidRPr="006C1854" w:rsidRDefault="00772FB6" w:rsidP="00976665">
            <w:pPr>
              <w:pStyle w:val="TableText"/>
            </w:pPr>
            <w:r>
              <w:t>GP</w:t>
            </w:r>
          </w:p>
        </w:tc>
      </w:tr>
      <w:tr w:rsidR="00C80041" w14:paraId="1FD29D53" w14:textId="77777777" w:rsidTr="00976665">
        <w:tc>
          <w:tcPr>
            <w:tcW w:w="1534" w:type="pct"/>
            <w:vMerge w:val="restart"/>
            <w:tcBorders>
              <w:top w:val="single" w:sz="4" w:space="0" w:color="BFBFBF" w:themeColor="background1" w:themeShade="BF"/>
              <w:bottom w:val="single" w:sz="4" w:space="0" w:color="BFBFBF" w:themeColor="background1" w:themeShade="BF"/>
            </w:tcBorders>
          </w:tcPr>
          <w:p w14:paraId="335F9131" w14:textId="77777777" w:rsidR="00BC2F05" w:rsidRPr="00F874D6" w:rsidRDefault="00772FB6" w:rsidP="00976665">
            <w:pPr>
              <w:pStyle w:val="TableText"/>
            </w:pPr>
            <w:r>
              <w:t>Thrips</w:t>
            </w:r>
          </w:p>
          <w:p w14:paraId="7451DF3D" w14:textId="77777777" w:rsidR="00BC2F05" w:rsidRPr="00F874D6" w:rsidRDefault="00772FB6" w:rsidP="00976665">
            <w:pPr>
              <w:pStyle w:val="TableText"/>
            </w:pPr>
            <w:r w:rsidRPr="00F874D6">
              <w:t>[</w:t>
            </w:r>
            <w:r w:rsidRPr="00140CED">
              <w:rPr>
                <w:color w:val="000000" w:themeColor="text1"/>
              </w:rPr>
              <w:t>Thysanoptera</w:t>
            </w:r>
            <w:r w:rsidRPr="00F874D6">
              <w:t xml:space="preserve">: </w:t>
            </w:r>
            <w:r w:rsidRPr="00140CED">
              <w:rPr>
                <w:color w:val="000000" w:themeColor="text1"/>
              </w:rPr>
              <w:t>Thripidae</w:t>
            </w:r>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3EE0A38" w14:textId="77777777" w:rsidR="00BC2F05" w:rsidRPr="00967D21" w:rsidRDefault="00772FB6" w:rsidP="00976665">
            <w:pPr>
              <w:pStyle w:val="TableText"/>
              <w:rPr>
                <w:rStyle w:val="Emphasis"/>
              </w:rPr>
            </w:pPr>
            <w:r>
              <w:rPr>
                <w:rStyle w:val="Emphasis"/>
              </w:rPr>
              <w:t>Frankliniella occidentalis</w:t>
            </w:r>
            <w:r>
              <w:rPr>
                <w:rStyle w:val="Strong"/>
              </w:rPr>
              <w:t xml:space="preserve"> 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E0ABEEA" w14:textId="77777777" w:rsidR="00BC2F05" w:rsidRPr="006C1854" w:rsidRDefault="00772FB6" w:rsidP="00976665">
            <w:pPr>
              <w:pStyle w:val="TableText"/>
            </w:pPr>
            <w:r>
              <w:t>western flower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D4AF62A" w14:textId="77777777" w:rsidR="00BC2F05" w:rsidRPr="006C1854" w:rsidRDefault="00772FB6" w:rsidP="00976665">
            <w:pPr>
              <w:pStyle w:val="TableText"/>
            </w:pPr>
            <w:r>
              <w:t>GP, NT</w:t>
            </w:r>
          </w:p>
        </w:tc>
      </w:tr>
      <w:tr w:rsidR="00C80041" w14:paraId="4999924B" w14:textId="77777777" w:rsidTr="00976665">
        <w:tc>
          <w:tcPr>
            <w:tcW w:w="1534" w:type="pct"/>
            <w:vMerge/>
            <w:tcBorders>
              <w:top w:val="single" w:sz="4" w:space="0" w:color="BFBFBF" w:themeColor="background1" w:themeShade="BF"/>
              <w:bottom w:val="single" w:sz="4" w:space="0" w:color="BFBFBF" w:themeColor="background1" w:themeShade="BF"/>
            </w:tcBorders>
          </w:tcPr>
          <w:p w14:paraId="6DEA3A7D" w14:textId="77777777" w:rsidR="00BC2F05" w:rsidRPr="00F874D6" w:rsidRDefault="00BC2F05" w:rsidP="00976665">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4DD2B63C" w14:textId="77777777" w:rsidR="00BC2F05" w:rsidRPr="00967D21" w:rsidRDefault="00772FB6" w:rsidP="00976665">
            <w:pPr>
              <w:pStyle w:val="TableText"/>
              <w:rPr>
                <w:rStyle w:val="Emphasis"/>
              </w:rPr>
            </w:pPr>
            <w:r w:rsidRPr="00140CED">
              <w:rPr>
                <w:rStyle w:val="Emphasis"/>
              </w:rPr>
              <w:t>Scirtothrips 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7A5FA22" w14:textId="77777777" w:rsidR="00BC2F05" w:rsidRPr="006C1854" w:rsidRDefault="00772FB6" w:rsidP="00976665">
            <w:pPr>
              <w:pStyle w:val="TableText"/>
            </w:pPr>
            <w:r>
              <w:t>chilli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579B821" w14:textId="77777777" w:rsidR="00BC2F05" w:rsidRPr="006C1854" w:rsidRDefault="00772FB6" w:rsidP="00976665">
            <w:pPr>
              <w:pStyle w:val="TableText"/>
            </w:pPr>
            <w:r>
              <w:t>GP, RA</w:t>
            </w:r>
          </w:p>
        </w:tc>
      </w:tr>
      <w:tr w:rsidR="00C80041" w14:paraId="5587282A" w14:textId="77777777" w:rsidTr="00976665">
        <w:tc>
          <w:tcPr>
            <w:tcW w:w="1534" w:type="pct"/>
            <w:vMerge/>
            <w:tcBorders>
              <w:top w:val="single" w:sz="4" w:space="0" w:color="BFBFBF" w:themeColor="background1" w:themeShade="BF"/>
              <w:bottom w:val="single" w:sz="4" w:space="0" w:color="BFBFBF" w:themeColor="background1" w:themeShade="BF"/>
            </w:tcBorders>
          </w:tcPr>
          <w:p w14:paraId="238E2BF4" w14:textId="77777777" w:rsidR="00BC2F05" w:rsidRPr="00F874D6" w:rsidRDefault="00BC2F05" w:rsidP="00976665">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2038E7EA" w14:textId="77777777" w:rsidR="00BC2F05" w:rsidRPr="00967D21" w:rsidRDefault="00772FB6" w:rsidP="00976665">
            <w:pPr>
              <w:pStyle w:val="TableText"/>
              <w:rPr>
                <w:rStyle w:val="Emphasis"/>
              </w:rPr>
            </w:pPr>
            <w:r w:rsidRPr="00140CED">
              <w:rPr>
                <w:rStyle w:val="Emphasis"/>
              </w:rPr>
              <w:t>Thrips palmi</w:t>
            </w:r>
            <w:r>
              <w:rPr>
                <w:rStyle w:val="Strong"/>
              </w:rPr>
              <w:t xml:space="preserve"> 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225BF4B" w14:textId="77777777" w:rsidR="00BC2F05" w:rsidRPr="006C1854" w:rsidRDefault="00772FB6" w:rsidP="00976665">
            <w:pPr>
              <w:pStyle w:val="TableText"/>
            </w:pPr>
            <w:r>
              <w:t>melon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D287E6E" w14:textId="77777777" w:rsidR="00BC2F05" w:rsidRPr="006C1854" w:rsidRDefault="00772FB6" w:rsidP="00976665">
            <w:pPr>
              <w:pStyle w:val="TableText"/>
            </w:pPr>
            <w:r>
              <w:t>GP, SA, WA</w:t>
            </w:r>
          </w:p>
        </w:tc>
      </w:tr>
    </w:tbl>
    <w:bookmarkEnd w:id="103"/>
    <w:p w14:paraId="3D1CA3CE" w14:textId="77777777" w:rsidR="00BC2F05" w:rsidRPr="0091394D" w:rsidRDefault="00772FB6" w:rsidP="008D0946">
      <w:pPr>
        <w:pStyle w:val="FigureTableNoteSource"/>
        <w:rPr>
          <w:bCs/>
        </w:rPr>
      </w:pPr>
      <w:r>
        <w:rPr>
          <w:rStyle w:val="Strong"/>
        </w:rPr>
        <w:t>a:</w:t>
      </w:r>
      <w:r>
        <w:rPr>
          <w:rStyle w:val="Strong"/>
          <w:b w:val="0"/>
          <w:bCs w:val="0"/>
        </w:rPr>
        <w:t xml:space="preserve"> Thrips species that is also identified as a regulated article for Australia as it vectors emerging quarantine </w:t>
      </w:r>
      <w:proofErr w:type="spellStart"/>
      <w:r>
        <w:rPr>
          <w:rStyle w:val="Strong"/>
          <w:b w:val="0"/>
          <w:bCs w:val="0"/>
        </w:rPr>
        <w:t>orthotospoviruses</w:t>
      </w:r>
      <w:proofErr w:type="spellEnd"/>
      <w:r>
        <w:rPr>
          <w:rStyle w:val="Strong"/>
          <w:b w:val="0"/>
          <w:bCs w:val="0"/>
        </w:rPr>
        <w:t xml:space="preserve">. </w:t>
      </w:r>
      <w:r>
        <w:rPr>
          <w:rStyle w:val="Strong"/>
        </w:rPr>
        <w:t>EP:</w:t>
      </w:r>
      <w:r>
        <w:rPr>
          <w:bCs/>
        </w:rPr>
        <w:t> </w:t>
      </w:r>
      <w:r w:rsidRPr="0080521D">
        <w:rPr>
          <w:bCs/>
        </w:rPr>
        <w:t xml:space="preserve">Species has been assessed previously and import policy already exists. </w:t>
      </w:r>
      <w:r>
        <w:rPr>
          <w:rStyle w:val="Strong"/>
        </w:rPr>
        <w:t>GP:</w:t>
      </w:r>
      <w:r>
        <w:rPr>
          <w:bCs/>
        </w:rPr>
        <w:t> </w:t>
      </w:r>
      <w:r w:rsidRPr="0080521D">
        <w:rPr>
          <w:bCs/>
        </w:rPr>
        <w:t xml:space="preserve">Species has been assessed previously in a Group PRA, and the Group PRA has been applied. </w:t>
      </w:r>
      <w:r>
        <w:rPr>
          <w:rStyle w:val="Strong"/>
        </w:rPr>
        <w:t>RA:</w:t>
      </w:r>
      <w:r>
        <w:rPr>
          <w:bCs/>
        </w:rPr>
        <w:t> </w:t>
      </w:r>
      <w:r w:rsidRPr="0080521D">
        <w:rPr>
          <w:bCs/>
        </w:rPr>
        <w:t xml:space="preserve">Regulated article. </w:t>
      </w:r>
      <w:r w:rsidRPr="00FA059D">
        <w:rPr>
          <w:rStyle w:val="Strong"/>
        </w:rPr>
        <w:t>WA</w:t>
      </w:r>
      <w:r>
        <w:rPr>
          <w:rStyle w:val="Strong"/>
        </w:rPr>
        <w:t>:</w:t>
      </w:r>
      <w:r>
        <w:rPr>
          <w:bCs/>
        </w:rPr>
        <w:t> Regional quarantine pest for Western Australia</w:t>
      </w:r>
      <w:r w:rsidRPr="0080521D">
        <w:rPr>
          <w:bCs/>
        </w:rPr>
        <w:t>.</w:t>
      </w:r>
      <w:r>
        <w:rPr>
          <w:bCs/>
        </w:rPr>
        <w:t xml:space="preserve"> </w:t>
      </w:r>
      <w:r>
        <w:rPr>
          <w:b/>
        </w:rPr>
        <w:t>SA:</w:t>
      </w:r>
      <w:r>
        <w:rPr>
          <w:bCs/>
        </w:rPr>
        <w:t xml:space="preserve"> Regional quarantine pest for South Australia. </w:t>
      </w:r>
      <w:r>
        <w:rPr>
          <w:b/>
        </w:rPr>
        <w:t>NT:</w:t>
      </w:r>
      <w:r>
        <w:rPr>
          <w:bCs/>
        </w:rPr>
        <w:t xml:space="preserve"> Regional quarantine pest for Northern Territory.</w:t>
      </w:r>
    </w:p>
    <w:p w14:paraId="0EC4F9CB" w14:textId="77777777" w:rsidR="00BC2F05" w:rsidRDefault="00772FB6" w:rsidP="008D0946">
      <w:pPr>
        <w:pStyle w:val="Heading3"/>
      </w:pPr>
      <w:bookmarkStart w:id="104" w:name="_Toc119493103"/>
      <w:r>
        <w:t>Overview of pest risk assessment</w:t>
      </w:r>
      <w:bookmarkEnd w:id="104"/>
    </w:p>
    <w:p w14:paraId="35AFA010" w14:textId="77777777" w:rsidR="00BC2F05" w:rsidRDefault="00772FB6" w:rsidP="00D65C1B">
      <w:bookmarkStart w:id="105" w:name="_Hlk88566701"/>
      <w:r>
        <w:t xml:space="preserve">This chapter assesses, for each of the pests, or pest groups identified in </w:t>
      </w:r>
      <w:r>
        <w:fldChar w:fldCharType="begin" w:fldLock="1"/>
      </w:r>
      <w:r>
        <w:instrText xml:space="preserve"> REF _Ref87356364 \h  \* MERGEFORMAT </w:instrText>
      </w:r>
      <w:r>
        <w:fldChar w:fldCharType="separate"/>
      </w:r>
      <w:r w:rsidRPr="00F1349D">
        <w:t xml:space="preserve">Table </w:t>
      </w:r>
      <w:r>
        <w:rPr>
          <w:noProof/>
        </w:rPr>
        <w:t>3</w:t>
      </w:r>
      <w:r>
        <w:t>.</w:t>
      </w:r>
      <w:r>
        <w:rPr>
          <w:noProof/>
        </w:rPr>
        <w:t>1</w:t>
      </w:r>
      <w:r>
        <w:fldChar w:fldCharType="end"/>
      </w:r>
      <w:r w:rsidRPr="00FB70C3">
        <w:t>, the</w:t>
      </w:r>
      <w:r>
        <w:t xml:space="preserve"> likelihoods of entry, establishment and spread, and the magnitude of the associated potential consequences these species may cause if they were to enter, establish and spread in Australia.</w:t>
      </w:r>
    </w:p>
    <w:bookmarkEnd w:id="105"/>
    <w:p w14:paraId="2D9C4BF2" w14:textId="77777777" w:rsidR="00BC2F05" w:rsidRDefault="00772FB6" w:rsidP="00D65C1B">
      <w:proofErr w:type="gramStart"/>
      <w:r>
        <w:t>All of</w:t>
      </w:r>
      <w:proofErr w:type="gramEnd"/>
      <w:r>
        <w:t xml:space="preserve"> the pests or pest groups in </w:t>
      </w:r>
      <w:r>
        <w:fldChar w:fldCharType="begin" w:fldLock="1"/>
      </w:r>
      <w:r>
        <w:instrText xml:space="preserve"> REF _Ref87356364 \h  \* MERGEFORMAT </w:instrText>
      </w:r>
      <w:r>
        <w:fldChar w:fldCharType="separate"/>
      </w:r>
      <w:r w:rsidRPr="00F1349D">
        <w:t xml:space="preserve">Table </w:t>
      </w:r>
      <w:r>
        <w:rPr>
          <w:noProof/>
        </w:rPr>
        <w:t>3</w:t>
      </w:r>
      <w:r>
        <w:t>.</w:t>
      </w:r>
      <w:r>
        <w:rPr>
          <w:noProof/>
        </w:rPr>
        <w:t>1</w:t>
      </w:r>
      <w:r>
        <w:fldChar w:fldCharType="end"/>
      </w:r>
      <w:r>
        <w:t xml:space="preserve"> 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adoption of outcomes from previous assessments is outlined in Appendix A in section A2.6.</w:t>
      </w:r>
    </w:p>
    <w:p w14:paraId="601A5D5A" w14:textId="77777777" w:rsidR="00BC2F05" w:rsidRDefault="00772FB6" w:rsidP="008D0946">
      <w:pPr>
        <w:rPr>
          <w:color w:val="000000" w:themeColor="text1"/>
        </w:rPr>
      </w:pPr>
      <w:r>
        <w:t>T</w:t>
      </w:r>
      <w:r w:rsidRPr="005E0785">
        <w:rPr>
          <w:color w:val="000000" w:themeColor="text1"/>
        </w:rPr>
        <w:t xml:space="preserve">he biosecurity risk posed by mealybugs and the viruses they transmit was previously assessed for all countries in the mealybugs Group PRA </w:t>
      </w:r>
      <w:r>
        <w:rPr>
          <w:noProof/>
          <w:color w:val="000000" w:themeColor="text1"/>
        </w:rPr>
        <w:t>(DAWR 2019)</w:t>
      </w:r>
      <w:r>
        <w:rPr>
          <w:color w:val="000000" w:themeColor="text1"/>
        </w:rPr>
        <w:t xml:space="preserve">, which has been applied to this assessment of </w:t>
      </w:r>
      <w:r>
        <w:rPr>
          <w:color w:val="000000" w:themeColor="text1"/>
        </w:rPr>
        <w:fldChar w:fldCharType="begin" w:fldLock="1"/>
      </w:r>
      <w:r>
        <w:rPr>
          <w:color w:val="000000" w:themeColor="text1"/>
        </w:rPr>
        <w:instrText xml:space="preserve"> REF  commodity \* Lower \h </w:instrText>
      </w:r>
      <w:r>
        <w:rPr>
          <w:color w:val="000000" w:themeColor="text1"/>
        </w:rPr>
      </w:r>
      <w:r>
        <w:rPr>
          <w:color w:val="000000" w:themeColor="text1"/>
        </w:rPr>
        <w:fldChar w:fldCharType="separate"/>
      </w:r>
      <w:r>
        <w:t>dragon fruit</w:t>
      </w:r>
      <w:r>
        <w:rPr>
          <w:color w:val="000000" w:themeColor="text1"/>
        </w:rPr>
        <w:fldChar w:fldCharType="end"/>
      </w:r>
      <w:r>
        <w:rPr>
          <w:color w:val="000000" w:themeColor="text1"/>
        </w:rPr>
        <w:t xml:space="preserve"> from </w:t>
      </w:r>
      <w:r>
        <w:rPr>
          <w:color w:val="000000" w:themeColor="text1"/>
        </w:rPr>
        <w:fldChar w:fldCharType="begin" w:fldLock="1"/>
      </w:r>
      <w:r>
        <w:rPr>
          <w:color w:val="000000" w:themeColor="text1"/>
        </w:rPr>
        <w:instrText xml:space="preserve"> REF country \h </w:instrText>
      </w:r>
      <w:r>
        <w:rPr>
          <w:color w:val="000000" w:themeColor="text1"/>
        </w:rPr>
      </w:r>
      <w:r>
        <w:rPr>
          <w:color w:val="000000" w:themeColor="text1"/>
        </w:rPr>
        <w:fldChar w:fldCharType="separate"/>
      </w:r>
      <w:r>
        <w:t>the Philippines</w:t>
      </w:r>
      <w:r>
        <w:rPr>
          <w:color w:val="000000" w:themeColor="text1"/>
        </w:rPr>
        <w:fldChar w:fldCharType="end"/>
      </w:r>
      <w:r>
        <w:rPr>
          <w:color w:val="000000" w:themeColor="text1"/>
        </w:rPr>
        <w:t>.</w:t>
      </w:r>
    </w:p>
    <w:p w14:paraId="6E7C28BF" w14:textId="77777777" w:rsidR="00BC2F05" w:rsidRDefault="00772FB6" w:rsidP="008D0946">
      <w:pPr>
        <w:rPr>
          <w:color w:val="000000" w:themeColor="text1"/>
        </w:rPr>
      </w:pPr>
      <w:r>
        <w:t>T</w:t>
      </w:r>
      <w:r w:rsidRPr="00124F90">
        <w:rPr>
          <w:color w:val="000000" w:themeColor="text1"/>
        </w:rPr>
        <w:t xml:space="preserve">he biosecurity risk posed by thrips and the </w:t>
      </w:r>
      <w:proofErr w:type="spellStart"/>
      <w:r w:rsidRPr="00124F90">
        <w:rPr>
          <w:color w:val="000000" w:themeColor="text1"/>
        </w:rPr>
        <w:t>orthotospoviruses</w:t>
      </w:r>
      <w:proofErr w:type="spellEnd"/>
      <w:r w:rsidRPr="00124F90">
        <w:rPr>
          <w:color w:val="000000" w:themeColor="text1"/>
        </w:rPr>
        <w:t xml:space="preserve"> they transmit was previously assessed </w:t>
      </w:r>
      <w:r>
        <w:rPr>
          <w:color w:val="000000" w:themeColor="text1"/>
        </w:rPr>
        <w:t xml:space="preserve">for all countries </w:t>
      </w:r>
      <w:r w:rsidRPr="00124F90">
        <w:rPr>
          <w:color w:val="000000" w:themeColor="text1"/>
        </w:rPr>
        <w:t xml:space="preserve">in </w:t>
      </w:r>
      <w:r>
        <w:rPr>
          <w:color w:val="000000" w:themeColor="text1"/>
        </w:rPr>
        <w:t xml:space="preserve">the </w:t>
      </w:r>
      <w:r w:rsidRPr="00124F90">
        <w:rPr>
          <w:color w:val="000000" w:themeColor="text1"/>
        </w:rPr>
        <w:t>thrips Group PRA</w:t>
      </w:r>
      <w:r>
        <w:rPr>
          <w:color w:val="000000" w:themeColor="text1"/>
        </w:rPr>
        <w:t xml:space="preserve"> </w:t>
      </w:r>
      <w:r>
        <w:rPr>
          <w:noProof/>
          <w:color w:val="000000" w:themeColor="text1"/>
        </w:rPr>
        <w:t>(DAWR 2017a)</w:t>
      </w:r>
      <w:r>
        <w:rPr>
          <w:color w:val="000000" w:themeColor="text1"/>
        </w:rPr>
        <w:t xml:space="preserve">, which has been applied to this assessment of </w:t>
      </w:r>
      <w:r>
        <w:rPr>
          <w:color w:val="000000" w:themeColor="text1"/>
        </w:rPr>
        <w:fldChar w:fldCharType="begin" w:fldLock="1"/>
      </w:r>
      <w:r>
        <w:rPr>
          <w:color w:val="000000" w:themeColor="text1"/>
        </w:rPr>
        <w:instrText xml:space="preserve"> REF  commodity \* Lower \h </w:instrText>
      </w:r>
      <w:r>
        <w:rPr>
          <w:color w:val="000000" w:themeColor="text1"/>
        </w:rPr>
      </w:r>
      <w:r>
        <w:rPr>
          <w:color w:val="000000" w:themeColor="text1"/>
        </w:rPr>
        <w:fldChar w:fldCharType="separate"/>
      </w:r>
      <w:r>
        <w:t>dragon fruit</w:t>
      </w:r>
      <w:r>
        <w:rPr>
          <w:color w:val="000000" w:themeColor="text1"/>
        </w:rPr>
        <w:fldChar w:fldCharType="end"/>
      </w:r>
      <w:r>
        <w:rPr>
          <w:color w:val="000000" w:themeColor="text1"/>
        </w:rPr>
        <w:t xml:space="preserve"> from </w:t>
      </w:r>
      <w:r>
        <w:rPr>
          <w:color w:val="000000" w:themeColor="text1"/>
        </w:rPr>
        <w:fldChar w:fldCharType="begin" w:fldLock="1"/>
      </w:r>
      <w:r>
        <w:rPr>
          <w:color w:val="000000" w:themeColor="text1"/>
        </w:rPr>
        <w:instrText xml:space="preserve"> REF country \h </w:instrText>
      </w:r>
      <w:r>
        <w:rPr>
          <w:color w:val="000000" w:themeColor="text1"/>
        </w:rPr>
      </w:r>
      <w:r>
        <w:rPr>
          <w:color w:val="000000" w:themeColor="text1"/>
        </w:rPr>
        <w:fldChar w:fldCharType="separate"/>
      </w:r>
      <w:r>
        <w:t>the Philippines</w:t>
      </w:r>
      <w:r>
        <w:rPr>
          <w:color w:val="000000" w:themeColor="text1"/>
        </w:rPr>
        <w:fldChar w:fldCharType="end"/>
      </w:r>
      <w:r>
        <w:rPr>
          <w:color w:val="000000" w:themeColor="text1"/>
        </w:rPr>
        <w:t>.</w:t>
      </w:r>
    </w:p>
    <w:p w14:paraId="2C342C89" w14:textId="77777777" w:rsidR="00BC2F05" w:rsidRDefault="00772FB6" w:rsidP="008D0946">
      <w:r>
        <w:t xml:space="preserve">The acronym ‘GP’ is used to identify species assessed previously in a Group PRA and for which a Group PRA was applied. The application of the Group PRAs to this risk analysis is outlined in Appendix A in section </w:t>
      </w:r>
      <w:r>
        <w:fldChar w:fldCharType="begin" w:fldLock="1"/>
      </w:r>
      <w:r>
        <w:instrText xml:space="preserve"> REF A_2_7 \h </w:instrText>
      </w:r>
      <w:r>
        <w:fldChar w:fldCharType="separate"/>
      </w:r>
      <w:r>
        <w:t>A2.7</w:t>
      </w:r>
      <w:r>
        <w:fldChar w:fldCharType="end"/>
      </w:r>
      <w:r>
        <w:t>. A summary of assessment from the Group PRAs is presented for the relevant pests and/or regulated thrips in this chapter for convenience.</w:t>
      </w:r>
    </w:p>
    <w:p w14:paraId="689D5511" w14:textId="77777777" w:rsidR="00BC2F05" w:rsidRPr="00761B2A" w:rsidRDefault="00772FB6" w:rsidP="008D0946">
      <w:r>
        <w:rPr>
          <w:color w:val="000000" w:themeColor="text1"/>
        </w:rPr>
        <w:t xml:space="preserve">A summary of the likelihood, consequence and URE ratings obtained in each pest risk assessment is provided in </w:t>
      </w:r>
      <w:r>
        <w:rPr>
          <w:color w:val="000000" w:themeColor="text1"/>
        </w:rPr>
        <w:fldChar w:fldCharType="begin" w:fldLock="1"/>
      </w:r>
      <w:r>
        <w:rPr>
          <w:color w:val="000000" w:themeColor="text1"/>
        </w:rPr>
        <w:instrText xml:space="preserve"> REF _Ref86732910 \h </w:instrText>
      </w:r>
      <w:r>
        <w:rPr>
          <w:color w:val="000000" w:themeColor="text1"/>
        </w:rPr>
      </w:r>
      <w:r>
        <w:rPr>
          <w:color w:val="000000" w:themeColor="text1"/>
        </w:rPr>
        <w:fldChar w:fldCharType="separate"/>
      </w:r>
      <w:r>
        <w:t xml:space="preserve">Table </w:t>
      </w:r>
      <w:r>
        <w:rPr>
          <w:noProof/>
        </w:rPr>
        <w:t>3</w:t>
      </w:r>
      <w:r>
        <w:t>.</w:t>
      </w:r>
      <w:r>
        <w:rPr>
          <w:noProof/>
        </w:rPr>
        <w:t>7</w:t>
      </w:r>
      <w:r>
        <w:rPr>
          <w:color w:val="000000" w:themeColor="text1"/>
        </w:rPr>
        <w:fldChar w:fldCharType="end"/>
      </w:r>
      <w:r>
        <w:rPr>
          <w:color w:val="000000" w:themeColor="text1"/>
        </w:rPr>
        <w:t xml:space="preserve">. </w:t>
      </w:r>
      <w:r>
        <w:t xml:space="preserve">An overview of the decision process at the initiation, pest categorisation and pest risk assessment stages of this PRA is presented diagrammatically in </w:t>
      </w:r>
      <w:r>
        <w:fldChar w:fldCharType="begin" w:fldLock="1"/>
      </w:r>
      <w:r>
        <w:instrText xml:space="preserve"> REF _Ref90379611 \h </w:instrText>
      </w:r>
      <w:r>
        <w:fldChar w:fldCharType="separate"/>
      </w:r>
      <w:r>
        <w:t xml:space="preserve">Figure </w:t>
      </w:r>
      <w:r>
        <w:rPr>
          <w:noProof/>
        </w:rPr>
        <w:t>3</w:t>
      </w:r>
      <w:r>
        <w:t>.</w:t>
      </w:r>
      <w:r>
        <w:rPr>
          <w:noProof/>
        </w:rPr>
        <w:t>1</w:t>
      </w:r>
      <w:r>
        <w:fldChar w:fldCharType="end"/>
      </w:r>
      <w:r>
        <w:t>.</w:t>
      </w:r>
      <w:r w:rsidRPr="00832805">
        <w:rPr>
          <w:color w:val="000000" w:themeColor="text1"/>
        </w:rPr>
        <w:br w:type="page"/>
      </w:r>
    </w:p>
    <w:p w14:paraId="76D54A15" w14:textId="77777777" w:rsidR="00BC2F05" w:rsidRDefault="00772FB6" w:rsidP="008D0946">
      <w:pPr>
        <w:pStyle w:val="Heading3"/>
      </w:pPr>
      <w:bookmarkStart w:id="106" w:name="_Toc119493104"/>
      <w:r>
        <w:lastRenderedPageBreak/>
        <w:t>Fruit flies</w:t>
      </w:r>
      <w:bookmarkEnd w:id="106"/>
    </w:p>
    <w:p w14:paraId="6F8810D2" w14:textId="77777777" w:rsidR="00BC2F05" w:rsidRPr="002F2E44" w:rsidRDefault="00772FB6" w:rsidP="008D0946">
      <w:pPr>
        <w:rPr>
          <w:b/>
          <w:bCs/>
          <w:i/>
        </w:rPr>
      </w:pPr>
      <w:r>
        <w:rPr>
          <w:rStyle w:val="DefaultParagraphFontwithitalics"/>
          <w:b/>
          <w:bCs/>
        </w:rPr>
        <w:t xml:space="preserve">Bactrocera dorsalis </w:t>
      </w:r>
      <w:r>
        <w:rPr>
          <w:rStyle w:val="DefaultParagraphFontwithitalics"/>
          <w:b/>
          <w:bCs/>
          <w:iCs/>
        </w:rPr>
        <w:t xml:space="preserve">(EP) and </w:t>
      </w:r>
      <w:r>
        <w:rPr>
          <w:rStyle w:val="DefaultParagraphFontwithitalics"/>
          <w:b/>
          <w:bCs/>
        </w:rPr>
        <w:t xml:space="preserve">Zeugodacus cucurbitae </w:t>
      </w:r>
      <w:r>
        <w:rPr>
          <w:rStyle w:val="DefaultParagraphFontwithitalics"/>
          <w:b/>
          <w:bCs/>
          <w:iCs/>
        </w:rPr>
        <w:t>(EP)</w:t>
      </w:r>
    </w:p>
    <w:p w14:paraId="51FA389B" w14:textId="77777777" w:rsidR="00BC2F05" w:rsidRDefault="00772FB6" w:rsidP="008D0946">
      <w:pPr>
        <w:numPr>
          <w:ilvl w:val="1"/>
          <w:numId w:val="0"/>
        </w:numPr>
      </w:pPr>
      <w:r>
        <w:t>The species of fruit flies identified as quarantine pests associated with dragon fruit in the Philippines are Oriental fruit fly (</w:t>
      </w:r>
      <w:r w:rsidRPr="0062045D">
        <w:rPr>
          <w:i/>
          <w:iCs/>
        </w:rPr>
        <w:t>Bactrocera dorsalis</w:t>
      </w:r>
      <w:r>
        <w:t>) and</w:t>
      </w:r>
      <w:r w:rsidRPr="0062045D">
        <w:t xml:space="preserve"> </w:t>
      </w:r>
      <w:r>
        <w:t>melon fly (</w:t>
      </w:r>
      <w:r w:rsidRPr="0062045D">
        <w:rPr>
          <w:i/>
          <w:iCs/>
        </w:rPr>
        <w:t>Zeugodacus cucurbitae</w:t>
      </w:r>
      <w:r>
        <w:t>). These species</w:t>
      </w:r>
      <w:r w:rsidRPr="003C5B1A">
        <w:t xml:space="preserve"> </w:t>
      </w:r>
      <w:r w:rsidRPr="00595A2E">
        <w:t xml:space="preserve">belong to the </w:t>
      </w:r>
      <w:proofErr w:type="spellStart"/>
      <w:r w:rsidRPr="00595A2E">
        <w:t>Tephritidae</w:t>
      </w:r>
      <w:proofErr w:type="spellEnd"/>
      <w:r w:rsidRPr="00595A2E">
        <w:t xml:space="preserve"> family, a group of fruit flies considered to be among the most damaging pests of horticultural crops. These </w:t>
      </w:r>
      <w:r>
        <w:t>fruit fly</w:t>
      </w:r>
      <w:r w:rsidRPr="00595A2E">
        <w:t xml:space="preserve"> species have not been reported in Australia and therefore are </w:t>
      </w:r>
      <w:r>
        <w:t xml:space="preserve">quarantine </w:t>
      </w:r>
      <w:r w:rsidRPr="00595A2E">
        <w:t>pests for all of Australia.</w:t>
      </w:r>
    </w:p>
    <w:p w14:paraId="075A76F1" w14:textId="77777777" w:rsidR="00BC2F05" w:rsidRPr="00595A2E" w:rsidRDefault="00772FB6" w:rsidP="008D0946">
      <w:r>
        <w:t xml:space="preserve">In this assessment </w:t>
      </w:r>
      <w:r w:rsidRPr="00041244">
        <w:rPr>
          <w:i/>
          <w:iCs/>
        </w:rPr>
        <w:t>B</w:t>
      </w:r>
      <w:r>
        <w:rPr>
          <w:i/>
          <w:iCs/>
        </w:rPr>
        <w:t>.</w:t>
      </w:r>
      <w:r w:rsidRPr="00041244">
        <w:rPr>
          <w:i/>
          <w:iCs/>
        </w:rPr>
        <w:t xml:space="preserve"> </w:t>
      </w:r>
      <w:r>
        <w:rPr>
          <w:i/>
          <w:iCs/>
        </w:rPr>
        <w:t>dorsalis</w:t>
      </w:r>
      <w:r>
        <w:t xml:space="preserve"> and </w:t>
      </w:r>
      <w:r w:rsidRPr="00041244">
        <w:rPr>
          <w:i/>
          <w:iCs/>
        </w:rPr>
        <w:t>Z. cucurbitae</w:t>
      </w:r>
      <w:r>
        <w:t xml:space="preserve"> </w:t>
      </w:r>
      <w:r w:rsidRPr="00595A2E">
        <w:t xml:space="preserve">have been grouped together </w:t>
      </w:r>
      <w:r>
        <w:t>as they have common biological characteristics and are considered to pose similar risks</w:t>
      </w:r>
      <w:r w:rsidRPr="00595A2E">
        <w:t xml:space="preserve">. In this assessment, the term ‘fruit flies’ is used to refer to these </w:t>
      </w:r>
      <w:r>
        <w:t>2</w:t>
      </w:r>
      <w:r w:rsidRPr="00595A2E">
        <w:t xml:space="preserve"> species. The scientific name is used when the information is about a specific species.</w:t>
      </w:r>
    </w:p>
    <w:p w14:paraId="3491ACDB" w14:textId="77777777" w:rsidR="00BC2F05" w:rsidRPr="00595A2E" w:rsidRDefault="00772FB6" w:rsidP="008D0946">
      <w:proofErr w:type="gramStart"/>
      <w:r w:rsidRPr="00595A2E">
        <w:t>On the basis of</w:t>
      </w:r>
      <w:proofErr w:type="gramEnd"/>
      <w:r w:rsidRPr="00595A2E">
        <w:t xml:space="preserve"> phylogenetic </w:t>
      </w:r>
      <w:r w:rsidRPr="002455EA">
        <w:t>relationship analysis, melon fly (</w:t>
      </w:r>
      <w:r w:rsidRPr="002455EA">
        <w:rPr>
          <w:i/>
          <w:iCs/>
        </w:rPr>
        <w:t>B</w:t>
      </w:r>
      <w:r>
        <w:rPr>
          <w:i/>
          <w:iCs/>
        </w:rPr>
        <w:t>actrocera</w:t>
      </w:r>
      <w:r w:rsidRPr="002455EA">
        <w:rPr>
          <w:i/>
          <w:iCs/>
        </w:rPr>
        <w:t xml:space="preserve"> cucurbitae</w:t>
      </w:r>
      <w:r w:rsidRPr="002455EA">
        <w:t xml:space="preserve">) has been proposed to be placed in the genus </w:t>
      </w:r>
      <w:r w:rsidRPr="002455EA">
        <w:rPr>
          <w:i/>
          <w:iCs/>
        </w:rPr>
        <w:t xml:space="preserve">Zeugodacus </w:t>
      </w:r>
      <w:r>
        <w:rPr>
          <w:noProof/>
        </w:rPr>
        <w:t>(De Meyer et al. 2015; Virgilio et al. 2015)</w:t>
      </w:r>
      <w:r w:rsidRPr="002455EA">
        <w:t>. Current and past literature refers to melon fly under both the former (</w:t>
      </w:r>
      <w:r w:rsidRPr="002455EA">
        <w:rPr>
          <w:i/>
          <w:iCs/>
        </w:rPr>
        <w:t>B. cucurbitae</w:t>
      </w:r>
      <w:r w:rsidRPr="002455EA">
        <w:t>) and current (</w:t>
      </w:r>
      <w:r w:rsidRPr="002455EA">
        <w:rPr>
          <w:i/>
          <w:iCs/>
        </w:rPr>
        <w:t>Z. cucurbitae</w:t>
      </w:r>
      <w:r w:rsidRPr="002455EA">
        <w:t>) scientific names. This document refers</w:t>
      </w:r>
      <w:r w:rsidRPr="00595A2E">
        <w:t xml:space="preserve"> to melon fly as </w:t>
      </w:r>
      <w:r w:rsidRPr="00595A2E">
        <w:rPr>
          <w:i/>
          <w:iCs/>
        </w:rPr>
        <w:t>Z</w:t>
      </w:r>
      <w:r>
        <w:rPr>
          <w:i/>
          <w:iCs/>
        </w:rPr>
        <w:t>.</w:t>
      </w:r>
      <w:r w:rsidRPr="00595A2E">
        <w:rPr>
          <w:i/>
          <w:iCs/>
        </w:rPr>
        <w:t xml:space="preserve"> cucurbitae</w:t>
      </w:r>
      <w:r w:rsidRPr="00595A2E">
        <w:t>.</w:t>
      </w:r>
    </w:p>
    <w:p w14:paraId="53A114F7" w14:textId="77777777" w:rsidR="00BC2F05" w:rsidRPr="00595A2E" w:rsidRDefault="00772FB6" w:rsidP="008D0946">
      <w:r w:rsidRPr="00595A2E">
        <w:rPr>
          <w:i/>
          <w:iCs/>
        </w:rPr>
        <w:t xml:space="preserve">Bactrocera </w:t>
      </w:r>
      <w:r>
        <w:rPr>
          <w:i/>
          <w:iCs/>
        </w:rPr>
        <w:t xml:space="preserve">dorsalis </w:t>
      </w:r>
      <w:r w:rsidRPr="00595A2E">
        <w:t>and</w:t>
      </w:r>
      <w:r w:rsidRPr="00595A2E">
        <w:rPr>
          <w:i/>
          <w:iCs/>
        </w:rPr>
        <w:t xml:space="preserve"> Z. cucurbitae </w:t>
      </w:r>
      <w:r w:rsidRPr="00595A2E">
        <w:t xml:space="preserve">are reported to be present across </w:t>
      </w:r>
      <w:r>
        <w:t xml:space="preserve">the Philippines </w:t>
      </w:r>
      <w:r>
        <w:rPr>
          <w:noProof/>
        </w:rPr>
        <w:t>(CABI 2022; Hu et al. 2008)</w:t>
      </w:r>
      <w:r w:rsidRPr="00595A2E">
        <w:t>.</w:t>
      </w:r>
    </w:p>
    <w:p w14:paraId="65AE258A" w14:textId="77777777" w:rsidR="00BC2F05" w:rsidRPr="00C77F75" w:rsidRDefault="00772FB6" w:rsidP="008D0946">
      <w:proofErr w:type="spellStart"/>
      <w:r w:rsidRPr="00595A2E">
        <w:t>Tephritid</w:t>
      </w:r>
      <w:proofErr w:type="spellEnd"/>
      <w:r w:rsidRPr="00595A2E">
        <w:t xml:space="preserve"> fruit flies have </w:t>
      </w:r>
      <w:r>
        <w:t>4</w:t>
      </w:r>
      <w:r w:rsidRPr="00595A2E">
        <w:t xml:space="preserve"> life stages: egg, larva, </w:t>
      </w:r>
      <w:proofErr w:type="gramStart"/>
      <w:r w:rsidRPr="00595A2E">
        <w:t>pupa</w:t>
      </w:r>
      <w:proofErr w:type="gramEnd"/>
      <w:r w:rsidRPr="00595A2E">
        <w:t xml:space="preserve"> and adult. Over the course of </w:t>
      </w:r>
      <w:r>
        <w:t>an</w:t>
      </w:r>
      <w:r w:rsidRPr="00595A2E">
        <w:t xml:space="preserve"> adult female’s lifetime</w:t>
      </w:r>
      <w:r>
        <w:t>,</w:t>
      </w:r>
      <w:r w:rsidRPr="00595A2E">
        <w:t xml:space="preserve"> </w:t>
      </w:r>
      <w:r w:rsidRPr="00595A2E">
        <w:rPr>
          <w:i/>
          <w:iCs/>
        </w:rPr>
        <w:t xml:space="preserve">Z. cucurbitae </w:t>
      </w:r>
      <w:r w:rsidRPr="00595A2E">
        <w:t>can</w:t>
      </w:r>
      <w:r w:rsidRPr="00595A2E">
        <w:rPr>
          <w:i/>
          <w:iCs/>
        </w:rPr>
        <w:t xml:space="preserve"> </w:t>
      </w:r>
      <w:r w:rsidRPr="00595A2E">
        <w:t xml:space="preserve">lay up to 1,000 eggs and </w:t>
      </w:r>
      <w:r w:rsidRPr="007A0351">
        <w:rPr>
          <w:i/>
          <w:iCs/>
        </w:rPr>
        <w:t xml:space="preserve">B. dorsalis </w:t>
      </w:r>
      <w:r w:rsidRPr="00595A2E">
        <w:t xml:space="preserve">can lay </w:t>
      </w:r>
      <w:r>
        <w:t>between</w:t>
      </w:r>
      <w:r w:rsidRPr="00595A2E">
        <w:t xml:space="preserve"> </w:t>
      </w:r>
      <w:r>
        <w:t>1,200 and 1,500</w:t>
      </w:r>
      <w:r w:rsidRPr="00595A2E">
        <w:t xml:space="preserve"> eggs</w:t>
      </w:r>
      <w:r>
        <w:t xml:space="preserve"> </w:t>
      </w:r>
      <w:r>
        <w:rPr>
          <w:noProof/>
        </w:rPr>
        <w:t>(Gerson &amp; Applebaum 2014; Weems, Heppner &amp; Fasulo 2018)</w:t>
      </w:r>
      <w:r w:rsidRPr="00595A2E">
        <w:t>. Adult flies oviposit eggs below the fruit skin and hatched larvae feed within the fruit</w:t>
      </w:r>
      <w:r>
        <w:t xml:space="preserve"> </w:t>
      </w:r>
      <w:r>
        <w:rPr>
          <w:noProof/>
        </w:rPr>
        <w:t>(Fletcher 1989)</w:t>
      </w:r>
      <w:r w:rsidRPr="00595A2E">
        <w:t xml:space="preserve">. Upon maturity, fruit fly larvae drop to the ground and pupate in the soil, </w:t>
      </w:r>
      <w:r w:rsidRPr="00827FDC">
        <w:t xml:space="preserve">forming a tan/dark brown puparium </w:t>
      </w:r>
      <w:r>
        <w:rPr>
          <w:noProof/>
        </w:rPr>
        <w:t>(Christenson &amp; Foote 1960; Weems, Heppner &amp; Fasulo 2018)</w:t>
      </w:r>
      <w:r w:rsidRPr="00595A2E">
        <w:t>. Adult fruit flies can survive for more than a year and produce several generations annually, depend</w:t>
      </w:r>
      <w:r>
        <w:t>ing</w:t>
      </w:r>
      <w:r w:rsidRPr="00595A2E">
        <w:t xml:space="preserve"> on diet and temperature </w:t>
      </w:r>
      <w:r>
        <w:rPr>
          <w:noProof/>
        </w:rPr>
        <w:t>(Christenson &amp; Foote 1960; Weems, Heppner &amp; Fasulo 2018)</w:t>
      </w:r>
      <w:r>
        <w:t>.</w:t>
      </w:r>
      <w:r w:rsidRPr="002455EA">
        <w:t xml:space="preserve"> Fruit flies are primarily dispersed by transfer of infested fruit. However, adult flies of some species have a strong capacity for independent flight </w:t>
      </w:r>
      <w:r>
        <w:rPr>
          <w:noProof/>
        </w:rPr>
        <w:t>(Fletcher 1989; Qureshi et al. 1974)</w:t>
      </w:r>
      <w:r w:rsidRPr="00595A2E">
        <w:t>.</w:t>
      </w:r>
    </w:p>
    <w:p w14:paraId="64E308DB" w14:textId="77777777" w:rsidR="00BC2F05" w:rsidRPr="00C77F75" w:rsidRDefault="00772FB6" w:rsidP="008D0946">
      <w:r w:rsidRPr="00172703">
        <w:rPr>
          <w:rStyle w:val="DefaultParagraphFontwithitalics"/>
        </w:rPr>
        <w:t xml:space="preserve">Bactrocera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w:t>
      </w:r>
      <w:r>
        <w:t>have</w:t>
      </w:r>
      <w:r w:rsidRPr="00C77F75">
        <w:t xml:space="preserve"> been assessed previously in the existing </w:t>
      </w:r>
      <w:r>
        <w:t>policies</w:t>
      </w:r>
      <w:r w:rsidRPr="00C77F75">
        <w:t xml:space="preserve"> for </w:t>
      </w:r>
      <w:r>
        <w:t xml:space="preserve">dragon fruit from Vietnam </w:t>
      </w:r>
      <w:r>
        <w:rPr>
          <w:noProof/>
        </w:rPr>
        <w:t>(DAWR 2017b)</w:t>
      </w:r>
      <w:r>
        <w:t xml:space="preserve"> and Indonesia </w:t>
      </w:r>
      <w:r>
        <w:rPr>
          <w:noProof/>
        </w:rPr>
        <w:t>(DAWR 2018)</w:t>
      </w:r>
      <w:r>
        <w:t xml:space="preserve">. These fruit fly species have also been assessed previously in the existing policies for </w:t>
      </w:r>
      <w:proofErr w:type="gramStart"/>
      <w:r>
        <w:t>a number of</w:t>
      </w:r>
      <w:proofErr w:type="gramEnd"/>
      <w:r>
        <w:t xml:space="preserve"> other horticultural commodities, and most recently in longans and lychees from China and Thailand </w:t>
      </w:r>
      <w:r>
        <w:rPr>
          <w:noProof/>
        </w:rPr>
        <w:t>(DAFF 2004)</w:t>
      </w:r>
      <w:r w:rsidRPr="00C77F75">
        <w:t xml:space="preserve">. In </w:t>
      </w:r>
      <w:r>
        <w:t>those policies</w:t>
      </w:r>
      <w:r w:rsidRPr="00C77F75">
        <w:t xml:space="preserve">, the </w:t>
      </w:r>
      <w:r>
        <w:t>URE</w:t>
      </w:r>
      <w:r w:rsidRPr="00C77F75">
        <w:t xml:space="preserve"> for </w:t>
      </w:r>
      <w:r>
        <w:rPr>
          <w:rStyle w:val="DefaultParagraphFontwithitalics"/>
        </w:rPr>
        <w:t>B. </w:t>
      </w:r>
      <w:r w:rsidRPr="00172703">
        <w:rPr>
          <w:rStyle w:val="DefaultParagraphFontwithitalics"/>
        </w:rPr>
        <w:t xml:space="preserve">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was assessed as </w:t>
      </w:r>
      <w:r>
        <w:t>High</w:t>
      </w:r>
      <w:r w:rsidRPr="00C77F75">
        <w:t xml:space="preserve">, which </w:t>
      </w:r>
      <w:r>
        <w:t>does not achieve</w:t>
      </w:r>
      <w:r w:rsidRPr="00C77F75">
        <w:t xml:space="preserve"> the ALOP for Australia. Therefore, specific risk management measures are required for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on</w:t>
      </w:r>
      <w:r>
        <w:t xml:space="preserve"> those p</w:t>
      </w:r>
      <w:r w:rsidRPr="00C77F75">
        <w:t>athway</w:t>
      </w:r>
      <w:r>
        <w:t>s</w:t>
      </w:r>
      <w:r w:rsidRPr="00C77F75">
        <w:t>.</w:t>
      </w:r>
    </w:p>
    <w:p w14:paraId="74D79EB5" w14:textId="77777777" w:rsidR="00BC2F05" w:rsidRDefault="00772FB6" w:rsidP="008D0946">
      <w:r w:rsidRPr="00C77F75">
        <w:t xml:space="preserve">However, </w:t>
      </w:r>
      <w:r>
        <w:t xml:space="preserve">there may be </w:t>
      </w:r>
      <w:r w:rsidRPr="00C77F75">
        <w:t xml:space="preserve">differences </w:t>
      </w:r>
      <w:r>
        <w:t xml:space="preserve">between the previously assessed commodity/country pathways, and that of </w:t>
      </w:r>
      <w:fldSimple w:instr=" REF  commodity \* Lower  \* MERGEFORMAT " w:fldLock="1">
        <w:r>
          <w:t>dragon fruit</w:t>
        </w:r>
      </w:fldSimple>
      <w:r>
        <w:t xml:space="preserve"> from </w:t>
      </w:r>
      <w:fldSimple w:instr=" REF country  \* MERGEFORMAT " w:fldLock="1">
        <w:r>
          <w:t>the Philippines</w:t>
        </w:r>
      </w:fldSimple>
      <w:r>
        <w:t xml:space="preserve">. These potential differences </w:t>
      </w:r>
      <w:r w:rsidRPr="00C77F75">
        <w:t xml:space="preserve">make it necessary to re-assess the likelihood </w:t>
      </w:r>
      <w:r>
        <w:t>that</w:t>
      </w:r>
      <w:r w:rsidRPr="00C77F75">
        <w:t xml:space="preserve"> </w:t>
      </w:r>
      <w:r w:rsidRPr="0074236C">
        <w:rPr>
          <w:rStyle w:val="DefaultParagraphFontwithitalics"/>
          <w:iCs/>
        </w:rPr>
        <w:t>these pests</w:t>
      </w:r>
      <w:r w:rsidRPr="00C77F75">
        <w:rPr>
          <w:i/>
          <w:iCs/>
        </w:rPr>
        <w:t xml:space="preserve"> </w:t>
      </w:r>
      <w:r>
        <w:t xml:space="preserve">will arrive in Australia in a viable state on </w:t>
      </w:r>
      <w:r w:rsidRPr="00C77F75">
        <w:t>th</w:t>
      </w:r>
      <w:r>
        <w:t xml:space="preserve">e </w:t>
      </w:r>
      <w:r>
        <w:fldChar w:fldCharType="begin" w:fldLock="1"/>
      </w:r>
      <w:r>
        <w:instrText xml:space="preserve"> REF commodity \h  \* MERGEFORMAT </w:instrText>
      </w:r>
      <w:r>
        <w:fldChar w:fldCharType="separate"/>
      </w:r>
      <w:r>
        <w:t>dragon fruit</w:t>
      </w:r>
      <w:r>
        <w:fldChar w:fldCharType="end"/>
      </w:r>
      <w:r>
        <w:t xml:space="preserve"> </w:t>
      </w:r>
      <w:r w:rsidRPr="00C77F75">
        <w:t>fr</w:t>
      </w:r>
      <w:r>
        <w:t xml:space="preserve">om </w:t>
      </w:r>
      <w:r>
        <w:fldChar w:fldCharType="begin" w:fldLock="1"/>
      </w:r>
      <w:r>
        <w:instrText xml:space="preserve"> REF country \h  \* MERGEFORMAT </w:instrText>
      </w:r>
      <w:r>
        <w:fldChar w:fldCharType="separate"/>
      </w:r>
      <w:r>
        <w:t>the Philippines</w:t>
      </w:r>
      <w:r>
        <w:fldChar w:fldCharType="end"/>
      </w:r>
      <w:r w:rsidRPr="00C77F75">
        <w:t xml:space="preserve"> pathway</w:t>
      </w:r>
      <w:r>
        <w:t>, as presented in section 3.4.1</w:t>
      </w:r>
      <w:r w:rsidRPr="00C77F75">
        <w:t>.</w:t>
      </w:r>
      <w:r>
        <w:t>Previous</w:t>
      </w:r>
      <w:r w:rsidRPr="00C77F75">
        <w:t xml:space="preserve"> assessment</w:t>
      </w:r>
      <w:r>
        <w:t>s</w:t>
      </w:r>
      <w:r w:rsidRPr="00C77F75">
        <w:t xml:space="preserve"> </w:t>
      </w:r>
      <w:r>
        <w:t>for</w:t>
      </w:r>
      <w:r w:rsidRPr="00C77F75">
        <w:t xml:space="preserve">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w:t>
      </w:r>
      <w:r>
        <w:t>in the existing policies</w:t>
      </w:r>
      <w:r w:rsidRPr="00C77F75">
        <w:t xml:space="preserve"> rated the likelihood of distribution as </w:t>
      </w:r>
      <w:r>
        <w:t>High.</w:t>
      </w:r>
    </w:p>
    <w:p w14:paraId="0EF08E34" w14:textId="77777777" w:rsidR="00BC2F05" w:rsidRPr="00C77F75" w:rsidRDefault="000C0A09" w:rsidP="008D0946">
      <w:r>
        <w:lastRenderedPageBreak/>
        <w:fldChar w:fldCharType="begin" w:fldLock="1"/>
      </w:r>
      <w:r>
        <w:instrText xml:space="preserve"> REF  commodity \* FirstCap  \* MERGEFORMAT </w:instrText>
      </w:r>
      <w:r>
        <w:fldChar w:fldCharType="separate"/>
      </w:r>
      <w:r w:rsidR="00772FB6">
        <w:t>Dragon fruit</w:t>
      </w:r>
      <w:r>
        <w:fldChar w:fldCharType="end"/>
      </w:r>
      <w:r w:rsidR="00772FB6">
        <w:t xml:space="preserve"> </w:t>
      </w:r>
      <w:r w:rsidR="00772FB6" w:rsidRPr="00C77F75">
        <w:t>fr</w:t>
      </w:r>
      <w:r w:rsidR="00772FB6">
        <w:t xml:space="preserve">om </w:t>
      </w:r>
      <w:r w:rsidR="00772FB6">
        <w:fldChar w:fldCharType="begin" w:fldLock="1"/>
      </w:r>
      <w:r w:rsidR="00772FB6">
        <w:instrText xml:space="preserve"> REF country \h  \* MERGEFORMAT </w:instrText>
      </w:r>
      <w:r w:rsidR="00772FB6">
        <w:fldChar w:fldCharType="separate"/>
      </w:r>
      <w:r w:rsidR="00772FB6">
        <w:t>the Philippines</w:t>
      </w:r>
      <w:r w:rsidR="00772FB6">
        <w:fldChar w:fldCharType="end"/>
      </w:r>
      <w:r w:rsidR="00772FB6" w:rsidRPr="00C77F75">
        <w:t xml:space="preserve"> are expected to be distributed in </w:t>
      </w:r>
      <w:r w:rsidR="00772FB6">
        <w:t>Australia</w:t>
      </w:r>
      <w:r w:rsidR="00772FB6" w:rsidRPr="00C77F75">
        <w:t xml:space="preserve"> in a similar way to </w:t>
      </w:r>
      <w:r w:rsidR="00772FB6">
        <w:t>the previously assessed commodity/country pathways</w:t>
      </w:r>
      <w:r w:rsidR="00772FB6" w:rsidRPr="00C77F75">
        <w:t xml:space="preserve">. On this basis, the </w:t>
      </w:r>
      <w:r w:rsidR="00772FB6">
        <w:t xml:space="preserve">same </w:t>
      </w:r>
      <w:r w:rsidR="00772FB6" w:rsidRPr="00C77F75">
        <w:t xml:space="preserve">rating of </w:t>
      </w:r>
      <w:r w:rsidR="00772FB6">
        <w:t>High</w:t>
      </w:r>
      <w:r w:rsidR="00772FB6" w:rsidRPr="00C77F75">
        <w:t xml:space="preserve"> </w:t>
      </w:r>
      <w:r w:rsidR="00772FB6">
        <w:t xml:space="preserve">for the likelihood of distribution for </w:t>
      </w:r>
      <w:r w:rsidR="00772FB6" w:rsidRPr="00277DC3">
        <w:rPr>
          <w:rStyle w:val="DefaultParagraphFontwithitalics"/>
          <w:iCs/>
        </w:rPr>
        <w:t>fruit flies</w:t>
      </w:r>
      <w:r w:rsidR="00772FB6">
        <w:t xml:space="preserve"> in previous assessments is adopted for </w:t>
      </w:r>
      <w:r w:rsidR="00772FB6" w:rsidRPr="00C77F75">
        <w:t>th</w:t>
      </w:r>
      <w:r w:rsidR="00772FB6">
        <w:t xml:space="preserve">e </w:t>
      </w:r>
      <w:r w:rsidR="00772FB6">
        <w:fldChar w:fldCharType="begin" w:fldLock="1"/>
      </w:r>
      <w:r w:rsidR="00772FB6">
        <w:instrText xml:space="preserve"> REF commodity \h  \* MERGEFORMAT </w:instrText>
      </w:r>
      <w:r w:rsidR="00772FB6">
        <w:fldChar w:fldCharType="separate"/>
      </w:r>
      <w:r w:rsidR="00772FB6">
        <w:t>dragon fruit</w:t>
      </w:r>
      <w:r w:rsidR="00772FB6">
        <w:fldChar w:fldCharType="end"/>
      </w:r>
      <w:r w:rsidR="00772FB6">
        <w:t xml:space="preserve"> </w:t>
      </w:r>
      <w:r w:rsidR="00772FB6" w:rsidRPr="00C77F75">
        <w:t>fro</w:t>
      </w:r>
      <w:r w:rsidR="00772FB6">
        <w:t xml:space="preserve">m </w:t>
      </w:r>
      <w:r w:rsidR="00772FB6">
        <w:fldChar w:fldCharType="begin" w:fldLock="1"/>
      </w:r>
      <w:r w:rsidR="00772FB6">
        <w:instrText xml:space="preserve"> REF country \h  \* MERGEFORMAT </w:instrText>
      </w:r>
      <w:r w:rsidR="00772FB6">
        <w:fldChar w:fldCharType="separate"/>
      </w:r>
      <w:r w:rsidR="00772FB6">
        <w:t>the Philippines</w:t>
      </w:r>
      <w:r w:rsidR="00772FB6">
        <w:fldChar w:fldCharType="end"/>
      </w:r>
      <w:r w:rsidR="00772FB6">
        <w:t xml:space="preserve"> </w:t>
      </w:r>
      <w:r w:rsidR="00772FB6" w:rsidRPr="00C77F75">
        <w:t>pathway.</w:t>
      </w:r>
    </w:p>
    <w:p w14:paraId="3D8C0B86" w14:textId="77777777" w:rsidR="00BC2F05" w:rsidRPr="00C77F75" w:rsidRDefault="00772FB6" w:rsidP="008D0946">
      <w:r w:rsidRPr="00C77F75">
        <w:t xml:space="preserve">The likelihoods of establishment and spread of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in </w:t>
      </w:r>
      <w:r>
        <w:t>Australia</w:t>
      </w:r>
      <w:r w:rsidRPr="00C77F75">
        <w:t xml:space="preserve"> from th</w:t>
      </w:r>
      <w:r>
        <w:t xml:space="preserve">e </w:t>
      </w:r>
      <w:r>
        <w:fldChar w:fldCharType="begin" w:fldLock="1"/>
      </w:r>
      <w:r>
        <w:instrText xml:space="preserve"> REF commodity \h  \* MERGEFORMAT </w:instrText>
      </w:r>
      <w:r>
        <w:fldChar w:fldCharType="separate"/>
      </w:r>
      <w:r>
        <w:t>dragon fruit</w:t>
      </w:r>
      <w:r>
        <w:fldChar w:fldCharType="end"/>
      </w:r>
      <w:r>
        <w:t xml:space="preserve"> </w:t>
      </w:r>
      <w:r w:rsidRPr="00C77F75">
        <w:t>from</w:t>
      </w:r>
      <w:r>
        <w:t xml:space="preserve"> </w:t>
      </w:r>
      <w:r>
        <w:fldChar w:fldCharType="begin" w:fldLock="1"/>
      </w:r>
      <w:r>
        <w:instrText xml:space="preserve"> REF country \h  \* MERGEFORMAT </w:instrText>
      </w:r>
      <w:r>
        <w:fldChar w:fldCharType="separate"/>
      </w:r>
      <w:r>
        <w:t>the Philippines</w:t>
      </w:r>
      <w:r>
        <w:fldChar w:fldCharType="end"/>
      </w:r>
      <w:r>
        <w:t xml:space="preserve"> </w:t>
      </w:r>
      <w:r w:rsidRPr="00C77F75">
        <w:t xml:space="preserve">pathway </w:t>
      </w:r>
      <w:r>
        <w:t>have</w:t>
      </w:r>
      <w:r w:rsidRPr="00C77F75">
        <w:t xml:space="preserve"> been assessed as similar to those of the previous assessments of </w:t>
      </w:r>
      <w:r>
        <w:t>High</w:t>
      </w:r>
      <w:r w:rsidRPr="00C77F75">
        <w:t xml:space="preserve"> and </w:t>
      </w:r>
      <w:r>
        <w:t>High,</w:t>
      </w:r>
      <w:r w:rsidRPr="00C77F75">
        <w:t xml:space="preserve"> respectively. Those likelihoods relate specifically to events that occur in </w:t>
      </w:r>
      <w:r>
        <w:t>Australia</w:t>
      </w:r>
      <w:r w:rsidRPr="00C77F75">
        <w:t xml:space="preserve"> and are essentially independent of the import pathway. The consequences of </w:t>
      </w:r>
      <w:r>
        <w:t xml:space="preserve">the </w:t>
      </w:r>
      <w:r w:rsidRPr="00C77F75">
        <w:t xml:space="preserve">entry, establishment and spread of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 cucurbitae</w:t>
      </w:r>
      <w:r w:rsidRPr="00C77F75">
        <w:t xml:space="preserve"> in </w:t>
      </w:r>
      <w:r>
        <w:t>Australia</w:t>
      </w:r>
      <w:r w:rsidRPr="00C77F75">
        <w:t xml:space="preserve"> are also independent of the import pathway and have been assessed as being </w:t>
      </w:r>
      <w:proofErr w:type="gramStart"/>
      <w:r w:rsidRPr="00C77F75">
        <w:t xml:space="preserve">similar </w:t>
      </w:r>
      <w:r>
        <w:t>to</w:t>
      </w:r>
      <w:proofErr w:type="gramEnd"/>
      <w:r>
        <w:t xml:space="preserve"> those previous</w:t>
      </w:r>
      <w:r w:rsidRPr="00C77F75">
        <w:t xml:space="preserve"> risk assessments</w:t>
      </w:r>
      <w:r>
        <w:t xml:space="preserve"> of</w:t>
      </w:r>
      <w:r w:rsidRPr="00C77F75">
        <w:t xml:space="preserve"> </w:t>
      </w:r>
      <w:r>
        <w:t>High</w:t>
      </w:r>
      <w:r w:rsidRPr="00C77F75">
        <w:t>.</w:t>
      </w:r>
      <w:r>
        <w:t xml:space="preserve"> The existing ratings for the likelihoods of establishment and spread, and the rating for the overall consequences for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t xml:space="preserve"> in previous assessments have been adopted for the </w:t>
      </w:r>
      <w:fldSimple w:instr=" REF  commodity \* Lower  \* MERGEFORMAT " w:fldLock="1">
        <w:r>
          <w:t>dragon fruit</w:t>
        </w:r>
      </w:fldSimple>
      <w:r>
        <w:t xml:space="preserve"> from </w:t>
      </w:r>
      <w:fldSimple w:instr=" REF country  \* MERGEFORMAT " w:fldLock="1">
        <w:r>
          <w:t>the Philippines</w:t>
        </w:r>
      </w:fldSimple>
      <w:r>
        <w:t xml:space="preserve"> pathway.</w:t>
      </w:r>
    </w:p>
    <w:p w14:paraId="40A2FB15" w14:textId="77777777" w:rsidR="00BC2F05" w:rsidRPr="00C77F75" w:rsidRDefault="00772FB6" w:rsidP="008D0946">
      <w:r w:rsidRPr="00C77F75">
        <w:t xml:space="preserve">In addition, the department has reviewed the latest literature—for example, </w:t>
      </w:r>
      <w:r>
        <w:rPr>
          <w:noProof/>
          <w:color w:val="000000" w:themeColor="text1"/>
        </w:rPr>
        <w:t>Follett, Haynes &amp; Dominiak 2021; Hicks et al. 2019; Huang et al. 2020; Lian et al. 2021; Zhao et al. 2021</w:t>
      </w:r>
      <w:r>
        <w:rPr>
          <w:color w:val="000000" w:themeColor="text1"/>
        </w:rPr>
        <w:t>. N</w:t>
      </w:r>
      <w:r w:rsidRPr="00C77F75">
        <w:t xml:space="preserve">o new information has been identified that would significantly change the risk ratings for distribution, establishment, spread </w:t>
      </w:r>
      <w:r>
        <w:t>or</w:t>
      </w:r>
      <w:r w:rsidRPr="00C77F75">
        <w:t xml:space="preserve"> consequences as set out for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in the existing polic</w:t>
      </w:r>
      <w:r>
        <w:t>ies</w:t>
      </w:r>
      <w:r w:rsidRPr="00C77F75">
        <w:t>.</w:t>
      </w:r>
    </w:p>
    <w:p w14:paraId="47872195" w14:textId="77777777" w:rsidR="00BC2F05" w:rsidRPr="00C77F75" w:rsidRDefault="00772FB6" w:rsidP="008D0946">
      <w:r w:rsidRPr="00C77F75">
        <w:t xml:space="preserve">The risk scenario of biosecurity concern is </w:t>
      </w:r>
      <w:r>
        <w:t xml:space="preserve">that </w:t>
      </w:r>
      <w:r w:rsidRPr="00DE7DAC">
        <w:t>fruit fly</w:t>
      </w:r>
      <w:r>
        <w:t xml:space="preserve"> eggs or larvae may be present within dragon fruit imported from the Philippines</w:t>
      </w:r>
      <w:r w:rsidRPr="00C77F75">
        <w:t>.</w:t>
      </w:r>
    </w:p>
    <w:p w14:paraId="26201983" w14:textId="77777777" w:rsidR="00BC2F05" w:rsidRDefault="00772FB6" w:rsidP="008D0946">
      <w:pPr>
        <w:pStyle w:val="Heading4"/>
      </w:pPr>
      <w:r w:rsidRPr="00A53192">
        <w:t>Likelihood of</w:t>
      </w:r>
      <w:r>
        <w:t xml:space="preserve"> entry</w:t>
      </w:r>
    </w:p>
    <w:p w14:paraId="387F7BE6" w14:textId="77777777" w:rsidR="00BC2F05" w:rsidRPr="00E25E41" w:rsidRDefault="00772FB6" w:rsidP="008D0946">
      <w:r>
        <w:t>The likelihood of entry is considered in 2 parts, the likelihood of importation and the likelihood of distribution, which consider pre-border and post-border issues, respectively.</w:t>
      </w:r>
    </w:p>
    <w:p w14:paraId="0DC10112" w14:textId="77777777" w:rsidR="00BC2F05" w:rsidRPr="00671D9A" w:rsidRDefault="00772FB6" w:rsidP="008D0946">
      <w:pPr>
        <w:keepNext/>
        <w:rPr>
          <w:rStyle w:val="Strong"/>
        </w:rPr>
      </w:pPr>
      <w:r w:rsidRPr="00671D9A">
        <w:rPr>
          <w:rStyle w:val="Strong"/>
        </w:rPr>
        <w:t>Likelihood of importation</w:t>
      </w:r>
    </w:p>
    <w:p w14:paraId="4052D333" w14:textId="77777777" w:rsidR="00BC2F05" w:rsidRPr="00C77F75" w:rsidRDefault="00772FB6" w:rsidP="008D0946">
      <w:r w:rsidRPr="00C77F75">
        <w:t xml:space="preserve">The likelihood that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will arrive in </w:t>
      </w:r>
      <w:r>
        <w:t>Australia</w:t>
      </w:r>
      <w:r w:rsidRPr="00C77F75">
        <w:t xml:space="preserve"> in a viable state with the importation o</w:t>
      </w:r>
      <w:r>
        <w:t xml:space="preserve">f </w:t>
      </w:r>
      <w:r>
        <w:fldChar w:fldCharType="begin" w:fldLock="1"/>
      </w:r>
      <w:r>
        <w:instrText xml:space="preserve"> REF commodity \h  \* MERGEFORMAT </w:instrText>
      </w:r>
      <w:r>
        <w:fldChar w:fldCharType="separate"/>
      </w:r>
      <w:r>
        <w:t>dragon fruit</w:t>
      </w:r>
      <w:r>
        <w:fldChar w:fldCharType="end"/>
      </w:r>
      <w:r>
        <w:t xml:space="preserve"> </w:t>
      </w:r>
      <w:r w:rsidRPr="00C77F75">
        <w:t>fro</w:t>
      </w:r>
      <w:r>
        <w:t xml:space="preserve">m </w:t>
      </w:r>
      <w:r>
        <w:fldChar w:fldCharType="begin" w:fldLock="1"/>
      </w:r>
      <w:r>
        <w:instrText xml:space="preserve"> REF country \h  \* MERGEFORMAT </w:instrText>
      </w:r>
      <w:r>
        <w:fldChar w:fldCharType="separate"/>
      </w:r>
      <w:r>
        <w:t>the Philippines</w:t>
      </w:r>
      <w:r>
        <w:fldChar w:fldCharType="end"/>
      </w:r>
      <w:r>
        <w:t xml:space="preserve"> </w:t>
      </w:r>
      <w:r w:rsidRPr="00C77F75">
        <w:t xml:space="preserve">is assessed as: </w:t>
      </w:r>
      <w:r>
        <w:rPr>
          <w:b/>
        </w:rPr>
        <w:t>High</w:t>
      </w:r>
      <w:r w:rsidRPr="00C77F75">
        <w:t>.</w:t>
      </w:r>
    </w:p>
    <w:p w14:paraId="447D2631" w14:textId="77777777" w:rsidR="00BC2F05" w:rsidRDefault="00772FB6" w:rsidP="008D0946">
      <w:r>
        <w:t xml:space="preserve">The likelihood of importation is assessed as High because dragon fruit is recorded as being a preferred host for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Pr>
          <w:iCs/>
        </w:rPr>
        <w:t xml:space="preserve">. In the locations where these species are present in dragon fruit orchards, they have been recorded infesting a high proportion of the crop. Due to the high level of </w:t>
      </w:r>
      <w:proofErr w:type="gramStart"/>
      <w:r>
        <w:rPr>
          <w:iCs/>
        </w:rPr>
        <w:t>infestation</w:t>
      </w:r>
      <w:proofErr w:type="gramEnd"/>
      <w:r>
        <w:rPr>
          <w:iCs/>
        </w:rPr>
        <w:t xml:space="preserve"> it is highly likely the various life stages of the fruit flies will be present in commercially grown fruit. It is possible that early stages of infestation may not show visible symptoms and that immature life stages could survive in transported fruit. </w:t>
      </w:r>
    </w:p>
    <w:p w14:paraId="102EF767" w14:textId="77777777" w:rsidR="00BC2F05" w:rsidRPr="00C77F75" w:rsidRDefault="00772FB6" w:rsidP="008D0946">
      <w:r w:rsidRPr="00C77F75">
        <w:t>The following information provides supporting evidence for this assessment.</w:t>
      </w:r>
    </w:p>
    <w:p w14:paraId="74D5D679" w14:textId="77777777" w:rsidR="00BC2F05" w:rsidRPr="009B4060" w:rsidRDefault="00772FB6" w:rsidP="008D0946">
      <w:r>
        <w:t xml:space="preserve">Dragon fruit is a suitable host for </w:t>
      </w:r>
      <w:r>
        <w:rPr>
          <w:i/>
        </w:rPr>
        <w:t>B.</w:t>
      </w:r>
      <w:r w:rsidRPr="0074236C">
        <w:rPr>
          <w:i/>
        </w:rPr>
        <w:t xml:space="preserve"> dorsalis </w:t>
      </w:r>
      <w:r w:rsidRPr="0053651E">
        <w:rPr>
          <w:iCs/>
        </w:rPr>
        <w:t>and</w:t>
      </w:r>
      <w:r w:rsidRPr="0074236C">
        <w:rPr>
          <w:i/>
        </w:rPr>
        <w:t xml:space="preserve"> </w:t>
      </w:r>
      <w:r>
        <w:rPr>
          <w:i/>
        </w:rPr>
        <w:t>Z. </w:t>
      </w:r>
      <w:r w:rsidRPr="0074236C">
        <w:rPr>
          <w:i/>
        </w:rPr>
        <w:t>cucurbitae</w:t>
      </w:r>
      <w:r>
        <w:t>.</w:t>
      </w:r>
    </w:p>
    <w:p w14:paraId="4A91D8AB" w14:textId="77777777" w:rsidR="00BC2F05" w:rsidRDefault="00772FB6" w:rsidP="00BC2F05">
      <w:pPr>
        <w:pStyle w:val="ListBullet"/>
      </w:pPr>
      <w:r w:rsidRPr="0074236C">
        <w:t xml:space="preserve">Dragon fruit has been reported as being a good and very good host for </w:t>
      </w:r>
      <w:r>
        <w:rPr>
          <w:i/>
        </w:rPr>
        <w:t>B.</w:t>
      </w:r>
      <w:r w:rsidRPr="0074236C">
        <w:rPr>
          <w:i/>
        </w:rPr>
        <w:t xml:space="preserve"> dorsalis </w:t>
      </w:r>
      <w:r w:rsidRPr="0053651E">
        <w:rPr>
          <w:iCs/>
        </w:rPr>
        <w:t>and</w:t>
      </w:r>
      <w:r w:rsidRPr="0074236C">
        <w:rPr>
          <w:i/>
        </w:rPr>
        <w:t xml:space="preserve"> </w:t>
      </w:r>
      <w:r>
        <w:rPr>
          <w:i/>
        </w:rPr>
        <w:t>Z. </w:t>
      </w:r>
      <w:r w:rsidRPr="0074236C">
        <w:rPr>
          <w:i/>
        </w:rPr>
        <w:t>cucurbitae</w:t>
      </w:r>
      <w:r>
        <w:rPr>
          <w:iCs/>
        </w:rPr>
        <w:t>,</w:t>
      </w:r>
      <w:r w:rsidRPr="0074236C">
        <w:rPr>
          <w:i/>
        </w:rPr>
        <w:t xml:space="preserve"> </w:t>
      </w:r>
      <w:r w:rsidRPr="0074236C">
        <w:rPr>
          <w:iCs/>
        </w:rPr>
        <w:t>respectively</w:t>
      </w:r>
      <w:r w:rsidRPr="0074236C">
        <w:rPr>
          <w:i/>
        </w:rPr>
        <w:t xml:space="preserve"> </w:t>
      </w:r>
      <w:r>
        <w:rPr>
          <w:noProof/>
        </w:rPr>
        <w:t>(Follett, Haynes &amp; Dominiak 2021)</w:t>
      </w:r>
      <w:r w:rsidRPr="0074236C">
        <w:t xml:space="preserve">, with in-field host suitability studies in Hawaii finding up to 30% of sampled </w:t>
      </w:r>
      <w:r>
        <w:t xml:space="preserve">dragon </w:t>
      </w:r>
      <w:r w:rsidRPr="0074236C">
        <w:t xml:space="preserve">fruit being infested with these fruit flies </w:t>
      </w:r>
      <w:r>
        <w:rPr>
          <w:noProof/>
        </w:rPr>
        <w:t>(McQuate 2010)</w:t>
      </w:r>
      <w:r w:rsidRPr="0074236C">
        <w:t>.</w:t>
      </w:r>
    </w:p>
    <w:p w14:paraId="5831E393" w14:textId="77777777" w:rsidR="00BC2F05" w:rsidRPr="009B4060" w:rsidRDefault="00772FB6" w:rsidP="008D0946">
      <w:r w:rsidRPr="0074236C">
        <w:rPr>
          <w:i/>
          <w:iCs/>
        </w:rPr>
        <w:t>B</w:t>
      </w:r>
      <w:r>
        <w:rPr>
          <w:i/>
          <w:iCs/>
        </w:rPr>
        <w:t xml:space="preserve">actrocera </w:t>
      </w:r>
      <w:r w:rsidRPr="0074236C">
        <w:rPr>
          <w:i/>
          <w:iCs/>
        </w:rPr>
        <w:t>dorsalis</w:t>
      </w:r>
      <w:r>
        <w:rPr>
          <w:i/>
          <w:iCs/>
        </w:rPr>
        <w:t xml:space="preserve"> </w:t>
      </w:r>
      <w:r>
        <w:t xml:space="preserve">and </w:t>
      </w:r>
      <w:r>
        <w:rPr>
          <w:i/>
          <w:iCs/>
        </w:rPr>
        <w:t xml:space="preserve">Z. cucurbitae </w:t>
      </w:r>
      <w:r>
        <w:t>are commonly found infesting dragon fruit in regions including Vietnam, the Philippines and Hawaii.</w:t>
      </w:r>
    </w:p>
    <w:p w14:paraId="0CF454DF" w14:textId="77777777" w:rsidR="00BC2F05" w:rsidRDefault="00772FB6" w:rsidP="00BC2F05">
      <w:pPr>
        <w:pStyle w:val="ListBullet"/>
      </w:pPr>
      <w:r w:rsidRPr="0074236C">
        <w:lastRenderedPageBreak/>
        <w:t xml:space="preserve">In Vietnam, </w:t>
      </w:r>
      <w:r w:rsidRPr="0074236C">
        <w:rPr>
          <w:i/>
          <w:iCs/>
        </w:rPr>
        <w:t>B.</w:t>
      </w:r>
      <w:r>
        <w:rPr>
          <w:i/>
          <w:iCs/>
        </w:rPr>
        <w:t xml:space="preserve"> </w:t>
      </w:r>
      <w:r w:rsidRPr="0074236C">
        <w:rPr>
          <w:i/>
          <w:iCs/>
        </w:rPr>
        <w:t>dorsalis</w:t>
      </w:r>
      <w:r w:rsidRPr="0074236C">
        <w:t xml:space="preserve"> has been reported as being one of the most economically important pests of dragon fruit </w:t>
      </w:r>
      <w:r>
        <w:rPr>
          <w:noProof/>
        </w:rPr>
        <w:t>(Khanh et al. 2016)</w:t>
      </w:r>
      <w:r w:rsidRPr="0074236C">
        <w:t xml:space="preserve"> infesting up to 28% of dragon fruit in areas where no control measures are applied </w:t>
      </w:r>
      <w:r>
        <w:rPr>
          <w:noProof/>
        </w:rPr>
        <w:t>(Hien et al. 2020)</w:t>
      </w:r>
      <w:r w:rsidRPr="0074236C">
        <w:t xml:space="preserve">. </w:t>
      </w:r>
    </w:p>
    <w:p w14:paraId="1468BA05" w14:textId="77777777" w:rsidR="00BC2F05" w:rsidRDefault="00772FB6" w:rsidP="00BC2F05">
      <w:pPr>
        <w:pStyle w:val="ListBullet"/>
      </w:pPr>
      <w:r>
        <w:t xml:space="preserve">In Hawaii, </w:t>
      </w:r>
      <w:r w:rsidRPr="0053651E">
        <w:rPr>
          <w:i/>
          <w:iCs/>
        </w:rPr>
        <w:t>Z. cucurbitae</w:t>
      </w:r>
      <w:r>
        <w:t xml:space="preserve"> was found infesting 8% of randomly sampled mature dragon fruit from an orchard at the end of the fruiting season, with infestation rates being equivalent to approximately 100 pupae per kilogram on average </w:t>
      </w:r>
      <w:r>
        <w:rPr>
          <w:noProof/>
        </w:rPr>
        <w:t>(McQuate 2010)</w:t>
      </w:r>
      <w:r>
        <w:t>.</w:t>
      </w:r>
    </w:p>
    <w:p w14:paraId="10B4FE7A" w14:textId="77777777" w:rsidR="00BC2F05" w:rsidRPr="00AE5151" w:rsidRDefault="00772FB6" w:rsidP="00BC2F05">
      <w:pPr>
        <w:pStyle w:val="ListBullet"/>
      </w:pPr>
      <w:r w:rsidRPr="0074236C">
        <w:t xml:space="preserve">In the Philippines, an in-field insect monitoring study trapped </w:t>
      </w:r>
      <w:proofErr w:type="gramStart"/>
      <w:r w:rsidRPr="0074236C">
        <w:t>a large number of</w:t>
      </w:r>
      <w:proofErr w:type="gramEnd"/>
      <w:r w:rsidRPr="0074236C">
        <w:t xml:space="preserve"> </w:t>
      </w:r>
      <w:r w:rsidRPr="0074236C">
        <w:rPr>
          <w:i/>
          <w:iCs/>
        </w:rPr>
        <w:t>B. dorsalis</w:t>
      </w:r>
      <w:r w:rsidRPr="0074236C">
        <w:t xml:space="preserve"> </w:t>
      </w:r>
      <w:r>
        <w:t xml:space="preserve">flies </w:t>
      </w:r>
      <w:r w:rsidRPr="0074236C">
        <w:t xml:space="preserve">in dragon fruit plantations during the fruiting stage </w:t>
      </w:r>
      <w:r>
        <w:rPr>
          <w:noProof/>
        </w:rPr>
        <w:t>(Estigoy &amp; Estigoy 2015)</w:t>
      </w:r>
      <w:r w:rsidRPr="0074236C">
        <w:t xml:space="preserve">. Twenty-five percent of damaged fruit in this survey were found to be heavily infested by the </w:t>
      </w:r>
      <w:r>
        <w:t>species</w:t>
      </w:r>
      <w:r w:rsidRPr="0074236C">
        <w:t xml:space="preserve"> </w:t>
      </w:r>
      <w:r>
        <w:rPr>
          <w:noProof/>
        </w:rPr>
        <w:t>(Estigoy &amp; Estigoy 2015)</w:t>
      </w:r>
      <w:r w:rsidRPr="0074236C">
        <w:t xml:space="preserve">. </w:t>
      </w:r>
    </w:p>
    <w:p w14:paraId="0A934BB1" w14:textId="77777777" w:rsidR="00BC2F05" w:rsidRPr="009B4060" w:rsidRDefault="00772FB6" w:rsidP="008D0946">
      <w:pPr>
        <w:keepNext/>
      </w:pPr>
      <w:r w:rsidRPr="00945121">
        <w:t xml:space="preserve">Feeding damage on infested </w:t>
      </w:r>
      <w:r>
        <w:t>dragon fruit</w:t>
      </w:r>
      <w:r w:rsidRPr="00945121">
        <w:t xml:space="preserve"> may not be immediately obvious and infested fruit may remain undetected during harvest and post-harvest procedures.</w:t>
      </w:r>
    </w:p>
    <w:p w14:paraId="4FCB6FB6" w14:textId="77777777" w:rsidR="00BC2F05" w:rsidRDefault="00772FB6" w:rsidP="00BC2F05">
      <w:pPr>
        <w:pStyle w:val="ListBullet"/>
      </w:pPr>
      <w:r w:rsidRPr="0074236C">
        <w:t xml:space="preserve">Fruit flies lay their eggs beneath the skin of the fruit, taking advantage of crevices, pre-existing </w:t>
      </w:r>
      <w:proofErr w:type="gramStart"/>
      <w:r w:rsidRPr="0074236C">
        <w:t>damage</w:t>
      </w:r>
      <w:proofErr w:type="gramEnd"/>
      <w:r w:rsidRPr="0074236C">
        <w:t xml:space="preserve"> and</w:t>
      </w:r>
      <w:r>
        <w:t xml:space="preserve"> other</w:t>
      </w:r>
      <w:r w:rsidRPr="0074236C">
        <w:t xml:space="preserve"> oviposition sites </w:t>
      </w:r>
      <w:r>
        <w:rPr>
          <w:noProof/>
        </w:rPr>
        <w:t>(Bateman 1972)</w:t>
      </w:r>
      <w:r w:rsidRPr="0074236C">
        <w:t>. Fruit infested with fruit fly larvae or eggs may not be detected during harvesting and post-harvesting handling processes particularly if oviposition occurs just before fruit are harvested.</w:t>
      </w:r>
      <w:r w:rsidRPr="00753E84">
        <w:t xml:space="preserve"> </w:t>
      </w:r>
      <w:r w:rsidRPr="0074236C">
        <w:t xml:space="preserve">Symptoms of fruit fly infestation may not be apparent until larval development is well advanced, so the eggs and early larval instars can be difficult to detect </w:t>
      </w:r>
      <w:r>
        <w:rPr>
          <w:noProof/>
        </w:rPr>
        <w:t>(Cantrell, Chadwick &amp; Cahill 2002; Putulan et al. 2004)</w:t>
      </w:r>
      <w:r w:rsidRPr="0074236C">
        <w:t>. If oviposition occurs shortly before harvest</w:t>
      </w:r>
      <w:r>
        <w:t>,</w:t>
      </w:r>
      <w:r w:rsidRPr="0074236C">
        <w:t xml:space="preserve"> the affected fruit are unlikely to be detected and culled during harvesting and packing processes. </w:t>
      </w:r>
    </w:p>
    <w:p w14:paraId="4A896B9D" w14:textId="77777777" w:rsidR="00BC2F05" w:rsidRPr="009B4060" w:rsidRDefault="00772FB6" w:rsidP="008D0946">
      <w:r w:rsidRPr="00C85BB4">
        <w:t xml:space="preserve">Fruit fly eggs and larvae </w:t>
      </w:r>
      <w:r>
        <w:t xml:space="preserve">will </w:t>
      </w:r>
      <w:r w:rsidRPr="00C85BB4">
        <w:t>remain viable during transport an</w:t>
      </w:r>
      <w:r>
        <w:t>d</w:t>
      </w:r>
      <w:r w:rsidRPr="00C85BB4">
        <w:t xml:space="preserve"> storage</w:t>
      </w:r>
      <w:r>
        <w:t>.</w:t>
      </w:r>
    </w:p>
    <w:p w14:paraId="14F23F5A" w14:textId="77777777" w:rsidR="00BC2F05" w:rsidRPr="00C85BB4" w:rsidRDefault="00772FB6" w:rsidP="00BC2F05">
      <w:pPr>
        <w:pStyle w:val="ListBullet"/>
        <w:rPr>
          <w:szCs w:val="18"/>
          <w:lang w:val="pt-BR"/>
        </w:rPr>
      </w:pPr>
      <w:r w:rsidRPr="00C85BB4">
        <w:t xml:space="preserve">The development time of fruit flies is inversely dependent on temperature, with development time increasing at lower ambient temperature </w:t>
      </w:r>
      <w:r>
        <w:rPr>
          <w:noProof/>
        </w:rPr>
        <w:t>(Duyck, Sterlin &amp; Quilici 2004; Fletcher 1989; Mkiga &amp; Mwatawala 2015)</w:t>
      </w:r>
      <w:r w:rsidRPr="00C85BB4">
        <w:t>.</w:t>
      </w:r>
    </w:p>
    <w:p w14:paraId="2C7526F4" w14:textId="77777777" w:rsidR="00BC2F05" w:rsidRDefault="00772FB6" w:rsidP="00BC2F05">
      <w:pPr>
        <w:pStyle w:val="ListBullet"/>
      </w:pPr>
      <w:r>
        <w:rPr>
          <w:szCs w:val="18"/>
          <w:lang w:val="pt-BR"/>
        </w:rPr>
        <w:t xml:space="preserve">Currently </w:t>
      </w:r>
      <w:r>
        <w:t>in the Philippines, d</w:t>
      </w:r>
      <w:r>
        <w:rPr>
          <w:szCs w:val="18"/>
          <w:lang w:val="pt-BR"/>
        </w:rPr>
        <w:t>ragon</w:t>
      </w:r>
      <w:r w:rsidRPr="00464715">
        <w:rPr>
          <w:szCs w:val="18"/>
          <w:lang w:val="pt-BR"/>
        </w:rPr>
        <w:t xml:space="preserve"> fruit</w:t>
      </w:r>
      <w:r>
        <w:rPr>
          <w:szCs w:val="18"/>
          <w:lang w:val="pt-BR"/>
        </w:rPr>
        <w:t xml:space="preserve"> is not stored or transported at cold temperatures post harvest </w:t>
      </w:r>
      <w:r>
        <w:rPr>
          <w:noProof/>
          <w:szCs w:val="18"/>
          <w:lang w:val="pt-BR"/>
        </w:rPr>
        <w:t>(Rodeo, Castro &amp; Esguerra 2018; Tridge 2022)</w:t>
      </w:r>
      <w:r>
        <w:rPr>
          <w:szCs w:val="18"/>
          <w:lang w:val="pt-BR"/>
        </w:rPr>
        <w:t>.</w:t>
      </w:r>
    </w:p>
    <w:p w14:paraId="25642E84" w14:textId="77777777" w:rsidR="00BC2F05" w:rsidRPr="00302998" w:rsidRDefault="00772FB6" w:rsidP="00BC2F05">
      <w:pPr>
        <w:pStyle w:val="ListBullet"/>
        <w:rPr>
          <w:szCs w:val="18"/>
          <w:lang w:val="pt-BR"/>
        </w:rPr>
      </w:pPr>
      <w:r>
        <w:t>The Philippines average temperatures range between 23</w:t>
      </w:r>
      <w:r w:rsidRPr="00C85BB4">
        <w:t>°C</w:t>
      </w:r>
      <w:r>
        <w:t xml:space="preserve"> and 32</w:t>
      </w:r>
      <w:r w:rsidRPr="00C85BB4">
        <w:t>°C</w:t>
      </w:r>
      <w:r>
        <w:t>, with a yearly average of approximately 26.6</w:t>
      </w:r>
      <w:r w:rsidRPr="00C85BB4">
        <w:t>°C</w:t>
      </w:r>
      <w:r>
        <w:t xml:space="preserve"> </w:t>
      </w:r>
      <w:r>
        <w:rPr>
          <w:noProof/>
        </w:rPr>
        <w:t>(Climate-data.org 2022; PAGASA 2021)</w:t>
      </w:r>
      <w:r>
        <w:t xml:space="preserve">. </w:t>
      </w:r>
    </w:p>
    <w:p w14:paraId="0F59498F" w14:textId="77777777" w:rsidR="00BC2F05" w:rsidRPr="007370D9" w:rsidRDefault="00772FB6" w:rsidP="00BC2F05">
      <w:pPr>
        <w:pStyle w:val="ListBullet"/>
        <w:rPr>
          <w:szCs w:val="18"/>
          <w:lang w:val="pt-BR"/>
        </w:rPr>
      </w:pPr>
      <w:r w:rsidRPr="00C85BB4">
        <w:rPr>
          <w:szCs w:val="18"/>
          <w:lang w:val="pt-BR"/>
        </w:rPr>
        <w:t>The lower development</w:t>
      </w:r>
      <w:r>
        <w:rPr>
          <w:szCs w:val="18"/>
          <w:lang w:val="pt-BR"/>
        </w:rPr>
        <w:t>al</w:t>
      </w:r>
      <w:r w:rsidRPr="00C85BB4">
        <w:rPr>
          <w:szCs w:val="18"/>
          <w:lang w:val="pt-BR"/>
        </w:rPr>
        <w:t xml:space="preserve"> thresholds for </w:t>
      </w:r>
      <w:r w:rsidRPr="00C85BB4">
        <w:rPr>
          <w:i/>
          <w:iCs/>
          <w:szCs w:val="18"/>
          <w:lang w:val="pt-BR"/>
        </w:rPr>
        <w:t xml:space="preserve">B. </w:t>
      </w:r>
      <w:r>
        <w:rPr>
          <w:i/>
          <w:iCs/>
          <w:szCs w:val="18"/>
          <w:lang w:val="pt-BR"/>
        </w:rPr>
        <w:t>dorsalis</w:t>
      </w:r>
      <w:r w:rsidRPr="00C85BB4">
        <w:rPr>
          <w:szCs w:val="18"/>
          <w:lang w:val="pt-BR"/>
        </w:rPr>
        <w:t xml:space="preserve"> and </w:t>
      </w:r>
      <w:r w:rsidRPr="00C85BB4">
        <w:rPr>
          <w:i/>
          <w:iCs/>
          <w:szCs w:val="18"/>
          <w:lang w:val="pt-BR"/>
        </w:rPr>
        <w:t>Z. cucurbitae</w:t>
      </w:r>
      <w:r w:rsidRPr="007370D9">
        <w:rPr>
          <w:szCs w:val="18"/>
          <w:lang w:val="pt-BR"/>
        </w:rPr>
        <w:t xml:space="preserve"> larvae are</w:t>
      </w:r>
      <w:r>
        <w:rPr>
          <w:szCs w:val="18"/>
          <w:lang w:val="pt-BR"/>
        </w:rPr>
        <w:t xml:space="preserve"> approximately</w:t>
      </w:r>
      <w:r w:rsidRPr="007370D9">
        <w:rPr>
          <w:szCs w:val="18"/>
          <w:lang w:val="pt-BR"/>
        </w:rPr>
        <w:t xml:space="preserve"> </w:t>
      </w:r>
      <w:r>
        <w:rPr>
          <w:szCs w:val="18"/>
          <w:lang w:val="pt-BR"/>
        </w:rPr>
        <w:t>6</w:t>
      </w:r>
      <w:r w:rsidRPr="007370D9">
        <w:rPr>
          <w:szCs w:val="18"/>
          <w:lang w:val="pt-BR"/>
        </w:rPr>
        <w:t>.</w:t>
      </w:r>
      <w:r>
        <w:rPr>
          <w:szCs w:val="18"/>
          <w:lang w:val="pt-BR"/>
        </w:rPr>
        <w:t>2</w:t>
      </w:r>
      <w:r w:rsidRPr="007370D9">
        <w:rPr>
          <w:szCs w:val="18"/>
          <w:lang w:val="pt-BR"/>
        </w:rPr>
        <w:t>°C and 13.4°C</w:t>
      </w:r>
      <w:r>
        <w:rPr>
          <w:szCs w:val="18"/>
          <w:lang w:val="pt-BR"/>
        </w:rPr>
        <w:t>,</w:t>
      </w:r>
      <w:r w:rsidRPr="007370D9">
        <w:rPr>
          <w:szCs w:val="18"/>
          <w:lang w:val="pt-BR"/>
        </w:rPr>
        <w:t xml:space="preserve"> respectively</w:t>
      </w:r>
      <w:r>
        <w:rPr>
          <w:szCs w:val="18"/>
          <w:lang w:val="pt-BR"/>
        </w:rPr>
        <w:t xml:space="preserve">, which are far below the minimum temperatures in the Philippines </w:t>
      </w:r>
      <w:r>
        <w:rPr>
          <w:noProof/>
          <w:szCs w:val="18"/>
          <w:lang w:val="pt-BR"/>
        </w:rPr>
        <w:t>(Climate-data.org 2022; Michel et al. 2021; Mkiga &amp; Mwatawala 2015)</w:t>
      </w:r>
      <w:r>
        <w:rPr>
          <w:szCs w:val="18"/>
          <w:lang w:val="pt-BR"/>
        </w:rPr>
        <w:t>.</w:t>
      </w:r>
    </w:p>
    <w:p w14:paraId="6F67B0FD" w14:textId="77777777" w:rsidR="00BC2F05" w:rsidRPr="00302998" w:rsidRDefault="00772FB6" w:rsidP="00BC2F05">
      <w:pPr>
        <w:pStyle w:val="ListBullet"/>
        <w:rPr>
          <w:szCs w:val="18"/>
          <w:lang w:val="pt-BR"/>
        </w:rPr>
      </w:pPr>
      <w:r w:rsidRPr="00C85BB4">
        <w:t xml:space="preserve">Fruit flies take </w:t>
      </w:r>
      <w:r>
        <w:t xml:space="preserve">6 </w:t>
      </w:r>
      <w:r w:rsidRPr="00C85BB4">
        <w:t xml:space="preserve">to </w:t>
      </w:r>
      <w:r>
        <w:t xml:space="preserve">9 </w:t>
      </w:r>
      <w:r w:rsidRPr="00C85BB4">
        <w:t xml:space="preserve">days at 25°C to pupate when reared on a range of media including natural hosts and artificial diets </w:t>
      </w:r>
      <w:r>
        <w:rPr>
          <w:noProof/>
        </w:rPr>
        <w:t>(Duyck, Sterlin &amp; Quilici 2004; Mkiga &amp; Mwatawala 2015)</w:t>
      </w:r>
      <w:r w:rsidRPr="00302998">
        <w:rPr>
          <w:szCs w:val="18"/>
          <w:lang w:val="pt-BR"/>
        </w:rPr>
        <w:t>, indicating that fruit flies will be able to continue to develop during storage and transport.</w:t>
      </w:r>
    </w:p>
    <w:p w14:paraId="77FDC308" w14:textId="77777777" w:rsidR="00BC2F05" w:rsidRPr="00C77F75" w:rsidRDefault="00772FB6" w:rsidP="008D0946">
      <w:r w:rsidRPr="00C77F75">
        <w:t xml:space="preserve">For the reasons outlined, the likelihood of importation of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t xml:space="preserve"> on importe</w:t>
      </w:r>
      <w:r>
        <w:t xml:space="preserve">d </w:t>
      </w:r>
      <w:r>
        <w:fldChar w:fldCharType="begin" w:fldLock="1"/>
      </w:r>
      <w:r>
        <w:instrText xml:space="preserve"> REF commodity \h  \* MERGEFORMAT </w:instrText>
      </w:r>
      <w:r>
        <w:fldChar w:fldCharType="separate"/>
      </w:r>
      <w:r>
        <w:t>dragon fruit</w:t>
      </w:r>
      <w:r>
        <w:fldChar w:fldCharType="end"/>
      </w:r>
      <w:r>
        <w:t xml:space="preserve"> </w:t>
      </w:r>
      <w:r w:rsidRPr="00C77F75">
        <w:t>from</w:t>
      </w:r>
      <w:r>
        <w:t xml:space="preserve"> </w:t>
      </w:r>
      <w:r>
        <w:fldChar w:fldCharType="begin" w:fldLock="1"/>
      </w:r>
      <w:r>
        <w:instrText xml:space="preserve"> REF country \h  \* MERGEFORMAT </w:instrText>
      </w:r>
      <w:r>
        <w:fldChar w:fldCharType="separate"/>
      </w:r>
      <w:r>
        <w:t>the Philippines</w:t>
      </w:r>
      <w:r>
        <w:fldChar w:fldCharType="end"/>
      </w:r>
      <w:r>
        <w:t xml:space="preserve"> </w:t>
      </w:r>
      <w:r w:rsidRPr="00C77F75">
        <w:t xml:space="preserve">is assessed as </w:t>
      </w:r>
      <w:r>
        <w:t>High</w:t>
      </w:r>
      <w:r w:rsidRPr="00C77F75">
        <w:t>.</w:t>
      </w:r>
    </w:p>
    <w:p w14:paraId="5D30041D" w14:textId="77777777" w:rsidR="00BC2F05" w:rsidRPr="00671D9A" w:rsidRDefault="00772FB6" w:rsidP="008D0946">
      <w:pPr>
        <w:keepNext/>
        <w:autoSpaceDE w:val="0"/>
        <w:autoSpaceDN w:val="0"/>
        <w:adjustRightInd w:val="0"/>
        <w:rPr>
          <w:rStyle w:val="Strong"/>
        </w:rPr>
      </w:pPr>
      <w:r w:rsidRPr="00671D9A">
        <w:rPr>
          <w:rStyle w:val="Strong"/>
        </w:rPr>
        <w:t>Likelihood of distribution</w:t>
      </w:r>
    </w:p>
    <w:p w14:paraId="161AB045" w14:textId="77777777" w:rsidR="00BC2F05" w:rsidRDefault="00772FB6" w:rsidP="008D0946">
      <w:pPr>
        <w:autoSpaceDE w:val="0"/>
        <w:autoSpaceDN w:val="0"/>
        <w:adjustRightInd w:val="0"/>
      </w:pPr>
      <w:r>
        <w:t>Dragon fruit imported from the Philippines are expected to be distributed to various destinations in Australia</w:t>
      </w:r>
      <w:r w:rsidRPr="00734AC9">
        <w:t xml:space="preserve"> </w:t>
      </w:r>
      <w:r>
        <w:t>for sale. They may be distributed through large fresh produce wholesale markets and then to supermarkets or other sellers, or directly to smaller retailers and then to consumers. Most f</w:t>
      </w:r>
      <w:r w:rsidRPr="0032734B">
        <w:t xml:space="preserve">ruit waste </w:t>
      </w:r>
      <w:r>
        <w:t>would be</w:t>
      </w:r>
      <w:r w:rsidRPr="0032734B">
        <w:t xml:space="preserve"> </w:t>
      </w:r>
      <w:r>
        <w:t xml:space="preserve">generally </w:t>
      </w:r>
      <w:r w:rsidRPr="0032734B">
        <w:t>disposed of via municipal waste facilities</w:t>
      </w:r>
      <w:r w:rsidRPr="00945121">
        <w:t xml:space="preserve">, but </w:t>
      </w:r>
      <w:r>
        <w:t>a small quantity</w:t>
      </w:r>
      <w:r w:rsidRPr="00945121">
        <w:t xml:space="preserve"> may be discarded in the environment</w:t>
      </w:r>
      <w:r w:rsidRPr="0032734B">
        <w:t xml:space="preserve">. Any </w:t>
      </w:r>
      <w:r>
        <w:t>fruit flies</w:t>
      </w:r>
      <w:r w:rsidRPr="0032734B">
        <w:rPr>
          <w:i/>
          <w:iCs/>
        </w:rPr>
        <w:t xml:space="preserve"> </w:t>
      </w:r>
      <w:r w:rsidRPr="0032734B">
        <w:t xml:space="preserve">present </w:t>
      </w:r>
      <w:r>
        <w:t>in</w:t>
      </w:r>
      <w:r w:rsidRPr="0032734B">
        <w:t xml:space="preserve"> </w:t>
      </w:r>
      <w:r>
        <w:t xml:space="preserve">discarded dragon fruit </w:t>
      </w:r>
      <w:r w:rsidRPr="0032734B">
        <w:t>may disperse to new hosts, as</w:t>
      </w:r>
      <w:r>
        <w:t xml:space="preserve"> adult</w:t>
      </w:r>
      <w:r w:rsidRPr="0032734B">
        <w:t xml:space="preserve"> </w:t>
      </w:r>
      <w:r>
        <w:t>fruit flies</w:t>
      </w:r>
      <w:r w:rsidRPr="0032734B">
        <w:t xml:space="preserve"> are</w:t>
      </w:r>
      <w:r>
        <w:t xml:space="preserve"> highly</w:t>
      </w:r>
      <w:r w:rsidRPr="0032734B">
        <w:t xml:space="preserve"> mobile and </w:t>
      </w:r>
      <w:r>
        <w:t xml:space="preserve">could </w:t>
      </w:r>
      <w:r>
        <w:lastRenderedPageBreak/>
        <w:t>fly to nearby host plants</w:t>
      </w:r>
      <w:r w:rsidRPr="0032734B">
        <w:t xml:space="preserve">. </w:t>
      </w:r>
      <w:r>
        <w:t>Fruit flies</w:t>
      </w:r>
      <w:r w:rsidRPr="0032734B">
        <w:rPr>
          <w:i/>
        </w:rPr>
        <w:t xml:space="preserve"> </w:t>
      </w:r>
      <w:r w:rsidRPr="0032734B">
        <w:t>ha</w:t>
      </w:r>
      <w:r>
        <w:t>ve</w:t>
      </w:r>
      <w:r w:rsidRPr="0032734B">
        <w:t xml:space="preserve"> wide host range</w:t>
      </w:r>
      <w:r>
        <w:t>s</w:t>
      </w:r>
      <w:r w:rsidRPr="0032734B">
        <w:t xml:space="preserve"> and</w:t>
      </w:r>
      <w:r w:rsidRPr="0032734B">
        <w:rPr>
          <w:i/>
        </w:rPr>
        <w:t xml:space="preserve"> </w:t>
      </w:r>
      <w:r>
        <w:rPr>
          <w:iCs/>
        </w:rPr>
        <w:t xml:space="preserve">there will likely be </w:t>
      </w:r>
      <w:r w:rsidRPr="0032734B">
        <w:t>host</w:t>
      </w:r>
      <w:r>
        <w:t>s</w:t>
      </w:r>
      <w:r w:rsidRPr="0032734B">
        <w:t xml:space="preserve"> present year-round in</w:t>
      </w:r>
      <w:r>
        <w:t xml:space="preserve"> Australia</w:t>
      </w:r>
      <w:r w:rsidRPr="0032734B">
        <w:t>. Therefore, the time of year when importation occurs will not affect the likelihood of distribution for this pest</w:t>
      </w:r>
      <w:r>
        <w:t>.</w:t>
      </w:r>
      <w:r w:rsidRPr="00C77F75">
        <w:t xml:space="preserve"> </w:t>
      </w:r>
    </w:p>
    <w:p w14:paraId="18E8F17B" w14:textId="77777777" w:rsidR="00BC2F05" w:rsidRDefault="00772FB6" w:rsidP="008D0946">
      <w:pPr>
        <w:autoSpaceDE w:val="0"/>
        <w:autoSpaceDN w:val="0"/>
        <w:adjustRightInd w:val="0"/>
        <w:rPr>
          <w:rFonts w:cstheme="minorHAnsi"/>
          <w:color w:val="000000"/>
        </w:rPr>
      </w:pPr>
      <w:r w:rsidRPr="00B30A23">
        <w:rPr>
          <w:rFonts w:cstheme="minorHAnsi"/>
          <w:color w:val="000000"/>
        </w:rPr>
        <w:t xml:space="preserve">The likelihood that </w:t>
      </w:r>
      <w:r>
        <w:rPr>
          <w:rStyle w:val="DefaultParagraphFontwithitalics"/>
        </w:rPr>
        <w:t xml:space="preserve">B. dorsalis </w:t>
      </w:r>
      <w:r>
        <w:rPr>
          <w:rStyle w:val="DefaultParagraphFontwithitalics"/>
          <w:iCs/>
        </w:rPr>
        <w:t xml:space="preserve">and </w:t>
      </w:r>
      <w:r>
        <w:rPr>
          <w:rStyle w:val="DefaultParagraphFontwithitalics"/>
        </w:rPr>
        <w:t>Z. cucurbitae</w:t>
      </w:r>
      <w:r w:rsidRPr="00B30A23">
        <w:rPr>
          <w:rFonts w:cstheme="minorHAnsi"/>
          <w:color w:val="000000"/>
        </w:rPr>
        <w:t xml:space="preserve"> will be distributed within </w:t>
      </w:r>
      <w:r>
        <w:t>Australia</w:t>
      </w:r>
      <w:r w:rsidRPr="00B30A23">
        <w:rPr>
          <w:rFonts w:cstheme="minorHAnsi"/>
          <w:color w:val="000000"/>
        </w:rPr>
        <w:t xml:space="preserve"> in a viable state as</w:t>
      </w:r>
      <w:r>
        <w:rPr>
          <w:rFonts w:cstheme="minorHAnsi"/>
          <w:color w:val="000000"/>
        </w:rPr>
        <w:t xml:space="preserve"> </w:t>
      </w:r>
      <w:r w:rsidRPr="00B30A23">
        <w:rPr>
          <w:rFonts w:cstheme="minorHAnsi"/>
          <w:color w:val="000000"/>
        </w:rPr>
        <w:t xml:space="preserve">a result of </w:t>
      </w:r>
      <w:r>
        <w:rPr>
          <w:rFonts w:cstheme="minorHAnsi"/>
          <w:color w:val="000000"/>
        </w:rPr>
        <w:t xml:space="preserve">the </w:t>
      </w:r>
      <w:r w:rsidRPr="00B30A23">
        <w:rPr>
          <w:rFonts w:cstheme="minorHAnsi"/>
          <w:color w:val="000000"/>
        </w:rPr>
        <w:t xml:space="preserve">processing, sale or disposal </w:t>
      </w:r>
      <w:r>
        <w:rPr>
          <w:rFonts w:cstheme="minorHAnsi"/>
          <w:color w:val="000000"/>
        </w:rPr>
        <w:t xml:space="preserve">of </w:t>
      </w:r>
      <w:r>
        <w:rPr>
          <w:rFonts w:cstheme="minorHAnsi"/>
          <w:color w:val="000000"/>
        </w:rPr>
        <w:fldChar w:fldCharType="begin" w:fldLock="1"/>
      </w:r>
      <w:r>
        <w:rPr>
          <w:rFonts w:cstheme="minorHAnsi"/>
          <w:color w:val="000000"/>
        </w:rPr>
        <w:instrText xml:space="preserve"> REF commodity \h  \* MERGEFORMAT </w:instrText>
      </w:r>
      <w:r>
        <w:rPr>
          <w:rFonts w:cstheme="minorHAnsi"/>
          <w:color w:val="000000"/>
        </w:rPr>
      </w:r>
      <w:r>
        <w:rPr>
          <w:rFonts w:cstheme="minorHAnsi"/>
          <w:color w:val="000000"/>
        </w:rPr>
        <w:fldChar w:fldCharType="separate"/>
      </w:r>
      <w:r>
        <w:t>dragon fruit</w:t>
      </w:r>
      <w:r>
        <w:rPr>
          <w:rFonts w:cstheme="minorHAnsi"/>
          <w:color w:val="000000"/>
        </w:rPr>
        <w:fldChar w:fldCharType="end"/>
      </w:r>
      <w:r>
        <w:rPr>
          <w:rFonts w:cstheme="minorHAnsi"/>
          <w:color w:val="000000"/>
        </w:rPr>
        <w:t xml:space="preserve"> </w:t>
      </w:r>
      <w:r w:rsidRPr="00B30A23">
        <w:rPr>
          <w:rFonts w:cstheme="minorHAnsi"/>
          <w:color w:val="000000"/>
        </w:rPr>
        <w:t>fr</w:t>
      </w:r>
      <w:r>
        <w:rPr>
          <w:rFonts w:cstheme="minorHAnsi"/>
          <w:color w:val="000000"/>
        </w:rPr>
        <w:t xml:space="preserve">om </w:t>
      </w:r>
      <w:r>
        <w:rPr>
          <w:rFonts w:cstheme="minorHAnsi"/>
          <w:color w:val="000000"/>
        </w:rPr>
        <w:fldChar w:fldCharType="begin" w:fldLock="1"/>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t>the Philippines</w:t>
      </w:r>
      <w:r>
        <w:rPr>
          <w:rFonts w:cstheme="minorHAnsi"/>
          <w:color w:val="000000"/>
        </w:rPr>
        <w:fldChar w:fldCharType="end"/>
      </w:r>
      <w:r w:rsidRPr="00B30A23">
        <w:rPr>
          <w:rFonts w:cstheme="minorHAnsi"/>
          <w:color w:val="000000"/>
        </w:rPr>
        <w:t>,</w:t>
      </w:r>
      <w:r>
        <w:rPr>
          <w:rFonts w:cstheme="minorHAnsi"/>
          <w:color w:val="000000"/>
        </w:rPr>
        <w:t xml:space="preserve"> </w:t>
      </w:r>
      <w:r w:rsidRPr="00B30A23">
        <w:rPr>
          <w:rFonts w:cstheme="minorHAnsi"/>
          <w:color w:val="000000"/>
        </w:rPr>
        <w:t xml:space="preserve">and subsequently transfer to </w:t>
      </w:r>
      <w:r>
        <w:rPr>
          <w:rFonts w:cstheme="minorHAnsi"/>
          <w:color w:val="000000"/>
        </w:rPr>
        <w:t xml:space="preserve">a </w:t>
      </w:r>
      <w:r w:rsidRPr="00B30A23">
        <w:rPr>
          <w:rFonts w:cstheme="minorHAnsi"/>
          <w:color w:val="000000"/>
        </w:rPr>
        <w:t xml:space="preserve">susceptible </w:t>
      </w:r>
      <w:r>
        <w:rPr>
          <w:rFonts w:cstheme="minorHAnsi"/>
          <w:color w:val="000000"/>
        </w:rPr>
        <w:t xml:space="preserve">part of a </w:t>
      </w:r>
      <w:r w:rsidRPr="00B30A23">
        <w:rPr>
          <w:rFonts w:cstheme="minorHAnsi"/>
          <w:color w:val="000000"/>
        </w:rPr>
        <w:t xml:space="preserve">host is likely to be similar to </w:t>
      </w:r>
      <w:r w:rsidRPr="00781332">
        <w:rPr>
          <w:rStyle w:val="DefaultParagraphFontwithitalics"/>
          <w:iCs/>
        </w:rPr>
        <w:t>fruit flies</w:t>
      </w:r>
      <w:r w:rsidRPr="00B30A23">
        <w:rPr>
          <w:rFonts w:cstheme="minorHAnsi"/>
          <w:color w:val="000000"/>
        </w:rPr>
        <w:t xml:space="preserve"> on</w:t>
      </w:r>
      <w:r>
        <w:rPr>
          <w:rFonts w:cstheme="minorHAnsi"/>
          <w:color w:val="000000"/>
        </w:rPr>
        <w:t xml:space="preserve"> </w:t>
      </w:r>
      <w:r w:rsidRPr="00B30A23">
        <w:rPr>
          <w:rFonts w:cstheme="minorHAnsi"/>
          <w:color w:val="000000"/>
        </w:rPr>
        <w:t xml:space="preserve">previously assessed </w:t>
      </w:r>
      <w:r>
        <w:rPr>
          <w:rFonts w:cstheme="minorHAnsi"/>
          <w:color w:val="000000"/>
        </w:rPr>
        <w:t>pathways</w:t>
      </w:r>
      <w:r w:rsidRPr="00B30A23">
        <w:rPr>
          <w:rFonts w:cstheme="minorHAnsi"/>
          <w:color w:val="000000"/>
        </w:rPr>
        <w:t xml:space="preserve">. </w:t>
      </w:r>
      <w:r>
        <w:rPr>
          <w:rFonts w:cstheme="minorHAnsi"/>
          <w:color w:val="000000"/>
        </w:rPr>
        <w:t>T</w:t>
      </w:r>
      <w:r w:rsidRPr="00B30A23">
        <w:rPr>
          <w:rFonts w:cstheme="minorHAnsi"/>
          <w:color w:val="000000"/>
        </w:rPr>
        <w:t xml:space="preserve">he same rating of </w:t>
      </w:r>
      <w:r>
        <w:rPr>
          <w:rStyle w:val="Strong"/>
        </w:rPr>
        <w:t>High</w:t>
      </w:r>
      <w:r w:rsidRPr="00B30A23">
        <w:rPr>
          <w:rFonts w:cstheme="minorHAnsi"/>
          <w:color w:val="000000"/>
        </w:rPr>
        <w:t xml:space="preserve"> for the likelihood</w:t>
      </w:r>
      <w:r>
        <w:rPr>
          <w:rFonts w:cstheme="minorHAnsi"/>
          <w:color w:val="000000"/>
        </w:rPr>
        <w:t xml:space="preserve"> </w:t>
      </w:r>
      <w:r w:rsidRPr="00B30A23">
        <w:rPr>
          <w:rFonts w:cstheme="minorHAnsi"/>
          <w:color w:val="000000"/>
        </w:rPr>
        <w:t>of distribution for</w:t>
      </w:r>
      <w:r>
        <w:rPr>
          <w:rFonts w:cstheme="minorHAnsi"/>
          <w:color w:val="000000"/>
        </w:rPr>
        <w:t xml:space="preserve"> these</w:t>
      </w:r>
      <w:r w:rsidRPr="00B30A23">
        <w:rPr>
          <w:rFonts w:cstheme="minorHAnsi"/>
          <w:color w:val="000000"/>
        </w:rPr>
        <w:t xml:space="preserve"> </w:t>
      </w:r>
      <w:r w:rsidRPr="001C4AFA">
        <w:rPr>
          <w:rStyle w:val="DefaultParagraphFontwithitalics"/>
          <w:iCs/>
        </w:rPr>
        <w:t>pests</w:t>
      </w:r>
      <w:r>
        <w:rPr>
          <w:rFonts w:cstheme="minorHAnsi"/>
          <w:color w:val="000000"/>
        </w:rPr>
        <w:t xml:space="preserve"> in </w:t>
      </w:r>
      <w:r w:rsidRPr="00B30A23">
        <w:rPr>
          <w:rFonts w:cstheme="minorHAnsi"/>
          <w:color w:val="000000"/>
        </w:rPr>
        <w:t xml:space="preserve">previous </w:t>
      </w:r>
      <w:r>
        <w:rPr>
          <w:rFonts w:cstheme="minorHAnsi"/>
          <w:color w:val="000000"/>
        </w:rPr>
        <w:t>assessments</w:t>
      </w:r>
      <w:r w:rsidRPr="00B30A23">
        <w:rPr>
          <w:rFonts w:cstheme="minorHAnsi"/>
          <w:color w:val="000000"/>
        </w:rPr>
        <w:t xml:space="preserve"> is adopted fo</w:t>
      </w:r>
      <w:r>
        <w:rPr>
          <w:rFonts w:cstheme="minorHAnsi"/>
          <w:color w:val="000000"/>
        </w:rPr>
        <w:t xml:space="preserve">r </w:t>
      </w:r>
      <w:r>
        <w:rPr>
          <w:rFonts w:cstheme="minorHAnsi"/>
          <w:color w:val="000000"/>
        </w:rPr>
        <w:fldChar w:fldCharType="begin" w:fldLock="1"/>
      </w:r>
      <w:r>
        <w:rPr>
          <w:rFonts w:cstheme="minorHAnsi"/>
          <w:color w:val="000000"/>
        </w:rPr>
        <w:instrText xml:space="preserve"> REF commodity \h  \* MERGEFORMAT </w:instrText>
      </w:r>
      <w:r>
        <w:rPr>
          <w:rFonts w:cstheme="minorHAnsi"/>
          <w:color w:val="000000"/>
        </w:rPr>
      </w:r>
      <w:r>
        <w:rPr>
          <w:rFonts w:cstheme="minorHAnsi"/>
          <w:color w:val="000000"/>
        </w:rPr>
        <w:fldChar w:fldCharType="separate"/>
      </w:r>
      <w:r>
        <w:t>dragon fruit</w:t>
      </w:r>
      <w:r>
        <w:rPr>
          <w:rFonts w:cstheme="minorHAnsi"/>
          <w:color w:val="000000"/>
        </w:rPr>
        <w:fldChar w:fldCharType="end"/>
      </w:r>
      <w:r>
        <w:rPr>
          <w:rFonts w:cstheme="minorHAnsi"/>
          <w:color w:val="000000"/>
        </w:rPr>
        <w:t xml:space="preserve"> f</w:t>
      </w:r>
      <w:r w:rsidRPr="00B30A23">
        <w:rPr>
          <w:rFonts w:cstheme="minorHAnsi"/>
          <w:color w:val="000000"/>
        </w:rPr>
        <w:t>r</w:t>
      </w:r>
      <w:r>
        <w:rPr>
          <w:rFonts w:cstheme="minorHAnsi"/>
          <w:color w:val="000000"/>
        </w:rPr>
        <w:t xml:space="preserve">om </w:t>
      </w:r>
      <w:r>
        <w:rPr>
          <w:rFonts w:cstheme="minorHAnsi"/>
          <w:color w:val="000000"/>
        </w:rPr>
        <w:fldChar w:fldCharType="begin" w:fldLock="1"/>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t>the Philippines</w:t>
      </w:r>
      <w:r>
        <w:rPr>
          <w:rFonts w:cstheme="minorHAnsi"/>
          <w:color w:val="000000"/>
        </w:rPr>
        <w:fldChar w:fldCharType="end"/>
      </w:r>
      <w:r>
        <w:rPr>
          <w:rFonts w:cstheme="minorHAnsi"/>
          <w:color w:val="000000"/>
        </w:rPr>
        <w:t>.</w:t>
      </w:r>
    </w:p>
    <w:p w14:paraId="3B84A7D1" w14:textId="77777777" w:rsidR="00BC2F05" w:rsidRPr="00671D9A" w:rsidRDefault="00772FB6" w:rsidP="008D0946">
      <w:pPr>
        <w:keepNext/>
        <w:autoSpaceDE w:val="0"/>
        <w:autoSpaceDN w:val="0"/>
        <w:adjustRightInd w:val="0"/>
        <w:rPr>
          <w:rStyle w:val="Strong"/>
        </w:rPr>
      </w:pPr>
      <w:r w:rsidRPr="00671D9A">
        <w:rPr>
          <w:rStyle w:val="Strong"/>
        </w:rPr>
        <w:t>Overall likelihood of entry</w:t>
      </w:r>
    </w:p>
    <w:p w14:paraId="6B26D63D" w14:textId="77777777" w:rsidR="00BC2F05" w:rsidRPr="00B30A23" w:rsidRDefault="00772FB6" w:rsidP="008D0946">
      <w:pPr>
        <w:autoSpaceDE w:val="0"/>
        <w:autoSpaceDN w:val="0"/>
        <w:adjustRightInd w:val="0"/>
        <w:rPr>
          <w:rFonts w:cstheme="minorHAnsi"/>
          <w:color w:val="000000"/>
        </w:rPr>
      </w:pPr>
      <w:r>
        <w:rPr>
          <w:rFonts w:cstheme="minorHAnsi"/>
          <w:color w:val="000000"/>
        </w:rPr>
        <w:t xml:space="preserve">The overall likelihood of entry is determined as </w:t>
      </w:r>
      <w:r>
        <w:rPr>
          <w:rStyle w:val="Strong"/>
        </w:rPr>
        <w:t>High</w:t>
      </w:r>
      <w:r>
        <w:rPr>
          <w:rFonts w:cstheme="minorHAnsi"/>
          <w:color w:val="000000"/>
        </w:rPr>
        <w:t xml:space="preserve"> by combining the re-assessed likelihood of importation of </w:t>
      </w:r>
      <w:r>
        <w:rPr>
          <w:rFonts w:cstheme="minorHAnsi"/>
        </w:rPr>
        <w:t>High</w:t>
      </w:r>
      <w:r>
        <w:rPr>
          <w:rFonts w:cstheme="minorHAnsi"/>
          <w:color w:val="000000"/>
        </w:rPr>
        <w:t xml:space="preserve"> with the adopted likelihood of distribution of </w:t>
      </w:r>
      <w:r>
        <w:rPr>
          <w:rFonts w:cstheme="minorHAnsi"/>
        </w:rPr>
        <w:t>High</w:t>
      </w:r>
      <w:r>
        <w:rPr>
          <w:rFonts w:cstheme="minorHAnsi"/>
          <w:color w:val="000000"/>
        </w:rPr>
        <w:t xml:space="preserve">, using the matrix of rules in </w:t>
      </w:r>
      <w:r>
        <w:rPr>
          <w:rFonts w:cstheme="minorHAnsi"/>
          <w:color w:val="000000"/>
        </w:rPr>
        <w:fldChar w:fldCharType="begin" w:fldLock="1"/>
      </w:r>
      <w:r>
        <w:rPr>
          <w:rFonts w:cstheme="minorHAnsi"/>
          <w:color w:val="000000"/>
        </w:rPr>
        <w:instrText xml:space="preserve"> REF TableA_2 \h </w:instrText>
      </w:r>
      <w:r>
        <w:rPr>
          <w:rFonts w:cstheme="minorHAnsi"/>
          <w:color w:val="000000"/>
        </w:rPr>
      </w:r>
      <w:r>
        <w:rPr>
          <w:rFonts w:cstheme="minorHAnsi"/>
          <w:color w:val="000000"/>
        </w:rPr>
        <w:fldChar w:fldCharType="separate"/>
      </w:r>
      <w:r w:rsidRPr="00254112">
        <w:t xml:space="preserve">Table </w:t>
      </w:r>
      <w:r>
        <w:rPr>
          <w:noProof/>
        </w:rPr>
        <w:t>A.2</w:t>
      </w:r>
      <w:r>
        <w:rPr>
          <w:rFonts w:cstheme="minorHAnsi"/>
          <w:color w:val="000000"/>
        </w:rPr>
        <w:fldChar w:fldCharType="end"/>
      </w:r>
      <w:r>
        <w:rPr>
          <w:rFonts w:cstheme="minorHAnsi"/>
          <w:color w:val="000000"/>
        </w:rPr>
        <w:t>.</w:t>
      </w:r>
    </w:p>
    <w:p w14:paraId="4BF5CFC8" w14:textId="77777777" w:rsidR="00BC2F05" w:rsidRPr="00204878" w:rsidRDefault="00772FB6" w:rsidP="008D0946">
      <w:pPr>
        <w:pStyle w:val="Heading4"/>
      </w:pPr>
      <w:r w:rsidRPr="00204878">
        <w:t>Likelihoods of establishment and spread</w:t>
      </w:r>
    </w:p>
    <w:p w14:paraId="3030FB9B" w14:textId="77777777" w:rsidR="00BC2F05" w:rsidRDefault="00772FB6" w:rsidP="008D0946">
      <w:pPr>
        <w:autoSpaceDE w:val="0"/>
        <w:autoSpaceDN w:val="0"/>
        <w:adjustRightInd w:val="0"/>
        <w:rPr>
          <w:rFonts w:cstheme="minorHAnsi"/>
          <w:color w:val="000000"/>
        </w:rPr>
      </w:pPr>
      <w:r>
        <w:rPr>
          <w:rFonts w:cstheme="minorHAnsi"/>
          <w:color w:val="000000"/>
        </w:rPr>
        <w:t xml:space="preserve">The likelihoods of establishment and spread for </w:t>
      </w:r>
      <w:r>
        <w:rPr>
          <w:rStyle w:val="DefaultParagraphFontwithitalics"/>
        </w:rPr>
        <w:t xml:space="preserve">B. dorsalis </w:t>
      </w:r>
      <w:r>
        <w:rPr>
          <w:rStyle w:val="DefaultParagraphFontwithitalics"/>
          <w:iCs/>
        </w:rPr>
        <w:t xml:space="preserve">and </w:t>
      </w:r>
      <w:r>
        <w:rPr>
          <w:rStyle w:val="DefaultParagraphFontwithitalics"/>
        </w:rPr>
        <w:t>Z. cucurbitae</w:t>
      </w:r>
      <w:r w:rsidRPr="00B30A23">
        <w:rPr>
          <w:rFonts w:cstheme="minorHAnsi"/>
          <w:color w:val="000000"/>
        </w:rPr>
        <w:t xml:space="preserve"> </w:t>
      </w:r>
      <w:r>
        <w:rPr>
          <w:rFonts w:cstheme="minorHAnsi"/>
          <w:color w:val="000000"/>
        </w:rPr>
        <w:t xml:space="preserve">are independent of the import pathway and are considered </w:t>
      </w:r>
      <w:proofErr w:type="gramStart"/>
      <w:r>
        <w:rPr>
          <w:rFonts w:cstheme="minorHAnsi"/>
          <w:color w:val="000000"/>
        </w:rPr>
        <w:t>similar to</w:t>
      </w:r>
      <w:proofErr w:type="gramEnd"/>
      <w:r>
        <w:rPr>
          <w:rFonts w:cstheme="minorHAnsi"/>
          <w:color w:val="000000"/>
        </w:rPr>
        <w:t xml:space="preserve"> those in previously assessed pathways.</w:t>
      </w:r>
    </w:p>
    <w:p w14:paraId="62313BE1" w14:textId="77777777" w:rsidR="00BC2F05" w:rsidRDefault="00772FB6" w:rsidP="008D0946">
      <w:pPr>
        <w:autoSpaceDE w:val="0"/>
        <w:autoSpaceDN w:val="0"/>
        <w:adjustRightInd w:val="0"/>
      </w:pPr>
      <w:r w:rsidRPr="00C77F75">
        <w:rPr>
          <w:rFonts w:cstheme="minorHAnsi"/>
          <w:color w:val="000000"/>
        </w:rPr>
        <w:t>Based on the existing import policies for</w:t>
      </w:r>
      <w:r>
        <w:rPr>
          <w:rFonts w:cstheme="minorHAnsi"/>
          <w:color w:val="000000"/>
        </w:rPr>
        <w:t xml:space="preserve"> these </w:t>
      </w:r>
      <w:r w:rsidRPr="005C1E46">
        <w:rPr>
          <w:rStyle w:val="DefaultParagraphFontwithitalics"/>
          <w:iCs/>
        </w:rPr>
        <w:t>pests</w:t>
      </w:r>
      <w:r w:rsidRPr="00C77F75">
        <w:rPr>
          <w:rFonts w:cstheme="minorHAnsi"/>
          <w:color w:val="000000"/>
        </w:rPr>
        <w:t xml:space="preserve">, the likelihoods of establishment and spread are assessed as </w:t>
      </w:r>
      <w:r>
        <w:rPr>
          <w:rStyle w:val="Strong"/>
        </w:rPr>
        <w:t>High</w:t>
      </w:r>
      <w:r w:rsidRPr="00C77F75">
        <w:rPr>
          <w:rFonts w:cstheme="minorHAnsi"/>
          <w:color w:val="000000"/>
        </w:rPr>
        <w:t xml:space="preserve"> and </w:t>
      </w:r>
      <w:r>
        <w:rPr>
          <w:rStyle w:val="Strong"/>
        </w:rPr>
        <w:t>High</w:t>
      </w:r>
      <w:r w:rsidRPr="00C77F75">
        <w:rPr>
          <w:rFonts w:cstheme="minorHAnsi"/>
          <w:color w:val="000000"/>
        </w:rPr>
        <w:t>, respectively.</w:t>
      </w:r>
    </w:p>
    <w:p w14:paraId="15D30706" w14:textId="77777777" w:rsidR="00BC2F05" w:rsidRPr="00204878" w:rsidRDefault="00772FB6" w:rsidP="008D0946">
      <w:pPr>
        <w:pStyle w:val="Heading4"/>
      </w:pPr>
      <w:r w:rsidRPr="00204878">
        <w:t>Overall likelihood of entry, establishment and spread</w:t>
      </w:r>
    </w:p>
    <w:p w14:paraId="5BC13450" w14:textId="77777777" w:rsidR="00BC2F05" w:rsidRDefault="00772FB6" w:rsidP="008D0946">
      <w:pPr>
        <w:autoSpaceDE w:val="0"/>
        <w:autoSpaceDN w:val="0"/>
        <w:adjustRightInd w:val="0"/>
      </w:pPr>
      <w:r>
        <w:t xml:space="preserve">The overall likelihood of entry, establishment and spread is determined by combining the individual likelihoods of entry, of establishment and of spread using the matrix of rules in </w:t>
      </w:r>
      <w:r>
        <w:fldChar w:fldCharType="begin" w:fldLock="1"/>
      </w:r>
      <w:r>
        <w:instrText xml:space="preserve"> REF TableA_2 \h </w:instrText>
      </w:r>
      <w:r>
        <w:fldChar w:fldCharType="separate"/>
      </w:r>
      <w:r w:rsidRPr="00254112">
        <w:t xml:space="preserve">Table </w:t>
      </w:r>
      <w:r>
        <w:rPr>
          <w:noProof/>
        </w:rPr>
        <w:t>A.2</w:t>
      </w:r>
      <w:r>
        <w:fldChar w:fldCharType="end"/>
      </w:r>
      <w:r>
        <w:t>.</w:t>
      </w:r>
    </w:p>
    <w:p w14:paraId="1E00D7AD" w14:textId="77777777" w:rsidR="00BC2F05" w:rsidRDefault="00772FB6" w:rsidP="008D0946">
      <w:pPr>
        <w:autoSpaceDE w:val="0"/>
        <w:autoSpaceDN w:val="0"/>
        <w:adjustRightInd w:val="0"/>
      </w:pPr>
      <w:r>
        <w:t xml:space="preserve">The overall likelihood that </w:t>
      </w:r>
      <w:r>
        <w:rPr>
          <w:rStyle w:val="DefaultParagraphFontwithitalics"/>
        </w:rPr>
        <w:t xml:space="preserve">B. dorsalis </w:t>
      </w:r>
      <w:r>
        <w:rPr>
          <w:rStyle w:val="DefaultParagraphFontwithitalics"/>
          <w:iCs/>
        </w:rPr>
        <w:t xml:space="preserve">and </w:t>
      </w:r>
      <w:r>
        <w:rPr>
          <w:rStyle w:val="DefaultParagraphFontwithitalics"/>
        </w:rPr>
        <w:t>Z. cucurbitae</w:t>
      </w:r>
      <w:r w:rsidRPr="00B30A23">
        <w:rPr>
          <w:rFonts w:cstheme="minorHAnsi"/>
          <w:color w:val="000000"/>
        </w:rPr>
        <w:t xml:space="preserve"> </w:t>
      </w:r>
      <w:r>
        <w:t xml:space="preserve">will enter Australia as a result of trade in </w:t>
      </w:r>
      <w:r>
        <w:fldChar w:fldCharType="begin" w:fldLock="1"/>
      </w:r>
      <w:r>
        <w:instrText xml:space="preserve"> REF commodity \h  \* MERGEFORMAT </w:instrText>
      </w:r>
      <w:r>
        <w:fldChar w:fldCharType="separate"/>
      </w:r>
      <w:r>
        <w:t>dragon fruit</w:t>
      </w:r>
      <w:r>
        <w:fldChar w:fldCharType="end"/>
      </w:r>
      <w:r>
        <w:t xml:space="preserve"> from </w:t>
      </w:r>
      <w:r>
        <w:fldChar w:fldCharType="begin" w:fldLock="1"/>
      </w:r>
      <w:r>
        <w:instrText xml:space="preserve"> REF country \h  \* MERGEFORMAT </w:instrText>
      </w:r>
      <w:r>
        <w:fldChar w:fldCharType="separate"/>
      </w:r>
      <w:r>
        <w:t>the Philippines</w:t>
      </w:r>
      <w:r>
        <w:fldChar w:fldCharType="end"/>
      </w:r>
      <w:r>
        <w:t xml:space="preserve">, be distributed in a viable state to a susceptible part of a host, establish in Australia and subsequently spread within Australia is assessed as </w:t>
      </w:r>
      <w:r>
        <w:rPr>
          <w:rStyle w:val="Strong"/>
          <w:color w:val="000000" w:themeColor="text1"/>
        </w:rPr>
        <w:t>High</w:t>
      </w:r>
      <w:r>
        <w:rPr>
          <w:rFonts w:cstheme="minorHAnsi"/>
        </w:rPr>
        <w:t>.</w:t>
      </w:r>
    </w:p>
    <w:p w14:paraId="215ECFEE" w14:textId="77777777" w:rsidR="00BC2F05" w:rsidRPr="00204878" w:rsidRDefault="00772FB6" w:rsidP="008D0946">
      <w:pPr>
        <w:pStyle w:val="Heading4"/>
      </w:pPr>
      <w:r w:rsidRPr="00204878">
        <w:t>Consequences</w:t>
      </w:r>
    </w:p>
    <w:p w14:paraId="4D5BAD42" w14:textId="77777777" w:rsidR="00BC2F05" w:rsidRDefault="00772FB6" w:rsidP="008D0946">
      <w:pPr>
        <w:autoSpaceDE w:val="0"/>
        <w:autoSpaceDN w:val="0"/>
        <w:adjustRightInd w:val="0"/>
      </w:pPr>
      <w:r>
        <w:t xml:space="preserve">The potential consequences of the entry, establishment and spread of </w:t>
      </w:r>
      <w:r>
        <w:rPr>
          <w:rStyle w:val="DefaultParagraphFontwithitalics"/>
        </w:rPr>
        <w:t xml:space="preserve">B. dorsalis </w:t>
      </w:r>
      <w:r>
        <w:rPr>
          <w:rStyle w:val="DefaultParagraphFontwithitalics"/>
          <w:iCs/>
        </w:rPr>
        <w:t xml:space="preserve">and </w:t>
      </w:r>
      <w:r>
        <w:rPr>
          <w:rStyle w:val="DefaultParagraphFontwithitalics"/>
        </w:rPr>
        <w:t>Z. cucurbitae</w:t>
      </w:r>
      <w:r w:rsidRPr="00B30A23">
        <w:rPr>
          <w:rFonts w:cstheme="minorHAnsi"/>
          <w:color w:val="000000"/>
        </w:rPr>
        <w:t xml:space="preserve"> </w:t>
      </w:r>
      <w:r>
        <w:t xml:space="preserve">in Australia are </w:t>
      </w:r>
      <w:proofErr w:type="gramStart"/>
      <w:r>
        <w:t>similar to</w:t>
      </w:r>
      <w:proofErr w:type="gramEnd"/>
      <w:r>
        <w:t xml:space="preserve"> those in the previously assessed pathways. The overall consequences in the previous assessments were assessed as </w:t>
      </w:r>
      <w:r>
        <w:rPr>
          <w:rFonts w:cstheme="minorHAnsi"/>
        </w:rPr>
        <w:t>High</w:t>
      </w:r>
      <w:r>
        <w:t xml:space="preserve">. The overall consequences for the assessed </w:t>
      </w:r>
      <w:r w:rsidRPr="005C1E46">
        <w:rPr>
          <w:rStyle w:val="DefaultParagraphFontwithitalics"/>
          <w:iCs/>
        </w:rPr>
        <w:t>fruit flies</w:t>
      </w:r>
      <w:r>
        <w:t xml:space="preserve"> on the </w:t>
      </w:r>
      <w:r>
        <w:fldChar w:fldCharType="begin" w:fldLock="1"/>
      </w:r>
      <w:r>
        <w:instrText xml:space="preserve"> REF commodity \h  \* MERGEFORMAT </w:instrText>
      </w:r>
      <w:r>
        <w:fldChar w:fldCharType="separate"/>
      </w:r>
      <w:r>
        <w:t>dragon fruit</w:t>
      </w:r>
      <w:r>
        <w:fldChar w:fldCharType="end"/>
      </w:r>
      <w:r>
        <w:t xml:space="preserve"> from </w:t>
      </w:r>
      <w:r>
        <w:fldChar w:fldCharType="begin" w:fldLock="1"/>
      </w:r>
      <w:r>
        <w:instrText xml:space="preserve"> REF country \h  \* MERGEFORMAT </w:instrText>
      </w:r>
      <w:r>
        <w:fldChar w:fldCharType="separate"/>
      </w:r>
      <w:r>
        <w:t>the Philippines</w:t>
      </w:r>
      <w:r>
        <w:fldChar w:fldCharType="end"/>
      </w:r>
      <w:r>
        <w:t xml:space="preserve"> pathway </w:t>
      </w:r>
      <w:proofErr w:type="gramStart"/>
      <w:r>
        <w:t>are</w:t>
      </w:r>
      <w:proofErr w:type="gramEnd"/>
      <w:r>
        <w:t xml:space="preserve"> also assessed as </w:t>
      </w:r>
      <w:r>
        <w:rPr>
          <w:rStyle w:val="Strong"/>
        </w:rPr>
        <w:t>High</w:t>
      </w:r>
      <w:r>
        <w:t>.</w:t>
      </w:r>
    </w:p>
    <w:p w14:paraId="5112A7F9" w14:textId="77777777" w:rsidR="00BC2F05" w:rsidRPr="008C2F17" w:rsidRDefault="00772FB6" w:rsidP="008D0946">
      <w:pPr>
        <w:pStyle w:val="Heading4"/>
      </w:pPr>
      <w:r w:rsidRPr="008C2F17">
        <w:t>Unrestricted risk estimate</w:t>
      </w:r>
    </w:p>
    <w:p w14:paraId="53C2E3FB" w14:textId="77777777" w:rsidR="00BC2F05" w:rsidRDefault="00772FB6" w:rsidP="008D0946">
      <w:pPr>
        <w:autoSpaceDE w:val="0"/>
        <w:autoSpaceDN w:val="0"/>
        <w:adjustRightInd w:val="0"/>
        <w:rPr>
          <w:rFonts w:cstheme="minorHAnsi"/>
          <w:color w:val="000000"/>
        </w:rPr>
      </w:pPr>
      <w:r>
        <w:rPr>
          <w:rFonts w:cstheme="minorHAnsi"/>
          <w:color w:val="000000"/>
        </w:rPr>
        <w:t>Unrestricted risk is the result of combining the overall likelihood of entry, establishment and spread with the outcome of overall consequences</w:t>
      </w:r>
      <w:r w:rsidRPr="00C77F75">
        <w:rPr>
          <w:rFonts w:cstheme="minorHAnsi"/>
          <w:color w:val="000000"/>
        </w:rPr>
        <w:t xml:space="preserve">. </w:t>
      </w:r>
      <w:r>
        <w:rPr>
          <w:rFonts w:cstheme="minorHAnsi"/>
          <w:color w:val="000000"/>
        </w:rPr>
        <w:t>The l</w:t>
      </w:r>
      <w:r w:rsidRPr="00C77F75">
        <w:rPr>
          <w:rFonts w:cstheme="minorHAnsi"/>
          <w:color w:val="000000"/>
        </w:rPr>
        <w:t>ikelihoods and consequence</w:t>
      </w:r>
      <w:r>
        <w:rPr>
          <w:rFonts w:cstheme="minorHAnsi"/>
          <w:color w:val="000000"/>
        </w:rPr>
        <w:t>s</w:t>
      </w:r>
      <w:r w:rsidRPr="00C77F75">
        <w:rPr>
          <w:rFonts w:cstheme="minorHAnsi"/>
          <w:color w:val="000000"/>
        </w:rPr>
        <w:t xml:space="preserve"> are combined using the </w:t>
      </w:r>
      <w:r>
        <w:rPr>
          <w:rFonts w:cstheme="minorHAnsi"/>
          <w:color w:val="000000"/>
        </w:rPr>
        <w:t xml:space="preserve">risk estimation matrix in </w:t>
      </w:r>
      <w:r>
        <w:rPr>
          <w:rFonts w:cstheme="minorHAnsi"/>
          <w:color w:val="000000"/>
        </w:rPr>
        <w:fldChar w:fldCharType="begin" w:fldLock="1"/>
      </w:r>
      <w:r>
        <w:rPr>
          <w:rFonts w:cstheme="minorHAnsi"/>
          <w:color w:val="000000"/>
        </w:rPr>
        <w:instrText xml:space="preserve"> REF Table_A4 \h </w:instrText>
      </w:r>
      <w:r>
        <w:rPr>
          <w:rFonts w:cstheme="minorHAnsi"/>
          <w:color w:val="000000"/>
        </w:rPr>
      </w:r>
      <w:r>
        <w:rPr>
          <w:rFonts w:cstheme="minorHAnsi"/>
          <w:color w:val="000000"/>
        </w:rPr>
        <w:fldChar w:fldCharType="separate"/>
      </w:r>
      <w:r w:rsidRPr="00254112">
        <w:t xml:space="preserve">Table </w:t>
      </w:r>
      <w:r>
        <w:rPr>
          <w:noProof/>
        </w:rPr>
        <w:t>A.4</w:t>
      </w:r>
      <w:r>
        <w:rPr>
          <w:rFonts w:cstheme="minorHAnsi"/>
          <w:color w:val="000000"/>
        </w:rPr>
        <w:fldChar w:fldCharType="end"/>
      </w:r>
      <w:r>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C80041" w14:paraId="7EE4341D" w14:textId="77777777" w:rsidTr="00976665">
        <w:trPr>
          <w:trHeight w:val="423"/>
        </w:trPr>
        <w:tc>
          <w:tcPr>
            <w:tcW w:w="5000" w:type="pct"/>
            <w:gridSpan w:val="2"/>
            <w:tcBorders>
              <w:top w:val="single" w:sz="4" w:space="0" w:color="auto"/>
              <w:bottom w:val="single" w:sz="4" w:space="0" w:color="auto"/>
            </w:tcBorders>
            <w:shd w:val="clear" w:color="auto" w:fill="auto"/>
            <w:hideMark/>
          </w:tcPr>
          <w:p w14:paraId="76B0FCEE" w14:textId="77777777" w:rsidR="00BC2F05" w:rsidRDefault="00772FB6" w:rsidP="00976665">
            <w:pPr>
              <w:pStyle w:val="TableHeading"/>
            </w:pPr>
            <w:r>
              <w:t xml:space="preserve">Unrestricted risk estimate for </w:t>
            </w:r>
            <w:r w:rsidRPr="00172703">
              <w:rPr>
                <w:rStyle w:val="DefaultParagraphFontwithitalics"/>
              </w:rPr>
              <w:t xml:space="preserve">Bactrocera dorsalis </w:t>
            </w:r>
            <w:r w:rsidRPr="00252C4A">
              <w:rPr>
                <w:rStyle w:val="DefaultParagraphFontwithitalics"/>
              </w:rPr>
              <w:t>and</w:t>
            </w:r>
            <w:r w:rsidRPr="00172703">
              <w:rPr>
                <w:rStyle w:val="DefaultParagraphFontwithitalics"/>
              </w:rPr>
              <w:t xml:space="preserve"> Zeugodacus </w:t>
            </w:r>
            <w:r>
              <w:rPr>
                <w:rStyle w:val="DefaultParagraphFontwithitalics"/>
              </w:rPr>
              <w:t>cucurbitae</w:t>
            </w:r>
          </w:p>
        </w:tc>
      </w:tr>
      <w:tr w:rsidR="00C80041" w14:paraId="1F9BBFCA" w14:textId="77777777" w:rsidTr="00976665">
        <w:trPr>
          <w:trHeight w:val="273"/>
        </w:trPr>
        <w:tc>
          <w:tcPr>
            <w:tcW w:w="3417" w:type="pct"/>
            <w:tcBorders>
              <w:top w:val="single" w:sz="4" w:space="0" w:color="auto"/>
              <w:bottom w:val="nil"/>
            </w:tcBorders>
            <w:shd w:val="clear" w:color="auto" w:fill="auto"/>
            <w:hideMark/>
          </w:tcPr>
          <w:p w14:paraId="13B02DE8" w14:textId="77777777" w:rsidR="00BC2F05" w:rsidRDefault="00772FB6" w:rsidP="00976665">
            <w:pPr>
              <w:pStyle w:val="TableText"/>
            </w:pPr>
            <w:r>
              <w:t>Overall likelihood of entry, establishment and spread</w:t>
            </w:r>
          </w:p>
        </w:tc>
        <w:tc>
          <w:tcPr>
            <w:tcW w:w="1583" w:type="pct"/>
            <w:tcBorders>
              <w:top w:val="single" w:sz="4" w:space="0" w:color="auto"/>
              <w:bottom w:val="nil"/>
            </w:tcBorders>
            <w:shd w:val="clear" w:color="auto" w:fill="auto"/>
            <w:hideMark/>
          </w:tcPr>
          <w:p w14:paraId="68DDCA03" w14:textId="77777777" w:rsidR="00BC2F05" w:rsidRDefault="00772FB6" w:rsidP="00976665">
            <w:pPr>
              <w:pStyle w:val="TableText"/>
            </w:pPr>
            <w:r>
              <w:t>High</w:t>
            </w:r>
          </w:p>
        </w:tc>
      </w:tr>
      <w:tr w:rsidR="00C80041" w14:paraId="511E13DF" w14:textId="77777777" w:rsidTr="00976665">
        <w:trPr>
          <w:trHeight w:val="284"/>
        </w:trPr>
        <w:tc>
          <w:tcPr>
            <w:tcW w:w="3417" w:type="pct"/>
            <w:tcBorders>
              <w:top w:val="nil"/>
              <w:bottom w:val="nil"/>
            </w:tcBorders>
            <w:shd w:val="clear" w:color="auto" w:fill="auto"/>
            <w:hideMark/>
          </w:tcPr>
          <w:p w14:paraId="35197509" w14:textId="77777777" w:rsidR="00BC2F05" w:rsidRDefault="00772FB6" w:rsidP="00976665">
            <w:pPr>
              <w:pStyle w:val="TableText"/>
            </w:pPr>
            <w:r>
              <w:t>Consequences</w:t>
            </w:r>
          </w:p>
        </w:tc>
        <w:tc>
          <w:tcPr>
            <w:tcW w:w="1583" w:type="pct"/>
            <w:tcBorders>
              <w:top w:val="nil"/>
              <w:bottom w:val="nil"/>
            </w:tcBorders>
            <w:shd w:val="clear" w:color="auto" w:fill="auto"/>
            <w:hideMark/>
          </w:tcPr>
          <w:p w14:paraId="2CABAD24" w14:textId="77777777" w:rsidR="00BC2F05" w:rsidRDefault="00772FB6" w:rsidP="00976665">
            <w:pPr>
              <w:pStyle w:val="TableText"/>
            </w:pPr>
            <w:r>
              <w:t>High</w:t>
            </w:r>
          </w:p>
        </w:tc>
      </w:tr>
      <w:tr w:rsidR="00C80041" w14:paraId="770B603D" w14:textId="77777777" w:rsidTr="00976665">
        <w:trPr>
          <w:trHeight w:val="284"/>
        </w:trPr>
        <w:tc>
          <w:tcPr>
            <w:tcW w:w="3417" w:type="pct"/>
            <w:tcBorders>
              <w:top w:val="nil"/>
            </w:tcBorders>
            <w:shd w:val="clear" w:color="auto" w:fill="auto"/>
            <w:hideMark/>
          </w:tcPr>
          <w:p w14:paraId="09ED2B08" w14:textId="77777777" w:rsidR="00BC2F05" w:rsidRDefault="00772FB6" w:rsidP="00976665">
            <w:pPr>
              <w:pStyle w:val="TableText"/>
            </w:pPr>
            <w:r>
              <w:t>Unrestricted risk</w:t>
            </w:r>
          </w:p>
        </w:tc>
        <w:tc>
          <w:tcPr>
            <w:tcW w:w="1583" w:type="pct"/>
            <w:tcBorders>
              <w:top w:val="nil"/>
            </w:tcBorders>
            <w:shd w:val="clear" w:color="auto" w:fill="auto"/>
            <w:hideMark/>
          </w:tcPr>
          <w:p w14:paraId="6A987D4A" w14:textId="77777777" w:rsidR="00BC2F05" w:rsidRDefault="00772FB6" w:rsidP="00976665">
            <w:pPr>
              <w:pStyle w:val="TableText"/>
              <w:rPr>
                <w:color w:val="63B1E5"/>
              </w:rPr>
            </w:pPr>
            <w:r>
              <w:t>High</w:t>
            </w:r>
          </w:p>
        </w:tc>
      </w:tr>
    </w:tbl>
    <w:p w14:paraId="0A77F4A2" w14:textId="77777777" w:rsidR="00BC2F05" w:rsidRDefault="00772FB6" w:rsidP="008D0946">
      <w:pPr>
        <w:spacing w:before="200"/>
      </w:pPr>
      <w:r>
        <w:rPr>
          <w:rFonts w:cstheme="minorHAnsi"/>
          <w:color w:val="000000"/>
        </w:rPr>
        <w:lastRenderedPageBreak/>
        <w:t>The URE</w:t>
      </w:r>
      <w:r w:rsidRPr="00C77F75">
        <w:rPr>
          <w:rFonts w:cstheme="minorHAnsi"/>
          <w:color w:val="000000"/>
        </w:rPr>
        <w:t xml:space="preserve"> for </w:t>
      </w:r>
      <w:r>
        <w:rPr>
          <w:rStyle w:val="DefaultParagraphFontwithitalics"/>
        </w:rPr>
        <w:t>B.</w:t>
      </w:r>
      <w:r w:rsidRPr="00172703">
        <w:rPr>
          <w:rStyle w:val="DefaultParagraphFontwithitalics"/>
        </w:rPr>
        <w:t xml:space="preserve"> dorsalis </w:t>
      </w:r>
      <w:r w:rsidRPr="00252C4A">
        <w:rPr>
          <w:rStyle w:val="DefaultParagraphFontwithitalics"/>
        </w:rPr>
        <w:t>and</w:t>
      </w:r>
      <w:r w:rsidRPr="00172703">
        <w:rPr>
          <w:rStyle w:val="DefaultParagraphFontwithitalics"/>
        </w:rPr>
        <w:t xml:space="preserve"> </w:t>
      </w:r>
      <w:r>
        <w:rPr>
          <w:rStyle w:val="DefaultParagraphFontwithitalics"/>
        </w:rPr>
        <w:t>Z.</w:t>
      </w:r>
      <w:r w:rsidRPr="00172703">
        <w:rPr>
          <w:rStyle w:val="DefaultParagraphFontwithitalics"/>
        </w:rPr>
        <w:t xml:space="preserve"> </w:t>
      </w:r>
      <w:r>
        <w:rPr>
          <w:rStyle w:val="DefaultParagraphFontwithitalics"/>
        </w:rPr>
        <w:t>cucurbitae</w:t>
      </w:r>
      <w:r w:rsidRPr="00C77F75">
        <w:rPr>
          <w:rFonts w:cstheme="minorHAnsi"/>
          <w:i/>
          <w:iCs/>
          <w:color w:val="000000"/>
        </w:rPr>
        <w:t xml:space="preserve"> </w:t>
      </w:r>
      <w:r w:rsidRPr="00C77F75">
        <w:rPr>
          <w:rFonts w:cstheme="minorHAnsi"/>
          <w:color w:val="000000"/>
        </w:rPr>
        <w:t>o</w:t>
      </w:r>
      <w:r>
        <w:rPr>
          <w:rFonts w:cstheme="minorHAnsi"/>
          <w:color w:val="000000"/>
        </w:rPr>
        <w:t xml:space="preserve">n the </w:t>
      </w:r>
      <w:r>
        <w:rPr>
          <w:rFonts w:cstheme="minorHAnsi"/>
          <w:color w:val="000000"/>
        </w:rPr>
        <w:fldChar w:fldCharType="begin" w:fldLock="1"/>
      </w:r>
      <w:r>
        <w:rPr>
          <w:rFonts w:cstheme="minorHAnsi"/>
          <w:color w:val="000000"/>
        </w:rPr>
        <w:instrText xml:space="preserve"> REF commodity \h  \* MERGEFORMAT </w:instrText>
      </w:r>
      <w:r>
        <w:rPr>
          <w:rFonts w:cstheme="minorHAnsi"/>
          <w:color w:val="000000"/>
        </w:rPr>
      </w:r>
      <w:r>
        <w:rPr>
          <w:rFonts w:cstheme="minorHAnsi"/>
          <w:color w:val="000000"/>
        </w:rPr>
        <w:fldChar w:fldCharType="separate"/>
      </w:r>
      <w:r>
        <w:t>dragon fruit</w:t>
      </w:r>
      <w:r>
        <w:rPr>
          <w:rFonts w:cstheme="minorHAnsi"/>
          <w:color w:val="000000"/>
        </w:rPr>
        <w:fldChar w:fldCharType="end"/>
      </w:r>
      <w:r>
        <w:rPr>
          <w:rFonts w:cstheme="minorHAnsi"/>
          <w:color w:val="000000"/>
        </w:rPr>
        <w:t xml:space="preserve"> </w:t>
      </w:r>
      <w:r w:rsidRPr="00C77F75">
        <w:rPr>
          <w:rFonts w:cstheme="minorHAnsi"/>
          <w:color w:val="000000"/>
        </w:rPr>
        <w:t>fro</w:t>
      </w:r>
      <w:r>
        <w:rPr>
          <w:rFonts w:cstheme="minorHAnsi"/>
          <w:color w:val="000000"/>
        </w:rPr>
        <w:t xml:space="preserve">m </w:t>
      </w:r>
      <w:r>
        <w:rPr>
          <w:rFonts w:cstheme="minorHAnsi"/>
          <w:color w:val="000000"/>
        </w:rPr>
        <w:fldChar w:fldCharType="begin" w:fldLock="1"/>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t>the Philippines</w:t>
      </w:r>
      <w:r>
        <w:rPr>
          <w:rFonts w:cstheme="minorHAnsi"/>
          <w:color w:val="000000"/>
        </w:rPr>
        <w:fldChar w:fldCharType="end"/>
      </w:r>
      <w:r>
        <w:rPr>
          <w:rFonts w:cstheme="minorHAnsi"/>
          <w:color w:val="000000"/>
        </w:rPr>
        <w:t xml:space="preserve"> is</w:t>
      </w:r>
      <w:r w:rsidRPr="00C77F75">
        <w:rPr>
          <w:rFonts w:cstheme="minorHAnsi"/>
          <w:color w:val="000000"/>
        </w:rPr>
        <w:t xml:space="preserve"> assessed as </w:t>
      </w:r>
      <w:r>
        <w:rPr>
          <w:rStyle w:val="Strong"/>
        </w:rPr>
        <w:t>High</w:t>
      </w:r>
      <w:r w:rsidRPr="00C77F75">
        <w:rPr>
          <w:rFonts w:cstheme="minorHAnsi"/>
          <w:color w:val="000000"/>
        </w:rPr>
        <w:t xml:space="preserve">, which </w:t>
      </w:r>
      <w:r>
        <w:t>does not achieve</w:t>
      </w:r>
      <w:r w:rsidRPr="00C77F75">
        <w:rPr>
          <w:rFonts w:cstheme="minorHAnsi"/>
          <w:color w:val="000000"/>
        </w:rPr>
        <w:t xml:space="preserve"> the ALOP for Australia. </w:t>
      </w:r>
      <w:r w:rsidRPr="00C77F75">
        <w:t xml:space="preserve">Therefore, specific risk management measures are required for </w:t>
      </w:r>
      <w:r w:rsidRPr="005C1E46">
        <w:rPr>
          <w:rStyle w:val="DefaultParagraphFontwithitalics"/>
          <w:iCs/>
        </w:rPr>
        <w:t>fruit flies</w:t>
      </w:r>
      <w:r w:rsidRPr="00C77F75">
        <w:t xml:space="preserve"> on </w:t>
      </w:r>
      <w:r>
        <w:t xml:space="preserve">this </w:t>
      </w:r>
      <w:r w:rsidRPr="00C77F75">
        <w:t>pathway.</w:t>
      </w:r>
      <w:r>
        <w:br w:type="page"/>
      </w:r>
    </w:p>
    <w:p w14:paraId="36F090B1" w14:textId="77777777" w:rsidR="00BC2F05" w:rsidRDefault="00772FB6" w:rsidP="008D0946">
      <w:pPr>
        <w:pStyle w:val="Heading3"/>
      </w:pPr>
      <w:bookmarkStart w:id="107" w:name="_Toc119493105"/>
      <w:bookmarkStart w:id="108" w:name="_Hlk89243609"/>
      <w:r>
        <w:lastRenderedPageBreak/>
        <w:t>Mealybugs</w:t>
      </w:r>
      <w:bookmarkEnd w:id="107"/>
    </w:p>
    <w:p w14:paraId="45EBA5BA" w14:textId="77777777" w:rsidR="00BC2F05" w:rsidRPr="00380DD0" w:rsidRDefault="00772FB6" w:rsidP="008D0946">
      <w:pPr>
        <w:numPr>
          <w:ilvl w:val="1"/>
          <w:numId w:val="0"/>
        </w:numPr>
        <w:spacing w:before="120"/>
        <w:rPr>
          <w:b/>
          <w:bCs/>
          <w:i/>
          <w:iCs/>
          <w:color w:val="000000" w:themeColor="text1"/>
        </w:rPr>
      </w:pPr>
      <w:r w:rsidRPr="007454D9">
        <w:rPr>
          <w:b/>
          <w:bCs/>
          <w:i/>
          <w:iCs/>
        </w:rPr>
        <w:t>Dysmicoccus neobrevipes</w:t>
      </w:r>
      <w:r>
        <w:rPr>
          <w:b/>
          <w:bCs/>
          <w:i/>
          <w:iCs/>
        </w:rPr>
        <w:t xml:space="preserve"> </w:t>
      </w:r>
      <w:r w:rsidRPr="007454D9">
        <w:rPr>
          <w:b/>
          <w:bCs/>
        </w:rPr>
        <w:t>(</w:t>
      </w:r>
      <w:r>
        <w:rPr>
          <w:b/>
          <w:bCs/>
        </w:rPr>
        <w:t>G</w:t>
      </w:r>
      <w:r w:rsidRPr="007454D9">
        <w:rPr>
          <w:b/>
          <w:bCs/>
        </w:rPr>
        <w:t>P)</w:t>
      </w:r>
      <w:r w:rsidRPr="007454D9">
        <w:rPr>
          <w:b/>
          <w:bCs/>
          <w:i/>
          <w:iCs/>
        </w:rPr>
        <w:t>, Paracoccus marginatus</w:t>
      </w:r>
      <w:r>
        <w:rPr>
          <w:b/>
          <w:bCs/>
          <w:i/>
          <w:iCs/>
        </w:rPr>
        <w:t xml:space="preserve"> </w:t>
      </w:r>
      <w:r>
        <w:rPr>
          <w:b/>
          <w:bCs/>
        </w:rPr>
        <w:t>(G</w:t>
      </w:r>
      <w:r w:rsidRPr="007454D9">
        <w:rPr>
          <w:b/>
          <w:bCs/>
        </w:rPr>
        <w:t>P)</w:t>
      </w:r>
      <w:r w:rsidRPr="007454D9">
        <w:rPr>
          <w:b/>
          <w:bCs/>
          <w:i/>
          <w:iCs/>
        </w:rPr>
        <w:t>, Pseudococcus jackbeardsleyi</w:t>
      </w:r>
      <w:r>
        <w:rPr>
          <w:b/>
          <w:bCs/>
          <w:i/>
          <w:iCs/>
        </w:rPr>
        <w:t xml:space="preserve"> </w:t>
      </w:r>
      <w:r w:rsidRPr="007454D9">
        <w:rPr>
          <w:b/>
          <w:bCs/>
        </w:rPr>
        <w:t>(</w:t>
      </w:r>
      <w:r>
        <w:rPr>
          <w:b/>
          <w:bCs/>
        </w:rPr>
        <w:t>G</w:t>
      </w:r>
      <w:r w:rsidRPr="007454D9">
        <w:rPr>
          <w:b/>
          <w:bCs/>
        </w:rPr>
        <w:t>P</w:t>
      </w:r>
      <w:r>
        <w:rPr>
          <w:b/>
          <w:bCs/>
        </w:rPr>
        <w:t>)</w:t>
      </w:r>
    </w:p>
    <w:p w14:paraId="7C4198B9" w14:textId="77777777" w:rsidR="00BC2F05" w:rsidRDefault="00772FB6" w:rsidP="008D0946">
      <w:bookmarkStart w:id="109" w:name="_Ref90880934"/>
      <w:r>
        <w:t xml:space="preserve">Three mealybug species were identified on the </w:t>
      </w:r>
      <w:r w:rsidRPr="004770A8">
        <w:fldChar w:fldCharType="begin" w:fldLock="1"/>
      </w:r>
      <w:r w:rsidRPr="004770A8">
        <w:instrText xml:space="preserve"> REF  commodity \* Lower \h </w:instrText>
      </w:r>
      <w:r>
        <w:instrText xml:space="preserve"> \* MERGEFORMAT </w:instrText>
      </w:r>
      <w:r w:rsidRPr="004770A8">
        <w:fldChar w:fldCharType="separate"/>
      </w:r>
      <w:r>
        <w:t>dragon fruit</w:t>
      </w:r>
      <w:r w:rsidRPr="004770A8">
        <w:fldChar w:fldCharType="end"/>
      </w:r>
      <w:r>
        <w:t xml:space="preserve"> from </w:t>
      </w:r>
      <w:r>
        <w:fldChar w:fldCharType="begin" w:fldLock="1"/>
      </w:r>
      <w:r>
        <w:instrText xml:space="preserve"> REF country \h </w:instrText>
      </w:r>
      <w:r>
        <w:fldChar w:fldCharType="separate"/>
      </w:r>
      <w:r>
        <w:t>the Philippines</w:t>
      </w:r>
      <w:r>
        <w:fldChar w:fldCharType="end"/>
      </w:r>
      <w:r>
        <w:t xml:space="preserve"> pathway as  quarantine pests for Australia: </w:t>
      </w:r>
      <w:r w:rsidRPr="00C60365">
        <w:rPr>
          <w:i/>
          <w:iCs/>
        </w:rPr>
        <w:t>Dysmicoccus neobrevipes</w:t>
      </w:r>
      <w:r>
        <w:rPr>
          <w:i/>
          <w:iCs/>
        </w:rPr>
        <w:t xml:space="preserve"> </w:t>
      </w:r>
      <w:r>
        <w:t>(grey pineapple mealybug)</w:t>
      </w:r>
      <w:r w:rsidRPr="00C60365">
        <w:rPr>
          <w:i/>
          <w:iCs/>
        </w:rPr>
        <w:t>, Paracoccus marginatus</w:t>
      </w:r>
      <w:r>
        <w:rPr>
          <w:i/>
          <w:iCs/>
        </w:rPr>
        <w:t xml:space="preserve"> </w:t>
      </w:r>
      <w:r>
        <w:t>(papaya mealybug)</w:t>
      </w:r>
      <w:r w:rsidRPr="00C60365">
        <w:rPr>
          <w:i/>
          <w:iCs/>
        </w:rPr>
        <w:t xml:space="preserve"> </w:t>
      </w:r>
      <w:r>
        <w:t>and</w:t>
      </w:r>
      <w:r w:rsidRPr="00C60365">
        <w:rPr>
          <w:i/>
          <w:iCs/>
        </w:rPr>
        <w:t xml:space="preserve"> Pseudococcus jackbeardsleyi</w:t>
      </w:r>
      <w:r>
        <w:rPr>
          <w:i/>
          <w:iCs/>
        </w:rPr>
        <w:t xml:space="preserve"> </w:t>
      </w:r>
      <w:r>
        <w:t>(</w:t>
      </w:r>
      <w:bookmarkStart w:id="110" w:name="_Hlk100317725"/>
      <w:r>
        <w:rPr>
          <w:color w:val="000000" w:themeColor="text1"/>
          <w:lang w:val="pt-BR"/>
        </w:rPr>
        <w:t>Jack Beardsley mealybug</w:t>
      </w:r>
      <w:bookmarkEnd w:id="110"/>
      <w:r>
        <w:rPr>
          <w:color w:val="000000" w:themeColor="text1"/>
          <w:lang w:val="pt-BR"/>
        </w:rPr>
        <w:t>)</w:t>
      </w:r>
      <w:r>
        <w:t xml:space="preserve"> (</w:t>
      </w:r>
      <w:r>
        <w:fldChar w:fldCharType="begin" w:fldLock="1"/>
      </w:r>
      <w:r>
        <w:instrText xml:space="preserve"> REF _Ref109218725 \h </w:instrText>
      </w:r>
      <w:r>
        <w:fldChar w:fldCharType="separate"/>
      </w:r>
      <w:r>
        <w:t xml:space="preserve">Table </w:t>
      </w:r>
      <w:r>
        <w:rPr>
          <w:noProof/>
        </w:rPr>
        <w:t>3</w:t>
      </w:r>
      <w:r>
        <w:t>.</w:t>
      </w:r>
      <w:r>
        <w:rPr>
          <w:noProof/>
        </w:rPr>
        <w:t>2</w:t>
      </w:r>
      <w:r>
        <w:fldChar w:fldCharType="end"/>
      </w:r>
      <w:r>
        <w:t>)</w:t>
      </w:r>
      <w:r w:rsidRPr="00772548">
        <w:t>.</w:t>
      </w:r>
    </w:p>
    <w:p w14:paraId="7B8CEE55" w14:textId="77777777" w:rsidR="00BC2F05" w:rsidRPr="00772548" w:rsidRDefault="00772FB6" w:rsidP="008D0946">
      <w:r w:rsidRPr="00772548">
        <w:t xml:space="preserve">The indicative likelihood of entry for </w:t>
      </w:r>
      <w:r>
        <w:t>all quarantine</w:t>
      </w:r>
      <w:r w:rsidRPr="00772548">
        <w:t xml:space="preserve"> </w:t>
      </w:r>
      <w:r>
        <w:t>mealybugs</w:t>
      </w:r>
      <w:r w:rsidRPr="00772548">
        <w:t xml:space="preserve"> is assessed as Moderate</w:t>
      </w:r>
      <w:r>
        <w:t xml:space="preserve"> </w:t>
      </w:r>
      <w:r w:rsidRPr="00772548">
        <w:t xml:space="preserve">in the </w:t>
      </w:r>
      <w:r>
        <w:t>mealybugs</w:t>
      </w:r>
      <w:r w:rsidRPr="00772548">
        <w:t xml:space="preserve"> Group PRA </w:t>
      </w:r>
      <w:r>
        <w:rPr>
          <w:noProof/>
        </w:rPr>
        <w:t>(DAWR 2019)</w:t>
      </w:r>
      <w:r w:rsidRPr="00772548">
        <w:t xml:space="preserve">. </w:t>
      </w:r>
      <w:r w:rsidRPr="00C60365">
        <w:rPr>
          <w:i/>
          <w:iCs/>
        </w:rPr>
        <w:t xml:space="preserve">Dysmicoccus neobrevipes, </w:t>
      </w:r>
      <w:r>
        <w:rPr>
          <w:i/>
          <w:iCs/>
        </w:rPr>
        <w:t>P.</w:t>
      </w:r>
      <w:r w:rsidRPr="00C60365">
        <w:rPr>
          <w:i/>
          <w:iCs/>
        </w:rPr>
        <w:t xml:space="preserve"> marginatus</w:t>
      </w:r>
      <w:r>
        <w:rPr>
          <w:i/>
          <w:iCs/>
        </w:rPr>
        <w:t xml:space="preserve"> </w:t>
      </w:r>
      <w:r>
        <w:t>and</w:t>
      </w:r>
      <w:r w:rsidRPr="00C60365">
        <w:rPr>
          <w:i/>
          <w:iCs/>
        </w:rPr>
        <w:t xml:space="preserve"> </w:t>
      </w:r>
      <w:r>
        <w:rPr>
          <w:i/>
          <w:iCs/>
        </w:rPr>
        <w:t>P. </w:t>
      </w:r>
      <w:r w:rsidRPr="00C60365">
        <w:rPr>
          <w:i/>
          <w:iCs/>
        </w:rPr>
        <w:t>jackbeardsleyi</w:t>
      </w:r>
      <w:r>
        <w:rPr>
          <w:i/>
          <w:iCs/>
        </w:rPr>
        <w:t xml:space="preserve"> </w:t>
      </w:r>
      <w:r>
        <w:t xml:space="preserve">are reported from the Philippines and are associated with the fruit of dragon fruit </w:t>
      </w:r>
      <w:r>
        <w:rPr>
          <w:noProof/>
          <w:szCs w:val="16"/>
        </w:rPr>
        <w:t>(Doan et al. 2016; García Morales et al. 2022; Ruíz Ronquillo 2021; Sartiami et al. 2019; USDA-APHIS 2008)</w:t>
      </w:r>
      <w:r>
        <w:rPr>
          <w:i/>
          <w:iCs/>
        </w:rPr>
        <w:t>.</w:t>
      </w:r>
      <w:r>
        <w:t xml:space="preserve"> Standard packing house processes and transportation are not expected to manage the risk of</w:t>
      </w:r>
      <w:r w:rsidRPr="0005548D">
        <w:t xml:space="preserve"> </w:t>
      </w:r>
      <w:r>
        <w:t xml:space="preserve">these mealybugs on the pathway. </w:t>
      </w:r>
      <w:r w:rsidRPr="001844F4">
        <w:t>After assessment of relevant pathway-specific factors (</w:t>
      </w:r>
      <w:r w:rsidRPr="001844F4">
        <w:rPr>
          <w:color w:val="000000" w:themeColor="text1"/>
        </w:rPr>
        <w:t xml:space="preserve">sections A2.6 and </w:t>
      </w:r>
      <w:r w:rsidRPr="001844F4">
        <w:rPr>
          <w:color w:val="000000" w:themeColor="text1"/>
        </w:rPr>
        <w:fldChar w:fldCharType="begin" w:fldLock="1"/>
      </w:r>
      <w:r w:rsidRPr="001844F4">
        <w:rPr>
          <w:color w:val="000000" w:themeColor="text1"/>
        </w:rPr>
        <w:instrText xml:space="preserve"> REF A_2_7 \h  \* MERGEFORMAT </w:instrText>
      </w:r>
      <w:r w:rsidRPr="001844F4">
        <w:rPr>
          <w:color w:val="000000" w:themeColor="text1"/>
        </w:rPr>
      </w:r>
      <w:r w:rsidRPr="001844F4">
        <w:rPr>
          <w:color w:val="000000" w:themeColor="text1"/>
        </w:rPr>
        <w:fldChar w:fldCharType="separate"/>
      </w:r>
      <w:r w:rsidRPr="001844F4">
        <w:t>A</w:t>
      </w:r>
      <w:r w:rsidRPr="001844F4">
        <w:rPr>
          <w:color w:val="000000" w:themeColor="text1"/>
        </w:rPr>
        <w:fldChar w:fldCharType="end"/>
      </w:r>
      <w:r w:rsidRPr="001844F4">
        <w:rPr>
          <w:color w:val="000000" w:themeColor="text1"/>
        </w:rPr>
        <w:t>2.7)</w:t>
      </w:r>
      <w:r w:rsidRPr="001844F4">
        <w:t xml:space="preserve"> for </w:t>
      </w:r>
      <w:r w:rsidRPr="001844F4">
        <w:rPr>
          <w:color w:val="000000" w:themeColor="text1"/>
        </w:rPr>
        <w:fldChar w:fldCharType="begin" w:fldLock="1"/>
      </w:r>
      <w:r w:rsidRPr="001844F4">
        <w:rPr>
          <w:color w:val="000000" w:themeColor="text1"/>
        </w:rPr>
        <w:instrText xml:space="preserve"> REF  commodity \* Lower  \* MERGEFORMAT </w:instrText>
      </w:r>
      <w:r w:rsidRPr="001844F4">
        <w:rPr>
          <w:color w:val="000000" w:themeColor="text1"/>
        </w:rPr>
        <w:fldChar w:fldCharType="separate"/>
      </w:r>
      <w:r w:rsidRPr="001844F4">
        <w:t>dragon fruit</w:t>
      </w:r>
      <w:r w:rsidRPr="001844F4">
        <w:rPr>
          <w:color w:val="000000" w:themeColor="text1"/>
        </w:rPr>
        <w:fldChar w:fldCharType="end"/>
      </w:r>
      <w:r w:rsidRPr="001844F4">
        <w:t xml:space="preserve"> from </w:t>
      </w:r>
      <w:fldSimple w:instr=" REF Country  \* MERGEFORMAT " w:fldLock="1">
        <w:r w:rsidRPr="001844F4">
          <w:t>the Philippines</w:t>
        </w:r>
      </w:fldSimple>
      <w:r w:rsidRPr="001844F4">
        <w:t>, the likelihood of entry of Moderate was verified as appropriate for these mealybug species on this pathway (</w:t>
      </w:r>
      <w:r w:rsidRPr="001844F4">
        <w:fldChar w:fldCharType="begin" w:fldLock="1"/>
      </w:r>
      <w:r w:rsidRPr="001844F4">
        <w:instrText xml:space="preserve"> REF _Ref109218725 \h  \* MERGEFORMAT </w:instrText>
      </w:r>
      <w:r w:rsidRPr="001844F4">
        <w:fldChar w:fldCharType="separate"/>
      </w:r>
      <w:r w:rsidRPr="001844F4">
        <w:t xml:space="preserve">Table </w:t>
      </w:r>
      <w:r w:rsidRPr="001844F4">
        <w:rPr>
          <w:noProof/>
        </w:rPr>
        <w:t>3</w:t>
      </w:r>
      <w:r w:rsidRPr="001844F4">
        <w:t>.</w:t>
      </w:r>
      <w:r w:rsidRPr="001844F4">
        <w:rPr>
          <w:noProof/>
        </w:rPr>
        <w:t>2</w:t>
      </w:r>
      <w:r w:rsidRPr="001844F4">
        <w:fldChar w:fldCharType="end"/>
      </w:r>
      <w:r w:rsidRPr="001844F4">
        <w:t>).</w:t>
      </w:r>
    </w:p>
    <w:p w14:paraId="68A04044" w14:textId="77777777" w:rsidR="00BC2F05" w:rsidRPr="00286184" w:rsidRDefault="00772FB6" w:rsidP="00BE64E7">
      <w:pPr>
        <w:pStyle w:val="Tablecaption"/>
      </w:pPr>
      <w:bookmarkStart w:id="111" w:name="_Ref109218725"/>
      <w:bookmarkStart w:id="112" w:name="_Toc113430649"/>
      <w:bookmarkStart w:id="113" w:name="_Toc119493134"/>
      <w:r>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2</w:t>
      </w:r>
      <w:r w:rsidR="000C0A09">
        <w:rPr>
          <w:noProof/>
        </w:rPr>
        <w:fldChar w:fldCharType="end"/>
      </w:r>
      <w:bookmarkEnd w:id="109"/>
      <w:bookmarkEnd w:id="111"/>
      <w:r>
        <w:t xml:space="preserve"> </w:t>
      </w:r>
      <w:bookmarkStart w:id="114" w:name="_Ref109218718"/>
      <w:r w:rsidRPr="00286184">
        <w:t>Quarantin</w:t>
      </w:r>
      <w:r>
        <w:t xml:space="preserve">e mealybug species for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t>dragon fruit</w:t>
      </w:r>
      <w:r>
        <w:rPr>
          <w:color w:val="000000" w:themeColor="text1"/>
        </w:rPr>
        <w:fldChar w:fldCharType="end"/>
      </w:r>
      <w:r>
        <w:t xml:space="preserve"> from </w:t>
      </w:r>
      <w:fldSimple w:instr=" REF country  \* MERGEFORMAT " w:fldLock="1">
        <w:r>
          <w:t>the Philippines</w:t>
        </w:r>
        <w:bookmarkEnd w:id="112"/>
        <w:bookmarkEnd w:id="113"/>
      </w:fldSimple>
      <w:bookmarkEnd w:id="114"/>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C80041" w14:paraId="398C7376" w14:textId="77777777" w:rsidTr="00976665">
        <w:trPr>
          <w:cantSplit/>
        </w:trPr>
        <w:tc>
          <w:tcPr>
            <w:tcW w:w="983" w:type="pct"/>
            <w:tcBorders>
              <w:top w:val="single" w:sz="4" w:space="0" w:color="auto"/>
              <w:bottom w:val="single" w:sz="4" w:space="0" w:color="auto"/>
            </w:tcBorders>
            <w:shd w:val="clear" w:color="auto" w:fill="auto"/>
            <w:vAlign w:val="center"/>
          </w:tcPr>
          <w:p w14:paraId="66CE679D" w14:textId="77777777" w:rsidR="00BC2F05" w:rsidRPr="00772548" w:rsidRDefault="00772FB6" w:rsidP="00976665">
            <w:pPr>
              <w:pStyle w:val="TableHeading"/>
            </w:pPr>
            <w:r w:rsidRPr="00772548">
              <w:t>Pest</w:t>
            </w:r>
          </w:p>
        </w:tc>
        <w:tc>
          <w:tcPr>
            <w:tcW w:w="761" w:type="pct"/>
            <w:tcBorders>
              <w:top w:val="single" w:sz="4" w:space="0" w:color="auto"/>
              <w:bottom w:val="single" w:sz="4" w:space="0" w:color="auto"/>
            </w:tcBorders>
          </w:tcPr>
          <w:p w14:paraId="1769D5FE" w14:textId="77777777" w:rsidR="00BC2F05" w:rsidRPr="00772548" w:rsidRDefault="00772FB6" w:rsidP="00976665">
            <w:pPr>
              <w:pStyle w:val="TableHeading"/>
            </w:pPr>
            <w:r w:rsidRPr="00772548">
              <w:t xml:space="preserve">In </w:t>
            </w:r>
            <w:r>
              <w:t xml:space="preserve">mealybugs </w:t>
            </w:r>
            <w:r w:rsidRPr="00772548">
              <w:t>Group PRA</w:t>
            </w:r>
          </w:p>
        </w:tc>
        <w:tc>
          <w:tcPr>
            <w:tcW w:w="996" w:type="pct"/>
            <w:tcBorders>
              <w:top w:val="single" w:sz="4" w:space="0" w:color="auto"/>
              <w:bottom w:val="single" w:sz="4" w:space="0" w:color="auto"/>
            </w:tcBorders>
          </w:tcPr>
          <w:p w14:paraId="52433096" w14:textId="77777777" w:rsidR="00BC2F05" w:rsidRPr="00772548" w:rsidRDefault="00772FB6" w:rsidP="00976665">
            <w:pPr>
              <w:pStyle w:val="TableHeading"/>
            </w:pPr>
            <w:r w:rsidRPr="00772548">
              <w:t>Quarantine pest</w:t>
            </w:r>
          </w:p>
        </w:tc>
        <w:tc>
          <w:tcPr>
            <w:tcW w:w="1079" w:type="pct"/>
            <w:tcBorders>
              <w:top w:val="single" w:sz="4" w:space="0" w:color="auto"/>
              <w:bottom w:val="single" w:sz="4" w:space="0" w:color="auto"/>
            </w:tcBorders>
          </w:tcPr>
          <w:p w14:paraId="76ABD6FC" w14:textId="77777777" w:rsidR="00BC2F05" w:rsidRPr="00772548" w:rsidRDefault="00772FB6" w:rsidP="00976665">
            <w:pPr>
              <w:pStyle w:val="TableHeading"/>
            </w:pPr>
            <w:r>
              <w:t xml:space="preserve">On </w:t>
            </w:r>
            <w:fldSimple w:instr=" REF  commodity \* Lower  \* MERGEFORMAT " w:fldLock="1">
              <w:r>
                <w:t>dragon fruit</w:t>
              </w:r>
            </w:fldSimple>
            <w:r>
              <w:t xml:space="preserve"> p</w:t>
            </w:r>
            <w:r w:rsidRPr="00772548">
              <w:t>athway</w:t>
            </w:r>
          </w:p>
        </w:tc>
        <w:tc>
          <w:tcPr>
            <w:tcW w:w="1181" w:type="pct"/>
            <w:tcBorders>
              <w:top w:val="single" w:sz="4" w:space="0" w:color="auto"/>
              <w:bottom w:val="single" w:sz="4" w:space="0" w:color="auto"/>
            </w:tcBorders>
          </w:tcPr>
          <w:p w14:paraId="39638259" w14:textId="77777777" w:rsidR="00BC2F05" w:rsidRPr="00772548" w:rsidRDefault="00772FB6" w:rsidP="00976665">
            <w:pPr>
              <w:pStyle w:val="TableHeading"/>
            </w:pPr>
            <w:r>
              <w:t>Likelihood of entry</w:t>
            </w:r>
          </w:p>
        </w:tc>
      </w:tr>
      <w:tr w:rsidR="00C80041" w14:paraId="37B639B2" w14:textId="77777777" w:rsidTr="00976665">
        <w:trPr>
          <w:cantSplit/>
          <w:trHeight w:val="75"/>
        </w:trPr>
        <w:tc>
          <w:tcPr>
            <w:tcW w:w="983" w:type="pct"/>
            <w:tcBorders>
              <w:top w:val="single" w:sz="4" w:space="0" w:color="auto"/>
              <w:bottom w:val="nil"/>
            </w:tcBorders>
            <w:shd w:val="clear" w:color="auto" w:fill="auto"/>
          </w:tcPr>
          <w:p w14:paraId="5C365B9E" w14:textId="77777777" w:rsidR="00BC2F05" w:rsidRPr="00B05393" w:rsidRDefault="00772FB6" w:rsidP="00976665">
            <w:pPr>
              <w:pStyle w:val="TableText"/>
              <w:rPr>
                <w:i/>
                <w:color w:val="000000" w:themeColor="text1"/>
                <w:lang w:val="en-US"/>
              </w:rPr>
            </w:pPr>
            <w:r w:rsidRPr="00062A5B">
              <w:rPr>
                <w:i/>
                <w:iCs/>
              </w:rPr>
              <w:t>Dysmicoccus neobrevipes</w:t>
            </w:r>
          </w:p>
        </w:tc>
        <w:tc>
          <w:tcPr>
            <w:tcW w:w="761" w:type="pct"/>
            <w:tcBorders>
              <w:top w:val="single" w:sz="4" w:space="0" w:color="auto"/>
              <w:bottom w:val="nil"/>
            </w:tcBorders>
          </w:tcPr>
          <w:p w14:paraId="2C65AFDD" w14:textId="77777777" w:rsidR="00BC2F05" w:rsidRPr="00B05393" w:rsidRDefault="00772FB6" w:rsidP="00976665">
            <w:pPr>
              <w:pStyle w:val="TableText"/>
              <w:rPr>
                <w:color w:val="000000" w:themeColor="text1"/>
                <w:lang w:val="en-US"/>
              </w:rPr>
            </w:pPr>
            <w:r>
              <w:rPr>
                <w:color w:val="000000" w:themeColor="text1"/>
                <w:lang w:val="en-US"/>
              </w:rPr>
              <w:t>Yes</w:t>
            </w:r>
          </w:p>
        </w:tc>
        <w:tc>
          <w:tcPr>
            <w:tcW w:w="996" w:type="pct"/>
            <w:tcBorders>
              <w:top w:val="single" w:sz="4" w:space="0" w:color="auto"/>
              <w:bottom w:val="nil"/>
            </w:tcBorders>
          </w:tcPr>
          <w:p w14:paraId="5418879A" w14:textId="77777777" w:rsidR="00BC2F05" w:rsidRPr="00B05393" w:rsidRDefault="00772FB6" w:rsidP="00976665">
            <w:pPr>
              <w:pStyle w:val="TableText"/>
              <w:rPr>
                <w:color w:val="000000" w:themeColor="text1"/>
                <w:lang w:val="en-US"/>
              </w:rPr>
            </w:pPr>
            <w:r>
              <w:rPr>
                <w:color w:val="000000" w:themeColor="text1"/>
                <w:lang w:val="en-US"/>
              </w:rPr>
              <w:t>Yes</w:t>
            </w:r>
          </w:p>
        </w:tc>
        <w:tc>
          <w:tcPr>
            <w:tcW w:w="1079" w:type="pct"/>
            <w:tcBorders>
              <w:top w:val="single" w:sz="4" w:space="0" w:color="auto"/>
              <w:bottom w:val="nil"/>
            </w:tcBorders>
          </w:tcPr>
          <w:p w14:paraId="4C170260" w14:textId="77777777" w:rsidR="00BC2F05" w:rsidRPr="00B05393" w:rsidRDefault="00772FB6" w:rsidP="00976665">
            <w:pPr>
              <w:pStyle w:val="TableText"/>
              <w:rPr>
                <w:color w:val="000000" w:themeColor="text1"/>
                <w:lang w:val="en-US"/>
              </w:rPr>
            </w:pPr>
            <w:r>
              <w:rPr>
                <w:color w:val="000000" w:themeColor="text1"/>
                <w:lang w:val="en-US"/>
              </w:rPr>
              <w:t>Yes</w:t>
            </w:r>
          </w:p>
        </w:tc>
        <w:tc>
          <w:tcPr>
            <w:tcW w:w="1181" w:type="pct"/>
            <w:tcBorders>
              <w:top w:val="single" w:sz="4" w:space="0" w:color="auto"/>
              <w:bottom w:val="nil"/>
            </w:tcBorders>
          </w:tcPr>
          <w:p w14:paraId="29C2F824" w14:textId="77777777" w:rsidR="00BC2F05" w:rsidRPr="00B05393" w:rsidRDefault="00772FB6" w:rsidP="00976665">
            <w:pPr>
              <w:pStyle w:val="TableText"/>
              <w:rPr>
                <w:color w:val="000000" w:themeColor="text1"/>
                <w:lang w:val="en-US"/>
              </w:rPr>
            </w:pPr>
            <w:r>
              <w:t>Moderate</w:t>
            </w:r>
          </w:p>
        </w:tc>
      </w:tr>
      <w:tr w:rsidR="00C80041" w14:paraId="2DBACFF6" w14:textId="77777777" w:rsidTr="00976665">
        <w:trPr>
          <w:cantSplit/>
          <w:trHeight w:val="75"/>
        </w:trPr>
        <w:tc>
          <w:tcPr>
            <w:tcW w:w="983" w:type="pct"/>
            <w:tcBorders>
              <w:top w:val="nil"/>
              <w:bottom w:val="nil"/>
            </w:tcBorders>
            <w:shd w:val="clear" w:color="auto" w:fill="auto"/>
          </w:tcPr>
          <w:p w14:paraId="64D0397A" w14:textId="77777777" w:rsidR="00BC2F05" w:rsidRPr="00B05393" w:rsidRDefault="00772FB6" w:rsidP="00976665">
            <w:pPr>
              <w:pStyle w:val="TableText"/>
              <w:rPr>
                <w:i/>
                <w:color w:val="000000" w:themeColor="text1"/>
                <w:lang w:val="en-US"/>
              </w:rPr>
            </w:pPr>
            <w:r w:rsidRPr="00062A5B">
              <w:rPr>
                <w:i/>
                <w:iCs/>
              </w:rPr>
              <w:t>Paracoccus marginatus</w:t>
            </w:r>
          </w:p>
        </w:tc>
        <w:tc>
          <w:tcPr>
            <w:tcW w:w="761" w:type="pct"/>
            <w:tcBorders>
              <w:top w:val="nil"/>
              <w:bottom w:val="nil"/>
            </w:tcBorders>
          </w:tcPr>
          <w:p w14:paraId="2339F907" w14:textId="77777777" w:rsidR="00BC2F05" w:rsidRPr="00B05393" w:rsidRDefault="00772FB6" w:rsidP="00976665">
            <w:pPr>
              <w:pStyle w:val="TableText"/>
              <w:rPr>
                <w:color w:val="000000" w:themeColor="text1"/>
                <w:lang w:val="en-US"/>
              </w:rPr>
            </w:pPr>
            <w:r>
              <w:rPr>
                <w:color w:val="000000" w:themeColor="text1"/>
                <w:lang w:val="en-US"/>
              </w:rPr>
              <w:t>Yes</w:t>
            </w:r>
          </w:p>
        </w:tc>
        <w:tc>
          <w:tcPr>
            <w:tcW w:w="996" w:type="pct"/>
            <w:tcBorders>
              <w:top w:val="nil"/>
              <w:bottom w:val="nil"/>
            </w:tcBorders>
          </w:tcPr>
          <w:p w14:paraId="0213571D" w14:textId="77777777" w:rsidR="00BC2F05" w:rsidRPr="00B05393" w:rsidRDefault="00772FB6" w:rsidP="00976665">
            <w:pPr>
              <w:pStyle w:val="TableText"/>
              <w:rPr>
                <w:color w:val="000000" w:themeColor="text1"/>
                <w:lang w:val="en-US"/>
              </w:rPr>
            </w:pPr>
            <w:r>
              <w:rPr>
                <w:color w:val="000000" w:themeColor="text1"/>
                <w:lang w:val="en-US"/>
              </w:rPr>
              <w:t>Yes</w:t>
            </w:r>
          </w:p>
        </w:tc>
        <w:tc>
          <w:tcPr>
            <w:tcW w:w="1079" w:type="pct"/>
            <w:tcBorders>
              <w:top w:val="nil"/>
              <w:bottom w:val="nil"/>
            </w:tcBorders>
          </w:tcPr>
          <w:p w14:paraId="3B01B7A5" w14:textId="77777777" w:rsidR="00BC2F05" w:rsidRPr="00B05393" w:rsidRDefault="00772FB6" w:rsidP="00976665">
            <w:pPr>
              <w:pStyle w:val="TableText"/>
              <w:rPr>
                <w:color w:val="000000" w:themeColor="text1"/>
                <w:lang w:val="en-US"/>
              </w:rPr>
            </w:pPr>
            <w:r>
              <w:rPr>
                <w:color w:val="000000" w:themeColor="text1"/>
                <w:lang w:val="en-US"/>
              </w:rPr>
              <w:t>Yes</w:t>
            </w:r>
          </w:p>
        </w:tc>
        <w:tc>
          <w:tcPr>
            <w:tcW w:w="1181" w:type="pct"/>
            <w:tcBorders>
              <w:top w:val="nil"/>
              <w:bottom w:val="nil"/>
            </w:tcBorders>
          </w:tcPr>
          <w:p w14:paraId="4BEF130E" w14:textId="77777777" w:rsidR="00BC2F05" w:rsidRPr="00B05393" w:rsidRDefault="00772FB6" w:rsidP="00976665">
            <w:pPr>
              <w:pStyle w:val="TableText"/>
              <w:rPr>
                <w:color w:val="000000" w:themeColor="text1"/>
                <w:lang w:val="en-US"/>
              </w:rPr>
            </w:pPr>
            <w:r>
              <w:t>Moderate</w:t>
            </w:r>
          </w:p>
        </w:tc>
      </w:tr>
      <w:tr w:rsidR="00C80041" w14:paraId="167C0BDA" w14:textId="77777777" w:rsidTr="00976665">
        <w:trPr>
          <w:cantSplit/>
          <w:trHeight w:val="75"/>
        </w:trPr>
        <w:tc>
          <w:tcPr>
            <w:tcW w:w="983" w:type="pct"/>
            <w:tcBorders>
              <w:top w:val="nil"/>
              <w:bottom w:val="single" w:sz="4" w:space="0" w:color="auto"/>
            </w:tcBorders>
            <w:shd w:val="clear" w:color="auto" w:fill="auto"/>
          </w:tcPr>
          <w:p w14:paraId="72C8DBF8" w14:textId="77777777" w:rsidR="00BC2F05" w:rsidRPr="00B05393" w:rsidRDefault="00772FB6" w:rsidP="00976665">
            <w:pPr>
              <w:pStyle w:val="TableText"/>
              <w:rPr>
                <w:i/>
                <w:color w:val="000000" w:themeColor="text1"/>
                <w:lang w:val="en-US"/>
              </w:rPr>
            </w:pPr>
            <w:r w:rsidRPr="00062A5B">
              <w:rPr>
                <w:i/>
                <w:iCs/>
              </w:rPr>
              <w:t>Pseudococcus jackbeardsleyi</w:t>
            </w:r>
          </w:p>
        </w:tc>
        <w:tc>
          <w:tcPr>
            <w:tcW w:w="761" w:type="pct"/>
            <w:tcBorders>
              <w:top w:val="nil"/>
              <w:bottom w:val="single" w:sz="4" w:space="0" w:color="auto"/>
            </w:tcBorders>
          </w:tcPr>
          <w:p w14:paraId="1EAB9D80" w14:textId="77777777" w:rsidR="00BC2F05" w:rsidRPr="00B05393" w:rsidRDefault="00772FB6" w:rsidP="00976665">
            <w:pPr>
              <w:pStyle w:val="TableText"/>
              <w:rPr>
                <w:color w:val="000000" w:themeColor="text1"/>
                <w:lang w:val="en-US"/>
              </w:rPr>
            </w:pPr>
            <w:r>
              <w:rPr>
                <w:color w:val="000000" w:themeColor="text1"/>
                <w:lang w:val="en-US"/>
              </w:rPr>
              <w:t>Yes</w:t>
            </w:r>
          </w:p>
        </w:tc>
        <w:tc>
          <w:tcPr>
            <w:tcW w:w="996" w:type="pct"/>
            <w:tcBorders>
              <w:top w:val="nil"/>
              <w:bottom w:val="single" w:sz="4" w:space="0" w:color="auto"/>
            </w:tcBorders>
          </w:tcPr>
          <w:p w14:paraId="38C5FA43" w14:textId="77777777" w:rsidR="00BC2F05" w:rsidRPr="00B05393" w:rsidRDefault="00772FB6" w:rsidP="00976665">
            <w:pPr>
              <w:pStyle w:val="TableText"/>
              <w:rPr>
                <w:color w:val="000000" w:themeColor="text1"/>
                <w:lang w:val="en-US"/>
              </w:rPr>
            </w:pPr>
            <w:r>
              <w:rPr>
                <w:color w:val="000000" w:themeColor="text1"/>
                <w:lang w:val="en-US"/>
              </w:rPr>
              <w:t>Yes</w:t>
            </w:r>
          </w:p>
        </w:tc>
        <w:tc>
          <w:tcPr>
            <w:tcW w:w="1079" w:type="pct"/>
            <w:tcBorders>
              <w:top w:val="nil"/>
              <w:bottom w:val="single" w:sz="4" w:space="0" w:color="auto"/>
            </w:tcBorders>
          </w:tcPr>
          <w:p w14:paraId="1E1EB01D" w14:textId="77777777" w:rsidR="00BC2F05" w:rsidRPr="00B05393" w:rsidRDefault="00772FB6" w:rsidP="00976665">
            <w:pPr>
              <w:pStyle w:val="TableText"/>
              <w:rPr>
                <w:color w:val="000000" w:themeColor="text1"/>
                <w:lang w:val="en-US"/>
              </w:rPr>
            </w:pPr>
            <w:r>
              <w:rPr>
                <w:color w:val="000000" w:themeColor="text1"/>
                <w:lang w:val="en-US"/>
              </w:rPr>
              <w:t>Yes</w:t>
            </w:r>
          </w:p>
        </w:tc>
        <w:tc>
          <w:tcPr>
            <w:tcW w:w="1181" w:type="pct"/>
            <w:tcBorders>
              <w:top w:val="nil"/>
              <w:bottom w:val="single" w:sz="4" w:space="0" w:color="auto"/>
            </w:tcBorders>
          </w:tcPr>
          <w:p w14:paraId="1A56FEDC" w14:textId="77777777" w:rsidR="00BC2F05" w:rsidRPr="00B05393" w:rsidRDefault="00772FB6" w:rsidP="00976665">
            <w:pPr>
              <w:pStyle w:val="TableText"/>
              <w:rPr>
                <w:color w:val="000000" w:themeColor="text1"/>
                <w:lang w:val="en-US"/>
              </w:rPr>
            </w:pPr>
            <w:r>
              <w:t>Moderate</w:t>
            </w:r>
          </w:p>
        </w:tc>
      </w:tr>
    </w:tbl>
    <w:p w14:paraId="2FDF5A13" w14:textId="77777777" w:rsidR="00BC2F05" w:rsidRPr="00772548" w:rsidRDefault="00772FB6" w:rsidP="008D0946">
      <w:pPr>
        <w:spacing w:before="240"/>
      </w:pPr>
      <w:r w:rsidRPr="00772548">
        <w:t>A summary of the risk assessment for qu</w:t>
      </w:r>
      <w:r>
        <w:t xml:space="preserve">arantine mealybugs is presented in </w:t>
      </w:r>
      <w:r>
        <w:fldChar w:fldCharType="begin" w:fldLock="1"/>
      </w:r>
      <w:r>
        <w:instrText xml:space="preserve"> REF _Ref86748860 \h </w:instrText>
      </w:r>
      <w:r>
        <w:fldChar w:fldCharType="separate"/>
      </w:r>
      <w:r>
        <w:t xml:space="preserve">Table </w:t>
      </w:r>
      <w:r>
        <w:rPr>
          <w:noProof/>
        </w:rPr>
        <w:t>3</w:t>
      </w:r>
      <w:r>
        <w:t>.</w:t>
      </w:r>
      <w:r>
        <w:rPr>
          <w:noProof/>
        </w:rPr>
        <w:t>3</w:t>
      </w:r>
      <w:r>
        <w:fldChar w:fldCharType="end"/>
      </w:r>
      <w:r>
        <w:t xml:space="preserve"> </w:t>
      </w:r>
      <w:r w:rsidRPr="00772548">
        <w:t>for convenience.</w:t>
      </w:r>
    </w:p>
    <w:p w14:paraId="268F675E" w14:textId="77777777" w:rsidR="00BC2F05" w:rsidRPr="00772548" w:rsidRDefault="00772FB6" w:rsidP="008D0946">
      <w:pPr>
        <w:pStyle w:val="Tablecaption"/>
      </w:pPr>
      <w:bookmarkStart w:id="115" w:name="_Ref86748860"/>
      <w:bookmarkStart w:id="116" w:name="_Toc113430650"/>
      <w:bookmarkStart w:id="117" w:name="_Toc119493135"/>
      <w:r>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3</w:t>
      </w:r>
      <w:r w:rsidR="000C0A09">
        <w:rPr>
          <w:noProof/>
        </w:rPr>
        <w:fldChar w:fldCharType="end"/>
      </w:r>
      <w:bookmarkEnd w:id="115"/>
      <w:r>
        <w:t xml:space="preserve"> R</w:t>
      </w:r>
      <w:r w:rsidRPr="00772548">
        <w:t xml:space="preserve">isk estimates for quarantine </w:t>
      </w:r>
      <w:r>
        <w:t>mealybugs</w:t>
      </w:r>
      <w:bookmarkEnd w:id="116"/>
      <w:bookmarkEnd w:id="117"/>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C80041" w14:paraId="01B79A69" w14:textId="77777777" w:rsidTr="00976665">
        <w:tc>
          <w:tcPr>
            <w:tcW w:w="3117" w:type="pct"/>
            <w:tcBorders>
              <w:top w:val="single" w:sz="4" w:space="0" w:color="auto"/>
              <w:bottom w:val="single" w:sz="4" w:space="0" w:color="auto"/>
            </w:tcBorders>
            <w:shd w:val="clear" w:color="auto" w:fill="auto"/>
          </w:tcPr>
          <w:p w14:paraId="667D3A2B" w14:textId="77777777" w:rsidR="00BC2F05" w:rsidRPr="00772548" w:rsidRDefault="00772FB6" w:rsidP="00976665">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6D2D6639" w14:textId="77777777" w:rsidR="00BC2F05" w:rsidRPr="00772548" w:rsidRDefault="00772FB6" w:rsidP="00976665">
            <w:pPr>
              <w:pStyle w:val="TableHeading"/>
            </w:pPr>
            <w:r w:rsidRPr="00772548">
              <w:t xml:space="preserve">Rating for quarantine </w:t>
            </w:r>
            <w:r>
              <w:t>mealybugs</w:t>
            </w:r>
          </w:p>
        </w:tc>
      </w:tr>
      <w:tr w:rsidR="00C80041" w14:paraId="7281052C" w14:textId="77777777" w:rsidTr="00976665">
        <w:tc>
          <w:tcPr>
            <w:tcW w:w="3117" w:type="pct"/>
            <w:tcBorders>
              <w:top w:val="single" w:sz="4" w:space="0" w:color="auto"/>
              <w:bottom w:val="nil"/>
            </w:tcBorders>
            <w:shd w:val="clear" w:color="auto" w:fill="auto"/>
          </w:tcPr>
          <w:p w14:paraId="7BAB71CD" w14:textId="77777777" w:rsidR="00BC2F05" w:rsidRPr="00772548" w:rsidRDefault="00772FB6" w:rsidP="00976665">
            <w:pPr>
              <w:pStyle w:val="TableText"/>
            </w:pPr>
            <w:r w:rsidRPr="00772548">
              <w:t>Likelihood of entry (importation x distribution)</w:t>
            </w:r>
          </w:p>
        </w:tc>
        <w:tc>
          <w:tcPr>
            <w:tcW w:w="1883" w:type="pct"/>
            <w:tcBorders>
              <w:top w:val="single" w:sz="4" w:space="0" w:color="auto"/>
              <w:bottom w:val="nil"/>
            </w:tcBorders>
            <w:shd w:val="clear" w:color="auto" w:fill="auto"/>
          </w:tcPr>
          <w:p w14:paraId="7B39C680" w14:textId="77777777" w:rsidR="00BC2F05" w:rsidRPr="00772548" w:rsidRDefault="00772FB6" w:rsidP="00976665">
            <w:pPr>
              <w:pStyle w:val="TableText"/>
            </w:pPr>
            <w:r w:rsidRPr="00772548">
              <w:t>Moderate (High x Moderate)</w:t>
            </w:r>
          </w:p>
        </w:tc>
      </w:tr>
      <w:tr w:rsidR="00C80041" w14:paraId="6C2A5535" w14:textId="77777777" w:rsidTr="00976665">
        <w:tc>
          <w:tcPr>
            <w:tcW w:w="3117" w:type="pct"/>
            <w:tcBorders>
              <w:top w:val="nil"/>
              <w:bottom w:val="nil"/>
            </w:tcBorders>
            <w:shd w:val="clear" w:color="auto" w:fill="auto"/>
          </w:tcPr>
          <w:p w14:paraId="5AB05FBF" w14:textId="77777777" w:rsidR="00BC2F05" w:rsidRPr="00772548" w:rsidRDefault="00772FB6" w:rsidP="00976665">
            <w:pPr>
              <w:pStyle w:val="TableText"/>
            </w:pPr>
            <w:r w:rsidRPr="00772548">
              <w:t>Likelihood of establishment</w:t>
            </w:r>
          </w:p>
        </w:tc>
        <w:tc>
          <w:tcPr>
            <w:tcW w:w="1883" w:type="pct"/>
            <w:tcBorders>
              <w:top w:val="nil"/>
              <w:bottom w:val="nil"/>
            </w:tcBorders>
            <w:shd w:val="clear" w:color="auto" w:fill="auto"/>
          </w:tcPr>
          <w:p w14:paraId="3B55F87B" w14:textId="77777777" w:rsidR="00BC2F05" w:rsidRPr="00772548" w:rsidRDefault="00772FB6" w:rsidP="00976665">
            <w:pPr>
              <w:pStyle w:val="TableText"/>
            </w:pPr>
            <w:r w:rsidRPr="00772548">
              <w:t>High</w:t>
            </w:r>
          </w:p>
        </w:tc>
      </w:tr>
      <w:tr w:rsidR="00C80041" w14:paraId="72DB5F78" w14:textId="77777777" w:rsidTr="00976665">
        <w:tc>
          <w:tcPr>
            <w:tcW w:w="3117" w:type="pct"/>
            <w:tcBorders>
              <w:top w:val="nil"/>
              <w:bottom w:val="nil"/>
            </w:tcBorders>
            <w:shd w:val="clear" w:color="auto" w:fill="auto"/>
          </w:tcPr>
          <w:p w14:paraId="2F13B9E2" w14:textId="77777777" w:rsidR="00BC2F05" w:rsidRPr="00772548" w:rsidRDefault="00772FB6" w:rsidP="00976665">
            <w:pPr>
              <w:pStyle w:val="TableText"/>
            </w:pPr>
            <w:r w:rsidRPr="00772548">
              <w:t>Likelihood of spread</w:t>
            </w:r>
          </w:p>
        </w:tc>
        <w:tc>
          <w:tcPr>
            <w:tcW w:w="1883" w:type="pct"/>
            <w:tcBorders>
              <w:top w:val="nil"/>
              <w:bottom w:val="nil"/>
            </w:tcBorders>
            <w:shd w:val="clear" w:color="auto" w:fill="auto"/>
          </w:tcPr>
          <w:p w14:paraId="22CECEAC" w14:textId="77777777" w:rsidR="00BC2F05" w:rsidRPr="00772548" w:rsidRDefault="00772FB6" w:rsidP="00976665">
            <w:pPr>
              <w:pStyle w:val="TableText"/>
            </w:pPr>
            <w:r w:rsidRPr="00772548">
              <w:t>Hig</w:t>
            </w:r>
            <w:r>
              <w:t>h</w:t>
            </w:r>
          </w:p>
        </w:tc>
      </w:tr>
      <w:tr w:rsidR="00C80041" w14:paraId="0567B541" w14:textId="77777777" w:rsidTr="00976665">
        <w:tc>
          <w:tcPr>
            <w:tcW w:w="3117" w:type="pct"/>
            <w:tcBorders>
              <w:top w:val="nil"/>
              <w:bottom w:val="nil"/>
            </w:tcBorders>
            <w:shd w:val="clear" w:color="auto" w:fill="auto"/>
            <w:hideMark/>
          </w:tcPr>
          <w:p w14:paraId="64EA6744" w14:textId="77777777" w:rsidR="00BC2F05" w:rsidRPr="00772548" w:rsidRDefault="00772FB6" w:rsidP="00976665">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0F889278" w14:textId="77777777" w:rsidR="00BC2F05" w:rsidRPr="00772548" w:rsidRDefault="00772FB6" w:rsidP="00976665">
            <w:pPr>
              <w:pStyle w:val="TableText"/>
            </w:pPr>
            <w:r w:rsidRPr="00772548">
              <w:t>Moderate</w:t>
            </w:r>
          </w:p>
        </w:tc>
      </w:tr>
      <w:tr w:rsidR="00C80041" w14:paraId="336BEEC3" w14:textId="77777777" w:rsidTr="00976665">
        <w:tc>
          <w:tcPr>
            <w:tcW w:w="3117" w:type="pct"/>
            <w:tcBorders>
              <w:top w:val="nil"/>
              <w:bottom w:val="nil"/>
            </w:tcBorders>
            <w:shd w:val="clear" w:color="auto" w:fill="auto"/>
            <w:hideMark/>
          </w:tcPr>
          <w:p w14:paraId="76A11FCE" w14:textId="77777777" w:rsidR="00BC2F05" w:rsidRPr="00772548" w:rsidRDefault="00772FB6" w:rsidP="00976665">
            <w:pPr>
              <w:pStyle w:val="TableText"/>
            </w:pPr>
            <w:r w:rsidRPr="00772548">
              <w:t xml:space="preserve">Consequences </w:t>
            </w:r>
          </w:p>
        </w:tc>
        <w:tc>
          <w:tcPr>
            <w:tcW w:w="1883" w:type="pct"/>
            <w:tcBorders>
              <w:top w:val="nil"/>
              <w:bottom w:val="nil"/>
            </w:tcBorders>
            <w:shd w:val="clear" w:color="auto" w:fill="auto"/>
            <w:hideMark/>
          </w:tcPr>
          <w:p w14:paraId="1E4E0D96" w14:textId="77777777" w:rsidR="00BC2F05" w:rsidRPr="00772548" w:rsidRDefault="00772FB6" w:rsidP="00976665">
            <w:pPr>
              <w:pStyle w:val="TableText"/>
            </w:pPr>
            <w:r w:rsidRPr="00772548">
              <w:t>Low</w:t>
            </w:r>
          </w:p>
        </w:tc>
      </w:tr>
      <w:tr w:rsidR="00C80041" w14:paraId="79231387" w14:textId="77777777" w:rsidTr="00976665">
        <w:tc>
          <w:tcPr>
            <w:tcW w:w="3117" w:type="pct"/>
            <w:tcBorders>
              <w:top w:val="nil"/>
              <w:bottom w:val="single" w:sz="4" w:space="0" w:color="auto"/>
            </w:tcBorders>
            <w:shd w:val="clear" w:color="auto" w:fill="auto"/>
            <w:hideMark/>
          </w:tcPr>
          <w:p w14:paraId="4EB37C51" w14:textId="77777777" w:rsidR="00BC2F05" w:rsidRPr="00FF3629" w:rsidRDefault="00772FB6" w:rsidP="00976665">
            <w:pPr>
              <w:pStyle w:val="TableText"/>
              <w:rPr>
                <w:rStyle w:val="Strong"/>
              </w:rPr>
            </w:pPr>
            <w:r w:rsidRPr="00FF3629">
              <w:rPr>
                <w:rStyle w:val="Strong"/>
              </w:rPr>
              <w:t>Unrestricted risk</w:t>
            </w:r>
          </w:p>
        </w:tc>
        <w:tc>
          <w:tcPr>
            <w:tcW w:w="1883" w:type="pct"/>
            <w:tcBorders>
              <w:top w:val="nil"/>
              <w:bottom w:val="single" w:sz="4" w:space="0" w:color="auto"/>
            </w:tcBorders>
            <w:shd w:val="clear" w:color="auto" w:fill="auto"/>
            <w:hideMark/>
          </w:tcPr>
          <w:p w14:paraId="56B50238" w14:textId="77777777" w:rsidR="00BC2F05" w:rsidRPr="00FF3629" w:rsidRDefault="00772FB6" w:rsidP="00976665">
            <w:pPr>
              <w:pStyle w:val="TableText"/>
              <w:rPr>
                <w:rStyle w:val="Strong"/>
              </w:rPr>
            </w:pPr>
            <w:r w:rsidRPr="00FF3629">
              <w:rPr>
                <w:rStyle w:val="Strong"/>
              </w:rPr>
              <w:t>Low</w:t>
            </w:r>
          </w:p>
        </w:tc>
      </w:tr>
    </w:tbl>
    <w:p w14:paraId="51B1258B" w14:textId="77777777" w:rsidR="00BC2F05" w:rsidRDefault="00772FB6" w:rsidP="008D0946">
      <w:pPr>
        <w:spacing w:before="240"/>
      </w:pPr>
      <w:r>
        <w:t>As assessed in the mealybugs Group PRA, t</w:t>
      </w:r>
      <w:r w:rsidRPr="00772548">
        <w:t xml:space="preserve">he indicative </w:t>
      </w:r>
      <w:r>
        <w:t>URE</w:t>
      </w:r>
      <w:r w:rsidRPr="00772548">
        <w:t xml:space="preserve"> for </w:t>
      </w:r>
      <w:r>
        <w:t>mealybugs</w:t>
      </w:r>
      <w:r w:rsidRPr="00772548">
        <w:t xml:space="preserve"> is Low</w:t>
      </w:r>
      <w:r>
        <w:t xml:space="preserve"> (</w:t>
      </w:r>
      <w:r>
        <w:fldChar w:fldCharType="begin" w:fldLock="1"/>
      </w:r>
      <w:r>
        <w:instrText xml:space="preserve"> REF _Ref86748860 \h </w:instrText>
      </w:r>
      <w:r>
        <w:fldChar w:fldCharType="separate"/>
      </w:r>
      <w:r>
        <w:t xml:space="preserve">Table </w:t>
      </w:r>
      <w:r>
        <w:rPr>
          <w:noProof/>
        </w:rPr>
        <w:t>3</w:t>
      </w:r>
      <w:r>
        <w:t>.</w:t>
      </w:r>
      <w:r>
        <w:rPr>
          <w:noProof/>
        </w:rPr>
        <w:t>3</w:t>
      </w:r>
      <w:r>
        <w:fldChar w:fldCharType="end"/>
      </w:r>
      <w:r>
        <w:t>)</w:t>
      </w:r>
      <w:r w:rsidRPr="00772548">
        <w:t xml:space="preserve"> which does not achieve the ALOP for Australia</w:t>
      </w:r>
      <w:r>
        <w:t xml:space="preserve">. </w:t>
      </w:r>
      <w:r w:rsidRPr="00772548">
        <w:t xml:space="preserve">This indicative </w:t>
      </w:r>
      <w:r>
        <w:t>URE</w:t>
      </w:r>
      <w:r w:rsidRPr="00772548">
        <w:t xml:space="preserve"> </w:t>
      </w:r>
      <w:proofErr w:type="gramStart"/>
      <w:r w:rsidRPr="00772548">
        <w:t>is considered to be</w:t>
      </w:r>
      <w:proofErr w:type="gramEnd"/>
      <w:r w:rsidRPr="00772548">
        <w:t xml:space="preserve"> applicable for the</w:t>
      </w:r>
      <w:r>
        <w:t xml:space="preserve"> quarantine mealybug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p</w:t>
      </w:r>
      <w:r w:rsidRPr="00772548">
        <w:t>athway. Therefore, specific risk management measures are required for the</w:t>
      </w:r>
      <w:r>
        <w:t xml:space="preserve"> quarantine mealybugs on this pathway.</w:t>
      </w:r>
    </w:p>
    <w:p w14:paraId="13FA16F2" w14:textId="77777777" w:rsidR="00BC2F05" w:rsidRDefault="00772FB6" w:rsidP="008D0946">
      <w:pPr>
        <w:spacing w:before="240"/>
      </w:pPr>
      <w:r>
        <w:lastRenderedPageBreak/>
        <w:t>T</w:t>
      </w:r>
      <w:r w:rsidRPr="00772548">
        <w:t xml:space="preserve">his risk assessment, which is based on the </w:t>
      </w:r>
      <w:r>
        <w:t>mealybugs</w:t>
      </w:r>
      <w:r w:rsidRPr="00772548">
        <w:t xml:space="preserve"> Group PRA, applies to all quarantine </w:t>
      </w:r>
      <w:r>
        <w:t xml:space="preserve">mealybugs on the </w:t>
      </w:r>
      <w:r w:rsidR="000C0A09">
        <w:fldChar w:fldCharType="begin" w:fldLock="1"/>
      </w:r>
      <w:r w:rsidR="000C0A09">
        <w:instrText xml:space="preserve"> REF commodity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p</w:t>
      </w:r>
      <w:r w:rsidRPr="00772548">
        <w:t>athway, irrespective of their specific identification in this document.</w:t>
      </w:r>
      <w:r>
        <w:t xml:space="preserve"> The application of the Group PRAs to this risk analysis is outlined in Appendix A in section </w:t>
      </w:r>
      <w:r>
        <w:fldChar w:fldCharType="begin" w:fldLock="1"/>
      </w:r>
      <w:r>
        <w:instrText xml:space="preserve"> REF A_2_7 \h </w:instrText>
      </w:r>
      <w:r>
        <w:fldChar w:fldCharType="separate"/>
      </w:r>
      <w:r>
        <w:t>A2.7</w:t>
      </w:r>
      <w:r>
        <w:fldChar w:fldCharType="end"/>
      </w:r>
      <w:r>
        <w:t>.</w:t>
      </w:r>
      <w:r>
        <w:br w:type="page"/>
      </w:r>
      <w:bookmarkEnd w:id="108"/>
    </w:p>
    <w:p w14:paraId="7C4F0665" w14:textId="77777777" w:rsidR="00BC2F05" w:rsidRDefault="00772FB6" w:rsidP="008D0946">
      <w:pPr>
        <w:pStyle w:val="Heading3"/>
      </w:pPr>
      <w:bookmarkStart w:id="118" w:name="_Toc119493106"/>
      <w:bookmarkStart w:id="119" w:name="_Hlk74168677"/>
      <w:r>
        <w:lastRenderedPageBreak/>
        <w:t>Thrips</w:t>
      </w:r>
      <w:bookmarkEnd w:id="118"/>
    </w:p>
    <w:p w14:paraId="7EB551A4" w14:textId="77777777" w:rsidR="00BC2F05" w:rsidRPr="006823EE" w:rsidRDefault="00772FB6" w:rsidP="008D0946">
      <w:pPr>
        <w:spacing w:before="120"/>
        <w:rPr>
          <w:b/>
          <w:bCs/>
          <w:i/>
          <w:color w:val="000000" w:themeColor="text1"/>
        </w:rPr>
      </w:pPr>
      <w:r>
        <w:rPr>
          <w:rStyle w:val="Emphasis"/>
          <w:b/>
          <w:bCs/>
        </w:rPr>
        <w:t xml:space="preserve">Frankliniella occidentalis </w:t>
      </w:r>
      <w:r w:rsidRPr="00207186">
        <w:rPr>
          <w:rStyle w:val="Emphasis"/>
          <w:b/>
          <w:bCs/>
        </w:rPr>
        <w:t>(GP, RA</w:t>
      </w:r>
      <w:r>
        <w:rPr>
          <w:rStyle w:val="Emphasis"/>
          <w:b/>
          <w:bCs/>
        </w:rPr>
        <w:t>, NT</w:t>
      </w:r>
      <w:r w:rsidRPr="00207186">
        <w:rPr>
          <w:rStyle w:val="Emphasis"/>
          <w:b/>
          <w:bCs/>
        </w:rPr>
        <w:t>),</w:t>
      </w:r>
      <w:r>
        <w:rPr>
          <w:rStyle w:val="Emphasis"/>
          <w:b/>
          <w:bCs/>
        </w:rPr>
        <w:t xml:space="preserve"> Scirtothrips </w:t>
      </w:r>
      <w:r w:rsidRPr="00207186">
        <w:rPr>
          <w:rStyle w:val="Emphasis"/>
          <w:b/>
          <w:bCs/>
        </w:rPr>
        <w:t>dorsalis (GP, RA)</w:t>
      </w:r>
      <w:r>
        <w:rPr>
          <w:rStyle w:val="Emphasis"/>
          <w:b/>
          <w:bCs/>
        </w:rPr>
        <w:t xml:space="preserve">, Thrips palmi </w:t>
      </w:r>
      <w:r w:rsidRPr="00207186">
        <w:rPr>
          <w:rStyle w:val="Emphasis"/>
          <w:b/>
          <w:bCs/>
        </w:rPr>
        <w:t>(GP, RA, SA, WA</w:t>
      </w:r>
      <w:r>
        <w:rPr>
          <w:rStyle w:val="Emphasis"/>
          <w:b/>
          <w:bCs/>
        </w:rPr>
        <w:t>)</w:t>
      </w:r>
    </w:p>
    <w:p w14:paraId="0D09F1A6" w14:textId="77777777" w:rsidR="00BC2F05" w:rsidRDefault="00772FB6" w:rsidP="008D0946">
      <w:bookmarkStart w:id="120" w:name="_Ref90878646"/>
      <w:r>
        <w:t xml:space="preserve">Three thrips species were identified on the </w:t>
      </w:r>
      <w:r>
        <w:fldChar w:fldCharType="begin" w:fldLock="1"/>
      </w:r>
      <w:r>
        <w:instrText xml:space="preserve"> REF  commodity \* Lower \h  \* MERGEFORMAT </w:instrText>
      </w:r>
      <w:r>
        <w:fldChar w:fldCharType="separate"/>
      </w:r>
      <w:r>
        <w:t>dragon fruit</w:t>
      </w:r>
      <w:r>
        <w:fldChar w:fldCharType="end"/>
      </w:r>
      <w:r>
        <w:t xml:space="preserve"> from </w:t>
      </w:r>
      <w:r>
        <w:fldChar w:fldCharType="begin" w:fldLock="1"/>
      </w:r>
      <w:r>
        <w:instrText xml:space="preserve"> REF country \h  \* MERGEFORMAT </w:instrText>
      </w:r>
      <w:r>
        <w:fldChar w:fldCharType="separate"/>
      </w:r>
      <w:r>
        <w:t>the Philippines</w:t>
      </w:r>
      <w:r>
        <w:fldChar w:fldCharType="end"/>
      </w:r>
      <w:r>
        <w:t xml:space="preserve"> pathway as quarantine pests and/or regulated articles for Australia:</w:t>
      </w:r>
      <w:r w:rsidRPr="00207186">
        <w:rPr>
          <w:i/>
          <w:iCs/>
        </w:rPr>
        <w:t xml:space="preserve"> Frankliniella occidentalis</w:t>
      </w:r>
      <w:r>
        <w:rPr>
          <w:i/>
          <w:iCs/>
        </w:rPr>
        <w:t xml:space="preserve"> </w:t>
      </w:r>
      <w:r>
        <w:t>(western flower thrips)</w:t>
      </w:r>
      <w:r w:rsidRPr="00207186">
        <w:rPr>
          <w:i/>
          <w:iCs/>
        </w:rPr>
        <w:t>, Scirtothrips dorsalis</w:t>
      </w:r>
      <w:r>
        <w:rPr>
          <w:i/>
          <w:iCs/>
        </w:rPr>
        <w:t xml:space="preserve"> </w:t>
      </w:r>
      <w:r>
        <w:t>(chili thrips)</w:t>
      </w:r>
      <w:r w:rsidRPr="00207186">
        <w:rPr>
          <w:i/>
          <w:iCs/>
        </w:rPr>
        <w:t xml:space="preserve"> </w:t>
      </w:r>
      <w:r>
        <w:t xml:space="preserve">and </w:t>
      </w:r>
      <w:r w:rsidRPr="00207186">
        <w:rPr>
          <w:i/>
          <w:iCs/>
        </w:rPr>
        <w:t>Thrips palmi</w:t>
      </w:r>
      <w:r>
        <w:rPr>
          <w:i/>
          <w:iCs/>
        </w:rPr>
        <w:t xml:space="preserve"> </w:t>
      </w:r>
      <w:r>
        <w:t>(melon thrips).</w:t>
      </w:r>
    </w:p>
    <w:p w14:paraId="51882487" w14:textId="77777777" w:rsidR="00BC2F05" w:rsidRDefault="00772FB6" w:rsidP="008D0946">
      <w:r w:rsidRPr="00945121">
        <w:rPr>
          <w:i/>
          <w:iCs/>
        </w:rPr>
        <w:t>Frankliniella occidentalis</w:t>
      </w:r>
      <w:r w:rsidRPr="00945121">
        <w:t xml:space="preserve"> is not </w:t>
      </w:r>
      <w:r>
        <w:t xml:space="preserve">recorded as </w:t>
      </w:r>
      <w:r w:rsidRPr="00945121">
        <w:t xml:space="preserve">present in the Northern Territory and is assessed as a regional quarantine pest for that territory. </w:t>
      </w:r>
      <w:r w:rsidRPr="00207186">
        <w:rPr>
          <w:i/>
          <w:iCs/>
        </w:rPr>
        <w:t>Thrips palmi</w:t>
      </w:r>
      <w:r>
        <w:t xml:space="preserve"> is not recorded as present in South Australia and is assessed as a regional quarantine pest for that state. </w:t>
      </w:r>
      <w:r w:rsidRPr="00207186">
        <w:rPr>
          <w:i/>
          <w:iCs/>
        </w:rPr>
        <w:t>Th</w:t>
      </w:r>
      <w:r>
        <w:rPr>
          <w:i/>
          <w:iCs/>
        </w:rPr>
        <w:t>r</w:t>
      </w:r>
      <w:r w:rsidRPr="00207186">
        <w:rPr>
          <w:i/>
          <w:iCs/>
        </w:rPr>
        <w:t>ips palmi</w:t>
      </w:r>
      <w:r>
        <w:t xml:space="preserve"> is present but not widely distributed in Western </w:t>
      </w:r>
      <w:proofErr w:type="gramStart"/>
      <w:r>
        <w:t>Australia, and</w:t>
      </w:r>
      <w:proofErr w:type="gramEnd"/>
      <w:r>
        <w:t xml:space="preserve"> is assessed as a pest of regional concern for all areas of Western Australia outside the Ord River Irrigation Area (Shire of Wyndham-East Kimberley).</w:t>
      </w:r>
    </w:p>
    <w:p w14:paraId="6EEE23DC" w14:textId="77777777" w:rsidR="00BC2F05" w:rsidRDefault="00772FB6" w:rsidP="008D0946">
      <w:r>
        <w:rPr>
          <w:i/>
          <w:iCs/>
        </w:rPr>
        <w:t xml:space="preserve">Frankliniella occidentalis, S. dorsalis </w:t>
      </w:r>
      <w:r>
        <w:t xml:space="preserve">and </w:t>
      </w:r>
      <w:r>
        <w:rPr>
          <w:i/>
          <w:iCs/>
        </w:rPr>
        <w:t>T. palmi</w:t>
      </w:r>
      <w:r>
        <w:t xml:space="preserve"> are also identified as regulated articles for Australia because they are capable of harbouring and spreading (vectoring) emerging </w:t>
      </w:r>
      <w:proofErr w:type="spellStart"/>
      <w:r>
        <w:t>orthotospoviruses</w:t>
      </w:r>
      <w:proofErr w:type="spellEnd"/>
      <w:r>
        <w:t xml:space="preserve"> that are quarantine pests for Australia, as detailed in the thrips Group PRA </w:t>
      </w:r>
      <w:r>
        <w:rPr>
          <w:noProof/>
        </w:rPr>
        <w:t>(DAWR 2017a)</w:t>
      </w:r>
      <w:r>
        <w:t xml:space="preserve">. 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2022)</w:t>
      </w:r>
      <w:r>
        <w:t>. For simplicity, thrips identified as a regulated article are referred to as 'regulated thrips'.</w:t>
      </w:r>
    </w:p>
    <w:p w14:paraId="40E2A070" w14:textId="77777777" w:rsidR="00BC2F05" w:rsidRPr="00772548" w:rsidRDefault="00772FB6" w:rsidP="008D0946">
      <w:r w:rsidRPr="00772548">
        <w:t xml:space="preserve">The indicative likelihood of entry for </w:t>
      </w:r>
      <w:r>
        <w:t>all quarantine and regulated</w:t>
      </w:r>
      <w:r w:rsidRPr="00772548">
        <w:t xml:space="preserve"> thrips is assessed as Moderate</w:t>
      </w:r>
      <w:r>
        <w:t xml:space="preserve"> </w:t>
      </w:r>
      <w:r w:rsidRPr="00772548">
        <w:t xml:space="preserve">in the thrips Group PRA </w:t>
      </w:r>
      <w:r>
        <w:rPr>
          <w:noProof/>
        </w:rPr>
        <w:t>(DAWR 2017a)</w:t>
      </w:r>
      <w:r w:rsidRPr="00772548">
        <w:t xml:space="preserve">. </w:t>
      </w:r>
      <w:r w:rsidRPr="0064318F">
        <w:rPr>
          <w:i/>
          <w:iCs/>
        </w:rPr>
        <w:t xml:space="preserve">Frankliniella occidentalis, </w:t>
      </w:r>
      <w:r>
        <w:rPr>
          <w:i/>
          <w:iCs/>
        </w:rPr>
        <w:t>S.</w:t>
      </w:r>
      <w:r w:rsidRPr="0064318F">
        <w:rPr>
          <w:i/>
          <w:iCs/>
        </w:rPr>
        <w:t xml:space="preserve"> dorsalis </w:t>
      </w:r>
      <w:r w:rsidRPr="0064318F">
        <w:t>and</w:t>
      </w:r>
      <w:r w:rsidRPr="0064318F">
        <w:rPr>
          <w:i/>
          <w:iCs/>
        </w:rPr>
        <w:t xml:space="preserve"> </w:t>
      </w:r>
      <w:r>
        <w:rPr>
          <w:i/>
          <w:iCs/>
        </w:rPr>
        <w:t>T.</w:t>
      </w:r>
      <w:r w:rsidRPr="0064318F">
        <w:rPr>
          <w:i/>
          <w:iCs/>
        </w:rPr>
        <w:t xml:space="preserve"> palmi</w:t>
      </w:r>
      <w:r>
        <w:rPr>
          <w:i/>
          <w:iCs/>
        </w:rPr>
        <w:t xml:space="preserve"> </w:t>
      </w:r>
      <w:r>
        <w:t xml:space="preserve">are reported from the Philippines </w:t>
      </w:r>
      <w:r>
        <w:rPr>
          <w:noProof/>
          <w:lang w:val="pt-BR"/>
        </w:rPr>
        <w:t>(CABI 2021; Kajita et al. 1996; Mintu &amp; Reyes 2018; Wang et al. 2010)</w:t>
      </w:r>
      <w:r w:rsidRPr="00364A80">
        <w:rPr>
          <w:lang w:val="pt-BR"/>
        </w:rPr>
        <w:t xml:space="preserve"> </w:t>
      </w:r>
      <w:r>
        <w:t xml:space="preserve">and are associated with dragon fruit </w:t>
      </w:r>
      <w:r>
        <w:rPr>
          <w:noProof/>
        </w:rPr>
        <w:t>(Carrillo, Duncan &amp; Peña 2021; Huang &amp; Chiu 2018; Meza et al. 2020)</w:t>
      </w:r>
      <w:r>
        <w:t xml:space="preserve">. Standard packing house processes and transportation are not expected to manage the risk of these thrips on the pathway. </w:t>
      </w:r>
      <w:r w:rsidRPr="00772548">
        <w:t>After assessment of relevant pathway-specific factors (</w:t>
      </w:r>
      <w:r>
        <w:rPr>
          <w:color w:val="000000" w:themeColor="text1"/>
        </w:rPr>
        <w:t>sections A2.6 and A2.7</w:t>
      </w:r>
      <w:r w:rsidRPr="005618BF">
        <w:rPr>
          <w:color w:val="000000" w:themeColor="text1"/>
        </w:rPr>
        <w:t>)</w:t>
      </w:r>
      <w:r>
        <w:t xml:space="preserve"> for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rsidRPr="00772548">
        <w:t xml:space="preserve">, </w:t>
      </w:r>
      <w:r>
        <w:t xml:space="preserve">the </w:t>
      </w:r>
      <w:r w:rsidRPr="00772548">
        <w:t>likelihood of entry of</w:t>
      </w:r>
      <w:r>
        <w:t xml:space="preserve"> Moderate</w:t>
      </w:r>
      <w:r w:rsidRPr="00772548">
        <w:t xml:space="preserve"> w</w:t>
      </w:r>
      <w:r>
        <w:t>as</w:t>
      </w:r>
      <w:r w:rsidRPr="00772548">
        <w:t xml:space="preserve"> </w:t>
      </w:r>
      <w:r>
        <w:t>verified as appropriate for these thrips on this pathway (</w:t>
      </w:r>
      <w:r>
        <w:fldChar w:fldCharType="begin" w:fldLock="1"/>
      </w:r>
      <w:r>
        <w:instrText xml:space="preserve"> REF _Ref109218592 \h </w:instrText>
      </w:r>
      <w:r>
        <w:fldChar w:fldCharType="separate"/>
      </w:r>
      <w:r>
        <w:t xml:space="preserve">Table </w:t>
      </w:r>
      <w:r>
        <w:rPr>
          <w:noProof/>
        </w:rPr>
        <w:t>3</w:t>
      </w:r>
      <w:r>
        <w:t>.</w:t>
      </w:r>
      <w:r>
        <w:rPr>
          <w:noProof/>
        </w:rPr>
        <w:t>4).</w:t>
      </w:r>
      <w:r w:rsidRPr="00332522">
        <w:t xml:space="preserve"> </w:t>
      </w:r>
      <w:r>
        <w:fldChar w:fldCharType="end"/>
      </w:r>
    </w:p>
    <w:p w14:paraId="5131C9B8" w14:textId="77777777" w:rsidR="00BC2F05" w:rsidRPr="00332522" w:rsidRDefault="00772FB6" w:rsidP="00BE64E7">
      <w:pPr>
        <w:pStyle w:val="Tablecaption"/>
      </w:pPr>
      <w:bookmarkStart w:id="121" w:name="Table3_4"/>
      <w:bookmarkStart w:id="122" w:name="_Toc113430651"/>
      <w:bookmarkStart w:id="123" w:name="_Toc119493136"/>
      <w:bookmarkStart w:id="124" w:name="_Ref109218592"/>
      <w:r>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4</w:t>
      </w:r>
      <w:r w:rsidR="000C0A09">
        <w:rPr>
          <w:noProof/>
        </w:rPr>
        <w:fldChar w:fldCharType="end"/>
      </w:r>
      <w:bookmarkEnd w:id="120"/>
      <w:r w:rsidRPr="00332522">
        <w:t xml:space="preserve"> </w:t>
      </w:r>
      <w:bookmarkEnd w:id="121"/>
      <w:r w:rsidRPr="00332522">
        <w:t xml:space="preserve">Quarantine and regulated thrips species for </w:t>
      </w:r>
      <w:fldSimple w:instr=" REF  commodity \* Lower  \* MERGEFORMAT " w:fldLock="1">
        <w:r>
          <w:t>dragon</w:t>
        </w:r>
        <w:r w:rsidRPr="007678C4">
          <w:rPr>
            <w:rStyle w:val="TablecaptionChar"/>
          </w:rPr>
          <w:t xml:space="preserve"> </w:t>
        </w:r>
        <w:r>
          <w:t>fruit</w:t>
        </w:r>
      </w:fldSimple>
      <w:r w:rsidRPr="00332522">
        <w:t xml:space="preserve"> from </w:t>
      </w:r>
      <w:fldSimple w:instr=" REF country  \* MERGEFORMAT " w:fldLock="1">
        <w:r>
          <w:t>the Philippines</w:t>
        </w:r>
        <w:bookmarkEnd w:id="122"/>
        <w:bookmarkEnd w:id="123"/>
      </w:fldSimple>
      <w:bookmarkEnd w:id="124"/>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808"/>
        <w:gridCol w:w="1326"/>
        <w:gridCol w:w="1232"/>
        <w:gridCol w:w="1355"/>
        <w:gridCol w:w="1658"/>
        <w:gridCol w:w="1691"/>
      </w:tblGrid>
      <w:tr w:rsidR="00C80041" w14:paraId="705ACBAB" w14:textId="77777777" w:rsidTr="00976665">
        <w:trPr>
          <w:cantSplit/>
        </w:trPr>
        <w:tc>
          <w:tcPr>
            <w:tcW w:w="997" w:type="pct"/>
            <w:tcBorders>
              <w:top w:val="single" w:sz="4" w:space="0" w:color="auto"/>
              <w:bottom w:val="single" w:sz="4" w:space="0" w:color="auto"/>
            </w:tcBorders>
            <w:shd w:val="clear" w:color="auto" w:fill="auto"/>
          </w:tcPr>
          <w:p w14:paraId="7E147A4C" w14:textId="77777777" w:rsidR="00BC2F05" w:rsidRPr="00772548" w:rsidRDefault="00772FB6" w:rsidP="00976665">
            <w:pPr>
              <w:pStyle w:val="TableHeading"/>
            </w:pPr>
            <w:r w:rsidRPr="00772548">
              <w:t>Pest</w:t>
            </w:r>
          </w:p>
        </w:tc>
        <w:tc>
          <w:tcPr>
            <w:tcW w:w="731" w:type="pct"/>
            <w:tcBorders>
              <w:top w:val="single" w:sz="4" w:space="0" w:color="auto"/>
              <w:bottom w:val="single" w:sz="4" w:space="0" w:color="auto"/>
            </w:tcBorders>
          </w:tcPr>
          <w:p w14:paraId="72A4A95F" w14:textId="77777777" w:rsidR="00BC2F05" w:rsidRPr="00772548" w:rsidRDefault="00772FB6" w:rsidP="00976665">
            <w:pPr>
              <w:pStyle w:val="TableHeading"/>
            </w:pPr>
            <w:r w:rsidRPr="00772548">
              <w:t>In thrips Group PRA</w:t>
            </w:r>
          </w:p>
        </w:tc>
        <w:tc>
          <w:tcPr>
            <w:tcW w:w="679" w:type="pct"/>
            <w:tcBorders>
              <w:top w:val="single" w:sz="4" w:space="0" w:color="auto"/>
              <w:bottom w:val="single" w:sz="4" w:space="0" w:color="auto"/>
            </w:tcBorders>
          </w:tcPr>
          <w:p w14:paraId="320293C7" w14:textId="77777777" w:rsidR="00BC2F05" w:rsidRPr="00772548" w:rsidRDefault="00772FB6" w:rsidP="00976665">
            <w:pPr>
              <w:pStyle w:val="TableHeading"/>
            </w:pPr>
            <w:r w:rsidRPr="00772548">
              <w:t>Quarantine pest</w:t>
            </w:r>
          </w:p>
        </w:tc>
        <w:tc>
          <w:tcPr>
            <w:tcW w:w="747" w:type="pct"/>
            <w:tcBorders>
              <w:top w:val="single" w:sz="4" w:space="0" w:color="auto"/>
              <w:bottom w:val="single" w:sz="4" w:space="0" w:color="auto"/>
            </w:tcBorders>
          </w:tcPr>
          <w:p w14:paraId="27EC1349" w14:textId="77777777" w:rsidR="00BC2F05" w:rsidRDefault="00772FB6" w:rsidP="00976665">
            <w:pPr>
              <w:pStyle w:val="TableHeading"/>
            </w:pPr>
            <w:r>
              <w:t>Regulated thrips</w:t>
            </w:r>
          </w:p>
        </w:tc>
        <w:tc>
          <w:tcPr>
            <w:tcW w:w="914" w:type="pct"/>
            <w:tcBorders>
              <w:top w:val="single" w:sz="4" w:space="0" w:color="auto"/>
              <w:bottom w:val="single" w:sz="4" w:space="0" w:color="auto"/>
            </w:tcBorders>
          </w:tcPr>
          <w:p w14:paraId="26AC90C4" w14:textId="77777777" w:rsidR="00BC2F05" w:rsidRPr="00772548" w:rsidRDefault="00772FB6" w:rsidP="00976665">
            <w:pPr>
              <w:pStyle w:val="TableHeading"/>
            </w:pPr>
            <w:r>
              <w:t xml:space="preserve">On </w:t>
            </w:r>
            <w:fldSimple w:instr=" REF  commodity \* Lower  \* MERGEFORMAT " w:fldLock="1">
              <w:r>
                <w:t>dragon fruit</w:t>
              </w:r>
            </w:fldSimple>
            <w:r>
              <w:t xml:space="preserve"> p</w:t>
            </w:r>
            <w:r w:rsidRPr="00772548">
              <w:t>athway</w:t>
            </w:r>
          </w:p>
        </w:tc>
        <w:tc>
          <w:tcPr>
            <w:tcW w:w="932" w:type="pct"/>
            <w:tcBorders>
              <w:top w:val="single" w:sz="4" w:space="0" w:color="auto"/>
              <w:bottom w:val="single" w:sz="4" w:space="0" w:color="auto"/>
            </w:tcBorders>
          </w:tcPr>
          <w:p w14:paraId="453A805A" w14:textId="77777777" w:rsidR="00BC2F05" w:rsidRPr="00772548" w:rsidRDefault="00772FB6" w:rsidP="00976665">
            <w:pPr>
              <w:pStyle w:val="TableHeading"/>
            </w:pPr>
            <w:r>
              <w:t>Likelihood of entry</w:t>
            </w:r>
          </w:p>
        </w:tc>
      </w:tr>
      <w:tr w:rsidR="00C80041" w14:paraId="139D6A35" w14:textId="77777777" w:rsidTr="00976665">
        <w:trPr>
          <w:cantSplit/>
          <w:trHeight w:val="75"/>
        </w:trPr>
        <w:tc>
          <w:tcPr>
            <w:tcW w:w="997" w:type="pct"/>
            <w:tcBorders>
              <w:top w:val="nil"/>
              <w:bottom w:val="nil"/>
            </w:tcBorders>
            <w:shd w:val="clear" w:color="auto" w:fill="auto"/>
          </w:tcPr>
          <w:p w14:paraId="66444A31" w14:textId="77777777" w:rsidR="00BC2F05" w:rsidRPr="00B05393" w:rsidRDefault="00772FB6" w:rsidP="00976665">
            <w:pPr>
              <w:pStyle w:val="TableText"/>
              <w:rPr>
                <w:i/>
                <w:color w:val="000000" w:themeColor="text1"/>
                <w:lang w:val="en-US"/>
              </w:rPr>
            </w:pPr>
            <w:r>
              <w:rPr>
                <w:i/>
                <w:color w:val="000000" w:themeColor="text1"/>
                <w:lang w:val="en-US"/>
              </w:rPr>
              <w:t>Frankliniella occidentalis</w:t>
            </w:r>
          </w:p>
        </w:tc>
        <w:tc>
          <w:tcPr>
            <w:tcW w:w="731" w:type="pct"/>
            <w:tcBorders>
              <w:top w:val="nil"/>
              <w:bottom w:val="nil"/>
            </w:tcBorders>
          </w:tcPr>
          <w:p w14:paraId="64DF295E" w14:textId="77777777" w:rsidR="00BC2F05" w:rsidRPr="00B05393" w:rsidRDefault="00772FB6" w:rsidP="00976665">
            <w:pPr>
              <w:pStyle w:val="TableText"/>
              <w:rPr>
                <w:color w:val="000000" w:themeColor="text1"/>
                <w:lang w:val="en-US"/>
              </w:rPr>
            </w:pPr>
            <w:r>
              <w:rPr>
                <w:color w:val="000000" w:themeColor="text1"/>
                <w:lang w:val="en-US"/>
              </w:rPr>
              <w:t>Yes</w:t>
            </w:r>
          </w:p>
        </w:tc>
        <w:tc>
          <w:tcPr>
            <w:tcW w:w="679" w:type="pct"/>
            <w:tcBorders>
              <w:top w:val="nil"/>
              <w:bottom w:val="nil"/>
            </w:tcBorders>
          </w:tcPr>
          <w:p w14:paraId="6042E6BE" w14:textId="77777777" w:rsidR="00BC2F05" w:rsidRPr="00B05393" w:rsidRDefault="00772FB6" w:rsidP="00976665">
            <w:pPr>
              <w:pStyle w:val="TableText"/>
              <w:rPr>
                <w:color w:val="000000" w:themeColor="text1"/>
                <w:lang w:val="en-US"/>
              </w:rPr>
            </w:pPr>
            <w:r>
              <w:rPr>
                <w:color w:val="000000" w:themeColor="text1"/>
                <w:lang w:val="en-US"/>
              </w:rPr>
              <w:t>Yes (NT)</w:t>
            </w:r>
          </w:p>
        </w:tc>
        <w:tc>
          <w:tcPr>
            <w:tcW w:w="747" w:type="pct"/>
            <w:tcBorders>
              <w:top w:val="nil"/>
              <w:bottom w:val="nil"/>
            </w:tcBorders>
          </w:tcPr>
          <w:p w14:paraId="019B00F0" w14:textId="77777777" w:rsidR="00BC2F05" w:rsidRDefault="00772FB6" w:rsidP="00976665">
            <w:pPr>
              <w:pStyle w:val="TableText"/>
              <w:rPr>
                <w:color w:val="000000" w:themeColor="text1"/>
                <w:lang w:val="en-US"/>
              </w:rPr>
            </w:pPr>
            <w:r>
              <w:rPr>
                <w:color w:val="000000" w:themeColor="text1"/>
                <w:lang w:val="en-US"/>
              </w:rPr>
              <w:t>Yes</w:t>
            </w:r>
          </w:p>
        </w:tc>
        <w:tc>
          <w:tcPr>
            <w:tcW w:w="914" w:type="pct"/>
            <w:tcBorders>
              <w:top w:val="nil"/>
              <w:bottom w:val="nil"/>
            </w:tcBorders>
          </w:tcPr>
          <w:p w14:paraId="327F989B" w14:textId="77777777" w:rsidR="00BC2F05" w:rsidRPr="00B05393" w:rsidRDefault="00772FB6" w:rsidP="00976665">
            <w:pPr>
              <w:pStyle w:val="TableText"/>
              <w:rPr>
                <w:color w:val="000000" w:themeColor="text1"/>
                <w:lang w:val="en-US"/>
              </w:rPr>
            </w:pPr>
            <w:r>
              <w:rPr>
                <w:color w:val="000000" w:themeColor="text1"/>
                <w:lang w:val="en-US"/>
              </w:rPr>
              <w:t>Yes</w:t>
            </w:r>
          </w:p>
        </w:tc>
        <w:tc>
          <w:tcPr>
            <w:tcW w:w="932" w:type="pct"/>
            <w:tcBorders>
              <w:top w:val="nil"/>
              <w:bottom w:val="nil"/>
            </w:tcBorders>
          </w:tcPr>
          <w:p w14:paraId="640E4C99" w14:textId="77777777" w:rsidR="00BC2F05" w:rsidRPr="00B05393" w:rsidRDefault="00772FB6" w:rsidP="00976665">
            <w:pPr>
              <w:pStyle w:val="TableText"/>
              <w:rPr>
                <w:color w:val="000000" w:themeColor="text1"/>
                <w:lang w:val="en-US"/>
              </w:rPr>
            </w:pPr>
            <w:r>
              <w:t>Moderate</w:t>
            </w:r>
          </w:p>
        </w:tc>
      </w:tr>
      <w:tr w:rsidR="00C80041" w14:paraId="1507EABB" w14:textId="77777777" w:rsidTr="00976665">
        <w:trPr>
          <w:cantSplit/>
          <w:trHeight w:val="75"/>
        </w:trPr>
        <w:tc>
          <w:tcPr>
            <w:tcW w:w="997" w:type="pct"/>
            <w:tcBorders>
              <w:top w:val="nil"/>
              <w:bottom w:val="nil"/>
            </w:tcBorders>
            <w:shd w:val="clear" w:color="auto" w:fill="auto"/>
          </w:tcPr>
          <w:p w14:paraId="19001C2B" w14:textId="77777777" w:rsidR="00BC2F05" w:rsidRPr="00B05393" w:rsidRDefault="00772FB6" w:rsidP="00976665">
            <w:pPr>
              <w:pStyle w:val="TableText"/>
              <w:rPr>
                <w:i/>
                <w:color w:val="000000" w:themeColor="text1"/>
                <w:lang w:val="en-US"/>
              </w:rPr>
            </w:pPr>
            <w:r>
              <w:rPr>
                <w:i/>
                <w:color w:val="000000" w:themeColor="text1"/>
                <w:lang w:val="en-US"/>
              </w:rPr>
              <w:t>Scirtothrips dorsalis</w:t>
            </w:r>
          </w:p>
        </w:tc>
        <w:tc>
          <w:tcPr>
            <w:tcW w:w="731" w:type="pct"/>
            <w:tcBorders>
              <w:top w:val="nil"/>
              <w:bottom w:val="nil"/>
            </w:tcBorders>
          </w:tcPr>
          <w:p w14:paraId="344557D7" w14:textId="77777777" w:rsidR="00BC2F05" w:rsidRPr="00B05393" w:rsidRDefault="00772FB6" w:rsidP="00976665">
            <w:pPr>
              <w:pStyle w:val="TableText"/>
              <w:rPr>
                <w:color w:val="000000" w:themeColor="text1"/>
                <w:lang w:val="en-US"/>
              </w:rPr>
            </w:pPr>
            <w:r>
              <w:rPr>
                <w:color w:val="000000" w:themeColor="text1"/>
                <w:lang w:val="en-US"/>
              </w:rPr>
              <w:t>Yes</w:t>
            </w:r>
          </w:p>
        </w:tc>
        <w:tc>
          <w:tcPr>
            <w:tcW w:w="679" w:type="pct"/>
            <w:tcBorders>
              <w:top w:val="nil"/>
              <w:bottom w:val="nil"/>
            </w:tcBorders>
          </w:tcPr>
          <w:p w14:paraId="6347B21D" w14:textId="77777777" w:rsidR="00BC2F05" w:rsidRPr="00B05393" w:rsidRDefault="00772FB6" w:rsidP="00976665">
            <w:pPr>
              <w:pStyle w:val="TableText"/>
              <w:rPr>
                <w:color w:val="000000" w:themeColor="text1"/>
                <w:lang w:val="en-US"/>
              </w:rPr>
            </w:pPr>
            <w:r>
              <w:rPr>
                <w:color w:val="000000" w:themeColor="text1"/>
                <w:lang w:val="en-US"/>
              </w:rPr>
              <w:t>No</w:t>
            </w:r>
          </w:p>
        </w:tc>
        <w:tc>
          <w:tcPr>
            <w:tcW w:w="747" w:type="pct"/>
            <w:tcBorders>
              <w:top w:val="nil"/>
              <w:bottom w:val="nil"/>
            </w:tcBorders>
          </w:tcPr>
          <w:p w14:paraId="5088E8A9" w14:textId="77777777" w:rsidR="00BC2F05" w:rsidRDefault="00772FB6" w:rsidP="00976665">
            <w:pPr>
              <w:pStyle w:val="TableText"/>
              <w:rPr>
                <w:color w:val="000000" w:themeColor="text1"/>
                <w:lang w:val="en-US"/>
              </w:rPr>
            </w:pPr>
            <w:r>
              <w:rPr>
                <w:color w:val="000000" w:themeColor="text1"/>
                <w:lang w:val="en-US"/>
              </w:rPr>
              <w:t>Yes</w:t>
            </w:r>
          </w:p>
        </w:tc>
        <w:tc>
          <w:tcPr>
            <w:tcW w:w="914" w:type="pct"/>
            <w:tcBorders>
              <w:top w:val="nil"/>
              <w:bottom w:val="nil"/>
            </w:tcBorders>
          </w:tcPr>
          <w:p w14:paraId="2F528B57" w14:textId="77777777" w:rsidR="00BC2F05" w:rsidRPr="00B05393" w:rsidRDefault="00772FB6" w:rsidP="00976665">
            <w:pPr>
              <w:pStyle w:val="TableText"/>
              <w:rPr>
                <w:color w:val="000000" w:themeColor="text1"/>
                <w:lang w:val="en-US"/>
              </w:rPr>
            </w:pPr>
            <w:r>
              <w:rPr>
                <w:color w:val="000000" w:themeColor="text1"/>
                <w:lang w:val="en-US"/>
              </w:rPr>
              <w:t>Yes</w:t>
            </w:r>
          </w:p>
        </w:tc>
        <w:tc>
          <w:tcPr>
            <w:tcW w:w="932" w:type="pct"/>
            <w:tcBorders>
              <w:top w:val="nil"/>
              <w:bottom w:val="nil"/>
            </w:tcBorders>
          </w:tcPr>
          <w:p w14:paraId="0CB84A52" w14:textId="77777777" w:rsidR="00BC2F05" w:rsidRPr="00B05393" w:rsidRDefault="00772FB6" w:rsidP="00976665">
            <w:pPr>
              <w:pStyle w:val="TableText"/>
              <w:rPr>
                <w:color w:val="000000" w:themeColor="text1"/>
                <w:lang w:val="en-US"/>
              </w:rPr>
            </w:pPr>
            <w:r>
              <w:t>Moderate</w:t>
            </w:r>
          </w:p>
        </w:tc>
      </w:tr>
      <w:tr w:rsidR="00C80041" w14:paraId="7467D228" w14:textId="77777777" w:rsidTr="00976665">
        <w:trPr>
          <w:cantSplit/>
          <w:trHeight w:val="75"/>
        </w:trPr>
        <w:tc>
          <w:tcPr>
            <w:tcW w:w="997" w:type="pct"/>
            <w:tcBorders>
              <w:top w:val="nil"/>
              <w:bottom w:val="single" w:sz="4" w:space="0" w:color="auto"/>
            </w:tcBorders>
            <w:shd w:val="clear" w:color="auto" w:fill="auto"/>
          </w:tcPr>
          <w:p w14:paraId="6BC4D196" w14:textId="77777777" w:rsidR="00BC2F05" w:rsidRPr="00B05393" w:rsidRDefault="00772FB6" w:rsidP="00976665">
            <w:pPr>
              <w:pStyle w:val="TableText"/>
              <w:rPr>
                <w:i/>
                <w:color w:val="000000" w:themeColor="text1"/>
                <w:lang w:val="en-US"/>
              </w:rPr>
            </w:pPr>
            <w:r>
              <w:rPr>
                <w:i/>
                <w:color w:val="000000" w:themeColor="text1"/>
                <w:lang w:val="en-US"/>
              </w:rPr>
              <w:t>Thrips palmi</w:t>
            </w:r>
          </w:p>
        </w:tc>
        <w:tc>
          <w:tcPr>
            <w:tcW w:w="731" w:type="pct"/>
            <w:tcBorders>
              <w:top w:val="nil"/>
              <w:bottom w:val="single" w:sz="4" w:space="0" w:color="auto"/>
            </w:tcBorders>
          </w:tcPr>
          <w:p w14:paraId="78A95688" w14:textId="77777777" w:rsidR="00BC2F05" w:rsidRPr="00B05393" w:rsidRDefault="00772FB6" w:rsidP="00976665">
            <w:pPr>
              <w:pStyle w:val="TableText"/>
              <w:rPr>
                <w:color w:val="000000" w:themeColor="text1"/>
                <w:lang w:val="en-US"/>
              </w:rPr>
            </w:pPr>
            <w:r>
              <w:rPr>
                <w:color w:val="000000" w:themeColor="text1"/>
                <w:lang w:val="en-US"/>
              </w:rPr>
              <w:t>Yes</w:t>
            </w:r>
          </w:p>
        </w:tc>
        <w:tc>
          <w:tcPr>
            <w:tcW w:w="679" w:type="pct"/>
            <w:tcBorders>
              <w:top w:val="nil"/>
              <w:bottom w:val="single" w:sz="4" w:space="0" w:color="auto"/>
            </w:tcBorders>
          </w:tcPr>
          <w:p w14:paraId="1369A71B" w14:textId="77777777" w:rsidR="00BC2F05" w:rsidRPr="00B05393" w:rsidRDefault="00772FB6" w:rsidP="00976665">
            <w:pPr>
              <w:pStyle w:val="TableText"/>
              <w:rPr>
                <w:color w:val="000000" w:themeColor="text1"/>
                <w:lang w:val="en-US"/>
              </w:rPr>
            </w:pPr>
            <w:r>
              <w:rPr>
                <w:color w:val="000000" w:themeColor="text1"/>
                <w:lang w:val="en-US"/>
              </w:rPr>
              <w:t>Yes (SA, WA)</w:t>
            </w:r>
          </w:p>
        </w:tc>
        <w:tc>
          <w:tcPr>
            <w:tcW w:w="747" w:type="pct"/>
            <w:tcBorders>
              <w:top w:val="nil"/>
              <w:bottom w:val="single" w:sz="4" w:space="0" w:color="auto"/>
            </w:tcBorders>
          </w:tcPr>
          <w:p w14:paraId="573C687C" w14:textId="77777777" w:rsidR="00BC2F05" w:rsidRDefault="00772FB6" w:rsidP="00976665">
            <w:pPr>
              <w:pStyle w:val="TableText"/>
              <w:rPr>
                <w:color w:val="000000" w:themeColor="text1"/>
                <w:lang w:val="en-US"/>
              </w:rPr>
            </w:pPr>
            <w:r>
              <w:rPr>
                <w:color w:val="000000" w:themeColor="text1"/>
                <w:lang w:val="en-US"/>
              </w:rPr>
              <w:t>Yes</w:t>
            </w:r>
          </w:p>
        </w:tc>
        <w:tc>
          <w:tcPr>
            <w:tcW w:w="914" w:type="pct"/>
            <w:tcBorders>
              <w:top w:val="nil"/>
              <w:bottom w:val="single" w:sz="4" w:space="0" w:color="auto"/>
            </w:tcBorders>
          </w:tcPr>
          <w:p w14:paraId="4381474C" w14:textId="77777777" w:rsidR="00BC2F05" w:rsidRPr="00B05393" w:rsidRDefault="00772FB6" w:rsidP="00976665">
            <w:pPr>
              <w:pStyle w:val="TableText"/>
              <w:rPr>
                <w:color w:val="000000" w:themeColor="text1"/>
                <w:lang w:val="en-US"/>
              </w:rPr>
            </w:pPr>
            <w:r>
              <w:rPr>
                <w:color w:val="000000" w:themeColor="text1"/>
                <w:lang w:val="en-US"/>
              </w:rPr>
              <w:t>Yes</w:t>
            </w:r>
          </w:p>
        </w:tc>
        <w:tc>
          <w:tcPr>
            <w:tcW w:w="932" w:type="pct"/>
            <w:tcBorders>
              <w:top w:val="nil"/>
              <w:bottom w:val="single" w:sz="4" w:space="0" w:color="auto"/>
            </w:tcBorders>
          </w:tcPr>
          <w:p w14:paraId="5198F7D0" w14:textId="77777777" w:rsidR="00BC2F05" w:rsidRPr="00B05393" w:rsidRDefault="00772FB6" w:rsidP="00976665">
            <w:pPr>
              <w:pStyle w:val="TableText"/>
              <w:rPr>
                <w:color w:val="000000" w:themeColor="text1"/>
                <w:lang w:val="en-US"/>
              </w:rPr>
            </w:pPr>
            <w:r>
              <w:t>Moderate</w:t>
            </w:r>
          </w:p>
        </w:tc>
      </w:tr>
    </w:tbl>
    <w:p w14:paraId="4DF64270" w14:textId="77777777" w:rsidR="00BC2F05" w:rsidRPr="00772548" w:rsidRDefault="00772FB6" w:rsidP="008D0946">
      <w:pPr>
        <w:pStyle w:val="FigureTableNoteSource"/>
      </w:pPr>
      <w:r>
        <w:rPr>
          <w:b/>
          <w:bCs/>
        </w:rPr>
        <w:t>NT: </w:t>
      </w:r>
      <w:r>
        <w:t xml:space="preserve">Regional quarantine pest for Northern Territory. </w:t>
      </w:r>
      <w:r>
        <w:rPr>
          <w:b/>
        </w:rPr>
        <w:t>SA:</w:t>
      </w:r>
      <w:r>
        <w:rPr>
          <w:bCs/>
        </w:rPr>
        <w:t> Regional quarantine pest</w:t>
      </w:r>
      <w:r w:rsidRPr="00772548">
        <w:t xml:space="preserve"> for </w:t>
      </w:r>
      <w:r>
        <w:t>South Australia</w:t>
      </w:r>
      <w:r w:rsidRPr="00772548">
        <w:t>.</w:t>
      </w:r>
      <w:r>
        <w:t xml:space="preserve"> </w:t>
      </w:r>
      <w:r>
        <w:rPr>
          <w:b/>
          <w:bCs/>
        </w:rPr>
        <w:t>WA: </w:t>
      </w:r>
      <w:r>
        <w:t>Regional quarantine pest for Western Australia.</w:t>
      </w:r>
    </w:p>
    <w:p w14:paraId="7B5FB0E7" w14:textId="77777777" w:rsidR="00BC2F05" w:rsidRDefault="00772FB6" w:rsidP="008D0946">
      <w:pPr>
        <w:spacing w:before="240"/>
      </w:pPr>
      <w:r w:rsidRPr="00772548">
        <w:t>A summary of the risk assessment for qu</w:t>
      </w:r>
      <w:r>
        <w:t xml:space="preserve">arantine thrips is presented in </w:t>
      </w:r>
      <w:r>
        <w:fldChar w:fldCharType="begin" w:fldLock="1"/>
      </w:r>
      <w:r>
        <w:instrText xml:space="preserve"> REF _Ref86760440 \h </w:instrText>
      </w:r>
      <w:r>
        <w:fldChar w:fldCharType="separate"/>
      </w:r>
      <w:r>
        <w:t xml:space="preserve">Table </w:t>
      </w:r>
      <w:r>
        <w:rPr>
          <w:noProof/>
        </w:rPr>
        <w:t>3</w:t>
      </w:r>
      <w:r>
        <w:t>.</w:t>
      </w:r>
      <w:r>
        <w:rPr>
          <w:noProof/>
        </w:rPr>
        <w:t>5</w:t>
      </w:r>
      <w:r>
        <w:fldChar w:fldCharType="end"/>
      </w:r>
      <w:r>
        <w:t>.</w:t>
      </w:r>
    </w:p>
    <w:p w14:paraId="2112958A" w14:textId="77777777" w:rsidR="00BC2F05" w:rsidRPr="00772548" w:rsidRDefault="00BC2F05" w:rsidP="008D0946">
      <w:pPr>
        <w:spacing w:before="240"/>
      </w:pPr>
    </w:p>
    <w:p w14:paraId="60FFA047" w14:textId="77777777" w:rsidR="00BC2F05" w:rsidRPr="00772548" w:rsidRDefault="00772FB6" w:rsidP="008D0946">
      <w:pPr>
        <w:pStyle w:val="Tablecaption"/>
      </w:pPr>
      <w:bookmarkStart w:id="125" w:name="_Ref86760440"/>
      <w:bookmarkStart w:id="126" w:name="_Toc113430652"/>
      <w:bookmarkStart w:id="127" w:name="_Toc119493137"/>
      <w:r>
        <w:lastRenderedPageBreak/>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5</w:t>
      </w:r>
      <w:r w:rsidR="000C0A09">
        <w:rPr>
          <w:noProof/>
        </w:rPr>
        <w:fldChar w:fldCharType="end"/>
      </w:r>
      <w:bookmarkEnd w:id="125"/>
      <w:r>
        <w:t xml:space="preserve"> R</w:t>
      </w:r>
      <w:r w:rsidRPr="00772548">
        <w:t>isk estimates for quarantine thrips</w:t>
      </w:r>
      <w:bookmarkEnd w:id="126"/>
      <w:bookmarkEnd w:id="127"/>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C80041" w14:paraId="69D4B8F1" w14:textId="77777777" w:rsidTr="00976665">
        <w:tc>
          <w:tcPr>
            <w:tcW w:w="3117" w:type="pct"/>
            <w:tcBorders>
              <w:top w:val="single" w:sz="4" w:space="0" w:color="auto"/>
              <w:bottom w:val="single" w:sz="4" w:space="0" w:color="auto"/>
            </w:tcBorders>
            <w:shd w:val="clear" w:color="auto" w:fill="auto"/>
          </w:tcPr>
          <w:p w14:paraId="49B4B921" w14:textId="77777777" w:rsidR="00BC2F05" w:rsidRPr="00772548" w:rsidRDefault="00772FB6" w:rsidP="00976665">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352F1210" w14:textId="77777777" w:rsidR="00BC2F05" w:rsidRPr="00772548" w:rsidRDefault="00772FB6" w:rsidP="00976665">
            <w:pPr>
              <w:pStyle w:val="TableHeading"/>
            </w:pPr>
            <w:r w:rsidRPr="00772548">
              <w:t>Rating for quarantine thrips</w:t>
            </w:r>
          </w:p>
        </w:tc>
      </w:tr>
      <w:tr w:rsidR="00C80041" w14:paraId="4E0AC6A5" w14:textId="77777777" w:rsidTr="00976665">
        <w:tc>
          <w:tcPr>
            <w:tcW w:w="3117" w:type="pct"/>
            <w:tcBorders>
              <w:top w:val="single" w:sz="4" w:space="0" w:color="auto"/>
              <w:bottom w:val="nil"/>
            </w:tcBorders>
            <w:shd w:val="clear" w:color="auto" w:fill="auto"/>
          </w:tcPr>
          <w:p w14:paraId="20C7DA2F" w14:textId="77777777" w:rsidR="00BC2F05" w:rsidRPr="00772548" w:rsidRDefault="00772FB6" w:rsidP="00976665">
            <w:pPr>
              <w:pStyle w:val="TableText"/>
            </w:pPr>
            <w:r w:rsidRPr="00772548">
              <w:t>Likelihood of entry (importation x distribution)</w:t>
            </w:r>
          </w:p>
        </w:tc>
        <w:tc>
          <w:tcPr>
            <w:tcW w:w="1883" w:type="pct"/>
            <w:tcBorders>
              <w:top w:val="single" w:sz="4" w:space="0" w:color="auto"/>
              <w:bottom w:val="nil"/>
            </w:tcBorders>
            <w:shd w:val="clear" w:color="auto" w:fill="auto"/>
          </w:tcPr>
          <w:p w14:paraId="2E09EE61" w14:textId="77777777" w:rsidR="00BC2F05" w:rsidRPr="00772548" w:rsidRDefault="00772FB6" w:rsidP="00976665">
            <w:pPr>
              <w:pStyle w:val="TableText"/>
            </w:pPr>
            <w:r w:rsidRPr="00772548">
              <w:t>Moderate (High x Moderate)</w:t>
            </w:r>
          </w:p>
        </w:tc>
      </w:tr>
      <w:tr w:rsidR="00C80041" w14:paraId="0622071D" w14:textId="77777777" w:rsidTr="00976665">
        <w:tc>
          <w:tcPr>
            <w:tcW w:w="3117" w:type="pct"/>
            <w:tcBorders>
              <w:top w:val="nil"/>
              <w:bottom w:val="nil"/>
            </w:tcBorders>
            <w:shd w:val="clear" w:color="auto" w:fill="auto"/>
          </w:tcPr>
          <w:p w14:paraId="0E7385C1" w14:textId="77777777" w:rsidR="00BC2F05" w:rsidRPr="00772548" w:rsidRDefault="00772FB6" w:rsidP="00976665">
            <w:pPr>
              <w:pStyle w:val="TableText"/>
            </w:pPr>
            <w:r w:rsidRPr="00772548">
              <w:t>Likelihood of establishment</w:t>
            </w:r>
          </w:p>
        </w:tc>
        <w:tc>
          <w:tcPr>
            <w:tcW w:w="1883" w:type="pct"/>
            <w:tcBorders>
              <w:top w:val="nil"/>
              <w:bottom w:val="nil"/>
            </w:tcBorders>
            <w:shd w:val="clear" w:color="auto" w:fill="auto"/>
          </w:tcPr>
          <w:p w14:paraId="00DF007A" w14:textId="77777777" w:rsidR="00BC2F05" w:rsidRPr="00772548" w:rsidRDefault="00772FB6" w:rsidP="00976665">
            <w:pPr>
              <w:pStyle w:val="TableText"/>
            </w:pPr>
            <w:r w:rsidRPr="00772548">
              <w:t>High</w:t>
            </w:r>
          </w:p>
        </w:tc>
      </w:tr>
      <w:tr w:rsidR="00C80041" w14:paraId="0E6EE363" w14:textId="77777777" w:rsidTr="00976665">
        <w:tc>
          <w:tcPr>
            <w:tcW w:w="3117" w:type="pct"/>
            <w:tcBorders>
              <w:top w:val="nil"/>
              <w:bottom w:val="nil"/>
            </w:tcBorders>
            <w:shd w:val="clear" w:color="auto" w:fill="auto"/>
          </w:tcPr>
          <w:p w14:paraId="62779F41" w14:textId="77777777" w:rsidR="00BC2F05" w:rsidRPr="00772548" w:rsidRDefault="00772FB6" w:rsidP="00976665">
            <w:pPr>
              <w:pStyle w:val="TableText"/>
            </w:pPr>
            <w:r w:rsidRPr="00772548">
              <w:t>Likelihood of spread</w:t>
            </w:r>
          </w:p>
        </w:tc>
        <w:tc>
          <w:tcPr>
            <w:tcW w:w="1883" w:type="pct"/>
            <w:tcBorders>
              <w:top w:val="nil"/>
              <w:bottom w:val="nil"/>
            </w:tcBorders>
            <w:shd w:val="clear" w:color="auto" w:fill="auto"/>
          </w:tcPr>
          <w:p w14:paraId="22255D09" w14:textId="77777777" w:rsidR="00BC2F05" w:rsidRPr="00772548" w:rsidRDefault="00772FB6" w:rsidP="00976665">
            <w:pPr>
              <w:pStyle w:val="TableText"/>
            </w:pPr>
            <w:r w:rsidRPr="00772548">
              <w:t>Hig</w:t>
            </w:r>
            <w:r>
              <w:t>h</w:t>
            </w:r>
          </w:p>
        </w:tc>
      </w:tr>
      <w:tr w:rsidR="00C80041" w14:paraId="2E02A53C" w14:textId="77777777" w:rsidTr="00976665">
        <w:tc>
          <w:tcPr>
            <w:tcW w:w="3117" w:type="pct"/>
            <w:tcBorders>
              <w:top w:val="nil"/>
              <w:bottom w:val="nil"/>
            </w:tcBorders>
            <w:shd w:val="clear" w:color="auto" w:fill="auto"/>
            <w:hideMark/>
          </w:tcPr>
          <w:p w14:paraId="4F15FA85" w14:textId="77777777" w:rsidR="00BC2F05" w:rsidRPr="00772548" w:rsidRDefault="00772FB6" w:rsidP="00976665">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1938AAF1" w14:textId="77777777" w:rsidR="00BC2F05" w:rsidRPr="00772548" w:rsidRDefault="00772FB6" w:rsidP="00976665">
            <w:pPr>
              <w:pStyle w:val="TableText"/>
            </w:pPr>
            <w:r w:rsidRPr="00772548">
              <w:t>Moderate</w:t>
            </w:r>
          </w:p>
        </w:tc>
      </w:tr>
      <w:tr w:rsidR="00C80041" w14:paraId="634CB402" w14:textId="77777777" w:rsidTr="00976665">
        <w:tc>
          <w:tcPr>
            <w:tcW w:w="3117" w:type="pct"/>
            <w:tcBorders>
              <w:top w:val="nil"/>
              <w:bottom w:val="nil"/>
            </w:tcBorders>
            <w:shd w:val="clear" w:color="auto" w:fill="auto"/>
            <w:hideMark/>
          </w:tcPr>
          <w:p w14:paraId="3689C5CA" w14:textId="77777777" w:rsidR="00BC2F05" w:rsidRPr="00772548" w:rsidRDefault="00772FB6" w:rsidP="00976665">
            <w:pPr>
              <w:pStyle w:val="TableText"/>
            </w:pPr>
            <w:r w:rsidRPr="00772548">
              <w:t xml:space="preserve">Consequences </w:t>
            </w:r>
          </w:p>
        </w:tc>
        <w:tc>
          <w:tcPr>
            <w:tcW w:w="1883" w:type="pct"/>
            <w:tcBorders>
              <w:top w:val="nil"/>
              <w:bottom w:val="nil"/>
            </w:tcBorders>
            <w:shd w:val="clear" w:color="auto" w:fill="auto"/>
            <w:hideMark/>
          </w:tcPr>
          <w:p w14:paraId="5E75ABCD" w14:textId="77777777" w:rsidR="00BC2F05" w:rsidRPr="00772548" w:rsidRDefault="00772FB6" w:rsidP="00976665">
            <w:pPr>
              <w:pStyle w:val="TableText"/>
            </w:pPr>
            <w:r w:rsidRPr="00772548">
              <w:t>Low</w:t>
            </w:r>
          </w:p>
        </w:tc>
      </w:tr>
      <w:tr w:rsidR="00C80041" w14:paraId="0CDE7977" w14:textId="77777777" w:rsidTr="00976665">
        <w:tc>
          <w:tcPr>
            <w:tcW w:w="3117" w:type="pct"/>
            <w:tcBorders>
              <w:top w:val="nil"/>
              <w:bottom w:val="single" w:sz="4" w:space="0" w:color="auto"/>
            </w:tcBorders>
            <w:shd w:val="clear" w:color="auto" w:fill="auto"/>
            <w:hideMark/>
          </w:tcPr>
          <w:p w14:paraId="10A29715" w14:textId="77777777" w:rsidR="00BC2F05" w:rsidRPr="000C6A42" w:rsidRDefault="00772FB6" w:rsidP="00976665">
            <w:pPr>
              <w:pStyle w:val="TableText"/>
              <w:rPr>
                <w:rStyle w:val="Strong"/>
              </w:rPr>
            </w:pPr>
            <w:r w:rsidRPr="000C6A42">
              <w:rPr>
                <w:rStyle w:val="Strong"/>
              </w:rPr>
              <w:t>Unrestricted risk</w:t>
            </w:r>
          </w:p>
        </w:tc>
        <w:tc>
          <w:tcPr>
            <w:tcW w:w="1883" w:type="pct"/>
            <w:tcBorders>
              <w:top w:val="nil"/>
              <w:bottom w:val="single" w:sz="4" w:space="0" w:color="auto"/>
            </w:tcBorders>
            <w:shd w:val="clear" w:color="auto" w:fill="auto"/>
            <w:hideMark/>
          </w:tcPr>
          <w:p w14:paraId="488AB8C0" w14:textId="77777777" w:rsidR="00BC2F05" w:rsidRPr="000C6A42" w:rsidRDefault="00772FB6" w:rsidP="00976665">
            <w:pPr>
              <w:pStyle w:val="TableText"/>
              <w:rPr>
                <w:rStyle w:val="Strong"/>
              </w:rPr>
            </w:pPr>
            <w:r w:rsidRPr="000C6A42">
              <w:rPr>
                <w:rStyle w:val="Strong"/>
              </w:rPr>
              <w:t>Low</w:t>
            </w:r>
          </w:p>
        </w:tc>
      </w:tr>
    </w:tbl>
    <w:p w14:paraId="4DE68A4B" w14:textId="77777777" w:rsidR="00BC2F05" w:rsidRDefault="00772FB6" w:rsidP="008D0946">
      <w:pPr>
        <w:spacing w:before="240"/>
      </w:pPr>
      <w:bookmarkStart w:id="128" w:name="_Hlk86749317"/>
      <w:r>
        <w:t>As assessed in the thrips Group PRA, t</w:t>
      </w:r>
      <w:r w:rsidRPr="00772548">
        <w:t xml:space="preserve">he indicative </w:t>
      </w:r>
      <w:r>
        <w:t>URE</w:t>
      </w:r>
      <w:r w:rsidRPr="00772548">
        <w:t xml:space="preserve"> for </w:t>
      </w:r>
      <w:r>
        <w:t>quarantine thrips and regulated thrips</w:t>
      </w:r>
      <w:r w:rsidRPr="00772548">
        <w:t xml:space="preserve"> is Low</w:t>
      </w:r>
      <w:r>
        <w:t xml:space="preserve"> (</w:t>
      </w:r>
      <w:r>
        <w:fldChar w:fldCharType="begin" w:fldLock="1"/>
      </w:r>
      <w:r>
        <w:instrText xml:space="preserve"> REF _Ref86760440 \h </w:instrText>
      </w:r>
      <w:r>
        <w:fldChar w:fldCharType="separate"/>
      </w:r>
      <w:r>
        <w:t xml:space="preserve">Table </w:t>
      </w:r>
      <w:r>
        <w:rPr>
          <w:noProof/>
        </w:rPr>
        <w:t>3</w:t>
      </w:r>
      <w:r>
        <w:t>.</w:t>
      </w:r>
      <w:r>
        <w:rPr>
          <w:noProof/>
        </w:rPr>
        <w:t>5</w:t>
      </w:r>
      <w:r>
        <w:fldChar w:fldCharType="end"/>
      </w:r>
      <w:r>
        <w:t>)</w:t>
      </w:r>
      <w:r w:rsidRPr="00772548">
        <w:t xml:space="preserve"> which does not achieve the ALOP for Australia</w:t>
      </w:r>
      <w:r>
        <w:t xml:space="preserve">. </w:t>
      </w:r>
      <w:r w:rsidRPr="00772548">
        <w:t xml:space="preserve">This indicative </w:t>
      </w:r>
      <w:r>
        <w:t>URE</w:t>
      </w:r>
      <w:r w:rsidRPr="00772548">
        <w:t xml:space="preserve"> </w:t>
      </w:r>
      <w:proofErr w:type="gramStart"/>
      <w:r w:rsidRPr="00772548">
        <w:t>is considered to be</w:t>
      </w:r>
      <w:proofErr w:type="gramEnd"/>
      <w:r w:rsidRPr="00772548">
        <w:t xml:space="preserve"> applicable for the</w:t>
      </w:r>
      <w:r>
        <w:t xml:space="preserve"> quarantine thrips and regulated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p</w:t>
      </w:r>
      <w:r w:rsidRPr="00772548">
        <w:t>athway. Therefore, specific risk management measures are required for the</w:t>
      </w:r>
      <w:r>
        <w:t xml:space="preserve"> quarantine thrips and regulated thrips on this pathway.</w:t>
      </w:r>
      <w:bookmarkEnd w:id="128"/>
    </w:p>
    <w:p w14:paraId="205444B4" w14:textId="77777777" w:rsidR="00BC2F05" w:rsidRPr="00772548" w:rsidRDefault="00772FB6" w:rsidP="008D0946">
      <w:pPr>
        <w:spacing w:before="240"/>
      </w:pPr>
      <w:r w:rsidRPr="00772548">
        <w:t>A</w:t>
      </w:r>
      <w:r>
        <w:t xml:space="preserve">s the thrips species </w:t>
      </w:r>
      <w:r>
        <w:rPr>
          <w:i/>
          <w:iCs/>
        </w:rPr>
        <w:t xml:space="preserve">F. occidentalis, S. dorsalis </w:t>
      </w:r>
      <w:r>
        <w:t xml:space="preserve">and </w:t>
      </w:r>
      <w:r>
        <w:rPr>
          <w:i/>
          <w:iCs/>
        </w:rPr>
        <w:t>T. palmi</w:t>
      </w:r>
      <w:r w:rsidRPr="00772548">
        <w:t xml:space="preserve"> </w:t>
      </w:r>
      <w:r>
        <w:t xml:space="preserve">vector </w:t>
      </w:r>
      <w:proofErr w:type="spellStart"/>
      <w:r>
        <w:t>orthotospoviruses</w:t>
      </w:r>
      <w:proofErr w:type="spellEnd"/>
      <w:r>
        <w:t xml:space="preserve"> that are quarantine pests for Australia, a </w:t>
      </w:r>
      <w:r w:rsidRPr="00772548">
        <w:t xml:space="preserve">summary of the risk assessment for quarantine </w:t>
      </w:r>
      <w:proofErr w:type="spellStart"/>
      <w:r w:rsidRPr="00772548">
        <w:t>orthotospoviruses</w:t>
      </w:r>
      <w:proofErr w:type="spellEnd"/>
      <w:r w:rsidRPr="00772548">
        <w:t xml:space="preserve"> transm</w:t>
      </w:r>
      <w:r>
        <w:t xml:space="preserve">itted by thrips is presented in </w:t>
      </w:r>
      <w:r>
        <w:fldChar w:fldCharType="begin" w:fldLock="1"/>
      </w:r>
      <w:r>
        <w:instrText xml:space="preserve"> REF _Ref86760484 \h </w:instrText>
      </w:r>
      <w:r>
        <w:fldChar w:fldCharType="separate"/>
      </w:r>
      <w:r>
        <w:t xml:space="preserve">Table </w:t>
      </w:r>
      <w:r>
        <w:rPr>
          <w:noProof/>
        </w:rPr>
        <w:t>3</w:t>
      </w:r>
      <w:r>
        <w:t>.</w:t>
      </w:r>
      <w:r>
        <w:rPr>
          <w:noProof/>
        </w:rPr>
        <w:t>6</w:t>
      </w:r>
      <w:r>
        <w:fldChar w:fldCharType="end"/>
      </w:r>
      <w:r>
        <w:t xml:space="preserve"> </w:t>
      </w:r>
      <w:r w:rsidRPr="00772548">
        <w:t>for convenience</w:t>
      </w:r>
      <w:r>
        <w:t>.</w:t>
      </w:r>
    </w:p>
    <w:p w14:paraId="5BDC5E9E" w14:textId="77777777" w:rsidR="00BC2F05" w:rsidRPr="00772548" w:rsidRDefault="00772FB6" w:rsidP="008D0946">
      <w:pPr>
        <w:pStyle w:val="Tablecaption"/>
      </w:pPr>
      <w:bookmarkStart w:id="129" w:name="_Ref86760484"/>
      <w:bookmarkStart w:id="130" w:name="_Toc113430653"/>
      <w:bookmarkStart w:id="131" w:name="_Toc119493138"/>
      <w:r>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6</w:t>
      </w:r>
      <w:r w:rsidR="000C0A09">
        <w:rPr>
          <w:noProof/>
        </w:rPr>
        <w:fldChar w:fldCharType="end"/>
      </w:r>
      <w:bookmarkEnd w:id="129"/>
      <w:r>
        <w:t xml:space="preserve"> </w:t>
      </w:r>
      <w:r w:rsidRPr="00772548">
        <w:t xml:space="preserve">Risk estimates for emerging quarantine </w:t>
      </w:r>
      <w:proofErr w:type="spellStart"/>
      <w:r w:rsidRPr="00772548">
        <w:t>orthotospoviruses</w:t>
      </w:r>
      <w:proofErr w:type="spellEnd"/>
      <w:r w:rsidRPr="00772548">
        <w:t xml:space="preserve"> vectored by regulated thrips</w:t>
      </w:r>
      <w:bookmarkEnd w:id="130"/>
      <w:bookmarkEnd w:id="131"/>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C80041" w14:paraId="293129DB" w14:textId="77777777" w:rsidTr="00976665">
        <w:tc>
          <w:tcPr>
            <w:tcW w:w="2970" w:type="pct"/>
            <w:tcBorders>
              <w:top w:val="single" w:sz="4" w:space="0" w:color="auto"/>
              <w:bottom w:val="single" w:sz="4" w:space="0" w:color="auto"/>
            </w:tcBorders>
            <w:shd w:val="clear" w:color="auto" w:fill="auto"/>
          </w:tcPr>
          <w:p w14:paraId="3026BA34" w14:textId="77777777" w:rsidR="00BC2F05" w:rsidRPr="00772548" w:rsidRDefault="00772FB6" w:rsidP="00976665">
            <w:pPr>
              <w:pStyle w:val="TableHeading"/>
            </w:pPr>
            <w:r w:rsidRPr="00772548">
              <w:t xml:space="preserve">Risk component </w:t>
            </w:r>
          </w:p>
        </w:tc>
        <w:tc>
          <w:tcPr>
            <w:tcW w:w="2030" w:type="pct"/>
            <w:tcBorders>
              <w:top w:val="single" w:sz="4" w:space="0" w:color="auto"/>
              <w:bottom w:val="single" w:sz="4" w:space="0" w:color="auto"/>
            </w:tcBorders>
            <w:shd w:val="clear" w:color="auto" w:fill="auto"/>
          </w:tcPr>
          <w:p w14:paraId="58C21875" w14:textId="77777777" w:rsidR="00BC2F05" w:rsidRPr="00772548" w:rsidRDefault="00772FB6" w:rsidP="00976665">
            <w:pPr>
              <w:pStyle w:val="TableHeading"/>
            </w:pPr>
            <w:r w:rsidRPr="00772548">
              <w:t xml:space="preserve">Rating for emerging quarantine </w:t>
            </w:r>
            <w:proofErr w:type="spellStart"/>
            <w:r w:rsidRPr="00772548">
              <w:t>orthotospoviruses</w:t>
            </w:r>
            <w:proofErr w:type="spellEnd"/>
            <w:r w:rsidRPr="00772548">
              <w:t xml:space="preserve"> </w:t>
            </w:r>
            <w:r w:rsidRPr="0001762E">
              <w:rPr>
                <w:b w:val="0"/>
                <w:bCs/>
              </w:rPr>
              <w:t>(a)</w:t>
            </w:r>
          </w:p>
        </w:tc>
      </w:tr>
      <w:tr w:rsidR="00C80041" w14:paraId="01F4594C" w14:textId="77777777" w:rsidTr="00976665">
        <w:tc>
          <w:tcPr>
            <w:tcW w:w="2970" w:type="pct"/>
            <w:tcBorders>
              <w:top w:val="single" w:sz="4" w:space="0" w:color="auto"/>
              <w:bottom w:val="nil"/>
            </w:tcBorders>
            <w:shd w:val="clear" w:color="auto" w:fill="auto"/>
          </w:tcPr>
          <w:p w14:paraId="5E1F78DE" w14:textId="77777777" w:rsidR="00BC2F05" w:rsidRPr="00772548" w:rsidRDefault="00772FB6" w:rsidP="00976665">
            <w:pPr>
              <w:pStyle w:val="TableText"/>
            </w:pPr>
            <w:r w:rsidRPr="00772548">
              <w:t>Likelihood of entry (importation x distribution)</w:t>
            </w:r>
          </w:p>
        </w:tc>
        <w:tc>
          <w:tcPr>
            <w:tcW w:w="2030" w:type="pct"/>
            <w:tcBorders>
              <w:top w:val="single" w:sz="4" w:space="0" w:color="auto"/>
              <w:bottom w:val="nil"/>
            </w:tcBorders>
            <w:shd w:val="clear" w:color="auto" w:fill="auto"/>
          </w:tcPr>
          <w:p w14:paraId="786CD355" w14:textId="77777777" w:rsidR="00BC2F05" w:rsidRPr="00772548" w:rsidRDefault="00772FB6" w:rsidP="00976665">
            <w:pPr>
              <w:pStyle w:val="TableText"/>
            </w:pPr>
            <w:r w:rsidRPr="00772548">
              <w:t>Low (Moderate x Moderate)</w:t>
            </w:r>
          </w:p>
        </w:tc>
      </w:tr>
      <w:tr w:rsidR="00C80041" w14:paraId="5ACBFBB4" w14:textId="77777777" w:rsidTr="00976665">
        <w:tc>
          <w:tcPr>
            <w:tcW w:w="2970" w:type="pct"/>
            <w:tcBorders>
              <w:top w:val="nil"/>
              <w:bottom w:val="nil"/>
            </w:tcBorders>
            <w:shd w:val="clear" w:color="auto" w:fill="auto"/>
          </w:tcPr>
          <w:p w14:paraId="16125E00" w14:textId="77777777" w:rsidR="00BC2F05" w:rsidRPr="00772548" w:rsidRDefault="00772FB6" w:rsidP="00976665">
            <w:pPr>
              <w:pStyle w:val="TableText"/>
            </w:pPr>
            <w:r w:rsidRPr="00772548">
              <w:t>Likelihood of establishment</w:t>
            </w:r>
          </w:p>
        </w:tc>
        <w:tc>
          <w:tcPr>
            <w:tcW w:w="2030" w:type="pct"/>
            <w:tcBorders>
              <w:top w:val="nil"/>
              <w:bottom w:val="nil"/>
            </w:tcBorders>
            <w:shd w:val="clear" w:color="auto" w:fill="auto"/>
          </w:tcPr>
          <w:p w14:paraId="59ACF1FA" w14:textId="77777777" w:rsidR="00BC2F05" w:rsidRPr="00772548" w:rsidRDefault="00772FB6" w:rsidP="00976665">
            <w:pPr>
              <w:pStyle w:val="TableText"/>
            </w:pPr>
            <w:r w:rsidRPr="00772548">
              <w:t>Moderate</w:t>
            </w:r>
          </w:p>
        </w:tc>
      </w:tr>
      <w:tr w:rsidR="00C80041" w14:paraId="2A293936" w14:textId="77777777" w:rsidTr="00976665">
        <w:tc>
          <w:tcPr>
            <w:tcW w:w="2970" w:type="pct"/>
            <w:tcBorders>
              <w:top w:val="nil"/>
              <w:bottom w:val="nil"/>
            </w:tcBorders>
            <w:shd w:val="clear" w:color="auto" w:fill="auto"/>
          </w:tcPr>
          <w:p w14:paraId="5E841A35" w14:textId="77777777" w:rsidR="00BC2F05" w:rsidRPr="00772548" w:rsidRDefault="00772FB6" w:rsidP="00976665">
            <w:pPr>
              <w:pStyle w:val="TableText"/>
            </w:pPr>
            <w:r w:rsidRPr="00772548">
              <w:t>Likelihood of spread</w:t>
            </w:r>
          </w:p>
        </w:tc>
        <w:tc>
          <w:tcPr>
            <w:tcW w:w="2030" w:type="pct"/>
            <w:tcBorders>
              <w:top w:val="nil"/>
              <w:bottom w:val="nil"/>
            </w:tcBorders>
            <w:shd w:val="clear" w:color="auto" w:fill="auto"/>
          </w:tcPr>
          <w:p w14:paraId="0CEE39B9" w14:textId="77777777" w:rsidR="00BC2F05" w:rsidRPr="00772548" w:rsidRDefault="00772FB6" w:rsidP="00976665">
            <w:pPr>
              <w:pStyle w:val="TableText"/>
            </w:pPr>
            <w:r w:rsidRPr="00772548">
              <w:t>High</w:t>
            </w:r>
          </w:p>
        </w:tc>
      </w:tr>
      <w:tr w:rsidR="00C80041" w14:paraId="4E22FBB0" w14:textId="77777777" w:rsidTr="00976665">
        <w:tc>
          <w:tcPr>
            <w:tcW w:w="2970" w:type="pct"/>
            <w:tcBorders>
              <w:top w:val="nil"/>
              <w:bottom w:val="nil"/>
            </w:tcBorders>
            <w:shd w:val="clear" w:color="auto" w:fill="auto"/>
            <w:hideMark/>
          </w:tcPr>
          <w:p w14:paraId="0A849FA4" w14:textId="77777777" w:rsidR="00BC2F05" w:rsidRPr="00772548" w:rsidRDefault="00772FB6" w:rsidP="00976665">
            <w:pPr>
              <w:pStyle w:val="TableText"/>
            </w:pPr>
            <w:r w:rsidRPr="00772548">
              <w:t xml:space="preserve">Overall likelihood of entry, establishment and spread </w:t>
            </w:r>
          </w:p>
        </w:tc>
        <w:tc>
          <w:tcPr>
            <w:tcW w:w="2030" w:type="pct"/>
            <w:tcBorders>
              <w:top w:val="nil"/>
              <w:bottom w:val="nil"/>
            </w:tcBorders>
            <w:shd w:val="clear" w:color="auto" w:fill="auto"/>
          </w:tcPr>
          <w:p w14:paraId="1CED13F2" w14:textId="77777777" w:rsidR="00BC2F05" w:rsidRPr="00772548" w:rsidRDefault="00772FB6" w:rsidP="00976665">
            <w:pPr>
              <w:pStyle w:val="TableText"/>
            </w:pPr>
            <w:r w:rsidRPr="00772548">
              <w:t>Low</w:t>
            </w:r>
          </w:p>
        </w:tc>
      </w:tr>
      <w:tr w:rsidR="00C80041" w14:paraId="209432D6" w14:textId="77777777" w:rsidTr="00976665">
        <w:tc>
          <w:tcPr>
            <w:tcW w:w="2970" w:type="pct"/>
            <w:tcBorders>
              <w:top w:val="nil"/>
              <w:bottom w:val="nil"/>
            </w:tcBorders>
            <w:shd w:val="clear" w:color="auto" w:fill="auto"/>
            <w:hideMark/>
          </w:tcPr>
          <w:p w14:paraId="2F1E616F" w14:textId="77777777" w:rsidR="00BC2F05" w:rsidRPr="00772548" w:rsidRDefault="00772FB6" w:rsidP="00976665">
            <w:pPr>
              <w:pStyle w:val="TableText"/>
            </w:pPr>
            <w:r w:rsidRPr="00772548">
              <w:t xml:space="preserve">Consequences </w:t>
            </w:r>
          </w:p>
        </w:tc>
        <w:tc>
          <w:tcPr>
            <w:tcW w:w="2030" w:type="pct"/>
            <w:tcBorders>
              <w:top w:val="nil"/>
              <w:bottom w:val="nil"/>
            </w:tcBorders>
            <w:shd w:val="clear" w:color="auto" w:fill="auto"/>
          </w:tcPr>
          <w:p w14:paraId="3B8CB8A4" w14:textId="77777777" w:rsidR="00BC2F05" w:rsidRPr="00772548" w:rsidRDefault="00772FB6" w:rsidP="00976665">
            <w:pPr>
              <w:pStyle w:val="TableText"/>
            </w:pPr>
            <w:r w:rsidRPr="00772548">
              <w:t>Moderate</w:t>
            </w:r>
          </w:p>
        </w:tc>
      </w:tr>
      <w:tr w:rsidR="00C80041" w14:paraId="58917C7A" w14:textId="77777777" w:rsidTr="00976665">
        <w:tc>
          <w:tcPr>
            <w:tcW w:w="2970" w:type="pct"/>
            <w:tcBorders>
              <w:top w:val="nil"/>
              <w:bottom w:val="single" w:sz="4" w:space="0" w:color="auto"/>
            </w:tcBorders>
            <w:shd w:val="clear" w:color="auto" w:fill="auto"/>
            <w:hideMark/>
          </w:tcPr>
          <w:p w14:paraId="706F0B9D" w14:textId="77777777" w:rsidR="00BC2F05" w:rsidRPr="00772548" w:rsidRDefault="00772FB6" w:rsidP="00976665">
            <w:pPr>
              <w:pStyle w:val="TableHeading"/>
            </w:pPr>
            <w:r w:rsidRPr="00772548">
              <w:t>Unrestricted risk</w:t>
            </w:r>
          </w:p>
        </w:tc>
        <w:tc>
          <w:tcPr>
            <w:tcW w:w="2030" w:type="pct"/>
            <w:tcBorders>
              <w:top w:val="nil"/>
              <w:bottom w:val="single" w:sz="4" w:space="0" w:color="auto"/>
            </w:tcBorders>
            <w:shd w:val="clear" w:color="auto" w:fill="auto"/>
          </w:tcPr>
          <w:p w14:paraId="6F1D7800" w14:textId="77777777" w:rsidR="00BC2F05" w:rsidRPr="00772548" w:rsidRDefault="00772FB6" w:rsidP="00976665">
            <w:pPr>
              <w:pStyle w:val="TableHeading"/>
            </w:pPr>
            <w:r w:rsidRPr="00772548">
              <w:t>Low</w:t>
            </w:r>
          </w:p>
        </w:tc>
      </w:tr>
    </w:tbl>
    <w:p w14:paraId="6061447C" w14:textId="77777777" w:rsidR="00BC2F05" w:rsidRPr="00772548" w:rsidRDefault="00772FB6" w:rsidP="008D0946">
      <w:pPr>
        <w:pStyle w:val="FigureTableNoteSource"/>
      </w:pPr>
      <w:r>
        <w:rPr>
          <w:b/>
          <w:bCs/>
        </w:rPr>
        <w:t>a:</w:t>
      </w:r>
      <w:r>
        <w:t xml:space="preserve"> Risk estimates for </w:t>
      </w:r>
      <w:proofErr w:type="spellStart"/>
      <w:r>
        <w:t>orthotospoviruses</w:t>
      </w:r>
      <w:proofErr w:type="spellEnd"/>
      <w:r>
        <w:t xml:space="preserve"> adopted from the thrips Group PRA </w:t>
      </w:r>
      <w:r>
        <w:rPr>
          <w:noProof/>
        </w:rPr>
        <w:t>(DAWR 2017a)</w:t>
      </w:r>
      <w:r>
        <w:t>.</w:t>
      </w:r>
    </w:p>
    <w:p w14:paraId="0E8D4608" w14:textId="77777777" w:rsidR="00BC2F05" w:rsidRPr="00772548" w:rsidRDefault="00772FB6" w:rsidP="008D0946">
      <w:pPr>
        <w:spacing w:before="240"/>
      </w:pPr>
      <w:r>
        <w:t>As assessed in the thrips Group PRA, t</w:t>
      </w:r>
      <w:r w:rsidRPr="00772548">
        <w:t xml:space="preserve">he </w:t>
      </w:r>
      <w:r>
        <w:t>URE</w:t>
      </w:r>
      <w:r w:rsidRPr="00772548">
        <w:t xml:space="preserve"> for emerging quarantine </w:t>
      </w:r>
      <w:proofErr w:type="spellStart"/>
      <w:r w:rsidRPr="00772548">
        <w:t>orthotospoviruses</w:t>
      </w:r>
      <w:proofErr w:type="spellEnd"/>
      <w:r w:rsidRPr="00772548">
        <w:t xml:space="preserve"> transmitted by regulated thrips is Low</w:t>
      </w:r>
      <w:r>
        <w:t xml:space="preserve"> (</w:t>
      </w:r>
      <w:r>
        <w:fldChar w:fldCharType="begin" w:fldLock="1"/>
      </w:r>
      <w:r>
        <w:instrText xml:space="preserve"> REF _Ref86760484 \h </w:instrText>
      </w:r>
      <w:r>
        <w:fldChar w:fldCharType="separate"/>
      </w:r>
      <w:r>
        <w:t xml:space="preserve">Table </w:t>
      </w:r>
      <w:r>
        <w:rPr>
          <w:noProof/>
        </w:rPr>
        <w:t>3</w:t>
      </w:r>
      <w:r>
        <w:t>.</w:t>
      </w:r>
      <w:r>
        <w:rPr>
          <w:noProof/>
        </w:rPr>
        <w:t>6</w:t>
      </w:r>
      <w:r>
        <w:fldChar w:fldCharType="end"/>
      </w:r>
      <w:r>
        <w:t>)</w:t>
      </w:r>
      <w:r w:rsidRPr="00772548">
        <w:t>, which does not achieve the ALOP for Australia.</w:t>
      </w:r>
    </w:p>
    <w:p w14:paraId="5CC4537B" w14:textId="77777777" w:rsidR="00BC2F05" w:rsidRPr="00772548" w:rsidRDefault="00772FB6" w:rsidP="008D0946">
      <w:pPr>
        <w:spacing w:before="240"/>
      </w:pPr>
      <w:r w:rsidRPr="00772548">
        <w:t xml:space="preserve">This </w:t>
      </w:r>
      <w:r>
        <w:t>URE</w:t>
      </w:r>
      <w:r w:rsidRPr="00772548">
        <w:t xml:space="preserve"> </w:t>
      </w:r>
      <w:proofErr w:type="gramStart"/>
      <w:r w:rsidRPr="00772548">
        <w:t>is considered to be</w:t>
      </w:r>
      <w:proofErr w:type="gramEnd"/>
      <w:r w:rsidRPr="00772548">
        <w:t xml:space="preserve"> applicable for the emerging </w:t>
      </w:r>
      <w:proofErr w:type="spellStart"/>
      <w:r w:rsidRPr="00772548">
        <w:t>orthotospoviruses</w:t>
      </w:r>
      <w:proofErr w:type="spellEnd"/>
      <w:r w:rsidRPr="00772548">
        <w:t xml:space="preserve"> known to be vectored by th</w:t>
      </w:r>
      <w:r>
        <w:t xml:space="preserve">e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p</w:t>
      </w:r>
      <w:r w:rsidRPr="00772548">
        <w:t xml:space="preserve">athway. Therefore, specific risk management measures are required for the regulated thrips to mitigate the risks posed by emerging quarantine </w:t>
      </w:r>
      <w:proofErr w:type="spellStart"/>
      <w:r w:rsidRPr="00772548">
        <w:t>orthotospoviruses</w:t>
      </w:r>
      <w:proofErr w:type="spellEnd"/>
      <w:r>
        <w:t xml:space="preserve"> </w:t>
      </w:r>
      <w:proofErr w:type="gramStart"/>
      <w:r>
        <w:t>in order to</w:t>
      </w:r>
      <w:proofErr w:type="gramEnd"/>
      <w:r>
        <w:t xml:space="preserve"> achieve the ALOP for Australia</w:t>
      </w:r>
      <w:r w:rsidRPr="00772548">
        <w:t>.</w:t>
      </w:r>
    </w:p>
    <w:p w14:paraId="72C386D3" w14:textId="77777777" w:rsidR="00BC2F05" w:rsidRDefault="00772FB6" w:rsidP="008D0946">
      <w:pPr>
        <w:spacing w:before="240"/>
      </w:pPr>
      <w:r>
        <w:t>T</w:t>
      </w:r>
      <w:r w:rsidRPr="00772548">
        <w:t>his risk assessment, which is based on the thrips Group PRA, applies to all phytophagous quarantine thr</w:t>
      </w:r>
      <w:r>
        <w:t xml:space="preserve">ips and regulated thrips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dragon fruit</w:t>
      </w:r>
      <w:r>
        <w:rPr>
          <w:color w:val="000000" w:themeColor="text1"/>
        </w:rPr>
        <w:fldChar w:fldCharType="end"/>
      </w:r>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p</w:t>
      </w:r>
      <w:r w:rsidRPr="00772548">
        <w:t>athway, irrespective of their specific identification in this document.</w:t>
      </w:r>
      <w:r>
        <w:t xml:space="preserve"> The application of the Group PRAs to this risk analysis is outlined in Appendix A in section </w:t>
      </w:r>
      <w:r>
        <w:fldChar w:fldCharType="begin" w:fldLock="1"/>
      </w:r>
      <w:r>
        <w:instrText xml:space="preserve"> REF A_2_7 \h </w:instrText>
      </w:r>
      <w:r>
        <w:fldChar w:fldCharType="separate"/>
      </w:r>
      <w:r>
        <w:t>A2.7</w:t>
      </w:r>
      <w:r>
        <w:fldChar w:fldCharType="end"/>
      </w:r>
      <w:r>
        <w:t>.</w:t>
      </w:r>
      <w:r>
        <w:br w:type="page"/>
      </w:r>
      <w:bookmarkEnd w:id="119"/>
    </w:p>
    <w:p w14:paraId="52183121" w14:textId="77777777" w:rsidR="00BC2F05" w:rsidRDefault="00772FB6" w:rsidP="008D0946">
      <w:pPr>
        <w:pStyle w:val="Heading3"/>
      </w:pPr>
      <w:bookmarkStart w:id="132" w:name="_Toc119493107"/>
      <w:bookmarkStart w:id="133" w:name="_Hlk86062712"/>
      <w:r>
        <w:lastRenderedPageBreak/>
        <w:t>Pest risk assessment conclusions</w:t>
      </w:r>
      <w:bookmarkEnd w:id="132"/>
    </w:p>
    <w:p w14:paraId="0521AF29" w14:textId="77777777" w:rsidR="00BC2F05" w:rsidRDefault="00772FB6" w:rsidP="008D0946">
      <w:r>
        <w:t xml:space="preserve">Likelihood ratings and the consequences estimate for individual quarantine pests and regulated articles are set out in </w:t>
      </w:r>
      <w:r>
        <w:fldChar w:fldCharType="begin" w:fldLock="1"/>
      </w:r>
      <w:r>
        <w:instrText xml:space="preserve"> REF _Ref86732910 \h </w:instrText>
      </w:r>
      <w:r>
        <w:fldChar w:fldCharType="separate"/>
      </w:r>
      <w:r>
        <w:t xml:space="preserve">Table </w:t>
      </w:r>
      <w:r>
        <w:rPr>
          <w:noProof/>
        </w:rPr>
        <w:t>3</w:t>
      </w:r>
      <w:r>
        <w:t>.</w:t>
      </w:r>
      <w:r>
        <w:rPr>
          <w:noProof/>
        </w:rPr>
        <w:t>7</w:t>
      </w:r>
      <w:r>
        <w:fldChar w:fldCharType="end"/>
      </w:r>
      <w:r>
        <w:t>.</w:t>
      </w:r>
    </w:p>
    <w:p w14:paraId="78496825" w14:textId="77777777" w:rsidR="00BC2F05" w:rsidRDefault="00772FB6" w:rsidP="008D0946">
      <w:r>
        <w:t>Of the 8 quarantine pests</w:t>
      </w:r>
      <w:r>
        <w:rPr>
          <w:color w:val="000000" w:themeColor="text1"/>
        </w:rPr>
        <w:t xml:space="preserve"> and regulated articles</w:t>
      </w:r>
      <w:r>
        <w:t xml:space="preserve"> for which a further pest risk assessment was conducted:</w:t>
      </w:r>
    </w:p>
    <w:p w14:paraId="332D52BF" w14:textId="77777777" w:rsidR="00BC2F05" w:rsidRDefault="00772FB6" w:rsidP="00BC2F05">
      <w:pPr>
        <w:pStyle w:val="ListBullet"/>
      </w:pPr>
      <w:r>
        <w:t>The UREs for 8 pests were assessed as not achieving the ALOP for Australia, and thus specific risk management measures are required for these pests on this pathway. These pests are:</w:t>
      </w:r>
    </w:p>
    <w:p w14:paraId="6CCC343D" w14:textId="77777777" w:rsidR="00BC2F05" w:rsidRDefault="00772FB6" w:rsidP="00BC2F05">
      <w:pPr>
        <w:pStyle w:val="ListBullet2"/>
      </w:pPr>
      <w:r>
        <w:t>Oriental fruit fly (</w:t>
      </w:r>
      <w:r>
        <w:rPr>
          <w:i/>
          <w:iCs/>
        </w:rPr>
        <w:t>Bactrocera dorsalis</w:t>
      </w:r>
      <w:r w:rsidRPr="00A32DC0">
        <w:t>)</w:t>
      </w:r>
    </w:p>
    <w:p w14:paraId="70FCF39B" w14:textId="77777777" w:rsidR="00BC2F05" w:rsidRDefault="00772FB6" w:rsidP="00BC2F05">
      <w:pPr>
        <w:pStyle w:val="ListBullet2"/>
      </w:pPr>
      <w:r>
        <w:t>melon fly (</w:t>
      </w:r>
      <w:r>
        <w:rPr>
          <w:i/>
          <w:iCs/>
        </w:rPr>
        <w:t>Zeugodacus cucurbitae</w:t>
      </w:r>
      <w:r>
        <w:t>)</w:t>
      </w:r>
    </w:p>
    <w:p w14:paraId="331A6D6E" w14:textId="77777777" w:rsidR="00BC2F05" w:rsidRDefault="00772FB6" w:rsidP="00BC2F05">
      <w:pPr>
        <w:pStyle w:val="ListBullet2"/>
      </w:pPr>
      <w:r>
        <w:t>grey pineapple mealybug (</w:t>
      </w:r>
      <w:r>
        <w:rPr>
          <w:i/>
          <w:iCs/>
        </w:rPr>
        <w:t>Dysmicoccus neobrevipes</w:t>
      </w:r>
      <w:r>
        <w:t>)</w:t>
      </w:r>
    </w:p>
    <w:p w14:paraId="17E4F300" w14:textId="77777777" w:rsidR="00BC2F05" w:rsidRDefault="00772FB6" w:rsidP="00BC2F05">
      <w:pPr>
        <w:pStyle w:val="ListBullet2"/>
      </w:pPr>
      <w:r>
        <w:t>papaya mealybug (</w:t>
      </w:r>
      <w:r>
        <w:rPr>
          <w:i/>
          <w:iCs/>
        </w:rPr>
        <w:t>Paracoccus marginatus</w:t>
      </w:r>
      <w:r>
        <w:t>)</w:t>
      </w:r>
    </w:p>
    <w:p w14:paraId="454AF8E7" w14:textId="77777777" w:rsidR="00BC2F05" w:rsidRDefault="00772FB6" w:rsidP="00BC2F05">
      <w:pPr>
        <w:pStyle w:val="ListBullet2"/>
      </w:pPr>
      <w:r>
        <w:t>Jack Beardsley mealybug (</w:t>
      </w:r>
      <w:r w:rsidRPr="00A32DC0">
        <w:rPr>
          <w:i/>
          <w:iCs/>
        </w:rPr>
        <w:t>Pseudococcus jackbeardsley</w:t>
      </w:r>
      <w:r>
        <w:rPr>
          <w:i/>
          <w:iCs/>
        </w:rPr>
        <w:t>i</w:t>
      </w:r>
      <w:r>
        <w:t>)</w:t>
      </w:r>
    </w:p>
    <w:p w14:paraId="683B8EB5" w14:textId="77777777" w:rsidR="00BC2F05" w:rsidRDefault="00772FB6" w:rsidP="00BC2F05">
      <w:pPr>
        <w:pStyle w:val="ListBullet2"/>
      </w:pPr>
      <w:r>
        <w:t>western flower thrips (</w:t>
      </w:r>
      <w:r>
        <w:rPr>
          <w:i/>
          <w:iCs/>
        </w:rPr>
        <w:t>Frankliniella occidentalis</w:t>
      </w:r>
      <w:r>
        <w:t>)</w:t>
      </w:r>
    </w:p>
    <w:p w14:paraId="4FDE98F5" w14:textId="77777777" w:rsidR="00BC2F05" w:rsidRDefault="00772FB6" w:rsidP="00BC2F05">
      <w:pPr>
        <w:pStyle w:val="ListBullet2"/>
      </w:pPr>
      <w:r>
        <w:t>chilli thrips (</w:t>
      </w:r>
      <w:r>
        <w:rPr>
          <w:i/>
          <w:iCs/>
        </w:rPr>
        <w:t>Scirtothrips dorsalis</w:t>
      </w:r>
      <w:r>
        <w:t>)</w:t>
      </w:r>
    </w:p>
    <w:p w14:paraId="299EDBBA" w14:textId="77777777" w:rsidR="00BC2F05" w:rsidRDefault="00772FB6" w:rsidP="00BC2F05">
      <w:pPr>
        <w:pStyle w:val="ListBullet2"/>
      </w:pPr>
      <w:r>
        <w:t>melon thrips (</w:t>
      </w:r>
      <w:r>
        <w:rPr>
          <w:i/>
          <w:iCs/>
        </w:rPr>
        <w:t>Thrips palmi</w:t>
      </w:r>
      <w:r>
        <w:t>)</w:t>
      </w:r>
    </w:p>
    <w:p w14:paraId="4E60378D" w14:textId="77777777" w:rsidR="00BC2F05" w:rsidRPr="006203C3" w:rsidRDefault="00772FB6" w:rsidP="00BC2F05">
      <w:pPr>
        <w:pStyle w:val="ListBullet"/>
      </w:pPr>
      <w:r>
        <w:t>Chilli thrips (</w:t>
      </w:r>
      <w:r>
        <w:rPr>
          <w:i/>
          <w:iCs/>
        </w:rPr>
        <w:t xml:space="preserve">S. dorsalis), </w:t>
      </w:r>
      <w:r>
        <w:t>as well as the 2 quarantine thrips species (</w:t>
      </w:r>
      <w:r>
        <w:rPr>
          <w:i/>
          <w:iCs/>
        </w:rPr>
        <w:t xml:space="preserve">F. occidentalis </w:t>
      </w:r>
      <w:r>
        <w:t xml:space="preserve">and </w:t>
      </w:r>
      <w:r>
        <w:rPr>
          <w:i/>
          <w:iCs/>
        </w:rPr>
        <w:t>T. palmi</w:t>
      </w:r>
      <w:r>
        <w:t xml:space="preserve">), were also identified as regulated articles for Australia due to their potential to introduce emerging quarantine </w:t>
      </w:r>
      <w:proofErr w:type="spellStart"/>
      <w:r>
        <w:t>orthotospoviruses</w:t>
      </w:r>
      <w:proofErr w:type="spellEnd"/>
      <w:r>
        <w:t xml:space="preserve"> into Australia. The URE for quarantine </w:t>
      </w:r>
      <w:proofErr w:type="spellStart"/>
      <w:r>
        <w:t>orthotospoviruses</w:t>
      </w:r>
      <w:proofErr w:type="spellEnd"/>
      <w:r>
        <w:t xml:space="preserve"> was assessed in the thrips Group PRA </w:t>
      </w:r>
      <w:r>
        <w:rPr>
          <w:noProof/>
        </w:rPr>
        <w:t>(DAWR 2017a)</w:t>
      </w:r>
      <w:r>
        <w:t xml:space="preserve"> as not achieving the ALOP for Australia, and thus specific risk management measures are required for these regulated articles on this pathway.</w:t>
      </w:r>
    </w:p>
    <w:p w14:paraId="5C3FF2EA" w14:textId="77777777" w:rsidR="00BC2F05" w:rsidRDefault="00772FB6" w:rsidP="008D0946">
      <w:bookmarkStart w:id="134" w:name="_Hlk88569122"/>
      <w:r>
        <w:t xml:space="preserve">An overview of the decision process at the initiation, pest categorisation and pest risk assessment stages of the pest risk analysis for </w:t>
      </w:r>
      <w:fldSimple w:instr=" REF  commodity \* Lower  \* MERGEFORMAT " w:fldLock="1">
        <w:r>
          <w:t>dragon fruit</w:t>
        </w:r>
      </w:fldSimple>
      <w:r>
        <w:t xml:space="preserve"> from </w:t>
      </w:r>
      <w:fldSimple w:instr=" REF country  \* MERGEFORMAT " w:fldLock="1">
        <w:r>
          <w:t>the Philippines</w:t>
        </w:r>
      </w:fldSimple>
      <w:r>
        <w:t xml:space="preserve"> is presented in </w:t>
      </w:r>
      <w:r>
        <w:fldChar w:fldCharType="begin" w:fldLock="1"/>
      </w:r>
      <w:r>
        <w:instrText xml:space="preserve"> REF _Ref90379611 \h </w:instrText>
      </w:r>
      <w:r>
        <w:fldChar w:fldCharType="separate"/>
      </w:r>
      <w:r>
        <w:t xml:space="preserve">Figure </w:t>
      </w:r>
      <w:r>
        <w:rPr>
          <w:noProof/>
        </w:rPr>
        <w:t>3</w:t>
      </w:r>
      <w:r>
        <w:t>.</w:t>
      </w:r>
      <w:r>
        <w:rPr>
          <w:noProof/>
        </w:rPr>
        <w:t>1</w:t>
      </w:r>
      <w:r>
        <w:fldChar w:fldCharType="end"/>
      </w:r>
      <w:r>
        <w:t>.</w:t>
      </w:r>
      <w:bookmarkEnd w:id="133"/>
    </w:p>
    <w:p w14:paraId="1C56DAEB" w14:textId="77777777" w:rsidR="00BC2F05" w:rsidRDefault="00BC2F05" w:rsidP="008D0946">
      <w:pPr>
        <w:sectPr w:rsidR="00BC2F05" w:rsidSect="00E53C3B">
          <w:headerReference w:type="even" r:id="rId68"/>
          <w:headerReference w:type="default" r:id="rId69"/>
          <w:footerReference w:type="even" r:id="rId70"/>
          <w:footerReference w:type="default" r:id="rId71"/>
          <w:headerReference w:type="first" r:id="rId72"/>
          <w:pgSz w:w="11906" w:h="16838"/>
          <w:pgMar w:top="1418" w:right="1418" w:bottom="1418" w:left="1418" w:header="567" w:footer="454" w:gutter="0"/>
          <w:cols w:space="708"/>
          <w:docGrid w:linePitch="360"/>
        </w:sectPr>
      </w:pPr>
    </w:p>
    <w:p w14:paraId="4B193007" w14:textId="77777777" w:rsidR="00BC2F05" w:rsidRDefault="00772FB6" w:rsidP="008D0946">
      <w:pPr>
        <w:pStyle w:val="Tablecaption"/>
      </w:pPr>
      <w:bookmarkStart w:id="135" w:name="_Ref86732910"/>
      <w:bookmarkStart w:id="136" w:name="_Toc113430654"/>
      <w:bookmarkStart w:id="137" w:name="_Toc119493139"/>
      <w:bookmarkStart w:id="138" w:name="_Hlk80264942"/>
      <w:bookmarkStart w:id="139" w:name="_Hlk90380287"/>
      <w:bookmarkEnd w:id="134"/>
      <w:r>
        <w:lastRenderedPageBreak/>
        <w:t xml:space="preserve">Table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7</w:t>
      </w:r>
      <w:r w:rsidR="000C0A09">
        <w:rPr>
          <w:noProof/>
        </w:rPr>
        <w:fldChar w:fldCharType="end"/>
      </w:r>
      <w:bookmarkEnd w:id="135"/>
      <w:r>
        <w:t xml:space="preserve"> Pest risk assessment conclusions for pests, and pest groups, potentially associated with the pathway of </w:t>
      </w:r>
      <w:fldSimple w:instr=" REF  commodity \* Lower  \* MERGEFORMAT " w:fldLock="1">
        <w:r>
          <w:t>dragon fruit</w:t>
        </w:r>
      </w:fldSimple>
      <w:r>
        <w:t xml:space="preserve"> from </w:t>
      </w:r>
      <w:fldSimple w:instr=" REF country  \* MERGEFORMAT " w:fldLock="1">
        <w:r>
          <w:t>the Philippines</w:t>
        </w:r>
        <w:bookmarkEnd w:id="136"/>
        <w:bookmarkEnd w:id="137"/>
      </w:fldSimple>
      <w:bookmarkEnd w:id="138"/>
    </w:p>
    <w:bookmarkEnd w:id="139"/>
    <w:tbl>
      <w:tblPr>
        <w:tblStyle w:val="TableGrid"/>
        <w:tblW w:w="14459" w:type="dxa"/>
        <w:tblLayout w:type="fixed"/>
        <w:tblLook w:val="04A0" w:firstRow="1" w:lastRow="0" w:firstColumn="1" w:lastColumn="0" w:noHBand="0" w:noVBand="1"/>
      </w:tblPr>
      <w:tblGrid>
        <w:gridCol w:w="3435"/>
        <w:gridCol w:w="1352"/>
        <w:gridCol w:w="1537"/>
        <w:gridCol w:w="1300"/>
        <w:gridCol w:w="1651"/>
        <w:gridCol w:w="1216"/>
        <w:gridCol w:w="1216"/>
        <w:gridCol w:w="1634"/>
        <w:gridCol w:w="1118"/>
      </w:tblGrid>
      <w:tr w:rsidR="00C80041" w14:paraId="6F8BEDF2" w14:textId="77777777" w:rsidTr="00976665">
        <w:trPr>
          <w:tblHeader/>
        </w:trPr>
        <w:tc>
          <w:tcPr>
            <w:tcW w:w="3435" w:type="dxa"/>
            <w:tcBorders>
              <w:left w:val="nil"/>
              <w:bottom w:val="nil"/>
              <w:right w:val="nil"/>
            </w:tcBorders>
          </w:tcPr>
          <w:p w14:paraId="20546166" w14:textId="77777777" w:rsidR="00BC2F05" w:rsidRPr="00DD0FFD" w:rsidRDefault="00BC2F05" w:rsidP="00976665">
            <w:pPr>
              <w:pStyle w:val="TableHeading"/>
            </w:pPr>
          </w:p>
        </w:tc>
        <w:tc>
          <w:tcPr>
            <w:tcW w:w="8272" w:type="dxa"/>
            <w:gridSpan w:val="6"/>
            <w:tcBorders>
              <w:left w:val="nil"/>
              <w:bottom w:val="single" w:sz="4" w:space="0" w:color="auto"/>
              <w:right w:val="nil"/>
            </w:tcBorders>
          </w:tcPr>
          <w:p w14:paraId="60294C43" w14:textId="77777777" w:rsidR="00BC2F05" w:rsidRPr="00DD0FFD" w:rsidRDefault="00772FB6" w:rsidP="00976665">
            <w:pPr>
              <w:pStyle w:val="TableHeading"/>
              <w:jc w:val="center"/>
            </w:pPr>
            <w:r w:rsidRPr="00DD0FFD">
              <w:t>Likelihood of</w:t>
            </w:r>
          </w:p>
        </w:tc>
        <w:tc>
          <w:tcPr>
            <w:tcW w:w="1634" w:type="dxa"/>
            <w:tcBorders>
              <w:left w:val="nil"/>
              <w:bottom w:val="nil"/>
              <w:right w:val="nil"/>
            </w:tcBorders>
          </w:tcPr>
          <w:p w14:paraId="2B5F87C0" w14:textId="77777777" w:rsidR="00BC2F05" w:rsidRPr="00DD0FFD" w:rsidRDefault="00772FB6" w:rsidP="00976665">
            <w:pPr>
              <w:pStyle w:val="TableHeading"/>
            </w:pPr>
            <w:r w:rsidRPr="00DD0FFD">
              <w:t>Consequences</w:t>
            </w:r>
          </w:p>
        </w:tc>
        <w:tc>
          <w:tcPr>
            <w:tcW w:w="1118" w:type="dxa"/>
            <w:tcBorders>
              <w:left w:val="nil"/>
              <w:bottom w:val="nil"/>
              <w:right w:val="nil"/>
            </w:tcBorders>
          </w:tcPr>
          <w:p w14:paraId="0AE78953" w14:textId="77777777" w:rsidR="00BC2F05" w:rsidRPr="00DD0FFD" w:rsidRDefault="00772FB6" w:rsidP="00976665">
            <w:pPr>
              <w:pStyle w:val="TableHeading"/>
            </w:pPr>
            <w:r w:rsidRPr="00DD0FFD">
              <w:t>URE</w:t>
            </w:r>
          </w:p>
        </w:tc>
      </w:tr>
      <w:tr w:rsidR="00C80041" w14:paraId="1AA9A3B4" w14:textId="77777777" w:rsidTr="00976665">
        <w:trPr>
          <w:tblHeader/>
        </w:trPr>
        <w:tc>
          <w:tcPr>
            <w:tcW w:w="3435" w:type="dxa"/>
            <w:tcBorders>
              <w:top w:val="nil"/>
              <w:left w:val="nil"/>
              <w:bottom w:val="nil"/>
              <w:right w:val="nil"/>
            </w:tcBorders>
          </w:tcPr>
          <w:p w14:paraId="663450FA" w14:textId="77777777" w:rsidR="00BC2F05" w:rsidRPr="00DD0FFD" w:rsidRDefault="00772FB6" w:rsidP="00976665">
            <w:pPr>
              <w:pStyle w:val="TableHeading"/>
            </w:pPr>
            <w:r w:rsidRPr="00DD0FFD">
              <w:t>Pest name</w:t>
            </w:r>
          </w:p>
        </w:tc>
        <w:tc>
          <w:tcPr>
            <w:tcW w:w="4189" w:type="dxa"/>
            <w:gridSpan w:val="3"/>
            <w:tcBorders>
              <w:top w:val="single" w:sz="4" w:space="0" w:color="auto"/>
              <w:left w:val="nil"/>
              <w:bottom w:val="single" w:sz="4" w:space="0" w:color="auto"/>
              <w:right w:val="nil"/>
            </w:tcBorders>
          </w:tcPr>
          <w:p w14:paraId="00136E9A" w14:textId="77777777" w:rsidR="00BC2F05" w:rsidRPr="00DD0FFD" w:rsidRDefault="00772FB6" w:rsidP="00976665">
            <w:pPr>
              <w:pStyle w:val="TableHeading"/>
              <w:jc w:val="center"/>
            </w:pPr>
            <w:r w:rsidRPr="00DD0FFD">
              <w:t>Entry</w:t>
            </w:r>
          </w:p>
        </w:tc>
        <w:tc>
          <w:tcPr>
            <w:tcW w:w="1651" w:type="dxa"/>
            <w:tcBorders>
              <w:top w:val="single" w:sz="4" w:space="0" w:color="auto"/>
              <w:left w:val="nil"/>
              <w:bottom w:val="nil"/>
              <w:right w:val="nil"/>
            </w:tcBorders>
          </w:tcPr>
          <w:p w14:paraId="0486AD04" w14:textId="77777777" w:rsidR="00BC2F05" w:rsidRPr="00DD0FFD" w:rsidRDefault="00772FB6" w:rsidP="00976665">
            <w:pPr>
              <w:pStyle w:val="TableHeading"/>
            </w:pPr>
            <w:r w:rsidRPr="00DD0FFD">
              <w:t>Establishment</w:t>
            </w:r>
          </w:p>
        </w:tc>
        <w:tc>
          <w:tcPr>
            <w:tcW w:w="1216" w:type="dxa"/>
            <w:tcBorders>
              <w:top w:val="single" w:sz="4" w:space="0" w:color="auto"/>
              <w:left w:val="nil"/>
              <w:bottom w:val="nil"/>
              <w:right w:val="nil"/>
            </w:tcBorders>
          </w:tcPr>
          <w:p w14:paraId="3DA8263B" w14:textId="77777777" w:rsidR="00BC2F05" w:rsidRPr="00DD0FFD" w:rsidRDefault="00772FB6" w:rsidP="00976665">
            <w:pPr>
              <w:pStyle w:val="TableHeading"/>
            </w:pPr>
            <w:r w:rsidRPr="00DD0FFD">
              <w:t>Spread</w:t>
            </w:r>
          </w:p>
        </w:tc>
        <w:tc>
          <w:tcPr>
            <w:tcW w:w="1216" w:type="dxa"/>
            <w:tcBorders>
              <w:top w:val="single" w:sz="4" w:space="0" w:color="auto"/>
              <w:left w:val="nil"/>
              <w:bottom w:val="nil"/>
              <w:right w:val="nil"/>
            </w:tcBorders>
          </w:tcPr>
          <w:p w14:paraId="76CF7A45" w14:textId="77777777" w:rsidR="00BC2F05" w:rsidRPr="00DD0FFD" w:rsidRDefault="00772FB6" w:rsidP="00976665">
            <w:pPr>
              <w:pStyle w:val="TableHeading"/>
            </w:pPr>
            <w:r w:rsidRPr="00DD0FFD">
              <w:t>EES</w:t>
            </w:r>
          </w:p>
        </w:tc>
        <w:tc>
          <w:tcPr>
            <w:tcW w:w="1634" w:type="dxa"/>
            <w:tcBorders>
              <w:top w:val="nil"/>
              <w:left w:val="nil"/>
              <w:bottom w:val="nil"/>
              <w:right w:val="nil"/>
            </w:tcBorders>
          </w:tcPr>
          <w:p w14:paraId="109292B8" w14:textId="77777777" w:rsidR="00BC2F05" w:rsidRPr="00DD0FFD" w:rsidRDefault="00BC2F05" w:rsidP="00976665">
            <w:pPr>
              <w:pStyle w:val="TableHeading"/>
            </w:pPr>
          </w:p>
        </w:tc>
        <w:tc>
          <w:tcPr>
            <w:tcW w:w="1118" w:type="dxa"/>
            <w:tcBorders>
              <w:top w:val="nil"/>
              <w:left w:val="nil"/>
              <w:bottom w:val="nil"/>
              <w:right w:val="nil"/>
            </w:tcBorders>
          </w:tcPr>
          <w:p w14:paraId="621354D0" w14:textId="77777777" w:rsidR="00BC2F05" w:rsidRPr="00DD0FFD" w:rsidRDefault="00BC2F05" w:rsidP="00976665">
            <w:pPr>
              <w:pStyle w:val="TableHeading"/>
            </w:pPr>
          </w:p>
        </w:tc>
      </w:tr>
      <w:tr w:rsidR="00C80041" w14:paraId="2F2E33FB" w14:textId="77777777" w:rsidTr="00976665">
        <w:trPr>
          <w:tblHeader/>
        </w:trPr>
        <w:tc>
          <w:tcPr>
            <w:tcW w:w="3435" w:type="dxa"/>
            <w:tcBorders>
              <w:top w:val="nil"/>
              <w:left w:val="nil"/>
              <w:bottom w:val="single" w:sz="4" w:space="0" w:color="000000" w:themeColor="text1"/>
              <w:right w:val="nil"/>
            </w:tcBorders>
          </w:tcPr>
          <w:p w14:paraId="78F9F8B1" w14:textId="77777777" w:rsidR="00BC2F05" w:rsidRPr="00DD0FFD" w:rsidRDefault="00BC2F05" w:rsidP="00976665">
            <w:pPr>
              <w:pStyle w:val="TableHeading"/>
            </w:pPr>
          </w:p>
        </w:tc>
        <w:tc>
          <w:tcPr>
            <w:tcW w:w="1352" w:type="dxa"/>
            <w:tcBorders>
              <w:top w:val="single" w:sz="4" w:space="0" w:color="auto"/>
              <w:left w:val="nil"/>
              <w:bottom w:val="single" w:sz="4" w:space="0" w:color="000000" w:themeColor="text1"/>
              <w:right w:val="nil"/>
            </w:tcBorders>
          </w:tcPr>
          <w:p w14:paraId="28C6A95F" w14:textId="77777777" w:rsidR="00BC2F05" w:rsidRPr="00DD0FFD" w:rsidRDefault="00772FB6" w:rsidP="00976665">
            <w:pPr>
              <w:pStyle w:val="TableHeading"/>
              <w:rPr>
                <w:rStyle w:val="Strong"/>
                <w:b/>
              </w:rPr>
            </w:pPr>
            <w:r w:rsidRPr="00DD0FFD">
              <w:rPr>
                <w:rStyle w:val="Strong"/>
                <w:b/>
              </w:rPr>
              <w:t>Importation</w:t>
            </w:r>
          </w:p>
        </w:tc>
        <w:tc>
          <w:tcPr>
            <w:tcW w:w="1537" w:type="dxa"/>
            <w:tcBorders>
              <w:top w:val="single" w:sz="4" w:space="0" w:color="auto"/>
              <w:left w:val="nil"/>
              <w:bottom w:val="single" w:sz="4" w:space="0" w:color="000000" w:themeColor="text1"/>
              <w:right w:val="nil"/>
            </w:tcBorders>
          </w:tcPr>
          <w:p w14:paraId="685C59C8" w14:textId="77777777" w:rsidR="00BC2F05" w:rsidRPr="00DD0FFD" w:rsidRDefault="00772FB6" w:rsidP="00976665">
            <w:pPr>
              <w:pStyle w:val="TableHeading"/>
              <w:rPr>
                <w:rStyle w:val="Strong"/>
                <w:b/>
              </w:rPr>
            </w:pPr>
            <w:r w:rsidRPr="00DD0FFD">
              <w:rPr>
                <w:rStyle w:val="Strong"/>
                <w:b/>
              </w:rPr>
              <w:t>Distribution</w:t>
            </w:r>
          </w:p>
        </w:tc>
        <w:tc>
          <w:tcPr>
            <w:tcW w:w="1300" w:type="dxa"/>
            <w:tcBorders>
              <w:top w:val="single" w:sz="4" w:space="0" w:color="auto"/>
              <w:left w:val="nil"/>
              <w:bottom w:val="single" w:sz="4" w:space="0" w:color="000000" w:themeColor="text1"/>
              <w:right w:val="nil"/>
            </w:tcBorders>
          </w:tcPr>
          <w:p w14:paraId="39ED374E" w14:textId="77777777" w:rsidR="00BC2F05" w:rsidRPr="00DD0FFD" w:rsidRDefault="00772FB6" w:rsidP="00976665">
            <w:pPr>
              <w:pStyle w:val="TableHeading"/>
            </w:pPr>
            <w:r w:rsidRPr="00DD0FFD">
              <w:t>Overall</w:t>
            </w:r>
          </w:p>
        </w:tc>
        <w:tc>
          <w:tcPr>
            <w:tcW w:w="1651" w:type="dxa"/>
            <w:tcBorders>
              <w:top w:val="nil"/>
              <w:left w:val="nil"/>
              <w:bottom w:val="single" w:sz="4" w:space="0" w:color="000000" w:themeColor="text1"/>
              <w:right w:val="nil"/>
            </w:tcBorders>
          </w:tcPr>
          <w:p w14:paraId="5C6F8985" w14:textId="77777777" w:rsidR="00BC2F05" w:rsidRPr="00DD0FFD" w:rsidRDefault="00BC2F05" w:rsidP="00976665">
            <w:pPr>
              <w:pStyle w:val="TableHeading"/>
            </w:pPr>
          </w:p>
        </w:tc>
        <w:tc>
          <w:tcPr>
            <w:tcW w:w="1216" w:type="dxa"/>
            <w:tcBorders>
              <w:top w:val="nil"/>
              <w:left w:val="nil"/>
              <w:bottom w:val="single" w:sz="4" w:space="0" w:color="000000" w:themeColor="text1"/>
              <w:right w:val="nil"/>
            </w:tcBorders>
          </w:tcPr>
          <w:p w14:paraId="3DFB9985" w14:textId="77777777" w:rsidR="00BC2F05" w:rsidRPr="00DD0FFD" w:rsidRDefault="00BC2F05" w:rsidP="00976665">
            <w:pPr>
              <w:pStyle w:val="TableHeading"/>
            </w:pPr>
          </w:p>
        </w:tc>
        <w:tc>
          <w:tcPr>
            <w:tcW w:w="1216" w:type="dxa"/>
            <w:tcBorders>
              <w:top w:val="nil"/>
              <w:left w:val="nil"/>
              <w:bottom w:val="single" w:sz="4" w:space="0" w:color="000000" w:themeColor="text1"/>
              <w:right w:val="nil"/>
            </w:tcBorders>
          </w:tcPr>
          <w:p w14:paraId="783D53DC" w14:textId="77777777" w:rsidR="00BC2F05" w:rsidRPr="00DD0FFD" w:rsidRDefault="00BC2F05" w:rsidP="00976665">
            <w:pPr>
              <w:pStyle w:val="TableHeading"/>
            </w:pPr>
          </w:p>
        </w:tc>
        <w:tc>
          <w:tcPr>
            <w:tcW w:w="1634" w:type="dxa"/>
            <w:tcBorders>
              <w:top w:val="nil"/>
              <w:left w:val="nil"/>
              <w:bottom w:val="single" w:sz="4" w:space="0" w:color="000000" w:themeColor="text1"/>
              <w:right w:val="nil"/>
            </w:tcBorders>
          </w:tcPr>
          <w:p w14:paraId="63C7293D" w14:textId="77777777" w:rsidR="00BC2F05" w:rsidRPr="00DD0FFD" w:rsidRDefault="00BC2F05" w:rsidP="00976665">
            <w:pPr>
              <w:pStyle w:val="TableHeading"/>
            </w:pPr>
          </w:p>
        </w:tc>
        <w:tc>
          <w:tcPr>
            <w:tcW w:w="1118" w:type="dxa"/>
            <w:tcBorders>
              <w:top w:val="nil"/>
              <w:left w:val="nil"/>
              <w:bottom w:val="single" w:sz="4" w:space="0" w:color="000000" w:themeColor="text1"/>
              <w:right w:val="nil"/>
            </w:tcBorders>
          </w:tcPr>
          <w:p w14:paraId="6A85EEFC" w14:textId="77777777" w:rsidR="00BC2F05" w:rsidRPr="00DD0FFD" w:rsidRDefault="00BC2F05" w:rsidP="00976665">
            <w:pPr>
              <w:pStyle w:val="TableHeading"/>
            </w:pPr>
          </w:p>
        </w:tc>
      </w:tr>
      <w:tr w:rsidR="00C80041" w14:paraId="67C4FAED" w14:textId="77777777" w:rsidTr="00976665">
        <w:tc>
          <w:tcPr>
            <w:tcW w:w="3435" w:type="dxa"/>
            <w:tcBorders>
              <w:top w:val="single" w:sz="4" w:space="0" w:color="000000" w:themeColor="text1"/>
              <w:left w:val="nil"/>
              <w:bottom w:val="nil"/>
              <w:right w:val="nil"/>
            </w:tcBorders>
          </w:tcPr>
          <w:p w14:paraId="1A8CF662" w14:textId="77777777" w:rsidR="00BC2F05" w:rsidRPr="00EF7401" w:rsidRDefault="00772FB6" w:rsidP="00976665">
            <w:pPr>
              <w:pStyle w:val="TableText"/>
              <w:rPr>
                <w:rStyle w:val="Strong"/>
                <w:color w:val="63B1E5"/>
              </w:rPr>
            </w:pPr>
            <w:r w:rsidRPr="00F748D3">
              <w:rPr>
                <w:b/>
                <w:color w:val="000000" w:themeColor="text1"/>
              </w:rPr>
              <w:t xml:space="preserve">Fruit flies [Diptera: </w:t>
            </w:r>
            <w:proofErr w:type="spellStart"/>
            <w:r w:rsidRPr="00F748D3">
              <w:rPr>
                <w:b/>
                <w:color w:val="000000" w:themeColor="text1"/>
              </w:rPr>
              <w:t>Tephritidae</w:t>
            </w:r>
            <w:proofErr w:type="spellEnd"/>
            <w:r>
              <w:rPr>
                <w:b/>
                <w:color w:val="000000" w:themeColor="text1"/>
              </w:rPr>
              <w:t>]</w:t>
            </w:r>
          </w:p>
        </w:tc>
        <w:tc>
          <w:tcPr>
            <w:tcW w:w="1352" w:type="dxa"/>
            <w:tcBorders>
              <w:top w:val="single" w:sz="4" w:space="0" w:color="000000" w:themeColor="text1"/>
              <w:left w:val="nil"/>
              <w:bottom w:val="nil"/>
              <w:right w:val="nil"/>
            </w:tcBorders>
          </w:tcPr>
          <w:p w14:paraId="2CD4CB0B" w14:textId="77777777" w:rsidR="00BC2F05" w:rsidRPr="00EF7401" w:rsidRDefault="00BC2F05" w:rsidP="00976665">
            <w:pPr>
              <w:pStyle w:val="TableText"/>
              <w:rPr>
                <w:rStyle w:val="Strong"/>
                <w:color w:val="63B1E5"/>
              </w:rPr>
            </w:pPr>
          </w:p>
        </w:tc>
        <w:tc>
          <w:tcPr>
            <w:tcW w:w="1537" w:type="dxa"/>
            <w:tcBorders>
              <w:top w:val="single" w:sz="4" w:space="0" w:color="000000" w:themeColor="text1"/>
              <w:left w:val="nil"/>
              <w:bottom w:val="nil"/>
              <w:right w:val="nil"/>
            </w:tcBorders>
          </w:tcPr>
          <w:p w14:paraId="7A7E3CBC" w14:textId="77777777" w:rsidR="00BC2F05" w:rsidRPr="00EF7401" w:rsidRDefault="00BC2F05" w:rsidP="00976665">
            <w:pPr>
              <w:pStyle w:val="TableText"/>
              <w:rPr>
                <w:rStyle w:val="Strong"/>
                <w:color w:val="63B1E5"/>
              </w:rPr>
            </w:pPr>
          </w:p>
        </w:tc>
        <w:tc>
          <w:tcPr>
            <w:tcW w:w="1300" w:type="dxa"/>
            <w:tcBorders>
              <w:top w:val="single" w:sz="4" w:space="0" w:color="000000" w:themeColor="text1"/>
              <w:left w:val="nil"/>
              <w:bottom w:val="nil"/>
              <w:right w:val="nil"/>
            </w:tcBorders>
          </w:tcPr>
          <w:p w14:paraId="57ECED09" w14:textId="77777777" w:rsidR="00BC2F05" w:rsidRPr="00EF7401" w:rsidRDefault="00BC2F05" w:rsidP="00976665">
            <w:pPr>
              <w:pStyle w:val="TableText"/>
              <w:rPr>
                <w:rStyle w:val="Strong"/>
                <w:color w:val="63B1E5"/>
              </w:rPr>
            </w:pPr>
          </w:p>
        </w:tc>
        <w:tc>
          <w:tcPr>
            <w:tcW w:w="1651" w:type="dxa"/>
            <w:tcBorders>
              <w:top w:val="single" w:sz="4" w:space="0" w:color="000000" w:themeColor="text1"/>
              <w:left w:val="nil"/>
              <w:bottom w:val="nil"/>
              <w:right w:val="nil"/>
            </w:tcBorders>
          </w:tcPr>
          <w:p w14:paraId="374E4C1C" w14:textId="77777777" w:rsidR="00BC2F05" w:rsidRPr="00EF7401" w:rsidRDefault="00BC2F05" w:rsidP="00976665">
            <w:pPr>
              <w:pStyle w:val="TableText"/>
              <w:rPr>
                <w:rStyle w:val="Strong"/>
                <w:color w:val="63B1E5"/>
              </w:rPr>
            </w:pPr>
          </w:p>
        </w:tc>
        <w:tc>
          <w:tcPr>
            <w:tcW w:w="1216" w:type="dxa"/>
            <w:tcBorders>
              <w:top w:val="single" w:sz="4" w:space="0" w:color="000000" w:themeColor="text1"/>
              <w:left w:val="nil"/>
              <w:bottom w:val="nil"/>
              <w:right w:val="nil"/>
            </w:tcBorders>
          </w:tcPr>
          <w:p w14:paraId="51CA9FD8" w14:textId="77777777" w:rsidR="00BC2F05" w:rsidRPr="00EF7401" w:rsidRDefault="00BC2F05" w:rsidP="00976665">
            <w:pPr>
              <w:pStyle w:val="TableText"/>
              <w:rPr>
                <w:rStyle w:val="Strong"/>
                <w:color w:val="63B1E5"/>
              </w:rPr>
            </w:pPr>
          </w:p>
        </w:tc>
        <w:tc>
          <w:tcPr>
            <w:tcW w:w="1216" w:type="dxa"/>
            <w:tcBorders>
              <w:top w:val="single" w:sz="4" w:space="0" w:color="000000" w:themeColor="text1"/>
              <w:left w:val="nil"/>
              <w:bottom w:val="nil"/>
              <w:right w:val="nil"/>
            </w:tcBorders>
          </w:tcPr>
          <w:p w14:paraId="6562FADB" w14:textId="77777777" w:rsidR="00BC2F05" w:rsidRPr="00EF7401" w:rsidRDefault="00BC2F05" w:rsidP="00976665">
            <w:pPr>
              <w:pStyle w:val="TableText"/>
              <w:rPr>
                <w:rStyle w:val="Strong"/>
                <w:color w:val="63B1E5"/>
              </w:rPr>
            </w:pPr>
          </w:p>
        </w:tc>
        <w:tc>
          <w:tcPr>
            <w:tcW w:w="1634" w:type="dxa"/>
            <w:tcBorders>
              <w:top w:val="single" w:sz="4" w:space="0" w:color="000000" w:themeColor="text1"/>
              <w:left w:val="nil"/>
              <w:bottom w:val="nil"/>
              <w:right w:val="nil"/>
            </w:tcBorders>
          </w:tcPr>
          <w:p w14:paraId="213E9826" w14:textId="77777777" w:rsidR="00BC2F05" w:rsidRPr="00EF7401" w:rsidRDefault="00BC2F05" w:rsidP="00976665">
            <w:pPr>
              <w:pStyle w:val="TableText"/>
              <w:rPr>
                <w:rStyle w:val="Strong"/>
                <w:color w:val="63B1E5"/>
              </w:rPr>
            </w:pPr>
          </w:p>
        </w:tc>
        <w:tc>
          <w:tcPr>
            <w:tcW w:w="1118" w:type="dxa"/>
            <w:tcBorders>
              <w:top w:val="single" w:sz="4" w:space="0" w:color="000000" w:themeColor="text1"/>
              <w:left w:val="nil"/>
              <w:bottom w:val="nil"/>
              <w:right w:val="nil"/>
            </w:tcBorders>
          </w:tcPr>
          <w:p w14:paraId="795FB58E" w14:textId="77777777" w:rsidR="00BC2F05" w:rsidRPr="00EF7401" w:rsidRDefault="00BC2F05" w:rsidP="00976665">
            <w:pPr>
              <w:pStyle w:val="TableText"/>
              <w:rPr>
                <w:rStyle w:val="Strong"/>
                <w:color w:val="63B1E5"/>
              </w:rPr>
            </w:pPr>
          </w:p>
        </w:tc>
      </w:tr>
      <w:tr w:rsidR="00C80041" w14:paraId="0557EA95" w14:textId="77777777" w:rsidTr="00976665">
        <w:tc>
          <w:tcPr>
            <w:tcW w:w="3435" w:type="dxa"/>
            <w:tcBorders>
              <w:top w:val="nil"/>
              <w:left w:val="nil"/>
              <w:bottom w:val="nil"/>
              <w:right w:val="nil"/>
            </w:tcBorders>
          </w:tcPr>
          <w:p w14:paraId="0ADB3722" w14:textId="77777777" w:rsidR="00BC2F05" w:rsidRPr="00882EF4" w:rsidRDefault="00772FB6" w:rsidP="00976665">
            <w:pPr>
              <w:pStyle w:val="TableText"/>
              <w:rPr>
                <w:color w:val="000000" w:themeColor="text1"/>
              </w:rPr>
            </w:pPr>
            <w:r>
              <w:rPr>
                <w:i/>
                <w:color w:val="000000" w:themeColor="text1"/>
              </w:rPr>
              <w:t xml:space="preserve">Bactrocera dorsalis </w:t>
            </w:r>
            <w:r>
              <w:rPr>
                <w:iCs/>
                <w:color w:val="000000" w:themeColor="text1"/>
              </w:rPr>
              <w:t>(EP)</w:t>
            </w:r>
          </w:p>
        </w:tc>
        <w:tc>
          <w:tcPr>
            <w:tcW w:w="1352" w:type="dxa"/>
            <w:tcBorders>
              <w:top w:val="nil"/>
              <w:left w:val="nil"/>
              <w:bottom w:val="nil"/>
              <w:right w:val="nil"/>
            </w:tcBorders>
          </w:tcPr>
          <w:p w14:paraId="16DECF72" w14:textId="77777777" w:rsidR="00BC2F05" w:rsidRPr="00AD1686" w:rsidRDefault="00772FB6" w:rsidP="00976665">
            <w:pPr>
              <w:pStyle w:val="TableText"/>
              <w:rPr>
                <w:color w:val="000000" w:themeColor="text1"/>
              </w:rPr>
            </w:pPr>
            <w:r>
              <w:rPr>
                <w:color w:val="000000" w:themeColor="text1"/>
              </w:rPr>
              <w:t>High</w:t>
            </w:r>
          </w:p>
        </w:tc>
        <w:tc>
          <w:tcPr>
            <w:tcW w:w="1537" w:type="dxa"/>
            <w:tcBorders>
              <w:top w:val="nil"/>
              <w:left w:val="nil"/>
              <w:bottom w:val="nil"/>
              <w:right w:val="nil"/>
            </w:tcBorders>
          </w:tcPr>
          <w:p w14:paraId="7CC915D0" w14:textId="77777777" w:rsidR="00BC2F05" w:rsidRPr="00AD1686" w:rsidRDefault="00772FB6" w:rsidP="00976665">
            <w:pPr>
              <w:pStyle w:val="TableText"/>
              <w:rPr>
                <w:color w:val="000000" w:themeColor="text1"/>
              </w:rPr>
            </w:pPr>
            <w:r>
              <w:rPr>
                <w:color w:val="000000" w:themeColor="text1"/>
              </w:rPr>
              <w:t>High</w:t>
            </w:r>
          </w:p>
        </w:tc>
        <w:tc>
          <w:tcPr>
            <w:tcW w:w="1300" w:type="dxa"/>
            <w:tcBorders>
              <w:top w:val="nil"/>
              <w:left w:val="nil"/>
              <w:bottom w:val="nil"/>
              <w:right w:val="nil"/>
            </w:tcBorders>
          </w:tcPr>
          <w:p w14:paraId="4956BEC1" w14:textId="77777777" w:rsidR="00BC2F05" w:rsidRPr="00AD1686" w:rsidRDefault="00772FB6" w:rsidP="00976665">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1FE0C510" w14:textId="77777777" w:rsidR="00BC2F05" w:rsidRPr="00AD1686"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0CF4AD37" w14:textId="77777777" w:rsidR="00BC2F05" w:rsidRPr="00AD1686"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21A5C583" w14:textId="77777777" w:rsidR="00BC2F05" w:rsidRPr="00AD1686" w:rsidRDefault="00772FB6" w:rsidP="00976665">
            <w:pPr>
              <w:pStyle w:val="TableText"/>
              <w:rPr>
                <w:color w:val="000000" w:themeColor="text1"/>
              </w:rPr>
            </w:pPr>
            <w:r>
              <w:rPr>
                <w:color w:val="000000" w:themeColor="text1"/>
              </w:rPr>
              <w:t>High</w:t>
            </w:r>
          </w:p>
        </w:tc>
        <w:tc>
          <w:tcPr>
            <w:tcW w:w="1634" w:type="dxa"/>
            <w:tcBorders>
              <w:top w:val="nil"/>
              <w:left w:val="nil"/>
              <w:bottom w:val="nil"/>
              <w:right w:val="nil"/>
            </w:tcBorders>
          </w:tcPr>
          <w:p w14:paraId="6F9704B5" w14:textId="77777777" w:rsidR="00BC2F05" w:rsidRPr="00AD1686" w:rsidRDefault="00772FB6" w:rsidP="00976665">
            <w:pPr>
              <w:pStyle w:val="TableText"/>
              <w:rPr>
                <w:color w:val="000000" w:themeColor="text1"/>
              </w:rPr>
            </w:pPr>
            <w:r>
              <w:rPr>
                <w:color w:val="000000" w:themeColor="text1"/>
              </w:rPr>
              <w:t>High</w:t>
            </w:r>
          </w:p>
        </w:tc>
        <w:tc>
          <w:tcPr>
            <w:tcW w:w="1118" w:type="dxa"/>
            <w:tcBorders>
              <w:top w:val="nil"/>
              <w:left w:val="nil"/>
              <w:bottom w:val="nil"/>
              <w:right w:val="nil"/>
            </w:tcBorders>
          </w:tcPr>
          <w:p w14:paraId="0F9C96F5" w14:textId="77777777" w:rsidR="00BC2F05" w:rsidRPr="00AD1686" w:rsidRDefault="00772FB6" w:rsidP="00976665">
            <w:pPr>
              <w:pStyle w:val="TableText"/>
              <w:rPr>
                <w:b/>
                <w:color w:val="000000" w:themeColor="text1"/>
              </w:rPr>
            </w:pPr>
            <w:r>
              <w:rPr>
                <w:b/>
                <w:color w:val="000000" w:themeColor="text1"/>
              </w:rPr>
              <w:t>High</w:t>
            </w:r>
          </w:p>
        </w:tc>
      </w:tr>
      <w:tr w:rsidR="00C80041" w14:paraId="3F042275" w14:textId="77777777" w:rsidTr="00976665">
        <w:tc>
          <w:tcPr>
            <w:tcW w:w="3435" w:type="dxa"/>
            <w:tcBorders>
              <w:top w:val="nil"/>
              <w:left w:val="nil"/>
              <w:bottom w:val="single" w:sz="4" w:space="0" w:color="BFBFBF" w:themeColor="background1" w:themeShade="BF"/>
              <w:right w:val="nil"/>
            </w:tcBorders>
          </w:tcPr>
          <w:p w14:paraId="18CF04BD" w14:textId="77777777" w:rsidR="00BC2F05" w:rsidRPr="00EA11BF" w:rsidRDefault="00772FB6" w:rsidP="00976665">
            <w:pPr>
              <w:pStyle w:val="TableText"/>
              <w:rPr>
                <w:b/>
                <w:bCs/>
                <w:iCs/>
                <w:color w:val="000000" w:themeColor="text1"/>
              </w:rPr>
            </w:pPr>
            <w:r>
              <w:rPr>
                <w:i/>
                <w:color w:val="000000" w:themeColor="text1"/>
              </w:rPr>
              <w:t>Z</w:t>
            </w:r>
            <w:r w:rsidRPr="00F748D3">
              <w:rPr>
                <w:i/>
                <w:color w:val="000000" w:themeColor="text1"/>
              </w:rPr>
              <w:t>eugodacus cucurbitae</w:t>
            </w:r>
            <w:r>
              <w:rPr>
                <w:i/>
                <w:color w:val="000000" w:themeColor="text1"/>
              </w:rPr>
              <w:t xml:space="preserve"> </w:t>
            </w:r>
            <w:r>
              <w:rPr>
                <w:iCs/>
                <w:color w:val="000000" w:themeColor="text1"/>
              </w:rPr>
              <w:t>(EP)</w:t>
            </w:r>
          </w:p>
        </w:tc>
        <w:tc>
          <w:tcPr>
            <w:tcW w:w="1352" w:type="dxa"/>
            <w:tcBorders>
              <w:top w:val="nil"/>
              <w:left w:val="nil"/>
              <w:bottom w:val="single" w:sz="4" w:space="0" w:color="BFBFBF" w:themeColor="background1" w:themeShade="BF"/>
              <w:right w:val="nil"/>
            </w:tcBorders>
          </w:tcPr>
          <w:p w14:paraId="58F57963" w14:textId="77777777" w:rsidR="00BC2F05" w:rsidRDefault="00772FB6" w:rsidP="00976665">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5C3EA3AE" w14:textId="77777777" w:rsidR="00BC2F05" w:rsidRDefault="00772FB6" w:rsidP="00976665">
            <w:pPr>
              <w:pStyle w:val="TableText"/>
              <w:rPr>
                <w:color w:val="000000" w:themeColor="text1"/>
              </w:rPr>
            </w:pPr>
            <w:r>
              <w:rPr>
                <w:color w:val="000000" w:themeColor="text1"/>
              </w:rPr>
              <w:t>High</w:t>
            </w:r>
          </w:p>
        </w:tc>
        <w:tc>
          <w:tcPr>
            <w:tcW w:w="1300" w:type="dxa"/>
            <w:tcBorders>
              <w:top w:val="nil"/>
              <w:left w:val="nil"/>
              <w:bottom w:val="single" w:sz="4" w:space="0" w:color="BFBFBF" w:themeColor="background1" w:themeShade="BF"/>
              <w:right w:val="nil"/>
            </w:tcBorders>
          </w:tcPr>
          <w:p w14:paraId="6A1A2672" w14:textId="77777777" w:rsidR="00BC2F05" w:rsidRDefault="00772FB6" w:rsidP="00976665">
            <w:pPr>
              <w:pStyle w:val="TableText"/>
              <w:rPr>
                <w:b/>
                <w:bCs/>
                <w:color w:val="000000" w:themeColor="text1"/>
              </w:rPr>
            </w:pPr>
            <w:r>
              <w:rPr>
                <w:b/>
                <w:bCs/>
                <w:color w:val="000000" w:themeColor="text1"/>
              </w:rPr>
              <w:t>High</w:t>
            </w:r>
          </w:p>
        </w:tc>
        <w:tc>
          <w:tcPr>
            <w:tcW w:w="1651" w:type="dxa"/>
            <w:tcBorders>
              <w:top w:val="nil"/>
              <w:left w:val="nil"/>
              <w:bottom w:val="single" w:sz="4" w:space="0" w:color="BFBFBF" w:themeColor="background1" w:themeShade="BF"/>
              <w:right w:val="nil"/>
            </w:tcBorders>
          </w:tcPr>
          <w:p w14:paraId="0841D443"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6078B095"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111B1E59" w14:textId="77777777" w:rsidR="00BC2F05" w:rsidRDefault="00772FB6" w:rsidP="00976665">
            <w:pPr>
              <w:pStyle w:val="TableText"/>
              <w:rPr>
                <w:color w:val="000000" w:themeColor="text1"/>
              </w:rPr>
            </w:pPr>
            <w:r>
              <w:rPr>
                <w:color w:val="000000" w:themeColor="text1"/>
              </w:rPr>
              <w:t>High</w:t>
            </w:r>
          </w:p>
        </w:tc>
        <w:tc>
          <w:tcPr>
            <w:tcW w:w="1634" w:type="dxa"/>
            <w:tcBorders>
              <w:top w:val="nil"/>
              <w:left w:val="nil"/>
              <w:bottom w:val="single" w:sz="4" w:space="0" w:color="BFBFBF" w:themeColor="background1" w:themeShade="BF"/>
              <w:right w:val="nil"/>
            </w:tcBorders>
          </w:tcPr>
          <w:p w14:paraId="5867E41E" w14:textId="77777777" w:rsidR="00BC2F05" w:rsidRDefault="00772FB6" w:rsidP="00976665">
            <w:pPr>
              <w:pStyle w:val="TableText"/>
              <w:rPr>
                <w:color w:val="000000" w:themeColor="text1"/>
              </w:rPr>
            </w:pPr>
            <w:r>
              <w:rPr>
                <w:color w:val="000000" w:themeColor="text1"/>
              </w:rPr>
              <w:t>High</w:t>
            </w:r>
          </w:p>
        </w:tc>
        <w:tc>
          <w:tcPr>
            <w:tcW w:w="1118" w:type="dxa"/>
            <w:tcBorders>
              <w:top w:val="nil"/>
              <w:left w:val="nil"/>
              <w:bottom w:val="single" w:sz="4" w:space="0" w:color="BFBFBF" w:themeColor="background1" w:themeShade="BF"/>
              <w:right w:val="nil"/>
            </w:tcBorders>
          </w:tcPr>
          <w:p w14:paraId="24A73E0C" w14:textId="77777777" w:rsidR="00BC2F05" w:rsidRDefault="00772FB6" w:rsidP="00976665">
            <w:pPr>
              <w:pStyle w:val="TableText"/>
              <w:rPr>
                <w:b/>
                <w:color w:val="000000" w:themeColor="text1"/>
              </w:rPr>
            </w:pPr>
            <w:r>
              <w:rPr>
                <w:b/>
                <w:color w:val="000000" w:themeColor="text1"/>
              </w:rPr>
              <w:t>High</w:t>
            </w:r>
          </w:p>
        </w:tc>
      </w:tr>
      <w:tr w:rsidR="00C80041" w14:paraId="3EE8E4DD" w14:textId="77777777" w:rsidTr="00976665">
        <w:tc>
          <w:tcPr>
            <w:tcW w:w="3435" w:type="dxa"/>
            <w:tcBorders>
              <w:top w:val="single" w:sz="4" w:space="0" w:color="BFBFBF" w:themeColor="background1" w:themeShade="BF"/>
              <w:left w:val="nil"/>
              <w:bottom w:val="nil"/>
              <w:right w:val="nil"/>
            </w:tcBorders>
          </w:tcPr>
          <w:p w14:paraId="1CAAC304" w14:textId="77777777" w:rsidR="00BC2F05" w:rsidRPr="00EF7401" w:rsidRDefault="00772FB6" w:rsidP="00976665">
            <w:pPr>
              <w:pStyle w:val="TableText"/>
              <w:rPr>
                <w:rStyle w:val="Strong"/>
                <w:color w:val="63B1E5"/>
              </w:rPr>
            </w:pPr>
            <w:bookmarkStart w:id="140" w:name="_Hlk86754718"/>
            <w:r>
              <w:rPr>
                <w:b/>
                <w:color w:val="000000" w:themeColor="text1"/>
              </w:rPr>
              <w:t>Mealybugs [</w:t>
            </w:r>
            <w:r w:rsidRPr="00A06B64">
              <w:rPr>
                <w:b/>
                <w:color w:val="000000" w:themeColor="text1"/>
              </w:rPr>
              <w:t>Hemiptera</w:t>
            </w:r>
            <w:r>
              <w:rPr>
                <w:b/>
                <w:color w:val="000000" w:themeColor="text1"/>
              </w:rPr>
              <w:t xml:space="preserve">: </w:t>
            </w:r>
            <w:proofErr w:type="spellStart"/>
            <w:r w:rsidRPr="00A06B64">
              <w:rPr>
                <w:b/>
                <w:color w:val="000000" w:themeColor="text1"/>
              </w:rPr>
              <w:t>Pseudococcidae</w:t>
            </w:r>
            <w:proofErr w:type="spellEnd"/>
            <w:r>
              <w:rPr>
                <w:b/>
                <w:color w:val="000000" w:themeColor="text1"/>
              </w:rPr>
              <w:t>]</w:t>
            </w:r>
          </w:p>
        </w:tc>
        <w:tc>
          <w:tcPr>
            <w:tcW w:w="1352" w:type="dxa"/>
            <w:tcBorders>
              <w:top w:val="single" w:sz="4" w:space="0" w:color="BFBFBF" w:themeColor="background1" w:themeShade="BF"/>
              <w:left w:val="nil"/>
              <w:bottom w:val="nil"/>
              <w:right w:val="nil"/>
            </w:tcBorders>
          </w:tcPr>
          <w:p w14:paraId="5E082221" w14:textId="77777777" w:rsidR="00BC2F05" w:rsidRPr="00EF7401" w:rsidRDefault="00BC2F05" w:rsidP="00976665">
            <w:pPr>
              <w:pStyle w:val="TableText"/>
              <w:rPr>
                <w:rStyle w:val="Strong"/>
                <w:color w:val="63B1E5"/>
              </w:rPr>
            </w:pPr>
          </w:p>
        </w:tc>
        <w:tc>
          <w:tcPr>
            <w:tcW w:w="1537" w:type="dxa"/>
            <w:tcBorders>
              <w:top w:val="single" w:sz="4" w:space="0" w:color="BFBFBF" w:themeColor="background1" w:themeShade="BF"/>
              <w:left w:val="nil"/>
              <w:bottom w:val="nil"/>
              <w:right w:val="nil"/>
            </w:tcBorders>
          </w:tcPr>
          <w:p w14:paraId="7912363C" w14:textId="77777777" w:rsidR="00BC2F05" w:rsidRPr="00EF7401" w:rsidRDefault="00BC2F05" w:rsidP="00976665">
            <w:pPr>
              <w:pStyle w:val="TableText"/>
              <w:rPr>
                <w:rStyle w:val="Strong"/>
                <w:color w:val="63B1E5"/>
              </w:rPr>
            </w:pPr>
          </w:p>
        </w:tc>
        <w:tc>
          <w:tcPr>
            <w:tcW w:w="1300" w:type="dxa"/>
            <w:tcBorders>
              <w:top w:val="single" w:sz="4" w:space="0" w:color="BFBFBF" w:themeColor="background1" w:themeShade="BF"/>
              <w:left w:val="nil"/>
              <w:bottom w:val="nil"/>
              <w:right w:val="nil"/>
            </w:tcBorders>
          </w:tcPr>
          <w:p w14:paraId="4AB78B5D" w14:textId="77777777" w:rsidR="00BC2F05" w:rsidRPr="00EF7401" w:rsidRDefault="00BC2F05" w:rsidP="00976665">
            <w:pPr>
              <w:pStyle w:val="TableText"/>
              <w:rPr>
                <w:rStyle w:val="Strong"/>
                <w:color w:val="63B1E5"/>
              </w:rPr>
            </w:pPr>
          </w:p>
        </w:tc>
        <w:tc>
          <w:tcPr>
            <w:tcW w:w="1651" w:type="dxa"/>
            <w:tcBorders>
              <w:top w:val="single" w:sz="4" w:space="0" w:color="BFBFBF" w:themeColor="background1" w:themeShade="BF"/>
              <w:left w:val="nil"/>
              <w:bottom w:val="nil"/>
              <w:right w:val="nil"/>
            </w:tcBorders>
          </w:tcPr>
          <w:p w14:paraId="7E6A5A74" w14:textId="77777777" w:rsidR="00BC2F05" w:rsidRPr="00EF7401" w:rsidRDefault="00BC2F05" w:rsidP="00976665">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511D1504" w14:textId="77777777" w:rsidR="00BC2F05" w:rsidRPr="00EF7401" w:rsidRDefault="00BC2F05" w:rsidP="00976665">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63BC247A" w14:textId="77777777" w:rsidR="00BC2F05" w:rsidRPr="00EF7401" w:rsidRDefault="00BC2F05" w:rsidP="00976665">
            <w:pPr>
              <w:pStyle w:val="TableText"/>
              <w:rPr>
                <w:rStyle w:val="Strong"/>
                <w:color w:val="63B1E5"/>
              </w:rPr>
            </w:pPr>
          </w:p>
        </w:tc>
        <w:tc>
          <w:tcPr>
            <w:tcW w:w="1634" w:type="dxa"/>
            <w:tcBorders>
              <w:top w:val="single" w:sz="4" w:space="0" w:color="BFBFBF" w:themeColor="background1" w:themeShade="BF"/>
              <w:left w:val="nil"/>
              <w:bottom w:val="nil"/>
              <w:right w:val="nil"/>
            </w:tcBorders>
          </w:tcPr>
          <w:p w14:paraId="43D036FC" w14:textId="77777777" w:rsidR="00BC2F05" w:rsidRPr="00EF7401" w:rsidRDefault="00BC2F05" w:rsidP="00976665">
            <w:pPr>
              <w:pStyle w:val="TableText"/>
              <w:rPr>
                <w:rStyle w:val="Strong"/>
                <w:color w:val="63B1E5"/>
              </w:rPr>
            </w:pPr>
          </w:p>
        </w:tc>
        <w:tc>
          <w:tcPr>
            <w:tcW w:w="1118" w:type="dxa"/>
            <w:tcBorders>
              <w:top w:val="single" w:sz="4" w:space="0" w:color="BFBFBF" w:themeColor="background1" w:themeShade="BF"/>
              <w:left w:val="nil"/>
              <w:bottom w:val="nil"/>
              <w:right w:val="nil"/>
            </w:tcBorders>
          </w:tcPr>
          <w:p w14:paraId="25DA3325" w14:textId="77777777" w:rsidR="00BC2F05" w:rsidRPr="00EF7401" w:rsidRDefault="00BC2F05" w:rsidP="00976665">
            <w:pPr>
              <w:pStyle w:val="TableText"/>
              <w:rPr>
                <w:rStyle w:val="Strong"/>
                <w:color w:val="63B1E5"/>
              </w:rPr>
            </w:pPr>
          </w:p>
        </w:tc>
      </w:tr>
      <w:tr w:rsidR="00C80041" w14:paraId="5C5920D5" w14:textId="77777777" w:rsidTr="00976665">
        <w:tc>
          <w:tcPr>
            <w:tcW w:w="3435" w:type="dxa"/>
            <w:tcBorders>
              <w:top w:val="nil"/>
              <w:left w:val="nil"/>
              <w:bottom w:val="single" w:sz="4" w:space="0" w:color="BFBFBF" w:themeColor="background1" w:themeShade="BF"/>
              <w:right w:val="nil"/>
            </w:tcBorders>
          </w:tcPr>
          <w:p w14:paraId="07A0C4A3" w14:textId="77777777" w:rsidR="00BC2F05" w:rsidRPr="00882EF4" w:rsidRDefault="00772FB6" w:rsidP="00976665">
            <w:pPr>
              <w:pStyle w:val="TableText"/>
              <w:rPr>
                <w:color w:val="000000" w:themeColor="text1"/>
              </w:rPr>
            </w:pPr>
            <w:r w:rsidRPr="00E06282">
              <w:rPr>
                <w:i/>
              </w:rPr>
              <w:t xml:space="preserve">Dysmicoccus neobrevipes </w:t>
            </w:r>
            <w:r w:rsidRPr="00E06282">
              <w:rPr>
                <w:iCs/>
              </w:rPr>
              <w:t>(GP)</w:t>
            </w:r>
          </w:p>
        </w:tc>
        <w:tc>
          <w:tcPr>
            <w:tcW w:w="1352" w:type="dxa"/>
            <w:tcBorders>
              <w:top w:val="nil"/>
              <w:left w:val="nil"/>
              <w:bottom w:val="single" w:sz="4" w:space="0" w:color="BFBFBF" w:themeColor="background1" w:themeShade="BF"/>
              <w:right w:val="nil"/>
            </w:tcBorders>
          </w:tcPr>
          <w:p w14:paraId="3DA4463B" w14:textId="77777777" w:rsidR="00BC2F05" w:rsidRPr="00FA4DD5" w:rsidRDefault="00772FB6" w:rsidP="00976665">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622714EE" w14:textId="77777777" w:rsidR="00BC2F05" w:rsidRPr="00FA4DD5" w:rsidRDefault="00772FB6" w:rsidP="00976665">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105AE3F4" w14:textId="77777777" w:rsidR="00BC2F05" w:rsidRPr="00AD1686"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09E7B3ED" w14:textId="77777777" w:rsidR="00BC2F05" w:rsidRPr="00AD1686"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18EE4BFD" w14:textId="77777777" w:rsidR="00BC2F05" w:rsidRPr="00AD1686"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08E5E7EE" w14:textId="77777777" w:rsidR="00BC2F05" w:rsidRPr="00AD1686" w:rsidRDefault="00772FB6" w:rsidP="00976665">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76FF3FB8" w14:textId="77777777" w:rsidR="00BC2F05" w:rsidRPr="00AD1686" w:rsidRDefault="00772FB6" w:rsidP="00976665">
            <w:pPr>
              <w:pStyle w:val="TableText"/>
              <w:rPr>
                <w:color w:val="000000" w:themeColor="text1"/>
              </w:rPr>
            </w:pPr>
            <w:r>
              <w:rPr>
                <w:color w:val="000000" w:themeColor="text1"/>
              </w:rPr>
              <w:t>Low</w:t>
            </w:r>
          </w:p>
        </w:tc>
        <w:tc>
          <w:tcPr>
            <w:tcW w:w="1118" w:type="dxa"/>
            <w:tcBorders>
              <w:top w:val="nil"/>
              <w:left w:val="nil"/>
              <w:bottom w:val="single" w:sz="4" w:space="0" w:color="BFBFBF" w:themeColor="background1" w:themeShade="BF"/>
              <w:right w:val="nil"/>
            </w:tcBorders>
          </w:tcPr>
          <w:p w14:paraId="393C60C4" w14:textId="77777777" w:rsidR="00BC2F05" w:rsidRPr="00AD1686" w:rsidRDefault="00772FB6" w:rsidP="00976665">
            <w:pPr>
              <w:pStyle w:val="TableText"/>
              <w:rPr>
                <w:b/>
                <w:color w:val="000000" w:themeColor="text1"/>
              </w:rPr>
            </w:pPr>
            <w:r>
              <w:rPr>
                <w:b/>
                <w:color w:val="000000" w:themeColor="text1"/>
              </w:rPr>
              <w:t>Low</w:t>
            </w:r>
          </w:p>
        </w:tc>
      </w:tr>
      <w:bookmarkEnd w:id="140"/>
      <w:tr w:rsidR="00C80041" w14:paraId="785829FC" w14:textId="77777777" w:rsidTr="00976665">
        <w:tc>
          <w:tcPr>
            <w:tcW w:w="3435" w:type="dxa"/>
            <w:tcBorders>
              <w:top w:val="nil"/>
              <w:left w:val="nil"/>
              <w:bottom w:val="single" w:sz="4" w:space="0" w:color="BFBFBF" w:themeColor="background1" w:themeShade="BF"/>
              <w:right w:val="nil"/>
            </w:tcBorders>
          </w:tcPr>
          <w:p w14:paraId="624D7F37" w14:textId="77777777" w:rsidR="00BC2F05" w:rsidRDefault="00772FB6" w:rsidP="00976665">
            <w:pPr>
              <w:pStyle w:val="TableText"/>
              <w:rPr>
                <w:b/>
                <w:bCs/>
                <w:i/>
              </w:rPr>
            </w:pPr>
            <w:r w:rsidRPr="00E06282">
              <w:rPr>
                <w:i/>
              </w:rPr>
              <w:t xml:space="preserve">Paracoccus marginatus </w:t>
            </w:r>
            <w:r w:rsidRPr="00E06282">
              <w:rPr>
                <w:iCs/>
              </w:rPr>
              <w:t>(GP)</w:t>
            </w:r>
          </w:p>
        </w:tc>
        <w:tc>
          <w:tcPr>
            <w:tcW w:w="1352" w:type="dxa"/>
            <w:tcBorders>
              <w:top w:val="nil"/>
              <w:left w:val="nil"/>
              <w:bottom w:val="single" w:sz="4" w:space="0" w:color="BFBFBF" w:themeColor="background1" w:themeShade="BF"/>
              <w:right w:val="nil"/>
            </w:tcBorders>
          </w:tcPr>
          <w:p w14:paraId="52165A24" w14:textId="77777777" w:rsidR="00BC2F05" w:rsidRDefault="00772FB6" w:rsidP="00976665">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3E8CE5E7" w14:textId="77777777" w:rsidR="00BC2F05" w:rsidRDefault="00772FB6" w:rsidP="00976665">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3E5CAC0E" w14:textId="77777777" w:rsidR="00BC2F05"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04416676"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C047A62"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32D7E050" w14:textId="77777777" w:rsidR="00BC2F05" w:rsidRDefault="00772FB6" w:rsidP="00976665">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1EC52752" w14:textId="77777777" w:rsidR="00BC2F05" w:rsidRDefault="00772FB6" w:rsidP="00976665">
            <w:pPr>
              <w:pStyle w:val="TableText"/>
              <w:rPr>
                <w:color w:val="000000" w:themeColor="text1"/>
              </w:rPr>
            </w:pPr>
            <w:r>
              <w:rPr>
                <w:color w:val="000000" w:themeColor="text1"/>
              </w:rPr>
              <w:t>Low</w:t>
            </w:r>
          </w:p>
        </w:tc>
        <w:tc>
          <w:tcPr>
            <w:tcW w:w="1118" w:type="dxa"/>
            <w:tcBorders>
              <w:top w:val="nil"/>
              <w:left w:val="nil"/>
              <w:bottom w:val="single" w:sz="4" w:space="0" w:color="BFBFBF" w:themeColor="background1" w:themeShade="BF"/>
              <w:right w:val="nil"/>
            </w:tcBorders>
          </w:tcPr>
          <w:p w14:paraId="0C82287E" w14:textId="77777777" w:rsidR="00BC2F05" w:rsidRDefault="00772FB6" w:rsidP="00976665">
            <w:pPr>
              <w:pStyle w:val="TableText"/>
              <w:rPr>
                <w:b/>
                <w:color w:val="000000" w:themeColor="text1"/>
              </w:rPr>
            </w:pPr>
            <w:r>
              <w:rPr>
                <w:b/>
                <w:color w:val="000000" w:themeColor="text1"/>
              </w:rPr>
              <w:t>Low</w:t>
            </w:r>
          </w:p>
        </w:tc>
      </w:tr>
      <w:tr w:rsidR="00C80041" w14:paraId="656EBD45" w14:textId="77777777" w:rsidTr="00976665">
        <w:tc>
          <w:tcPr>
            <w:tcW w:w="3435" w:type="dxa"/>
            <w:tcBorders>
              <w:top w:val="nil"/>
              <w:left w:val="nil"/>
              <w:bottom w:val="single" w:sz="4" w:space="0" w:color="BFBFBF" w:themeColor="background1" w:themeShade="BF"/>
              <w:right w:val="nil"/>
            </w:tcBorders>
          </w:tcPr>
          <w:p w14:paraId="694F9BEF" w14:textId="77777777" w:rsidR="00BC2F05" w:rsidRDefault="00772FB6" w:rsidP="00976665">
            <w:pPr>
              <w:pStyle w:val="TableText"/>
              <w:rPr>
                <w:b/>
                <w:bCs/>
                <w:i/>
              </w:rPr>
            </w:pPr>
            <w:r w:rsidRPr="00E06282">
              <w:rPr>
                <w:i/>
              </w:rPr>
              <w:t xml:space="preserve">Pseudococcus jackbeardsleyi </w:t>
            </w:r>
            <w:r w:rsidRPr="00E06282">
              <w:rPr>
                <w:iCs/>
              </w:rPr>
              <w:t>(GP)</w:t>
            </w:r>
          </w:p>
        </w:tc>
        <w:tc>
          <w:tcPr>
            <w:tcW w:w="1352" w:type="dxa"/>
            <w:tcBorders>
              <w:top w:val="nil"/>
              <w:left w:val="nil"/>
              <w:bottom w:val="single" w:sz="4" w:space="0" w:color="BFBFBF" w:themeColor="background1" w:themeShade="BF"/>
              <w:right w:val="nil"/>
            </w:tcBorders>
          </w:tcPr>
          <w:p w14:paraId="2E1E158A" w14:textId="77777777" w:rsidR="00BC2F05" w:rsidRDefault="00772FB6" w:rsidP="00976665">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532D1052" w14:textId="77777777" w:rsidR="00BC2F05" w:rsidRDefault="00772FB6" w:rsidP="00976665">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02D7F4AE" w14:textId="77777777" w:rsidR="00BC2F05"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31D2775A"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72397DC1" w14:textId="77777777" w:rsidR="00BC2F05" w:rsidRDefault="00772FB6" w:rsidP="0097666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229A3F97" w14:textId="77777777" w:rsidR="00BC2F05" w:rsidRDefault="00772FB6" w:rsidP="00976665">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12863BAE" w14:textId="77777777" w:rsidR="00BC2F05" w:rsidRDefault="00772FB6" w:rsidP="00976665">
            <w:pPr>
              <w:pStyle w:val="TableText"/>
              <w:rPr>
                <w:color w:val="000000" w:themeColor="text1"/>
              </w:rPr>
            </w:pPr>
            <w:r>
              <w:rPr>
                <w:color w:val="000000" w:themeColor="text1"/>
              </w:rPr>
              <w:t>Low</w:t>
            </w:r>
          </w:p>
        </w:tc>
        <w:tc>
          <w:tcPr>
            <w:tcW w:w="1118" w:type="dxa"/>
            <w:tcBorders>
              <w:top w:val="nil"/>
              <w:left w:val="nil"/>
              <w:bottom w:val="single" w:sz="4" w:space="0" w:color="BFBFBF" w:themeColor="background1" w:themeShade="BF"/>
              <w:right w:val="nil"/>
            </w:tcBorders>
          </w:tcPr>
          <w:p w14:paraId="42AC420D" w14:textId="77777777" w:rsidR="00BC2F05" w:rsidRDefault="00772FB6" w:rsidP="00976665">
            <w:pPr>
              <w:pStyle w:val="TableText"/>
              <w:rPr>
                <w:b/>
                <w:color w:val="000000" w:themeColor="text1"/>
              </w:rPr>
            </w:pPr>
            <w:r>
              <w:rPr>
                <w:b/>
                <w:color w:val="000000" w:themeColor="text1"/>
              </w:rPr>
              <w:t>Low</w:t>
            </w:r>
          </w:p>
        </w:tc>
      </w:tr>
      <w:tr w:rsidR="00C80041" w14:paraId="762E4F22" w14:textId="77777777" w:rsidTr="00976665">
        <w:tc>
          <w:tcPr>
            <w:tcW w:w="3435" w:type="dxa"/>
            <w:tcBorders>
              <w:top w:val="single" w:sz="4" w:space="0" w:color="BFBFBF" w:themeColor="background1" w:themeShade="BF"/>
              <w:left w:val="nil"/>
              <w:bottom w:val="nil"/>
              <w:right w:val="nil"/>
            </w:tcBorders>
          </w:tcPr>
          <w:p w14:paraId="645FE405" w14:textId="77777777" w:rsidR="00BC2F05" w:rsidRPr="00EF7401" w:rsidRDefault="00772FB6" w:rsidP="00976665">
            <w:pPr>
              <w:pStyle w:val="TableText"/>
              <w:rPr>
                <w:rStyle w:val="Strong"/>
                <w:color w:val="63B1E5"/>
              </w:rPr>
            </w:pPr>
            <w:r>
              <w:rPr>
                <w:b/>
                <w:color w:val="000000" w:themeColor="text1"/>
              </w:rPr>
              <w:t>Thrips [</w:t>
            </w:r>
            <w:r w:rsidRPr="00A06B64">
              <w:rPr>
                <w:b/>
                <w:color w:val="000000" w:themeColor="text1"/>
              </w:rPr>
              <w:t>Thysanoptera</w:t>
            </w:r>
            <w:r>
              <w:rPr>
                <w:b/>
                <w:color w:val="000000" w:themeColor="text1"/>
              </w:rPr>
              <w:t xml:space="preserve">: </w:t>
            </w:r>
            <w:r w:rsidRPr="00A06B64">
              <w:rPr>
                <w:b/>
                <w:color w:val="000000" w:themeColor="text1"/>
              </w:rPr>
              <w:t>Thripidae</w:t>
            </w:r>
            <w:r>
              <w:rPr>
                <w:b/>
                <w:color w:val="000000" w:themeColor="text1"/>
              </w:rPr>
              <w:t>]</w:t>
            </w:r>
          </w:p>
        </w:tc>
        <w:tc>
          <w:tcPr>
            <w:tcW w:w="1352" w:type="dxa"/>
            <w:tcBorders>
              <w:top w:val="single" w:sz="4" w:space="0" w:color="BFBFBF" w:themeColor="background1" w:themeShade="BF"/>
              <w:left w:val="nil"/>
              <w:bottom w:val="nil"/>
              <w:right w:val="nil"/>
            </w:tcBorders>
          </w:tcPr>
          <w:p w14:paraId="4DBB797E" w14:textId="77777777" w:rsidR="00BC2F05" w:rsidRPr="00EF7401" w:rsidRDefault="00BC2F05" w:rsidP="00976665">
            <w:pPr>
              <w:pStyle w:val="TableText"/>
              <w:rPr>
                <w:rStyle w:val="Strong"/>
                <w:color w:val="63B1E5"/>
              </w:rPr>
            </w:pPr>
          </w:p>
        </w:tc>
        <w:tc>
          <w:tcPr>
            <w:tcW w:w="1537" w:type="dxa"/>
            <w:tcBorders>
              <w:top w:val="single" w:sz="4" w:space="0" w:color="BFBFBF" w:themeColor="background1" w:themeShade="BF"/>
              <w:left w:val="nil"/>
              <w:bottom w:val="nil"/>
              <w:right w:val="nil"/>
            </w:tcBorders>
          </w:tcPr>
          <w:p w14:paraId="2C30C345" w14:textId="77777777" w:rsidR="00BC2F05" w:rsidRPr="00EF7401" w:rsidRDefault="00BC2F05" w:rsidP="00976665">
            <w:pPr>
              <w:pStyle w:val="TableText"/>
              <w:rPr>
                <w:rStyle w:val="Strong"/>
                <w:color w:val="63B1E5"/>
              </w:rPr>
            </w:pPr>
          </w:p>
        </w:tc>
        <w:tc>
          <w:tcPr>
            <w:tcW w:w="1300" w:type="dxa"/>
            <w:tcBorders>
              <w:top w:val="single" w:sz="4" w:space="0" w:color="BFBFBF" w:themeColor="background1" w:themeShade="BF"/>
              <w:left w:val="nil"/>
              <w:bottom w:val="nil"/>
              <w:right w:val="nil"/>
            </w:tcBorders>
          </w:tcPr>
          <w:p w14:paraId="65C00881" w14:textId="77777777" w:rsidR="00BC2F05" w:rsidRPr="00EF7401" w:rsidRDefault="00BC2F05" w:rsidP="00976665">
            <w:pPr>
              <w:pStyle w:val="TableText"/>
              <w:rPr>
                <w:rStyle w:val="Strong"/>
                <w:color w:val="63B1E5"/>
              </w:rPr>
            </w:pPr>
          </w:p>
        </w:tc>
        <w:tc>
          <w:tcPr>
            <w:tcW w:w="1651" w:type="dxa"/>
            <w:tcBorders>
              <w:top w:val="single" w:sz="4" w:space="0" w:color="BFBFBF" w:themeColor="background1" w:themeShade="BF"/>
              <w:left w:val="nil"/>
              <w:bottom w:val="nil"/>
              <w:right w:val="nil"/>
            </w:tcBorders>
          </w:tcPr>
          <w:p w14:paraId="13131FEC" w14:textId="77777777" w:rsidR="00BC2F05" w:rsidRPr="00EF7401" w:rsidRDefault="00BC2F05" w:rsidP="00976665">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5FBC5927" w14:textId="77777777" w:rsidR="00BC2F05" w:rsidRPr="00EF7401" w:rsidRDefault="00BC2F05" w:rsidP="00976665">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57B524C1" w14:textId="77777777" w:rsidR="00BC2F05" w:rsidRPr="00EF7401" w:rsidRDefault="00BC2F05" w:rsidP="00976665">
            <w:pPr>
              <w:pStyle w:val="TableText"/>
              <w:rPr>
                <w:rStyle w:val="Strong"/>
                <w:color w:val="63B1E5"/>
              </w:rPr>
            </w:pPr>
          </w:p>
        </w:tc>
        <w:tc>
          <w:tcPr>
            <w:tcW w:w="1634" w:type="dxa"/>
            <w:tcBorders>
              <w:top w:val="single" w:sz="4" w:space="0" w:color="BFBFBF" w:themeColor="background1" w:themeShade="BF"/>
              <w:left w:val="nil"/>
              <w:bottom w:val="nil"/>
              <w:right w:val="nil"/>
            </w:tcBorders>
          </w:tcPr>
          <w:p w14:paraId="5B4FD60E" w14:textId="77777777" w:rsidR="00BC2F05" w:rsidRPr="00EF7401" w:rsidRDefault="00BC2F05" w:rsidP="00976665">
            <w:pPr>
              <w:pStyle w:val="TableText"/>
              <w:rPr>
                <w:rStyle w:val="Strong"/>
                <w:color w:val="63B1E5"/>
              </w:rPr>
            </w:pPr>
          </w:p>
        </w:tc>
        <w:tc>
          <w:tcPr>
            <w:tcW w:w="1118" w:type="dxa"/>
            <w:tcBorders>
              <w:top w:val="single" w:sz="4" w:space="0" w:color="BFBFBF" w:themeColor="background1" w:themeShade="BF"/>
              <w:left w:val="nil"/>
              <w:bottom w:val="nil"/>
              <w:right w:val="nil"/>
            </w:tcBorders>
          </w:tcPr>
          <w:p w14:paraId="20D3BE0A" w14:textId="77777777" w:rsidR="00BC2F05" w:rsidRPr="00EF7401" w:rsidRDefault="00BC2F05" w:rsidP="00976665">
            <w:pPr>
              <w:pStyle w:val="TableText"/>
              <w:rPr>
                <w:rStyle w:val="Strong"/>
                <w:color w:val="63B1E5"/>
              </w:rPr>
            </w:pPr>
          </w:p>
        </w:tc>
      </w:tr>
      <w:tr w:rsidR="00C80041" w14:paraId="6FD285D9" w14:textId="77777777" w:rsidTr="00976665">
        <w:tc>
          <w:tcPr>
            <w:tcW w:w="3435" w:type="dxa"/>
            <w:tcBorders>
              <w:top w:val="nil"/>
              <w:left w:val="nil"/>
              <w:bottom w:val="nil"/>
              <w:right w:val="nil"/>
            </w:tcBorders>
          </w:tcPr>
          <w:p w14:paraId="699ED2D2" w14:textId="77777777" w:rsidR="00BC2F05" w:rsidRPr="009814BD" w:rsidRDefault="00772FB6" w:rsidP="00976665">
            <w:pPr>
              <w:pStyle w:val="TableText"/>
              <w:rPr>
                <w:color w:val="000000" w:themeColor="text1"/>
              </w:rPr>
            </w:pPr>
            <w:r w:rsidRPr="00F748D3">
              <w:rPr>
                <w:i/>
              </w:rPr>
              <w:t>Frankliniella occidentalis</w:t>
            </w:r>
            <w:r>
              <w:rPr>
                <w:iCs/>
              </w:rPr>
              <w:t xml:space="preserve"> (GP, NT)</w:t>
            </w:r>
            <w:r w:rsidRPr="00892B66">
              <w:rPr>
                <w:b/>
                <w:color w:val="000000" w:themeColor="text1"/>
              </w:rPr>
              <w:t>a</w:t>
            </w:r>
          </w:p>
        </w:tc>
        <w:tc>
          <w:tcPr>
            <w:tcW w:w="1352" w:type="dxa"/>
            <w:tcBorders>
              <w:top w:val="nil"/>
              <w:left w:val="nil"/>
              <w:bottom w:val="nil"/>
              <w:right w:val="nil"/>
            </w:tcBorders>
          </w:tcPr>
          <w:p w14:paraId="0D0AABB7" w14:textId="77777777" w:rsidR="00BC2F05" w:rsidRPr="009814BD" w:rsidRDefault="00772FB6" w:rsidP="00976665">
            <w:pPr>
              <w:pStyle w:val="TableText"/>
              <w:rPr>
                <w:color w:val="000000" w:themeColor="text1"/>
              </w:rPr>
            </w:pPr>
            <w:r>
              <w:rPr>
                <w:color w:val="000000" w:themeColor="text1"/>
              </w:rPr>
              <w:t>High</w:t>
            </w:r>
          </w:p>
        </w:tc>
        <w:tc>
          <w:tcPr>
            <w:tcW w:w="1537" w:type="dxa"/>
            <w:tcBorders>
              <w:top w:val="nil"/>
              <w:left w:val="nil"/>
              <w:bottom w:val="nil"/>
              <w:right w:val="nil"/>
            </w:tcBorders>
          </w:tcPr>
          <w:p w14:paraId="6D6A54C2" w14:textId="77777777" w:rsidR="00BC2F05" w:rsidRPr="009814BD" w:rsidRDefault="00772FB6" w:rsidP="00976665">
            <w:pPr>
              <w:pStyle w:val="TableText"/>
              <w:rPr>
                <w:color w:val="000000" w:themeColor="text1"/>
              </w:rPr>
            </w:pPr>
            <w:r>
              <w:rPr>
                <w:color w:val="000000" w:themeColor="text1"/>
              </w:rPr>
              <w:t>Moderate</w:t>
            </w:r>
          </w:p>
        </w:tc>
        <w:tc>
          <w:tcPr>
            <w:tcW w:w="1300" w:type="dxa"/>
            <w:tcBorders>
              <w:top w:val="nil"/>
              <w:left w:val="nil"/>
              <w:bottom w:val="nil"/>
              <w:right w:val="nil"/>
            </w:tcBorders>
          </w:tcPr>
          <w:p w14:paraId="2342890B" w14:textId="77777777" w:rsidR="00BC2F05" w:rsidRPr="009814BD"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4A903A7F"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1A20E943"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7BA181FC" w14:textId="77777777" w:rsidR="00BC2F05" w:rsidRPr="009814BD" w:rsidRDefault="00772FB6" w:rsidP="00976665">
            <w:pPr>
              <w:pStyle w:val="TableText"/>
              <w:rPr>
                <w:color w:val="000000" w:themeColor="text1"/>
              </w:rPr>
            </w:pPr>
            <w:r>
              <w:rPr>
                <w:color w:val="000000" w:themeColor="text1"/>
              </w:rPr>
              <w:t>Moderate</w:t>
            </w:r>
          </w:p>
        </w:tc>
        <w:tc>
          <w:tcPr>
            <w:tcW w:w="1634" w:type="dxa"/>
            <w:tcBorders>
              <w:top w:val="nil"/>
              <w:left w:val="nil"/>
              <w:bottom w:val="nil"/>
              <w:right w:val="nil"/>
            </w:tcBorders>
          </w:tcPr>
          <w:p w14:paraId="7E0487CB" w14:textId="77777777" w:rsidR="00BC2F05" w:rsidRPr="009814BD" w:rsidRDefault="00772FB6" w:rsidP="00976665">
            <w:pPr>
              <w:pStyle w:val="TableText"/>
              <w:rPr>
                <w:color w:val="000000" w:themeColor="text1"/>
              </w:rPr>
            </w:pPr>
            <w:r>
              <w:rPr>
                <w:color w:val="000000" w:themeColor="text1"/>
              </w:rPr>
              <w:t>Low</w:t>
            </w:r>
          </w:p>
        </w:tc>
        <w:tc>
          <w:tcPr>
            <w:tcW w:w="1118" w:type="dxa"/>
            <w:tcBorders>
              <w:top w:val="nil"/>
              <w:left w:val="nil"/>
              <w:bottom w:val="nil"/>
              <w:right w:val="nil"/>
            </w:tcBorders>
          </w:tcPr>
          <w:p w14:paraId="0EDA82A4" w14:textId="77777777" w:rsidR="00BC2F05" w:rsidRPr="009814BD" w:rsidRDefault="00772FB6" w:rsidP="00976665">
            <w:pPr>
              <w:pStyle w:val="TableText"/>
              <w:rPr>
                <w:b/>
                <w:color w:val="000000" w:themeColor="text1"/>
              </w:rPr>
            </w:pPr>
            <w:r>
              <w:rPr>
                <w:b/>
                <w:color w:val="000000" w:themeColor="text1"/>
              </w:rPr>
              <w:t>Low</w:t>
            </w:r>
          </w:p>
        </w:tc>
      </w:tr>
      <w:tr w:rsidR="00C80041" w14:paraId="756A3C7D" w14:textId="77777777" w:rsidTr="00976665">
        <w:tc>
          <w:tcPr>
            <w:tcW w:w="3435" w:type="dxa"/>
            <w:tcBorders>
              <w:top w:val="nil"/>
              <w:left w:val="nil"/>
              <w:bottom w:val="nil"/>
              <w:right w:val="nil"/>
            </w:tcBorders>
          </w:tcPr>
          <w:p w14:paraId="7A65BF7A" w14:textId="77777777" w:rsidR="00BC2F05" w:rsidRPr="009814BD" w:rsidRDefault="00772FB6" w:rsidP="00976665">
            <w:pPr>
              <w:pStyle w:val="TableText"/>
              <w:rPr>
                <w:color w:val="000000" w:themeColor="text1"/>
              </w:rPr>
            </w:pPr>
            <w:r w:rsidRPr="00F748D3">
              <w:rPr>
                <w:i/>
              </w:rPr>
              <w:t>Thrips palmi</w:t>
            </w:r>
            <w:r>
              <w:rPr>
                <w:i/>
              </w:rPr>
              <w:t xml:space="preserve"> </w:t>
            </w:r>
            <w:r>
              <w:rPr>
                <w:iCs/>
              </w:rPr>
              <w:t>(GP, SA, WA)</w:t>
            </w:r>
            <w:r w:rsidRPr="00892B66">
              <w:rPr>
                <w:b/>
                <w:color w:val="000000" w:themeColor="text1"/>
              </w:rPr>
              <w:t>a</w:t>
            </w:r>
          </w:p>
        </w:tc>
        <w:tc>
          <w:tcPr>
            <w:tcW w:w="1352" w:type="dxa"/>
            <w:tcBorders>
              <w:top w:val="nil"/>
              <w:left w:val="nil"/>
              <w:bottom w:val="nil"/>
              <w:right w:val="nil"/>
            </w:tcBorders>
          </w:tcPr>
          <w:p w14:paraId="2C6FB005" w14:textId="77777777" w:rsidR="00BC2F05" w:rsidRPr="009814BD" w:rsidRDefault="00772FB6" w:rsidP="00976665">
            <w:pPr>
              <w:pStyle w:val="TableText"/>
              <w:rPr>
                <w:color w:val="000000" w:themeColor="text1"/>
              </w:rPr>
            </w:pPr>
            <w:r>
              <w:rPr>
                <w:color w:val="000000" w:themeColor="text1"/>
              </w:rPr>
              <w:t>High</w:t>
            </w:r>
          </w:p>
        </w:tc>
        <w:tc>
          <w:tcPr>
            <w:tcW w:w="1537" w:type="dxa"/>
            <w:tcBorders>
              <w:top w:val="nil"/>
              <w:left w:val="nil"/>
              <w:bottom w:val="nil"/>
              <w:right w:val="nil"/>
            </w:tcBorders>
          </w:tcPr>
          <w:p w14:paraId="53C07DAB" w14:textId="77777777" w:rsidR="00BC2F05" w:rsidRPr="009814BD" w:rsidRDefault="00772FB6" w:rsidP="00976665">
            <w:pPr>
              <w:pStyle w:val="TableText"/>
              <w:rPr>
                <w:color w:val="000000" w:themeColor="text1"/>
              </w:rPr>
            </w:pPr>
            <w:r>
              <w:rPr>
                <w:color w:val="000000" w:themeColor="text1"/>
              </w:rPr>
              <w:t>Moderate</w:t>
            </w:r>
          </w:p>
        </w:tc>
        <w:tc>
          <w:tcPr>
            <w:tcW w:w="1300" w:type="dxa"/>
            <w:tcBorders>
              <w:top w:val="nil"/>
              <w:left w:val="nil"/>
              <w:bottom w:val="nil"/>
              <w:right w:val="nil"/>
            </w:tcBorders>
          </w:tcPr>
          <w:p w14:paraId="1AA1D866" w14:textId="77777777" w:rsidR="00BC2F05" w:rsidRPr="009814BD"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4DF77B46"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2A410B71"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1C60ADD1" w14:textId="77777777" w:rsidR="00BC2F05" w:rsidRPr="009814BD" w:rsidRDefault="00772FB6" w:rsidP="00976665">
            <w:pPr>
              <w:pStyle w:val="TableText"/>
              <w:rPr>
                <w:color w:val="000000" w:themeColor="text1"/>
              </w:rPr>
            </w:pPr>
            <w:r>
              <w:rPr>
                <w:color w:val="000000" w:themeColor="text1"/>
              </w:rPr>
              <w:t>Moderate</w:t>
            </w:r>
          </w:p>
        </w:tc>
        <w:tc>
          <w:tcPr>
            <w:tcW w:w="1634" w:type="dxa"/>
            <w:tcBorders>
              <w:top w:val="nil"/>
              <w:left w:val="nil"/>
              <w:bottom w:val="nil"/>
              <w:right w:val="nil"/>
            </w:tcBorders>
          </w:tcPr>
          <w:p w14:paraId="43F8F481" w14:textId="77777777" w:rsidR="00BC2F05" w:rsidRPr="009814BD" w:rsidRDefault="00772FB6" w:rsidP="00976665">
            <w:pPr>
              <w:pStyle w:val="TableText"/>
              <w:rPr>
                <w:color w:val="000000" w:themeColor="text1"/>
              </w:rPr>
            </w:pPr>
            <w:r>
              <w:rPr>
                <w:color w:val="000000" w:themeColor="text1"/>
              </w:rPr>
              <w:t>Low</w:t>
            </w:r>
          </w:p>
        </w:tc>
        <w:tc>
          <w:tcPr>
            <w:tcW w:w="1118" w:type="dxa"/>
            <w:tcBorders>
              <w:top w:val="nil"/>
              <w:left w:val="nil"/>
              <w:bottom w:val="nil"/>
              <w:right w:val="nil"/>
            </w:tcBorders>
          </w:tcPr>
          <w:p w14:paraId="40C8E0F0" w14:textId="77777777" w:rsidR="00BC2F05" w:rsidRPr="009814BD" w:rsidRDefault="00772FB6" w:rsidP="00976665">
            <w:pPr>
              <w:pStyle w:val="TableText"/>
              <w:rPr>
                <w:b/>
                <w:color w:val="000000" w:themeColor="text1"/>
              </w:rPr>
            </w:pPr>
            <w:r>
              <w:rPr>
                <w:b/>
                <w:color w:val="000000" w:themeColor="text1"/>
              </w:rPr>
              <w:t>Low</w:t>
            </w:r>
          </w:p>
        </w:tc>
      </w:tr>
      <w:tr w:rsidR="00C80041" w14:paraId="783C73A5" w14:textId="77777777" w:rsidTr="00976665">
        <w:tc>
          <w:tcPr>
            <w:tcW w:w="3435" w:type="dxa"/>
            <w:tcBorders>
              <w:top w:val="nil"/>
              <w:left w:val="nil"/>
              <w:bottom w:val="nil"/>
              <w:right w:val="nil"/>
            </w:tcBorders>
          </w:tcPr>
          <w:p w14:paraId="079F776F" w14:textId="77777777" w:rsidR="00BC2F05" w:rsidRPr="009814BD" w:rsidRDefault="00772FB6" w:rsidP="00976665">
            <w:pPr>
              <w:pStyle w:val="TableText"/>
              <w:rPr>
                <w:color w:val="000000" w:themeColor="text1"/>
              </w:rPr>
            </w:pPr>
            <w:r w:rsidRPr="00892B66">
              <w:rPr>
                <w:i/>
              </w:rPr>
              <w:t>Scirtothrips dorsalis (</w:t>
            </w:r>
            <w:r w:rsidRPr="00892B66">
              <w:rPr>
                <w:iCs/>
              </w:rPr>
              <w:t>GP, RA)</w:t>
            </w:r>
          </w:p>
        </w:tc>
        <w:tc>
          <w:tcPr>
            <w:tcW w:w="1352" w:type="dxa"/>
            <w:tcBorders>
              <w:top w:val="nil"/>
              <w:left w:val="nil"/>
              <w:bottom w:val="nil"/>
              <w:right w:val="nil"/>
            </w:tcBorders>
          </w:tcPr>
          <w:p w14:paraId="0BB57FB8" w14:textId="77777777" w:rsidR="00BC2F05" w:rsidRPr="009814BD" w:rsidRDefault="00772FB6" w:rsidP="00976665">
            <w:pPr>
              <w:pStyle w:val="TableText"/>
              <w:rPr>
                <w:color w:val="000000" w:themeColor="text1"/>
              </w:rPr>
            </w:pPr>
            <w:r>
              <w:rPr>
                <w:color w:val="000000" w:themeColor="text1"/>
              </w:rPr>
              <w:t>High</w:t>
            </w:r>
          </w:p>
        </w:tc>
        <w:tc>
          <w:tcPr>
            <w:tcW w:w="1537" w:type="dxa"/>
            <w:tcBorders>
              <w:top w:val="nil"/>
              <w:left w:val="nil"/>
              <w:bottom w:val="nil"/>
              <w:right w:val="nil"/>
            </w:tcBorders>
          </w:tcPr>
          <w:p w14:paraId="4CF177A1" w14:textId="77777777" w:rsidR="00BC2F05" w:rsidRPr="009814BD" w:rsidRDefault="00772FB6" w:rsidP="00976665">
            <w:pPr>
              <w:pStyle w:val="TableText"/>
              <w:rPr>
                <w:color w:val="000000" w:themeColor="text1"/>
              </w:rPr>
            </w:pPr>
            <w:r>
              <w:rPr>
                <w:color w:val="000000" w:themeColor="text1"/>
              </w:rPr>
              <w:t>Moderate</w:t>
            </w:r>
          </w:p>
        </w:tc>
        <w:tc>
          <w:tcPr>
            <w:tcW w:w="1300" w:type="dxa"/>
            <w:tcBorders>
              <w:top w:val="nil"/>
              <w:left w:val="nil"/>
              <w:bottom w:val="nil"/>
              <w:right w:val="nil"/>
            </w:tcBorders>
          </w:tcPr>
          <w:p w14:paraId="668747C2" w14:textId="77777777" w:rsidR="00BC2F05" w:rsidRPr="009814BD" w:rsidRDefault="00772FB6" w:rsidP="00976665">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6ED8C95F"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0DB230EF" w14:textId="77777777" w:rsidR="00BC2F05" w:rsidRPr="009814BD" w:rsidRDefault="00772FB6" w:rsidP="00976665">
            <w:pPr>
              <w:pStyle w:val="TableText"/>
              <w:rPr>
                <w:color w:val="000000" w:themeColor="text1"/>
              </w:rPr>
            </w:pPr>
            <w:r>
              <w:rPr>
                <w:color w:val="000000" w:themeColor="text1"/>
              </w:rPr>
              <w:t>High</w:t>
            </w:r>
          </w:p>
        </w:tc>
        <w:tc>
          <w:tcPr>
            <w:tcW w:w="1216" w:type="dxa"/>
            <w:tcBorders>
              <w:top w:val="nil"/>
              <w:left w:val="nil"/>
              <w:bottom w:val="nil"/>
              <w:right w:val="nil"/>
            </w:tcBorders>
          </w:tcPr>
          <w:p w14:paraId="080BF833" w14:textId="77777777" w:rsidR="00BC2F05" w:rsidRPr="009814BD" w:rsidRDefault="00772FB6" w:rsidP="00976665">
            <w:pPr>
              <w:pStyle w:val="TableText"/>
              <w:rPr>
                <w:color w:val="000000" w:themeColor="text1"/>
              </w:rPr>
            </w:pPr>
            <w:r>
              <w:rPr>
                <w:color w:val="000000" w:themeColor="text1"/>
              </w:rPr>
              <w:t>Moderate</w:t>
            </w:r>
          </w:p>
        </w:tc>
        <w:tc>
          <w:tcPr>
            <w:tcW w:w="1634" w:type="dxa"/>
            <w:tcBorders>
              <w:top w:val="nil"/>
              <w:left w:val="nil"/>
              <w:bottom w:val="nil"/>
              <w:right w:val="nil"/>
            </w:tcBorders>
          </w:tcPr>
          <w:p w14:paraId="4E3D78EB" w14:textId="77777777" w:rsidR="00BC2F05" w:rsidRPr="009814BD" w:rsidRDefault="00772FB6" w:rsidP="00976665">
            <w:pPr>
              <w:pStyle w:val="TableText"/>
              <w:rPr>
                <w:color w:val="000000" w:themeColor="text1"/>
              </w:rPr>
            </w:pPr>
            <w:r>
              <w:rPr>
                <w:color w:val="000000" w:themeColor="text1"/>
              </w:rPr>
              <w:t>Low</w:t>
            </w:r>
          </w:p>
        </w:tc>
        <w:tc>
          <w:tcPr>
            <w:tcW w:w="1118" w:type="dxa"/>
            <w:tcBorders>
              <w:top w:val="nil"/>
              <w:left w:val="nil"/>
              <w:bottom w:val="nil"/>
              <w:right w:val="nil"/>
            </w:tcBorders>
          </w:tcPr>
          <w:p w14:paraId="2754B8A6" w14:textId="77777777" w:rsidR="00BC2F05" w:rsidRPr="009814BD" w:rsidRDefault="00772FB6" w:rsidP="00976665">
            <w:pPr>
              <w:pStyle w:val="TableText"/>
              <w:rPr>
                <w:b/>
                <w:color w:val="000000" w:themeColor="text1"/>
              </w:rPr>
            </w:pPr>
            <w:r>
              <w:rPr>
                <w:b/>
                <w:color w:val="000000" w:themeColor="text1"/>
              </w:rPr>
              <w:t>Low</w:t>
            </w:r>
          </w:p>
        </w:tc>
      </w:tr>
      <w:tr w:rsidR="00C80041" w14:paraId="65F1437F" w14:textId="77777777" w:rsidTr="00976665">
        <w:tc>
          <w:tcPr>
            <w:tcW w:w="14459" w:type="dxa"/>
            <w:gridSpan w:val="9"/>
            <w:tcBorders>
              <w:top w:val="single" w:sz="4" w:space="0" w:color="BFBFBF" w:themeColor="background1" w:themeShade="BF"/>
              <w:left w:val="nil"/>
              <w:bottom w:val="nil"/>
              <w:right w:val="nil"/>
            </w:tcBorders>
          </w:tcPr>
          <w:p w14:paraId="422D7BC0" w14:textId="77777777" w:rsidR="00BC2F05" w:rsidRPr="00EF7401" w:rsidRDefault="00772FB6" w:rsidP="00976665">
            <w:pPr>
              <w:pStyle w:val="TableText"/>
              <w:rPr>
                <w:rStyle w:val="Strong"/>
              </w:rPr>
            </w:pPr>
            <w:bookmarkStart w:id="141" w:name="_Hlk86757495"/>
            <w:proofErr w:type="spellStart"/>
            <w:r w:rsidRPr="00EF7401">
              <w:rPr>
                <w:rStyle w:val="Strong"/>
              </w:rPr>
              <w:t>Orthotospoviruses</w:t>
            </w:r>
            <w:proofErr w:type="spellEnd"/>
            <w:r w:rsidRPr="00EF7401">
              <w:rPr>
                <w:rStyle w:val="Strong"/>
              </w:rPr>
              <w:t xml:space="preserve"> [</w:t>
            </w:r>
            <w:proofErr w:type="spellStart"/>
            <w:r w:rsidRPr="00EF7401">
              <w:rPr>
                <w:rStyle w:val="Strong"/>
              </w:rPr>
              <w:t>Bunyavirales</w:t>
            </w:r>
            <w:proofErr w:type="spellEnd"/>
            <w:r w:rsidRPr="00EF7401">
              <w:rPr>
                <w:rStyle w:val="Strong"/>
              </w:rPr>
              <w:t xml:space="preserve">: </w:t>
            </w:r>
            <w:proofErr w:type="spellStart"/>
            <w:r w:rsidRPr="00EF7401">
              <w:rPr>
                <w:rStyle w:val="Strong"/>
              </w:rPr>
              <w:t>Tospoviridae</w:t>
            </w:r>
            <w:proofErr w:type="spellEnd"/>
            <w:r w:rsidRPr="00EF7401">
              <w:rPr>
                <w:rStyle w:val="Strong"/>
              </w:rPr>
              <w:t>] vectored by</w:t>
            </w:r>
            <w:r>
              <w:rPr>
                <w:b/>
                <w:color w:val="000000" w:themeColor="text1"/>
              </w:rPr>
              <w:t xml:space="preserve"> </w:t>
            </w:r>
            <w:r w:rsidRPr="00AD1686">
              <w:rPr>
                <w:b/>
                <w:i/>
                <w:iCs/>
                <w:color w:val="000000" w:themeColor="text1"/>
              </w:rPr>
              <w:t>Frankliniella occidentali</w:t>
            </w:r>
            <w:r>
              <w:rPr>
                <w:b/>
                <w:i/>
                <w:iCs/>
                <w:color w:val="000000" w:themeColor="text1"/>
              </w:rPr>
              <w:t>s, Scirtothrips dorsalis</w:t>
            </w:r>
            <w:r w:rsidRPr="00AD1686">
              <w:rPr>
                <w:b/>
                <w:i/>
                <w:iCs/>
                <w:color w:val="000000" w:themeColor="text1"/>
              </w:rPr>
              <w:t xml:space="preserve"> </w:t>
            </w:r>
            <w:r w:rsidRPr="00AD1686">
              <w:rPr>
                <w:b/>
                <w:color w:val="000000" w:themeColor="text1"/>
              </w:rPr>
              <w:t xml:space="preserve">and </w:t>
            </w:r>
            <w:r w:rsidRPr="00AD1686">
              <w:rPr>
                <w:b/>
                <w:i/>
                <w:iCs/>
                <w:color w:val="000000" w:themeColor="text1"/>
              </w:rPr>
              <w:t>Thrips palmi</w:t>
            </w:r>
            <w:r>
              <w:rPr>
                <w:b/>
                <w:i/>
                <w:iCs/>
                <w:color w:val="000000" w:themeColor="text1"/>
              </w:rPr>
              <w:t xml:space="preserve"> </w:t>
            </w:r>
            <w:r w:rsidRPr="00892B66">
              <w:rPr>
                <w:b/>
                <w:color w:val="000000" w:themeColor="text1"/>
              </w:rPr>
              <w:t>a</w:t>
            </w:r>
          </w:p>
        </w:tc>
      </w:tr>
      <w:tr w:rsidR="00C80041" w14:paraId="763E13DB" w14:textId="77777777" w:rsidTr="00976665">
        <w:tc>
          <w:tcPr>
            <w:tcW w:w="3435" w:type="dxa"/>
            <w:tcBorders>
              <w:top w:val="nil"/>
              <w:left w:val="nil"/>
              <w:bottom w:val="single" w:sz="4" w:space="0" w:color="BFBFBF" w:themeColor="background1" w:themeShade="BF"/>
              <w:right w:val="nil"/>
            </w:tcBorders>
          </w:tcPr>
          <w:p w14:paraId="73B75BAA" w14:textId="77777777" w:rsidR="00BC2F05" w:rsidRPr="00513EB2" w:rsidRDefault="00772FB6" w:rsidP="00976665">
            <w:pPr>
              <w:pStyle w:val="TableText"/>
              <w:rPr>
                <w:b/>
                <w:bCs/>
                <w:iCs/>
                <w:color w:val="000000" w:themeColor="text1"/>
              </w:rPr>
            </w:pPr>
            <w:r>
              <w:rPr>
                <w:bCs/>
                <w:iCs/>
                <w:color w:val="000000" w:themeColor="text1"/>
              </w:rPr>
              <w:t>Listed in the thrips group PRA (GP)</w:t>
            </w:r>
          </w:p>
        </w:tc>
        <w:tc>
          <w:tcPr>
            <w:tcW w:w="1352" w:type="dxa"/>
            <w:tcBorders>
              <w:top w:val="nil"/>
              <w:left w:val="nil"/>
              <w:bottom w:val="single" w:sz="4" w:space="0" w:color="BFBFBF" w:themeColor="background1" w:themeShade="BF"/>
              <w:right w:val="nil"/>
            </w:tcBorders>
          </w:tcPr>
          <w:p w14:paraId="5C44849D" w14:textId="77777777" w:rsidR="00BC2F05" w:rsidRPr="003D1017" w:rsidRDefault="00772FB6" w:rsidP="00976665">
            <w:pPr>
              <w:pStyle w:val="TableText"/>
              <w:rPr>
                <w:bCs/>
                <w:color w:val="000000" w:themeColor="text1"/>
              </w:rPr>
            </w:pPr>
            <w:r>
              <w:rPr>
                <w:bCs/>
                <w:color w:val="000000" w:themeColor="text1"/>
              </w:rPr>
              <w:t>Moderate</w:t>
            </w:r>
          </w:p>
        </w:tc>
        <w:tc>
          <w:tcPr>
            <w:tcW w:w="1537" w:type="dxa"/>
            <w:tcBorders>
              <w:top w:val="nil"/>
              <w:left w:val="nil"/>
              <w:bottom w:val="single" w:sz="4" w:space="0" w:color="BFBFBF" w:themeColor="background1" w:themeShade="BF"/>
              <w:right w:val="nil"/>
            </w:tcBorders>
          </w:tcPr>
          <w:p w14:paraId="4BA05E9D" w14:textId="77777777" w:rsidR="00BC2F05" w:rsidRPr="003D1017" w:rsidRDefault="00772FB6" w:rsidP="00976665">
            <w:pPr>
              <w:pStyle w:val="TableText"/>
              <w:rPr>
                <w:bCs/>
                <w:color w:val="000000" w:themeColor="text1"/>
              </w:rPr>
            </w:pPr>
            <w:r>
              <w:rPr>
                <w:bCs/>
                <w:color w:val="000000" w:themeColor="text1"/>
              </w:rPr>
              <w:t>Moderate</w:t>
            </w:r>
          </w:p>
        </w:tc>
        <w:tc>
          <w:tcPr>
            <w:tcW w:w="1300" w:type="dxa"/>
            <w:tcBorders>
              <w:top w:val="nil"/>
              <w:left w:val="nil"/>
              <w:bottom w:val="single" w:sz="4" w:space="0" w:color="BFBFBF" w:themeColor="background1" w:themeShade="BF"/>
              <w:right w:val="nil"/>
            </w:tcBorders>
          </w:tcPr>
          <w:p w14:paraId="625A963C" w14:textId="77777777" w:rsidR="00BC2F05" w:rsidRPr="00B911DF" w:rsidRDefault="00772FB6" w:rsidP="00976665">
            <w:pPr>
              <w:pStyle w:val="TableText"/>
              <w:rPr>
                <w:b/>
                <w:bCs/>
                <w:color w:val="000000" w:themeColor="text1"/>
              </w:rPr>
            </w:pPr>
            <w:r w:rsidRPr="00B911DF">
              <w:rPr>
                <w:b/>
                <w:bCs/>
                <w:color w:val="000000" w:themeColor="text1"/>
              </w:rPr>
              <w:t>Low</w:t>
            </w:r>
          </w:p>
        </w:tc>
        <w:tc>
          <w:tcPr>
            <w:tcW w:w="1651" w:type="dxa"/>
            <w:tcBorders>
              <w:top w:val="nil"/>
              <w:left w:val="nil"/>
              <w:bottom w:val="single" w:sz="4" w:space="0" w:color="BFBFBF" w:themeColor="background1" w:themeShade="BF"/>
              <w:right w:val="nil"/>
            </w:tcBorders>
          </w:tcPr>
          <w:p w14:paraId="48425689" w14:textId="77777777" w:rsidR="00BC2F05" w:rsidRPr="003D1017" w:rsidRDefault="00772FB6" w:rsidP="00976665">
            <w:pPr>
              <w:pStyle w:val="TableText"/>
              <w:rPr>
                <w:bCs/>
                <w:color w:val="000000" w:themeColor="text1"/>
              </w:rPr>
            </w:pPr>
            <w:r>
              <w:rPr>
                <w:bCs/>
                <w:color w:val="000000" w:themeColor="text1"/>
              </w:rPr>
              <w:t>Moderate</w:t>
            </w:r>
          </w:p>
        </w:tc>
        <w:tc>
          <w:tcPr>
            <w:tcW w:w="1216" w:type="dxa"/>
            <w:tcBorders>
              <w:top w:val="nil"/>
              <w:left w:val="nil"/>
              <w:bottom w:val="single" w:sz="4" w:space="0" w:color="BFBFBF" w:themeColor="background1" w:themeShade="BF"/>
              <w:right w:val="nil"/>
            </w:tcBorders>
          </w:tcPr>
          <w:p w14:paraId="33FE9E56" w14:textId="77777777" w:rsidR="00BC2F05" w:rsidRPr="003D1017" w:rsidRDefault="00772FB6" w:rsidP="00976665">
            <w:pPr>
              <w:pStyle w:val="TableText"/>
              <w:rPr>
                <w:bCs/>
                <w:color w:val="000000" w:themeColor="text1"/>
              </w:rPr>
            </w:pPr>
            <w:r>
              <w:rPr>
                <w:bCs/>
                <w:color w:val="000000" w:themeColor="text1"/>
              </w:rPr>
              <w:t>High</w:t>
            </w:r>
          </w:p>
        </w:tc>
        <w:tc>
          <w:tcPr>
            <w:tcW w:w="1216" w:type="dxa"/>
            <w:tcBorders>
              <w:top w:val="nil"/>
              <w:left w:val="nil"/>
              <w:bottom w:val="single" w:sz="4" w:space="0" w:color="BFBFBF" w:themeColor="background1" w:themeShade="BF"/>
              <w:right w:val="nil"/>
            </w:tcBorders>
          </w:tcPr>
          <w:p w14:paraId="4A0D178B" w14:textId="77777777" w:rsidR="00BC2F05" w:rsidRPr="003D1017" w:rsidRDefault="00772FB6" w:rsidP="00976665">
            <w:pPr>
              <w:pStyle w:val="TableText"/>
              <w:rPr>
                <w:bCs/>
                <w:color w:val="000000" w:themeColor="text1"/>
              </w:rPr>
            </w:pPr>
            <w:r w:rsidRPr="00952698">
              <w:rPr>
                <w:bCs/>
                <w:color w:val="000000" w:themeColor="text1"/>
              </w:rPr>
              <w:t>Low</w:t>
            </w:r>
          </w:p>
        </w:tc>
        <w:tc>
          <w:tcPr>
            <w:tcW w:w="1634" w:type="dxa"/>
            <w:tcBorders>
              <w:top w:val="nil"/>
              <w:left w:val="nil"/>
              <w:bottom w:val="single" w:sz="4" w:space="0" w:color="BFBFBF" w:themeColor="background1" w:themeShade="BF"/>
              <w:right w:val="nil"/>
            </w:tcBorders>
          </w:tcPr>
          <w:p w14:paraId="734D0237" w14:textId="77777777" w:rsidR="00BC2F05" w:rsidRPr="00641801" w:rsidRDefault="00772FB6" w:rsidP="00976665">
            <w:pPr>
              <w:pStyle w:val="TableText"/>
              <w:rPr>
                <w:b/>
                <w:bCs/>
                <w:color w:val="000000" w:themeColor="text1"/>
              </w:rPr>
            </w:pPr>
            <w:r>
              <w:rPr>
                <w:bCs/>
                <w:color w:val="000000" w:themeColor="text1"/>
              </w:rPr>
              <w:t>Moderate</w:t>
            </w:r>
          </w:p>
        </w:tc>
        <w:tc>
          <w:tcPr>
            <w:tcW w:w="1118" w:type="dxa"/>
            <w:tcBorders>
              <w:top w:val="nil"/>
              <w:left w:val="nil"/>
              <w:bottom w:val="single" w:sz="4" w:space="0" w:color="BFBFBF" w:themeColor="background1" w:themeShade="BF"/>
              <w:right w:val="nil"/>
            </w:tcBorders>
          </w:tcPr>
          <w:p w14:paraId="6C5AE633" w14:textId="77777777" w:rsidR="00BC2F05" w:rsidRPr="00B911DF" w:rsidRDefault="00772FB6" w:rsidP="00976665">
            <w:pPr>
              <w:pStyle w:val="TableText"/>
              <w:rPr>
                <w:b/>
                <w:color w:val="000000" w:themeColor="text1"/>
              </w:rPr>
            </w:pPr>
            <w:r w:rsidRPr="00B911DF">
              <w:rPr>
                <w:b/>
                <w:color w:val="000000" w:themeColor="text1"/>
              </w:rPr>
              <w:t>Low</w:t>
            </w:r>
          </w:p>
        </w:tc>
      </w:tr>
    </w:tbl>
    <w:bookmarkEnd w:id="141"/>
    <w:p w14:paraId="468CB6F6" w14:textId="77777777" w:rsidR="00BC2F05" w:rsidRPr="00744A94" w:rsidRDefault="00772FB6" w:rsidP="008D0946">
      <w:pPr>
        <w:pStyle w:val="FigureTableNoteSource"/>
        <w:rPr>
          <w:bCs/>
        </w:rPr>
      </w:pPr>
      <w:r>
        <w:rPr>
          <w:b/>
        </w:rPr>
        <w:t>a: </w:t>
      </w:r>
      <w:r>
        <w:rPr>
          <w:bCs/>
        </w:rPr>
        <w:t xml:space="preserve">Thrips species that is also identified as a regulated article for Australia as it vectors emerging quarantine </w:t>
      </w:r>
      <w:proofErr w:type="spellStart"/>
      <w:r>
        <w:rPr>
          <w:bCs/>
        </w:rPr>
        <w:t>orthotospoviruses</w:t>
      </w:r>
      <w:proofErr w:type="spellEnd"/>
      <w:r>
        <w:rPr>
          <w:bCs/>
        </w:rPr>
        <w:t xml:space="preserve">; this table also presents the risk estimates for these viruses from the thrips Group PRA </w:t>
      </w:r>
      <w:r>
        <w:rPr>
          <w:bCs/>
          <w:noProof/>
        </w:rPr>
        <w:t>(DAWR 2017a)</w:t>
      </w:r>
      <w:r>
        <w:rPr>
          <w:bCs/>
        </w:rPr>
        <w:t xml:space="preserve">. </w:t>
      </w:r>
      <w:r>
        <w:rPr>
          <w:b/>
        </w:rPr>
        <w:t>EP:</w:t>
      </w:r>
      <w:r>
        <w:rPr>
          <w:bCs/>
        </w:rPr>
        <w:t> </w:t>
      </w:r>
      <w:r w:rsidRPr="00AD1686">
        <w:rPr>
          <w:bCs/>
        </w:rPr>
        <w:t xml:space="preserve">Species has been assessed previously and import policy already exists. </w:t>
      </w:r>
      <w:r>
        <w:rPr>
          <w:b/>
        </w:rPr>
        <w:t>GP:</w:t>
      </w:r>
      <w:r>
        <w:rPr>
          <w:bCs/>
        </w:rPr>
        <w:t> </w:t>
      </w:r>
      <w:r w:rsidRPr="00AD1686">
        <w:rPr>
          <w:bCs/>
        </w:rPr>
        <w:t>Species has been assessed previously in a Group PRA</w:t>
      </w:r>
      <w:r>
        <w:rPr>
          <w:bCs/>
        </w:rPr>
        <w:t>,</w:t>
      </w:r>
      <w:r w:rsidRPr="00AD1686">
        <w:rPr>
          <w:bCs/>
        </w:rPr>
        <w:t xml:space="preserve"> and the Group PRA has been applied. </w:t>
      </w:r>
      <w:r>
        <w:rPr>
          <w:b/>
        </w:rPr>
        <w:t>RA:</w:t>
      </w:r>
      <w:r>
        <w:rPr>
          <w:bCs/>
        </w:rPr>
        <w:t xml:space="preserve"> Regulated article. </w:t>
      </w:r>
      <w:r>
        <w:rPr>
          <w:b/>
        </w:rPr>
        <w:t>NT:</w:t>
      </w:r>
      <w:r>
        <w:rPr>
          <w:bCs/>
        </w:rPr>
        <w:t> Regional quarantine pest</w:t>
      </w:r>
      <w:r w:rsidRPr="00AD1686">
        <w:rPr>
          <w:bCs/>
        </w:rPr>
        <w:t xml:space="preserve"> for </w:t>
      </w:r>
      <w:r>
        <w:rPr>
          <w:bCs/>
        </w:rPr>
        <w:t>Northern Territory.</w:t>
      </w:r>
      <w:r>
        <w:rPr>
          <w:b/>
        </w:rPr>
        <w:t xml:space="preserve"> WA:</w:t>
      </w:r>
      <w:r>
        <w:rPr>
          <w:bCs/>
        </w:rPr>
        <w:t> Regional quarantine pest</w:t>
      </w:r>
      <w:r w:rsidRPr="00AD1686">
        <w:rPr>
          <w:bCs/>
        </w:rPr>
        <w:t xml:space="preserve"> for Western Australia. </w:t>
      </w:r>
      <w:r>
        <w:rPr>
          <w:b/>
        </w:rPr>
        <w:t>SA:</w:t>
      </w:r>
      <w:r>
        <w:rPr>
          <w:bCs/>
        </w:rPr>
        <w:t> Regional quarantine pest</w:t>
      </w:r>
      <w:r w:rsidRPr="00AD1686">
        <w:rPr>
          <w:bCs/>
        </w:rPr>
        <w:t xml:space="preserve"> for </w:t>
      </w:r>
      <w:r>
        <w:rPr>
          <w:bCs/>
        </w:rPr>
        <w:t>South Australia</w:t>
      </w:r>
      <w:r w:rsidRPr="00AD1686">
        <w:rPr>
          <w:bCs/>
        </w:rPr>
        <w:t xml:space="preserve">. </w:t>
      </w:r>
      <w:r>
        <w:rPr>
          <w:b/>
        </w:rPr>
        <w:t>EES:</w:t>
      </w:r>
      <w:r>
        <w:rPr>
          <w:bCs/>
        </w:rPr>
        <w:t> </w:t>
      </w:r>
      <w:r w:rsidRPr="00AD1686">
        <w:rPr>
          <w:bCs/>
        </w:rPr>
        <w:t xml:space="preserve">Overall likelihood of entry, establishment and spread. </w:t>
      </w:r>
      <w:r>
        <w:rPr>
          <w:b/>
        </w:rPr>
        <w:t>URE:</w:t>
      </w:r>
      <w:r>
        <w:rPr>
          <w:bCs/>
        </w:rPr>
        <w:t> </w:t>
      </w:r>
      <w:r w:rsidRPr="00AD1686">
        <w:rPr>
          <w:bCs/>
        </w:rPr>
        <w:t>Unrestricted risk estimate.</w:t>
      </w:r>
    </w:p>
    <w:p w14:paraId="1F53E5B1" w14:textId="77777777" w:rsidR="00BC2F05" w:rsidRPr="00391F51" w:rsidRDefault="00BC2F05" w:rsidP="008D0946">
      <w:pPr>
        <w:sectPr w:rsidR="00BC2F05" w:rsidRPr="00391F51" w:rsidSect="00976665">
          <w:headerReference w:type="default" r:id="rId73"/>
          <w:pgSz w:w="16838" w:h="11906" w:orient="landscape"/>
          <w:pgMar w:top="1418" w:right="1418" w:bottom="1418" w:left="1418" w:header="567" w:footer="454" w:gutter="0"/>
          <w:cols w:space="708"/>
          <w:docGrid w:linePitch="360"/>
        </w:sectPr>
      </w:pPr>
    </w:p>
    <w:p w14:paraId="709F8779" w14:textId="77777777" w:rsidR="00BC2F05" w:rsidRPr="008E2964" w:rsidRDefault="00772FB6" w:rsidP="008D0946">
      <w:pPr>
        <w:pStyle w:val="Caption"/>
      </w:pPr>
      <w:bookmarkStart w:id="142" w:name="_Ref90379611"/>
      <w:bookmarkStart w:id="143" w:name="_Toc113430646"/>
      <w:bookmarkStart w:id="144" w:name="_Toc119493131"/>
      <w:bookmarkStart w:id="145" w:name="_Hlk81488565"/>
      <w:r>
        <w:lastRenderedPageBreak/>
        <w:t xml:space="preserve">Figure </w:t>
      </w:r>
      <w:r w:rsidR="000C0A09">
        <w:fldChar w:fldCharType="begin" w:fldLock="1"/>
      </w:r>
      <w:r w:rsidR="000C0A09">
        <w:instrText xml:space="preserve"> STYLEREF 2 \s </w:instrText>
      </w:r>
      <w:r w:rsidR="000C0A09">
        <w:fldChar w:fldCharType="separate"/>
      </w:r>
      <w:r>
        <w:rPr>
          <w:noProof/>
        </w:rPr>
        <w:t>3</w:t>
      </w:r>
      <w:r w:rsidR="000C0A09">
        <w:rPr>
          <w:noProof/>
        </w:rPr>
        <w:fldChar w:fldCharType="end"/>
      </w:r>
      <w:r>
        <w:t>.</w:t>
      </w:r>
      <w:r w:rsidR="000C0A09">
        <w:fldChar w:fldCharType="begin" w:fldLock="1"/>
      </w:r>
      <w:r w:rsidR="000C0A09">
        <w:instrText xml:space="preserve"> SEQ Figure \* ARABIC \s 2 </w:instrText>
      </w:r>
      <w:r w:rsidR="000C0A09">
        <w:fldChar w:fldCharType="separate"/>
      </w:r>
      <w:r>
        <w:rPr>
          <w:noProof/>
        </w:rPr>
        <w:t>1</w:t>
      </w:r>
      <w:r w:rsidR="000C0A09">
        <w:rPr>
          <w:noProof/>
        </w:rPr>
        <w:fldChar w:fldCharType="end"/>
      </w:r>
      <w:bookmarkEnd w:id="142"/>
      <w:r w:rsidRPr="008E2964">
        <w:t xml:space="preserve"> Overview of the PRA decision process 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rsidRPr="008E2964">
        <w:t xml:space="preserve"> from </w:t>
      </w:r>
      <w:r w:rsidR="000C0A09">
        <w:fldChar w:fldCharType="begin" w:fldLock="1"/>
      </w:r>
      <w:r w:rsidR="000C0A09">
        <w:instrText xml:space="preserve"> REF  Country  \* MERGEFORMAT </w:instrText>
      </w:r>
      <w:r w:rsidR="000C0A09">
        <w:fldChar w:fldCharType="separate"/>
      </w:r>
      <w:r>
        <w:t>the Philippines</w:t>
      </w:r>
      <w:bookmarkEnd w:id="143"/>
      <w:bookmarkEnd w:id="144"/>
      <w:r w:rsidR="000C0A09">
        <w:fldChar w:fldCharType="end"/>
      </w:r>
    </w:p>
    <w:p w14:paraId="331D146F" w14:textId="77777777" w:rsidR="00BC2F05" w:rsidRPr="000338ED" w:rsidRDefault="00A74525" w:rsidP="008D0946">
      <w:pPr>
        <w:sectPr w:rsidR="00BC2F05" w:rsidRPr="000338ED" w:rsidSect="00976665">
          <w:headerReference w:type="even" r:id="rId74"/>
          <w:headerReference w:type="default" r:id="rId75"/>
          <w:footerReference w:type="default" r:id="rId76"/>
          <w:headerReference w:type="first" r:id="rId77"/>
          <w:pgSz w:w="16838" w:h="11906" w:orient="landscape"/>
          <w:pgMar w:top="1418" w:right="1418" w:bottom="1418" w:left="1418" w:header="567" w:footer="454" w:gutter="0"/>
          <w:cols w:space="708"/>
          <w:docGrid w:linePitch="360"/>
        </w:sectPr>
      </w:pPr>
      <w:r>
        <w:pict w14:anchorId="1246C927">
          <v:shape id="_x0000_i1025" type="#_x0000_t75" style="width:661.75pt;height:5in">
            <v:imagedata r:id="rId78" o:title=""/>
          </v:shape>
        </w:pict>
      </w:r>
    </w:p>
    <w:p w14:paraId="7DA5BA51" w14:textId="77777777" w:rsidR="00BC2F05" w:rsidRPr="00BB2EE2" w:rsidRDefault="00772FB6" w:rsidP="004338B9">
      <w:pPr>
        <w:pStyle w:val="Heading2"/>
      </w:pPr>
      <w:bookmarkStart w:id="146" w:name="_Toc119493108"/>
      <w:bookmarkStart w:id="147" w:name="_Hlk45280817"/>
      <w:bookmarkStart w:id="148" w:name="_Hlk87453703"/>
      <w:bookmarkEnd w:id="1"/>
      <w:bookmarkEnd w:id="145"/>
      <w:r w:rsidRPr="00BB2EE2">
        <w:lastRenderedPageBreak/>
        <w:t>Pest risk management</w:t>
      </w:r>
      <w:bookmarkEnd w:id="146"/>
    </w:p>
    <w:p w14:paraId="59E9A704" w14:textId="77777777" w:rsidR="00BC2F05" w:rsidRDefault="00772FB6" w:rsidP="004338B9">
      <w:r>
        <w:t xml:space="preserve">Pest risk management evaluates and selects options for measures for quarantine pests and regulated articles identified in Chapter 3 as having a URE that does not achieve the ALOP for Australia. This chapter proposes specific risk management measures for those quarantine pests and regulated articles (section </w:t>
      </w:r>
      <w:r>
        <w:fldChar w:fldCharType="begin" w:fldLock="1"/>
      </w:r>
      <w:r>
        <w:instrText xml:space="preserve"> REF _Ref91075300 \r \h </w:instrText>
      </w:r>
      <w:r>
        <w:fldChar w:fldCharType="separate"/>
      </w:r>
      <w:r>
        <w:t>4.1</w:t>
      </w:r>
      <w:r>
        <w:fldChar w:fldCharType="end"/>
      </w:r>
      <w:r>
        <w:t xml:space="preserve">). It also </w:t>
      </w:r>
      <w:r w:rsidR="000C0A09">
        <w:fldChar w:fldCharType="begin" w:fldLock="1"/>
      </w:r>
      <w:r w:rsidR="000C0A09">
        <w:instrText xml:space="preserve"> REF proposes_recommends </w:instrText>
      </w:r>
      <w:r w:rsidR="000C0A09">
        <w:fldChar w:fldCharType="separate"/>
      </w:r>
      <w:r>
        <w:rPr>
          <w:color w:val="000000" w:themeColor="text1"/>
        </w:rPr>
        <w:t>proposes</w:t>
      </w:r>
      <w:r w:rsidR="000C0A09">
        <w:rPr>
          <w:color w:val="000000" w:themeColor="text1"/>
        </w:rPr>
        <w:fldChar w:fldCharType="end"/>
      </w:r>
      <w:r>
        <w:t xml:space="preserve"> an</w:t>
      </w:r>
      <w:r w:rsidRPr="002C3542">
        <w:t xml:space="preserve"> operational system</w:t>
      </w:r>
      <w:r>
        <w:t xml:space="preserve"> for the assurance, </w:t>
      </w:r>
      <w:proofErr w:type="gramStart"/>
      <w:r>
        <w:t>maintenance</w:t>
      </w:r>
      <w:proofErr w:type="gramEnd"/>
      <w:r>
        <w:t xml:space="preserve"> and verification of phytosanitary status (section </w:t>
      </w:r>
      <w:r>
        <w:fldChar w:fldCharType="begin" w:fldLock="1"/>
      </w:r>
      <w:r>
        <w:instrText xml:space="preserve"> REF _Ref91075314 \r \h </w:instrText>
      </w:r>
      <w:r>
        <w:fldChar w:fldCharType="separate"/>
      </w:r>
      <w:r>
        <w:t>4.2</w:t>
      </w:r>
      <w:r>
        <w:fldChar w:fldCharType="end"/>
      </w:r>
      <w:r>
        <w:t>). Both specific risk management measures (section 4.1) and the operational system (section 4.2) are required to reduce the risk of introduction of these quarantine pests and regulated articles to achieve the ALOP for Australia. These measures are in addition to existing commercial production practices for dragon fruit in the Philippines, as described in Chapter 2, as these practices have been considered in assessing the URE.</w:t>
      </w:r>
    </w:p>
    <w:p w14:paraId="73B92C60" w14:textId="77777777" w:rsidR="00BC2F05" w:rsidRDefault="00772FB6" w:rsidP="004338B9">
      <w:pPr>
        <w:pStyle w:val="Heading3"/>
      </w:pPr>
      <w:bookmarkStart w:id="149" w:name="_Ref91075300"/>
      <w:bookmarkStart w:id="150" w:name="_Toc119493109"/>
      <w:r>
        <w:t>Pest risk management measures and phytosanitary procedures</w:t>
      </w:r>
      <w:bookmarkEnd w:id="149"/>
      <w:bookmarkEnd w:id="150"/>
    </w:p>
    <w:p w14:paraId="21E85C9B" w14:textId="77777777" w:rsidR="00BC2F05" w:rsidRDefault="00772FB6" w:rsidP="004338B9">
      <w:r>
        <w:t>This section describes the proposed risk management measures for the 7 quarantine pests (2 of which are also regulated articles) and 1 regulated thrips assessed in Chapter 3 as having a URE that does not achieve the ALOP for Australia.</w:t>
      </w:r>
    </w:p>
    <w:p w14:paraId="6A35785A" w14:textId="77777777" w:rsidR="00BC2F05" w:rsidRDefault="00772FB6" w:rsidP="004338B9">
      <w:r>
        <w:t xml:space="preserve">Historical trade and pest interception data of other similar pathways, as described in section </w:t>
      </w:r>
      <w:r>
        <w:fldChar w:fldCharType="begin" w:fldLock="1"/>
      </w:r>
      <w:r>
        <w:instrText xml:space="preserve"> REF _Ref91075336 \r \h </w:instrText>
      </w:r>
      <w:r>
        <w:fldChar w:fldCharType="separate"/>
      </w:r>
      <w:r>
        <w:t>4.1.1</w:t>
      </w:r>
      <w:r>
        <w:fldChar w:fldCharType="end"/>
      </w:r>
      <w:r>
        <w:t xml:space="preserve">, have been considered in determining the appropriate risk management measures for the importation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fldChar w:fldCharType="begin" w:fldLock="1"/>
      </w:r>
      <w:r>
        <w:instrText xml:space="preserve"> REF country \h  \* MERGEFORMAT </w:instrText>
      </w:r>
      <w:r>
        <w:fldChar w:fldCharType="separate"/>
      </w:r>
      <w:r>
        <w:t>the Philippines</w:t>
      </w:r>
      <w:r>
        <w:fldChar w:fldCharType="end"/>
      </w:r>
      <w:r>
        <w:t>.</w:t>
      </w:r>
    </w:p>
    <w:p w14:paraId="205710EE" w14:textId="77777777" w:rsidR="00BC2F05" w:rsidRDefault="00772FB6" w:rsidP="004338B9">
      <w:pPr>
        <w:pStyle w:val="Heading4"/>
      </w:pPr>
      <w:bookmarkStart w:id="151" w:name="_Ref91075336"/>
      <w:r>
        <w:t>Analysis of pest interception data</w:t>
      </w:r>
      <w:bookmarkEnd w:id="151"/>
    </w:p>
    <w:p w14:paraId="47313415" w14:textId="77777777" w:rsidR="00BC2F05" w:rsidRDefault="00772FB6" w:rsidP="00074A3A">
      <w:r w:rsidRPr="00205995">
        <w:t xml:space="preserve">Fresh dragon fruit consignments have only been imported into Australia in a moderate amount. </w:t>
      </w:r>
      <w:r>
        <w:t>Between</w:t>
      </w:r>
      <w:r w:rsidRPr="00205995">
        <w:t xml:space="preserve"> September 2017 </w:t>
      </w:r>
      <w:r>
        <w:t>and</w:t>
      </w:r>
      <w:r w:rsidRPr="00205995">
        <w:t xml:space="preserve"> July 2022, approximately 543 consignments of fresh dragon fruit were imported into Australia, totalling approximately 3,790 tonnes. Examination of interception data from imports of</w:t>
      </w:r>
      <w:r>
        <w:t xml:space="preserve"> fresh</w:t>
      </w:r>
      <w:r w:rsidRPr="00205995">
        <w:t xml:space="preserve"> dragon fruit found </w:t>
      </w:r>
      <w:r>
        <w:t>very few</w:t>
      </w:r>
      <w:r w:rsidRPr="00205995">
        <w:t xml:space="preserve"> </w:t>
      </w:r>
      <w:r>
        <w:t>detections</w:t>
      </w:r>
      <w:r w:rsidRPr="00205995">
        <w:t xml:space="preserve"> of live </w:t>
      </w:r>
      <w:r>
        <w:t>quarantine</w:t>
      </w:r>
      <w:r w:rsidRPr="00205995">
        <w:t xml:space="preserve"> pests</w:t>
      </w:r>
      <w:r w:rsidRPr="00FC089D">
        <w:t xml:space="preserve"> </w:t>
      </w:r>
      <w:r>
        <w:t>and contaminating pests such as spiders and ants. Where pests of biosecurity concern were detected, remedial action was taken to manage the risk appropriately.</w:t>
      </w:r>
      <w:r w:rsidRPr="00205995">
        <w:t xml:space="preserve"> </w:t>
      </w:r>
      <w:r>
        <w:t>The quarantine pests detected have previously been assessed and have appropriate management measures in place.</w:t>
      </w:r>
    </w:p>
    <w:p w14:paraId="45A7D741" w14:textId="77777777" w:rsidR="00BC2F05" w:rsidRDefault="00772FB6" w:rsidP="004338B9">
      <w:pPr>
        <w:pStyle w:val="Heading4"/>
      </w:pPr>
      <w:r>
        <w:t xml:space="preserve">Risk management measures for quarantine pests and regulated thrips associated with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fldSimple w:instr=" REF country  \* MERGEFORMAT " w:fldLock="1">
        <w:r>
          <w:t>the Philippines</w:t>
        </w:r>
      </w:fldSimple>
    </w:p>
    <w:p w14:paraId="52F9B958" w14:textId="77777777" w:rsidR="00BC2F05" w:rsidRDefault="000C0A09" w:rsidP="004338B9">
      <w:r>
        <w:fldChar w:fldCharType="begin" w:fldLock="1"/>
      </w:r>
      <w:r>
        <w:instrText xml:space="preserve"> REF  proposed_recommended \* FirstCap </w:instrText>
      </w:r>
      <w:r>
        <w:fldChar w:fldCharType="separate"/>
      </w:r>
      <w:r w:rsidR="00772FB6">
        <w:rPr>
          <w:color w:val="000000" w:themeColor="text1"/>
        </w:rPr>
        <w:t>Proposed</w:t>
      </w:r>
      <w:r>
        <w:rPr>
          <w:color w:val="000000" w:themeColor="text1"/>
        </w:rPr>
        <w:fldChar w:fldCharType="end"/>
      </w:r>
      <w:r w:rsidR="00772FB6">
        <w:t xml:space="preserve"> specific risk management measures for the 7 quarantine pests (2 of which are also regulated articles) and 1 regulated thrips associated with </w:t>
      </w:r>
      <w:r>
        <w:fldChar w:fldCharType="begin" w:fldLock="1"/>
      </w:r>
      <w:r>
        <w:instrText xml:space="preserve"> REF  commodity \* Lower </w:instrText>
      </w:r>
      <w:r>
        <w:fldChar w:fldCharType="separate"/>
      </w:r>
      <w:r w:rsidR="00772FB6">
        <w:t>dragon fruit</w:t>
      </w:r>
      <w:r>
        <w:fldChar w:fldCharType="end"/>
      </w:r>
      <w:r w:rsidR="00772FB6">
        <w:t xml:space="preserve"> from </w:t>
      </w:r>
      <w:r>
        <w:fldChar w:fldCharType="begin" w:fldLock="1"/>
      </w:r>
      <w:r>
        <w:instrText xml:space="preserve"> REF country </w:instrText>
      </w:r>
      <w:r>
        <w:fldChar w:fldCharType="separate"/>
      </w:r>
      <w:r w:rsidR="00772FB6">
        <w:t>the Philippines</w:t>
      </w:r>
      <w:r>
        <w:fldChar w:fldCharType="end"/>
      </w:r>
      <w:r w:rsidR="00772FB6">
        <w:t xml:space="preserve"> are listed in </w:t>
      </w:r>
      <w:r w:rsidR="00772FB6">
        <w:fldChar w:fldCharType="begin" w:fldLock="1"/>
      </w:r>
      <w:r w:rsidR="00772FB6">
        <w:instrText xml:space="preserve"> REF _Ref90475879 \h </w:instrText>
      </w:r>
      <w:r w:rsidR="00772FB6">
        <w:fldChar w:fldCharType="separate"/>
      </w:r>
      <w:r w:rsidR="00772FB6">
        <w:t xml:space="preserve">Table </w:t>
      </w:r>
      <w:r w:rsidR="00772FB6">
        <w:rPr>
          <w:noProof/>
        </w:rPr>
        <w:t>4</w:t>
      </w:r>
      <w:r w:rsidR="00772FB6">
        <w:t>.</w:t>
      </w:r>
      <w:r w:rsidR="00772FB6">
        <w:rPr>
          <w:noProof/>
        </w:rPr>
        <w:t>1</w:t>
      </w:r>
      <w:r w:rsidR="00772FB6">
        <w:fldChar w:fldCharType="end"/>
      </w:r>
      <w:r w:rsidR="00772FB6">
        <w:t>.</w:t>
      </w:r>
    </w:p>
    <w:p w14:paraId="514851EA" w14:textId="491943DF" w:rsidR="00BC2F05" w:rsidRPr="00635971" w:rsidRDefault="00772FB6" w:rsidP="004338B9">
      <w:pPr>
        <w:pStyle w:val="Tablecaption"/>
      </w:pPr>
      <w:bookmarkStart w:id="152" w:name="_Ref90475879"/>
      <w:bookmarkStart w:id="153" w:name="_Toc531000364"/>
      <w:bookmarkStart w:id="154" w:name="_Toc113430655"/>
      <w:bookmarkStart w:id="155" w:name="_Toc119493140"/>
      <w:bookmarkStart w:id="156" w:name="_Hlk115875209"/>
      <w:bookmarkStart w:id="157" w:name="_Hlk87427539"/>
      <w:r>
        <w:t xml:space="preserve">Table </w:t>
      </w:r>
      <w:r w:rsidR="000C0A09">
        <w:fldChar w:fldCharType="begin" w:fldLock="1"/>
      </w:r>
      <w:r w:rsidR="000C0A09">
        <w:instrText xml:space="preserve"> STYLEREF 2 \s </w:instrText>
      </w:r>
      <w:r w:rsidR="000C0A09">
        <w:fldChar w:fldCharType="separate"/>
      </w:r>
      <w:r>
        <w:rPr>
          <w:noProof/>
        </w:rPr>
        <w:t>4</w:t>
      </w:r>
      <w:r w:rsidR="000C0A09">
        <w:rPr>
          <w:noProof/>
        </w:rPr>
        <w:fldChar w:fldCharType="end"/>
      </w:r>
      <w:r>
        <w:t>.</w:t>
      </w:r>
      <w:r w:rsidR="000C0A09">
        <w:fldChar w:fldCharType="begin" w:fldLock="1"/>
      </w:r>
      <w:r w:rsidR="000C0A09">
        <w:instrText xml:space="preserve"> SEQ Table \* ARABIC \s 2 </w:instrText>
      </w:r>
      <w:r w:rsidR="000C0A09">
        <w:fldChar w:fldCharType="separate"/>
      </w:r>
      <w:r>
        <w:rPr>
          <w:noProof/>
        </w:rPr>
        <w:t>1</w:t>
      </w:r>
      <w:r w:rsidR="000C0A09">
        <w:rPr>
          <w:noProof/>
        </w:rPr>
        <w:fldChar w:fldCharType="end"/>
      </w:r>
      <w:bookmarkEnd w:id="152"/>
      <w:r>
        <w:t xml:space="preserve"> </w:t>
      </w:r>
      <w:r w:rsidRPr="005D4BFC">
        <w:fldChar w:fldCharType="begin" w:fldLock="1"/>
      </w:r>
      <w:r w:rsidRPr="005D4BFC">
        <w:instrText xml:space="preserve"> REF  proposed_recommended \* FirstCap </w:instrText>
      </w:r>
      <w:r w:rsidR="005D4BFC" w:rsidRPr="005D4BFC">
        <w:instrText xml:space="preserve"> \* MERGEFORMAT </w:instrText>
      </w:r>
      <w:r w:rsidRPr="005D4BFC">
        <w:fldChar w:fldCharType="separate"/>
      </w:r>
      <w:r w:rsidRPr="005D4BFC">
        <w:t>Proposed</w:t>
      </w:r>
      <w:r w:rsidRPr="005D4BFC">
        <w:fldChar w:fldCharType="end"/>
      </w:r>
      <w:r w:rsidRPr="005D4BFC">
        <w:t xml:space="preserve"> </w:t>
      </w:r>
      <w:r>
        <w:t>ri</w:t>
      </w:r>
      <w:r w:rsidRPr="00635971">
        <w:t>sk management measures for quarantine pests</w:t>
      </w:r>
      <w:r>
        <w:t xml:space="preserve"> and regulated articles potentially </w:t>
      </w:r>
      <w:r w:rsidRPr="00635971">
        <w:t>associated with</w:t>
      </w:r>
      <w:r>
        <w:t xml:space="preserv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w:t>
      </w:r>
      <w:bookmarkEnd w:id="153"/>
      <w:r>
        <w:t xml:space="preserve">m </w:t>
      </w:r>
      <w:r w:rsidR="000C0A09">
        <w:fldChar w:fldCharType="begin" w:fldLock="1"/>
      </w:r>
      <w:r w:rsidR="000C0A09">
        <w:instrText xml:space="preserve"> REF country  \* MERGEFORMAT </w:instrText>
      </w:r>
      <w:r w:rsidR="000C0A09">
        <w:fldChar w:fldCharType="separate"/>
      </w:r>
      <w:r>
        <w:t>the Philippines</w:t>
      </w:r>
      <w:r w:rsidR="000C0A09">
        <w:fldChar w:fldCharType="end"/>
      </w:r>
      <w:r>
        <w:t>.</w:t>
      </w:r>
      <w:bookmarkEnd w:id="154"/>
      <w:bookmarkEnd w:id="155"/>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696"/>
        <w:gridCol w:w="1983"/>
        <w:gridCol w:w="2124"/>
      </w:tblGrid>
      <w:tr w:rsidR="00C80041" w14:paraId="08ECC3CA" w14:textId="77777777" w:rsidTr="00976665">
        <w:trPr>
          <w:cantSplit/>
          <w:tblHeader/>
        </w:trPr>
        <w:tc>
          <w:tcPr>
            <w:tcW w:w="1250" w:type="pct"/>
            <w:tcBorders>
              <w:bottom w:val="single" w:sz="4" w:space="0" w:color="auto"/>
            </w:tcBorders>
          </w:tcPr>
          <w:p w14:paraId="5E7B5BE4" w14:textId="77777777" w:rsidR="00BC2F05" w:rsidRDefault="00772FB6" w:rsidP="00976665">
            <w:pPr>
              <w:pStyle w:val="TableHeading"/>
            </w:pPr>
            <w:bookmarkStart w:id="158" w:name="_Hlk89255136"/>
            <w:r>
              <w:t>Pest/pest group</w:t>
            </w:r>
          </w:p>
        </w:tc>
        <w:tc>
          <w:tcPr>
            <w:tcW w:w="1486" w:type="pct"/>
            <w:tcBorders>
              <w:bottom w:val="single" w:sz="4" w:space="0" w:color="auto"/>
            </w:tcBorders>
            <w:shd w:val="clear" w:color="auto" w:fill="auto"/>
          </w:tcPr>
          <w:p w14:paraId="3D812A85" w14:textId="77777777" w:rsidR="00BC2F05" w:rsidRPr="006D45AB" w:rsidRDefault="00772FB6" w:rsidP="00976665">
            <w:pPr>
              <w:pStyle w:val="TableHeading"/>
            </w:pPr>
            <w:r>
              <w:t>Scientific name</w:t>
            </w:r>
          </w:p>
        </w:tc>
        <w:tc>
          <w:tcPr>
            <w:tcW w:w="1093" w:type="pct"/>
            <w:tcBorders>
              <w:bottom w:val="single" w:sz="4" w:space="0" w:color="auto"/>
            </w:tcBorders>
            <w:shd w:val="clear" w:color="auto" w:fill="auto"/>
          </w:tcPr>
          <w:p w14:paraId="1F49115A" w14:textId="77777777" w:rsidR="00BC2F05" w:rsidRPr="006D45AB" w:rsidRDefault="00772FB6" w:rsidP="00976665">
            <w:pPr>
              <w:pStyle w:val="TableHeading"/>
            </w:pPr>
            <w:r>
              <w:t>Common name</w:t>
            </w:r>
          </w:p>
        </w:tc>
        <w:tc>
          <w:tcPr>
            <w:tcW w:w="1171" w:type="pct"/>
            <w:tcBorders>
              <w:bottom w:val="single" w:sz="4" w:space="0" w:color="auto"/>
            </w:tcBorders>
            <w:shd w:val="clear" w:color="auto" w:fill="auto"/>
          </w:tcPr>
          <w:p w14:paraId="512B65C9" w14:textId="77777777" w:rsidR="00BC2F05" w:rsidRDefault="00772FB6" w:rsidP="00976665">
            <w:pPr>
              <w:pStyle w:val="TableHeading"/>
            </w:pPr>
            <w:r>
              <w:t>Measures</w:t>
            </w:r>
          </w:p>
        </w:tc>
      </w:tr>
      <w:tr w:rsidR="00C80041" w14:paraId="21A410BE" w14:textId="77777777" w:rsidTr="00976665">
        <w:tc>
          <w:tcPr>
            <w:tcW w:w="1250" w:type="pct"/>
            <w:vMerge w:val="restart"/>
            <w:tcBorders>
              <w:top w:val="single" w:sz="4" w:space="0" w:color="auto"/>
              <w:bottom w:val="single" w:sz="4" w:space="0" w:color="BFBFBF" w:themeColor="background1" w:themeShade="BF"/>
            </w:tcBorders>
          </w:tcPr>
          <w:p w14:paraId="7E1FC1D8" w14:textId="77777777" w:rsidR="00BC2F05" w:rsidRPr="00140CED" w:rsidRDefault="00772FB6" w:rsidP="00976665">
            <w:pPr>
              <w:pStyle w:val="TableText"/>
              <w:rPr>
                <w:color w:val="000000" w:themeColor="text1"/>
              </w:rPr>
            </w:pPr>
            <w:r w:rsidRPr="00140CED">
              <w:rPr>
                <w:color w:val="000000" w:themeColor="text1"/>
              </w:rPr>
              <w:t xml:space="preserve">Fruit </w:t>
            </w:r>
            <w:r>
              <w:rPr>
                <w:color w:val="000000" w:themeColor="text1"/>
              </w:rPr>
              <w:t>f</w:t>
            </w:r>
            <w:r w:rsidRPr="00140CED">
              <w:rPr>
                <w:color w:val="000000" w:themeColor="text1"/>
              </w:rPr>
              <w:t>lies</w:t>
            </w:r>
          </w:p>
          <w:p w14:paraId="235C74C8" w14:textId="77777777" w:rsidR="00BC2F05" w:rsidRPr="00D1336F" w:rsidRDefault="00772FB6" w:rsidP="00976665">
            <w:pPr>
              <w:pStyle w:val="TableText"/>
            </w:pPr>
            <w:r w:rsidRPr="00140CED">
              <w:rPr>
                <w:color w:val="000000" w:themeColor="text1"/>
              </w:rPr>
              <w:t xml:space="preserve">[Diptera: </w:t>
            </w:r>
            <w:proofErr w:type="spellStart"/>
            <w:r w:rsidRPr="00140CED">
              <w:rPr>
                <w:color w:val="000000" w:themeColor="text1"/>
              </w:rPr>
              <w:t>Tephritidae</w:t>
            </w:r>
            <w:proofErr w:type="spellEnd"/>
            <w:r w:rsidRPr="00140CED">
              <w:rPr>
                <w:color w:val="000000" w:themeColor="text1"/>
              </w:rPr>
              <w:t>]</w:t>
            </w:r>
          </w:p>
        </w:tc>
        <w:tc>
          <w:tcPr>
            <w:tcW w:w="1486" w:type="pct"/>
            <w:tcBorders>
              <w:top w:val="single" w:sz="4" w:space="0" w:color="auto"/>
              <w:bottom w:val="single" w:sz="4" w:space="0" w:color="BFBFBF" w:themeColor="background1" w:themeShade="BF"/>
            </w:tcBorders>
            <w:shd w:val="clear" w:color="auto" w:fill="auto"/>
          </w:tcPr>
          <w:p w14:paraId="2CF8D321" w14:textId="77777777" w:rsidR="00BC2F05" w:rsidRPr="00967D21" w:rsidRDefault="00772FB6" w:rsidP="00976665">
            <w:pPr>
              <w:pStyle w:val="TableText"/>
              <w:rPr>
                <w:rStyle w:val="Emphasis"/>
              </w:rPr>
            </w:pPr>
            <w:r w:rsidRPr="00140CED">
              <w:rPr>
                <w:rStyle w:val="Emphasis"/>
              </w:rPr>
              <w:t xml:space="preserve">Bactrocera dorsalis </w:t>
            </w:r>
            <w:r>
              <w:rPr>
                <w:rStyle w:val="Emphasis"/>
              </w:rPr>
              <w:t>(</w:t>
            </w:r>
            <w:r w:rsidRPr="00140CED">
              <w:rPr>
                <w:rStyle w:val="Emphasis"/>
              </w:rPr>
              <w:t>EP</w:t>
            </w:r>
            <w:r>
              <w:rPr>
                <w:rStyle w:val="Emphasis"/>
              </w:rPr>
              <w:t>)</w:t>
            </w:r>
          </w:p>
        </w:tc>
        <w:tc>
          <w:tcPr>
            <w:tcW w:w="1093" w:type="pct"/>
            <w:tcBorders>
              <w:top w:val="single" w:sz="4" w:space="0" w:color="auto"/>
              <w:bottom w:val="single" w:sz="4" w:space="0" w:color="BFBFBF" w:themeColor="background1" w:themeShade="BF"/>
            </w:tcBorders>
            <w:shd w:val="clear" w:color="auto" w:fill="auto"/>
          </w:tcPr>
          <w:p w14:paraId="60C874D9" w14:textId="77777777" w:rsidR="00BC2F05" w:rsidRPr="006C1854" w:rsidRDefault="00772FB6" w:rsidP="00976665">
            <w:pPr>
              <w:pStyle w:val="TableText"/>
            </w:pPr>
            <w:r w:rsidRPr="00140CED">
              <w:rPr>
                <w:color w:val="000000" w:themeColor="text1"/>
              </w:rPr>
              <w:t>Oriental fruit fly</w:t>
            </w:r>
          </w:p>
        </w:tc>
        <w:tc>
          <w:tcPr>
            <w:tcW w:w="1171" w:type="pct"/>
            <w:vMerge w:val="restart"/>
            <w:tcBorders>
              <w:top w:val="single" w:sz="4" w:space="0" w:color="auto"/>
              <w:bottom w:val="single" w:sz="4" w:space="0" w:color="BFBFBF" w:themeColor="background1" w:themeShade="BF"/>
            </w:tcBorders>
            <w:shd w:val="clear" w:color="auto" w:fill="auto"/>
          </w:tcPr>
          <w:p w14:paraId="05379D33" w14:textId="77777777" w:rsidR="00BC2F05" w:rsidRPr="00140CED" w:rsidRDefault="00772FB6" w:rsidP="00976665">
            <w:pPr>
              <w:pStyle w:val="TableText"/>
              <w:rPr>
                <w:color w:val="000000" w:themeColor="text1"/>
              </w:rPr>
            </w:pPr>
            <w:r w:rsidRPr="00140CED">
              <w:rPr>
                <w:color w:val="000000" w:themeColor="text1"/>
              </w:rPr>
              <w:t>PFA, PFPP or PFPS</w:t>
            </w:r>
            <w:r>
              <w:rPr>
                <w:color w:val="000000" w:themeColor="text1"/>
              </w:rPr>
              <w:t xml:space="preserve"> </w:t>
            </w:r>
            <w:r w:rsidRPr="00F87271">
              <w:rPr>
                <w:b/>
                <w:bCs/>
                <w:color w:val="000000" w:themeColor="text1"/>
              </w:rPr>
              <w:t>a</w:t>
            </w:r>
          </w:p>
          <w:p w14:paraId="41966460" w14:textId="77777777" w:rsidR="00BC2F05" w:rsidRPr="00140CED" w:rsidRDefault="00772FB6" w:rsidP="00976665">
            <w:pPr>
              <w:pStyle w:val="TableText"/>
              <w:rPr>
                <w:color w:val="000000" w:themeColor="text1"/>
              </w:rPr>
            </w:pPr>
            <w:r w:rsidRPr="00140CED">
              <w:rPr>
                <w:color w:val="000000" w:themeColor="text1"/>
              </w:rPr>
              <w:t>OR</w:t>
            </w:r>
          </w:p>
          <w:p w14:paraId="41958F37" w14:textId="77777777" w:rsidR="00BC2F05" w:rsidRPr="006C1854" w:rsidRDefault="00772FB6" w:rsidP="00976665">
            <w:pPr>
              <w:pStyle w:val="TableText"/>
            </w:pPr>
            <w:r w:rsidRPr="00140CED">
              <w:rPr>
                <w:color w:val="000000" w:themeColor="text1"/>
              </w:rPr>
              <w:t xml:space="preserve">Fruit treatment considered effective </w:t>
            </w:r>
            <w:r>
              <w:rPr>
                <w:color w:val="000000" w:themeColor="text1"/>
              </w:rPr>
              <w:t>against</w:t>
            </w:r>
            <w:r w:rsidRPr="00140CED">
              <w:rPr>
                <w:color w:val="000000" w:themeColor="text1"/>
              </w:rPr>
              <w:t xml:space="preserve"> </w:t>
            </w:r>
            <w:r>
              <w:rPr>
                <w:i/>
                <w:iCs/>
                <w:color w:val="000000" w:themeColor="text1"/>
              </w:rPr>
              <w:t xml:space="preserve">Bactrocera dorsalis </w:t>
            </w:r>
            <w:r>
              <w:rPr>
                <w:color w:val="000000" w:themeColor="text1"/>
              </w:rPr>
              <w:t xml:space="preserve">and </w:t>
            </w:r>
            <w:r w:rsidRPr="00140CED">
              <w:rPr>
                <w:i/>
                <w:iCs/>
                <w:color w:val="000000" w:themeColor="text1"/>
              </w:rPr>
              <w:t xml:space="preserve">Zeugodacus </w:t>
            </w:r>
            <w:r>
              <w:rPr>
                <w:i/>
                <w:iCs/>
                <w:color w:val="000000" w:themeColor="text1"/>
              </w:rPr>
              <w:t xml:space="preserve">cucurbitae </w:t>
            </w:r>
            <w:r>
              <w:t>(</w:t>
            </w:r>
            <w:proofErr w:type="gramStart"/>
            <w:r>
              <w:t>e.g.</w:t>
            </w:r>
            <w:proofErr w:type="gramEnd"/>
            <w:r>
              <w:t xml:space="preserve"> vapour heat treatment or irradiation)</w:t>
            </w:r>
          </w:p>
        </w:tc>
      </w:tr>
      <w:bookmarkEnd w:id="156"/>
      <w:tr w:rsidR="00C80041" w14:paraId="7E76D72D" w14:textId="77777777" w:rsidTr="00976665">
        <w:tc>
          <w:tcPr>
            <w:tcW w:w="1250" w:type="pct"/>
            <w:vMerge/>
            <w:tcBorders>
              <w:top w:val="single" w:sz="4" w:space="0" w:color="BFBFBF" w:themeColor="background1" w:themeShade="BF"/>
              <w:bottom w:val="single" w:sz="4" w:space="0" w:color="BFBFBF" w:themeColor="background1" w:themeShade="BF"/>
            </w:tcBorders>
          </w:tcPr>
          <w:p w14:paraId="2E2301BF" w14:textId="77777777" w:rsidR="00BC2F05" w:rsidRPr="00F022F1" w:rsidRDefault="00BC2F05" w:rsidP="00976665">
            <w:pPr>
              <w:pStyle w:val="TableText"/>
            </w:pPr>
          </w:p>
        </w:tc>
        <w:tc>
          <w:tcPr>
            <w:tcW w:w="1486" w:type="pct"/>
            <w:tcBorders>
              <w:top w:val="single" w:sz="4" w:space="0" w:color="BFBFBF" w:themeColor="background1" w:themeShade="BF"/>
              <w:bottom w:val="single" w:sz="4" w:space="0" w:color="BFBFBF" w:themeColor="background1" w:themeShade="BF"/>
            </w:tcBorders>
            <w:shd w:val="clear" w:color="auto" w:fill="auto"/>
          </w:tcPr>
          <w:p w14:paraId="1006C31F" w14:textId="77777777" w:rsidR="00BC2F05" w:rsidRPr="00967D21" w:rsidRDefault="00772FB6" w:rsidP="00976665">
            <w:pPr>
              <w:pStyle w:val="TableText"/>
              <w:rPr>
                <w:rStyle w:val="Emphasis"/>
              </w:rPr>
            </w:pPr>
            <w:r w:rsidRPr="00140CED">
              <w:rPr>
                <w:rStyle w:val="Emphasis"/>
              </w:rPr>
              <w:t xml:space="preserve">Zeugodacus cucurbitae </w:t>
            </w:r>
            <w:r>
              <w:rPr>
                <w:rStyle w:val="Emphasis"/>
              </w:rPr>
              <w:t>(</w:t>
            </w:r>
            <w:r w:rsidRPr="00140CED">
              <w:rPr>
                <w:rStyle w:val="Emphasis"/>
              </w:rPr>
              <w:t>EP</w:t>
            </w:r>
            <w:r>
              <w:rPr>
                <w:rStyle w:val="Emphasis"/>
              </w:rPr>
              <w:t>)</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6E7841B8" w14:textId="77777777" w:rsidR="00BC2F05" w:rsidRPr="006C1854" w:rsidRDefault="00772FB6" w:rsidP="00976665">
            <w:pPr>
              <w:pStyle w:val="TableText"/>
            </w:pPr>
            <w:r>
              <w:rPr>
                <w:color w:val="000000" w:themeColor="text1"/>
              </w:rPr>
              <w:t>m</w:t>
            </w:r>
            <w:r w:rsidRPr="00140CED">
              <w:rPr>
                <w:color w:val="000000" w:themeColor="text1"/>
              </w:rPr>
              <w:t>elon fly</w:t>
            </w:r>
          </w:p>
        </w:tc>
        <w:tc>
          <w:tcPr>
            <w:tcW w:w="1171" w:type="pct"/>
            <w:vMerge/>
            <w:tcBorders>
              <w:top w:val="single" w:sz="4" w:space="0" w:color="BFBFBF" w:themeColor="background1" w:themeShade="BF"/>
              <w:bottom w:val="single" w:sz="4" w:space="0" w:color="BFBFBF" w:themeColor="background1" w:themeShade="BF"/>
            </w:tcBorders>
            <w:shd w:val="clear" w:color="auto" w:fill="auto"/>
          </w:tcPr>
          <w:p w14:paraId="167E184C" w14:textId="77777777" w:rsidR="00BC2F05" w:rsidRPr="006C1854" w:rsidRDefault="00BC2F05" w:rsidP="00976665">
            <w:pPr>
              <w:pStyle w:val="TableText"/>
            </w:pPr>
          </w:p>
        </w:tc>
      </w:tr>
      <w:tr w:rsidR="00C80041" w14:paraId="30006DB8" w14:textId="77777777" w:rsidTr="00976665">
        <w:tc>
          <w:tcPr>
            <w:tcW w:w="1250" w:type="pct"/>
            <w:vMerge w:val="restart"/>
            <w:tcBorders>
              <w:top w:val="single" w:sz="4" w:space="0" w:color="BFBFBF" w:themeColor="background1" w:themeShade="BF"/>
            </w:tcBorders>
          </w:tcPr>
          <w:p w14:paraId="3029C2B3" w14:textId="77777777" w:rsidR="00BC2F05" w:rsidRDefault="00772FB6" w:rsidP="00976665">
            <w:pPr>
              <w:pStyle w:val="TableText"/>
            </w:pPr>
            <w:r>
              <w:lastRenderedPageBreak/>
              <w:t>Mealybugs</w:t>
            </w:r>
          </w:p>
          <w:p w14:paraId="4D1F0F7D" w14:textId="77777777" w:rsidR="00BC2F05" w:rsidRPr="00F022F1" w:rsidRDefault="00772FB6" w:rsidP="00976665">
            <w:pPr>
              <w:pStyle w:val="TableText"/>
            </w:pPr>
            <w:r>
              <w:t xml:space="preserve">[Hemiptera: </w:t>
            </w:r>
            <w:proofErr w:type="spellStart"/>
            <w:r w:rsidRPr="007B2FED">
              <w:t>Pseudococcidae</w:t>
            </w:r>
            <w:proofErr w:type="spellEnd"/>
            <w:r>
              <w:t>]</w:t>
            </w:r>
          </w:p>
        </w:tc>
        <w:tc>
          <w:tcPr>
            <w:tcW w:w="1486" w:type="pct"/>
            <w:tcBorders>
              <w:top w:val="single" w:sz="4" w:space="0" w:color="BFBFBF" w:themeColor="background1" w:themeShade="BF"/>
              <w:bottom w:val="single" w:sz="4" w:space="0" w:color="BFBFBF" w:themeColor="background1" w:themeShade="BF"/>
            </w:tcBorders>
            <w:shd w:val="clear" w:color="auto" w:fill="auto"/>
          </w:tcPr>
          <w:p w14:paraId="3BA20CAC" w14:textId="77777777" w:rsidR="00BC2F05" w:rsidRPr="00967D21" w:rsidRDefault="00772FB6" w:rsidP="00976665">
            <w:pPr>
              <w:pStyle w:val="TableText"/>
              <w:rPr>
                <w:rStyle w:val="Emphasis"/>
              </w:rPr>
            </w:pPr>
            <w:r>
              <w:rPr>
                <w:rStyle w:val="Emphasis"/>
              </w:rPr>
              <w:t>Dysmicoccus neobrevipes (GP)</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52CCE94A" w14:textId="77777777" w:rsidR="00BC2F05" w:rsidRPr="006C1854" w:rsidRDefault="00772FB6" w:rsidP="00976665">
            <w:pPr>
              <w:pStyle w:val="TableText"/>
            </w:pPr>
            <w:r>
              <w:rPr>
                <w:color w:val="000000" w:themeColor="text1"/>
              </w:rPr>
              <w:t>g</w:t>
            </w:r>
            <w:r>
              <w:t xml:space="preserve">rey pineapple mealybug </w:t>
            </w:r>
          </w:p>
        </w:tc>
        <w:tc>
          <w:tcPr>
            <w:tcW w:w="1171" w:type="pct"/>
            <w:vMerge w:val="restart"/>
            <w:tcBorders>
              <w:top w:val="single" w:sz="4" w:space="0" w:color="BFBFBF" w:themeColor="background1" w:themeShade="BF"/>
            </w:tcBorders>
            <w:shd w:val="clear" w:color="auto" w:fill="auto"/>
          </w:tcPr>
          <w:p w14:paraId="1A1EAEAD" w14:textId="77777777" w:rsidR="00BC2F05" w:rsidRPr="00F87271" w:rsidRDefault="00772FB6" w:rsidP="00976665">
            <w:pPr>
              <w:pStyle w:val="TableText"/>
              <w:rPr>
                <w:b/>
                <w:bCs/>
                <w:color w:val="000000" w:themeColor="text1"/>
              </w:rPr>
            </w:pPr>
            <w:r w:rsidRPr="00140CED">
              <w:rPr>
                <w:color w:val="000000" w:themeColor="text1"/>
              </w:rPr>
              <w:t xml:space="preserve">Pre-export visual inspection and, if found, remedial action </w:t>
            </w:r>
            <w:r w:rsidRPr="00F87271">
              <w:rPr>
                <w:b/>
                <w:bCs/>
                <w:color w:val="000000" w:themeColor="text1"/>
              </w:rPr>
              <w:t>b</w:t>
            </w:r>
          </w:p>
          <w:p w14:paraId="261FE0D1" w14:textId="77777777" w:rsidR="00BC2F05" w:rsidRPr="00CC364C" w:rsidRDefault="00BC2F05" w:rsidP="00976665">
            <w:pPr>
              <w:pStyle w:val="TableText"/>
              <w:rPr>
                <w:color w:val="000000" w:themeColor="text1"/>
              </w:rPr>
            </w:pPr>
          </w:p>
        </w:tc>
      </w:tr>
      <w:tr w:rsidR="00C80041" w14:paraId="0F8A7C21" w14:textId="77777777" w:rsidTr="00976665">
        <w:tc>
          <w:tcPr>
            <w:tcW w:w="1250" w:type="pct"/>
            <w:vMerge/>
          </w:tcPr>
          <w:p w14:paraId="1B7E03BD" w14:textId="77777777" w:rsidR="00BC2F05" w:rsidRDefault="00BC2F05" w:rsidP="00976665">
            <w:pPr>
              <w:pStyle w:val="TableText"/>
              <w:rPr>
                <w:color w:val="000000" w:themeColor="text1"/>
              </w:rPr>
            </w:pPr>
          </w:p>
        </w:tc>
        <w:tc>
          <w:tcPr>
            <w:tcW w:w="1486" w:type="pct"/>
            <w:tcBorders>
              <w:top w:val="single" w:sz="4" w:space="0" w:color="BFBFBF" w:themeColor="background1" w:themeShade="BF"/>
              <w:bottom w:val="single" w:sz="4" w:space="0" w:color="BFBFBF" w:themeColor="background1" w:themeShade="BF"/>
            </w:tcBorders>
            <w:shd w:val="clear" w:color="auto" w:fill="auto"/>
          </w:tcPr>
          <w:p w14:paraId="4C621F9C" w14:textId="77777777" w:rsidR="00BC2F05" w:rsidRPr="00E9214D" w:rsidRDefault="00772FB6" w:rsidP="00976665">
            <w:pPr>
              <w:pStyle w:val="TableText"/>
              <w:rPr>
                <w:rStyle w:val="Emphasis"/>
                <w:i w:val="0"/>
                <w:iCs w:val="0"/>
              </w:rPr>
            </w:pPr>
            <w:r w:rsidRPr="00062A5B">
              <w:rPr>
                <w:i/>
                <w:iCs/>
              </w:rPr>
              <w:t>Paracoccus marginatus</w:t>
            </w:r>
            <w:r>
              <w:rPr>
                <w:i/>
                <w:iCs/>
              </w:rPr>
              <w:t xml:space="preserve"> </w:t>
            </w:r>
            <w:r>
              <w:t>(GP)</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6B63751E" w14:textId="77777777" w:rsidR="00BC2F05" w:rsidRDefault="00772FB6" w:rsidP="00976665">
            <w:pPr>
              <w:pStyle w:val="TableText"/>
              <w:rPr>
                <w:color w:val="000000" w:themeColor="text1"/>
              </w:rPr>
            </w:pPr>
            <w:r>
              <w:t>papaya mealybug</w:t>
            </w:r>
          </w:p>
        </w:tc>
        <w:tc>
          <w:tcPr>
            <w:tcW w:w="1171" w:type="pct"/>
            <w:vMerge/>
            <w:shd w:val="clear" w:color="auto" w:fill="auto"/>
          </w:tcPr>
          <w:p w14:paraId="6190EABF" w14:textId="77777777" w:rsidR="00BC2F05" w:rsidRDefault="00BC2F05" w:rsidP="00976665">
            <w:pPr>
              <w:pStyle w:val="TableText"/>
              <w:rPr>
                <w:color w:val="000000" w:themeColor="text1"/>
              </w:rPr>
            </w:pPr>
          </w:p>
        </w:tc>
      </w:tr>
      <w:tr w:rsidR="00C80041" w14:paraId="5345C494" w14:textId="77777777" w:rsidTr="00976665">
        <w:tc>
          <w:tcPr>
            <w:tcW w:w="1250" w:type="pct"/>
            <w:vMerge/>
            <w:tcBorders>
              <w:bottom w:val="single" w:sz="4" w:space="0" w:color="BFBFBF" w:themeColor="background1" w:themeShade="BF"/>
            </w:tcBorders>
          </w:tcPr>
          <w:p w14:paraId="4EC8B031" w14:textId="77777777" w:rsidR="00BC2F05" w:rsidRDefault="00BC2F05" w:rsidP="00976665">
            <w:pPr>
              <w:pStyle w:val="TableText"/>
              <w:rPr>
                <w:color w:val="000000" w:themeColor="text1"/>
              </w:rPr>
            </w:pPr>
          </w:p>
        </w:tc>
        <w:tc>
          <w:tcPr>
            <w:tcW w:w="1486" w:type="pct"/>
            <w:tcBorders>
              <w:top w:val="single" w:sz="4" w:space="0" w:color="BFBFBF" w:themeColor="background1" w:themeShade="BF"/>
              <w:bottom w:val="single" w:sz="4" w:space="0" w:color="BFBFBF" w:themeColor="background1" w:themeShade="BF"/>
            </w:tcBorders>
            <w:shd w:val="clear" w:color="auto" w:fill="auto"/>
          </w:tcPr>
          <w:p w14:paraId="041C161B" w14:textId="77777777" w:rsidR="00BC2F05" w:rsidRPr="00062A5B" w:rsidRDefault="00772FB6" w:rsidP="00976665">
            <w:pPr>
              <w:pStyle w:val="TableText"/>
              <w:rPr>
                <w:i/>
                <w:iCs/>
              </w:rPr>
            </w:pPr>
            <w:r>
              <w:rPr>
                <w:i/>
                <w:iCs/>
              </w:rPr>
              <w:t xml:space="preserve">Pseudococcus jackbeardsleyi </w:t>
            </w:r>
            <w:r>
              <w:t>(GP)</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4488B62B" w14:textId="77777777" w:rsidR="00BC2F05" w:rsidRDefault="00772FB6" w:rsidP="00976665">
            <w:pPr>
              <w:pStyle w:val="TableText"/>
            </w:pPr>
            <w:r>
              <w:t>Jack Beardsley mealybug</w:t>
            </w:r>
          </w:p>
        </w:tc>
        <w:tc>
          <w:tcPr>
            <w:tcW w:w="1171" w:type="pct"/>
            <w:vMerge/>
            <w:tcBorders>
              <w:bottom w:val="single" w:sz="4" w:space="0" w:color="BFBFBF" w:themeColor="background1" w:themeShade="BF"/>
            </w:tcBorders>
            <w:shd w:val="clear" w:color="auto" w:fill="auto"/>
          </w:tcPr>
          <w:p w14:paraId="4BC1577A" w14:textId="77777777" w:rsidR="00BC2F05" w:rsidRDefault="00BC2F05" w:rsidP="00976665">
            <w:pPr>
              <w:pStyle w:val="TableText"/>
              <w:rPr>
                <w:color w:val="000000" w:themeColor="text1"/>
              </w:rPr>
            </w:pPr>
          </w:p>
        </w:tc>
      </w:tr>
      <w:tr w:rsidR="00C80041" w14:paraId="60983828" w14:textId="77777777" w:rsidTr="00976665">
        <w:tc>
          <w:tcPr>
            <w:tcW w:w="1250" w:type="pct"/>
            <w:vMerge w:val="restart"/>
            <w:tcBorders>
              <w:top w:val="single" w:sz="4" w:space="0" w:color="BFBFBF" w:themeColor="background1" w:themeShade="BF"/>
            </w:tcBorders>
          </w:tcPr>
          <w:p w14:paraId="369332C4" w14:textId="77777777" w:rsidR="00BC2F05" w:rsidRPr="006F4393" w:rsidRDefault="00772FB6" w:rsidP="00976665">
            <w:pPr>
              <w:pStyle w:val="TableText"/>
              <w:rPr>
                <w:color w:val="000000" w:themeColor="text1"/>
              </w:rPr>
            </w:pPr>
            <w:r w:rsidRPr="006F4393">
              <w:rPr>
                <w:color w:val="000000" w:themeColor="text1"/>
              </w:rPr>
              <w:t>Thrips</w:t>
            </w:r>
          </w:p>
          <w:p w14:paraId="480F4A3E" w14:textId="77777777" w:rsidR="00BC2F05" w:rsidRPr="00F022F1" w:rsidRDefault="00772FB6" w:rsidP="00976665">
            <w:pPr>
              <w:pStyle w:val="TableText"/>
            </w:pPr>
            <w:r w:rsidRPr="006F4393">
              <w:rPr>
                <w:color w:val="000000" w:themeColor="text1"/>
              </w:rPr>
              <w:t>[Thysanoptera: Thripidae]</w:t>
            </w:r>
          </w:p>
        </w:tc>
        <w:tc>
          <w:tcPr>
            <w:tcW w:w="1486" w:type="pct"/>
            <w:tcBorders>
              <w:top w:val="single" w:sz="4" w:space="0" w:color="BFBFBF" w:themeColor="background1" w:themeShade="BF"/>
              <w:bottom w:val="single" w:sz="4" w:space="0" w:color="BFBFBF" w:themeColor="background1" w:themeShade="BF"/>
            </w:tcBorders>
            <w:shd w:val="clear" w:color="auto" w:fill="auto"/>
          </w:tcPr>
          <w:p w14:paraId="0D9FF97A" w14:textId="77777777" w:rsidR="00BC2F05" w:rsidRPr="00967D21" w:rsidRDefault="00772FB6" w:rsidP="00976665">
            <w:pPr>
              <w:pStyle w:val="TableText"/>
              <w:rPr>
                <w:rStyle w:val="Emphasis"/>
              </w:rPr>
            </w:pPr>
            <w:r>
              <w:rPr>
                <w:rStyle w:val="Emphasis"/>
              </w:rPr>
              <w:t xml:space="preserve">Frankliniella occidentalis (GP, </w:t>
            </w:r>
            <w:r w:rsidRPr="007C6B1C">
              <w:rPr>
                <w:rStyle w:val="Emphasis"/>
              </w:rPr>
              <w:t>NT)</w:t>
            </w:r>
            <w:r>
              <w:rPr>
                <w:b/>
                <w:bCs/>
              </w:rPr>
              <w:t xml:space="preserve"> c</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4D3285B3" w14:textId="77777777" w:rsidR="00BC2F05" w:rsidRPr="006C1854" w:rsidRDefault="00772FB6" w:rsidP="00976665">
            <w:pPr>
              <w:pStyle w:val="TableText"/>
            </w:pPr>
            <w:r>
              <w:rPr>
                <w:color w:val="000000" w:themeColor="text1"/>
              </w:rPr>
              <w:t>western flower thrips</w:t>
            </w:r>
          </w:p>
        </w:tc>
        <w:tc>
          <w:tcPr>
            <w:tcW w:w="1171" w:type="pct"/>
            <w:vMerge w:val="restart"/>
            <w:tcBorders>
              <w:top w:val="single" w:sz="4" w:space="0" w:color="BFBFBF" w:themeColor="background1" w:themeShade="BF"/>
            </w:tcBorders>
            <w:shd w:val="clear" w:color="auto" w:fill="auto"/>
          </w:tcPr>
          <w:p w14:paraId="26400FB4" w14:textId="77777777" w:rsidR="00BC2F05" w:rsidRPr="00140CED" w:rsidRDefault="00772FB6" w:rsidP="00976665">
            <w:pPr>
              <w:pStyle w:val="TableText"/>
              <w:rPr>
                <w:color w:val="000000" w:themeColor="text1"/>
              </w:rPr>
            </w:pPr>
            <w:r w:rsidRPr="00140CED">
              <w:rPr>
                <w:color w:val="000000" w:themeColor="text1"/>
              </w:rPr>
              <w:t xml:space="preserve">Pre-export visual inspection and, if found, remedial action </w:t>
            </w:r>
            <w:r w:rsidRPr="00F87271">
              <w:rPr>
                <w:b/>
                <w:bCs/>
                <w:color w:val="000000" w:themeColor="text1"/>
              </w:rPr>
              <w:t>b</w:t>
            </w:r>
          </w:p>
          <w:p w14:paraId="02A7208B" w14:textId="77777777" w:rsidR="00BC2F05" w:rsidRPr="006C1854" w:rsidRDefault="00BC2F05" w:rsidP="00976665">
            <w:pPr>
              <w:pStyle w:val="TableText"/>
            </w:pPr>
          </w:p>
        </w:tc>
      </w:tr>
      <w:tr w:rsidR="00C80041" w14:paraId="769E7490" w14:textId="77777777" w:rsidTr="00976665">
        <w:tc>
          <w:tcPr>
            <w:tcW w:w="1250" w:type="pct"/>
            <w:vMerge/>
          </w:tcPr>
          <w:p w14:paraId="4AAF3132" w14:textId="77777777" w:rsidR="00BC2F05" w:rsidRPr="00F022F1" w:rsidRDefault="00BC2F05" w:rsidP="00976665">
            <w:pPr>
              <w:pStyle w:val="TableText"/>
            </w:pPr>
          </w:p>
        </w:tc>
        <w:tc>
          <w:tcPr>
            <w:tcW w:w="1486" w:type="pct"/>
            <w:tcBorders>
              <w:top w:val="single" w:sz="4" w:space="0" w:color="BFBFBF" w:themeColor="background1" w:themeShade="BF"/>
              <w:bottom w:val="single" w:sz="4" w:space="0" w:color="BFBFBF" w:themeColor="background1" w:themeShade="BF"/>
            </w:tcBorders>
            <w:shd w:val="clear" w:color="auto" w:fill="auto"/>
          </w:tcPr>
          <w:p w14:paraId="3DFF33C4" w14:textId="77777777" w:rsidR="00BC2F05" w:rsidRPr="00967D21" w:rsidRDefault="00772FB6" w:rsidP="00976665">
            <w:pPr>
              <w:pStyle w:val="TableText"/>
              <w:rPr>
                <w:rStyle w:val="Emphasis"/>
              </w:rPr>
            </w:pPr>
            <w:r w:rsidRPr="00140CED">
              <w:rPr>
                <w:rStyle w:val="Emphasis"/>
              </w:rPr>
              <w:t xml:space="preserve">Scirtothrips dorsalis </w:t>
            </w:r>
            <w:r>
              <w:rPr>
                <w:rStyle w:val="Emphasis"/>
              </w:rPr>
              <w:t>(</w:t>
            </w:r>
            <w:r w:rsidRPr="00140CED">
              <w:rPr>
                <w:rStyle w:val="Emphasis"/>
              </w:rPr>
              <w:t>GP, RA</w:t>
            </w:r>
            <w:r>
              <w:rPr>
                <w:rStyle w:val="Emphasis"/>
              </w:rPr>
              <w:t>)</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0271AF90" w14:textId="77777777" w:rsidR="00BC2F05" w:rsidRPr="006C1854" w:rsidRDefault="00772FB6" w:rsidP="00976665">
            <w:pPr>
              <w:pStyle w:val="TableText"/>
            </w:pPr>
            <w:r>
              <w:rPr>
                <w:color w:val="000000" w:themeColor="text1"/>
              </w:rPr>
              <w:t>c</w:t>
            </w:r>
            <w:r w:rsidRPr="00140CED">
              <w:rPr>
                <w:color w:val="000000" w:themeColor="text1"/>
              </w:rPr>
              <w:t>hilli thrips</w:t>
            </w:r>
          </w:p>
        </w:tc>
        <w:tc>
          <w:tcPr>
            <w:tcW w:w="1171" w:type="pct"/>
            <w:vMerge/>
            <w:shd w:val="clear" w:color="auto" w:fill="auto"/>
          </w:tcPr>
          <w:p w14:paraId="5E68D41E" w14:textId="77777777" w:rsidR="00BC2F05" w:rsidRPr="006C1854" w:rsidRDefault="00BC2F05" w:rsidP="00976665">
            <w:pPr>
              <w:pStyle w:val="TableText"/>
            </w:pPr>
          </w:p>
        </w:tc>
      </w:tr>
      <w:tr w:rsidR="00C80041" w14:paraId="64BE4EB6" w14:textId="77777777" w:rsidTr="00976665">
        <w:tc>
          <w:tcPr>
            <w:tcW w:w="1250" w:type="pct"/>
            <w:vMerge/>
          </w:tcPr>
          <w:p w14:paraId="37EABE36" w14:textId="77777777" w:rsidR="00BC2F05" w:rsidRPr="00F022F1" w:rsidRDefault="00BC2F05" w:rsidP="00976665">
            <w:pPr>
              <w:pStyle w:val="TableText"/>
            </w:pPr>
          </w:p>
        </w:tc>
        <w:tc>
          <w:tcPr>
            <w:tcW w:w="1486" w:type="pct"/>
            <w:tcBorders>
              <w:top w:val="single" w:sz="4" w:space="0" w:color="BFBFBF" w:themeColor="background1" w:themeShade="BF"/>
              <w:bottom w:val="single" w:sz="4" w:space="0" w:color="BFBFBF" w:themeColor="background1" w:themeShade="BF"/>
            </w:tcBorders>
            <w:shd w:val="clear" w:color="auto" w:fill="auto"/>
          </w:tcPr>
          <w:p w14:paraId="438FE7DF" w14:textId="77777777" w:rsidR="00BC2F05" w:rsidRPr="00967D21" w:rsidRDefault="00772FB6" w:rsidP="00976665">
            <w:pPr>
              <w:pStyle w:val="TableText"/>
              <w:rPr>
                <w:rStyle w:val="Emphasis"/>
              </w:rPr>
            </w:pPr>
            <w:r w:rsidRPr="00140CED">
              <w:rPr>
                <w:rStyle w:val="Emphasis"/>
              </w:rPr>
              <w:t xml:space="preserve">Thrips palmi </w:t>
            </w:r>
            <w:r>
              <w:rPr>
                <w:rStyle w:val="Emphasis"/>
              </w:rPr>
              <w:t>(</w:t>
            </w:r>
            <w:r w:rsidRPr="00140CED">
              <w:rPr>
                <w:rStyle w:val="Emphasis"/>
              </w:rPr>
              <w:t>GP, SA, WA</w:t>
            </w:r>
            <w:r>
              <w:rPr>
                <w:rStyle w:val="Emphasis"/>
              </w:rPr>
              <w:t>)</w:t>
            </w:r>
            <w:r>
              <w:rPr>
                <w:b/>
                <w:bCs/>
              </w:rPr>
              <w:t xml:space="preserve"> c</w:t>
            </w:r>
          </w:p>
        </w:tc>
        <w:tc>
          <w:tcPr>
            <w:tcW w:w="1093" w:type="pct"/>
            <w:tcBorders>
              <w:top w:val="single" w:sz="4" w:space="0" w:color="BFBFBF" w:themeColor="background1" w:themeShade="BF"/>
              <w:bottom w:val="single" w:sz="4" w:space="0" w:color="BFBFBF" w:themeColor="background1" w:themeShade="BF"/>
            </w:tcBorders>
            <w:shd w:val="clear" w:color="auto" w:fill="auto"/>
          </w:tcPr>
          <w:p w14:paraId="02BF3014" w14:textId="77777777" w:rsidR="00BC2F05" w:rsidRPr="006C1854" w:rsidRDefault="00772FB6" w:rsidP="00976665">
            <w:pPr>
              <w:pStyle w:val="TableText"/>
            </w:pPr>
            <w:r>
              <w:rPr>
                <w:color w:val="000000" w:themeColor="text1"/>
              </w:rPr>
              <w:t>m</w:t>
            </w:r>
            <w:r w:rsidRPr="00140CED">
              <w:rPr>
                <w:color w:val="000000" w:themeColor="text1"/>
              </w:rPr>
              <w:t>elon thrips</w:t>
            </w:r>
          </w:p>
        </w:tc>
        <w:tc>
          <w:tcPr>
            <w:tcW w:w="1171" w:type="pct"/>
            <w:vMerge/>
            <w:shd w:val="clear" w:color="auto" w:fill="auto"/>
          </w:tcPr>
          <w:p w14:paraId="7BA42F7A" w14:textId="77777777" w:rsidR="00BC2F05" w:rsidRPr="006C1854" w:rsidRDefault="00BC2F05" w:rsidP="00976665">
            <w:pPr>
              <w:pStyle w:val="TableText"/>
            </w:pPr>
          </w:p>
        </w:tc>
      </w:tr>
    </w:tbl>
    <w:p w14:paraId="73DE828B" w14:textId="77777777" w:rsidR="00BC2F05" w:rsidRDefault="00772FB6" w:rsidP="004338B9">
      <w:pPr>
        <w:pStyle w:val="FigureTableNoteSource"/>
        <w:rPr>
          <w:rFonts w:asciiTheme="minorHAnsi" w:hAnsiTheme="minorHAnsi"/>
        </w:rPr>
      </w:pPr>
      <w:r>
        <w:rPr>
          <w:rStyle w:val="Strong"/>
        </w:rPr>
        <w:t>a: </w:t>
      </w:r>
      <w:r>
        <w:t xml:space="preserve">PFA is </w:t>
      </w:r>
      <w:r w:rsidRPr="00772548">
        <w:t xml:space="preserve">pest free areas, </w:t>
      </w:r>
      <w:r>
        <w:t xml:space="preserve">PFPP is </w:t>
      </w:r>
      <w:r w:rsidRPr="00772548">
        <w:t xml:space="preserve">pest free places of production and </w:t>
      </w:r>
      <w:r>
        <w:t xml:space="preserve">PFPS is </w:t>
      </w:r>
      <w:r w:rsidRPr="00772548">
        <w:t>pest free production sites</w:t>
      </w:r>
      <w:r>
        <w:t xml:space="preserve">. </w:t>
      </w:r>
      <w:r>
        <w:rPr>
          <w:rStyle w:val="Strong"/>
        </w:rPr>
        <w:t>b:</w:t>
      </w:r>
      <w:r>
        <w:t> </w:t>
      </w:r>
      <w:r w:rsidRPr="00772548">
        <w:t>Remedial action may include treatment of the consignment to ensure that the pest is no longer viable or withdrawal of the consig</w:t>
      </w:r>
      <w:r>
        <w:t xml:space="preserve">nment from export to Australia. </w:t>
      </w:r>
      <w:r>
        <w:rPr>
          <w:b/>
          <w:bCs/>
        </w:rPr>
        <w:t>c: </w:t>
      </w:r>
      <w:r>
        <w:t xml:space="preserve">Thrips species that is also identified as a regulated article for Australia as it vectors emerging quarantine </w:t>
      </w:r>
      <w:proofErr w:type="spellStart"/>
      <w:r>
        <w:t>orthotospoviruses</w:t>
      </w:r>
      <w:proofErr w:type="spellEnd"/>
      <w:r>
        <w:t xml:space="preserve"> assessed in the thrips Group PRA </w:t>
      </w:r>
      <w:r>
        <w:rPr>
          <w:noProof/>
        </w:rPr>
        <w:t>(DAWR 2017a)</w:t>
      </w:r>
      <w:r>
        <w:t xml:space="preserve"> as posing an unrestricted risk that does not achieve the ALOP for Australia. </w:t>
      </w:r>
      <w:r>
        <w:rPr>
          <w:rStyle w:val="Strong"/>
        </w:rPr>
        <w:t>EP: </w:t>
      </w:r>
      <w:r w:rsidRPr="00772548">
        <w:t>Species</w:t>
      </w:r>
      <w:r>
        <w:t xml:space="preserve"> </w:t>
      </w:r>
      <w:r w:rsidRPr="00772548">
        <w:t>has been assessed previously and import policy already exists</w:t>
      </w:r>
      <w:r>
        <w:t xml:space="preserve">. </w:t>
      </w:r>
      <w:r>
        <w:rPr>
          <w:b/>
          <w:bCs/>
        </w:rPr>
        <w:t>RA:</w:t>
      </w:r>
      <w:r>
        <w:t xml:space="preserve"> Regulated article. </w:t>
      </w:r>
      <w:r>
        <w:rPr>
          <w:rStyle w:val="Strong"/>
        </w:rPr>
        <w:t>GP: </w:t>
      </w:r>
      <w:r w:rsidRPr="00376E7F">
        <w:rPr>
          <w:rFonts w:asciiTheme="minorHAnsi" w:hAnsiTheme="minorHAnsi"/>
        </w:rPr>
        <w:t>Species has been assessed previously in a Group PRA</w:t>
      </w:r>
      <w:r>
        <w:rPr>
          <w:rFonts w:asciiTheme="minorHAnsi" w:hAnsiTheme="minorHAnsi"/>
        </w:rPr>
        <w:t>,</w:t>
      </w:r>
      <w:r w:rsidRPr="00376E7F">
        <w:rPr>
          <w:rFonts w:asciiTheme="minorHAnsi" w:hAnsiTheme="minorHAnsi"/>
        </w:rPr>
        <w:t xml:space="preserve"> and the Group PRA has been applied.</w:t>
      </w:r>
      <w:r>
        <w:rPr>
          <w:rFonts w:asciiTheme="minorHAnsi" w:hAnsiTheme="minorHAnsi"/>
        </w:rPr>
        <w:t xml:space="preserve"> </w:t>
      </w:r>
      <w:r>
        <w:rPr>
          <w:rStyle w:val="Strong"/>
        </w:rPr>
        <w:t>NT: </w:t>
      </w:r>
      <w:r>
        <w:rPr>
          <w:rFonts w:asciiTheme="minorHAnsi" w:hAnsiTheme="minorHAnsi"/>
        </w:rPr>
        <w:t>Regional quarantine pest for the Northern Territory.</w:t>
      </w:r>
      <w:r w:rsidRPr="007136AA">
        <w:rPr>
          <w:rStyle w:val="Strong"/>
        </w:rPr>
        <w:t xml:space="preserve"> </w:t>
      </w:r>
      <w:r>
        <w:rPr>
          <w:rStyle w:val="Strong"/>
        </w:rPr>
        <w:t>SA: </w:t>
      </w:r>
      <w:r>
        <w:rPr>
          <w:rFonts w:asciiTheme="minorHAnsi" w:hAnsiTheme="minorHAnsi"/>
        </w:rPr>
        <w:t xml:space="preserve">Regional quarantine pest for South Australia. </w:t>
      </w:r>
      <w:r>
        <w:rPr>
          <w:rStyle w:val="Strong"/>
        </w:rPr>
        <w:t>WA: </w:t>
      </w:r>
      <w:r>
        <w:rPr>
          <w:rFonts w:asciiTheme="minorHAnsi" w:hAnsiTheme="minorHAnsi"/>
        </w:rPr>
        <w:t>Regional quarantine pest for Western Australia.</w:t>
      </w:r>
    </w:p>
    <w:bookmarkEnd w:id="157"/>
    <w:bookmarkEnd w:id="158"/>
    <w:p w14:paraId="3A42F3F3" w14:textId="77777777" w:rsidR="00BC2F05" w:rsidRDefault="00772FB6" w:rsidP="004338B9">
      <w:r>
        <w:t xml:space="preserve">The Australian Government Department of Agriculture Fisheries and Forestry (the department) </w:t>
      </w:r>
      <w:r w:rsidR="000C0A09">
        <w:fldChar w:fldCharType="begin" w:fldLock="1"/>
      </w:r>
      <w:r w:rsidR="000C0A09">
        <w:instrText xml:space="preserve"> REF proposes_recommends </w:instrText>
      </w:r>
      <w:r w:rsidR="000C0A09">
        <w:fldChar w:fldCharType="separate"/>
      </w:r>
      <w:r>
        <w:rPr>
          <w:color w:val="000000" w:themeColor="text1"/>
        </w:rPr>
        <w:t>proposes</w:t>
      </w:r>
      <w:r w:rsidR="000C0A09">
        <w:rPr>
          <w:color w:val="000000" w:themeColor="text1"/>
        </w:rPr>
        <w:fldChar w:fldCharType="end"/>
      </w:r>
      <w:r>
        <w:t xml:space="preserve"> the following specific risk management measures for the identified quarantine pests and regulated articles:</w:t>
      </w:r>
    </w:p>
    <w:p w14:paraId="35958905" w14:textId="77777777" w:rsidR="00BC2F05" w:rsidRDefault="00772FB6" w:rsidP="00BC2F05">
      <w:pPr>
        <w:pStyle w:val="ListBullet"/>
      </w:pPr>
      <w:r>
        <w:t xml:space="preserve">for </w:t>
      </w:r>
      <w:r w:rsidRPr="00CA6C26">
        <w:rPr>
          <w:i/>
          <w:iCs/>
        </w:rPr>
        <w:t>Bactrocera dorsalis</w:t>
      </w:r>
      <w:r>
        <w:t xml:space="preserve"> (Oriental fruit fly) and </w:t>
      </w:r>
      <w:r w:rsidRPr="00CA6C26">
        <w:rPr>
          <w:i/>
          <w:iCs/>
        </w:rPr>
        <w:t xml:space="preserve">Zeugodacus </w:t>
      </w:r>
      <w:r>
        <w:rPr>
          <w:i/>
          <w:iCs/>
        </w:rPr>
        <w:t>cucurbitae</w:t>
      </w:r>
      <w:r>
        <w:t xml:space="preserve"> (melon fly):</w:t>
      </w:r>
    </w:p>
    <w:p w14:paraId="44B65331" w14:textId="77777777" w:rsidR="00BC2F05" w:rsidRDefault="00772FB6" w:rsidP="00BC2F05">
      <w:pPr>
        <w:pStyle w:val="ListBullet2"/>
        <w:ind w:left="794" w:hanging="397"/>
      </w:pPr>
      <w:r>
        <w:t>pest free areas, pest free places of production or pest free production sites, or</w:t>
      </w:r>
    </w:p>
    <w:p w14:paraId="21A2587E" w14:textId="77777777" w:rsidR="00BC2F05" w:rsidRDefault="00772FB6" w:rsidP="00BC2F05">
      <w:pPr>
        <w:pStyle w:val="ListBullet2"/>
        <w:ind w:left="794" w:hanging="397"/>
      </w:pPr>
      <w:r>
        <w:t>fruit treatment considered to be effective against fruit flies (such as vapour heat treatment or irradiation)</w:t>
      </w:r>
    </w:p>
    <w:p w14:paraId="6C299D82" w14:textId="77777777" w:rsidR="00BC2F05" w:rsidRDefault="00772FB6" w:rsidP="00BC2F05">
      <w:pPr>
        <w:pStyle w:val="ListBullet"/>
      </w:pPr>
      <w:r>
        <w:t>for thrips and mealybugs:</w:t>
      </w:r>
    </w:p>
    <w:p w14:paraId="138C65DC" w14:textId="77777777" w:rsidR="00BC2F05" w:rsidRDefault="00772FB6" w:rsidP="00BC2F05">
      <w:pPr>
        <w:pStyle w:val="ListBullet2"/>
        <w:ind w:left="794" w:hanging="397"/>
      </w:pPr>
      <w:r>
        <w:t>pre-export visual inspection and, if found, remedial action.</w:t>
      </w:r>
    </w:p>
    <w:p w14:paraId="0C2C767A" w14:textId="77777777" w:rsidR="00BC2F05" w:rsidRPr="00484E5E" w:rsidRDefault="00772FB6" w:rsidP="004338B9">
      <w:pPr>
        <w:pStyle w:val="Heading5"/>
        <w:rPr>
          <w:rFonts w:asciiTheme="minorHAnsi" w:hAnsiTheme="minorHAnsi"/>
          <w:i/>
          <w:iCs/>
        </w:rPr>
      </w:pPr>
      <w:r w:rsidRPr="00484E5E">
        <w:rPr>
          <w:rFonts w:asciiTheme="minorHAnsi" w:hAnsiTheme="minorHAnsi"/>
        </w:rPr>
        <w:t>Measures for</w:t>
      </w:r>
      <w:r>
        <w:rPr>
          <w:rFonts w:asciiTheme="minorHAnsi" w:hAnsiTheme="minorHAnsi"/>
        </w:rPr>
        <w:t xml:space="preserve"> fruit flies</w:t>
      </w:r>
    </w:p>
    <w:p w14:paraId="20C9D9B9" w14:textId="77777777" w:rsidR="00BC2F05" w:rsidRPr="00484E5E" w:rsidRDefault="00772FB6" w:rsidP="004338B9">
      <w:r>
        <w:t>F</w:t>
      </w:r>
      <w:r w:rsidRPr="00484E5E">
        <w:t xml:space="preserve">or </w:t>
      </w:r>
      <w:r>
        <w:rPr>
          <w:i/>
          <w:iCs/>
        </w:rPr>
        <w:t xml:space="preserve">B. dorsalis </w:t>
      </w:r>
      <w:r>
        <w:t xml:space="preserve">and </w:t>
      </w:r>
      <w:r>
        <w:rPr>
          <w:i/>
          <w:iCs/>
        </w:rPr>
        <w:t>Z. cucurbitae</w:t>
      </w:r>
      <w:r>
        <w:t>, t</w:t>
      </w:r>
      <w:r w:rsidRPr="00484E5E">
        <w:t>he departmen</w:t>
      </w:r>
      <w:r>
        <w:t xml:space="preserve">t </w:t>
      </w:r>
      <w:r w:rsidRPr="00601F0A">
        <w:fldChar w:fldCharType="begin" w:fldLock="1"/>
      </w:r>
      <w:r w:rsidRPr="00601F0A">
        <w:instrText xml:space="preserve"> REF proposes_recommends </w:instrText>
      </w:r>
      <w:r>
        <w:instrText xml:space="preserve"> \* MERGEFORMAT </w:instrText>
      </w:r>
      <w:r w:rsidRPr="00601F0A">
        <w:fldChar w:fldCharType="separate"/>
      </w:r>
      <w:r w:rsidRPr="007678C4">
        <w:t>proposes</w:t>
      </w:r>
      <w:r w:rsidRPr="00601F0A">
        <w:fldChar w:fldCharType="end"/>
      </w:r>
      <w:r w:rsidRPr="00484E5E">
        <w:t xml:space="preserve"> the </w:t>
      </w:r>
      <w:r>
        <w:t>options of pest free area, pest place of production or pest free production sites or fruit treatment considered to be effective against all life stages associated with export dragon fruit such as irradiation or vapour heat treatment</w:t>
      </w:r>
      <w:r w:rsidRPr="00484E5E">
        <w:t>.</w:t>
      </w:r>
      <w:r>
        <w:t xml:space="preserve"> </w:t>
      </w:r>
      <w:r w:rsidRPr="00484E5E">
        <w:t>The objective o</w:t>
      </w:r>
      <w:r>
        <w:t xml:space="preserve">f this </w:t>
      </w:r>
      <w:r w:rsidRPr="00CE6388">
        <w:fldChar w:fldCharType="begin" w:fldLock="1"/>
      </w:r>
      <w:r w:rsidRPr="00CE6388">
        <w:instrText xml:space="preserve"> REF proposed_recommended </w:instrText>
      </w:r>
      <w:r>
        <w:instrText xml:space="preserve"> \* MERGEFORMAT </w:instrText>
      </w:r>
      <w:r w:rsidRPr="00CE6388">
        <w:fldChar w:fldCharType="separate"/>
      </w:r>
      <w:r w:rsidRPr="007678C4">
        <w:t>proposed</w:t>
      </w:r>
      <w:r w:rsidRPr="00CE6388">
        <w:fldChar w:fldCharType="end"/>
      </w:r>
      <w:r w:rsidRPr="00484E5E">
        <w:t xml:space="preserve"> </w:t>
      </w:r>
      <w:r>
        <w:t xml:space="preserve">measure </w:t>
      </w:r>
      <w:r w:rsidRPr="00484E5E">
        <w:t xml:space="preserve">is to reduce the risk associated with </w:t>
      </w:r>
      <w:r>
        <w:t>these pests</w:t>
      </w:r>
      <w:r w:rsidRPr="00484E5E">
        <w:t xml:space="preserve"> to achieve the ALOP for Australia when applied in combination with the operational system outlined in section</w:t>
      </w:r>
      <w:r>
        <w:t xml:space="preserve"> </w:t>
      </w:r>
      <w:r>
        <w:fldChar w:fldCharType="begin" w:fldLock="1"/>
      </w:r>
      <w:r>
        <w:instrText xml:space="preserve"> REF _Ref94005203 \n \h </w:instrText>
      </w:r>
      <w:r>
        <w:fldChar w:fldCharType="separate"/>
      </w:r>
      <w:r>
        <w:t>4.2</w:t>
      </w:r>
      <w:r>
        <w:fldChar w:fldCharType="end"/>
      </w:r>
      <w:r>
        <w:t>.</w:t>
      </w:r>
    </w:p>
    <w:p w14:paraId="7AB258E8" w14:textId="77777777" w:rsidR="00BC2F05" w:rsidRPr="00930A21" w:rsidRDefault="00772FB6" w:rsidP="004338B9">
      <w:pPr>
        <w:pStyle w:val="Heading6"/>
        <w:rPr>
          <w:rFonts w:ascii="Cambria" w:hAnsi="Cambria"/>
        </w:rPr>
      </w:pPr>
      <w:bookmarkStart w:id="159" w:name="_Hlk75339795"/>
      <w:bookmarkStart w:id="160" w:name="_Hlk94703142"/>
      <w:r w:rsidRPr="00930A21">
        <w:rPr>
          <w:rFonts w:ascii="Cambria" w:hAnsi="Cambria"/>
        </w:rPr>
        <w:t>Proposed measure 1: Pest free area, pest free place of production or pest free production site</w:t>
      </w:r>
    </w:p>
    <w:bookmarkEnd w:id="159"/>
    <w:p w14:paraId="2709C028" w14:textId="77777777" w:rsidR="00BC2F05" w:rsidRDefault="00772FB6" w:rsidP="004338B9">
      <w:pPr>
        <w:rPr>
          <w:noProof/>
        </w:rPr>
      </w:pPr>
      <w:r w:rsidRPr="00484E5E">
        <w:t xml:space="preserve">The requirements for establishing and maintaining pest free areas </w:t>
      </w:r>
      <w:r>
        <w:t xml:space="preserve">(PFA) </w:t>
      </w:r>
      <w:r w:rsidRPr="00484E5E">
        <w:t xml:space="preserve">are set out in ISPM 4: </w:t>
      </w:r>
      <w:r w:rsidRPr="00484E5E">
        <w:rPr>
          <w:i/>
        </w:rPr>
        <w:t>Requirements for the establishment of pest free areas</w:t>
      </w:r>
      <w:r w:rsidRPr="00484E5E">
        <w:t xml:space="preserve"> </w:t>
      </w:r>
      <w:r>
        <w:rPr>
          <w:noProof/>
        </w:rPr>
        <w:t>(FAO 2017)</w:t>
      </w:r>
      <w:r>
        <w:t xml:space="preserve"> and, more specifically, ISPM 26: Establishment of pest free areas for fruit flies (</w:t>
      </w:r>
      <w:proofErr w:type="spellStart"/>
      <w:r>
        <w:t>Tephritidae</w:t>
      </w:r>
      <w:proofErr w:type="spellEnd"/>
      <w:r>
        <w:t xml:space="preserve">) </w:t>
      </w:r>
      <w:r>
        <w:rPr>
          <w:noProof/>
        </w:rPr>
        <w:t>(FAO 2018)</w:t>
      </w:r>
      <w:r w:rsidRPr="00484E5E">
        <w:rPr>
          <w:noProof/>
        </w:rPr>
        <w:t xml:space="preserve">. The requirements for establishing and maintaining pest free places of production </w:t>
      </w:r>
      <w:r>
        <w:rPr>
          <w:noProof/>
        </w:rPr>
        <w:t xml:space="preserve">(PFPP) </w:t>
      </w:r>
      <w:r w:rsidRPr="00484E5E">
        <w:rPr>
          <w:noProof/>
        </w:rPr>
        <w:t>and pest free production sites</w:t>
      </w:r>
      <w:r>
        <w:rPr>
          <w:noProof/>
        </w:rPr>
        <w:t xml:space="preserve"> (PFPS)</w:t>
      </w:r>
      <w:r w:rsidRPr="00484E5E">
        <w:rPr>
          <w:noProof/>
        </w:rPr>
        <w:t xml:space="preserve"> are set out in </w:t>
      </w:r>
      <w:r w:rsidRPr="00484E5E">
        <w:t xml:space="preserve">ISPM 10: </w:t>
      </w:r>
      <w:r w:rsidRPr="00484E5E">
        <w:rPr>
          <w:i/>
        </w:rPr>
        <w:t>Requirements for the establishment of pest free places of production and pest free production sites</w:t>
      </w:r>
      <w:r w:rsidRPr="00484E5E">
        <w:t xml:space="preserve"> </w:t>
      </w:r>
      <w:r>
        <w:rPr>
          <w:noProof/>
        </w:rPr>
        <w:t>(FAO 2016a)</w:t>
      </w:r>
      <w:r w:rsidRPr="00484E5E">
        <w:rPr>
          <w:noProof/>
        </w:rPr>
        <w:t>.</w:t>
      </w:r>
    </w:p>
    <w:p w14:paraId="3C1D8C62" w14:textId="77777777" w:rsidR="00BC2F05" w:rsidRDefault="00772FB6" w:rsidP="004338B9">
      <w:r>
        <w:rPr>
          <w:noProof/>
        </w:rPr>
        <w:t xml:space="preserve">Monitoring and trapping of </w:t>
      </w:r>
      <w:r w:rsidRPr="0074684E">
        <w:t>fruit flies</w:t>
      </w:r>
      <w:r>
        <w:t xml:space="preserve"> in the specified export orchards and packing houses would be required, consistent with the procedures recommended in ISPM 26 </w:t>
      </w:r>
      <w:r>
        <w:rPr>
          <w:noProof/>
        </w:rPr>
        <w:t>(FAO 2018)</w:t>
      </w:r>
      <w:r>
        <w:t xml:space="preserve">. In the event of the detection of any fruit fly species of economic importance in the identified PFA, PFPP or </w:t>
      </w:r>
      <w:r>
        <w:lastRenderedPageBreak/>
        <w:t xml:space="preserve">PFPS, the Philippines DA would be required to notify the department within 48 hours of detection. The department would then assess the pest species, number of </w:t>
      </w:r>
      <w:r w:rsidRPr="00FA78A6">
        <w:t>fruit flies</w:t>
      </w:r>
      <w:r>
        <w:t xml:space="preserve"> and specific information on individual </w:t>
      </w:r>
      <w:r w:rsidRPr="00FA78A6">
        <w:t>fruit flies</w:t>
      </w:r>
      <w:r>
        <w:rPr>
          <w:i/>
          <w:iCs/>
        </w:rPr>
        <w:t xml:space="preserve"> </w:t>
      </w:r>
      <w:r>
        <w:t xml:space="preserve">detected, such as life stage, sex and gravidity of females, and the circumstances of the detection before advising the Philippines </w:t>
      </w:r>
      <w:r>
        <w:fldChar w:fldCharType="begin" w:fldLock="1"/>
      </w:r>
      <w:r>
        <w:instrText xml:space="preserve"> REF exportingNPPO \h </w:instrText>
      </w:r>
      <w:r>
        <w:fldChar w:fldCharType="separate"/>
      </w:r>
      <w:r>
        <w:t>DA</w:t>
      </w:r>
      <w:r>
        <w:fldChar w:fldCharType="end"/>
      </w:r>
      <w:r>
        <w:t xml:space="preserve"> of any action to be taken. If fruit flies were detected during pre-export inspection or during on-arrival inspection, trade under the PFA, PFPP or PFPS pathway would be suspended immediately, pending the outcome of an investigation.</w:t>
      </w:r>
    </w:p>
    <w:p w14:paraId="549F5AE0" w14:textId="77777777" w:rsidR="00BC2F05" w:rsidRPr="00DE70F3" w:rsidRDefault="00772FB6" w:rsidP="004338B9">
      <w:r>
        <w:t xml:space="preserve">Should </w:t>
      </w:r>
      <w:r>
        <w:fldChar w:fldCharType="begin" w:fldLock="1"/>
      </w:r>
      <w:r>
        <w:instrText xml:space="preserve"> REF country \h </w:instrText>
      </w:r>
      <w:r>
        <w:fldChar w:fldCharType="separate"/>
      </w:r>
      <w:r>
        <w:t>the Philippines</w:t>
      </w:r>
      <w:r>
        <w:fldChar w:fldCharType="end"/>
      </w:r>
      <w:r>
        <w:t xml:space="preserve"> wish to use PFA, PFPP or PFPS as a measure to manage the risk posed by fruit flies, the Philippines </w:t>
      </w:r>
      <w:r>
        <w:fldChar w:fldCharType="begin" w:fldLock="1"/>
      </w:r>
      <w:r>
        <w:instrText xml:space="preserve"> REF exportingNPPO \h </w:instrText>
      </w:r>
      <w:r>
        <w:fldChar w:fldCharType="separate"/>
      </w:r>
      <w:r>
        <w:t>DA</w:t>
      </w:r>
      <w:r>
        <w:fldChar w:fldCharType="end"/>
      </w:r>
      <w:r>
        <w:t xml:space="preserve"> would need to provide a submission to the department demonstrating the establishment of these. The submission demonstrating PFA must fulfil requirements as set out in ISPM 4 </w:t>
      </w:r>
      <w:r>
        <w:rPr>
          <w:noProof/>
        </w:rPr>
        <w:t>(FAO 2017)</w:t>
      </w:r>
      <w:r>
        <w:t xml:space="preserve"> and ISPM 26 </w:t>
      </w:r>
      <w:r>
        <w:rPr>
          <w:noProof/>
        </w:rPr>
        <w:t>(FAO 2018)</w:t>
      </w:r>
      <w:r>
        <w:t xml:space="preserve">, and the submission demonstrating PFPP or PFPS must fulfil requirements as set out in ISPM 10 </w:t>
      </w:r>
      <w:r>
        <w:rPr>
          <w:noProof/>
        </w:rPr>
        <w:t>(FAO 2016a)</w:t>
      </w:r>
      <w:r>
        <w:t>. The submission is subject to approval by the department.</w:t>
      </w:r>
    </w:p>
    <w:p w14:paraId="006E23F6" w14:textId="77777777" w:rsidR="00BC2F05" w:rsidRPr="00930A21" w:rsidRDefault="00772FB6" w:rsidP="004338B9">
      <w:pPr>
        <w:pStyle w:val="Heading6"/>
        <w:rPr>
          <w:rFonts w:ascii="Cambria" w:hAnsi="Cambria"/>
        </w:rPr>
      </w:pPr>
      <w:bookmarkStart w:id="161" w:name="_Hlk75351445"/>
      <w:bookmarkEnd w:id="160"/>
      <w:r w:rsidRPr="00930A21">
        <w:rPr>
          <w:rFonts w:ascii="Cambria" w:hAnsi="Cambria"/>
        </w:rPr>
        <w:t>Proposed measure 2: Fruit treatment – irradiation</w:t>
      </w:r>
    </w:p>
    <w:p w14:paraId="1C664D04" w14:textId="77777777" w:rsidR="00BC2F05" w:rsidRPr="00484E5E" w:rsidRDefault="00772FB6" w:rsidP="004338B9">
      <w:r>
        <w:t xml:space="preserve">Fruit treatment considered to be effective against fruit flies such as irradiation applied prior to export may be used as a phytosanitary measure for </w:t>
      </w:r>
      <w:r>
        <w:rPr>
          <w:i/>
          <w:iCs/>
        </w:rPr>
        <w:t xml:space="preserve">B. dorsalis </w:t>
      </w:r>
      <w:r>
        <w:t xml:space="preserve">and </w:t>
      </w:r>
      <w:r>
        <w:rPr>
          <w:i/>
          <w:iCs/>
        </w:rPr>
        <w:t>Z. cucurbitae</w:t>
      </w:r>
      <w:r>
        <w:t xml:space="preserve">. </w:t>
      </w:r>
      <w:r w:rsidRPr="00484E5E">
        <w:t xml:space="preserve">The requirements for using irradiation as a phytosanitary measure are set out in ISPM 18: </w:t>
      </w:r>
      <w:r w:rsidRPr="00484E5E">
        <w:rPr>
          <w:i/>
        </w:rPr>
        <w:t>Guidelines for the use of irradiation as a phytosanitary measure</w:t>
      </w:r>
      <w:r>
        <w:rPr>
          <w:iCs/>
        </w:rPr>
        <w:t xml:space="preserve"> </w:t>
      </w:r>
      <w:r>
        <w:rPr>
          <w:iCs/>
          <w:noProof/>
        </w:rPr>
        <w:t>(FAO 2019c)</w:t>
      </w:r>
      <w:r w:rsidRPr="00484E5E">
        <w:t>. Irradiation is recognised as an effective method for pest risk management when performed in approved facilities and at specific dose rates recognised as effective for target pest groups. Irradiation dose rates up to a maximum of 1</w:t>
      </w:r>
      <w:r>
        <w:t>,</w:t>
      </w:r>
      <w:r w:rsidRPr="00484E5E">
        <w:t>000 </w:t>
      </w:r>
      <w:proofErr w:type="spellStart"/>
      <w:r w:rsidRPr="00484E5E">
        <w:t>Gy</w:t>
      </w:r>
      <w:proofErr w:type="spellEnd"/>
      <w:r w:rsidRPr="00484E5E">
        <w:t xml:space="preserve"> are permitted for quarantine purposes for fresh fruit and vegetables, including </w:t>
      </w:r>
      <w:r w:rsidRPr="00484E5E">
        <w:rPr>
          <w:color w:val="000000" w:themeColor="text1"/>
        </w:rPr>
        <w:fldChar w:fldCharType="begin" w:fldLock="1"/>
      </w:r>
      <w:r w:rsidRPr="00484E5E">
        <w:rPr>
          <w:color w:val="000000" w:themeColor="text1"/>
        </w:rPr>
        <w:instrText xml:space="preserve"> REF  commodity \* Lower </w:instrText>
      </w:r>
      <w:r>
        <w:rPr>
          <w:color w:val="000000" w:themeColor="text1"/>
        </w:rPr>
        <w:instrText xml:space="preserve"> \* MERGEFORMAT </w:instrText>
      </w:r>
      <w:r w:rsidRPr="00484E5E">
        <w:rPr>
          <w:color w:val="000000" w:themeColor="text1"/>
        </w:rPr>
        <w:fldChar w:fldCharType="separate"/>
      </w:r>
      <w:r>
        <w:t>dragon fruit</w:t>
      </w:r>
      <w:r w:rsidRPr="00484E5E">
        <w:rPr>
          <w:color w:val="000000" w:themeColor="text1"/>
        </w:rPr>
        <w:fldChar w:fldCharType="end"/>
      </w:r>
      <w:r w:rsidRPr="00484E5E">
        <w:t xml:space="preserve">, by Food Standards Australia New Zealand </w:t>
      </w:r>
      <w:r>
        <w:rPr>
          <w:noProof/>
        </w:rPr>
        <w:t>(FSANZ 2017, 2021)</w:t>
      </w:r>
      <w:r w:rsidRPr="00484E5E">
        <w:t>.</w:t>
      </w:r>
    </w:p>
    <w:p w14:paraId="1BA55239" w14:textId="77777777" w:rsidR="00BC2F05" w:rsidRPr="00484E5E" w:rsidRDefault="00772FB6" w:rsidP="004338B9">
      <w:pPr>
        <w:rPr>
          <w:rFonts w:ascii="Segoe UI" w:eastAsia="Times New Roman" w:hAnsi="Segoe UI" w:cs="Segoe UI"/>
          <w:sz w:val="21"/>
          <w:szCs w:val="21"/>
        </w:rPr>
      </w:pPr>
      <w:r w:rsidRPr="00484E5E">
        <w:t xml:space="preserve">The department proposes a treatment schedule of </w:t>
      </w:r>
      <w:r w:rsidRPr="00FA78A6">
        <w:t>150</w:t>
      </w:r>
      <w:r w:rsidRPr="00484E5E">
        <w:t> </w:t>
      </w:r>
      <w:proofErr w:type="spellStart"/>
      <w:r w:rsidRPr="00FA78A6">
        <w:t>Gy</w:t>
      </w:r>
      <w:proofErr w:type="spellEnd"/>
      <w:r w:rsidRPr="00484E5E">
        <w:t xml:space="preserve"> minimum absorbed dose</w:t>
      </w:r>
      <w:bookmarkStart w:id="162" w:name="_Hlk79663866"/>
      <w:r w:rsidRPr="00484E5E">
        <w:t xml:space="preserve">, consistent with ISPM 28 Annex 7: </w:t>
      </w:r>
      <w:r w:rsidRPr="00484E5E">
        <w:rPr>
          <w:i/>
          <w:iCs/>
        </w:rPr>
        <w:t xml:space="preserve">Irradiation treatment for fruit flies of the family </w:t>
      </w:r>
      <w:proofErr w:type="spellStart"/>
      <w:r w:rsidRPr="00484E5E">
        <w:rPr>
          <w:i/>
          <w:iCs/>
        </w:rPr>
        <w:t>Tephritidae</w:t>
      </w:r>
      <w:proofErr w:type="spellEnd"/>
      <w:r w:rsidRPr="00484E5E">
        <w:rPr>
          <w:i/>
          <w:iCs/>
        </w:rPr>
        <w:t xml:space="preserve"> (generic)</w:t>
      </w:r>
      <w:bookmarkEnd w:id="162"/>
      <w:r>
        <w:t xml:space="preserve"> </w:t>
      </w:r>
      <w:r>
        <w:rPr>
          <w:noProof/>
        </w:rPr>
        <w:t>(FAO 2021)</w:t>
      </w:r>
      <w:r>
        <w:t>,</w:t>
      </w:r>
      <w:r w:rsidRPr="00484E5E">
        <w:rPr>
          <w:rFonts w:eastAsia="Times New Roman" w:cs="Segoe UI"/>
        </w:rPr>
        <w:t xml:space="preserve"> </w:t>
      </w:r>
      <w:r w:rsidRPr="00484E5E">
        <w:t xml:space="preserve">for </w:t>
      </w:r>
      <w:r>
        <w:rPr>
          <w:i/>
          <w:iCs/>
        </w:rPr>
        <w:t xml:space="preserve">B. dorsalis </w:t>
      </w:r>
      <w:r>
        <w:t xml:space="preserve">and </w:t>
      </w:r>
      <w:r>
        <w:rPr>
          <w:i/>
          <w:iCs/>
        </w:rPr>
        <w:t>Z. cucurbitae</w:t>
      </w:r>
      <w:r w:rsidRPr="00484E5E">
        <w:rPr>
          <w:iCs/>
          <w:color w:val="000000"/>
        </w:rPr>
        <w:t>.</w:t>
      </w:r>
    </w:p>
    <w:p w14:paraId="3050036D" w14:textId="77777777" w:rsidR="00BC2F05" w:rsidRPr="00484E5E" w:rsidRDefault="00772FB6" w:rsidP="004338B9">
      <w:r w:rsidRPr="00484E5E">
        <w:rPr>
          <w:iCs/>
          <w:color w:val="000000"/>
        </w:rPr>
        <w:t xml:space="preserve">The use of irradiation as a phytosanitary measure is subject to the </w:t>
      </w:r>
      <w:r w:rsidRPr="00484E5E">
        <w:rPr>
          <w:iCs/>
        </w:rPr>
        <w:t xml:space="preserve">department’s </w:t>
      </w:r>
      <w:r w:rsidRPr="00484E5E">
        <w:rPr>
          <w:iCs/>
          <w:color w:val="000000"/>
        </w:rPr>
        <w:t>approval of the irradiation facilities identified by</w:t>
      </w:r>
      <w:r w:rsidRPr="001B24B3">
        <w:t xml:space="preserve"> </w:t>
      </w:r>
      <w:r>
        <w:t>the Philippines</w:t>
      </w:r>
      <w:r w:rsidRPr="00484E5E">
        <w:t xml:space="preserve"> </w:t>
      </w:r>
      <w:r w:rsidR="000C0A09">
        <w:fldChar w:fldCharType="begin" w:fldLock="1"/>
      </w:r>
      <w:r w:rsidR="000C0A09">
        <w:instrText xml:space="preserve"> REF exportingNPPO </w:instrText>
      </w:r>
      <w:r w:rsidR="000C0A09">
        <w:fldChar w:fldCharType="separate"/>
      </w:r>
      <w:r>
        <w:t>DA</w:t>
      </w:r>
      <w:r w:rsidR="000C0A09">
        <w:fldChar w:fldCharType="end"/>
      </w:r>
      <w:r w:rsidRPr="00484E5E">
        <w:rPr>
          <w:iCs/>
          <w:color w:val="000000"/>
        </w:rPr>
        <w:t>. Should</w:t>
      </w:r>
      <w:r>
        <w:rPr>
          <w:iCs/>
          <w:color w:val="000000"/>
        </w:rPr>
        <w:t xml:space="preserve"> </w:t>
      </w:r>
      <w:r>
        <w:rPr>
          <w:iCs/>
          <w:color w:val="000000"/>
        </w:rPr>
        <w:fldChar w:fldCharType="begin" w:fldLock="1"/>
      </w:r>
      <w:r>
        <w:rPr>
          <w:iCs/>
          <w:color w:val="000000"/>
        </w:rPr>
        <w:instrText xml:space="preserve"> REF country </w:instrText>
      </w:r>
      <w:r>
        <w:rPr>
          <w:iCs/>
          <w:color w:val="000000"/>
        </w:rPr>
        <w:fldChar w:fldCharType="separate"/>
      </w:r>
      <w:r>
        <w:t>the Philippines</w:t>
      </w:r>
      <w:r>
        <w:rPr>
          <w:iCs/>
          <w:color w:val="000000"/>
        </w:rPr>
        <w:fldChar w:fldCharType="end"/>
      </w:r>
      <w:r>
        <w:rPr>
          <w:iCs/>
          <w:color w:val="000000"/>
        </w:rPr>
        <w:t xml:space="preserve"> </w:t>
      </w:r>
      <w:r w:rsidRPr="00484E5E">
        <w:rPr>
          <w:iCs/>
          <w:color w:val="000000"/>
        </w:rPr>
        <w:t>wish to use irradiation as a phytosanitary measure,</w:t>
      </w:r>
      <w:r w:rsidRPr="001B24B3">
        <w:t xml:space="preserve"> </w:t>
      </w:r>
      <w:r>
        <w:t>the Philippines</w:t>
      </w:r>
      <w:r w:rsidRPr="00484E5E">
        <w:t xml:space="preserve"> </w:t>
      </w:r>
      <w:r w:rsidR="000C0A09">
        <w:fldChar w:fldCharType="begin" w:fldLock="1"/>
      </w:r>
      <w:r w:rsidR="000C0A09">
        <w:instrText xml:space="preserve"> REF exportingNPPO </w:instrText>
      </w:r>
      <w:r w:rsidR="000C0A09">
        <w:fldChar w:fldCharType="separate"/>
      </w:r>
      <w:r>
        <w:t>DA</w:t>
      </w:r>
      <w:r w:rsidR="000C0A09">
        <w:fldChar w:fldCharType="end"/>
      </w:r>
      <w:r w:rsidRPr="00484E5E">
        <w:t xml:space="preserve"> </w:t>
      </w:r>
      <w:r w:rsidRPr="00484E5E">
        <w:rPr>
          <w:iCs/>
          <w:color w:val="000000"/>
        </w:rPr>
        <w:t>would need to provide a submission to the</w:t>
      </w:r>
      <w:r w:rsidRPr="00484E5E">
        <w:rPr>
          <w:iCs/>
        </w:rPr>
        <w:t xml:space="preserve"> department. The submission must fulfil requirements as set out in ISPM 18 </w:t>
      </w:r>
      <w:r>
        <w:rPr>
          <w:iCs/>
          <w:noProof/>
        </w:rPr>
        <w:t>(FAO 2019c)</w:t>
      </w:r>
      <w:r w:rsidRPr="00484E5E">
        <w:rPr>
          <w:iCs/>
        </w:rPr>
        <w:t>.</w:t>
      </w:r>
      <w:bookmarkEnd w:id="161"/>
    </w:p>
    <w:p w14:paraId="08A03CF6" w14:textId="77777777" w:rsidR="00BC2F05" w:rsidRPr="00930A21" w:rsidRDefault="00772FB6" w:rsidP="004338B9">
      <w:pPr>
        <w:pStyle w:val="Heading6"/>
        <w:rPr>
          <w:rFonts w:ascii="Cambria" w:hAnsi="Cambria"/>
        </w:rPr>
      </w:pPr>
      <w:r w:rsidRPr="00930A21">
        <w:rPr>
          <w:rFonts w:ascii="Cambria" w:hAnsi="Cambria"/>
        </w:rPr>
        <w:t>Proposed measure 3: Fruit treatment – vapour heat treatment</w:t>
      </w:r>
    </w:p>
    <w:p w14:paraId="064F68B9" w14:textId="77777777" w:rsidR="00BC2F05" w:rsidRDefault="00772FB6" w:rsidP="00D5713F">
      <w:r w:rsidRPr="00624D30">
        <w:t xml:space="preserve">Vapour heat treatment (VHT) is used as an effective disinfestation treatment for fruit fly species in certain fruits in international trade. Australia accepts VHT as an effective phytosanitary measure for the disinfestation of </w:t>
      </w:r>
      <w:r>
        <w:rPr>
          <w:i/>
          <w:iCs/>
        </w:rPr>
        <w:t xml:space="preserve">B. dorsalis </w:t>
      </w:r>
      <w:r>
        <w:t xml:space="preserve">and </w:t>
      </w:r>
      <w:r>
        <w:rPr>
          <w:i/>
          <w:iCs/>
        </w:rPr>
        <w:t>Z. cucurbitae</w:t>
      </w:r>
      <w:r w:rsidRPr="00624D30">
        <w:t xml:space="preserve"> on </w:t>
      </w:r>
      <w:r>
        <w:t>the</w:t>
      </w:r>
      <w:r w:rsidRPr="00624D30">
        <w:t xml:space="preserve"> pathway</w:t>
      </w:r>
      <w:r>
        <w:t xml:space="preserve">s </w:t>
      </w:r>
      <w:r w:rsidRPr="00624D30">
        <w:t>associated with fresh dragon fruit from Indonesia and Vietnam.</w:t>
      </w:r>
      <w:r>
        <w:t xml:space="preserve"> </w:t>
      </w:r>
      <w:r w:rsidRPr="00624D30">
        <w:t xml:space="preserve"> </w:t>
      </w:r>
    </w:p>
    <w:p w14:paraId="2F7137A5" w14:textId="77777777" w:rsidR="00BC2F05" w:rsidRDefault="00772FB6" w:rsidP="00D5713F">
      <w:r>
        <w:t xml:space="preserve">The department has reviewed efficacy data in support of use of VHT to manage fruit flies in dragon fruit and considers it suitable to manage </w:t>
      </w:r>
      <w:r w:rsidRPr="00AD4024">
        <w:rPr>
          <w:i/>
          <w:iCs/>
        </w:rPr>
        <w:t>B. dorsalis</w:t>
      </w:r>
      <w:r>
        <w:t xml:space="preserve"> and </w:t>
      </w:r>
      <w:r>
        <w:rPr>
          <w:i/>
          <w:iCs/>
        </w:rPr>
        <w:t>Z. cucurbitae</w:t>
      </w:r>
      <w:r>
        <w:t xml:space="preserve">. The recommended treatment is: </w:t>
      </w:r>
    </w:p>
    <w:p w14:paraId="25707A24" w14:textId="77777777" w:rsidR="00BC2F05" w:rsidRDefault="00772FB6" w:rsidP="00BC2F05">
      <w:pPr>
        <w:pStyle w:val="ListParagraph"/>
        <w:numPr>
          <w:ilvl w:val="0"/>
          <w:numId w:val="15"/>
        </w:numPr>
      </w:pPr>
      <w:r>
        <w:t>forty minutes at a pulp temperature of 46.5°C or greater with relative humidity 90% or above.</w:t>
      </w:r>
    </w:p>
    <w:p w14:paraId="670A73F5" w14:textId="77777777" w:rsidR="00BC2F05" w:rsidRDefault="00772FB6" w:rsidP="00D5713F">
      <w:r w:rsidRPr="00484E5E">
        <w:rPr>
          <w:iCs/>
          <w:color w:val="000000"/>
        </w:rPr>
        <w:t xml:space="preserve">The use of </w:t>
      </w:r>
      <w:r>
        <w:rPr>
          <w:iCs/>
          <w:color w:val="000000"/>
        </w:rPr>
        <w:t>VHT</w:t>
      </w:r>
      <w:r w:rsidRPr="00484E5E">
        <w:rPr>
          <w:iCs/>
          <w:color w:val="000000"/>
        </w:rPr>
        <w:t xml:space="preserve"> as a phytosanitary measure is subject to the </w:t>
      </w:r>
      <w:r w:rsidRPr="00484E5E">
        <w:rPr>
          <w:iCs/>
        </w:rPr>
        <w:t xml:space="preserve">department’s </w:t>
      </w:r>
      <w:r w:rsidRPr="00484E5E">
        <w:rPr>
          <w:iCs/>
          <w:color w:val="000000"/>
        </w:rPr>
        <w:t xml:space="preserve">approval of the </w:t>
      </w:r>
      <w:r>
        <w:rPr>
          <w:iCs/>
          <w:color w:val="000000"/>
        </w:rPr>
        <w:t>treatment</w:t>
      </w:r>
      <w:r w:rsidRPr="00484E5E">
        <w:rPr>
          <w:iCs/>
          <w:color w:val="000000"/>
        </w:rPr>
        <w:t xml:space="preserve"> facilities identified by</w:t>
      </w:r>
      <w:r w:rsidRPr="00484E5E">
        <w:t xml:space="preserve"> </w:t>
      </w:r>
      <w:r>
        <w:t xml:space="preserve">the Philippines </w:t>
      </w:r>
      <w:r w:rsidR="000C0A09">
        <w:fldChar w:fldCharType="begin" w:fldLock="1"/>
      </w:r>
      <w:r w:rsidR="000C0A09">
        <w:instrText xml:space="preserve"> REF exportingNPPO </w:instrText>
      </w:r>
      <w:r w:rsidR="000C0A09">
        <w:fldChar w:fldCharType="separate"/>
      </w:r>
      <w:r>
        <w:t>DA</w:t>
      </w:r>
      <w:r w:rsidR="000C0A09">
        <w:fldChar w:fldCharType="end"/>
      </w:r>
      <w:r w:rsidRPr="00484E5E">
        <w:rPr>
          <w:iCs/>
          <w:color w:val="000000"/>
        </w:rPr>
        <w:t>. Should</w:t>
      </w:r>
      <w:r>
        <w:rPr>
          <w:iCs/>
          <w:color w:val="000000"/>
        </w:rPr>
        <w:t xml:space="preserve"> </w:t>
      </w:r>
      <w:r>
        <w:rPr>
          <w:iCs/>
          <w:color w:val="000000"/>
        </w:rPr>
        <w:fldChar w:fldCharType="begin" w:fldLock="1"/>
      </w:r>
      <w:r>
        <w:rPr>
          <w:iCs/>
          <w:color w:val="000000"/>
        </w:rPr>
        <w:instrText xml:space="preserve"> REF country </w:instrText>
      </w:r>
      <w:r>
        <w:rPr>
          <w:iCs/>
          <w:color w:val="000000"/>
        </w:rPr>
        <w:fldChar w:fldCharType="separate"/>
      </w:r>
      <w:r>
        <w:t>the Philippines</w:t>
      </w:r>
      <w:r>
        <w:rPr>
          <w:iCs/>
          <w:color w:val="000000"/>
        </w:rPr>
        <w:fldChar w:fldCharType="end"/>
      </w:r>
      <w:r>
        <w:rPr>
          <w:iCs/>
          <w:color w:val="000000"/>
        </w:rPr>
        <w:t xml:space="preserve"> </w:t>
      </w:r>
      <w:r w:rsidRPr="00484E5E">
        <w:rPr>
          <w:iCs/>
          <w:color w:val="000000"/>
        </w:rPr>
        <w:t xml:space="preserve">wish to use </w:t>
      </w:r>
      <w:r>
        <w:rPr>
          <w:iCs/>
          <w:color w:val="000000"/>
        </w:rPr>
        <w:t>VHT</w:t>
      </w:r>
      <w:r w:rsidRPr="00484E5E">
        <w:rPr>
          <w:iCs/>
          <w:color w:val="000000"/>
        </w:rPr>
        <w:t xml:space="preserve"> as a </w:t>
      </w:r>
      <w:r w:rsidRPr="00484E5E">
        <w:rPr>
          <w:iCs/>
          <w:color w:val="000000"/>
        </w:rPr>
        <w:lastRenderedPageBreak/>
        <w:t>phytosanitary measure,</w:t>
      </w:r>
      <w:r w:rsidRPr="00484E5E">
        <w:t xml:space="preserve"> </w:t>
      </w:r>
      <w:r>
        <w:t xml:space="preserve">the Philippines </w:t>
      </w:r>
      <w:r w:rsidR="000C0A09">
        <w:fldChar w:fldCharType="begin" w:fldLock="1"/>
      </w:r>
      <w:r w:rsidR="000C0A09">
        <w:instrText xml:space="preserve"> REF exportingNPPO </w:instrText>
      </w:r>
      <w:r w:rsidR="000C0A09">
        <w:fldChar w:fldCharType="separate"/>
      </w:r>
      <w:r>
        <w:t>DA</w:t>
      </w:r>
      <w:r w:rsidR="000C0A09">
        <w:fldChar w:fldCharType="end"/>
      </w:r>
      <w:r w:rsidRPr="00484E5E">
        <w:t xml:space="preserve"> </w:t>
      </w:r>
      <w:r w:rsidRPr="00484E5E">
        <w:rPr>
          <w:iCs/>
          <w:color w:val="000000"/>
        </w:rPr>
        <w:t>would need to provide a submission to the</w:t>
      </w:r>
      <w:r w:rsidRPr="00484E5E">
        <w:rPr>
          <w:iCs/>
        </w:rPr>
        <w:t xml:space="preserve"> department.</w:t>
      </w:r>
    </w:p>
    <w:p w14:paraId="170F5B08" w14:textId="77777777" w:rsidR="00BC2F05" w:rsidRPr="00484E5E" w:rsidRDefault="00772FB6" w:rsidP="004338B9">
      <w:pPr>
        <w:pStyle w:val="Heading5"/>
        <w:rPr>
          <w:rFonts w:asciiTheme="minorHAnsi" w:hAnsiTheme="minorHAnsi"/>
          <w:i/>
          <w:iCs/>
        </w:rPr>
      </w:pPr>
      <w:r w:rsidRPr="00484E5E">
        <w:rPr>
          <w:rFonts w:asciiTheme="minorHAnsi" w:hAnsiTheme="minorHAnsi"/>
        </w:rPr>
        <w:t>Measures for</w:t>
      </w:r>
      <w:r>
        <w:rPr>
          <w:rFonts w:asciiTheme="minorHAnsi" w:hAnsiTheme="minorHAnsi"/>
        </w:rPr>
        <w:t xml:space="preserve"> mealybugs and thrips</w:t>
      </w:r>
    </w:p>
    <w:p w14:paraId="4323F59B" w14:textId="77777777" w:rsidR="00BC2F05" w:rsidRDefault="00772FB6" w:rsidP="004338B9">
      <w:r>
        <w:t>T</w:t>
      </w:r>
      <w:r w:rsidRPr="00484E5E">
        <w:t>he departmen</w:t>
      </w:r>
      <w:r>
        <w:t xml:space="preserve">t </w:t>
      </w:r>
      <w:r w:rsidRPr="00601F0A">
        <w:fldChar w:fldCharType="begin" w:fldLock="1"/>
      </w:r>
      <w:r w:rsidRPr="00601F0A">
        <w:instrText xml:space="preserve"> REF proposes_recommends </w:instrText>
      </w:r>
      <w:r>
        <w:instrText xml:space="preserve"> \* MERGEFORMAT </w:instrText>
      </w:r>
      <w:r w:rsidRPr="00601F0A">
        <w:fldChar w:fldCharType="separate"/>
      </w:r>
      <w:r w:rsidRPr="007678C4">
        <w:t>proposes</w:t>
      </w:r>
      <w:r w:rsidRPr="00601F0A">
        <w:fldChar w:fldCharType="end"/>
      </w:r>
      <w:r w:rsidRPr="00484E5E">
        <w:t xml:space="preserve"> the </w:t>
      </w:r>
      <w:r w:rsidRPr="00984B01">
        <w:t>option of pre-export visual inspection and, if found, remedial action</w:t>
      </w:r>
      <w:r>
        <w:t xml:space="preserve"> for the species of mealybugs and thrips on the dragon fruit from the Philippines pathway. </w:t>
      </w:r>
      <w:r w:rsidRPr="00984B01">
        <w:t xml:space="preserve">The method used for visual inspection must be able to detect all life stages of these pests, for example by using a hand lens, where necessary. The inspection should be consistent with </w:t>
      </w:r>
      <w:r w:rsidRPr="00AC43C7">
        <w:t>ISPM</w:t>
      </w:r>
      <w:r w:rsidRPr="000D1B23">
        <w:rPr>
          <w:i/>
          <w:iCs/>
        </w:rPr>
        <w:t xml:space="preserve"> </w:t>
      </w:r>
      <w:r w:rsidRPr="00AC43C7">
        <w:t>23:</w:t>
      </w:r>
      <w:r w:rsidRPr="000D1B23">
        <w:rPr>
          <w:i/>
          <w:iCs/>
        </w:rPr>
        <w:t xml:space="preserve"> Guidelines for inspection</w:t>
      </w:r>
      <w:r w:rsidRPr="00C03961">
        <w:t xml:space="preserve"> </w:t>
      </w:r>
      <w:r>
        <w:rPr>
          <w:noProof/>
        </w:rPr>
        <w:t>(FAO 2019d)</w:t>
      </w:r>
      <w:r w:rsidRPr="00984B01">
        <w:t xml:space="preserve"> and </w:t>
      </w:r>
      <w:r w:rsidRPr="00AC43C7">
        <w:t>ISPM 31:</w:t>
      </w:r>
      <w:r w:rsidRPr="000D1B23">
        <w:rPr>
          <w:i/>
          <w:iCs/>
        </w:rPr>
        <w:t xml:space="preserve"> Methodologies for sampling of consignments</w:t>
      </w:r>
      <w:r w:rsidRPr="00984B01">
        <w:t xml:space="preserve"> </w:t>
      </w:r>
      <w:r>
        <w:rPr>
          <w:noProof/>
        </w:rPr>
        <w:t>(FAO 2016b)</w:t>
      </w:r>
      <w:r w:rsidRPr="00984B01">
        <w:t xml:space="preserve"> and provide a 95% level of confidence that infestation greater than 0.5% will be detected.</w:t>
      </w:r>
      <w:r>
        <w:t xml:space="preserve"> </w:t>
      </w:r>
      <w:r w:rsidRPr="00484E5E">
        <w:t>The objective o</w:t>
      </w:r>
      <w:r>
        <w:t xml:space="preserve">f this </w:t>
      </w:r>
      <w:r w:rsidRPr="00CE6388">
        <w:fldChar w:fldCharType="begin" w:fldLock="1"/>
      </w:r>
      <w:r w:rsidRPr="00CE6388">
        <w:instrText xml:space="preserve"> REF proposed_recommended </w:instrText>
      </w:r>
      <w:r>
        <w:instrText xml:space="preserve"> \* MERGEFORMAT </w:instrText>
      </w:r>
      <w:r w:rsidRPr="00CE6388">
        <w:fldChar w:fldCharType="separate"/>
      </w:r>
      <w:r w:rsidRPr="007678C4">
        <w:t>proposed</w:t>
      </w:r>
      <w:r w:rsidRPr="00CE6388">
        <w:fldChar w:fldCharType="end"/>
      </w:r>
      <w:r w:rsidRPr="00484E5E">
        <w:t xml:space="preserve"> </w:t>
      </w:r>
      <w:r>
        <w:t xml:space="preserve">measure </w:t>
      </w:r>
      <w:r w:rsidRPr="00484E5E">
        <w:t xml:space="preserve">is to reduce the risk associated with </w:t>
      </w:r>
      <w:r>
        <w:t>these pests</w:t>
      </w:r>
      <w:r w:rsidRPr="00484E5E">
        <w:t xml:space="preserve"> to achieve the ALOP for Australia when applied in combination with the operational system outlined in section</w:t>
      </w:r>
      <w:r>
        <w:t xml:space="preserve"> </w:t>
      </w:r>
      <w:r>
        <w:fldChar w:fldCharType="begin" w:fldLock="1"/>
      </w:r>
      <w:r>
        <w:instrText xml:space="preserve"> REF _Ref94005203 \n \h </w:instrText>
      </w:r>
      <w:r>
        <w:fldChar w:fldCharType="separate"/>
      </w:r>
      <w:r>
        <w:t>4.2</w:t>
      </w:r>
      <w:r>
        <w:fldChar w:fldCharType="end"/>
      </w:r>
      <w:r>
        <w:t>.</w:t>
      </w:r>
    </w:p>
    <w:p w14:paraId="559221E2" w14:textId="77777777" w:rsidR="00BC2F05" w:rsidRPr="00930A21" w:rsidRDefault="00772FB6" w:rsidP="004338B9">
      <w:pPr>
        <w:pStyle w:val="Heading6"/>
        <w:rPr>
          <w:rFonts w:ascii="Cambria" w:hAnsi="Cambria"/>
        </w:rPr>
      </w:pPr>
      <w:bookmarkStart w:id="163" w:name="_Hlk75350524"/>
      <w:r w:rsidRPr="00930A21">
        <w:rPr>
          <w:rFonts w:ascii="Cambria" w:hAnsi="Cambria"/>
        </w:rPr>
        <w:t>Proposed measure 1: Pre-export visual inspection and, if found, remedial action</w:t>
      </w:r>
    </w:p>
    <w:p w14:paraId="622ACE7D" w14:textId="77777777" w:rsidR="00BC2F05" w:rsidRDefault="00772FB6" w:rsidP="004338B9">
      <w:r w:rsidRPr="00484E5E">
        <w:t>All</w:t>
      </w:r>
      <w:r>
        <w:t xml:space="preserve"> consignments of </w:t>
      </w:r>
      <w:r>
        <w:fldChar w:fldCharType="begin" w:fldLock="1"/>
      </w:r>
      <w:r>
        <w:instrText xml:space="preserve"> REF commodity \h </w:instrText>
      </w:r>
      <w:r>
        <w:fldChar w:fldCharType="separate"/>
      </w:r>
      <w:r>
        <w:t>dragon fruit</w:t>
      </w:r>
      <w:r>
        <w:fldChar w:fldCharType="end"/>
      </w:r>
      <w:r>
        <w:t xml:space="preserve"> f</w:t>
      </w:r>
      <w:r w:rsidRPr="00484E5E">
        <w:t>or export to Australia must be inspected by</w:t>
      </w:r>
      <w:r>
        <w:t xml:space="preserve"> the Philippines </w:t>
      </w:r>
      <w:r w:rsidR="000C0A09">
        <w:fldChar w:fldCharType="begin" w:fldLock="1"/>
      </w:r>
      <w:r w:rsidR="000C0A09">
        <w:instrText xml:space="preserve"> REF exportingNPPO </w:instrText>
      </w:r>
      <w:r w:rsidR="000C0A09">
        <w:fldChar w:fldCharType="separate"/>
      </w:r>
      <w:r>
        <w:t>DA</w:t>
      </w:r>
      <w:r w:rsidR="000C0A09">
        <w:fldChar w:fldCharType="end"/>
      </w:r>
      <w:r w:rsidRPr="00484E5E">
        <w:rPr>
          <w:color w:val="000000" w:themeColor="text1"/>
        </w:rPr>
        <w:t xml:space="preserve"> </w:t>
      </w:r>
      <w:bookmarkStart w:id="164" w:name="_Hlk85200270"/>
      <w:r w:rsidRPr="00484E5E">
        <w:t xml:space="preserve">in accordance with </w:t>
      </w:r>
      <w:r>
        <w:t xml:space="preserve">ISPM 23 </w:t>
      </w:r>
      <w:r>
        <w:rPr>
          <w:noProof/>
        </w:rPr>
        <w:t>(FAO 2019d)</w:t>
      </w:r>
      <w:r>
        <w:t xml:space="preserve"> and </w:t>
      </w:r>
      <w:r w:rsidRPr="00484E5E">
        <w:t>ISPM 31</w:t>
      </w:r>
      <w:r>
        <w:t xml:space="preserve"> </w:t>
      </w:r>
      <w:r>
        <w:rPr>
          <w:noProof/>
        </w:rPr>
        <w:t>(FAO 2016b)</w:t>
      </w:r>
      <w:r>
        <w:t xml:space="preserve">. Each consignment must be </w:t>
      </w:r>
      <w:r w:rsidRPr="00484E5E">
        <w:t xml:space="preserve">found free of </w:t>
      </w:r>
      <w:bookmarkEnd w:id="164"/>
      <w:r>
        <w:t xml:space="preserve">the mealybugs </w:t>
      </w:r>
      <w:r>
        <w:rPr>
          <w:rStyle w:val="Emphasis"/>
        </w:rPr>
        <w:t>Dysmicoccus neobrevipes,</w:t>
      </w:r>
      <w:r w:rsidRPr="00123B93">
        <w:rPr>
          <w:i/>
          <w:iCs/>
        </w:rPr>
        <w:t xml:space="preserve"> </w:t>
      </w:r>
      <w:r w:rsidRPr="00062A5B">
        <w:rPr>
          <w:i/>
          <w:iCs/>
        </w:rPr>
        <w:t>Paracoccus marginatus</w:t>
      </w:r>
      <w:r>
        <w:rPr>
          <w:i/>
          <w:iCs/>
        </w:rPr>
        <w:t xml:space="preserve"> </w:t>
      </w:r>
      <w:r>
        <w:t xml:space="preserve">and </w:t>
      </w:r>
      <w:r>
        <w:rPr>
          <w:i/>
          <w:iCs/>
        </w:rPr>
        <w:t>Pseudococcus jackbeardsleyi,</w:t>
      </w:r>
      <w:r>
        <w:t xml:space="preserve"> and the thrips </w:t>
      </w:r>
      <w:r w:rsidRPr="00123B93">
        <w:rPr>
          <w:i/>
          <w:iCs/>
        </w:rPr>
        <w:t>Frankliniella occidentalis</w:t>
      </w:r>
      <w:r>
        <w:t xml:space="preserve">, </w:t>
      </w:r>
      <w:r>
        <w:rPr>
          <w:i/>
          <w:iCs/>
        </w:rPr>
        <w:t xml:space="preserve">Scirtothrips dorsalis </w:t>
      </w:r>
      <w:r>
        <w:t xml:space="preserve">and </w:t>
      </w:r>
      <w:r>
        <w:rPr>
          <w:i/>
          <w:iCs/>
        </w:rPr>
        <w:t>Thrips palmi</w:t>
      </w:r>
      <w:r>
        <w:t>, or any other quarantine mealybugs or thrips not specifically identified in the import risk analysis.</w:t>
      </w:r>
      <w:r w:rsidRPr="00484E5E">
        <w:t xml:space="preserve"> Export consignments found to contain any of these pests must be subjected to remedial action. Remedial action may include withdrawing the consignment from export to Australia, or application of an </w:t>
      </w:r>
      <w:r>
        <w:t>appropriate</w:t>
      </w:r>
      <w:r w:rsidRPr="00484E5E">
        <w:t xml:space="preserve"> treatment to ensure that the pest is no longer viable</w:t>
      </w:r>
      <w:r>
        <w:t>.</w:t>
      </w:r>
      <w:bookmarkEnd w:id="163"/>
    </w:p>
    <w:p w14:paraId="1F408720" w14:textId="77777777" w:rsidR="00BC2F05" w:rsidRPr="00775941" w:rsidRDefault="00772FB6" w:rsidP="004338B9">
      <w:pPr>
        <w:pStyle w:val="Heading4"/>
      </w:pPr>
      <w:r w:rsidRPr="00775941">
        <w:t>Consideration of alternative measures</w:t>
      </w:r>
    </w:p>
    <w:p w14:paraId="098C97D1" w14:textId="77777777" w:rsidR="00BC2F05" w:rsidRDefault="00772FB6" w:rsidP="004338B9">
      <w:r w:rsidRPr="00775941">
        <w:t>Consistent with the principle of equivalen</w:t>
      </w:r>
      <w:r>
        <w:t>ce detailed in ISPM </w:t>
      </w:r>
      <w:r w:rsidRPr="00775941">
        <w:t xml:space="preserve">11: </w:t>
      </w:r>
      <w:r w:rsidRPr="002D4DF4">
        <w:rPr>
          <w:rStyle w:val="StyleItalic"/>
        </w:rPr>
        <w:t>Pest risk analysis for quarantine pests</w:t>
      </w:r>
      <w:r w:rsidRPr="00775941">
        <w:t xml:space="preserve"> </w:t>
      </w:r>
      <w:r>
        <w:rPr>
          <w:noProof/>
        </w:rPr>
        <w:t>(FAO 2019b)</w:t>
      </w:r>
      <w:r>
        <w:t xml:space="preserve">, the department </w:t>
      </w:r>
      <w:r w:rsidRPr="00775941">
        <w:t>will consider any alt</w:t>
      </w:r>
      <w:r>
        <w:t xml:space="preserve">ernative measure proposed by </w:t>
      </w:r>
      <w:bookmarkStart w:id="165" w:name="exportingNPPO"/>
      <w:r>
        <w:t>the Philippines DA</w:t>
      </w:r>
      <w:bookmarkEnd w:id="165"/>
      <w:r>
        <w:t>.</w:t>
      </w:r>
      <w:r w:rsidRPr="00775941">
        <w:t xml:space="preserve"> </w:t>
      </w:r>
      <w:r>
        <w:t xml:space="preserve">Alternative measures must </w:t>
      </w:r>
      <w:r w:rsidRPr="00775941">
        <w:t>demonstrably manage the target pests to achieve the ALOP for Australia. Evaluation of any such measure will require</w:t>
      </w:r>
      <w:r>
        <w:t xml:space="preserve"> a technical submission from</w:t>
      </w:r>
      <w:r w:rsidRPr="001B24B3">
        <w:t xml:space="preserve"> </w:t>
      </w:r>
      <w:r>
        <w:t xml:space="preserve">the Philippines </w:t>
      </w:r>
      <w:r>
        <w:fldChar w:fldCharType="begin" w:fldLock="1"/>
      </w:r>
      <w:r>
        <w:instrText xml:space="preserve"> REF exportingNPPO \h  \* MERGEFORMAT </w:instrText>
      </w:r>
      <w:r>
        <w:fldChar w:fldCharType="separate"/>
      </w:r>
      <w:r>
        <w:t>DA</w:t>
      </w:r>
      <w:r>
        <w:fldChar w:fldCharType="end"/>
      </w:r>
      <w:r>
        <w:t xml:space="preserve"> th</w:t>
      </w:r>
      <w:r w:rsidRPr="00775941">
        <w:t xml:space="preserve">at details the proposed measure, including suitable information to support the claimed efficacy, for consideration by the </w:t>
      </w:r>
      <w:r>
        <w:t>department</w:t>
      </w:r>
      <w:r w:rsidRPr="00775941">
        <w:t>.</w:t>
      </w:r>
    </w:p>
    <w:p w14:paraId="71A8E173" w14:textId="77777777" w:rsidR="00BC2F05" w:rsidRPr="00772548" w:rsidRDefault="00772FB6" w:rsidP="004338B9">
      <w:pPr>
        <w:pStyle w:val="Heading3"/>
      </w:pPr>
      <w:bookmarkStart w:id="166" w:name="_Toc524598960"/>
      <w:bookmarkStart w:id="167" w:name="_Ref91075314"/>
      <w:bookmarkStart w:id="168" w:name="_Ref91075366"/>
      <w:bookmarkStart w:id="169" w:name="_Ref94005203"/>
      <w:bookmarkStart w:id="170" w:name="_Toc119493110"/>
      <w:r w:rsidRPr="00772548">
        <w:t xml:space="preserve">Operational system for the </w:t>
      </w:r>
      <w:r>
        <w:t xml:space="preserve">assurance, </w:t>
      </w:r>
      <w:proofErr w:type="gramStart"/>
      <w:r>
        <w:t>maintenance</w:t>
      </w:r>
      <w:proofErr w:type="gramEnd"/>
      <w:r>
        <w:t xml:space="preserve"> and verification of </w:t>
      </w:r>
      <w:r w:rsidRPr="00772548">
        <w:t>phytosanitary status</w:t>
      </w:r>
      <w:bookmarkEnd w:id="166"/>
      <w:bookmarkEnd w:id="167"/>
      <w:bookmarkEnd w:id="168"/>
      <w:bookmarkEnd w:id="169"/>
      <w:bookmarkEnd w:id="170"/>
    </w:p>
    <w:p w14:paraId="76DDDF47" w14:textId="77777777" w:rsidR="00BC2F05" w:rsidRDefault="00772FB6" w:rsidP="004338B9">
      <w:r w:rsidRPr="00772548">
        <w:t xml:space="preserve">A system of operational procedures is necessary to </w:t>
      </w:r>
      <w:r>
        <w:t xml:space="preserve">ensure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specific risk management measures (section </w:t>
      </w:r>
      <w:r>
        <w:fldChar w:fldCharType="begin" w:fldLock="1"/>
      </w:r>
      <w:r>
        <w:instrText xml:space="preserve"> REF _Ref91075300 \n \h </w:instrText>
      </w:r>
      <w:r>
        <w:fldChar w:fldCharType="separate"/>
      </w:r>
      <w:r>
        <w:t>4.1</w:t>
      </w:r>
      <w:r>
        <w:fldChar w:fldCharType="end"/>
      </w:r>
      <w:r>
        <w:t>) are effectively applied,</w:t>
      </w:r>
      <w:r w:rsidRPr="00772548">
        <w:t xml:space="preserve"> the </w:t>
      </w:r>
      <w:r>
        <w:t xml:space="preserve">phytosanitary status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is maintained, and these can be verified.</w:t>
      </w:r>
    </w:p>
    <w:p w14:paraId="38CB9337" w14:textId="77777777" w:rsidR="00BC2F05" w:rsidRPr="00772548" w:rsidRDefault="00772FB6" w:rsidP="004338B9">
      <w:pPr>
        <w:pStyle w:val="Heading4"/>
      </w:pPr>
      <w:r>
        <w:t>A s</w:t>
      </w:r>
      <w:r w:rsidRPr="00772548">
        <w:t>ystem of traceability to source</w:t>
      </w:r>
      <w:r>
        <w:t xml:space="preserve"> orchards</w:t>
      </w:r>
    </w:p>
    <w:p w14:paraId="74DB7886" w14:textId="77777777" w:rsidR="00BC2F05" w:rsidRDefault="00772FB6" w:rsidP="004338B9">
      <w:pPr>
        <w:keepNext/>
      </w:pPr>
      <w:r w:rsidRPr="008E4086">
        <w:t xml:space="preserve">The objectives of </w:t>
      </w:r>
      <w:r>
        <w:t xml:space="preserve">this </w:t>
      </w:r>
      <w:fldSimple w:instr=" REF proposed_recommended  \* MERGEFORMAT " w:fldLock="1">
        <w:r w:rsidRPr="007678C4">
          <w:t>proposed</w:t>
        </w:r>
      </w:fldSimple>
      <w:r>
        <w:t xml:space="preserve"> procedu</w:t>
      </w:r>
      <w:r w:rsidRPr="008E4086">
        <w:t xml:space="preserve">re </w:t>
      </w:r>
      <w:proofErr w:type="gramStart"/>
      <w:r w:rsidRPr="008E4086">
        <w:t>are</w:t>
      </w:r>
      <w:proofErr w:type="gramEnd"/>
      <w:r w:rsidRPr="008E4086">
        <w:t xml:space="preserve"> to ensure that:</w:t>
      </w:r>
    </w:p>
    <w:p w14:paraId="22AB9AD4" w14:textId="77777777" w:rsidR="00BC2F05" w:rsidRDefault="000C0A09" w:rsidP="00BC2F05">
      <w:pPr>
        <w:pStyle w:val="ListBullet"/>
      </w:pPr>
      <w:r>
        <w:fldChar w:fldCharType="begin" w:fldLock="1"/>
      </w:r>
      <w:r>
        <w:instrText xml:space="preserve"> REF  commodity</w:instrText>
      </w:r>
      <w:r>
        <w:instrText xml:space="preserve"> \* Lower  \* MERGEFORMAT </w:instrText>
      </w:r>
      <w:r>
        <w:fldChar w:fldCharType="separate"/>
      </w:r>
      <w:r w:rsidR="00772FB6">
        <w:t>dragon fruit</w:t>
      </w:r>
      <w:r>
        <w:fldChar w:fldCharType="end"/>
      </w:r>
      <w:r w:rsidR="00772FB6">
        <w:t xml:space="preserve"> are sourced only from orchards pro</w:t>
      </w:r>
      <w:r w:rsidR="00772FB6" w:rsidRPr="008E4086">
        <w:t>ducing comme</w:t>
      </w:r>
      <w:r w:rsidR="00772FB6">
        <w:t>rcial quality fruit</w:t>
      </w:r>
    </w:p>
    <w:p w14:paraId="2C5F6B18" w14:textId="77777777" w:rsidR="00BC2F05" w:rsidRDefault="00772FB6" w:rsidP="00BC2F05">
      <w:pPr>
        <w:pStyle w:val="ListBullet"/>
      </w:pPr>
      <w:r>
        <w:t>orchards</w:t>
      </w:r>
      <w:r w:rsidRPr="008E4086">
        <w:t xml:space="preserve"> </w:t>
      </w:r>
      <w:r>
        <w:t xml:space="preserve">from which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are sourced can </w:t>
      </w:r>
      <w:r w:rsidRPr="008E4086">
        <w:t>be identified, so that any investigation and corrective action can be targeted</w:t>
      </w:r>
      <w:r>
        <w:t xml:space="preserve"> </w:t>
      </w:r>
      <w:proofErr w:type="gramStart"/>
      <w:r>
        <w:t>i</w:t>
      </w:r>
      <w:r w:rsidRPr="008E4086">
        <w:t xml:space="preserve">n the event </w:t>
      </w:r>
      <w:r>
        <w:t>that</w:t>
      </w:r>
      <w:proofErr w:type="gramEnd"/>
      <w:r>
        <w:t xml:space="preserve"> pests of biosecurity concern to Australia are intercepted</w:t>
      </w:r>
    </w:p>
    <w:p w14:paraId="639C3469" w14:textId="77777777" w:rsidR="00BC2F05" w:rsidRDefault="00772FB6" w:rsidP="00BC2F05">
      <w:pPr>
        <w:pStyle w:val="ListBullet"/>
      </w:pPr>
      <w:r>
        <w:lastRenderedPageBreak/>
        <w:t xml:space="preserve">where </w:t>
      </w:r>
      <w:fldSimple w:instr=" REF  commodity \* Lower  \* MERGEFORMAT " w:fldLock="1">
        <w:r>
          <w:t>dragon fruit</w:t>
        </w:r>
      </w:fldSimple>
      <w:r w:rsidRPr="00846A23">
        <w:t xml:space="preserve"> </w:t>
      </w:r>
      <w:r>
        <w:t>is grown/produced in an approved PFA, PFPP or PFPS, it can be verified that all fruit was sourced from the approved area, place or site and produced and exported under the conditions for that pathway.</w:t>
      </w:r>
    </w:p>
    <w:p w14:paraId="7A937EED" w14:textId="77777777" w:rsidR="00BC2F05" w:rsidRDefault="00772FB6" w:rsidP="004338B9">
      <w:pPr>
        <w:keepNext/>
        <w:pBdr>
          <w:top w:val="single" w:sz="12" w:space="1" w:color="auto"/>
          <w:left w:val="single" w:sz="12" w:space="4" w:color="auto"/>
          <w:bottom w:val="single" w:sz="12" w:space="1" w:color="auto"/>
          <w:right w:val="single" w:sz="12" w:space="4" w:color="auto"/>
        </w:pBdr>
      </w:pPr>
      <w:r>
        <w:t xml:space="preserve">The Philippines </w:t>
      </w:r>
      <w:fldSimple w:instr=" REF  exportingNPPO \* FirstCap  \* MERGEFORMAT " w:fldLock="1">
        <w:r>
          <w:t>DA</w:t>
        </w:r>
      </w:fldSimple>
      <w:r>
        <w:t xml:space="preserve"> must establish a system to enable traceability to where </w:t>
      </w:r>
      <w:fldSimple w:instr=" REF  commodity \* Lower  \* MERGEFORMAT " w:fldLock="1">
        <w:r>
          <w:t>dragon fruit</w:t>
        </w:r>
      </w:fldSimple>
      <w:r>
        <w:t xml:space="preserve"> for export to Australia are sourced.</w:t>
      </w:r>
      <w:r w:rsidRPr="001B24B3">
        <w:t xml:space="preserve"> </w:t>
      </w:r>
      <w:r>
        <w:t xml:space="preserve">The Philippines </w:t>
      </w:r>
      <w:fldSimple w:instr=" REF  exportingNPPO \* FirstCap  \* MERGEFORMAT " w:fldLock="1">
        <w:r>
          <w:t>DA</w:t>
        </w:r>
      </w:fldSimple>
      <w:r>
        <w:t xml:space="preserve"> must ensure that export </w:t>
      </w:r>
      <w:fldSimple w:instr=" REF  commodity \* Lower  \* MERGEFORMAT " w:fldLock="1">
        <w:r>
          <w:t>dragon fruit</w:t>
        </w:r>
      </w:fldSimple>
      <w:r>
        <w:t xml:space="preserve"> growers are aware of pests of biosecurity concern for Australia and have systems in place to produce export quality fruit that meet Australia's requirements.</w:t>
      </w:r>
    </w:p>
    <w:p w14:paraId="077941B0" w14:textId="77777777" w:rsidR="00BC2F05" w:rsidRPr="008E4086" w:rsidRDefault="00772FB6" w:rsidP="004338B9">
      <w:pPr>
        <w:keepNext/>
        <w:pBdr>
          <w:top w:val="single" w:sz="12" w:space="1" w:color="auto"/>
          <w:left w:val="single" w:sz="12" w:space="4" w:color="auto"/>
          <w:bottom w:val="single" w:sz="12" w:space="1" w:color="auto"/>
          <w:right w:val="single" w:sz="12" w:space="4" w:color="auto"/>
        </w:pBdr>
      </w:pPr>
      <w:r>
        <w:t>Where a pest risk management measure involving pest monitoring and controls during production and at harvest (such as PFA, PFPP or PFPS) is used, export orchards must be registered with</w:t>
      </w:r>
      <w:r w:rsidRPr="001B24B3">
        <w:t xml:space="preserve"> </w:t>
      </w:r>
      <w:r>
        <w:t xml:space="preserve">the Philippines </w:t>
      </w:r>
      <w:r w:rsidR="000C0A09">
        <w:fldChar w:fldCharType="begin" w:fldLock="1"/>
      </w:r>
      <w:r w:rsidR="000C0A09">
        <w:instrText xml:space="preserve"> REF exportingNPPO  \* MERGEFORMAT </w:instrText>
      </w:r>
      <w:r w:rsidR="000C0A09">
        <w:fldChar w:fldCharType="separate"/>
      </w:r>
      <w:r>
        <w:t>DA</w:t>
      </w:r>
      <w:r w:rsidR="000C0A09">
        <w:fldChar w:fldCharType="end"/>
      </w:r>
      <w:r>
        <w:t xml:space="preserve"> before commencement of each harvest season</w:t>
      </w:r>
      <w:r w:rsidRPr="00EA273C">
        <w:t xml:space="preserve">. </w:t>
      </w:r>
      <w:r>
        <w:t>Records of registered orchards and</w:t>
      </w:r>
      <w:r w:rsidRPr="001B24B3">
        <w:t xml:space="preserve"> </w:t>
      </w:r>
      <w:r>
        <w:t xml:space="preserve">the Philippines </w:t>
      </w:r>
      <w:r w:rsidR="000C0A09">
        <w:fldChar w:fldCharType="begin" w:fldLock="1"/>
      </w:r>
      <w:r w:rsidR="000C0A09">
        <w:instrText xml:space="preserve"> REF exportin</w:instrText>
      </w:r>
      <w:r w:rsidR="000C0A09">
        <w:instrText xml:space="preserve">gNPPO  \* MERGEFORMAT </w:instrText>
      </w:r>
      <w:r w:rsidR="000C0A09">
        <w:fldChar w:fldCharType="separate"/>
      </w:r>
      <w:r>
        <w:t>DA</w:t>
      </w:r>
      <w:r w:rsidR="000C0A09">
        <w:fldChar w:fldCharType="end"/>
      </w:r>
      <w:r>
        <w:t xml:space="preserve"> audits must be kept by</w:t>
      </w:r>
      <w:r w:rsidRPr="001B24B3">
        <w:t xml:space="preserve"> </w:t>
      </w:r>
      <w:r>
        <w:t xml:space="preserve">the Philippines </w:t>
      </w:r>
      <w:fldSimple w:instr=" REF exportingNPPO  \* MERGEFORMAT " w:fldLock="1">
        <w:r>
          <w:t>DA</w:t>
        </w:r>
      </w:fldSimple>
      <w:r>
        <w:t xml:space="preserve"> and must be made available to the department upon request.</w:t>
      </w:r>
    </w:p>
    <w:p w14:paraId="51D9AC84" w14:textId="77777777" w:rsidR="00BC2F05" w:rsidRDefault="00772FB6" w:rsidP="004338B9">
      <w:pPr>
        <w:pStyle w:val="Heading4"/>
      </w:pPr>
      <w:r>
        <w:t>Registration of packing houses and treatment providers, and auditing of procedures</w:t>
      </w:r>
    </w:p>
    <w:p w14:paraId="26BC2AE8" w14:textId="77777777" w:rsidR="00BC2F05" w:rsidRPr="008E4086" w:rsidRDefault="00772FB6" w:rsidP="004338B9">
      <w:r w:rsidRPr="008E4086">
        <w:t>The objectives of th</w:t>
      </w:r>
      <w:r>
        <w:t xml:space="preserve">is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procedure </w:t>
      </w:r>
      <w:proofErr w:type="gramStart"/>
      <w:r>
        <w:t>are</w:t>
      </w:r>
      <w:proofErr w:type="gramEnd"/>
      <w:r>
        <w:t xml:space="preserve"> to ensure that:</w:t>
      </w:r>
    </w:p>
    <w:p w14:paraId="1BC6CFCA" w14:textId="77777777" w:rsidR="00BC2F05" w:rsidRDefault="00772FB6" w:rsidP="00BC2F05">
      <w:pPr>
        <w:pStyle w:val="ListBullet"/>
        <w:numPr>
          <w:ilvl w:val="0"/>
          <w:numId w:val="11"/>
        </w:numPr>
      </w:pPr>
      <w:r w:rsidRPr="00086AA9">
        <w:t>commercial quality</w:t>
      </w:r>
      <w:r>
        <w:t xml:space="preserv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w:t>
      </w:r>
      <w:r w:rsidRPr="00086AA9">
        <w:t xml:space="preserve">are sourced only </w:t>
      </w:r>
      <w:r w:rsidRPr="00C9635A">
        <w:t>fro</w:t>
      </w:r>
      <w:r>
        <w:t xml:space="preserve">m packing houses that are </w:t>
      </w:r>
      <w:r w:rsidRPr="00B96F8E">
        <w:t>approv</w:t>
      </w:r>
      <w:r>
        <w:t>ed by</w:t>
      </w:r>
      <w:r w:rsidRPr="001B24B3">
        <w:t xml:space="preserve"> </w:t>
      </w:r>
      <w:r>
        <w:t xml:space="preserve">the Philippines </w:t>
      </w:r>
      <w:r w:rsidR="000C0A09">
        <w:fldChar w:fldCharType="begin" w:fldLock="1"/>
      </w:r>
      <w:r w:rsidR="000C0A09">
        <w:instrText xml:space="preserve"> REF exportingNPPO  \</w:instrText>
      </w:r>
      <w:r w:rsidR="000C0A09">
        <w:instrText xml:space="preserve">* MERGEFORMAT </w:instrText>
      </w:r>
      <w:r w:rsidR="000C0A09">
        <w:fldChar w:fldCharType="separate"/>
      </w:r>
      <w:r>
        <w:t>DA</w:t>
      </w:r>
      <w:r w:rsidR="000C0A09">
        <w:fldChar w:fldCharType="end"/>
      </w:r>
    </w:p>
    <w:p w14:paraId="351E3321" w14:textId="77777777" w:rsidR="00BC2F05" w:rsidRPr="00D13ECE" w:rsidRDefault="00772FB6" w:rsidP="00BC2F05">
      <w:pPr>
        <w:pStyle w:val="ListBullet"/>
        <w:numPr>
          <w:ilvl w:val="0"/>
          <w:numId w:val="11"/>
        </w:numPr>
      </w:pPr>
      <w:r>
        <w:t>where applicable, t</w:t>
      </w:r>
      <w:r w:rsidRPr="0097060D">
        <w:rPr>
          <w:color w:val="000000"/>
        </w:rPr>
        <w:t>reatment providers are approved by</w:t>
      </w:r>
      <w:r w:rsidRPr="001B24B3">
        <w:t xml:space="preserve"> </w:t>
      </w:r>
      <w:r>
        <w:t>the Philippines</w:t>
      </w:r>
      <w:r w:rsidRPr="0097060D">
        <w:rPr>
          <w:color w:val="000000"/>
        </w:rPr>
        <w:t xml:space="preserve"> </w:t>
      </w:r>
      <w:r w:rsidRPr="0097060D">
        <w:rPr>
          <w:color w:val="000000"/>
        </w:rPr>
        <w:fldChar w:fldCharType="begin" w:fldLock="1"/>
      </w:r>
      <w:r w:rsidRPr="0097060D">
        <w:rPr>
          <w:color w:val="000000"/>
        </w:rPr>
        <w:instrText xml:space="preserve"> REF exportingNPPO </w:instrText>
      </w:r>
      <w:r>
        <w:rPr>
          <w:color w:val="000000"/>
        </w:rPr>
        <w:instrText xml:space="preserve"> \* MERGEFORMAT </w:instrText>
      </w:r>
      <w:r w:rsidRPr="0097060D">
        <w:rPr>
          <w:color w:val="000000"/>
        </w:rPr>
        <w:fldChar w:fldCharType="separate"/>
      </w:r>
      <w:r>
        <w:t>DA</w:t>
      </w:r>
      <w:r w:rsidRPr="0097060D">
        <w:rPr>
          <w:color w:val="000000"/>
        </w:rPr>
        <w:fldChar w:fldCharType="end"/>
      </w:r>
      <w:r w:rsidRPr="0097060D">
        <w:rPr>
          <w:color w:val="000000"/>
        </w:rPr>
        <w:t xml:space="preserve"> and capable of applying a treatment that suitably manages the target pests.</w:t>
      </w:r>
    </w:p>
    <w:p w14:paraId="629C3C0C" w14:textId="77777777" w:rsidR="00BC2F05" w:rsidRPr="005E0188" w:rsidRDefault="000C0A09" w:rsidP="004338B9">
      <w:pPr>
        <w:pBdr>
          <w:top w:val="single" w:sz="12" w:space="1" w:color="auto"/>
          <w:left w:val="single" w:sz="12" w:space="1" w:color="auto"/>
          <w:bottom w:val="single" w:sz="12" w:space="1" w:color="auto"/>
          <w:right w:val="single" w:sz="12" w:space="1" w:color="auto"/>
        </w:pBdr>
        <w:rPr>
          <w:highlight w:val="cyan"/>
        </w:rPr>
      </w:pPr>
      <w:r>
        <w:fldChar w:fldCharType="begin" w:fldLock="1"/>
      </w:r>
      <w:r>
        <w:instrText xml:space="preserve"> REF  commodity \* FirstCap  \* MERGEFORMAT </w:instrText>
      </w:r>
      <w:r>
        <w:fldChar w:fldCharType="separate"/>
      </w:r>
      <w:r w:rsidR="00772FB6">
        <w:t>Dragon fruit</w:t>
      </w:r>
      <w:r>
        <w:fldChar w:fldCharType="end"/>
      </w:r>
      <w:r w:rsidR="00772FB6">
        <w:t xml:space="preserve"> export packing houses are registered with</w:t>
      </w:r>
      <w:r w:rsidR="00772FB6" w:rsidRPr="001B24B3">
        <w:t xml:space="preserve"> </w:t>
      </w:r>
      <w:r w:rsidR="00772FB6">
        <w:t xml:space="preserve">the Philippines </w:t>
      </w:r>
      <w:r>
        <w:fldChar w:fldCharType="begin" w:fldLock="1"/>
      </w:r>
      <w:r>
        <w:instrText xml:space="preserve"> REF exportingNPPO  \* MERGEFORMAT </w:instrText>
      </w:r>
      <w:r>
        <w:fldChar w:fldCharType="separate"/>
      </w:r>
      <w:r w:rsidR="00772FB6">
        <w:t>DA</w:t>
      </w:r>
      <w:r>
        <w:fldChar w:fldCharType="end"/>
      </w:r>
      <w:r w:rsidR="00772FB6">
        <w:t xml:space="preserve"> before the commencement of each harvest season. The Philippines </w:t>
      </w:r>
      <w:fldSimple w:instr=" REF  exportingNPPO \* FirstCap  \* MERGEFORMAT " w:fldLock="1">
        <w:r w:rsidR="00772FB6">
          <w:t>DA</w:t>
        </w:r>
      </w:fldSimple>
      <w:r w:rsidR="00772FB6">
        <w:t xml:space="preserve"> is required to ensure that the registered packing houses are suitably equipped and have a system in place to carry out the specified phytosanitary activities. The list of registered packing houses and records of the Philippines </w:t>
      </w:r>
      <w:r>
        <w:fldChar w:fldCharType="begin" w:fldLock="1"/>
      </w:r>
      <w:r>
        <w:instrText xml:space="preserve"> REF exportingNPPO  \* MERGEFORMAT </w:instrText>
      </w:r>
      <w:r>
        <w:fldChar w:fldCharType="separate"/>
      </w:r>
      <w:r w:rsidR="00772FB6">
        <w:t>DA</w:t>
      </w:r>
      <w:r>
        <w:fldChar w:fldCharType="end"/>
      </w:r>
      <w:r w:rsidR="00772FB6">
        <w:t xml:space="preserve"> audits must be kept by</w:t>
      </w:r>
      <w:r w:rsidR="00772FB6" w:rsidRPr="001B24B3">
        <w:t xml:space="preserve"> </w:t>
      </w:r>
      <w:r w:rsidR="00772FB6">
        <w:t xml:space="preserve">the Philippines </w:t>
      </w:r>
      <w:fldSimple w:instr=" REF exportingNPPO  \* MERGEFORMAT " w:fldLock="1">
        <w:r w:rsidR="00772FB6">
          <w:t>DA</w:t>
        </w:r>
      </w:fldSimple>
      <w:r w:rsidR="00772FB6">
        <w:t xml:space="preserve"> and must be made available to the department upon request.</w:t>
      </w:r>
    </w:p>
    <w:p w14:paraId="1EB88801" w14:textId="77777777" w:rsidR="00BC2F05" w:rsidRPr="00086AA9" w:rsidRDefault="00772FB6" w:rsidP="004338B9">
      <w:pPr>
        <w:pBdr>
          <w:top w:val="single" w:sz="12" w:space="1" w:color="auto"/>
          <w:left w:val="single" w:sz="12" w:space="1" w:color="auto"/>
          <w:bottom w:val="single" w:sz="12" w:space="1" w:color="auto"/>
          <w:right w:val="single" w:sz="12" w:space="1" w:color="auto"/>
        </w:pBdr>
      </w:pPr>
      <w:r>
        <w:t>In circumstances w</w:t>
      </w:r>
      <w:r w:rsidRPr="00086AA9">
        <w:t>her</w:t>
      </w:r>
      <w:r>
        <w:t xml:space="preserve">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w:t>
      </w:r>
      <w:r w:rsidRPr="00086AA9">
        <w:t xml:space="preserve">undergo </w:t>
      </w:r>
      <w:r>
        <w:t xml:space="preserve">pre-export </w:t>
      </w:r>
      <w:r w:rsidRPr="00086AA9">
        <w:t>treatment, this process must be undertaken by treatment providers that have been registered with and audite</w:t>
      </w:r>
      <w:r>
        <w:t>d by</w:t>
      </w:r>
      <w:r w:rsidRPr="001B24B3">
        <w:t xml:space="preserve"> </w:t>
      </w:r>
      <w:r>
        <w:t xml:space="preserve">the Philippines </w:t>
      </w:r>
      <w:r w:rsidR="000C0A09">
        <w:fldChar w:fldCharType="begin" w:fldLock="1"/>
      </w:r>
      <w:r w:rsidR="000C0A09">
        <w:instrText xml:space="preserve"> REF exportingNPPO  \* MERGEFORMA</w:instrText>
      </w:r>
      <w:r w:rsidR="000C0A09">
        <w:instrText xml:space="preserve">T </w:instrText>
      </w:r>
      <w:r w:rsidR="000C0A09">
        <w:fldChar w:fldCharType="separate"/>
      </w:r>
      <w:r>
        <w:t>DA</w:t>
      </w:r>
      <w:r w:rsidR="000C0A09">
        <w:fldChar w:fldCharType="end"/>
      </w:r>
      <w:r>
        <w:t xml:space="preserve"> fo</w:t>
      </w:r>
      <w:r w:rsidRPr="00086AA9">
        <w:t>r that purpose. Records</w:t>
      </w:r>
      <w:r>
        <w:t xml:space="preserve"> of</w:t>
      </w:r>
      <w:r w:rsidRPr="001B24B3">
        <w:t xml:space="preserve"> </w:t>
      </w:r>
      <w:r>
        <w:t xml:space="preserve">the Philippines </w:t>
      </w:r>
      <w:r w:rsidR="000C0A09">
        <w:fldChar w:fldCharType="begin" w:fldLock="1"/>
      </w:r>
      <w:r w:rsidR="000C0A09">
        <w:instrText xml:space="preserve"> REF exportingNPPO  \* MERGEFORMAT </w:instrText>
      </w:r>
      <w:r w:rsidR="000C0A09">
        <w:fldChar w:fldCharType="separate"/>
      </w:r>
      <w:r>
        <w:t>DA</w:t>
      </w:r>
      <w:r w:rsidR="000C0A09">
        <w:fldChar w:fldCharType="end"/>
      </w:r>
      <w:r>
        <w:t xml:space="preserve"> reg</w:t>
      </w:r>
      <w:r w:rsidRPr="00086AA9">
        <w:t>istration</w:t>
      </w:r>
      <w:r>
        <w:t xml:space="preserve"> requirements and audits must </w:t>
      </w:r>
      <w:r w:rsidRPr="00086AA9">
        <w:t>be made available t</w:t>
      </w:r>
      <w:r>
        <w:t xml:space="preserve">o the department </w:t>
      </w:r>
      <w:r w:rsidRPr="00086AA9">
        <w:t>upon request.</w:t>
      </w:r>
    </w:p>
    <w:p w14:paraId="28465A91" w14:textId="77777777" w:rsidR="00BC2F05" w:rsidRDefault="00772FB6" w:rsidP="004338B9">
      <w:pPr>
        <w:pBdr>
          <w:top w:val="single" w:sz="12" w:space="1" w:color="auto"/>
          <w:left w:val="single" w:sz="12" w:space="1" w:color="auto"/>
          <w:bottom w:val="single" w:sz="12" w:space="1" w:color="auto"/>
          <w:right w:val="single" w:sz="12" w:space="1" w:color="auto"/>
        </w:pBdr>
      </w:pPr>
      <w:r>
        <w:t>The a</w:t>
      </w:r>
      <w:r w:rsidRPr="00086AA9">
        <w:t xml:space="preserve">pproval of treatment providers </w:t>
      </w:r>
      <w:r>
        <w:t>by</w:t>
      </w:r>
      <w:r w:rsidRPr="001B24B3">
        <w:t xml:space="preserve"> </w:t>
      </w:r>
      <w:r>
        <w:t xml:space="preserve">the Philippines </w:t>
      </w:r>
      <w:r w:rsidR="000C0A09">
        <w:fldChar w:fldCharType="begin" w:fldLock="1"/>
      </w:r>
      <w:r w:rsidR="000C0A09">
        <w:instrText xml:space="preserve"> REF exportingNPPO  \* MERGEFORMAT </w:instrText>
      </w:r>
      <w:r w:rsidR="000C0A09">
        <w:fldChar w:fldCharType="separate"/>
      </w:r>
      <w:r>
        <w:t>DA</w:t>
      </w:r>
      <w:r w:rsidR="000C0A09">
        <w:fldChar w:fldCharType="end"/>
      </w:r>
      <w:r>
        <w:t xml:space="preserve"> must include verification that suitable systems are in place to ensure compliance with treatment requirements.</w:t>
      </w:r>
      <w:r w:rsidRPr="00086AA9">
        <w:t xml:space="preserve"> This may include:</w:t>
      </w:r>
    </w:p>
    <w:p w14:paraId="2E0D3C1A" w14:textId="77777777" w:rsidR="00BC2F05" w:rsidRPr="00214918" w:rsidRDefault="00772FB6" w:rsidP="00BC2F05">
      <w:pPr>
        <w:pStyle w:val="ListBullet"/>
        <w:numPr>
          <w:ilvl w:val="0"/>
          <w:numId w:val="14"/>
        </w:numPr>
        <w:pBdr>
          <w:top w:val="single" w:sz="12" w:space="1" w:color="auto"/>
          <w:left w:val="single" w:sz="12" w:space="1" w:color="auto"/>
          <w:bottom w:val="single" w:sz="12" w:space="1" w:color="auto"/>
          <w:right w:val="single" w:sz="12" w:space="1" w:color="auto"/>
        </w:pBdr>
      </w:pPr>
      <w:r w:rsidRPr="00214918">
        <w:t xml:space="preserve">documented procedures to ensure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rsidRPr="00214918">
        <w:t xml:space="preserve"> are appropriately treated and safeguarded post treatment</w:t>
      </w:r>
    </w:p>
    <w:p w14:paraId="4CC7799A" w14:textId="77777777" w:rsidR="00BC2F05" w:rsidRPr="00214918" w:rsidRDefault="00772FB6" w:rsidP="00BC2F05">
      <w:pPr>
        <w:pStyle w:val="ListBullet"/>
        <w:numPr>
          <w:ilvl w:val="0"/>
          <w:numId w:val="14"/>
        </w:numPr>
        <w:pBdr>
          <w:top w:val="single" w:sz="12" w:space="1" w:color="auto"/>
          <w:left w:val="single" w:sz="12" w:space="1" w:color="auto"/>
          <w:bottom w:val="single" w:sz="12" w:space="1" w:color="auto"/>
          <w:right w:val="single" w:sz="12" w:space="1" w:color="auto"/>
        </w:pBdr>
      </w:pPr>
      <w:r w:rsidRPr="00214918">
        <w:t>staff training to ensure compliance with procedures</w:t>
      </w:r>
    </w:p>
    <w:p w14:paraId="1B90DFB7" w14:textId="77777777" w:rsidR="00BC2F05" w:rsidRPr="00214918" w:rsidRDefault="00772FB6" w:rsidP="00BC2F05">
      <w:pPr>
        <w:pStyle w:val="ListBullet"/>
        <w:numPr>
          <w:ilvl w:val="0"/>
          <w:numId w:val="14"/>
        </w:numPr>
        <w:pBdr>
          <w:top w:val="single" w:sz="12" w:space="1" w:color="auto"/>
          <w:left w:val="single" w:sz="12" w:space="1" w:color="auto"/>
          <w:bottom w:val="single" w:sz="12" w:space="1" w:color="auto"/>
          <w:right w:val="single" w:sz="12" w:space="1" w:color="auto"/>
        </w:pBdr>
      </w:pPr>
      <w:r w:rsidRPr="00214918">
        <w:t>record-keeping procedures</w:t>
      </w:r>
    </w:p>
    <w:p w14:paraId="1FE32FFF" w14:textId="77777777" w:rsidR="00BC2F05" w:rsidRPr="00214918" w:rsidRDefault="00772FB6" w:rsidP="00BC2F05">
      <w:pPr>
        <w:pStyle w:val="ListBullet"/>
        <w:numPr>
          <w:ilvl w:val="0"/>
          <w:numId w:val="14"/>
        </w:numPr>
        <w:pBdr>
          <w:top w:val="single" w:sz="12" w:space="1" w:color="auto"/>
          <w:left w:val="single" w:sz="12" w:space="1" w:color="auto"/>
          <w:bottom w:val="single" w:sz="12" w:space="1" w:color="auto"/>
          <w:right w:val="single" w:sz="12" w:space="1" w:color="auto"/>
        </w:pBdr>
      </w:pPr>
      <w:r w:rsidRPr="00214918">
        <w:t>suitability of facilities and equipment</w:t>
      </w:r>
    </w:p>
    <w:p w14:paraId="69B50C2C" w14:textId="77777777" w:rsidR="00BC2F05" w:rsidRDefault="00772FB6" w:rsidP="00BC2F05">
      <w:pPr>
        <w:pStyle w:val="ListBullet"/>
        <w:numPr>
          <w:ilvl w:val="0"/>
          <w:numId w:val="14"/>
        </w:numPr>
        <w:pBdr>
          <w:top w:val="single" w:sz="12" w:space="1" w:color="auto"/>
          <w:left w:val="single" w:sz="12" w:space="1" w:color="auto"/>
          <w:bottom w:val="single" w:sz="12" w:space="1" w:color="auto"/>
          <w:right w:val="single" w:sz="12" w:space="1" w:color="auto"/>
        </w:pBdr>
      </w:pPr>
      <w:r>
        <w:t xml:space="preserve">the Philippines </w:t>
      </w:r>
      <w:fldSimple w:instr=" REF exportingNPPO  \* MERGEFORMAT " w:fldLock="1">
        <w:r w:rsidRPr="007678C4">
          <w:rPr>
            <w:rStyle w:val="PlaceholderText"/>
            <w:color w:val="auto"/>
          </w:rPr>
          <w:t>DA</w:t>
        </w:r>
      </w:fldSimple>
      <w:r w:rsidRPr="00214918">
        <w:t>'s system of oversight of treatment application.</w:t>
      </w:r>
    </w:p>
    <w:p w14:paraId="61A0D936" w14:textId="77777777" w:rsidR="00BC2F05" w:rsidRPr="00214918" w:rsidRDefault="00772FB6" w:rsidP="004338B9">
      <w:pPr>
        <w:pBdr>
          <w:top w:val="single" w:sz="12" w:space="1" w:color="auto"/>
          <w:left w:val="single" w:sz="12" w:space="1" w:color="auto"/>
          <w:bottom w:val="single" w:sz="12" w:space="1" w:color="auto"/>
          <w:right w:val="single" w:sz="12" w:space="1" w:color="auto"/>
        </w:pBdr>
      </w:pPr>
      <w:r>
        <w:t>The department provides final approval of facilities, following review of regulatory oversight provided by</w:t>
      </w:r>
      <w:r w:rsidRPr="001B24B3">
        <w:t xml:space="preserve"> </w:t>
      </w:r>
      <w:r>
        <w:t xml:space="preserve">the Philippines </w:t>
      </w:r>
      <w:r w:rsidR="000C0A09">
        <w:fldChar w:fldCharType="begin" w:fldLock="1"/>
      </w:r>
      <w:r w:rsidR="000C0A09">
        <w:instrText xml:space="preserve"> REF exportingNPPO  \* MERGEFORMAT </w:instrText>
      </w:r>
      <w:r w:rsidR="000C0A09">
        <w:fldChar w:fldCharType="separate"/>
      </w:r>
      <w:r>
        <w:t>DA</w:t>
      </w:r>
      <w:r w:rsidR="000C0A09">
        <w:fldChar w:fldCharType="end"/>
      </w:r>
      <w:r>
        <w:t xml:space="preserve"> and the capability demonstrated by the facility. Site visits may be </w:t>
      </w:r>
      <w:r>
        <w:lastRenderedPageBreak/>
        <w:t>required for the department to have assurance that treatment can be applied accurately and consistently.</w:t>
      </w:r>
    </w:p>
    <w:p w14:paraId="72B9D5AA" w14:textId="77777777" w:rsidR="00BC2F05" w:rsidRPr="00584A08" w:rsidRDefault="00772FB6" w:rsidP="004338B9">
      <w:pPr>
        <w:pStyle w:val="Heading4"/>
      </w:pPr>
      <w:r>
        <w:t xml:space="preserve">Packaging, </w:t>
      </w:r>
      <w:r w:rsidRPr="00584A08">
        <w:t>labelling</w:t>
      </w:r>
      <w:r>
        <w:t xml:space="preserve"> and containers</w:t>
      </w:r>
    </w:p>
    <w:p w14:paraId="5E46CDEC" w14:textId="77777777" w:rsidR="00BC2F05" w:rsidRPr="00584A08" w:rsidRDefault="00772FB6" w:rsidP="004338B9">
      <w:r w:rsidRPr="00584A08">
        <w:t>The objectives of thi</w:t>
      </w:r>
      <w:r>
        <w:t xml:space="preserve">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w:t>
      </w:r>
      <w:r w:rsidRPr="00584A08">
        <w:t xml:space="preserve">ocedure </w:t>
      </w:r>
      <w:proofErr w:type="gramStart"/>
      <w:r w:rsidRPr="00584A08">
        <w:t>are</w:t>
      </w:r>
      <w:proofErr w:type="gramEnd"/>
      <w:r w:rsidRPr="00584A08">
        <w:t xml:space="preserve"> to ensure that:</w:t>
      </w:r>
    </w:p>
    <w:p w14:paraId="5D56B79D" w14:textId="77777777" w:rsidR="00BC2F05" w:rsidRPr="00584A08" w:rsidRDefault="000C0A09" w:rsidP="00BC2F05">
      <w:pPr>
        <w:pStyle w:val="ListBullet"/>
      </w:pPr>
      <w:r>
        <w:fldChar w:fldCharType="begin" w:fldLock="1"/>
      </w:r>
      <w:r>
        <w:instrText xml:space="preserve"> REF  commodity \* Lower  \* MERGEFORMAT </w:instrText>
      </w:r>
      <w:r>
        <w:fldChar w:fldCharType="separate"/>
      </w:r>
      <w:r w:rsidR="00772FB6">
        <w:t>dragon fruit</w:t>
      </w:r>
      <w:r>
        <w:fldChar w:fldCharType="end"/>
      </w:r>
      <w:r w:rsidR="00772FB6">
        <w:rPr>
          <w:color w:val="000000" w:themeColor="text1"/>
        </w:rPr>
        <w:t xml:space="preserve"> inte</w:t>
      </w:r>
      <w:r w:rsidR="00772FB6">
        <w:t>nded</w:t>
      </w:r>
      <w:r w:rsidR="00772FB6" w:rsidRPr="00584A08">
        <w:t xml:space="preserve"> for export </w:t>
      </w:r>
      <w:r w:rsidR="00772FB6">
        <w:t>to Australia, and associated packaging,</w:t>
      </w:r>
      <w:r w:rsidR="00772FB6" w:rsidRPr="00584A08">
        <w:t xml:space="preserve"> are not contaminated by quarantine pests or regulat</w:t>
      </w:r>
      <w:r w:rsidR="00772FB6">
        <w:t xml:space="preserve">ed articles (as defined in ISPM </w:t>
      </w:r>
      <w:r w:rsidR="00772FB6" w:rsidRPr="00584A08">
        <w:t xml:space="preserve">5: </w:t>
      </w:r>
      <w:r w:rsidR="00772FB6" w:rsidRPr="002D4DF4">
        <w:rPr>
          <w:rStyle w:val="StyleItalic"/>
        </w:rPr>
        <w:t>Glossary of phytosanitary terms</w:t>
      </w:r>
      <w:r w:rsidR="00772FB6">
        <w:t xml:space="preserve"> </w:t>
      </w:r>
      <w:r w:rsidR="00772FB6">
        <w:rPr>
          <w:noProof/>
        </w:rPr>
        <w:t>(FAO 2022)</w:t>
      </w:r>
      <w:r w:rsidR="00772FB6">
        <w:t>.</w:t>
      </w:r>
    </w:p>
    <w:p w14:paraId="62CEFCEA" w14:textId="77777777" w:rsidR="00BC2F05" w:rsidRPr="00584A08" w:rsidRDefault="00772FB6" w:rsidP="00BC2F05">
      <w:pPr>
        <w:pStyle w:val="ListBullet"/>
      </w:pPr>
      <w:r>
        <w:t xml:space="preserve">unprocessed packaging material is not imported with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Unprocessed packaging material is </w:t>
      </w:r>
      <w:r w:rsidRPr="00584A08">
        <w:t>not permitted</w:t>
      </w:r>
      <w:r>
        <w:t xml:space="preserve"> as it may vector pests identified as not being on the pathway, or pests not known to be associated with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w:t>
      </w:r>
    </w:p>
    <w:p w14:paraId="39C99904" w14:textId="77777777" w:rsidR="00BC2F05" w:rsidRDefault="00772FB6" w:rsidP="00BC2F05">
      <w:pPr>
        <w:pStyle w:val="ListBullet"/>
      </w:pPr>
      <w:r w:rsidRPr="00584A08">
        <w:t>all wood material</w:t>
      </w:r>
      <w:r>
        <w:t xml:space="preserve"> associated with the consignment used in packaging and transport of </w:t>
      </w:r>
      <w:r w:rsidR="000C0A09">
        <w:fldChar w:fldCharType="begin" w:fldLock="1"/>
      </w:r>
      <w:r w:rsidR="000C0A09">
        <w:instrText xml:space="preserve"> REF  </w:instrText>
      </w:r>
      <w:r w:rsidR="000C0A09">
        <w:instrText xml:space="preserve">commodity \* Lower  \* MERGEFORMAT </w:instrText>
      </w:r>
      <w:r w:rsidR="000C0A09">
        <w:fldChar w:fldCharType="separate"/>
      </w:r>
      <w:r>
        <w:t>dragon fruit</w:t>
      </w:r>
      <w:r w:rsidR="000C0A09">
        <w:fldChar w:fldCharType="end"/>
      </w:r>
      <w:r>
        <w:t xml:space="preserve"> co</w:t>
      </w:r>
      <w:r w:rsidRPr="00584A08">
        <w:t xml:space="preserve">mplies with the </w:t>
      </w:r>
      <w:r>
        <w:t>department’s import requirements, as published on BICON.</w:t>
      </w:r>
    </w:p>
    <w:p w14:paraId="05FFF989" w14:textId="77777777" w:rsidR="00BC2F05" w:rsidRDefault="00772FB6" w:rsidP="00BC2F05">
      <w:pPr>
        <w:pStyle w:val="ListBullet"/>
      </w:pPr>
      <w:r>
        <w:t xml:space="preserve">secure packaging is used for export of </w:t>
      </w:r>
      <w:fldSimple w:instr=" REF  commodity \* Lower  \* MERGEFORMAT " w:fldLock="1">
        <w:r>
          <w:t>dragon fruit</w:t>
        </w:r>
      </w:fldSimple>
      <w:r>
        <w:t xml:space="preserve"> from </w:t>
      </w:r>
      <w:r w:rsidR="000C0A09">
        <w:fldChar w:fldCharType="begin" w:fldLock="1"/>
      </w:r>
      <w:r w:rsidR="000C0A09">
        <w:instrText xml:space="preserve"> REF country </w:instrText>
      </w:r>
      <w:r w:rsidR="000C0A09">
        <w:fldChar w:fldCharType="separate"/>
      </w:r>
      <w:r>
        <w:t>the Philippines</w:t>
      </w:r>
      <w:r w:rsidR="000C0A09">
        <w:fldChar w:fldCharType="end"/>
      </w:r>
      <w:r>
        <w:t xml:space="preserve"> to Australia, </w:t>
      </w:r>
      <w:r w:rsidRPr="00373D35">
        <w:t>to prevent re-infestation during storage and transport and prevent escape of pests during clearance procedures on arrival in Australia.</w:t>
      </w:r>
      <w:r>
        <w:t xml:space="preserve"> Packaging must meet Australia's secure packaging options published on BICON.</w:t>
      </w:r>
    </w:p>
    <w:p w14:paraId="4814B065" w14:textId="77777777" w:rsidR="00BC2F05" w:rsidRPr="006A29CD" w:rsidRDefault="00772FB6" w:rsidP="00BC2F05">
      <w:pPr>
        <w:pStyle w:val="ListBullet"/>
      </w:pPr>
      <w:r w:rsidRPr="00A83488">
        <w:rPr>
          <w:lang w:val="en"/>
        </w:rPr>
        <w:t xml:space="preserve">consignments </w:t>
      </w:r>
      <w:r>
        <w:rPr>
          <w:lang w:val="en"/>
        </w:rPr>
        <w:t xml:space="preserve">are made </w:t>
      </w:r>
      <w:r w:rsidRPr="00A83488">
        <w:rPr>
          <w:lang w:val="en"/>
        </w:rPr>
        <w:t>insect</w:t>
      </w:r>
      <w:r>
        <w:rPr>
          <w:lang w:val="en"/>
        </w:rPr>
        <w:t>-</w:t>
      </w:r>
      <w:r w:rsidRPr="00A83488">
        <w:rPr>
          <w:lang w:val="en"/>
        </w:rPr>
        <w:t xml:space="preserve">proof and secure, </w:t>
      </w:r>
      <w:r>
        <w:rPr>
          <w:lang w:val="en"/>
        </w:rPr>
        <w:t xml:space="preserve">by using </w:t>
      </w:r>
      <w:r w:rsidRPr="00A83488">
        <w:rPr>
          <w:lang w:val="en"/>
        </w:rPr>
        <w:t>at least one of the following secure consignment options:</w:t>
      </w:r>
    </w:p>
    <w:p w14:paraId="5CBFF24C" w14:textId="77777777" w:rsidR="00BC2F05" w:rsidRPr="00835F05" w:rsidRDefault="00772FB6" w:rsidP="00BC2F05">
      <w:pPr>
        <w:pStyle w:val="ListBullet2"/>
        <w:ind w:left="794" w:hanging="397"/>
        <w:rPr>
          <w:lang w:val="en"/>
        </w:rPr>
      </w:pPr>
      <w:r w:rsidRPr="00835F05">
        <w:rPr>
          <w:b/>
          <w:bCs/>
          <w:lang w:val="en"/>
        </w:rPr>
        <w:t>integral cartons</w:t>
      </w:r>
      <w:r w:rsidRPr="00835F05">
        <w:rPr>
          <w:bCs/>
          <w:lang w:val="en"/>
        </w:rPr>
        <w:t xml:space="preserve">: </w:t>
      </w:r>
      <w:r w:rsidRPr="00835F05">
        <w:rPr>
          <w:lang w:val="en"/>
        </w:rPr>
        <w:t>produce may be packed in integral (fully enclosed) cartons (packages) with boxes having no ventilation holes and lids tightly fixed to the bases</w:t>
      </w:r>
    </w:p>
    <w:p w14:paraId="4ABF451F" w14:textId="77777777" w:rsidR="00BC2F05" w:rsidRPr="00835F05" w:rsidRDefault="00772FB6" w:rsidP="00BC2F05">
      <w:pPr>
        <w:pStyle w:val="ListBullet2"/>
        <w:ind w:left="794" w:hanging="397"/>
        <w:rPr>
          <w:lang w:val="en"/>
        </w:rPr>
      </w:pPr>
      <w:r w:rsidRPr="00835F05">
        <w:rPr>
          <w:b/>
          <w:bCs/>
          <w:lang w:val="en"/>
        </w:rPr>
        <w:t xml:space="preserve">ventilation holes of cartons covered: </w:t>
      </w:r>
      <w:r w:rsidRPr="00835F05">
        <w:rPr>
          <w:lang w:val="en"/>
        </w:rPr>
        <w:t>cartons (packages) with ventilation holes must have the holes covered/sealed with a mesh/screen of no more than 1.6mm pore size and not less than 0.16mm strand thickness. Alternatively, the vent holes may be taped over</w:t>
      </w:r>
    </w:p>
    <w:p w14:paraId="26CB853D" w14:textId="77777777" w:rsidR="00BC2F05" w:rsidRPr="00835F05" w:rsidRDefault="00772FB6" w:rsidP="00BC2F05">
      <w:pPr>
        <w:pStyle w:val="ListBullet2"/>
        <w:ind w:left="794" w:hanging="397"/>
        <w:rPr>
          <w:lang w:val="en"/>
        </w:rPr>
      </w:pPr>
      <w:r w:rsidRPr="00835F05">
        <w:rPr>
          <w:b/>
          <w:bCs/>
          <w:lang w:val="en"/>
        </w:rPr>
        <w:t xml:space="preserve">polythene liners: </w:t>
      </w:r>
      <w:r w:rsidRPr="00835F05">
        <w:rPr>
          <w:lang w:val="en"/>
        </w:rPr>
        <w:t>vented cartons (packages) with sealed polythene liners/bags within are acceptable (folded polythene bags are acceptable)</w:t>
      </w:r>
    </w:p>
    <w:p w14:paraId="68C339DE" w14:textId="77777777" w:rsidR="00BC2F05" w:rsidRPr="00835F05" w:rsidRDefault="00772FB6" w:rsidP="00BC2F05">
      <w:pPr>
        <w:pStyle w:val="ListBullet2"/>
        <w:ind w:left="794" w:hanging="397"/>
        <w:rPr>
          <w:lang w:val="en"/>
        </w:rPr>
      </w:pPr>
      <w:r w:rsidRPr="00835F05">
        <w:rPr>
          <w:b/>
          <w:bCs/>
          <w:lang w:val="en"/>
        </w:rPr>
        <w:t xml:space="preserve">meshed or </w:t>
      </w:r>
      <w:proofErr w:type="gramStart"/>
      <w:r w:rsidRPr="00835F05">
        <w:rPr>
          <w:b/>
          <w:bCs/>
          <w:lang w:val="en"/>
        </w:rPr>
        <w:t>shrink wrapped</w:t>
      </w:r>
      <w:proofErr w:type="gramEnd"/>
      <w:r w:rsidRPr="00835F05">
        <w:rPr>
          <w:b/>
          <w:bCs/>
          <w:lang w:val="en"/>
        </w:rPr>
        <w:t xml:space="preserve"> pallets or Unit Load Devices (ULDs): </w:t>
      </w:r>
      <w:r w:rsidRPr="00835F05">
        <w:rPr>
          <w:lang w:val="en"/>
        </w:rPr>
        <w:t xml:space="preserve">ULDs transporting cartons with open ventilation holes/gaps, or </w:t>
      </w:r>
      <w:proofErr w:type="spellStart"/>
      <w:r w:rsidRPr="00835F05">
        <w:rPr>
          <w:lang w:val="en"/>
        </w:rPr>
        <w:t>palletised</w:t>
      </w:r>
      <w:proofErr w:type="spellEnd"/>
      <w:r w:rsidRPr="00835F05">
        <w:rPr>
          <w:lang w:val="en"/>
        </w:rPr>
        <w:t xml:space="preserve"> cartons with ventilation holes/gaps must be fully covered or wrapped with polyethylene/plastic/foil sheet or mesh/screen of no more than 1.6mm diameter pore size</w:t>
      </w:r>
      <w:r>
        <w:rPr>
          <w:lang w:val="en"/>
        </w:rPr>
        <w:t xml:space="preserve"> and not less than 0.16mm strand thickness</w:t>
      </w:r>
    </w:p>
    <w:p w14:paraId="248FE925" w14:textId="77777777" w:rsidR="00BC2F05" w:rsidRPr="00835F05" w:rsidRDefault="00772FB6" w:rsidP="00BC2F05">
      <w:pPr>
        <w:pStyle w:val="ListBullet2"/>
        <w:ind w:left="794" w:hanging="397"/>
        <w:rPr>
          <w:lang w:val="en"/>
        </w:rPr>
      </w:pPr>
      <w:r w:rsidRPr="00835F05">
        <w:rPr>
          <w:b/>
          <w:bCs/>
          <w:lang w:val="en"/>
        </w:rPr>
        <w:t xml:space="preserve">produce transported in fully enclosed containers: </w:t>
      </w:r>
      <w:r w:rsidRPr="00835F05">
        <w:rPr>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p>
    <w:p w14:paraId="3FEFEEB5" w14:textId="77777777" w:rsidR="00BC2F05" w:rsidRDefault="00772FB6" w:rsidP="00BC2F05">
      <w:pPr>
        <w:pStyle w:val="ListBullet"/>
      </w:pPr>
      <w:r>
        <w:t xml:space="preserve">packaged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must be l</w:t>
      </w:r>
      <w:r w:rsidRPr="00584A08">
        <w:t>abelled with s</w:t>
      </w:r>
      <w:r>
        <w:t>ufficient identification for</w:t>
      </w:r>
      <w:r w:rsidRPr="00584A08">
        <w:t xml:space="preserve"> </w:t>
      </w:r>
      <w:r>
        <w:t xml:space="preserve">the </w:t>
      </w:r>
      <w:r w:rsidRPr="00584A08">
        <w:t>purposes of traceability.</w:t>
      </w:r>
      <w:r>
        <w:t xml:space="preserve"> This may include:</w:t>
      </w:r>
    </w:p>
    <w:p w14:paraId="72A56D6B" w14:textId="77777777" w:rsidR="00BC2F05" w:rsidRPr="00A82CDB" w:rsidRDefault="00772FB6" w:rsidP="00BC2F05">
      <w:pPr>
        <w:pStyle w:val="ListBullet2"/>
        <w:ind w:left="794" w:hanging="397"/>
      </w:pPr>
      <w:r w:rsidRPr="00A82CDB">
        <w:t xml:space="preserve">for </w:t>
      </w:r>
      <w:r w:rsidRPr="00C5246B">
        <w:t>treated product</w:t>
      </w:r>
      <w:r w:rsidRPr="00A82CDB">
        <w:t>: the treatment facility name/number and treatment identification reference/number</w:t>
      </w:r>
    </w:p>
    <w:p w14:paraId="4F638FA4" w14:textId="77777777" w:rsidR="00BC2F05" w:rsidRPr="00A82CDB" w:rsidRDefault="00772FB6" w:rsidP="00BC2F05">
      <w:pPr>
        <w:pStyle w:val="ListBullet2"/>
        <w:ind w:left="794" w:hanging="397"/>
      </w:pPr>
      <w:r w:rsidRPr="00A82CDB">
        <w:t xml:space="preserve">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rsidRPr="00A82CDB">
        <w:t xml:space="preserve"> where the measures include </w:t>
      </w:r>
      <w:r>
        <w:t>pre-harvest</w:t>
      </w:r>
      <w:r w:rsidRPr="00A40970">
        <w:t xml:space="preserve"> </w:t>
      </w:r>
      <w:r w:rsidRPr="00A82CDB">
        <w:t>controls/</w:t>
      </w:r>
      <w:r>
        <w:t>production site</w:t>
      </w:r>
      <w:r w:rsidRPr="00A82CDB">
        <w:t xml:space="preserve"> freedom: the </w:t>
      </w:r>
      <w:r>
        <w:t>production site</w:t>
      </w:r>
      <w:r w:rsidRPr="00A82CDB">
        <w:t xml:space="preserve"> reference number</w:t>
      </w:r>
    </w:p>
    <w:p w14:paraId="398A6477" w14:textId="77777777" w:rsidR="00BC2F05" w:rsidRDefault="00772FB6" w:rsidP="00BC2F05">
      <w:pPr>
        <w:pStyle w:val="ListBullet2"/>
        <w:ind w:left="794" w:hanging="397"/>
      </w:pPr>
      <w:r w:rsidRPr="00A82CDB">
        <w:t xml:space="preserve">for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rsidRPr="00A82CDB">
        <w:t xml:space="preserve"> where phytosanitary measures are applied at the packing house: the packing house reference/number</w:t>
      </w:r>
    </w:p>
    <w:p w14:paraId="0D3CF390" w14:textId="77777777" w:rsidR="00BC2F05" w:rsidRDefault="00772FB6" w:rsidP="00BC2F05">
      <w:pPr>
        <w:pStyle w:val="ListBullet"/>
      </w:pPr>
      <w:r>
        <w:lastRenderedPageBreak/>
        <w:t xml:space="preserve">where applicable, packaged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that has undergone irradiation treatment is labelled with a statement that the </w:t>
      </w:r>
      <w:fldSimple w:instr=" REF  commodity \* Lower  \* MERGEFORMAT " w:fldLock="1">
        <w:r>
          <w:t>dragon fruit</w:t>
        </w:r>
      </w:fldSimple>
      <w:r>
        <w:t xml:space="preserve"> has been treated with ionising radiation.</w:t>
      </w:r>
    </w:p>
    <w:p w14:paraId="765895FA" w14:textId="77777777" w:rsidR="00BC2F05" w:rsidRDefault="00772FB6" w:rsidP="004338B9">
      <w:pPr>
        <w:pBdr>
          <w:top w:val="single" w:sz="12" w:space="1" w:color="auto"/>
          <w:left w:val="single" w:sz="12" w:space="4" w:color="auto"/>
          <w:bottom w:val="single" w:sz="12" w:space="1" w:color="auto"/>
          <w:right w:val="single" w:sz="12" w:space="4" w:color="auto"/>
        </w:pBdr>
      </w:pPr>
      <w:r w:rsidRPr="00584A08">
        <w:t>Export packing houses and treatment providers (where applicable)</w:t>
      </w:r>
      <w:r>
        <w:t xml:space="preserve"> must ensure</w:t>
      </w:r>
      <w:r w:rsidRPr="00584A08">
        <w:t xml:space="preserve"> </w:t>
      </w:r>
      <w:r>
        <w:t>packaging and labelling are suitable</w:t>
      </w:r>
      <w:r w:rsidRPr="00584A08">
        <w:t xml:space="preserve"> to maintain phytosanitary status of the export consignments.</w:t>
      </w:r>
    </w:p>
    <w:p w14:paraId="3F7EA0A4" w14:textId="77777777" w:rsidR="00BC2F05" w:rsidRPr="00FF3368" w:rsidRDefault="00772FB6" w:rsidP="004338B9">
      <w:pPr>
        <w:pStyle w:val="Heading4"/>
      </w:pPr>
      <w:r w:rsidRPr="00FF3368">
        <w:t>Specific conditions for storage and movement</w:t>
      </w:r>
    </w:p>
    <w:p w14:paraId="77E58120" w14:textId="77777777" w:rsidR="00BC2F05" w:rsidRPr="00275591" w:rsidRDefault="00772FB6" w:rsidP="004338B9">
      <w:r w:rsidRPr="00275591">
        <w:t xml:space="preserve">The objective of </w:t>
      </w:r>
      <w:r>
        <w:t xml:space="preserve">this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pro</w:t>
      </w:r>
      <w:r w:rsidRPr="00275591">
        <w:t>cedure is to ensure that the quarantine integrity of the</w:t>
      </w:r>
      <w:r>
        <w:t xml:space="preserv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w:t>
      </w:r>
      <w:r w:rsidRPr="00275591">
        <w:t>is maintained during storage and movement.</w:t>
      </w:r>
    </w:p>
    <w:p w14:paraId="3A97A8C1" w14:textId="77777777" w:rsidR="00BC2F05" w:rsidRDefault="00772FB6" w:rsidP="004338B9">
      <w:pPr>
        <w:pBdr>
          <w:top w:val="single" w:sz="12" w:space="1" w:color="auto"/>
          <w:left w:val="single" w:sz="12" w:space="4" w:color="auto"/>
          <w:bottom w:val="single" w:sz="12" w:space="1" w:color="auto"/>
          <w:right w:val="single" w:sz="12" w:space="4" w:color="auto"/>
        </w:pBdr>
      </w:pPr>
      <w:r>
        <w:rPr>
          <w:color w:val="000000" w:themeColor="text1"/>
        </w:rPr>
        <w:t xml:space="preserve">Treated and/or inspected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t>dragon fruit</w:t>
      </w:r>
      <w:r>
        <w:rPr>
          <w:color w:val="000000" w:themeColor="text1"/>
        </w:rPr>
        <w:fldChar w:fldCharType="end"/>
      </w:r>
      <w:r>
        <w:rPr>
          <w:color w:val="000000" w:themeColor="text1"/>
        </w:rPr>
        <w:t xml:space="preserve"> f</w:t>
      </w:r>
      <w:r w:rsidRPr="00275591">
        <w:t xml:space="preserve">or export to Australia must be kept secure and </w:t>
      </w:r>
      <w:proofErr w:type="gramStart"/>
      <w:r w:rsidRPr="00275591">
        <w:t>segregated at all times</w:t>
      </w:r>
      <w:proofErr w:type="gramEnd"/>
      <w:r w:rsidRPr="00275591">
        <w:t xml:space="preserve"> from any fruit for domestic or other markets, </w:t>
      </w:r>
      <w:r>
        <w:t xml:space="preserve">and from </w:t>
      </w:r>
      <w:r w:rsidRPr="00275591">
        <w:t>untreated/</w:t>
      </w:r>
      <w:r>
        <w:t>un</w:t>
      </w:r>
      <w:r w:rsidRPr="00275591">
        <w:t>-inspected product</w:t>
      </w:r>
      <w:r>
        <w:t>,</w:t>
      </w:r>
      <w:r w:rsidRPr="00275591">
        <w:t xml:space="preserve"> to prevent mixing or cross-contamination.</w:t>
      </w:r>
      <w:r>
        <w:t xml:space="preserve"> The area set aside for goods to Australia must be clearly identified with signage.</w:t>
      </w:r>
    </w:p>
    <w:p w14:paraId="6731BEF7" w14:textId="77777777" w:rsidR="00BC2F05" w:rsidRPr="00772548" w:rsidRDefault="00772FB6" w:rsidP="004338B9">
      <w:pPr>
        <w:pStyle w:val="Heading4"/>
      </w:pPr>
      <w:r w:rsidRPr="00772548">
        <w:t>Freedom from trash</w:t>
      </w:r>
    </w:p>
    <w:p w14:paraId="7A77F52D" w14:textId="77777777" w:rsidR="00BC2F05" w:rsidRDefault="00772FB6" w:rsidP="004338B9">
      <w:r w:rsidRPr="00772548">
        <w:t>The objective o</w:t>
      </w:r>
      <w:r>
        <w:t xml:space="preserve">f this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pro</w:t>
      </w:r>
      <w:r w:rsidRPr="00772548">
        <w:t>cedure is to ensure t</w:t>
      </w:r>
      <w:r>
        <w:t xml:space="preserve">hat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fo</w:t>
      </w:r>
      <w:r w:rsidRPr="00772548">
        <w:t xml:space="preserve">r export are free from trash </w:t>
      </w:r>
      <w:r w:rsidRPr="00321551">
        <w:t xml:space="preserve">(for example, </w:t>
      </w:r>
      <w:r>
        <w:t xml:space="preserve">loose </w:t>
      </w:r>
      <w:r w:rsidRPr="00321551">
        <w:t>stem and leaf material, seeds, soil, animal matter/parts or other extraneous material)</w:t>
      </w:r>
      <w:r>
        <w:t xml:space="preserve"> and foreign matter</w:t>
      </w:r>
      <w:r w:rsidRPr="00772548">
        <w:t>.</w:t>
      </w:r>
    </w:p>
    <w:p w14:paraId="6705AB51" w14:textId="77777777" w:rsidR="00BC2F05" w:rsidRDefault="00772FB6" w:rsidP="004338B9">
      <w:pPr>
        <w:pBdr>
          <w:top w:val="single" w:sz="12" w:space="1" w:color="auto"/>
          <w:left w:val="single" w:sz="12" w:space="4" w:color="auto"/>
          <w:bottom w:val="single" w:sz="12" w:space="1" w:color="auto"/>
          <w:right w:val="single" w:sz="12" w:space="4" w:color="auto"/>
        </w:pBdr>
      </w:pPr>
      <w:r>
        <w:t>Freedom from trash will</w:t>
      </w:r>
      <w:r w:rsidRPr="00772548">
        <w:t xml:space="preserve"> be confirmed by the inspection procedures. Export lots or consignments found to contain trash or foreign matter </w:t>
      </w:r>
      <w:r>
        <w:t>must</w:t>
      </w:r>
      <w:r w:rsidRPr="00772548">
        <w:t xml:space="preserve"> be withdrawn from export unless approved remedial action</w:t>
      </w:r>
      <w:r>
        <w:t>,</w:t>
      </w:r>
      <w:r w:rsidRPr="00772548">
        <w:t xml:space="preserve"> such as reconditioning</w:t>
      </w:r>
      <w:r>
        <w:t>,</w:t>
      </w:r>
      <w:r w:rsidRPr="00772548">
        <w:t xml:space="preserve"> is available and applied to the export consignment</w:t>
      </w:r>
      <w:r>
        <w:t xml:space="preserve"> and then </w:t>
      </w:r>
      <w:r w:rsidRPr="00772548">
        <w:t>re-inspected.</w:t>
      </w:r>
    </w:p>
    <w:p w14:paraId="5F8A38E3" w14:textId="77777777" w:rsidR="00BC2F05" w:rsidRDefault="00772FB6" w:rsidP="004338B9">
      <w:pPr>
        <w:pStyle w:val="Heading4"/>
      </w:pPr>
      <w:bookmarkStart w:id="171" w:name="Phyto_inspect"/>
      <w:r w:rsidRPr="00FF3368">
        <w:t xml:space="preserve">Pre-export </w:t>
      </w:r>
      <w:bookmarkEnd w:id="171"/>
      <w:r w:rsidRPr="00FF3368">
        <w:t>phytosanitary</w:t>
      </w:r>
      <w:r>
        <w:t xml:space="preserve"> inspection and certification by</w:t>
      </w:r>
      <w:r w:rsidRPr="001B24B3">
        <w:t xml:space="preserve"> </w:t>
      </w:r>
      <w:r>
        <w:t xml:space="preserve">the Philippines </w:t>
      </w:r>
      <w:fldSimple w:instr=" REF exportingNPPO  \* MERGEFORMAT " w:fldLock="1">
        <w:r>
          <w:t>DA</w:t>
        </w:r>
      </w:fldSimple>
    </w:p>
    <w:p w14:paraId="54B53CF9" w14:textId="77777777" w:rsidR="00BC2F05" w:rsidRPr="00FC4AFB" w:rsidRDefault="00772FB6" w:rsidP="004338B9">
      <w:r>
        <w:t>T</w:t>
      </w:r>
      <w:r w:rsidRPr="00FC4AFB">
        <w:t>he objective of th</w:t>
      </w:r>
      <w:r>
        <w:t xml:space="preserve">is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proce</w:t>
      </w:r>
      <w:r w:rsidRPr="00FC4AFB">
        <w:t xml:space="preserve">dure </w:t>
      </w:r>
      <w:r>
        <w:t>is</w:t>
      </w:r>
      <w:r w:rsidRPr="00FC4AFB">
        <w:t xml:space="preserve"> to ensure that Australia’s import conditions have been met.</w:t>
      </w:r>
      <w:r>
        <w:t xml:space="preserve"> </w:t>
      </w:r>
      <w:r w:rsidRPr="00E76DDE">
        <w:t xml:space="preserve">All consignments of </w:t>
      </w:r>
      <w:fldSimple w:instr=" REF  commodity \* Lower  \* MERGEFORMAT " w:fldLock="1">
        <w:r>
          <w:t>dragon fruit</w:t>
        </w:r>
      </w:fldSimple>
      <w:r>
        <w:t xml:space="preserve"> from </w:t>
      </w:r>
      <w:fldSimple w:instr=" REF country  \* MERGEFORMAT " w:fldLock="1">
        <w:r>
          <w:t>the Philippines</w:t>
        </w:r>
      </w:fldSimple>
      <w:r>
        <w:t xml:space="preserve"> </w:t>
      </w:r>
      <w:r w:rsidRPr="00E76DDE">
        <w:t xml:space="preserve">for export to Australia must be inspected by </w:t>
      </w:r>
      <w:r>
        <w:t xml:space="preserve">the Philippines </w:t>
      </w:r>
      <w:fldSimple w:instr=" REF exportingNPPO  \* MERGEFORMAT " w:fldLock="1">
        <w:r>
          <w:t>DA</w:t>
        </w:r>
      </w:fldSimple>
      <w:r w:rsidRPr="00E76DDE">
        <w:t xml:space="preserve"> and found free of pests of biosecurity concern for Australia. Pre-export visual inspection must be undertaken by</w:t>
      </w:r>
      <w:r>
        <w:t xml:space="preserve"> the Philippines </w:t>
      </w:r>
      <w:fldSimple w:instr=" REF exportingNPPO  \* MERGEFORMAT " w:fldLock="1">
        <w:r>
          <w:t>DA</w:t>
        </w:r>
      </w:fldSimple>
      <w:r w:rsidRPr="00E76DDE">
        <w:t xml:space="preserve"> in accordance with ISPM 23: </w:t>
      </w:r>
      <w:r w:rsidRPr="00E76DDE">
        <w:rPr>
          <w:i/>
          <w:iCs/>
        </w:rPr>
        <w:t>Guidelines for inspection</w:t>
      </w:r>
      <w:r w:rsidRPr="00E76DDE">
        <w:t xml:space="preserve"> </w:t>
      </w:r>
      <w:r>
        <w:rPr>
          <w:noProof/>
        </w:rPr>
        <w:t>(FAO 2019d)</w:t>
      </w:r>
      <w:r w:rsidRPr="00E76DDE">
        <w:t xml:space="preserve"> and consistent with the principles of ISPM 31: </w:t>
      </w:r>
      <w:r w:rsidRPr="00E76DDE">
        <w:rPr>
          <w:i/>
          <w:iCs/>
        </w:rPr>
        <w:t>Methodologies for sampling of consignments</w:t>
      </w:r>
      <w:r w:rsidRPr="00E76DDE">
        <w:t xml:space="preserve"> </w:t>
      </w:r>
      <w:r>
        <w:rPr>
          <w:noProof/>
        </w:rPr>
        <w:t>(FAO 2016b)</w:t>
      </w:r>
      <w:r>
        <w:t>. A</w:t>
      </w:r>
      <w:r w:rsidRPr="00E76DDE">
        <w:t xml:space="preserve">ny netting or artificial wrapping material </w:t>
      </w:r>
      <w:r>
        <w:t>must</w:t>
      </w:r>
      <w:r w:rsidRPr="00E76DDE">
        <w:t xml:space="preserve"> be removed during the inspection.</w:t>
      </w:r>
    </w:p>
    <w:p w14:paraId="47F0F47F" w14:textId="77777777" w:rsidR="00BC2F05" w:rsidRPr="00FC4AFB" w:rsidRDefault="00772FB6" w:rsidP="004338B9">
      <w:pPr>
        <w:pBdr>
          <w:top w:val="single" w:sz="12" w:space="1" w:color="auto"/>
          <w:left w:val="single" w:sz="12" w:space="4" w:color="auto"/>
          <w:bottom w:val="single" w:sz="12" w:space="1" w:color="auto"/>
          <w:right w:val="single" w:sz="12" w:space="4" w:color="auto"/>
        </w:pBdr>
      </w:pPr>
      <w:r>
        <w:t>All consignments must be</w:t>
      </w:r>
      <w:r w:rsidRPr="00FC4AFB">
        <w:t xml:space="preserve"> inspected </w:t>
      </w:r>
      <w:r>
        <w:t xml:space="preserve">prior to export </w:t>
      </w:r>
      <w:r w:rsidRPr="00FC4AFB">
        <w:t>in accordance w</w:t>
      </w:r>
      <w:r>
        <w:t xml:space="preserve">ith official procedures for all </w:t>
      </w:r>
      <w:proofErr w:type="gramStart"/>
      <w:r w:rsidRPr="00FC4AFB">
        <w:t>visually-detectable</w:t>
      </w:r>
      <w:proofErr w:type="gramEnd"/>
      <w:r w:rsidRPr="00FC4AFB">
        <w:t xml:space="preserve"> quarantine pests and regulated articles (including</w:t>
      </w:r>
      <w:r>
        <w:t xml:space="preserve"> trash). Sampling and inspection methods should be consistent with ISPM 23 </w:t>
      </w:r>
      <w:r>
        <w:rPr>
          <w:noProof/>
        </w:rPr>
        <w:t>(FAO 2019d)</w:t>
      </w:r>
      <w:r>
        <w:t xml:space="preserve"> and ISPM 31 </w:t>
      </w:r>
      <w:r>
        <w:rPr>
          <w:noProof/>
        </w:rPr>
        <w:t>(FAO 2016b)</w:t>
      </w:r>
      <w:r>
        <w:t xml:space="preserve"> and provide a 95% level of confidence that infestation greater than 0.5% will be detected. For a consignment equal to or greater than 1,000 units (one unit being</w:t>
      </w:r>
      <w:r>
        <w:rPr>
          <w:color w:val="000000" w:themeColor="text1"/>
        </w:rPr>
        <w:t xml:space="preserve"> one dragon fruit), this is equivalent to a 600-unit sample randomly selected across the consignment. Any netting or artificial wrapping material must be removed during the inspection.</w:t>
      </w:r>
    </w:p>
    <w:p w14:paraId="01E09664" w14:textId="77777777" w:rsidR="00BC2F05" w:rsidRDefault="00772FB6" w:rsidP="004338B9">
      <w:pPr>
        <w:pBdr>
          <w:top w:val="single" w:sz="12" w:space="1" w:color="auto"/>
          <w:left w:val="single" w:sz="12" w:space="4" w:color="auto"/>
          <w:bottom w:val="single" w:sz="12" w:space="1" w:color="auto"/>
          <w:right w:val="single" w:sz="12" w:space="4" w:color="auto"/>
        </w:pBdr>
      </w:pPr>
      <w:r w:rsidRPr="00FC4AFB">
        <w:t xml:space="preserve">A phytosanitary certificate </w:t>
      </w:r>
      <w:r>
        <w:t>must be</w:t>
      </w:r>
      <w:r w:rsidRPr="00FC4AFB">
        <w:t xml:space="preserve"> issued for each consignment upon completion of pre-export inspection </w:t>
      </w:r>
      <w:r>
        <w:t>and treatment to verify that the required risk management measures have been undertaken prior to export and that the consignment meets Australia’s import requirements.</w:t>
      </w:r>
    </w:p>
    <w:p w14:paraId="1FF61D2C" w14:textId="77777777" w:rsidR="00BC2F05" w:rsidRPr="00FC4AFB" w:rsidRDefault="00772FB6" w:rsidP="004338B9">
      <w:pPr>
        <w:pBdr>
          <w:top w:val="single" w:sz="12" w:space="1" w:color="auto"/>
          <w:left w:val="single" w:sz="12" w:space="4" w:color="auto"/>
          <w:bottom w:val="single" w:sz="12" w:space="1" w:color="auto"/>
          <w:right w:val="single" w:sz="12" w:space="4" w:color="auto"/>
        </w:pBdr>
      </w:pPr>
      <w:r w:rsidRPr="00FC4AFB">
        <w:t xml:space="preserve">Each </w:t>
      </w:r>
      <w:r>
        <w:t>phytosanitary certificate must include</w:t>
      </w:r>
      <w:r w:rsidRPr="00FC4AFB">
        <w:t>:</w:t>
      </w:r>
    </w:p>
    <w:p w14:paraId="3FC9E639" w14:textId="77777777" w:rsidR="00BC2F05" w:rsidRPr="00FC4AFB" w:rsidRDefault="00772FB6" w:rsidP="00BC2F05">
      <w:pPr>
        <w:pStyle w:val="ListBullet"/>
        <w:numPr>
          <w:ilvl w:val="0"/>
          <w:numId w:val="13"/>
        </w:numPr>
        <w:pBdr>
          <w:top w:val="single" w:sz="12" w:space="1" w:color="auto"/>
          <w:left w:val="single" w:sz="12" w:space="4" w:color="auto"/>
          <w:bottom w:val="single" w:sz="12" w:space="1" w:color="auto"/>
          <w:right w:val="single" w:sz="12" w:space="4" w:color="auto"/>
        </w:pBdr>
      </w:pPr>
      <w:r w:rsidRPr="00FC4AFB">
        <w:lastRenderedPageBreak/>
        <w:t>a description of the consignment (incl</w:t>
      </w:r>
      <w:r>
        <w:t>uding traceability information)</w:t>
      </w:r>
    </w:p>
    <w:p w14:paraId="3F91DCE4" w14:textId="77777777" w:rsidR="00BC2F05" w:rsidRDefault="00772FB6" w:rsidP="00BC2F05">
      <w:pPr>
        <w:pStyle w:val="ListBullet"/>
        <w:numPr>
          <w:ilvl w:val="0"/>
          <w:numId w:val="13"/>
        </w:numPr>
        <w:pBdr>
          <w:top w:val="single" w:sz="12" w:space="1" w:color="auto"/>
          <w:left w:val="single" w:sz="12" w:space="4" w:color="auto"/>
          <w:bottom w:val="single" w:sz="12" w:space="1" w:color="auto"/>
          <w:right w:val="single" w:sz="12" w:space="4" w:color="auto"/>
        </w:pBdr>
      </w:pPr>
      <w:r w:rsidRPr="00FC4AFB">
        <w:t xml:space="preserve">details of disinfestation treatments </w:t>
      </w:r>
      <w:r w:rsidRPr="00325B1C">
        <w:t>(</w:t>
      </w:r>
      <w:r>
        <w:t>if required</w:t>
      </w:r>
      <w:r w:rsidRPr="00325B1C">
        <w:t xml:space="preserve">) which includes </w:t>
      </w:r>
      <w:r>
        <w:t>approved facility name and address, date of treatment. In instances where irradiation is used details of absorbed dose (target and measured) and, where VHT is used, temperature and duration are to be included.</w:t>
      </w:r>
    </w:p>
    <w:p w14:paraId="59D3FBE8" w14:textId="77777777" w:rsidR="00BC2F05" w:rsidRDefault="00772FB6" w:rsidP="00BC2F05">
      <w:pPr>
        <w:pStyle w:val="ListBullet"/>
        <w:numPr>
          <w:ilvl w:val="0"/>
          <w:numId w:val="13"/>
        </w:numPr>
        <w:pBdr>
          <w:top w:val="single" w:sz="12" w:space="1" w:color="auto"/>
          <w:left w:val="single" w:sz="12" w:space="4" w:color="auto"/>
          <w:bottom w:val="single" w:sz="12" w:space="1" w:color="auto"/>
          <w:right w:val="single" w:sz="12" w:space="4" w:color="auto"/>
        </w:pBdr>
      </w:pPr>
      <w:r>
        <w:t>additional declarations that may be required such as identification of the consignment as being sourced from a recognised pest free area, pest free place of production or pest free production site.</w:t>
      </w:r>
    </w:p>
    <w:p w14:paraId="3473CE65" w14:textId="77777777" w:rsidR="00BC2F05" w:rsidRDefault="00772FB6" w:rsidP="004338B9">
      <w:pPr>
        <w:pBdr>
          <w:top w:val="single" w:sz="12" w:space="1" w:color="auto"/>
          <w:left w:val="single" w:sz="12" w:space="4" w:color="auto"/>
          <w:bottom w:val="single" w:sz="12" w:space="1" w:color="auto"/>
          <w:right w:val="single" w:sz="12" w:space="4" w:color="auto"/>
        </w:pBdr>
      </w:pPr>
      <w:r>
        <w:t>Some treatments (such as irradiation) may also require treatment certificates that accompany the phytosanitary certificate. BICON will describe where treatment certificates are required.</w:t>
      </w:r>
    </w:p>
    <w:p w14:paraId="59C1CDBC" w14:textId="77777777" w:rsidR="00BC2F05" w:rsidRPr="00772548" w:rsidRDefault="00772FB6" w:rsidP="004338B9">
      <w:pPr>
        <w:pStyle w:val="Heading4"/>
      </w:pPr>
      <w:r w:rsidRPr="00772548">
        <w:t>Phytosanitary inspection by the Department of</w:t>
      </w:r>
      <w:r>
        <w:t xml:space="preserve"> Agriculture, Fisheries and Forestry </w:t>
      </w:r>
    </w:p>
    <w:p w14:paraId="7AFE855A" w14:textId="77777777" w:rsidR="00BC2F05" w:rsidRPr="00086AA9" w:rsidRDefault="00772FB6" w:rsidP="004338B9">
      <w:pPr>
        <w:keepNext/>
      </w:pPr>
      <w:r w:rsidRPr="00086AA9">
        <w:t xml:space="preserve">The objectives of </w:t>
      </w:r>
      <w:r>
        <w:t xml:space="preserve">this </w:t>
      </w:r>
      <w:r w:rsidR="000C0A09">
        <w:fldChar w:fldCharType="begin" w:fldLock="1"/>
      </w:r>
      <w:r w:rsidR="000C0A09">
        <w:instrText xml:space="preserve"> REF proposed_recommended </w:instrText>
      </w:r>
      <w:r w:rsidR="000C0A09">
        <w:fldChar w:fldCharType="separate"/>
      </w:r>
      <w:r>
        <w:rPr>
          <w:color w:val="000000" w:themeColor="text1"/>
        </w:rPr>
        <w:t>proposed</w:t>
      </w:r>
      <w:r w:rsidR="000C0A09">
        <w:rPr>
          <w:color w:val="000000" w:themeColor="text1"/>
        </w:rPr>
        <w:fldChar w:fldCharType="end"/>
      </w:r>
      <w:r>
        <w:t xml:space="preserve"> pro</w:t>
      </w:r>
      <w:r w:rsidRPr="00086AA9">
        <w:t xml:space="preserve">cedure </w:t>
      </w:r>
      <w:proofErr w:type="gramStart"/>
      <w:r w:rsidRPr="00086AA9">
        <w:t>are</w:t>
      </w:r>
      <w:proofErr w:type="gramEnd"/>
      <w:r w:rsidRPr="00086AA9">
        <w:t xml:space="preserve"> to ensure that:</w:t>
      </w:r>
    </w:p>
    <w:p w14:paraId="114EC8A8" w14:textId="77777777" w:rsidR="00BC2F05" w:rsidRPr="00086AA9" w:rsidRDefault="00772FB6" w:rsidP="00BC2F05">
      <w:pPr>
        <w:pStyle w:val="ListBullet"/>
        <w:numPr>
          <w:ilvl w:val="0"/>
          <w:numId w:val="11"/>
        </w:numPr>
      </w:pPr>
      <w:r w:rsidRPr="00086AA9">
        <w:t>consignments comply with Australian import requirements</w:t>
      </w:r>
    </w:p>
    <w:p w14:paraId="16748B5B" w14:textId="77777777" w:rsidR="00BC2F05" w:rsidRDefault="00772FB6" w:rsidP="00BC2F05">
      <w:pPr>
        <w:pStyle w:val="ListBullet"/>
        <w:numPr>
          <w:ilvl w:val="0"/>
          <w:numId w:val="11"/>
        </w:numPr>
      </w:pPr>
      <w:r w:rsidRPr="00086AA9">
        <w:t>consignments are as described on the phytosanitary certificate</w:t>
      </w:r>
    </w:p>
    <w:p w14:paraId="1012EFFD" w14:textId="77777777" w:rsidR="00BC2F05" w:rsidRPr="00086AA9" w:rsidRDefault="00772FB6" w:rsidP="00BC2F05">
      <w:pPr>
        <w:pStyle w:val="ListBullet"/>
        <w:numPr>
          <w:ilvl w:val="0"/>
          <w:numId w:val="11"/>
        </w:numPr>
      </w:pPr>
      <w:r w:rsidRPr="00086AA9">
        <w:t>quarantine integrity has been maintained.</w:t>
      </w:r>
    </w:p>
    <w:p w14:paraId="418D6CCA" w14:textId="77777777" w:rsidR="00BC2F05" w:rsidRPr="00425C28" w:rsidRDefault="00772FB6" w:rsidP="004338B9">
      <w:pPr>
        <w:pBdr>
          <w:top w:val="single" w:sz="12" w:space="1" w:color="auto"/>
          <w:left w:val="single" w:sz="12" w:space="4" w:color="auto"/>
          <w:bottom w:val="single" w:sz="12" w:space="1" w:color="auto"/>
          <w:right w:val="single" w:sz="12" w:space="4" w:color="auto"/>
        </w:pBdr>
        <w:rPr>
          <w:color w:val="000000"/>
        </w:rPr>
      </w:pPr>
      <w:r w:rsidRPr="00425C28">
        <w:t xml:space="preserve">On arrival in Australia, the </w:t>
      </w:r>
      <w:r>
        <w:rPr>
          <w:color w:val="000000"/>
        </w:rPr>
        <w:t xml:space="preserve">department </w:t>
      </w:r>
      <w:r w:rsidRPr="00425C28">
        <w:rPr>
          <w:color w:val="000000"/>
        </w:rPr>
        <w:t>will:</w:t>
      </w:r>
    </w:p>
    <w:p w14:paraId="69935DD8" w14:textId="77777777" w:rsidR="00BC2F05" w:rsidRPr="00086AA9" w:rsidRDefault="00772FB6" w:rsidP="00BC2F05">
      <w:pPr>
        <w:pStyle w:val="ListBullet"/>
        <w:numPr>
          <w:ilvl w:val="0"/>
          <w:numId w:val="12"/>
        </w:numPr>
        <w:pBdr>
          <w:top w:val="single" w:sz="12" w:space="1" w:color="auto"/>
          <w:left w:val="single" w:sz="12" w:space="4" w:color="auto"/>
          <w:bottom w:val="single" w:sz="12" w:space="1" w:color="auto"/>
          <w:right w:val="single" w:sz="12" w:space="4" w:color="auto"/>
        </w:pBdr>
      </w:pPr>
      <w:r w:rsidRPr="00086AA9">
        <w:t>assess documentation to verify that the consignment is as described on the phytosanitary certificate, that required phytosanitary actions have been undertaken, and that product security has been maintained</w:t>
      </w:r>
    </w:p>
    <w:p w14:paraId="558406DA" w14:textId="77777777" w:rsidR="00BC2F05" w:rsidRPr="003F3CE1" w:rsidRDefault="00772FB6" w:rsidP="00BC2F05">
      <w:pPr>
        <w:pStyle w:val="ListBullet"/>
        <w:numPr>
          <w:ilvl w:val="0"/>
          <w:numId w:val="12"/>
        </w:numPr>
        <w:pBdr>
          <w:top w:val="single" w:sz="12" w:space="1" w:color="auto"/>
          <w:left w:val="single" w:sz="12" w:space="4" w:color="auto"/>
          <w:bottom w:val="single" w:sz="12" w:space="1" w:color="auto"/>
          <w:right w:val="single" w:sz="12" w:space="4" w:color="auto"/>
        </w:pBdr>
        <w:rPr>
          <w:color w:val="000000" w:themeColor="text1"/>
        </w:rPr>
      </w:pPr>
      <w:r>
        <w:t xml:space="preserve">verify that the </w:t>
      </w:r>
      <w:r w:rsidRPr="00086AA9">
        <w:t>biosecurity status of consignment</w:t>
      </w:r>
      <w:r>
        <w:t xml:space="preserve">s of </w:t>
      </w:r>
      <w:r w:rsidR="000C0A09">
        <w:fldChar w:fldCharType="begin" w:fldLock="1"/>
      </w:r>
      <w:r w:rsidR="000C0A09">
        <w:instrText xml:space="preserve"> </w:instrText>
      </w:r>
      <w:r w:rsidR="000C0A09">
        <w:instrText xml:space="preserve">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meet </w:t>
      </w:r>
      <w:r w:rsidRPr="00086AA9">
        <w:t xml:space="preserve">Australia’s import </w:t>
      </w:r>
      <w:r>
        <w:t>requirements</w:t>
      </w:r>
      <w:r w:rsidRPr="00086AA9">
        <w:t xml:space="preserve">. When inspecting consignments, the </w:t>
      </w:r>
      <w:r w:rsidRPr="00086AA9">
        <w:rPr>
          <w:color w:val="000000"/>
        </w:rPr>
        <w:t xml:space="preserve">department </w:t>
      </w:r>
      <w:r w:rsidRPr="00086AA9">
        <w:t>will use random samples of 600 units</w:t>
      </w:r>
      <w:r>
        <w:t>, or equivalent</w:t>
      </w:r>
      <w:r w:rsidRPr="00086AA9">
        <w:t xml:space="preserve"> per phytosanitary certificate</w:t>
      </w:r>
      <w:r>
        <w:t xml:space="preserve"> </w:t>
      </w:r>
      <w:r w:rsidRPr="007E041A">
        <w:rPr>
          <w:color w:val="000000" w:themeColor="text1"/>
        </w:rPr>
        <w:t xml:space="preserve">and </w:t>
      </w:r>
      <w:r>
        <w:rPr>
          <w:color w:val="000000" w:themeColor="text1"/>
        </w:rPr>
        <w:t xml:space="preserve">an </w:t>
      </w:r>
      <w:r w:rsidRPr="007E041A">
        <w:rPr>
          <w:color w:val="000000" w:themeColor="text1"/>
        </w:rPr>
        <w:t>inspection method suitable for the commodity.</w:t>
      </w:r>
    </w:p>
    <w:p w14:paraId="4507BBCD" w14:textId="77777777" w:rsidR="00BC2F05" w:rsidRPr="00177F48" w:rsidRDefault="00772FB6" w:rsidP="004338B9">
      <w:pPr>
        <w:pStyle w:val="Heading4"/>
      </w:pPr>
      <w:r w:rsidRPr="00177F48">
        <w:t>Remedial action(s) for non-compliance</w:t>
      </w:r>
    </w:p>
    <w:p w14:paraId="54BC82CF" w14:textId="77777777" w:rsidR="00BC2F05" w:rsidRPr="00086AA9" w:rsidRDefault="00772FB6" w:rsidP="004338B9">
      <w:r w:rsidRPr="00086AA9">
        <w:t>The objectives of remedial action(s) for non-compliance are to ensure that:</w:t>
      </w:r>
    </w:p>
    <w:p w14:paraId="5EF32925" w14:textId="77777777" w:rsidR="00BC2F05" w:rsidRPr="00086AA9" w:rsidRDefault="00772FB6" w:rsidP="00BC2F05">
      <w:pPr>
        <w:pStyle w:val="ListBullet"/>
        <w:numPr>
          <w:ilvl w:val="0"/>
          <w:numId w:val="11"/>
        </w:numPr>
      </w:pPr>
      <w:r w:rsidRPr="00086AA9">
        <w:t>any quarantine pest or regulated article, including trash, is addressed by remedial action, as appropriate</w:t>
      </w:r>
    </w:p>
    <w:p w14:paraId="317E6A80" w14:textId="77777777" w:rsidR="00BC2F05" w:rsidRPr="00086AA9" w:rsidRDefault="00772FB6" w:rsidP="00BC2F05">
      <w:pPr>
        <w:pStyle w:val="ListBullet"/>
        <w:numPr>
          <w:ilvl w:val="0"/>
          <w:numId w:val="11"/>
        </w:numPr>
      </w:pPr>
      <w:r w:rsidRPr="00086AA9">
        <w:t>non-compliance with import requirement</w:t>
      </w:r>
      <w:r>
        <w:t>s</w:t>
      </w:r>
      <w:r w:rsidRPr="00086AA9">
        <w:t xml:space="preserve"> is addressed, as appropriate.</w:t>
      </w:r>
    </w:p>
    <w:p w14:paraId="59C88637" w14:textId="77777777" w:rsidR="00BC2F05" w:rsidRPr="00086AA9" w:rsidRDefault="00772FB6" w:rsidP="004338B9">
      <w:pPr>
        <w:pBdr>
          <w:top w:val="single" w:sz="12" w:space="1" w:color="auto"/>
          <w:left w:val="single" w:sz="12" w:space="4" w:color="auto"/>
          <w:bottom w:val="single" w:sz="12" w:space="1" w:color="auto"/>
          <w:right w:val="single" w:sz="12" w:space="4" w:color="auto"/>
        </w:pBdr>
      </w:pPr>
      <w:r w:rsidRPr="00086AA9">
        <w:t xml:space="preserve">Any consignment that fails to meet Australia’s import </w:t>
      </w:r>
      <w:r>
        <w:t>requirements</w:t>
      </w:r>
      <w:r w:rsidRPr="00086AA9">
        <w:t xml:space="preserve"> will be subject to suitable remedial treatment where an effective treatment is available </w:t>
      </w:r>
      <w:r>
        <w:t xml:space="preserve">for the identified </w:t>
      </w:r>
      <w:r w:rsidRPr="00086AA9">
        <w:t>biosecurity risks</w:t>
      </w:r>
      <w:r>
        <w:t>. Where an effective treatment is not available, t</w:t>
      </w:r>
      <w:r w:rsidRPr="00086AA9">
        <w:t>he imported consignment will be exported or destroyed.</w:t>
      </w:r>
    </w:p>
    <w:p w14:paraId="7CD1E463" w14:textId="77777777" w:rsidR="00BC2F05" w:rsidRPr="00772548" w:rsidRDefault="00772FB6" w:rsidP="004338B9">
      <w:r w:rsidRPr="00772548">
        <w:t>Other actions</w:t>
      </w:r>
      <w:r>
        <w:t>,</w:t>
      </w:r>
      <w:r w:rsidRPr="00772548">
        <w:t xml:space="preserve"> </w:t>
      </w:r>
      <w:r>
        <w:t xml:space="preserve">including partial or complete suspension of the import pathway, </w:t>
      </w:r>
      <w:r w:rsidRPr="00772548">
        <w:t xml:space="preserve">may be taken depending on the </w:t>
      </w:r>
      <w:r>
        <w:t xml:space="preserve">identity and/or importance of the pest intercepted, for example, </w:t>
      </w:r>
      <w:r>
        <w:rPr>
          <w:iCs/>
        </w:rPr>
        <w:t>fruit flies</w:t>
      </w:r>
      <w:r>
        <w:t xml:space="preserve"> of economic importance, or pests for which PFAs, PFPPs or PFPSs are established</w:t>
      </w:r>
      <w:r w:rsidRPr="00772548">
        <w:t>.</w:t>
      </w:r>
    </w:p>
    <w:p w14:paraId="1B33A633" w14:textId="77777777" w:rsidR="00BC2F05" w:rsidRDefault="00772FB6" w:rsidP="004338B9">
      <w:proofErr w:type="gramStart"/>
      <w:r>
        <w:t>In the event that</w:t>
      </w:r>
      <w:proofErr w:type="gramEnd"/>
      <w:r>
        <w:rPr>
          <w:color w:val="000000" w:themeColor="text1"/>
        </w:rPr>
        <w:t xml:space="preserve"> </w:t>
      </w:r>
      <w:r w:rsidRPr="00772548">
        <w:t>consignmen</w:t>
      </w:r>
      <w:r>
        <w:t xml:space="preserve">ts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from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are rep</w:t>
      </w:r>
      <w:r w:rsidRPr="00772548">
        <w:t xml:space="preserve">eatedly non-compliant, </w:t>
      </w:r>
      <w:r>
        <w:t>the department may require enhanced risk management measures, including mandatory phytosanitary treatment. The department</w:t>
      </w:r>
      <w:r w:rsidRPr="00772548">
        <w:t xml:space="preserve"> reserves the right to suspend imports (either</w:t>
      </w:r>
      <w:r>
        <w:t xml:space="preserve"> </w:t>
      </w:r>
      <w:r w:rsidRPr="00772548">
        <w:t>all imports, o</w:t>
      </w:r>
      <w:r>
        <w:t>r imports from specific pathways</w:t>
      </w:r>
      <w:r w:rsidRPr="00772548">
        <w:t xml:space="preserve">) and </w:t>
      </w:r>
      <w:r>
        <w:t xml:space="preserve">to </w:t>
      </w:r>
      <w:r w:rsidRPr="00772548">
        <w:t xml:space="preserve">conduct an audit of the risk </w:t>
      </w:r>
      <w:r w:rsidRPr="00772548">
        <w:lastRenderedPageBreak/>
        <w:t xml:space="preserve">management systems. Imports will </w:t>
      </w:r>
      <w:r>
        <w:t xml:space="preserve">be allowed to </w:t>
      </w:r>
      <w:r w:rsidRPr="00772548">
        <w:t>recommence only whe</w:t>
      </w:r>
      <w:r>
        <w:t xml:space="preserve">n the department </w:t>
      </w:r>
      <w:r w:rsidRPr="00772548">
        <w:t>is satisfied that appropriate corrective action has been undertaken.</w:t>
      </w:r>
    </w:p>
    <w:p w14:paraId="277BAC4D" w14:textId="77777777" w:rsidR="00BC2F05" w:rsidRPr="00772548" w:rsidRDefault="00772FB6" w:rsidP="004338B9">
      <w:pPr>
        <w:pStyle w:val="Heading3"/>
      </w:pPr>
      <w:bookmarkStart w:id="172" w:name="_Toc389741459"/>
      <w:bookmarkStart w:id="173" w:name="_Toc524598961"/>
      <w:bookmarkStart w:id="174" w:name="_Toc119493111"/>
      <w:r w:rsidRPr="00772548">
        <w:t>Uncategorised pests</w:t>
      </w:r>
      <w:bookmarkEnd w:id="172"/>
      <w:bookmarkEnd w:id="173"/>
      <w:bookmarkEnd w:id="174"/>
    </w:p>
    <w:p w14:paraId="4E8DBB2C" w14:textId="77777777" w:rsidR="00BC2F05" w:rsidRPr="00772548" w:rsidRDefault="00772FB6" w:rsidP="004338B9">
      <w:r w:rsidRPr="00772548">
        <w:t>If an organism that has not been categorised, including</w:t>
      </w:r>
      <w:r>
        <w:t xml:space="preserve"> a contaminant pest, is detected on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on ar</w:t>
      </w:r>
      <w:r w:rsidRPr="00772548">
        <w:t xml:space="preserve">rival in Australia, it will </w:t>
      </w:r>
      <w:r>
        <w:t xml:space="preserve">require assessment </w:t>
      </w:r>
      <w:r w:rsidRPr="00772548">
        <w:t xml:space="preserve">by the </w:t>
      </w:r>
      <w:r>
        <w:t>department</w:t>
      </w:r>
      <w:r w:rsidRPr="00772548">
        <w:t xml:space="preserve"> to dete</w:t>
      </w:r>
      <w:r>
        <w:t xml:space="preserve">rmine its quarantine status and </w:t>
      </w:r>
      <w:r w:rsidRPr="00772548">
        <w:t>whether phytosanitary action is required.</w:t>
      </w:r>
    </w:p>
    <w:p w14:paraId="2E525F7A" w14:textId="77777777" w:rsidR="00BC2F05" w:rsidRDefault="00772FB6" w:rsidP="004338B9">
      <w:r w:rsidRPr="00E76DDE">
        <w:t>Assessment is also required if the detected species was categorised as not likely to be on the import pathway. If the detected species was categorised as on the pathway but assessed as having an unrestricted risk that achieves the ALOP for Australia, then it may require re</w:t>
      </w:r>
      <w:r>
        <w:t>-</w:t>
      </w:r>
      <w:r w:rsidRPr="00E76DDE">
        <w:t xml:space="preserve">assessment. The detection of any pests of biosecurity concern not already identified in the analysis may result in remedial action and/or temporary suspension of trade while a review is conducted to ensure that existing measures continue to provide </w:t>
      </w:r>
      <w:r>
        <w:t xml:space="preserve">the ALOP for </w:t>
      </w:r>
      <w:r w:rsidRPr="00772548">
        <w:t>Australia.</w:t>
      </w:r>
    </w:p>
    <w:p w14:paraId="292592A7" w14:textId="77777777" w:rsidR="00BC2F05" w:rsidRPr="00772548" w:rsidRDefault="00772FB6" w:rsidP="004338B9">
      <w:pPr>
        <w:pStyle w:val="Heading3"/>
      </w:pPr>
      <w:bookmarkStart w:id="175" w:name="_Toc524598962"/>
      <w:bookmarkStart w:id="176" w:name="_Toc119493112"/>
      <w:r w:rsidRPr="00772548">
        <w:t>Review of processes</w:t>
      </w:r>
      <w:bookmarkEnd w:id="175"/>
      <w:bookmarkEnd w:id="176"/>
    </w:p>
    <w:p w14:paraId="2177E783" w14:textId="77777777" w:rsidR="00BC2F05" w:rsidRPr="00772548" w:rsidRDefault="00772FB6" w:rsidP="004338B9">
      <w:pPr>
        <w:pStyle w:val="Heading4"/>
      </w:pPr>
      <w:r w:rsidRPr="00772548">
        <w:t>Verification of protocol</w:t>
      </w:r>
    </w:p>
    <w:p w14:paraId="0FF95413" w14:textId="77777777" w:rsidR="00BC2F05" w:rsidRPr="00772548" w:rsidRDefault="00772FB6" w:rsidP="004338B9">
      <w:pPr>
        <w:rPr>
          <w:shd w:val="clear" w:color="auto" w:fill="D9E2F3" w:themeFill="accent1" w:themeFillTint="33"/>
        </w:rPr>
      </w:pPr>
      <w:r w:rsidRPr="00772548">
        <w:t xml:space="preserve">Prior to or during the first season of trade, the </w:t>
      </w:r>
      <w:r>
        <w:t xml:space="preserve">department </w:t>
      </w:r>
      <w:r w:rsidRPr="00772548">
        <w:t>will ver</w:t>
      </w:r>
      <w:r>
        <w:t>ify the implementation of the required</w:t>
      </w:r>
      <w:r w:rsidRPr="00772548">
        <w:t xml:space="preserve"> import </w:t>
      </w:r>
      <w:r>
        <w:t xml:space="preserve">requirements including registration, operational </w:t>
      </w:r>
      <w:proofErr w:type="gramStart"/>
      <w:r>
        <w:t>procedures</w:t>
      </w:r>
      <w:proofErr w:type="gramEnd"/>
      <w:r>
        <w:t xml:space="preserve"> and treatment providers,</w:t>
      </w:r>
      <w:r w:rsidRPr="00772548">
        <w:t xml:space="preserve"> where applicable. This may involve representatives from the </w:t>
      </w:r>
      <w:r>
        <w:t>department</w:t>
      </w:r>
      <w:r w:rsidRPr="00772548">
        <w:t xml:space="preserve"> </w:t>
      </w:r>
      <w:r>
        <w:t xml:space="preserve">visiting areas in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that produce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for </w:t>
      </w:r>
      <w:r w:rsidRPr="00772548">
        <w:t>export to Australia.</w:t>
      </w:r>
    </w:p>
    <w:p w14:paraId="6B1B1B51" w14:textId="77777777" w:rsidR="00BC2F05" w:rsidRPr="00772548" w:rsidRDefault="00772FB6" w:rsidP="004338B9">
      <w:pPr>
        <w:pStyle w:val="Heading4"/>
      </w:pPr>
      <w:r w:rsidRPr="00772548">
        <w:t>Review of policy</w:t>
      </w:r>
    </w:p>
    <w:p w14:paraId="09F3D808" w14:textId="77777777" w:rsidR="00BC2F05" w:rsidRDefault="00772FB6" w:rsidP="004338B9">
      <w:r w:rsidRPr="00D947B0">
        <w:t xml:space="preserve">The department will review the import policy after a suitable volume of trade has been achieved to ensure import requirements continue to be appropriate to </w:t>
      </w:r>
      <w:r>
        <w:t xml:space="preserve">manage </w:t>
      </w:r>
      <w:r w:rsidRPr="00D947B0">
        <w:t>the biosecurity risk of the pathway. In addition, the department reserves the right to review the import policy as deemed necessary</w:t>
      </w:r>
      <w:r>
        <w:t>. This may include</w:t>
      </w:r>
      <w:r w:rsidRPr="00D947B0">
        <w:t xml:space="preserve"> if there is reason to believe that the pest or phytosanitary status i</w:t>
      </w:r>
      <w:r>
        <w:t xml:space="preserve">n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h</w:t>
      </w:r>
      <w:r w:rsidRPr="00D947B0">
        <w:t>as changed, or where alternative risk management or compliance</w:t>
      </w:r>
      <w:r>
        <w:t>-</w:t>
      </w:r>
      <w:r w:rsidRPr="00D947B0">
        <w:t>based intervention options become available.</w:t>
      </w:r>
    </w:p>
    <w:p w14:paraId="6AB36A12" w14:textId="77777777" w:rsidR="00BC2F05" w:rsidRDefault="00772FB6" w:rsidP="004338B9">
      <w:r>
        <w:t>The Department of Agriculture m</w:t>
      </w:r>
      <w:r w:rsidRPr="00772548">
        <w:t xml:space="preserve">ust inform the </w:t>
      </w:r>
      <w:r>
        <w:t>department</w:t>
      </w:r>
      <w:r w:rsidRPr="00772548">
        <w:t xml:space="preserve"> immedia</w:t>
      </w:r>
      <w:r>
        <w:t xml:space="preserve">tely on the detection of any new pests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in </w:t>
      </w:r>
      <w:r w:rsidR="000C0A09">
        <w:fldChar w:fldCharType="begin" w:fldLock="1"/>
      </w:r>
      <w:r w:rsidR="000C0A09">
        <w:instrText xml:space="preserve"> REF country  \* MERGEFORMAT </w:instrText>
      </w:r>
      <w:r w:rsidR="000C0A09">
        <w:fldChar w:fldCharType="separate"/>
      </w:r>
      <w:r>
        <w:t>the Philippines</w:t>
      </w:r>
      <w:r w:rsidR="000C0A09">
        <w:fldChar w:fldCharType="end"/>
      </w:r>
      <w:r>
        <w:t xml:space="preserve"> that might be</w:t>
      </w:r>
      <w:r w:rsidRPr="00772548">
        <w:t xml:space="preserve"> of potential biosecurity concern to</w:t>
      </w:r>
      <w:r>
        <w:t xml:space="preserve"> Australia.</w:t>
      </w:r>
      <w:bookmarkStart w:id="177" w:name="_Toc524598963"/>
    </w:p>
    <w:p w14:paraId="7FF91318" w14:textId="77777777" w:rsidR="00BC2F05" w:rsidRPr="00772548" w:rsidRDefault="00772FB6" w:rsidP="004338B9">
      <w:pPr>
        <w:pStyle w:val="Heading3"/>
      </w:pPr>
      <w:bookmarkStart w:id="178" w:name="_Toc119493113"/>
      <w:r>
        <w:t xml:space="preserve">Meeting Australia’s food </w:t>
      </w:r>
      <w:r w:rsidRPr="00772548">
        <w:t>laws</w:t>
      </w:r>
      <w:bookmarkEnd w:id="177"/>
      <w:bookmarkEnd w:id="178"/>
    </w:p>
    <w:p w14:paraId="115E88C4" w14:textId="77777777" w:rsidR="00BC2F05" w:rsidRDefault="00772FB6" w:rsidP="005337BB">
      <w:r>
        <w:t>In addition to meeting Australia's biosecurity laws, i</w:t>
      </w:r>
      <w:r w:rsidRPr="00772548">
        <w:t xml:space="preserve">mported food for human consumption must comply with the requirements of the </w:t>
      </w:r>
      <w:r w:rsidRPr="00F56523">
        <w:rPr>
          <w:rStyle w:val="Emphasis"/>
        </w:rPr>
        <w:t>Imported Food Control Act 1992</w:t>
      </w:r>
      <w:r w:rsidRPr="00772548">
        <w:t>, as well as Australian state and territory food laws. Among other things, these laws require all food, including imported food, to meet the standards set out in the Australia New Zealand Food Standards Code (the Code).</w:t>
      </w:r>
    </w:p>
    <w:p w14:paraId="5D7A5A8D" w14:textId="77777777" w:rsidR="00A74525" w:rsidRPr="00772548" w:rsidRDefault="00772FB6" w:rsidP="00A74525">
      <w:pPr>
        <w:rPr>
          <w:rFonts w:eastAsiaTheme="minorEastAsia" w:cs="Times New Roman"/>
        </w:rPr>
      </w:pPr>
      <w:r>
        <w:t xml:space="preserve">Food Standards Australia New Zealand (FSANZ) is responsible for developing and maintaining the Code. </w:t>
      </w:r>
      <w:r w:rsidR="00A74525">
        <w:t xml:space="preserve">The Code is available at </w:t>
      </w:r>
      <w:hyperlink r:id="rId79" w:history="1">
        <w:r w:rsidR="00A74525" w:rsidRPr="00F56523">
          <w:rPr>
            <w:rStyle w:val="Hyperlink"/>
          </w:rPr>
          <w:t>foodstandards.gov.au/code/Pages/default.aspx</w:t>
        </w:r>
      </w:hyperlink>
      <w:r w:rsidR="00A74525">
        <w:t>.</w:t>
      </w:r>
    </w:p>
    <w:p w14:paraId="39F0CAE2" w14:textId="77777777" w:rsidR="00A74525" w:rsidRDefault="00A74525" w:rsidP="00A74525">
      <w:r>
        <w:t xml:space="preserve">The department </w:t>
      </w:r>
      <w:r w:rsidRPr="00772548">
        <w:t xml:space="preserve">administers the </w:t>
      </w:r>
      <w:r w:rsidRPr="00F56523">
        <w:rPr>
          <w:rStyle w:val="Emphasis"/>
        </w:rPr>
        <w:t>Imported Food Control Act 1992</w:t>
      </w:r>
      <w:r w:rsidRPr="00F56523">
        <w:t xml:space="preserve"> which</w:t>
      </w:r>
      <w:r>
        <w:rPr>
          <w:rStyle w:val="StyleItalic"/>
          <w:i w:val="0"/>
          <w:iCs w:val="0"/>
        </w:rPr>
        <w:t xml:space="preserve"> supports the inspection and testing of imported food to verify its safety and compliance with Australia's food standards, including the Code</w:t>
      </w:r>
      <w:r w:rsidRPr="00772548">
        <w:t xml:space="preserve">. </w:t>
      </w:r>
      <w:r>
        <w:t xml:space="preserve">This is undertaken through a risk-based border inspection program, </w:t>
      </w:r>
      <w:r w:rsidRPr="00772548">
        <w:t xml:space="preserve">the </w:t>
      </w:r>
      <w:r w:rsidRPr="00772548">
        <w:lastRenderedPageBreak/>
        <w:t xml:space="preserve">Imported Food Inspection Scheme. More information </w:t>
      </w:r>
      <w:r>
        <w:t>about this</w:t>
      </w:r>
      <w:r w:rsidRPr="00772548">
        <w:t xml:space="preserve"> scheme</w:t>
      </w:r>
      <w:r>
        <w:t xml:space="preserve"> </w:t>
      </w:r>
      <w:r w:rsidRPr="00772548">
        <w:t xml:space="preserve">is available </w:t>
      </w:r>
      <w:r w:rsidRPr="00AF100A">
        <w:t>at</w:t>
      </w:r>
      <w:r>
        <w:t xml:space="preserve"> </w:t>
      </w:r>
      <w:hyperlink r:id="rId80" w:history="1">
        <w:r>
          <w:rPr>
            <w:rStyle w:val="Hyperlink"/>
          </w:rPr>
          <w:t>agriculture.gov.au/biosecurity-trade/import/goods/food/inspection-testing/ifis</w:t>
        </w:r>
      </w:hyperlink>
      <w:r>
        <w:t>.</w:t>
      </w:r>
    </w:p>
    <w:p w14:paraId="73ED7D06" w14:textId="65A41D03" w:rsidR="00BC2F05" w:rsidRDefault="00772FB6" w:rsidP="00A74525">
      <w:r w:rsidRPr="00180AEA">
        <w:t>Standards 1.1.1, 1.1.2 and 1.4.4 of the Code specify that a food for sale must not consist of, or have as an ingredient or a component, a prohibited or restricted plant or fungus</w:t>
      </w:r>
      <w:r>
        <w:t>,</w:t>
      </w:r>
      <w:r w:rsidRPr="00180AEA">
        <w:t xml:space="preserve"> unless expressly permitted by the Code. The prohibited and restricted plants and fungi are listed in Schedules 23 and 24 of the Code, respectively.</w:t>
      </w:r>
    </w:p>
    <w:p w14:paraId="78E2481C" w14:textId="77777777" w:rsidR="00BC2F05" w:rsidRDefault="00772FB6" w:rsidP="005337BB">
      <w:r>
        <w:t xml:space="preserve">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w:t>
      </w:r>
      <w:proofErr w:type="spellStart"/>
      <w:r>
        <w:t>agvet</w:t>
      </w:r>
      <w:proofErr w:type="spellEnd"/>
      <w:r>
        <w:t xml:space="preserve"> chemical, or a metabolite or a degradation product of the </w:t>
      </w:r>
      <w:proofErr w:type="spellStart"/>
      <w:r>
        <w:t>agvet</w:t>
      </w:r>
      <w:proofErr w:type="spellEnd"/>
      <w:r>
        <w:t xml:space="preserve"> chemical, unless expressly permitted by the Code.</w:t>
      </w:r>
    </w:p>
    <w:p w14:paraId="1BF560F8" w14:textId="20E91A1A" w:rsidR="00BC2F05" w:rsidRPr="00986F1A" w:rsidRDefault="00772FB6" w:rsidP="005337BB">
      <w:pPr>
        <w:sectPr w:rsidR="00BC2F05" w:rsidRPr="00986F1A" w:rsidSect="00976665">
          <w:headerReference w:type="default" r:id="rId81"/>
          <w:pgSz w:w="11906" w:h="16838"/>
          <w:pgMar w:top="1418" w:right="1418" w:bottom="1418" w:left="1418" w:header="567" w:footer="454" w:gutter="0"/>
          <w:cols w:space="708"/>
          <w:docGrid w:linePitch="360"/>
        </w:sectPr>
      </w:pPr>
      <w:r>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w:t>
      </w:r>
      <w:r w:rsidR="00A74525">
        <w:t xml:space="preserve">at </w:t>
      </w:r>
      <w:hyperlink r:id="rId82" w:history="1">
        <w:r w:rsidR="00A74525">
          <w:rPr>
            <w:rStyle w:val="Hyperlink"/>
          </w:rPr>
          <w:t>agriculture.gov.au/biosecurity-trade/import/goods/food/lodge/safety-management-certificates</w:t>
        </w:r>
      </w:hyperlink>
      <w:r>
        <w:t>.</w:t>
      </w:r>
    </w:p>
    <w:p w14:paraId="2F95DB3E" w14:textId="77777777" w:rsidR="00BC2F05" w:rsidRDefault="00772FB6" w:rsidP="00307939">
      <w:pPr>
        <w:pStyle w:val="Heading2"/>
      </w:pPr>
      <w:bookmarkStart w:id="179" w:name="_Toc119493114"/>
      <w:bookmarkEnd w:id="147"/>
      <w:bookmarkEnd w:id="148"/>
      <w:r>
        <w:lastRenderedPageBreak/>
        <w:t>Conclusion</w:t>
      </w:r>
      <w:bookmarkEnd w:id="179"/>
    </w:p>
    <w:p w14:paraId="2308A880" w14:textId="77777777" w:rsidR="00BC2F05" w:rsidRDefault="00772FB6" w:rsidP="00307939">
      <w:r>
        <w:t xml:space="preserve">This draft risk analysis report was conducted to assess the proposal by </w:t>
      </w:r>
      <w:r>
        <w:rPr>
          <w:color w:val="000000" w:themeColor="text1"/>
        </w:rPr>
        <w:t>the Philippines</w:t>
      </w:r>
      <w:r>
        <w:t xml:space="preserve"> for market access to Australia for dragon fruit for human consumption.</w:t>
      </w:r>
    </w:p>
    <w:p w14:paraId="1E34FB36" w14:textId="77777777" w:rsidR="00BC2F05" w:rsidRDefault="00772FB6" w:rsidP="00307939">
      <w:r>
        <w:t xml:space="preserve">The risk analysis was conducted in accordance with Australia's method for pest risk analysis (Appendix A), which is consistent with the International Standards for Phytosanitary Measures (ISPMs), including ISPM 2: </w:t>
      </w:r>
      <w:r>
        <w:rPr>
          <w:i/>
          <w:iCs/>
        </w:rPr>
        <w:t>Framework for pest risk analysis</w:t>
      </w:r>
      <w:r>
        <w:t xml:space="preserve"> </w:t>
      </w:r>
      <w:r>
        <w:rPr>
          <w:noProof/>
        </w:rPr>
        <w:t>(FAO 2019a)</w:t>
      </w:r>
      <w:r>
        <w:t xml:space="preserve"> and ISPM 11: </w:t>
      </w:r>
      <w:r>
        <w:rPr>
          <w:i/>
          <w:iCs/>
        </w:rPr>
        <w:t>Pest risk analysis for quarantine pests</w:t>
      </w:r>
      <w:r>
        <w:t xml:space="preserve"> </w:t>
      </w:r>
      <w:r>
        <w:rPr>
          <w:noProof/>
        </w:rPr>
        <w:t>(FAO 2019b)</w:t>
      </w:r>
      <w:r>
        <w:t xml:space="preserve">, and the WTO Agreement on the Application of Sanitary and Phytosanitary Measures </w:t>
      </w:r>
      <w:r>
        <w:rPr>
          <w:noProof/>
        </w:rPr>
        <w:t>(WTO 1995)</w:t>
      </w:r>
      <w:r>
        <w:t>.</w:t>
      </w:r>
    </w:p>
    <w:p w14:paraId="71960FBF" w14:textId="77777777" w:rsidR="00BC2F05" w:rsidRDefault="00772FB6" w:rsidP="00307939">
      <w:r>
        <w:t xml:space="preserve">In conclusion, this </w:t>
      </w:r>
      <w:fldSimple w:instr=" REF draft_final  \* MERGEFORMAT " w:fldLock="1">
        <w:r>
          <w:t>draft</w:t>
        </w:r>
      </w:fldSimple>
      <w:r>
        <w:t xml:space="preserve"> report proposes that the importation of commercially produced </w:t>
      </w:r>
      <w:fldSimple w:instr=" REF  commodity \* Lower  \* MERGEFORMAT " w:fldLock="1">
        <w:r>
          <w:t>dragon fruit</w:t>
        </w:r>
      </w:fldSimple>
      <w:r>
        <w:t xml:space="preserve"> to Australia from all commercial export production areas of the Philippines be permitted, subject to a range of biosecurity requirements outlined in Chapter 4.</w:t>
      </w:r>
    </w:p>
    <w:p w14:paraId="24E6F704" w14:textId="77777777" w:rsidR="00BC2F05" w:rsidRDefault="00772FB6" w:rsidP="00307939">
      <w:r>
        <w:t xml:space="preserve">The findings of this </w:t>
      </w:r>
      <w:fldSimple w:instr=" REF draft_final  \* MERGEFORMAT " w:fldLock="1">
        <w:r>
          <w:t>draft</w:t>
        </w:r>
      </w:fldSimple>
      <w:r>
        <w:t xml:space="preserve"> report </w:t>
      </w:r>
      <w:proofErr w:type="gramStart"/>
      <w:r>
        <w:t>are</w:t>
      </w:r>
      <w:proofErr w:type="gramEnd"/>
      <w:r>
        <w:t xml:space="preserve"> based on a comprehensive analysis of scientific literature and other relevant information.</w:t>
      </w:r>
    </w:p>
    <w:p w14:paraId="4B9F2C32" w14:textId="77777777" w:rsidR="00BC2F05" w:rsidRDefault="00772FB6" w:rsidP="00307939">
      <w:r>
        <w:t xml:space="preserve">The Department of Agriculture, Fisheries and Forestry considers that the risk management measures proposed in this report will provide an appropriate level of protection against the quarantine pests and regulated articles identified as associated with the trade of </w:t>
      </w:r>
      <w:fldSimple w:instr=" REF  commodity \* Lower  \* MERGEFORMAT " w:fldLock="1">
        <w:r>
          <w:t>dragon fruit</w:t>
        </w:r>
      </w:fldSimple>
      <w:r>
        <w:t xml:space="preserve"> from </w:t>
      </w:r>
      <w:r w:rsidRPr="002C20BE">
        <w:fldChar w:fldCharType="begin" w:fldLock="1"/>
      </w:r>
      <w:r w:rsidRPr="002C20BE">
        <w:instrText xml:space="preserve"> REF  country </w:instrText>
      </w:r>
      <w:r>
        <w:instrText xml:space="preserve"> \* MERGEFORMAT </w:instrText>
      </w:r>
      <w:r w:rsidRPr="002C20BE">
        <w:fldChar w:fldCharType="separate"/>
      </w:r>
      <w:r>
        <w:t>the</w:t>
      </w:r>
      <w:r w:rsidRPr="007678C4">
        <w:rPr>
          <w:lang w:val="en-US"/>
        </w:rPr>
        <w:t xml:space="preserve"> </w:t>
      </w:r>
      <w:r>
        <w:t>Philippines</w:t>
      </w:r>
      <w:r w:rsidRPr="002C20BE">
        <w:fldChar w:fldCharType="end"/>
      </w:r>
      <w:r>
        <w:t>.</w:t>
      </w:r>
    </w:p>
    <w:p w14:paraId="346F488A" w14:textId="77777777" w:rsidR="00BC2F05" w:rsidRDefault="00772FB6" w:rsidP="00307939">
      <w:r>
        <w:t xml:space="preserve">All fresh fruit, including </w:t>
      </w:r>
      <w:fldSimple w:instr=" REF  commodity \* Lower  \* MERGEFORMAT " w:fldLock="1">
        <w:r>
          <w:t>dragon fruit</w:t>
        </w:r>
      </w:fldSimple>
      <w:r>
        <w:t xml:space="preserve"> from </w:t>
      </w:r>
      <w:fldSimple w:instr=" REF country  \* MERGEFORMAT " w:fldLock="1">
        <w:r>
          <w:t>the Philippines</w:t>
        </w:r>
      </w:fldSimple>
      <w:r>
        <w:t xml:space="preserve">, have been determined by the Director of Biosecurity to be conditionally non-prohibited goods under s174 of the </w:t>
      </w:r>
      <w:r w:rsidRPr="00375CFD">
        <w:rPr>
          <w:i/>
          <w:iCs/>
        </w:rPr>
        <w:t>Biosecurity Act 2015</w:t>
      </w:r>
      <w:r>
        <w:t>. Conditionally non-prohibited goods cannot be brought or imported into Australia unless they meet specific import conditions.</w:t>
      </w:r>
    </w:p>
    <w:p w14:paraId="2C3EAFD3" w14:textId="77777777" w:rsidR="00BC2F05" w:rsidRDefault="00772FB6" w:rsidP="00307939">
      <w:r>
        <w:t xml:space="preserve">This report, upon its finalisation, provides the basis for import conditions for </w:t>
      </w:r>
      <w:fldSimple w:instr=" REF  commodity \* Lower  \* MERGEFORMAT " w:fldLock="1">
        <w:r>
          <w:t>dragon fruit</w:t>
        </w:r>
      </w:fldSimple>
      <w:r>
        <w:t xml:space="preserve"> from </w:t>
      </w:r>
      <w:fldSimple w:instr=" REF country  \* MERGEFORMAT " w:fldLock="1">
        <w:r>
          <w:t>the Philippines</w:t>
        </w:r>
      </w:fldSimple>
      <w:r>
        <w:t xml:space="preserve"> for human consumption. The import conditions will be communicated on BICON. The publication of import conditions on BICON is subject to </w:t>
      </w:r>
      <w:fldSimple w:instr=" REF country  \* MERGEFORMAT " w:fldLock="1">
        <w:r>
          <w:t>the Philippines</w:t>
        </w:r>
      </w:fldSimple>
      <w:r>
        <w:t xml:space="preserve"> being able to demonstrate that processes and procedures are in place to implement the required risk management measures.</w:t>
      </w:r>
    </w:p>
    <w:p w14:paraId="7BEBF562" w14:textId="77777777" w:rsidR="00BC2F05" w:rsidRDefault="00BC2F05" w:rsidP="00307939">
      <w:pPr>
        <w:sectPr w:rsidR="00BC2F05" w:rsidSect="00976665">
          <w:headerReference w:type="even" r:id="rId83"/>
          <w:headerReference w:type="default" r:id="rId84"/>
          <w:footerReference w:type="even" r:id="rId85"/>
          <w:footerReference w:type="default" r:id="rId86"/>
          <w:headerReference w:type="first" r:id="rId87"/>
          <w:pgSz w:w="11906" w:h="16838"/>
          <w:pgMar w:top="1418" w:right="1418" w:bottom="1418" w:left="1418" w:header="567" w:footer="454" w:gutter="0"/>
          <w:cols w:space="708"/>
          <w:docGrid w:linePitch="360"/>
        </w:sectPr>
      </w:pPr>
    </w:p>
    <w:p w14:paraId="2631B899" w14:textId="77777777" w:rsidR="00BC2F05" w:rsidRPr="007B2812" w:rsidRDefault="00772FB6" w:rsidP="00AB526F">
      <w:pPr>
        <w:pStyle w:val="Heading2"/>
        <w:numPr>
          <w:ilvl w:val="0"/>
          <w:numId w:val="0"/>
        </w:numPr>
        <w:ind w:left="794" w:hanging="794"/>
      </w:pPr>
      <w:bookmarkStart w:id="180" w:name="_Toc119493115"/>
      <w:bookmarkStart w:id="181" w:name="_Hlk46239925"/>
      <w:r>
        <w:lastRenderedPageBreak/>
        <w:t>Appendix A: Method for pest risk analysis</w:t>
      </w:r>
      <w:bookmarkEnd w:id="180"/>
    </w:p>
    <w:p w14:paraId="5C839322" w14:textId="77777777" w:rsidR="00BC2F05" w:rsidRPr="002D3C98" w:rsidRDefault="00772FB6" w:rsidP="00AB526F">
      <w:pPr>
        <w:rPr>
          <w:strike/>
          <w:color w:val="000000" w:themeColor="text1"/>
        </w:rPr>
      </w:pPr>
      <w:r w:rsidRPr="002D3C98">
        <w:rPr>
          <w:color w:val="000000" w:themeColor="text1"/>
        </w:rPr>
        <w:t>This section s</w:t>
      </w:r>
      <w:r>
        <w:rPr>
          <w:color w:val="000000" w:themeColor="text1"/>
        </w:rPr>
        <w:t>e</w:t>
      </w:r>
      <w:r w:rsidRPr="002D3C98">
        <w:rPr>
          <w:color w:val="000000" w:themeColor="text1"/>
        </w:rPr>
        <w:t xml:space="preserve">ts out the method for the pest risk analysis (PRA) </w:t>
      </w:r>
      <w:r w:rsidRPr="005A72D4">
        <w:rPr>
          <w:color w:val="000000" w:themeColor="text1"/>
        </w:rPr>
        <w:t xml:space="preserve">used by the Department of Agriculture, </w:t>
      </w:r>
      <w:r>
        <w:rPr>
          <w:color w:val="000000" w:themeColor="text1"/>
        </w:rPr>
        <w:t>Fisheries and Forestry</w:t>
      </w:r>
      <w:r w:rsidRPr="005A72D4">
        <w:rPr>
          <w:color w:val="000000" w:themeColor="text1"/>
        </w:rPr>
        <w:t xml:space="preserve"> (the department</w:t>
      </w:r>
      <w:r>
        <w:rPr>
          <w:color w:val="000000" w:themeColor="text1"/>
        </w:rPr>
        <w: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for pest risk analysis</w:t>
      </w:r>
      <w:r w:rsidRPr="002D3C98">
        <w:rPr>
          <w:color w:val="000000" w:themeColor="text1"/>
        </w:rPr>
        <w:t xml:space="preserve"> </w:t>
      </w:r>
      <w:r>
        <w:rPr>
          <w:noProof/>
          <w:color w:val="000000" w:themeColor="text1"/>
        </w:rPr>
        <w:t>(FAO 2019a)</w:t>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Pr>
          <w:noProof/>
          <w:color w:val="000000" w:themeColor="text1"/>
        </w:rPr>
        <w:t>(FAO 2019b)</w:t>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Pr>
          <w:noProof/>
          <w:color w:val="000000" w:themeColor="text1"/>
        </w:rPr>
        <w:t>(WTO 1995)</w:t>
      </w:r>
      <w:r w:rsidRPr="002D3C98">
        <w:rPr>
          <w:color w:val="000000" w:themeColor="text1"/>
        </w:rPr>
        <w:t>.</w:t>
      </w:r>
    </w:p>
    <w:p w14:paraId="3EB0591E" w14:textId="77777777" w:rsidR="00BC2F05" w:rsidRPr="002D3C98" w:rsidRDefault="00772FB6" w:rsidP="00AB526F">
      <w:pPr>
        <w:spacing w:before="120" w:after="120"/>
        <w:rPr>
          <w:color w:val="000000" w:themeColor="text1"/>
        </w:rPr>
      </w:pPr>
      <w:r w:rsidRPr="002D3C98">
        <w:rPr>
          <w:color w:val="000000" w:themeColor="text1"/>
        </w:rPr>
        <w:t xml:space="preserve">A PRA is ‘the process of evaluating biological or other scientific and economic evidence to determine whether an organism is a pest, whether it should be regulated, and the strength of any phytosanitary measures to be taken against it’ </w:t>
      </w:r>
      <w:r>
        <w:rPr>
          <w:noProof/>
          <w:color w:val="000000" w:themeColor="text1"/>
        </w:rPr>
        <w:t>(FAO 2022)</w:t>
      </w:r>
      <w:r w:rsidRPr="002D3C98">
        <w:rPr>
          <w:color w:val="000000" w:themeColor="text1"/>
        </w:rPr>
        <w:t xml:space="preserve">. A pest is </w:t>
      </w:r>
      <w:r>
        <w:rPr>
          <w:color w:val="000000" w:themeColor="text1"/>
        </w:rPr>
        <w:t>'</w:t>
      </w:r>
      <w:r w:rsidRPr="002D3C98">
        <w:rPr>
          <w:color w:val="000000" w:themeColor="text1"/>
        </w:rPr>
        <w:t>any species, strain or biotype of plant, animal, or pathogenic agent, injurious to plants or plant products</w:t>
      </w:r>
      <w:r>
        <w:rPr>
          <w:color w:val="000000" w:themeColor="text1"/>
        </w:rPr>
        <w:t>'</w:t>
      </w:r>
      <w:r w:rsidRPr="002D3C98">
        <w:rPr>
          <w:color w:val="000000" w:themeColor="text1"/>
        </w:rPr>
        <w:t xml:space="preserve"> </w:t>
      </w:r>
      <w:r>
        <w:rPr>
          <w:noProof/>
          <w:color w:val="000000" w:themeColor="text1"/>
        </w:rPr>
        <w:t>(FAO 2022)</w:t>
      </w:r>
      <w:r w:rsidRPr="002D3C98">
        <w:rPr>
          <w:color w:val="000000" w:themeColor="text1"/>
        </w:rPr>
        <w:t>.</w:t>
      </w:r>
      <w:r>
        <w:rPr>
          <w:color w:val="000000" w:themeColor="text1"/>
        </w:rPr>
        <w:t xml:space="preserve"> </w:t>
      </w:r>
      <w:r w:rsidRPr="001C04A2">
        <w:rPr>
          <w:color w:val="000000" w:themeColor="text1"/>
        </w:rPr>
        <w:t xml:space="preserve">A ‘quarantine pest’ is </w:t>
      </w:r>
      <w:r>
        <w:rPr>
          <w:color w:val="000000" w:themeColor="text1"/>
        </w:rPr>
        <w:t>'</w:t>
      </w:r>
      <w:r w:rsidRPr="001C04A2">
        <w:rPr>
          <w:color w:val="000000" w:themeColor="text1"/>
        </w:rPr>
        <w:t>a pest of potential economic importance to the area endangered thereby and not yet present there, or present but not widely distributed and being officially controlled</w:t>
      </w:r>
      <w:r>
        <w:rPr>
          <w:color w:val="000000" w:themeColor="text1"/>
        </w:rPr>
        <w:t>'</w:t>
      </w:r>
      <w:r w:rsidRPr="001C04A2">
        <w:rPr>
          <w:color w:val="000000" w:themeColor="text1"/>
        </w:rPr>
        <w:t xml:space="preserve"> </w:t>
      </w:r>
      <w:r>
        <w:rPr>
          <w:noProof/>
          <w:color w:val="000000" w:themeColor="text1"/>
        </w:rPr>
        <w:t>(FAO 2022)</w:t>
      </w:r>
      <w:r w:rsidRPr="001C04A2">
        <w:rPr>
          <w:color w:val="000000" w:themeColor="text1"/>
        </w:rPr>
        <w:t>.</w:t>
      </w:r>
    </w:p>
    <w:p w14:paraId="0E579E9B" w14:textId="77777777" w:rsidR="00BC2F05" w:rsidRPr="002D3C98" w:rsidRDefault="00772FB6" w:rsidP="00AB526F">
      <w:r w:rsidRPr="002D3C98">
        <w:t xml:space="preserve">Biosecurity risk consists of </w:t>
      </w:r>
      <w:r>
        <w:t>2</w:t>
      </w:r>
      <w:r w:rsidRPr="002D3C98">
        <w:t xml:space="preserve"> major components: the likelihood of a pest entering, </w:t>
      </w:r>
      <w:proofErr w:type="gramStart"/>
      <w:r w:rsidRPr="002D3C98">
        <w:t>establishing</w:t>
      </w:r>
      <w:proofErr w:type="gramEnd"/>
      <w:r w:rsidRPr="002D3C98">
        <w:t xml:space="preserve"> and spreading in Australia for a defined import pathway; and the consequences should this happen. These </w:t>
      </w:r>
      <w:r>
        <w:t>2</w:t>
      </w:r>
      <w:r w:rsidRPr="002D3C98">
        <w:t xml:space="preserve"> components are combined to give an overall estimate of the pest risk for the defined import pathway.</w:t>
      </w:r>
    </w:p>
    <w:p w14:paraId="526C5774" w14:textId="77777777" w:rsidR="00BC2F05" w:rsidRPr="002D3C98" w:rsidRDefault="00772FB6" w:rsidP="00AB526F">
      <w:r w:rsidRPr="002D3C98">
        <w:t xml:space="preserve">Unrestricted risk is estimated </w:t>
      </w:r>
      <w:proofErr w:type="gramStart"/>
      <w:r w:rsidRPr="002D3C98">
        <w:t>taking into account</w:t>
      </w:r>
      <w:proofErr w:type="gramEnd"/>
      <w:r w:rsidRPr="002D3C98">
        <w:t>, where applicable, the existing commercial production practices of the exporting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2163F15B" w14:textId="77777777" w:rsidR="00BC2F05" w:rsidRPr="002D3C98" w:rsidRDefault="00772FB6" w:rsidP="00AB526F">
      <w:pPr>
        <w:spacing w:before="120" w:after="120"/>
        <w:rPr>
          <w:rFonts w:cstheme="minorHAnsi"/>
          <w:color w:val="000000" w:themeColor="text1"/>
        </w:rPr>
      </w:pPr>
      <w:r w:rsidRPr="002D3C98">
        <w:rPr>
          <w:rFonts w:cstheme="minorHAnsi"/>
          <w:color w:val="000000" w:themeColor="text1"/>
        </w:rPr>
        <w:t>Restricted risk is estimated with phytosanitary measure(s) applied. A phytosanitary measure is ‘any legislation, regulation or official procedure having the purpose to prevent the introduction</w:t>
      </w:r>
      <w:r>
        <w:rPr>
          <w:rFonts w:cstheme="minorHAnsi"/>
          <w:color w:val="000000" w:themeColor="text1"/>
        </w:rPr>
        <w:t xml:space="preserve"> </w:t>
      </w:r>
      <w:r w:rsidRPr="002D3C98">
        <w:rPr>
          <w:rFonts w:cstheme="minorHAnsi"/>
          <w:color w:val="000000" w:themeColor="text1"/>
        </w:rPr>
        <w:t xml:space="preserve">or spread of quarantine pests, or to limit the economic impact of regulated non-quarantine pests’ </w:t>
      </w:r>
      <w:r>
        <w:rPr>
          <w:rFonts w:cstheme="minorHAnsi"/>
          <w:noProof/>
          <w:color w:val="000000" w:themeColor="text1"/>
        </w:rPr>
        <w:t>(FAO 2022)</w:t>
      </w:r>
      <w:r w:rsidRPr="002D3C98">
        <w:rPr>
          <w:rFonts w:cstheme="minorHAnsi"/>
          <w:color w:val="000000" w:themeColor="text1"/>
        </w:rPr>
        <w:t>.</w:t>
      </w:r>
    </w:p>
    <w:p w14:paraId="122EFF56" w14:textId="77777777" w:rsidR="00BC2F05" w:rsidRPr="0020782A" w:rsidRDefault="00772FB6" w:rsidP="00AB526F">
      <w:pPr>
        <w:spacing w:before="120" w:after="120"/>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30064076" w14:textId="77777777" w:rsidR="00BC2F05" w:rsidRDefault="00772FB6" w:rsidP="00BC2F05">
      <w:pPr>
        <w:pStyle w:val="Heading3-Appendix"/>
      </w:pPr>
      <w:r>
        <w:t>Stage 1: Initiation</w:t>
      </w:r>
    </w:p>
    <w:p w14:paraId="7AE3CDDF" w14:textId="77777777" w:rsidR="00BC2F05" w:rsidRDefault="00772FB6" w:rsidP="00AB526F">
      <w:r w:rsidRPr="003B4C03">
        <w:t>Initiation identifies the pest(s) and pathway(s) that are of biosecurity concern and should be considered for risk analysis in relation to the identified PRA area.</w:t>
      </w:r>
    </w:p>
    <w:p w14:paraId="105DF081" w14:textId="77777777" w:rsidR="00BC2F05" w:rsidRPr="002D3C98" w:rsidRDefault="00772FB6" w:rsidP="00AB526F">
      <w:pPr>
        <w:rPr>
          <w:color w:val="000000" w:themeColor="text1"/>
        </w:rPr>
      </w:pPr>
      <w:r w:rsidRPr="002D3C98">
        <w:rPr>
          <w:color w:val="000000" w:themeColor="text1"/>
        </w:rPr>
        <w:t xml:space="preserve">A pathway is ‘any means that allows the entry or spread of a pest’ </w:t>
      </w:r>
      <w:r>
        <w:rPr>
          <w:noProof/>
          <w:color w:val="000000" w:themeColor="text1"/>
        </w:rPr>
        <w:t>(FAO 2022)</w:t>
      </w:r>
      <w:r w:rsidRPr="009C1938">
        <w:rPr>
          <w:color w:val="000000" w:themeColor="text1"/>
        </w:rPr>
        <w:t>.</w:t>
      </w:r>
      <w:r w:rsidRPr="002D3C98">
        <w:rPr>
          <w:color w:val="000000" w:themeColor="text1"/>
        </w:rPr>
        <w:t xml:space="preserve"> For this risk analysis, the ‘pathway’ being assessed is defined in Chapter 1 (</w:t>
      </w:r>
      <w:r>
        <w:rPr>
          <w:color w:val="000000" w:themeColor="text1"/>
        </w:rPr>
        <w:t>s</w:t>
      </w:r>
      <w:r w:rsidRPr="002D3C98">
        <w:rPr>
          <w:color w:val="000000" w:themeColor="text1"/>
        </w:rPr>
        <w:t>ection 1.2.2).</w:t>
      </w:r>
    </w:p>
    <w:p w14:paraId="7EE04E84" w14:textId="77777777" w:rsidR="00BC2F05" w:rsidRPr="003B4C03" w:rsidRDefault="00772FB6" w:rsidP="00AB526F">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7E310CFE" w14:textId="77777777" w:rsidR="00BC2F05" w:rsidRPr="002D3C98" w:rsidRDefault="00772FB6" w:rsidP="00AB526F">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Pr>
          <w:rFonts w:cs="Times New Roman"/>
          <w:color w:val="000000" w:themeColor="text1"/>
        </w:rPr>
        <w:t xml:space="preserve"> </w:t>
      </w:r>
      <w:r>
        <w:rPr>
          <w:noProof/>
        </w:rPr>
        <w:t>(FAO 2019b)</w:t>
      </w:r>
      <w:r w:rsidRPr="002D3C98">
        <w:rPr>
          <w:rFonts w:cs="Times New Roman"/>
          <w:color w:val="000000" w:themeColor="text1"/>
        </w:rPr>
        <w:t xml:space="preserve">, the PRA process may be initiated </w:t>
      </w:r>
      <w:proofErr w:type="gramStart"/>
      <w:r w:rsidRPr="002D3C98">
        <w:rPr>
          <w:rFonts w:cs="Times New Roman"/>
          <w:color w:val="000000" w:themeColor="text1"/>
        </w:rPr>
        <w:t>as a result of</w:t>
      </w:r>
      <w:proofErr w:type="gramEnd"/>
      <w:r w:rsidRPr="002D3C98">
        <w:rPr>
          <w:rFonts w:cs="Times New Roman"/>
          <w:color w:val="000000" w:themeColor="text1"/>
        </w:rPr>
        <w:t>:</w:t>
      </w:r>
    </w:p>
    <w:p w14:paraId="3ACC73F8" w14:textId="77777777" w:rsidR="00BC2F05" w:rsidRPr="002D3C98" w:rsidRDefault="00772FB6" w:rsidP="00BC2F05">
      <w:pPr>
        <w:pStyle w:val="ListBullet"/>
        <w:tabs>
          <w:tab w:val="clear" w:pos="567"/>
          <w:tab w:val="num" w:pos="709"/>
        </w:tabs>
      </w:pPr>
      <w:r w:rsidRPr="002D3C98">
        <w:lastRenderedPageBreak/>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5089C922" w14:textId="77777777" w:rsidR="00BC2F05" w:rsidRPr="002D3C98" w:rsidRDefault="00772FB6" w:rsidP="00BC2F05">
      <w:pPr>
        <w:pStyle w:val="ListBullet"/>
        <w:tabs>
          <w:tab w:val="clear" w:pos="567"/>
          <w:tab w:val="num" w:pos="709"/>
        </w:tabs>
      </w:pPr>
      <w:r w:rsidRPr="002D3C98">
        <w:t>the identification of a 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50F60799" w14:textId="77777777" w:rsidR="00BC2F05" w:rsidRPr="002D3C98" w:rsidRDefault="00772FB6" w:rsidP="00BC2F05">
      <w:pPr>
        <w:pStyle w:val="ListBullet"/>
        <w:tabs>
          <w:tab w:val="clear" w:pos="567"/>
          <w:tab w:val="num" w:pos="709"/>
        </w:tabs>
      </w:pPr>
      <w:r w:rsidRPr="002D3C98">
        <w:t>the review or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098E6827" w14:textId="77777777" w:rsidR="00BC2F05" w:rsidRPr="002D3C98" w:rsidRDefault="00772FB6" w:rsidP="00037BCB">
      <w:pPr>
        <w:rPr>
          <w:color w:val="000000" w:themeColor="text1"/>
        </w:rPr>
      </w:pPr>
      <w:r w:rsidRPr="002D3C98">
        <w:rPr>
          <w:color w:val="000000" w:themeColor="text1"/>
        </w:rPr>
        <w:t>The basis for the initiation of this risk analysis is defined in Chapter 1 (</w:t>
      </w:r>
      <w:r>
        <w:rPr>
          <w:color w:val="000000" w:themeColor="text1"/>
        </w:rPr>
        <w:t>s</w:t>
      </w:r>
      <w:r w:rsidRPr="002D3C98">
        <w:rPr>
          <w:color w:val="000000" w:themeColor="text1"/>
        </w:rPr>
        <w:t>ection 1.2.1).</w:t>
      </w:r>
    </w:p>
    <w:p w14:paraId="373E6567" w14:textId="77777777" w:rsidR="00BC2F05" w:rsidRPr="002D3C98" w:rsidRDefault="00772FB6" w:rsidP="00AB526F">
      <w:pPr>
        <w:spacing w:before="120" w:after="120"/>
        <w:rPr>
          <w:color w:val="000000" w:themeColor="text1"/>
        </w:rPr>
      </w:pPr>
      <w:r w:rsidRPr="002D3C98">
        <w:rPr>
          <w:color w:val="000000" w:themeColor="text1"/>
        </w:rPr>
        <w:t xml:space="preserve">The primary elements </w:t>
      </w:r>
      <w:r>
        <w:rPr>
          <w:color w:val="000000" w:themeColor="text1"/>
        </w:rPr>
        <w:t>in the initiation stage</w:t>
      </w:r>
      <w:r w:rsidRPr="003B4C03">
        <w:t xml:space="preserve"> </w:t>
      </w:r>
      <w:r w:rsidRPr="003B4C03">
        <w:rPr>
          <w:color w:val="000000" w:themeColor="text1"/>
        </w:rPr>
        <w:t>are</w:t>
      </w:r>
      <w:r w:rsidRPr="002D3C98">
        <w:rPr>
          <w:color w:val="000000" w:themeColor="text1"/>
        </w:rPr>
        <w:t>:</w:t>
      </w:r>
    </w:p>
    <w:p w14:paraId="6FC4F3F6" w14:textId="77777777" w:rsidR="00BC2F05" w:rsidRPr="002D3C98" w:rsidRDefault="00772FB6" w:rsidP="00BC2F05">
      <w:pPr>
        <w:pStyle w:val="ListBullet"/>
        <w:tabs>
          <w:tab w:val="clear" w:pos="567"/>
          <w:tab w:val="num" w:pos="709"/>
        </w:tabs>
      </w:pPr>
      <w:r w:rsidRPr="002D3C98">
        <w:t>identity of the pests</w:t>
      </w:r>
    </w:p>
    <w:p w14:paraId="71D01282" w14:textId="77777777" w:rsidR="00BC2F05" w:rsidRPr="002D3C98" w:rsidRDefault="00772FB6" w:rsidP="00BC2F05">
      <w:pPr>
        <w:pStyle w:val="ListBullet"/>
        <w:tabs>
          <w:tab w:val="clear" w:pos="567"/>
          <w:tab w:val="num" w:pos="709"/>
        </w:tabs>
      </w:pPr>
      <w:r w:rsidRPr="002D3C98">
        <w:t xml:space="preserve">potential association </w:t>
      </w:r>
      <w:r w:rsidRPr="00037BCB">
        <w:t>of each pest with the pathway being assessed</w:t>
      </w:r>
      <w:r>
        <w:t>.</w:t>
      </w:r>
    </w:p>
    <w:p w14:paraId="56630607" w14:textId="77777777" w:rsidR="00BC2F05" w:rsidRPr="002D3C98" w:rsidRDefault="00772FB6" w:rsidP="00AB526F">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2FEB1DAD" w14:textId="77777777" w:rsidR="00BC2F05" w:rsidRDefault="00772FB6" w:rsidP="00AB526F">
      <w:r w:rsidRPr="003B4C03">
        <w:t>The potential association of each pest with the pathway being assessed considers information on:</w:t>
      </w:r>
    </w:p>
    <w:p w14:paraId="69DE353C" w14:textId="77777777" w:rsidR="00BC2F05" w:rsidRDefault="00772FB6" w:rsidP="00BC2F05">
      <w:pPr>
        <w:pStyle w:val="ListBullet2"/>
        <w:ind w:left="794" w:hanging="397"/>
      </w:pPr>
      <w:r w:rsidRPr="009434A8">
        <w:t>association of the pest with the host plant/commodity and</w:t>
      </w:r>
    </w:p>
    <w:p w14:paraId="0CAD3244" w14:textId="77777777" w:rsidR="00BC2F05" w:rsidRDefault="00772FB6" w:rsidP="00BC2F05">
      <w:pPr>
        <w:pStyle w:val="ListBullet2"/>
        <w:ind w:left="794" w:hanging="397"/>
      </w:pPr>
      <w:r w:rsidRPr="009434A8">
        <w:t>the presence or absence of the pest in the exporting country/region relevant to the pathway being assessed.</w:t>
      </w:r>
    </w:p>
    <w:p w14:paraId="6B6E0AA8" w14:textId="77777777" w:rsidR="00BC2F05" w:rsidRDefault="00772FB6" w:rsidP="00BC2F05">
      <w:pPr>
        <w:pStyle w:val="Heading3-Appendix"/>
      </w:pPr>
      <w:r>
        <w:t>Stage 2: Pest risk assessment</w:t>
      </w:r>
    </w:p>
    <w:p w14:paraId="779BB275" w14:textId="77777777" w:rsidR="00BC2F05" w:rsidRDefault="00772FB6" w:rsidP="00AB526F">
      <w:r w:rsidRPr="009434A8">
        <w:t xml:space="preserve">The process for pest risk assessment includes </w:t>
      </w:r>
      <w:r>
        <w:t>2</w:t>
      </w:r>
      <w:r w:rsidRPr="009434A8">
        <w:t xml:space="preserve"> sequential steps</w:t>
      </w:r>
      <w:r>
        <w:t>:</w:t>
      </w:r>
    </w:p>
    <w:p w14:paraId="2B1A3435" w14:textId="77777777" w:rsidR="00BC2F05" w:rsidRDefault="00772FB6" w:rsidP="00BC2F05">
      <w:pPr>
        <w:pStyle w:val="ListBullet"/>
        <w:tabs>
          <w:tab w:val="clear" w:pos="567"/>
          <w:tab w:val="num" w:pos="993"/>
        </w:tabs>
      </w:pPr>
      <w:r w:rsidRPr="009434A8">
        <w:t>pest categorisation (A2.1)</w:t>
      </w:r>
    </w:p>
    <w:p w14:paraId="275198EA" w14:textId="77777777" w:rsidR="00BC2F05" w:rsidRPr="009434A8" w:rsidRDefault="00772FB6" w:rsidP="00BC2F05">
      <w:pPr>
        <w:pStyle w:val="ListBullet"/>
        <w:tabs>
          <w:tab w:val="clear" w:pos="567"/>
          <w:tab w:val="num" w:pos="993"/>
        </w:tabs>
      </w:pPr>
      <w:r w:rsidRPr="009434A8">
        <w:t>further pest risk assessment, which includes evaluation of the likelihood of the introduction (entry and establishment) and spread of a pest (A2.2) and evaluation of the magnitude of the associated potential consequences (A2.3).</w:t>
      </w:r>
    </w:p>
    <w:p w14:paraId="006423AD" w14:textId="77777777" w:rsidR="00BC2F05" w:rsidRDefault="00772FB6" w:rsidP="00BC2F05">
      <w:pPr>
        <w:pStyle w:val="Heading4-Appendix"/>
      </w:pPr>
      <w:r>
        <w:t>Pest categorisation</w:t>
      </w:r>
    </w:p>
    <w:p w14:paraId="1CB94F15" w14:textId="77777777" w:rsidR="00BC2F05" w:rsidRPr="001C04A2" w:rsidRDefault="00772FB6" w:rsidP="00AB526F">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0C1BAB0E" w14:textId="77777777" w:rsidR="00BC2F05" w:rsidRPr="001C04A2" w:rsidRDefault="00772FB6" w:rsidP="00AB526F">
      <w:bookmarkStart w:id="182" w:name="_Hlk87176742"/>
      <w:r w:rsidRPr="001C04A2">
        <w:t xml:space="preserve">ISPM 11 </w:t>
      </w:r>
      <w:r>
        <w:rPr>
          <w:noProof/>
        </w:rPr>
        <w:t>(FAO 2019b)</w:t>
      </w:r>
      <w:r>
        <w:t xml:space="preserve"> </w:t>
      </w:r>
      <w:r w:rsidRPr="001C04A2">
        <w:t xml:space="preserve">states that </w:t>
      </w:r>
      <w:r>
        <w:t>'</w:t>
      </w:r>
      <w:r w:rsidRPr="001C04A2">
        <w:rPr>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1C04A2">
        <w:rPr>
          <w:i/>
          <w:iCs/>
        </w:rPr>
        <w:t>however</w:t>
      </w:r>
      <w:proofErr w:type="gramEnd"/>
      <w:r w:rsidRPr="001C04A2">
        <w:rPr>
          <w:i/>
          <w:iCs/>
        </w:rPr>
        <w:t xml:space="preserve"> information should be sufficient to adequately carry out the categorisation</w:t>
      </w:r>
      <w:r>
        <w:t>'</w:t>
      </w:r>
      <w:r w:rsidRPr="001C04A2">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w:t>
      </w:r>
      <w:r w:rsidRPr="001C04A2">
        <w:lastRenderedPageBreak/>
        <w:t xml:space="preserve">potential to enter, its potential to establish and spread in the PRA area. For a pest to cause economic consequences, the pest will need to enter, </w:t>
      </w:r>
      <w:proofErr w:type="gramStart"/>
      <w:r w:rsidRPr="001C04A2">
        <w:t>establish</w:t>
      </w:r>
      <w:proofErr w:type="gramEnd"/>
      <w:r w:rsidRPr="001C04A2">
        <w:t xml:space="preserve"> and spread in the PRA area. Therefore, pests that do not have potential to enter on the pathway being </w:t>
      </w:r>
      <w:proofErr w:type="gramStart"/>
      <w:r w:rsidRPr="001C04A2">
        <w:t>assessed, or</w:t>
      </w:r>
      <w:proofErr w:type="gramEnd"/>
      <w:r w:rsidRPr="001C04A2">
        <w:t xml:space="preserve">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1C7DF275" w14:textId="77777777" w:rsidR="00BC2F05" w:rsidRPr="00347AA4" w:rsidRDefault="00772FB6" w:rsidP="00AB526F">
      <w:pPr>
        <w:spacing w:before="120" w:after="120"/>
      </w:pPr>
      <w:r w:rsidRPr="001C04A2">
        <w:t xml:space="preserve">Pest categorisation uses the following primary elements to identify the quarantine pests </w:t>
      </w:r>
      <w:r w:rsidRPr="001C04A2">
        <w:rPr>
          <w:color w:val="000000" w:themeColor="text1"/>
        </w:rPr>
        <w:t>and to screen out some pest</w:t>
      </w:r>
      <w:r>
        <w:rPr>
          <w:color w:val="000000" w:themeColor="text1"/>
        </w:rPr>
        <w:t>s</w:t>
      </w:r>
      <w:r w:rsidRPr="001C04A2">
        <w:rPr>
          <w:color w:val="000000" w:themeColor="text1"/>
        </w:rPr>
        <w:t xml:space="preserve"> from further consideration where appropriate </w:t>
      </w:r>
      <w:r w:rsidRPr="001C04A2">
        <w:t xml:space="preserve">for the pathway </w:t>
      </w:r>
      <w:r w:rsidRPr="001C04A2">
        <w:rPr>
          <w:color w:val="000000" w:themeColor="text1"/>
        </w:rPr>
        <w:t>being assessed:</w:t>
      </w:r>
    </w:p>
    <w:bookmarkEnd w:id="182"/>
    <w:p w14:paraId="26CB3917" w14:textId="77777777" w:rsidR="00BC2F05" w:rsidRPr="00347AA4" w:rsidRDefault="00772FB6" w:rsidP="00BC2F05">
      <w:pPr>
        <w:pStyle w:val="ListBullet"/>
        <w:tabs>
          <w:tab w:val="clear" w:pos="567"/>
          <w:tab w:val="num" w:pos="709"/>
        </w:tabs>
      </w:pPr>
      <w:r w:rsidRPr="00347AA4">
        <w:t>presence or absence</w:t>
      </w:r>
      <w:r>
        <w:t xml:space="preserve"> and regulatory status</w:t>
      </w:r>
      <w:r w:rsidRPr="00347AA4">
        <w:t xml:space="preserve"> in the PRA area</w:t>
      </w:r>
    </w:p>
    <w:p w14:paraId="5D59DEE0" w14:textId="77777777" w:rsidR="00BC2F05" w:rsidRPr="00347AA4" w:rsidRDefault="00772FB6" w:rsidP="00BC2F05">
      <w:pPr>
        <w:pStyle w:val="ListBullet"/>
        <w:tabs>
          <w:tab w:val="clear" w:pos="567"/>
          <w:tab w:val="num" w:pos="709"/>
        </w:tabs>
      </w:pPr>
      <w:r w:rsidRPr="00347AA4">
        <w:t xml:space="preserve">potential for </w:t>
      </w:r>
      <w:r>
        <w:t xml:space="preserve">entry, </w:t>
      </w:r>
      <w:r w:rsidRPr="00347AA4">
        <w:t>establishment and spread in the PRA area</w:t>
      </w:r>
    </w:p>
    <w:p w14:paraId="5BC82811" w14:textId="77777777" w:rsidR="00BC2F05" w:rsidRPr="00295F7E" w:rsidRDefault="00772FB6" w:rsidP="00BC2F05">
      <w:pPr>
        <w:pStyle w:val="ListBullet"/>
        <w:tabs>
          <w:tab w:val="clear" w:pos="567"/>
          <w:tab w:val="num" w:pos="709"/>
        </w:tabs>
        <w:rPr>
          <w:color w:val="000000" w:themeColor="text1"/>
        </w:rPr>
      </w:pPr>
      <w:bookmarkStart w:id="183" w:name="_Hlk87178230"/>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bookmarkEnd w:id="183"/>
      <w:r w:rsidRPr="00F31506">
        <w:rPr>
          <w:color w:val="000000" w:themeColor="text1"/>
        </w:rPr>
        <w:t>.</w:t>
      </w:r>
    </w:p>
    <w:p w14:paraId="28B5F536" w14:textId="77777777" w:rsidR="00BC2F05" w:rsidRDefault="00772FB6" w:rsidP="00BC2F05">
      <w:pPr>
        <w:pStyle w:val="Heading4-Appendix"/>
      </w:pPr>
      <w:r>
        <w:t>Assessment of the likelihood of entry, establishment and spread</w:t>
      </w:r>
    </w:p>
    <w:p w14:paraId="678CD4B5" w14:textId="77777777" w:rsidR="00BC2F05" w:rsidRPr="00347AA4" w:rsidRDefault="00772FB6" w:rsidP="00AB526F">
      <w:r>
        <w:t xml:space="preserve">ISPM 11 </w:t>
      </w:r>
      <w:r>
        <w:rPr>
          <w:noProof/>
        </w:rPr>
        <w:t>(FAO 2019b)</w:t>
      </w:r>
      <w:r>
        <w:t xml:space="preserve"> provides d</w:t>
      </w:r>
      <w:r w:rsidRPr="00347AA4">
        <w:t>etails of how to assess the ‘probability of entry’, ‘probability of establishment’ and ‘probability of spread’ of a pest</w:t>
      </w:r>
      <w:r>
        <w:t>.</w:t>
      </w:r>
      <w:r w:rsidRPr="00347AA4">
        <w:t xml:space="preserve"> The SPS Agreement </w:t>
      </w:r>
      <w:r>
        <w:rPr>
          <w:noProof/>
        </w:rPr>
        <w:t>(WTO 1995)</w:t>
      </w:r>
      <w:r w:rsidRPr="00347AA4">
        <w:t xml:space="preserve"> uses the term ‘likelihood’ rather than ‘probability’ for these 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20C91785" w14:textId="77777777" w:rsidR="00BC2F05" w:rsidRPr="00347AA4" w:rsidRDefault="00772FB6" w:rsidP="00AB526F">
      <w:r w:rsidRPr="00347AA4">
        <w:t>A summary of the assessment process is given here, followed by a description of the qualitative methodology used in this risk analysis.</w:t>
      </w:r>
    </w:p>
    <w:p w14:paraId="5D981524" w14:textId="77777777" w:rsidR="00BC2F05" w:rsidRPr="00CA1531" w:rsidRDefault="00772FB6" w:rsidP="00BC2F05">
      <w:pPr>
        <w:pStyle w:val="Heading5-Appendix"/>
        <w:numPr>
          <w:ilvl w:val="0"/>
          <w:numId w:val="20"/>
        </w:numPr>
        <w:ind w:left="357" w:hanging="357"/>
      </w:pPr>
      <w:r w:rsidRPr="00CA1531">
        <w:t>Likelihood of entry</w:t>
      </w:r>
    </w:p>
    <w:p w14:paraId="2E6FFF63" w14:textId="77777777" w:rsidR="00BC2F05" w:rsidRPr="00FC5D95" w:rsidRDefault="00772FB6" w:rsidP="00AB526F">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be distributed in a viable state in the PRA area and subsequently be transferred to a host.</w:t>
      </w:r>
    </w:p>
    <w:p w14:paraId="19A555BB" w14:textId="77777777" w:rsidR="00BC2F05" w:rsidRDefault="00772FB6" w:rsidP="00AB526F">
      <w:proofErr w:type="gramStart"/>
      <w:r>
        <w:t>For the purpose of</w:t>
      </w:r>
      <w:proofErr w:type="gramEnd"/>
      <w:r>
        <w:t xml:space="preserve"> considering the likelihood of entry, the department divides this step into 2 components:</w:t>
      </w:r>
    </w:p>
    <w:p w14:paraId="76D69576" w14:textId="77777777" w:rsidR="00BC2F05" w:rsidRDefault="00772FB6" w:rsidP="00BC2F05">
      <w:pPr>
        <w:pStyle w:val="ListBullet"/>
        <w:tabs>
          <w:tab w:val="clear" w:pos="567"/>
          <w:tab w:val="num" w:pos="851"/>
        </w:tabs>
        <w:jc w:val="both"/>
      </w:pPr>
      <w:r w:rsidRPr="00901A6E">
        <w:rPr>
          <w:rStyle w:val="Strong"/>
        </w:rPr>
        <w:t>Likelihood of importation</w:t>
      </w:r>
      <w:r>
        <w:t>—the likelihood that a pest will arrive in Australia in a viable state when a given commodity is imported</w:t>
      </w:r>
    </w:p>
    <w:p w14:paraId="2130C85B" w14:textId="77777777" w:rsidR="00BC2F05" w:rsidRDefault="00772FB6" w:rsidP="00BC2F05">
      <w:pPr>
        <w:pStyle w:val="ListBullet"/>
        <w:tabs>
          <w:tab w:val="clear" w:pos="567"/>
          <w:tab w:val="num" w:pos="851"/>
        </w:tabs>
        <w:jc w:val="both"/>
      </w:pPr>
      <w:r w:rsidRPr="00901A6E">
        <w:rPr>
          <w:rStyle w:val="Strong"/>
        </w:rPr>
        <w:t>Likelihood of distribution</w:t>
      </w:r>
      <w:r>
        <w:t xml:space="preserve">— the likelihood that the pest will be distributed in a viable state, </w:t>
      </w:r>
      <w:proofErr w:type="gramStart"/>
      <w:r>
        <w:t>as a result of</w:t>
      </w:r>
      <w:proofErr w:type="gramEnd"/>
      <w:r>
        <w:t xml:space="preserve"> the processing, sale or disposal of the commodity, in the PRA area and subsequently transfer to a susceptible part of a host.</w:t>
      </w:r>
    </w:p>
    <w:p w14:paraId="67830188" w14:textId="77777777" w:rsidR="00BC2F05" w:rsidRDefault="00772FB6" w:rsidP="00AB526F">
      <w:r>
        <w:t>Factors to be considered in the likelihood of importation may include:</w:t>
      </w:r>
    </w:p>
    <w:p w14:paraId="27DE9A45" w14:textId="77777777" w:rsidR="00BC2F05" w:rsidRPr="00295F7E" w:rsidRDefault="00772FB6" w:rsidP="00BC2F05">
      <w:pPr>
        <w:pStyle w:val="ListBullet"/>
        <w:tabs>
          <w:tab w:val="clear" w:pos="567"/>
        </w:tabs>
      </w:pPr>
      <w:r>
        <w:t>l</w:t>
      </w:r>
      <w:r w:rsidRPr="00295F7E">
        <w:t>ikelihood of the pest being associated with the pathway at origin</w:t>
      </w:r>
    </w:p>
    <w:p w14:paraId="21D11712" w14:textId="77777777" w:rsidR="00BC2F05" w:rsidRPr="001168CA" w:rsidRDefault="00772FB6" w:rsidP="00BC2F05">
      <w:pPr>
        <w:pStyle w:val="ListBullet2"/>
        <w:ind w:left="794" w:hanging="397"/>
      </w:pPr>
      <w:r>
        <w:t>p</w:t>
      </w:r>
      <w:r w:rsidRPr="001168CA">
        <w:t>revalence of the pest in the source area</w:t>
      </w:r>
    </w:p>
    <w:p w14:paraId="6D6EC462" w14:textId="77777777" w:rsidR="00BC2F05" w:rsidRPr="001168CA" w:rsidRDefault="00772FB6" w:rsidP="00BC2F05">
      <w:pPr>
        <w:pStyle w:val="ListBullet2"/>
        <w:ind w:left="794" w:hanging="397"/>
      </w:pPr>
      <w:r w:rsidRPr="001168CA">
        <w:t>occurrence of the pest in a life-stage that would be associated with the commodity</w:t>
      </w:r>
    </w:p>
    <w:p w14:paraId="4D70E24E" w14:textId="77777777" w:rsidR="00BC2F05" w:rsidRPr="001168CA" w:rsidRDefault="00772FB6" w:rsidP="00BC2F05">
      <w:pPr>
        <w:pStyle w:val="ListBullet2"/>
        <w:ind w:left="794" w:hanging="397"/>
      </w:pPr>
      <w:r w:rsidRPr="001168CA">
        <w:t>mode of trade (for example, bulk, packed)</w:t>
      </w:r>
    </w:p>
    <w:p w14:paraId="7EA6AA2A" w14:textId="77777777" w:rsidR="00BC2F05" w:rsidRPr="001168CA" w:rsidRDefault="00772FB6" w:rsidP="00BC2F05">
      <w:pPr>
        <w:pStyle w:val="ListBullet2"/>
        <w:ind w:left="794" w:hanging="397"/>
      </w:pPr>
      <w:r w:rsidRPr="001168CA">
        <w:t>volume and frequency of movement along each pathway</w:t>
      </w:r>
    </w:p>
    <w:p w14:paraId="5ADB19AC" w14:textId="77777777" w:rsidR="00BC2F05" w:rsidRPr="001168CA" w:rsidRDefault="00772FB6" w:rsidP="00BC2F05">
      <w:pPr>
        <w:pStyle w:val="ListBullet2"/>
        <w:ind w:left="794" w:hanging="397"/>
      </w:pPr>
      <w:r w:rsidRPr="001168CA">
        <w:lastRenderedPageBreak/>
        <w:t>seasonal timing of imports</w:t>
      </w:r>
    </w:p>
    <w:p w14:paraId="2274C49C" w14:textId="77777777" w:rsidR="00BC2F05" w:rsidRPr="001168CA" w:rsidRDefault="00772FB6" w:rsidP="00BC2F05">
      <w:pPr>
        <w:pStyle w:val="ListBullet2"/>
        <w:ind w:left="794" w:hanging="397"/>
      </w:pPr>
      <w:r w:rsidRPr="001168CA">
        <w:t>pest management, cultural and commercial procedures applied at the place of origin (</w:t>
      </w:r>
      <w:r>
        <w:t xml:space="preserve">for example, </w:t>
      </w:r>
      <w:r w:rsidRPr="001168CA">
        <w:t xml:space="preserve">application of plant protection products, handling, culling, </w:t>
      </w:r>
      <w:r>
        <w:t xml:space="preserve">and </w:t>
      </w:r>
      <w:r w:rsidRPr="001168CA">
        <w:t>grading)</w:t>
      </w:r>
    </w:p>
    <w:p w14:paraId="74A76870" w14:textId="77777777" w:rsidR="00BC2F05" w:rsidRPr="00295F7E" w:rsidRDefault="00772FB6" w:rsidP="00BC2F05">
      <w:pPr>
        <w:pStyle w:val="ListBullet"/>
        <w:tabs>
          <w:tab w:val="clear" w:pos="567"/>
        </w:tabs>
      </w:pPr>
      <w:r>
        <w:t>l</w:t>
      </w:r>
      <w:r w:rsidRPr="00295F7E">
        <w:t>ikelihood of survival of the pest during transport or storage</w:t>
      </w:r>
    </w:p>
    <w:p w14:paraId="555E93BC" w14:textId="77777777" w:rsidR="00BC2F05" w:rsidRPr="001168CA" w:rsidRDefault="00772FB6" w:rsidP="00BC2F05">
      <w:pPr>
        <w:pStyle w:val="ListBullet2"/>
        <w:ind w:left="794" w:hanging="397"/>
      </w:pPr>
      <w:r w:rsidRPr="001168CA">
        <w:t>speed and conditions of transport and duration and conditions of storage compared with the duration of the life cycle of the pest</w:t>
      </w:r>
    </w:p>
    <w:p w14:paraId="285687AA" w14:textId="77777777" w:rsidR="00BC2F05" w:rsidRPr="001168CA" w:rsidRDefault="00772FB6" w:rsidP="00BC2F05">
      <w:pPr>
        <w:pStyle w:val="ListBullet2"/>
        <w:ind w:left="794" w:hanging="397"/>
      </w:pPr>
      <w:r w:rsidRPr="001168CA">
        <w:t>vulnerability of the life-stages of the pest during transport or storage</w:t>
      </w:r>
    </w:p>
    <w:p w14:paraId="1A9F3B9C" w14:textId="77777777" w:rsidR="00BC2F05" w:rsidRPr="001168CA" w:rsidRDefault="00772FB6" w:rsidP="00BC2F05">
      <w:pPr>
        <w:pStyle w:val="ListBullet2"/>
        <w:ind w:left="794" w:hanging="397"/>
      </w:pPr>
      <w:r w:rsidRPr="001168CA">
        <w:t>prevalence of the pest likely to be associated with a consignment</w:t>
      </w:r>
    </w:p>
    <w:p w14:paraId="69BE81A6" w14:textId="77777777" w:rsidR="00BC2F05" w:rsidRPr="001168CA" w:rsidRDefault="00772FB6" w:rsidP="00BC2F05">
      <w:pPr>
        <w:pStyle w:val="ListBullet2"/>
        <w:ind w:left="794" w:hanging="397"/>
      </w:pPr>
      <w:r w:rsidRPr="001168CA">
        <w:t>commercial procedures (for example, refrigeration) applied to consignments during transport and storage in the country of origin, and during transport to Australia</w:t>
      </w:r>
    </w:p>
    <w:p w14:paraId="4C809D10" w14:textId="77777777" w:rsidR="00BC2F05" w:rsidRPr="00295F7E" w:rsidRDefault="00772FB6" w:rsidP="00BC2F05">
      <w:pPr>
        <w:pStyle w:val="ListBullet"/>
        <w:tabs>
          <w:tab w:val="clear" w:pos="567"/>
        </w:tabs>
      </w:pPr>
      <w:r>
        <w:t>l</w:t>
      </w:r>
      <w:r w:rsidRPr="00295F7E">
        <w:t>ikelihood of pest surviving existing pest management procedures</w:t>
      </w:r>
      <w:r>
        <w:t>.</w:t>
      </w:r>
    </w:p>
    <w:p w14:paraId="7D164DE5" w14:textId="77777777" w:rsidR="00BC2F05" w:rsidRPr="00350304" w:rsidRDefault="00772FB6" w:rsidP="00AB526F">
      <w:r w:rsidRPr="00350304">
        <w:t>Factors to be considered in the likelihood of distribution may include:</w:t>
      </w:r>
    </w:p>
    <w:p w14:paraId="5BB73749" w14:textId="77777777" w:rsidR="00BC2F05" w:rsidRPr="00CA1531" w:rsidRDefault="00772FB6" w:rsidP="00BC2F05">
      <w:pPr>
        <w:pStyle w:val="ListBullet"/>
        <w:tabs>
          <w:tab w:val="clear" w:pos="567"/>
        </w:tabs>
      </w:pPr>
      <w:r w:rsidRPr="00CA1531">
        <w:t>commercial procedures (for example, refrigeration) applied to consignments during distribution in Australia</w:t>
      </w:r>
    </w:p>
    <w:p w14:paraId="1ED0D758" w14:textId="77777777" w:rsidR="00BC2F05" w:rsidRPr="00CA1531" w:rsidRDefault="00772FB6" w:rsidP="00BC2F05">
      <w:pPr>
        <w:pStyle w:val="ListBullet"/>
        <w:tabs>
          <w:tab w:val="clear" w:pos="567"/>
        </w:tabs>
      </w:pPr>
      <w:r w:rsidRPr="00CA1531">
        <w:t>dispersal mechanisms of the pest, including vectors, to allow movement from the pathway to a suitable host</w:t>
      </w:r>
    </w:p>
    <w:p w14:paraId="4CE20D0E" w14:textId="77777777" w:rsidR="00BC2F05" w:rsidRPr="00CA1531" w:rsidRDefault="00772FB6" w:rsidP="00BC2F05">
      <w:pPr>
        <w:pStyle w:val="ListBullet"/>
        <w:tabs>
          <w:tab w:val="clear" w:pos="567"/>
        </w:tabs>
      </w:pPr>
      <w:r w:rsidRPr="00CA1531">
        <w:t>whether the imported commodity is to be sent to a few or many destination points in the PRA area</w:t>
      </w:r>
    </w:p>
    <w:p w14:paraId="171BB3DF" w14:textId="77777777" w:rsidR="00BC2F05" w:rsidRPr="00CA1531" w:rsidRDefault="00772FB6" w:rsidP="00BC2F05">
      <w:pPr>
        <w:pStyle w:val="ListBullet"/>
        <w:tabs>
          <w:tab w:val="clear" w:pos="567"/>
        </w:tabs>
      </w:pPr>
      <w:r w:rsidRPr="00CA1531">
        <w:t xml:space="preserve">proximity of entry, </w:t>
      </w:r>
      <w:proofErr w:type="gramStart"/>
      <w:r w:rsidRPr="00CA1531">
        <w:t>transit</w:t>
      </w:r>
      <w:proofErr w:type="gramEnd"/>
      <w:r w:rsidRPr="00CA1531">
        <w:t xml:space="preserve"> and destination points to suitable hosts</w:t>
      </w:r>
    </w:p>
    <w:p w14:paraId="1CD02710" w14:textId="77777777" w:rsidR="00BC2F05" w:rsidRPr="00CA1531" w:rsidRDefault="00772FB6" w:rsidP="00BC2F05">
      <w:pPr>
        <w:pStyle w:val="ListBullet"/>
        <w:tabs>
          <w:tab w:val="clear" w:pos="567"/>
        </w:tabs>
      </w:pPr>
      <w:r w:rsidRPr="00CA1531">
        <w:t>time of year at which import takes place</w:t>
      </w:r>
    </w:p>
    <w:p w14:paraId="78775B5D" w14:textId="77777777" w:rsidR="00BC2F05" w:rsidRPr="00CA1531" w:rsidRDefault="00772FB6" w:rsidP="00BC2F05">
      <w:pPr>
        <w:pStyle w:val="ListBullet"/>
        <w:tabs>
          <w:tab w:val="clear" w:pos="567"/>
        </w:tabs>
      </w:pPr>
      <w:r w:rsidRPr="00CA1531">
        <w:t xml:space="preserve">intended use of the commodity (for example, for planting, </w:t>
      </w:r>
      <w:proofErr w:type="gramStart"/>
      <w:r w:rsidRPr="00CA1531">
        <w:t>processing</w:t>
      </w:r>
      <w:proofErr w:type="gramEnd"/>
      <w:r w:rsidRPr="00CA1531">
        <w:t xml:space="preserve"> or consumption)</w:t>
      </w:r>
    </w:p>
    <w:p w14:paraId="15F8F4BA" w14:textId="77777777" w:rsidR="00BC2F05" w:rsidRPr="00CA1531" w:rsidRDefault="00772FB6" w:rsidP="00BC2F05">
      <w:pPr>
        <w:pStyle w:val="ListBullet"/>
        <w:tabs>
          <w:tab w:val="clear" w:pos="567"/>
        </w:tabs>
      </w:pPr>
      <w:r w:rsidRPr="00CA1531">
        <w:t>risks from by-products and waste.</w:t>
      </w:r>
    </w:p>
    <w:p w14:paraId="0AD13374" w14:textId="77777777" w:rsidR="00BC2F05" w:rsidRDefault="00772FB6" w:rsidP="00BC2F05">
      <w:pPr>
        <w:pStyle w:val="Heading5-Appendix"/>
        <w:numPr>
          <w:ilvl w:val="0"/>
          <w:numId w:val="20"/>
        </w:numPr>
        <w:ind w:left="357" w:hanging="357"/>
      </w:pPr>
      <w:r>
        <w:t>Likelihood of establishment</w:t>
      </w:r>
    </w:p>
    <w:p w14:paraId="16AF9F3E" w14:textId="77777777" w:rsidR="00BC2F05" w:rsidRDefault="00772FB6" w:rsidP="00AB526F">
      <w:r>
        <w:t xml:space="preserve">Establishment is defined as the ‘perpetuation for the foreseeable future, of a pest within an area after entry’ </w:t>
      </w:r>
      <w:r>
        <w:rPr>
          <w:noProof/>
        </w:rPr>
        <w:t>(FAO 2022)</w:t>
      </w:r>
      <w:r>
        <w:t xml:space="preserve">. </w:t>
      </w:r>
      <w:proofErr w:type="gramStart"/>
      <w:r>
        <w:t>In order to</w:t>
      </w:r>
      <w:proofErr w:type="gramEnd"/>
      <w:r>
        <w:t xml:space="preserve">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w:t>
      </w:r>
      <w:proofErr w:type="gramStart"/>
      <w:r>
        <w:t>occurs</w:t>
      </w:r>
      <w:proofErr w:type="gramEnd"/>
      <w:r>
        <w:t xml:space="preserve"> and expert judgement used to assess the likelihood of establishment.</w:t>
      </w:r>
    </w:p>
    <w:p w14:paraId="6A7CC68B" w14:textId="77777777" w:rsidR="00BC2F05" w:rsidRDefault="00772FB6" w:rsidP="00AB526F">
      <w:r>
        <w:t>Factors to be considered in the likelihood of establishment in the PRA area may include:</w:t>
      </w:r>
    </w:p>
    <w:p w14:paraId="4FD9A51A" w14:textId="77777777" w:rsidR="00BC2F05" w:rsidRPr="009B38E7" w:rsidRDefault="00772FB6" w:rsidP="00BC2F05">
      <w:pPr>
        <w:pStyle w:val="ListBullet"/>
        <w:tabs>
          <w:tab w:val="clear" w:pos="567"/>
        </w:tabs>
        <w:ind w:left="737"/>
      </w:pPr>
      <w:r>
        <w:t>a</w:t>
      </w:r>
      <w:r w:rsidRPr="009B38E7">
        <w:t xml:space="preserve">vailability of suitable hosts, alternate </w:t>
      </w:r>
      <w:proofErr w:type="gramStart"/>
      <w:r w:rsidRPr="009B38E7">
        <w:t>hosts</w:t>
      </w:r>
      <w:proofErr w:type="gramEnd"/>
      <w:r w:rsidRPr="009B38E7">
        <w:t xml:space="preserve"> and vectors in the PRA areas</w:t>
      </w:r>
    </w:p>
    <w:p w14:paraId="6B9FB1C8" w14:textId="77777777" w:rsidR="00BC2F05" w:rsidRPr="00195B80" w:rsidRDefault="00772FB6" w:rsidP="00BC2F05">
      <w:pPr>
        <w:pStyle w:val="ListBullet2"/>
        <w:ind w:left="1077" w:hanging="397"/>
      </w:pPr>
      <w:r>
        <w:t>p</w:t>
      </w:r>
      <w:r w:rsidRPr="00195B80">
        <w:t>revalence of hosts and alternate hosts in the PRA area</w:t>
      </w:r>
    </w:p>
    <w:p w14:paraId="68742F9A" w14:textId="77777777" w:rsidR="00BC2F05" w:rsidRPr="00195B80" w:rsidRDefault="00772FB6" w:rsidP="00BC2F05">
      <w:pPr>
        <w:pStyle w:val="ListBullet2"/>
        <w:ind w:left="1077" w:hanging="397"/>
      </w:pPr>
      <w:r w:rsidRPr="00195B80">
        <w:t>whether hosts and alternate hosts occur within sufficient geographic proximity to allow the pest to complete its life cycle</w:t>
      </w:r>
    </w:p>
    <w:p w14:paraId="4C532127" w14:textId="77777777" w:rsidR="00BC2F05" w:rsidRPr="00195B80" w:rsidRDefault="00772FB6" w:rsidP="00BC2F05">
      <w:pPr>
        <w:pStyle w:val="ListBullet2"/>
        <w:ind w:left="1077" w:hanging="397"/>
      </w:pPr>
      <w:r w:rsidRPr="00195B80">
        <w:t>whether there are other plant species, which could prove to be suitable hosts in the absence of usual host species</w:t>
      </w:r>
    </w:p>
    <w:p w14:paraId="2C2BB8D3" w14:textId="77777777" w:rsidR="00BC2F05" w:rsidRPr="00195B80" w:rsidRDefault="00772FB6" w:rsidP="00BC2F05">
      <w:pPr>
        <w:pStyle w:val="ListBullet2"/>
        <w:ind w:left="1077" w:hanging="397"/>
      </w:pPr>
      <w:r w:rsidRPr="00195B80">
        <w:t>whether a vector, if needed for dispersal of the pest, is already present in the PRA area or likely to be introduced</w:t>
      </w:r>
    </w:p>
    <w:p w14:paraId="245E4075" w14:textId="77777777" w:rsidR="00BC2F05" w:rsidRPr="009B38E7" w:rsidRDefault="00772FB6" w:rsidP="00BC2F05">
      <w:pPr>
        <w:pStyle w:val="ListBullet"/>
        <w:tabs>
          <w:tab w:val="clear" w:pos="567"/>
        </w:tabs>
        <w:ind w:left="737"/>
      </w:pPr>
      <w:r>
        <w:t>s</w:t>
      </w:r>
      <w:r w:rsidRPr="009B38E7">
        <w:t>uitability of environment in the PRA area</w:t>
      </w:r>
    </w:p>
    <w:p w14:paraId="4EDB9F1F" w14:textId="77777777" w:rsidR="00BC2F05" w:rsidRPr="00195B80" w:rsidRDefault="00772FB6" w:rsidP="00BC2F05">
      <w:pPr>
        <w:pStyle w:val="ListBullet2"/>
        <w:ind w:left="794" w:hanging="397"/>
      </w:pPr>
      <w:r>
        <w:lastRenderedPageBreak/>
        <w:t>f</w:t>
      </w:r>
      <w:r w:rsidRPr="00195B80">
        <w:t>actors in the environment in the PRA area (</w:t>
      </w:r>
      <w:r>
        <w:t>for example,</w:t>
      </w:r>
      <w:r w:rsidRPr="00195B80">
        <w:t xml:space="preserve"> suitability of climate, soil, </w:t>
      </w:r>
      <w:proofErr w:type="gramStart"/>
      <w:r w:rsidRPr="00195B80">
        <w:t>pest</w:t>
      </w:r>
      <w:proofErr w:type="gramEnd"/>
      <w:r w:rsidRPr="00195B80">
        <w:t xml:space="preserve"> and host competition) that are critical to the development of the pest, its host and if applicable its vector, and to their ability to survive periods of climatic stress and complete their life cycles</w:t>
      </w:r>
    </w:p>
    <w:p w14:paraId="5A744133" w14:textId="77777777" w:rsidR="00BC2F05" w:rsidRPr="009B38E7" w:rsidRDefault="00772FB6" w:rsidP="00BC2F05">
      <w:pPr>
        <w:pStyle w:val="ListBullet"/>
        <w:tabs>
          <w:tab w:val="clear" w:pos="567"/>
        </w:tabs>
      </w:pPr>
      <w:r>
        <w:t>c</w:t>
      </w:r>
      <w:r w:rsidRPr="009B38E7">
        <w:t>ultural practices and control measures in the PRA area that may influence the ability of the pest to establish</w:t>
      </w:r>
    </w:p>
    <w:p w14:paraId="38F632AB" w14:textId="77777777" w:rsidR="00BC2F05" w:rsidRPr="009B38E7" w:rsidRDefault="00772FB6" w:rsidP="00BC2F05">
      <w:pPr>
        <w:pStyle w:val="ListBullet"/>
        <w:tabs>
          <w:tab w:val="clear" w:pos="567"/>
        </w:tabs>
      </w:pPr>
      <w:r>
        <w:t>o</w:t>
      </w:r>
      <w:r w:rsidRPr="009B38E7">
        <w:t>ther characteristics of the pest</w:t>
      </w:r>
    </w:p>
    <w:p w14:paraId="5802AE99" w14:textId="77777777" w:rsidR="00BC2F05" w:rsidRPr="00195B80" w:rsidRDefault="00772FB6" w:rsidP="00BC2F05">
      <w:pPr>
        <w:pStyle w:val="ListBullet2"/>
        <w:ind w:left="794" w:hanging="397"/>
      </w:pPr>
      <w:r w:rsidRPr="00195B80">
        <w:t>reproductive strategy of the pest and method of pest survival</w:t>
      </w:r>
    </w:p>
    <w:p w14:paraId="79F113AC" w14:textId="77777777" w:rsidR="00BC2F05" w:rsidRPr="00195B80" w:rsidRDefault="00772FB6" w:rsidP="00BC2F05">
      <w:pPr>
        <w:pStyle w:val="ListBullet2"/>
        <w:ind w:left="794" w:hanging="397"/>
      </w:pPr>
      <w:r w:rsidRPr="00195B80">
        <w:t>potential for adaptation of the pest</w:t>
      </w:r>
    </w:p>
    <w:p w14:paraId="308CA37F" w14:textId="77777777" w:rsidR="00BC2F05" w:rsidRPr="00195B80" w:rsidRDefault="00772FB6" w:rsidP="00BC2F05">
      <w:pPr>
        <w:pStyle w:val="ListBullet2"/>
        <w:ind w:left="794" w:hanging="397"/>
      </w:pPr>
      <w:r w:rsidRPr="00195B80">
        <w:t>minimum population needed for establishment.</w:t>
      </w:r>
    </w:p>
    <w:p w14:paraId="1E691C46" w14:textId="77777777" w:rsidR="00BC2F05" w:rsidRDefault="00772FB6" w:rsidP="00BC2F05">
      <w:pPr>
        <w:pStyle w:val="Heading5-Appendix"/>
        <w:numPr>
          <w:ilvl w:val="0"/>
          <w:numId w:val="20"/>
        </w:numPr>
        <w:ind w:left="357" w:hanging="357"/>
      </w:pPr>
      <w:r>
        <w:t>Likelihood of spread</w:t>
      </w:r>
    </w:p>
    <w:p w14:paraId="416E7ACD" w14:textId="77777777" w:rsidR="00BC2F05" w:rsidRDefault="00772FB6" w:rsidP="00AB526F">
      <w:r>
        <w:t xml:space="preserve">Spread is defined as ‘the expansion of the geographical distribution of a pest within an area’ </w:t>
      </w:r>
      <w:r>
        <w:rPr>
          <w:noProof/>
        </w:rPr>
        <w:t>(FAO 2022)</w:t>
      </w:r>
      <w:r>
        <w:t xml:space="preserve">. The likelihood of spread considers the factors relevant to the movement of the pest, after establishment on a host plant or plants, to other susceptible host plants of the same or different species in other areas. </w:t>
      </w:r>
      <w:proofErr w:type="gramStart"/>
      <w:r>
        <w:t>In order to</w:t>
      </w:r>
      <w:proofErr w:type="gramEnd"/>
      <w:r>
        <w:t xml:space="preserve"> estimate the likelihood of spread of the pest, reliable biological information is obtained from areas where the pest currently occurs. The situation in the PRA area is then carefully compared with that in the areas where the pest currently </w:t>
      </w:r>
      <w:proofErr w:type="gramStart"/>
      <w:r>
        <w:t>occurs</w:t>
      </w:r>
      <w:proofErr w:type="gramEnd"/>
      <w:r>
        <w:t xml:space="preserve"> and expert judgement used to assess the likelihood of spread.</w:t>
      </w:r>
    </w:p>
    <w:p w14:paraId="4669EE5A" w14:textId="77777777" w:rsidR="00BC2F05" w:rsidRDefault="00772FB6" w:rsidP="00AB526F">
      <w:r>
        <w:t>Factors to be considered in the likelihood of spread may include:</w:t>
      </w:r>
    </w:p>
    <w:p w14:paraId="68E9D167" w14:textId="77777777" w:rsidR="00BC2F05" w:rsidRDefault="00772FB6" w:rsidP="00BC2F05">
      <w:pPr>
        <w:pStyle w:val="ListBullet"/>
        <w:tabs>
          <w:tab w:val="clear" w:pos="567"/>
        </w:tabs>
        <w:jc w:val="both"/>
      </w:pPr>
      <w:r>
        <w:t>suitability of the natural and/or managed environment for natural spread of the pest</w:t>
      </w:r>
    </w:p>
    <w:p w14:paraId="6D134D08" w14:textId="77777777" w:rsidR="00BC2F05" w:rsidRDefault="00772FB6" w:rsidP="00BC2F05">
      <w:pPr>
        <w:pStyle w:val="ListBullet"/>
        <w:tabs>
          <w:tab w:val="clear" w:pos="567"/>
        </w:tabs>
        <w:jc w:val="both"/>
      </w:pPr>
      <w:r>
        <w:t>presence of natural barriers</w:t>
      </w:r>
    </w:p>
    <w:p w14:paraId="187F2C56" w14:textId="77777777" w:rsidR="00BC2F05" w:rsidRDefault="00772FB6" w:rsidP="00BC2F05">
      <w:pPr>
        <w:pStyle w:val="ListBullet"/>
        <w:tabs>
          <w:tab w:val="clear" w:pos="567"/>
        </w:tabs>
        <w:jc w:val="both"/>
      </w:pPr>
      <w:r>
        <w:t>potential for movement with commodities, conveyances or by vectors</w:t>
      </w:r>
    </w:p>
    <w:p w14:paraId="61D49F9B" w14:textId="77777777" w:rsidR="00BC2F05" w:rsidRDefault="00772FB6" w:rsidP="00BC2F05">
      <w:pPr>
        <w:pStyle w:val="ListBullet"/>
        <w:tabs>
          <w:tab w:val="clear" w:pos="567"/>
        </w:tabs>
        <w:jc w:val="both"/>
      </w:pPr>
      <w:r>
        <w:t>intended use of the commodity</w:t>
      </w:r>
    </w:p>
    <w:p w14:paraId="34FBD846" w14:textId="77777777" w:rsidR="00BC2F05" w:rsidRDefault="00772FB6" w:rsidP="00BC2F05">
      <w:pPr>
        <w:pStyle w:val="ListBullet"/>
        <w:tabs>
          <w:tab w:val="clear" w:pos="567"/>
        </w:tabs>
        <w:jc w:val="both"/>
      </w:pPr>
      <w:r>
        <w:t>potential vectors of the pest in the PRA area</w:t>
      </w:r>
    </w:p>
    <w:p w14:paraId="3CA4BC8A" w14:textId="77777777" w:rsidR="00BC2F05" w:rsidRDefault="00772FB6" w:rsidP="00BC2F05">
      <w:pPr>
        <w:pStyle w:val="ListBullet"/>
        <w:tabs>
          <w:tab w:val="clear" w:pos="567"/>
        </w:tabs>
        <w:jc w:val="both"/>
      </w:pPr>
      <w:r>
        <w:t>potential natural enemies of the pest in the PRA area.</w:t>
      </w:r>
    </w:p>
    <w:p w14:paraId="16E1BC13" w14:textId="77777777" w:rsidR="00BC2F05" w:rsidRDefault="00772FB6" w:rsidP="00BC2F05">
      <w:pPr>
        <w:pStyle w:val="Heading5-Appendix"/>
        <w:numPr>
          <w:ilvl w:val="0"/>
          <w:numId w:val="20"/>
        </w:numPr>
        <w:ind w:left="357" w:hanging="357"/>
      </w:pPr>
      <w:r>
        <w:t>Assigning likelihoods for entry, establishment and spread</w:t>
      </w:r>
    </w:p>
    <w:p w14:paraId="6CF8D262" w14:textId="77777777" w:rsidR="00BC2F05" w:rsidRPr="00254112" w:rsidRDefault="00772FB6" w:rsidP="00AB526F">
      <w:r>
        <w:t xml:space="preserve">Likelihoods are assigned to each step of entry, establishment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 </w:t>
      </w:r>
      <w:r w:rsidRPr="00254112">
        <w:fldChar w:fldCharType="begin" w:fldLock="1"/>
      </w:r>
      <w:r w:rsidRPr="00254112">
        <w:instrText xml:space="preserve"> REF _Ref524354931 \h  \* MERGEFORMAT </w:instrText>
      </w:r>
      <w:r w:rsidRPr="00254112">
        <w:fldChar w:fldCharType="separate"/>
      </w:r>
      <w:r w:rsidRPr="0074640D">
        <w:t xml:space="preserve">Table </w:t>
      </w:r>
      <w:r w:rsidRPr="0074640D">
        <w:rPr>
          <w:noProof/>
        </w:rPr>
        <w:t>A</w:t>
      </w:r>
      <w:r>
        <w:t>.1</w:t>
      </w:r>
      <w:r w:rsidRPr="00254112">
        <w:fldChar w:fldCharType="end"/>
      </w:r>
      <w:r w:rsidRPr="004405AB">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20ABDD42" w14:textId="77777777" w:rsidR="00BC2F05" w:rsidRPr="0074640D" w:rsidRDefault="00772FB6" w:rsidP="00AB526F">
      <w:pPr>
        <w:pStyle w:val="Tablecaption"/>
      </w:pPr>
      <w:bookmarkStart w:id="184" w:name="_Ref524354931"/>
      <w:bookmarkStart w:id="185" w:name="_Ref457826303"/>
      <w:bookmarkStart w:id="186" w:name="_Toc6906414"/>
      <w:bookmarkStart w:id="187" w:name="_Toc113430656"/>
      <w:bookmarkStart w:id="188" w:name="_Toc119493141"/>
      <w:r w:rsidRPr="0074640D">
        <w:t>Table A</w:t>
      </w:r>
      <w:r>
        <w:t>.</w:t>
      </w:r>
      <w:r w:rsidR="000C0A09">
        <w:fldChar w:fldCharType="begin" w:fldLock="1"/>
      </w:r>
      <w:r w:rsidR="000C0A09">
        <w:instrText xml:space="preserve"> SEQ Table \* ARABIC \s 2 </w:instrText>
      </w:r>
      <w:r w:rsidR="000C0A09">
        <w:fldChar w:fldCharType="separate"/>
      </w:r>
      <w:r>
        <w:rPr>
          <w:noProof/>
        </w:rPr>
        <w:t>1</w:t>
      </w:r>
      <w:r w:rsidR="000C0A09">
        <w:rPr>
          <w:noProof/>
        </w:rPr>
        <w:fldChar w:fldCharType="end"/>
      </w:r>
      <w:bookmarkEnd w:id="184"/>
      <w:r w:rsidRPr="0074640D">
        <w:t xml:space="preserve"> Nomenclature of likelihoods</w:t>
      </w:r>
      <w:bookmarkEnd w:id="185"/>
      <w:bookmarkEnd w:id="186"/>
      <w:bookmarkEnd w:id="187"/>
      <w:bookmarkEnd w:id="188"/>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C80041" w14:paraId="183AFA71" w14:textId="77777777" w:rsidTr="00976665">
        <w:tc>
          <w:tcPr>
            <w:tcW w:w="1051" w:type="pct"/>
            <w:tcBorders>
              <w:top w:val="single" w:sz="4" w:space="0" w:color="auto"/>
              <w:bottom w:val="single" w:sz="4" w:space="0" w:color="auto"/>
            </w:tcBorders>
          </w:tcPr>
          <w:p w14:paraId="7C53F6ED" w14:textId="77777777" w:rsidR="00BC2F05" w:rsidRDefault="00772FB6" w:rsidP="00976665">
            <w:pPr>
              <w:pStyle w:val="TableHeading"/>
            </w:pPr>
            <w:r>
              <w:t>Likelihood</w:t>
            </w:r>
          </w:p>
        </w:tc>
        <w:tc>
          <w:tcPr>
            <w:tcW w:w="2282" w:type="pct"/>
            <w:tcBorders>
              <w:top w:val="single" w:sz="4" w:space="0" w:color="auto"/>
              <w:bottom w:val="single" w:sz="4" w:space="0" w:color="auto"/>
            </w:tcBorders>
          </w:tcPr>
          <w:p w14:paraId="3C34ED04" w14:textId="77777777" w:rsidR="00BC2F05" w:rsidRDefault="00772FB6" w:rsidP="00976665">
            <w:pPr>
              <w:pStyle w:val="TableHeading"/>
            </w:pPr>
            <w:r>
              <w:t>Descriptive definition</w:t>
            </w:r>
          </w:p>
        </w:tc>
        <w:tc>
          <w:tcPr>
            <w:tcW w:w="1667" w:type="pct"/>
            <w:tcBorders>
              <w:top w:val="single" w:sz="4" w:space="0" w:color="auto"/>
              <w:bottom w:val="single" w:sz="4" w:space="0" w:color="auto"/>
            </w:tcBorders>
          </w:tcPr>
          <w:p w14:paraId="5575834D" w14:textId="77777777" w:rsidR="00BC2F05" w:rsidRPr="004405AB" w:rsidRDefault="00772FB6" w:rsidP="00976665">
            <w:pPr>
              <w:pStyle w:val="TableHeading"/>
            </w:pPr>
            <w:r w:rsidRPr="004405AB">
              <w:t>Indicative range</w:t>
            </w:r>
          </w:p>
        </w:tc>
      </w:tr>
      <w:tr w:rsidR="00C80041" w14:paraId="44408DBE" w14:textId="77777777" w:rsidTr="00976665">
        <w:tc>
          <w:tcPr>
            <w:tcW w:w="1051" w:type="pct"/>
            <w:tcBorders>
              <w:top w:val="single" w:sz="4" w:space="0" w:color="auto"/>
            </w:tcBorders>
          </w:tcPr>
          <w:p w14:paraId="29A66FE2" w14:textId="77777777" w:rsidR="00BC2F05" w:rsidRDefault="00772FB6" w:rsidP="00976665">
            <w:pPr>
              <w:pStyle w:val="TableText"/>
            </w:pPr>
            <w:r>
              <w:t>High</w:t>
            </w:r>
          </w:p>
        </w:tc>
        <w:tc>
          <w:tcPr>
            <w:tcW w:w="2282" w:type="pct"/>
            <w:tcBorders>
              <w:top w:val="single" w:sz="4" w:space="0" w:color="auto"/>
            </w:tcBorders>
          </w:tcPr>
          <w:p w14:paraId="711EF8BB" w14:textId="77777777" w:rsidR="00BC2F05" w:rsidRDefault="00772FB6" w:rsidP="00976665">
            <w:pPr>
              <w:pStyle w:val="TableText"/>
            </w:pPr>
            <w:r>
              <w:t>The event would be very likely to occur</w:t>
            </w:r>
          </w:p>
        </w:tc>
        <w:tc>
          <w:tcPr>
            <w:tcW w:w="1667" w:type="pct"/>
            <w:tcBorders>
              <w:top w:val="single" w:sz="4" w:space="0" w:color="auto"/>
            </w:tcBorders>
          </w:tcPr>
          <w:p w14:paraId="4C3910A6" w14:textId="77777777" w:rsidR="00BC2F05" w:rsidRPr="004405AB" w:rsidRDefault="00772FB6" w:rsidP="00976665">
            <w:pPr>
              <w:pStyle w:val="TableText"/>
            </w:pPr>
            <w:r w:rsidRPr="004405AB">
              <w:t>0.7 &lt; to ≤ 1</w:t>
            </w:r>
          </w:p>
        </w:tc>
      </w:tr>
      <w:tr w:rsidR="00C80041" w14:paraId="5DE53B7C" w14:textId="77777777" w:rsidTr="00976665">
        <w:tc>
          <w:tcPr>
            <w:tcW w:w="1051" w:type="pct"/>
          </w:tcPr>
          <w:p w14:paraId="7B8A78E7" w14:textId="77777777" w:rsidR="00BC2F05" w:rsidRDefault="00772FB6" w:rsidP="00976665">
            <w:pPr>
              <w:pStyle w:val="TableText"/>
            </w:pPr>
            <w:r>
              <w:t>Moderate</w:t>
            </w:r>
          </w:p>
        </w:tc>
        <w:tc>
          <w:tcPr>
            <w:tcW w:w="2282" w:type="pct"/>
          </w:tcPr>
          <w:p w14:paraId="0A4D2FAE" w14:textId="77777777" w:rsidR="00BC2F05" w:rsidRDefault="00772FB6" w:rsidP="00976665">
            <w:pPr>
              <w:pStyle w:val="TableText"/>
            </w:pPr>
            <w:r>
              <w:t>The event would occur with an even likelihood</w:t>
            </w:r>
          </w:p>
        </w:tc>
        <w:tc>
          <w:tcPr>
            <w:tcW w:w="1667" w:type="pct"/>
          </w:tcPr>
          <w:p w14:paraId="4E2AE021" w14:textId="77777777" w:rsidR="00BC2F05" w:rsidRPr="004405AB" w:rsidRDefault="00772FB6" w:rsidP="00976665">
            <w:pPr>
              <w:pStyle w:val="TableText"/>
            </w:pPr>
            <w:r w:rsidRPr="004405AB">
              <w:t>0.3 &lt; to ≤ 0.7</w:t>
            </w:r>
          </w:p>
        </w:tc>
      </w:tr>
      <w:tr w:rsidR="00C80041" w14:paraId="2ADF36E6" w14:textId="77777777" w:rsidTr="00976665">
        <w:tc>
          <w:tcPr>
            <w:tcW w:w="1051" w:type="pct"/>
          </w:tcPr>
          <w:p w14:paraId="3E27FAA9" w14:textId="77777777" w:rsidR="00BC2F05" w:rsidRDefault="00772FB6" w:rsidP="00976665">
            <w:pPr>
              <w:pStyle w:val="TableText"/>
            </w:pPr>
            <w:r>
              <w:t>Low</w:t>
            </w:r>
          </w:p>
        </w:tc>
        <w:tc>
          <w:tcPr>
            <w:tcW w:w="2282" w:type="pct"/>
          </w:tcPr>
          <w:p w14:paraId="1EC7ED7A" w14:textId="77777777" w:rsidR="00BC2F05" w:rsidRDefault="00772FB6" w:rsidP="00976665">
            <w:pPr>
              <w:pStyle w:val="TableText"/>
            </w:pPr>
            <w:r>
              <w:t>The event would be unlikely to occur</w:t>
            </w:r>
          </w:p>
        </w:tc>
        <w:tc>
          <w:tcPr>
            <w:tcW w:w="1667" w:type="pct"/>
          </w:tcPr>
          <w:p w14:paraId="76EE311E" w14:textId="77777777" w:rsidR="00BC2F05" w:rsidRPr="004405AB" w:rsidRDefault="00772FB6" w:rsidP="00976665">
            <w:pPr>
              <w:pStyle w:val="TableText"/>
            </w:pPr>
            <w:r w:rsidRPr="004405AB">
              <w:t>0.05 &lt; to ≤ 0.3</w:t>
            </w:r>
          </w:p>
        </w:tc>
      </w:tr>
      <w:tr w:rsidR="00C80041" w14:paraId="24B1D080" w14:textId="77777777" w:rsidTr="00976665">
        <w:tc>
          <w:tcPr>
            <w:tcW w:w="1051" w:type="pct"/>
          </w:tcPr>
          <w:p w14:paraId="5049D7B7" w14:textId="77777777" w:rsidR="00BC2F05" w:rsidRDefault="00772FB6" w:rsidP="00976665">
            <w:pPr>
              <w:pStyle w:val="TableText"/>
            </w:pPr>
            <w:r>
              <w:t>Very Low</w:t>
            </w:r>
          </w:p>
        </w:tc>
        <w:tc>
          <w:tcPr>
            <w:tcW w:w="2282" w:type="pct"/>
          </w:tcPr>
          <w:p w14:paraId="3BE5703B" w14:textId="77777777" w:rsidR="00BC2F05" w:rsidRDefault="00772FB6" w:rsidP="00976665">
            <w:pPr>
              <w:pStyle w:val="TableText"/>
            </w:pPr>
            <w:r>
              <w:t>The event would be very unlikely to occur</w:t>
            </w:r>
          </w:p>
        </w:tc>
        <w:tc>
          <w:tcPr>
            <w:tcW w:w="1667" w:type="pct"/>
          </w:tcPr>
          <w:p w14:paraId="6C0F5EB9" w14:textId="77777777" w:rsidR="00BC2F05" w:rsidRPr="004405AB" w:rsidRDefault="00772FB6" w:rsidP="00976665">
            <w:pPr>
              <w:pStyle w:val="TableText"/>
            </w:pPr>
            <w:r w:rsidRPr="004405AB">
              <w:t>0.001 &lt; to ≤ 0.05</w:t>
            </w:r>
          </w:p>
        </w:tc>
      </w:tr>
      <w:tr w:rsidR="00C80041" w14:paraId="79078810" w14:textId="77777777" w:rsidTr="00976665">
        <w:tc>
          <w:tcPr>
            <w:tcW w:w="1051" w:type="pct"/>
          </w:tcPr>
          <w:p w14:paraId="54988A8D" w14:textId="77777777" w:rsidR="00BC2F05" w:rsidRDefault="00772FB6" w:rsidP="00976665">
            <w:pPr>
              <w:pStyle w:val="TableText"/>
            </w:pPr>
            <w:r>
              <w:t>Extremely Low</w:t>
            </w:r>
          </w:p>
        </w:tc>
        <w:tc>
          <w:tcPr>
            <w:tcW w:w="2282" w:type="pct"/>
          </w:tcPr>
          <w:p w14:paraId="7B082B12" w14:textId="77777777" w:rsidR="00BC2F05" w:rsidRDefault="00772FB6" w:rsidP="00976665">
            <w:pPr>
              <w:pStyle w:val="TableText"/>
            </w:pPr>
            <w:r>
              <w:t>The event would be extremely unlikely to occur</w:t>
            </w:r>
          </w:p>
        </w:tc>
        <w:tc>
          <w:tcPr>
            <w:tcW w:w="1667" w:type="pct"/>
          </w:tcPr>
          <w:p w14:paraId="0369484E" w14:textId="77777777" w:rsidR="00BC2F05" w:rsidRPr="004405AB" w:rsidRDefault="00772FB6" w:rsidP="00976665">
            <w:pPr>
              <w:pStyle w:val="TableText"/>
            </w:pPr>
            <w:r w:rsidRPr="004405AB">
              <w:t>0.000001 &lt; to ≤ 0.001</w:t>
            </w:r>
          </w:p>
        </w:tc>
      </w:tr>
      <w:tr w:rsidR="00C80041" w14:paraId="0F541310" w14:textId="77777777" w:rsidTr="00976665">
        <w:tc>
          <w:tcPr>
            <w:tcW w:w="1051" w:type="pct"/>
          </w:tcPr>
          <w:p w14:paraId="30FBC2B4" w14:textId="77777777" w:rsidR="00BC2F05" w:rsidRDefault="00772FB6" w:rsidP="00976665">
            <w:pPr>
              <w:pStyle w:val="TableText"/>
            </w:pPr>
            <w:r>
              <w:t>Negligible</w:t>
            </w:r>
          </w:p>
        </w:tc>
        <w:tc>
          <w:tcPr>
            <w:tcW w:w="2282" w:type="pct"/>
          </w:tcPr>
          <w:p w14:paraId="456934A7" w14:textId="77777777" w:rsidR="00BC2F05" w:rsidRDefault="00772FB6" w:rsidP="00976665">
            <w:pPr>
              <w:pStyle w:val="TableText"/>
            </w:pPr>
            <w:r>
              <w:t>The event would almost certainly not occur</w:t>
            </w:r>
          </w:p>
        </w:tc>
        <w:tc>
          <w:tcPr>
            <w:tcW w:w="1667" w:type="pct"/>
          </w:tcPr>
          <w:p w14:paraId="7015CC86" w14:textId="77777777" w:rsidR="00BC2F05" w:rsidRPr="004405AB" w:rsidRDefault="00772FB6" w:rsidP="00976665">
            <w:pPr>
              <w:pStyle w:val="TableText"/>
            </w:pPr>
            <w:r w:rsidRPr="004405AB">
              <w:t>0 &lt; to ≤ 0.000001</w:t>
            </w:r>
          </w:p>
        </w:tc>
      </w:tr>
    </w:tbl>
    <w:p w14:paraId="276C1352" w14:textId="77777777" w:rsidR="00BC2F05" w:rsidRDefault="00772FB6" w:rsidP="00BC2F05">
      <w:pPr>
        <w:pStyle w:val="Heading5-Appendix"/>
        <w:numPr>
          <w:ilvl w:val="0"/>
          <w:numId w:val="20"/>
        </w:numPr>
        <w:ind w:left="357" w:hanging="357"/>
      </w:pPr>
      <w:r>
        <w:lastRenderedPageBreak/>
        <w:t>Combining likelihoods</w:t>
      </w:r>
    </w:p>
    <w:p w14:paraId="782E07B4" w14:textId="77777777" w:rsidR="00BC2F05" w:rsidRDefault="00772FB6" w:rsidP="00AB526F">
      <w:r>
        <w:t>The likelihood of entry is determined by combining the likelihood that the pest will be imported into the PRA area and the likelihood that the pest will be distributed within the PRA area, using a matrix of rules (</w:t>
      </w:r>
      <w:r w:rsidRPr="00254112">
        <w:fldChar w:fldCharType="begin" w:fldLock="1"/>
      </w:r>
      <w:r w:rsidRPr="00254112">
        <w:instrText xml:space="preserve"> REF _Ref524354947 \h  \* MERGEFORMAT </w:instrText>
      </w:r>
      <w:r w:rsidRPr="00254112">
        <w:fldChar w:fldCharType="separate"/>
      </w:r>
      <w:r w:rsidRPr="00254112">
        <w:t xml:space="preserve">Table </w:t>
      </w:r>
      <w:r>
        <w:rPr>
          <w:noProof/>
        </w:rPr>
        <w:t>A.2</w:t>
      </w:r>
      <w:r w:rsidRPr="00254112">
        <w:fldChar w:fldCharType="end"/>
      </w:r>
      <w:r w:rsidRPr="00254112">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18EA7935" w14:textId="77777777" w:rsidR="00BC2F05" w:rsidRDefault="00772FB6" w:rsidP="00AB526F">
      <w: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7638A09F" w14:textId="77777777" w:rsidR="00BC2F05" w:rsidRDefault="00772FB6" w:rsidP="00AB526F">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7576E0B4" w14:textId="77777777" w:rsidR="00BC2F05" w:rsidRDefault="00772FB6" w:rsidP="00AB526F">
      <w:pPr>
        <w:tabs>
          <w:tab w:val="left" w:pos="4395"/>
        </w:tabs>
      </w:pPr>
      <w:r>
        <w:t>entry x establishment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6C975DC9" w14:textId="77777777" w:rsidR="00BC2F05" w:rsidRPr="00901A6E" w:rsidRDefault="00772FB6" w:rsidP="00AB526F">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05F5E6BA" w14:textId="77777777" w:rsidR="00BC2F05" w:rsidRDefault="00772FB6" w:rsidP="00AB526F">
      <w:pPr>
        <w:pStyle w:val="Tablecaption"/>
      </w:pPr>
      <w:bookmarkStart w:id="189" w:name="_Ref524354947"/>
      <w:bookmarkStart w:id="190" w:name="TableA_2"/>
      <w:bookmarkStart w:id="191" w:name="_Ref457826328"/>
      <w:bookmarkStart w:id="192" w:name="_Toc6906415"/>
      <w:bookmarkStart w:id="193" w:name="_Toc113430657"/>
      <w:bookmarkStart w:id="194" w:name="_Toc119493142"/>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Pr>
          <w:noProof/>
        </w:rPr>
        <w:t>2</w:t>
      </w:r>
      <w:r w:rsidRPr="00254112">
        <w:rPr>
          <w:noProof/>
        </w:rPr>
        <w:fldChar w:fldCharType="end"/>
      </w:r>
      <w:bookmarkEnd w:id="189"/>
      <w:r>
        <w:t xml:space="preserve"> </w:t>
      </w:r>
      <w:bookmarkEnd w:id="190"/>
      <w:r w:rsidRPr="00850893">
        <w:t>Matrix of rules for combining likelihoods</w:t>
      </w:r>
      <w:bookmarkEnd w:id="191"/>
      <w:bookmarkEnd w:id="192"/>
      <w:bookmarkEnd w:id="193"/>
      <w:bookmarkEnd w:id="194"/>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C80041" w14:paraId="3040A13D" w14:textId="77777777" w:rsidTr="00976665">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45A1270A" w14:textId="77777777" w:rsidR="00BC2F05" w:rsidRDefault="00BC2F05" w:rsidP="00976665">
            <w:pPr>
              <w:pStyle w:val="TableText"/>
            </w:pPr>
          </w:p>
        </w:tc>
        <w:tc>
          <w:tcPr>
            <w:tcW w:w="717" w:type="pct"/>
            <w:tcBorders>
              <w:top w:val="single" w:sz="8" w:space="0" w:color="auto"/>
              <w:left w:val="nil"/>
              <w:bottom w:val="single" w:sz="8" w:space="0" w:color="C0C0C0"/>
            </w:tcBorders>
            <w:shd w:val="clear" w:color="auto" w:fill="auto"/>
          </w:tcPr>
          <w:p w14:paraId="526390AF" w14:textId="77777777" w:rsidR="00BC2F05" w:rsidRDefault="00772FB6" w:rsidP="00976665">
            <w:pPr>
              <w:pStyle w:val="TableText"/>
            </w:pPr>
            <w:r>
              <w:t>High</w:t>
            </w:r>
          </w:p>
        </w:tc>
        <w:tc>
          <w:tcPr>
            <w:tcW w:w="717" w:type="pct"/>
            <w:tcBorders>
              <w:top w:val="single" w:sz="8" w:space="0" w:color="auto"/>
              <w:bottom w:val="single" w:sz="8" w:space="0" w:color="C0C0C0"/>
            </w:tcBorders>
            <w:shd w:val="clear" w:color="auto" w:fill="auto"/>
          </w:tcPr>
          <w:p w14:paraId="50B2728C" w14:textId="77777777" w:rsidR="00BC2F05" w:rsidRDefault="00772FB6" w:rsidP="00976665">
            <w:pPr>
              <w:pStyle w:val="TableText"/>
            </w:pPr>
            <w:r>
              <w:t>Moderate</w:t>
            </w:r>
          </w:p>
        </w:tc>
        <w:tc>
          <w:tcPr>
            <w:tcW w:w="717" w:type="pct"/>
            <w:tcBorders>
              <w:top w:val="single" w:sz="8" w:space="0" w:color="auto"/>
              <w:bottom w:val="single" w:sz="8" w:space="0" w:color="C0C0C0"/>
            </w:tcBorders>
            <w:shd w:val="clear" w:color="auto" w:fill="auto"/>
          </w:tcPr>
          <w:p w14:paraId="68E1510E" w14:textId="77777777" w:rsidR="00BC2F05" w:rsidRDefault="00772FB6" w:rsidP="00976665">
            <w:pPr>
              <w:pStyle w:val="TableText"/>
            </w:pPr>
            <w:r>
              <w:t>Low</w:t>
            </w:r>
          </w:p>
        </w:tc>
        <w:tc>
          <w:tcPr>
            <w:tcW w:w="717" w:type="pct"/>
            <w:tcBorders>
              <w:top w:val="single" w:sz="8" w:space="0" w:color="auto"/>
              <w:bottom w:val="single" w:sz="8" w:space="0" w:color="C0C0C0"/>
            </w:tcBorders>
            <w:shd w:val="clear" w:color="auto" w:fill="auto"/>
          </w:tcPr>
          <w:p w14:paraId="26EF6B04" w14:textId="77777777" w:rsidR="00BC2F05" w:rsidRDefault="00772FB6" w:rsidP="00976665">
            <w:pPr>
              <w:pStyle w:val="TableText"/>
            </w:pPr>
            <w:r>
              <w:t>Very Low</w:t>
            </w:r>
          </w:p>
        </w:tc>
        <w:tc>
          <w:tcPr>
            <w:tcW w:w="717" w:type="pct"/>
            <w:tcBorders>
              <w:top w:val="single" w:sz="8" w:space="0" w:color="auto"/>
              <w:bottom w:val="single" w:sz="8" w:space="0" w:color="C0C0C0"/>
            </w:tcBorders>
            <w:shd w:val="clear" w:color="auto" w:fill="auto"/>
          </w:tcPr>
          <w:p w14:paraId="49E945A1" w14:textId="77777777" w:rsidR="00BC2F05" w:rsidRDefault="00772FB6" w:rsidP="00976665">
            <w:pPr>
              <w:pStyle w:val="TableText"/>
            </w:pPr>
            <w:r>
              <w:t>Extremely Low</w:t>
            </w:r>
          </w:p>
        </w:tc>
        <w:tc>
          <w:tcPr>
            <w:tcW w:w="716" w:type="pct"/>
            <w:tcBorders>
              <w:top w:val="single" w:sz="8" w:space="0" w:color="auto"/>
              <w:bottom w:val="single" w:sz="8" w:space="0" w:color="C0C0C0"/>
              <w:right w:val="single" w:sz="8" w:space="0" w:color="auto"/>
            </w:tcBorders>
            <w:shd w:val="clear" w:color="auto" w:fill="auto"/>
          </w:tcPr>
          <w:p w14:paraId="15210EC7" w14:textId="77777777" w:rsidR="00BC2F05" w:rsidRDefault="00772FB6" w:rsidP="00976665">
            <w:pPr>
              <w:pStyle w:val="TableText"/>
            </w:pPr>
            <w:r>
              <w:t>Negligible</w:t>
            </w:r>
          </w:p>
        </w:tc>
      </w:tr>
      <w:tr w:rsidR="00C80041" w14:paraId="45B651EE" w14:textId="77777777" w:rsidTr="00976665">
        <w:trPr>
          <w:cantSplit/>
        </w:trPr>
        <w:tc>
          <w:tcPr>
            <w:tcW w:w="698" w:type="pct"/>
            <w:tcBorders>
              <w:top w:val="nil"/>
              <w:left w:val="single" w:sz="8" w:space="0" w:color="auto"/>
              <w:bottom w:val="single" w:sz="8" w:space="0" w:color="C0C0C0"/>
            </w:tcBorders>
            <w:vAlign w:val="center"/>
          </w:tcPr>
          <w:p w14:paraId="3A767CCC" w14:textId="77777777" w:rsidR="00BC2F05" w:rsidRDefault="00772FB6" w:rsidP="00976665">
            <w:pPr>
              <w:pStyle w:val="TableText"/>
            </w:pPr>
            <w:r>
              <w:t>High</w:t>
            </w:r>
          </w:p>
        </w:tc>
        <w:tc>
          <w:tcPr>
            <w:tcW w:w="717" w:type="pct"/>
            <w:tcBorders>
              <w:top w:val="single" w:sz="8" w:space="0" w:color="C0C0C0"/>
              <w:bottom w:val="single" w:sz="8" w:space="0" w:color="C0C0C0"/>
            </w:tcBorders>
            <w:shd w:val="clear" w:color="auto" w:fill="FF99CC"/>
            <w:vAlign w:val="center"/>
          </w:tcPr>
          <w:p w14:paraId="6E9E7D91" w14:textId="77777777" w:rsidR="00BC2F05" w:rsidRDefault="00772FB6" w:rsidP="00976665">
            <w:pPr>
              <w:pStyle w:val="TableText"/>
              <w:rPr>
                <w:snapToGrid w:val="0"/>
              </w:rPr>
            </w:pPr>
            <w:r>
              <w:rPr>
                <w:snapToGrid w:val="0"/>
              </w:rPr>
              <w:t>High</w:t>
            </w:r>
          </w:p>
        </w:tc>
        <w:tc>
          <w:tcPr>
            <w:tcW w:w="717" w:type="pct"/>
            <w:tcBorders>
              <w:top w:val="single" w:sz="8" w:space="0" w:color="C0C0C0"/>
            </w:tcBorders>
            <w:shd w:val="clear" w:color="auto" w:fill="FFCC99"/>
            <w:vAlign w:val="center"/>
          </w:tcPr>
          <w:p w14:paraId="51440D40" w14:textId="77777777" w:rsidR="00BC2F05" w:rsidRDefault="00772FB6" w:rsidP="00976665">
            <w:pPr>
              <w:pStyle w:val="TableText"/>
              <w:rPr>
                <w:snapToGrid w:val="0"/>
              </w:rPr>
            </w:pPr>
            <w:r>
              <w:rPr>
                <w:snapToGrid w:val="0"/>
              </w:rPr>
              <w:t>Moderate</w:t>
            </w:r>
          </w:p>
        </w:tc>
        <w:tc>
          <w:tcPr>
            <w:tcW w:w="717" w:type="pct"/>
            <w:tcBorders>
              <w:top w:val="single" w:sz="8" w:space="0" w:color="C0C0C0"/>
            </w:tcBorders>
            <w:shd w:val="clear" w:color="auto" w:fill="FFFF99"/>
            <w:vAlign w:val="center"/>
          </w:tcPr>
          <w:p w14:paraId="3ABD278B" w14:textId="77777777" w:rsidR="00BC2F05" w:rsidRDefault="00772FB6" w:rsidP="00976665">
            <w:pPr>
              <w:pStyle w:val="TableText"/>
              <w:rPr>
                <w:snapToGrid w:val="0"/>
              </w:rPr>
            </w:pPr>
            <w:r>
              <w:rPr>
                <w:snapToGrid w:val="0"/>
              </w:rPr>
              <w:t>Low</w:t>
            </w:r>
          </w:p>
        </w:tc>
        <w:tc>
          <w:tcPr>
            <w:tcW w:w="717" w:type="pct"/>
            <w:tcBorders>
              <w:top w:val="single" w:sz="8" w:space="0" w:color="C0C0C0"/>
            </w:tcBorders>
            <w:shd w:val="clear" w:color="auto" w:fill="CCFFCC"/>
            <w:vAlign w:val="center"/>
          </w:tcPr>
          <w:p w14:paraId="05A2CA6E" w14:textId="77777777" w:rsidR="00BC2F05" w:rsidRDefault="00772FB6" w:rsidP="00976665">
            <w:pPr>
              <w:pStyle w:val="TableText"/>
              <w:rPr>
                <w:snapToGrid w:val="0"/>
              </w:rPr>
            </w:pPr>
            <w:r>
              <w:rPr>
                <w:snapToGrid w:val="0"/>
              </w:rPr>
              <w:t>Very Low</w:t>
            </w:r>
          </w:p>
        </w:tc>
        <w:tc>
          <w:tcPr>
            <w:tcW w:w="717" w:type="pct"/>
            <w:tcBorders>
              <w:top w:val="single" w:sz="8" w:space="0" w:color="C0C0C0"/>
            </w:tcBorders>
            <w:shd w:val="clear" w:color="auto" w:fill="CCFFFF"/>
            <w:vAlign w:val="center"/>
          </w:tcPr>
          <w:p w14:paraId="513C83A6" w14:textId="77777777" w:rsidR="00BC2F05" w:rsidRDefault="00772FB6" w:rsidP="00976665">
            <w:pPr>
              <w:pStyle w:val="TableText"/>
              <w:rPr>
                <w:snapToGrid w:val="0"/>
              </w:rPr>
            </w:pPr>
            <w:r>
              <w:rPr>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19935F28" w14:textId="77777777" w:rsidR="00BC2F05" w:rsidRDefault="00772FB6" w:rsidP="00976665">
            <w:pPr>
              <w:pStyle w:val="TableText"/>
              <w:rPr>
                <w:rFonts w:cs="Arial"/>
                <w:snapToGrid w:val="0"/>
                <w:szCs w:val="18"/>
              </w:rPr>
            </w:pPr>
            <w:r>
              <w:rPr>
                <w:rFonts w:cs="Arial"/>
                <w:snapToGrid w:val="0"/>
                <w:szCs w:val="18"/>
              </w:rPr>
              <w:t>Negligible</w:t>
            </w:r>
          </w:p>
        </w:tc>
      </w:tr>
      <w:tr w:rsidR="00C80041" w14:paraId="392762EC" w14:textId="77777777" w:rsidTr="00976665">
        <w:trPr>
          <w:cantSplit/>
        </w:trPr>
        <w:tc>
          <w:tcPr>
            <w:tcW w:w="698" w:type="pct"/>
            <w:tcBorders>
              <w:top w:val="single" w:sz="8" w:space="0" w:color="C0C0C0"/>
              <w:left w:val="single" w:sz="8" w:space="0" w:color="auto"/>
              <w:bottom w:val="single" w:sz="8" w:space="0" w:color="C0C0C0"/>
              <w:right w:val="nil"/>
            </w:tcBorders>
            <w:vAlign w:val="center"/>
          </w:tcPr>
          <w:p w14:paraId="7E71ED7A" w14:textId="77777777" w:rsidR="00BC2F05" w:rsidRDefault="00772FB6" w:rsidP="00976665">
            <w:pPr>
              <w:pStyle w:val="TableText"/>
            </w:pPr>
            <w:r>
              <w:t>Moderate</w:t>
            </w:r>
          </w:p>
        </w:tc>
        <w:tc>
          <w:tcPr>
            <w:tcW w:w="717" w:type="pct"/>
            <w:tcBorders>
              <w:top w:val="single" w:sz="8" w:space="0" w:color="C0C0C0"/>
              <w:left w:val="nil"/>
              <w:bottom w:val="single" w:sz="8" w:space="0" w:color="C0C0C0"/>
            </w:tcBorders>
            <w:vAlign w:val="center"/>
          </w:tcPr>
          <w:p w14:paraId="73B04F3D" w14:textId="77777777" w:rsidR="00BC2F05" w:rsidRDefault="00772FB6" w:rsidP="00976665">
            <w:pPr>
              <w:pStyle w:val="TableText"/>
            </w:pPr>
            <w:r>
              <w:t>–</w:t>
            </w:r>
          </w:p>
        </w:tc>
        <w:tc>
          <w:tcPr>
            <w:tcW w:w="717" w:type="pct"/>
            <w:tcBorders>
              <w:bottom w:val="single" w:sz="8" w:space="0" w:color="C0C0C0"/>
            </w:tcBorders>
            <w:shd w:val="clear" w:color="auto" w:fill="FFFF99"/>
            <w:vAlign w:val="center"/>
          </w:tcPr>
          <w:p w14:paraId="4DDCC2FB" w14:textId="77777777" w:rsidR="00BC2F05" w:rsidRDefault="00772FB6" w:rsidP="00976665">
            <w:pPr>
              <w:pStyle w:val="TableText"/>
              <w:rPr>
                <w:snapToGrid w:val="0"/>
              </w:rPr>
            </w:pPr>
            <w:r>
              <w:rPr>
                <w:snapToGrid w:val="0"/>
              </w:rPr>
              <w:t>Low</w:t>
            </w:r>
          </w:p>
        </w:tc>
        <w:tc>
          <w:tcPr>
            <w:tcW w:w="717" w:type="pct"/>
            <w:shd w:val="clear" w:color="auto" w:fill="FFFF99"/>
            <w:vAlign w:val="center"/>
          </w:tcPr>
          <w:p w14:paraId="2930FFB6" w14:textId="77777777" w:rsidR="00BC2F05" w:rsidRDefault="00772FB6" w:rsidP="00976665">
            <w:pPr>
              <w:pStyle w:val="TableText"/>
              <w:rPr>
                <w:snapToGrid w:val="0"/>
              </w:rPr>
            </w:pPr>
            <w:r>
              <w:rPr>
                <w:snapToGrid w:val="0"/>
              </w:rPr>
              <w:t>Low</w:t>
            </w:r>
          </w:p>
        </w:tc>
        <w:tc>
          <w:tcPr>
            <w:tcW w:w="717" w:type="pct"/>
            <w:shd w:val="clear" w:color="auto" w:fill="CCFFCC"/>
            <w:vAlign w:val="center"/>
          </w:tcPr>
          <w:p w14:paraId="57CEAB81" w14:textId="77777777" w:rsidR="00BC2F05" w:rsidRDefault="00772FB6" w:rsidP="00976665">
            <w:pPr>
              <w:pStyle w:val="TableText"/>
              <w:rPr>
                <w:snapToGrid w:val="0"/>
              </w:rPr>
            </w:pPr>
            <w:r>
              <w:rPr>
                <w:snapToGrid w:val="0"/>
              </w:rPr>
              <w:t>Very Low</w:t>
            </w:r>
          </w:p>
        </w:tc>
        <w:tc>
          <w:tcPr>
            <w:tcW w:w="717" w:type="pct"/>
            <w:shd w:val="clear" w:color="auto" w:fill="CCFFFF"/>
            <w:vAlign w:val="center"/>
          </w:tcPr>
          <w:p w14:paraId="2E964B28" w14:textId="77777777" w:rsidR="00BC2F05" w:rsidRDefault="00772FB6" w:rsidP="00976665">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56CE0875" w14:textId="77777777" w:rsidR="00BC2F05" w:rsidRDefault="00772FB6" w:rsidP="00976665">
            <w:pPr>
              <w:pStyle w:val="TableText"/>
              <w:rPr>
                <w:rFonts w:cs="Arial"/>
                <w:snapToGrid w:val="0"/>
                <w:szCs w:val="18"/>
              </w:rPr>
            </w:pPr>
            <w:r>
              <w:rPr>
                <w:rFonts w:cs="Arial"/>
                <w:snapToGrid w:val="0"/>
                <w:szCs w:val="18"/>
              </w:rPr>
              <w:t>Negligible</w:t>
            </w:r>
          </w:p>
        </w:tc>
      </w:tr>
      <w:tr w:rsidR="00C80041" w14:paraId="3E193375" w14:textId="77777777" w:rsidTr="00976665">
        <w:trPr>
          <w:cantSplit/>
        </w:trPr>
        <w:tc>
          <w:tcPr>
            <w:tcW w:w="698" w:type="pct"/>
            <w:tcBorders>
              <w:top w:val="single" w:sz="8" w:space="0" w:color="C0C0C0"/>
              <w:left w:val="single" w:sz="8" w:space="0" w:color="auto"/>
              <w:bottom w:val="single" w:sz="8" w:space="0" w:color="C0C0C0"/>
              <w:right w:val="nil"/>
            </w:tcBorders>
            <w:vAlign w:val="center"/>
          </w:tcPr>
          <w:p w14:paraId="370AB939" w14:textId="77777777" w:rsidR="00BC2F05" w:rsidRDefault="00772FB6" w:rsidP="00976665">
            <w:pPr>
              <w:pStyle w:val="TableText"/>
            </w:pPr>
            <w:r>
              <w:t>Low</w:t>
            </w:r>
          </w:p>
        </w:tc>
        <w:tc>
          <w:tcPr>
            <w:tcW w:w="717" w:type="pct"/>
            <w:tcBorders>
              <w:top w:val="single" w:sz="8" w:space="0" w:color="C0C0C0"/>
              <w:left w:val="nil"/>
              <w:bottom w:val="single" w:sz="8" w:space="0" w:color="C0C0C0"/>
              <w:right w:val="nil"/>
            </w:tcBorders>
            <w:vAlign w:val="center"/>
          </w:tcPr>
          <w:p w14:paraId="3170901B" w14:textId="77777777" w:rsidR="00BC2F05" w:rsidRDefault="00772FB6" w:rsidP="00976665">
            <w:pPr>
              <w:pStyle w:val="TableText"/>
            </w:pPr>
            <w:r>
              <w:t>–</w:t>
            </w:r>
          </w:p>
        </w:tc>
        <w:tc>
          <w:tcPr>
            <w:tcW w:w="717" w:type="pct"/>
            <w:tcBorders>
              <w:top w:val="single" w:sz="8" w:space="0" w:color="C0C0C0"/>
              <w:left w:val="nil"/>
              <w:bottom w:val="single" w:sz="8" w:space="0" w:color="C0C0C0"/>
            </w:tcBorders>
            <w:vAlign w:val="center"/>
          </w:tcPr>
          <w:p w14:paraId="465531D4" w14:textId="77777777" w:rsidR="00BC2F05" w:rsidRDefault="00772FB6" w:rsidP="00976665">
            <w:pPr>
              <w:pStyle w:val="TableText"/>
            </w:pPr>
            <w:r>
              <w:t>–</w:t>
            </w:r>
          </w:p>
        </w:tc>
        <w:tc>
          <w:tcPr>
            <w:tcW w:w="717" w:type="pct"/>
            <w:tcBorders>
              <w:bottom w:val="single" w:sz="8" w:space="0" w:color="C0C0C0"/>
            </w:tcBorders>
            <w:shd w:val="clear" w:color="auto" w:fill="CCFFCC"/>
            <w:vAlign w:val="center"/>
          </w:tcPr>
          <w:p w14:paraId="4D655992" w14:textId="77777777" w:rsidR="00BC2F05" w:rsidRDefault="00772FB6" w:rsidP="00976665">
            <w:pPr>
              <w:pStyle w:val="TableText"/>
              <w:rPr>
                <w:snapToGrid w:val="0"/>
              </w:rPr>
            </w:pPr>
            <w:r>
              <w:rPr>
                <w:snapToGrid w:val="0"/>
              </w:rPr>
              <w:t>Very Low</w:t>
            </w:r>
          </w:p>
        </w:tc>
        <w:tc>
          <w:tcPr>
            <w:tcW w:w="717" w:type="pct"/>
            <w:shd w:val="clear" w:color="auto" w:fill="CCFFCC"/>
            <w:vAlign w:val="center"/>
          </w:tcPr>
          <w:p w14:paraId="442A21C9" w14:textId="77777777" w:rsidR="00BC2F05" w:rsidRDefault="00772FB6" w:rsidP="00976665">
            <w:pPr>
              <w:pStyle w:val="TableText"/>
              <w:rPr>
                <w:snapToGrid w:val="0"/>
              </w:rPr>
            </w:pPr>
            <w:r>
              <w:rPr>
                <w:snapToGrid w:val="0"/>
              </w:rPr>
              <w:t>Very Low</w:t>
            </w:r>
          </w:p>
        </w:tc>
        <w:tc>
          <w:tcPr>
            <w:tcW w:w="717" w:type="pct"/>
            <w:shd w:val="clear" w:color="auto" w:fill="CCFFFF"/>
            <w:vAlign w:val="center"/>
          </w:tcPr>
          <w:p w14:paraId="1F5EFD81" w14:textId="77777777" w:rsidR="00BC2F05" w:rsidRDefault="00772FB6" w:rsidP="00976665">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1A2FFD68" w14:textId="77777777" w:rsidR="00BC2F05" w:rsidRDefault="00772FB6" w:rsidP="00976665">
            <w:pPr>
              <w:pStyle w:val="TableText"/>
              <w:rPr>
                <w:rFonts w:cs="Arial"/>
                <w:snapToGrid w:val="0"/>
                <w:szCs w:val="18"/>
              </w:rPr>
            </w:pPr>
            <w:r>
              <w:rPr>
                <w:rFonts w:cs="Arial"/>
                <w:snapToGrid w:val="0"/>
                <w:szCs w:val="18"/>
              </w:rPr>
              <w:t>Negligible</w:t>
            </w:r>
          </w:p>
        </w:tc>
      </w:tr>
      <w:tr w:rsidR="00C80041" w14:paraId="2C9E26CB" w14:textId="77777777" w:rsidTr="00976665">
        <w:trPr>
          <w:cantSplit/>
        </w:trPr>
        <w:tc>
          <w:tcPr>
            <w:tcW w:w="698" w:type="pct"/>
            <w:tcBorders>
              <w:top w:val="single" w:sz="8" w:space="0" w:color="C0C0C0"/>
              <w:left w:val="single" w:sz="8" w:space="0" w:color="auto"/>
              <w:bottom w:val="single" w:sz="8" w:space="0" w:color="C0C0C0"/>
              <w:right w:val="nil"/>
            </w:tcBorders>
            <w:vAlign w:val="center"/>
          </w:tcPr>
          <w:p w14:paraId="67D7DD94" w14:textId="77777777" w:rsidR="00BC2F05" w:rsidRDefault="00772FB6" w:rsidP="00976665">
            <w:pPr>
              <w:pStyle w:val="TableText"/>
            </w:pPr>
            <w:r>
              <w:t>Very Low</w:t>
            </w:r>
          </w:p>
        </w:tc>
        <w:tc>
          <w:tcPr>
            <w:tcW w:w="717" w:type="pct"/>
            <w:tcBorders>
              <w:top w:val="single" w:sz="8" w:space="0" w:color="C0C0C0"/>
              <w:left w:val="nil"/>
              <w:bottom w:val="single" w:sz="8" w:space="0" w:color="C0C0C0"/>
              <w:right w:val="nil"/>
            </w:tcBorders>
            <w:vAlign w:val="center"/>
          </w:tcPr>
          <w:p w14:paraId="5F5C5AF1" w14:textId="77777777" w:rsidR="00BC2F05" w:rsidRDefault="00772FB6" w:rsidP="00976665">
            <w:pPr>
              <w:pStyle w:val="TableText"/>
            </w:pPr>
            <w:r>
              <w:t>–</w:t>
            </w:r>
          </w:p>
        </w:tc>
        <w:tc>
          <w:tcPr>
            <w:tcW w:w="717" w:type="pct"/>
            <w:tcBorders>
              <w:top w:val="single" w:sz="8" w:space="0" w:color="C0C0C0"/>
              <w:left w:val="nil"/>
              <w:bottom w:val="single" w:sz="8" w:space="0" w:color="C0C0C0"/>
              <w:right w:val="nil"/>
            </w:tcBorders>
            <w:vAlign w:val="center"/>
          </w:tcPr>
          <w:p w14:paraId="7519CA21" w14:textId="77777777" w:rsidR="00BC2F05" w:rsidRDefault="00772FB6" w:rsidP="00976665">
            <w:pPr>
              <w:pStyle w:val="TableText"/>
            </w:pPr>
            <w:r>
              <w:t>–</w:t>
            </w:r>
          </w:p>
        </w:tc>
        <w:tc>
          <w:tcPr>
            <w:tcW w:w="717" w:type="pct"/>
            <w:tcBorders>
              <w:top w:val="single" w:sz="8" w:space="0" w:color="C0C0C0"/>
              <w:left w:val="nil"/>
              <w:bottom w:val="single" w:sz="8" w:space="0" w:color="C0C0C0"/>
            </w:tcBorders>
            <w:vAlign w:val="center"/>
          </w:tcPr>
          <w:p w14:paraId="796C5A7B" w14:textId="77777777" w:rsidR="00BC2F05" w:rsidRDefault="00772FB6" w:rsidP="00976665">
            <w:pPr>
              <w:pStyle w:val="TableText"/>
            </w:pPr>
            <w:r>
              <w:t>–</w:t>
            </w:r>
          </w:p>
        </w:tc>
        <w:tc>
          <w:tcPr>
            <w:tcW w:w="717" w:type="pct"/>
            <w:tcBorders>
              <w:bottom w:val="single" w:sz="8" w:space="0" w:color="C0C0C0"/>
            </w:tcBorders>
            <w:shd w:val="clear" w:color="auto" w:fill="CCFFFF"/>
            <w:vAlign w:val="center"/>
          </w:tcPr>
          <w:p w14:paraId="4CD822AF" w14:textId="77777777" w:rsidR="00BC2F05" w:rsidRDefault="00772FB6" w:rsidP="00976665">
            <w:pPr>
              <w:pStyle w:val="TableText"/>
              <w:rPr>
                <w:snapToGrid w:val="0"/>
              </w:rPr>
            </w:pPr>
            <w:r>
              <w:rPr>
                <w:snapToGrid w:val="0"/>
              </w:rPr>
              <w:t>Extremely Low</w:t>
            </w:r>
          </w:p>
        </w:tc>
        <w:tc>
          <w:tcPr>
            <w:tcW w:w="717" w:type="pct"/>
            <w:shd w:val="clear" w:color="auto" w:fill="CCFFFF"/>
            <w:vAlign w:val="center"/>
          </w:tcPr>
          <w:p w14:paraId="1AB7731C" w14:textId="77777777" w:rsidR="00BC2F05" w:rsidRDefault="00772FB6" w:rsidP="00976665">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0AC7C35B" w14:textId="77777777" w:rsidR="00BC2F05" w:rsidRDefault="00772FB6" w:rsidP="00976665">
            <w:pPr>
              <w:pStyle w:val="TableText"/>
              <w:rPr>
                <w:rFonts w:cs="Arial"/>
                <w:snapToGrid w:val="0"/>
                <w:szCs w:val="18"/>
              </w:rPr>
            </w:pPr>
            <w:r>
              <w:rPr>
                <w:rFonts w:cs="Arial"/>
                <w:snapToGrid w:val="0"/>
                <w:szCs w:val="18"/>
              </w:rPr>
              <w:t>Negligible</w:t>
            </w:r>
          </w:p>
        </w:tc>
      </w:tr>
      <w:tr w:rsidR="00C80041" w14:paraId="4EE935C7" w14:textId="77777777" w:rsidTr="00976665">
        <w:trPr>
          <w:cantSplit/>
        </w:trPr>
        <w:tc>
          <w:tcPr>
            <w:tcW w:w="698" w:type="pct"/>
            <w:tcBorders>
              <w:top w:val="single" w:sz="8" w:space="0" w:color="C0C0C0"/>
              <w:left w:val="single" w:sz="8" w:space="0" w:color="auto"/>
              <w:bottom w:val="single" w:sz="8" w:space="0" w:color="C0C0C0"/>
              <w:right w:val="nil"/>
            </w:tcBorders>
            <w:vAlign w:val="center"/>
          </w:tcPr>
          <w:p w14:paraId="4A42FE15" w14:textId="77777777" w:rsidR="00BC2F05" w:rsidRDefault="00772FB6" w:rsidP="00976665">
            <w:pPr>
              <w:pStyle w:val="TableText"/>
            </w:pPr>
            <w:r>
              <w:t>Extremely Low</w:t>
            </w:r>
          </w:p>
        </w:tc>
        <w:tc>
          <w:tcPr>
            <w:tcW w:w="717" w:type="pct"/>
            <w:tcBorders>
              <w:top w:val="single" w:sz="8" w:space="0" w:color="C0C0C0"/>
              <w:left w:val="nil"/>
              <w:bottom w:val="single" w:sz="8" w:space="0" w:color="C0C0C0"/>
              <w:right w:val="nil"/>
            </w:tcBorders>
            <w:vAlign w:val="center"/>
          </w:tcPr>
          <w:p w14:paraId="071A3849" w14:textId="77777777" w:rsidR="00BC2F05" w:rsidRDefault="00772FB6" w:rsidP="00976665">
            <w:pPr>
              <w:pStyle w:val="TableText"/>
            </w:pPr>
            <w:r>
              <w:t>–</w:t>
            </w:r>
          </w:p>
        </w:tc>
        <w:tc>
          <w:tcPr>
            <w:tcW w:w="717" w:type="pct"/>
            <w:tcBorders>
              <w:top w:val="single" w:sz="8" w:space="0" w:color="C0C0C0"/>
              <w:left w:val="nil"/>
              <w:bottom w:val="single" w:sz="8" w:space="0" w:color="C0C0C0"/>
              <w:right w:val="nil"/>
            </w:tcBorders>
            <w:vAlign w:val="center"/>
          </w:tcPr>
          <w:p w14:paraId="13EDF508" w14:textId="77777777" w:rsidR="00BC2F05" w:rsidRDefault="00772FB6" w:rsidP="00976665">
            <w:pPr>
              <w:pStyle w:val="TableText"/>
            </w:pPr>
            <w:r>
              <w:t>–</w:t>
            </w:r>
          </w:p>
        </w:tc>
        <w:tc>
          <w:tcPr>
            <w:tcW w:w="717" w:type="pct"/>
            <w:tcBorders>
              <w:top w:val="single" w:sz="8" w:space="0" w:color="C0C0C0"/>
              <w:left w:val="nil"/>
              <w:bottom w:val="single" w:sz="8" w:space="0" w:color="C0C0C0"/>
              <w:right w:val="nil"/>
            </w:tcBorders>
            <w:vAlign w:val="center"/>
          </w:tcPr>
          <w:p w14:paraId="2ADDE356" w14:textId="77777777" w:rsidR="00BC2F05" w:rsidRDefault="00772FB6" w:rsidP="00976665">
            <w:pPr>
              <w:pStyle w:val="TableText"/>
            </w:pPr>
            <w:r>
              <w:t>–</w:t>
            </w:r>
          </w:p>
        </w:tc>
        <w:tc>
          <w:tcPr>
            <w:tcW w:w="717" w:type="pct"/>
            <w:tcBorders>
              <w:top w:val="single" w:sz="8" w:space="0" w:color="C0C0C0"/>
              <w:left w:val="nil"/>
              <w:bottom w:val="single" w:sz="8" w:space="0" w:color="C0C0C0"/>
            </w:tcBorders>
            <w:vAlign w:val="center"/>
          </w:tcPr>
          <w:p w14:paraId="1D673342" w14:textId="77777777" w:rsidR="00BC2F05" w:rsidRDefault="00772FB6" w:rsidP="00976665">
            <w:pPr>
              <w:pStyle w:val="TableText"/>
            </w:pPr>
            <w:r>
              <w:t>–</w:t>
            </w:r>
          </w:p>
        </w:tc>
        <w:tc>
          <w:tcPr>
            <w:tcW w:w="717" w:type="pct"/>
            <w:tcBorders>
              <w:bottom w:val="single" w:sz="8" w:space="0" w:color="C0C0C0"/>
            </w:tcBorders>
            <w:shd w:val="clear" w:color="auto" w:fill="F2F2F2" w:themeFill="background1" w:themeFillShade="F2"/>
            <w:vAlign w:val="center"/>
          </w:tcPr>
          <w:p w14:paraId="1B263CBA" w14:textId="77777777" w:rsidR="00BC2F05" w:rsidRDefault="00772FB6" w:rsidP="00976665">
            <w:pPr>
              <w:pStyle w:val="TableText"/>
              <w:rPr>
                <w:snapToGrid w:val="0"/>
              </w:rPr>
            </w:pPr>
            <w:r>
              <w:rPr>
                <w:snapToGrid w:val="0"/>
              </w:rPr>
              <w:t>Negligible</w:t>
            </w:r>
          </w:p>
        </w:tc>
        <w:tc>
          <w:tcPr>
            <w:tcW w:w="716" w:type="pct"/>
            <w:tcBorders>
              <w:right w:val="single" w:sz="8" w:space="0" w:color="auto"/>
            </w:tcBorders>
            <w:shd w:val="clear" w:color="auto" w:fill="F2F2F2" w:themeFill="background1" w:themeFillShade="F2"/>
            <w:vAlign w:val="center"/>
          </w:tcPr>
          <w:p w14:paraId="24F46591" w14:textId="77777777" w:rsidR="00BC2F05" w:rsidRDefault="00772FB6" w:rsidP="00976665">
            <w:pPr>
              <w:pStyle w:val="TableText"/>
              <w:rPr>
                <w:rFonts w:cs="Arial"/>
                <w:snapToGrid w:val="0"/>
                <w:szCs w:val="18"/>
              </w:rPr>
            </w:pPr>
            <w:r>
              <w:rPr>
                <w:rFonts w:cs="Arial"/>
                <w:snapToGrid w:val="0"/>
                <w:szCs w:val="18"/>
              </w:rPr>
              <w:t>Negligible</w:t>
            </w:r>
          </w:p>
        </w:tc>
      </w:tr>
      <w:tr w:rsidR="00C80041" w14:paraId="195809A3" w14:textId="77777777" w:rsidTr="00976665">
        <w:trPr>
          <w:cantSplit/>
        </w:trPr>
        <w:tc>
          <w:tcPr>
            <w:tcW w:w="698" w:type="pct"/>
            <w:tcBorders>
              <w:top w:val="single" w:sz="8" w:space="0" w:color="C0C0C0"/>
              <w:left w:val="single" w:sz="8" w:space="0" w:color="auto"/>
              <w:bottom w:val="single" w:sz="8" w:space="0" w:color="auto"/>
              <w:right w:val="nil"/>
            </w:tcBorders>
            <w:vAlign w:val="center"/>
          </w:tcPr>
          <w:p w14:paraId="63C105C8" w14:textId="77777777" w:rsidR="00BC2F05" w:rsidRDefault="00772FB6" w:rsidP="00976665">
            <w:pPr>
              <w:pStyle w:val="TableText"/>
            </w:pPr>
            <w:r>
              <w:t>Negligible</w:t>
            </w:r>
          </w:p>
        </w:tc>
        <w:tc>
          <w:tcPr>
            <w:tcW w:w="717" w:type="pct"/>
            <w:tcBorders>
              <w:top w:val="single" w:sz="8" w:space="0" w:color="C0C0C0"/>
              <w:left w:val="nil"/>
              <w:bottom w:val="single" w:sz="8" w:space="0" w:color="auto"/>
              <w:right w:val="nil"/>
            </w:tcBorders>
            <w:vAlign w:val="center"/>
          </w:tcPr>
          <w:p w14:paraId="7F07B879" w14:textId="77777777" w:rsidR="00BC2F05" w:rsidRDefault="00772FB6" w:rsidP="00976665">
            <w:pPr>
              <w:pStyle w:val="TableText"/>
            </w:pPr>
            <w:r>
              <w:t>–</w:t>
            </w:r>
          </w:p>
        </w:tc>
        <w:tc>
          <w:tcPr>
            <w:tcW w:w="717" w:type="pct"/>
            <w:tcBorders>
              <w:top w:val="single" w:sz="8" w:space="0" w:color="C0C0C0"/>
              <w:left w:val="nil"/>
              <w:bottom w:val="single" w:sz="8" w:space="0" w:color="auto"/>
              <w:right w:val="nil"/>
            </w:tcBorders>
            <w:vAlign w:val="center"/>
          </w:tcPr>
          <w:p w14:paraId="663CEC98" w14:textId="77777777" w:rsidR="00BC2F05" w:rsidRDefault="00772FB6" w:rsidP="00976665">
            <w:pPr>
              <w:pStyle w:val="TableText"/>
            </w:pPr>
            <w:r>
              <w:t>–</w:t>
            </w:r>
          </w:p>
        </w:tc>
        <w:tc>
          <w:tcPr>
            <w:tcW w:w="717" w:type="pct"/>
            <w:tcBorders>
              <w:top w:val="single" w:sz="8" w:space="0" w:color="C0C0C0"/>
              <w:left w:val="nil"/>
              <w:bottom w:val="single" w:sz="8" w:space="0" w:color="auto"/>
              <w:right w:val="nil"/>
            </w:tcBorders>
            <w:vAlign w:val="center"/>
          </w:tcPr>
          <w:p w14:paraId="4A4D8020" w14:textId="77777777" w:rsidR="00BC2F05" w:rsidRDefault="00772FB6" w:rsidP="00976665">
            <w:pPr>
              <w:pStyle w:val="TableText"/>
            </w:pPr>
            <w:r>
              <w:t>–</w:t>
            </w:r>
          </w:p>
        </w:tc>
        <w:tc>
          <w:tcPr>
            <w:tcW w:w="717" w:type="pct"/>
            <w:tcBorders>
              <w:top w:val="single" w:sz="8" w:space="0" w:color="C0C0C0"/>
              <w:left w:val="nil"/>
              <w:bottom w:val="single" w:sz="8" w:space="0" w:color="auto"/>
              <w:right w:val="nil"/>
            </w:tcBorders>
            <w:vAlign w:val="center"/>
          </w:tcPr>
          <w:p w14:paraId="1A391D99" w14:textId="77777777" w:rsidR="00BC2F05" w:rsidRDefault="00772FB6" w:rsidP="00976665">
            <w:pPr>
              <w:pStyle w:val="TableText"/>
            </w:pPr>
            <w:r>
              <w:t>–</w:t>
            </w:r>
          </w:p>
        </w:tc>
        <w:tc>
          <w:tcPr>
            <w:tcW w:w="717" w:type="pct"/>
            <w:tcBorders>
              <w:top w:val="single" w:sz="8" w:space="0" w:color="C0C0C0"/>
              <w:left w:val="nil"/>
              <w:bottom w:val="single" w:sz="8" w:space="0" w:color="auto"/>
            </w:tcBorders>
            <w:vAlign w:val="center"/>
          </w:tcPr>
          <w:p w14:paraId="1C31457C" w14:textId="77777777" w:rsidR="00BC2F05" w:rsidRDefault="00772FB6" w:rsidP="00976665">
            <w:pPr>
              <w:pStyle w:val="TableText"/>
            </w:pPr>
            <w:r>
              <w:t>–</w:t>
            </w:r>
          </w:p>
        </w:tc>
        <w:tc>
          <w:tcPr>
            <w:tcW w:w="716" w:type="pct"/>
            <w:tcBorders>
              <w:bottom w:val="single" w:sz="8" w:space="0" w:color="auto"/>
              <w:right w:val="single" w:sz="8" w:space="0" w:color="auto"/>
            </w:tcBorders>
            <w:shd w:val="clear" w:color="auto" w:fill="F2F2F2" w:themeFill="background1" w:themeFillShade="F2"/>
            <w:vAlign w:val="center"/>
          </w:tcPr>
          <w:p w14:paraId="294363CA" w14:textId="77777777" w:rsidR="00BC2F05" w:rsidRDefault="00772FB6" w:rsidP="00976665">
            <w:pPr>
              <w:pStyle w:val="TableText"/>
              <w:rPr>
                <w:rFonts w:cs="Arial"/>
                <w:szCs w:val="18"/>
              </w:rPr>
            </w:pPr>
            <w:r>
              <w:rPr>
                <w:rFonts w:cs="Arial"/>
                <w:snapToGrid w:val="0"/>
                <w:szCs w:val="18"/>
              </w:rPr>
              <w:t>Negligible</w:t>
            </w:r>
          </w:p>
        </w:tc>
      </w:tr>
    </w:tbl>
    <w:p w14:paraId="6176701B" w14:textId="77777777" w:rsidR="00BC2F05" w:rsidRDefault="00772FB6" w:rsidP="00AB526F">
      <w:pPr>
        <w:pStyle w:val="Heading5"/>
      </w:pPr>
      <w:r>
        <w:t>Time and volume of trade</w:t>
      </w:r>
    </w:p>
    <w:p w14:paraId="17B79700" w14:textId="77777777" w:rsidR="00BC2F05" w:rsidRDefault="00772FB6" w:rsidP="00AB526F">
      <w:r>
        <w:t>One factor affecting the likelihood of entry is the volume and duration of trade. If all other conditions remain the same, the overall likelihood of entry will increase as time passes and the overall volume of trade increases.</w:t>
      </w:r>
    </w:p>
    <w:p w14:paraId="792890A5" w14:textId="77777777" w:rsidR="00BC2F05" w:rsidRPr="00DA300F" w:rsidRDefault="00772FB6" w:rsidP="00AB526F">
      <w:r>
        <w:t xml:space="preserve">The </w:t>
      </w:r>
      <w:r w:rsidRPr="00DA300F">
        <w:t xml:space="preserve">department normally considers the likelihood of entry </w:t>
      </w:r>
      <w:proofErr w:type="gramStart"/>
      <w:r w:rsidRPr="00DA300F">
        <w:t>on the basis of</w:t>
      </w:r>
      <w:proofErr w:type="gramEnd"/>
      <w:r w:rsidRPr="00DA300F">
        <w:t xml:space="preserve"> the estimated volume of one year’s trade. This is a convenient value for the analysis that is relatively easy to estimate and allows for expert consideration of seasonal variations in pest presence, </w:t>
      </w:r>
      <w:proofErr w:type="gramStart"/>
      <w:r w:rsidRPr="00DA300F">
        <w:t>incidence</w:t>
      </w:r>
      <w:proofErr w:type="gramEnd"/>
      <w:r w:rsidRPr="00DA300F">
        <w:t xml:space="preserve"> and behaviour to be taken into account. The consideration of the likelihood of entry, establishment and spread and subsequent consequences </w:t>
      </w:r>
      <w:proofErr w:type="gramStart"/>
      <w:r w:rsidRPr="00DA300F">
        <w:t>takes into account</w:t>
      </w:r>
      <w:proofErr w:type="gramEnd"/>
      <w:r w:rsidRPr="00DA300F">
        <w:t xml:space="preserve"> events that might happen over a number of years even though only one year’s volume of trade is being considered. This </w:t>
      </w:r>
      <w:r w:rsidRPr="00DA300F">
        <w:lastRenderedPageBreak/>
        <w:t>difference reflects biological and ecological facts, for example where a pest or disease may establish in the year of import but spread may take many years.</w:t>
      </w:r>
    </w:p>
    <w:p w14:paraId="24420C3E" w14:textId="77777777" w:rsidR="00BC2F05" w:rsidRDefault="00772FB6" w:rsidP="00AB526F">
      <w:r w:rsidRPr="00DA300F">
        <w:t xml:space="preserve">The use of a </w:t>
      </w:r>
      <w:proofErr w:type="gramStart"/>
      <w:r w:rsidRPr="00DA300F">
        <w:t>one year</w:t>
      </w:r>
      <w:proofErr w:type="gramEnd"/>
      <w:r w:rsidRPr="00DA300F">
        <w:t xml:space="preserve">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14DC7B92" w14:textId="77777777" w:rsidR="00BC2F05" w:rsidRDefault="00772FB6" w:rsidP="00BC2F05">
      <w:pPr>
        <w:pStyle w:val="Heading4-Appendix"/>
      </w:pPr>
      <w:r>
        <w:t>Assessment of potential consequences</w:t>
      </w:r>
    </w:p>
    <w:p w14:paraId="697D49BB" w14:textId="77777777" w:rsidR="00BC2F05" w:rsidRDefault="00772FB6" w:rsidP="00AB526F">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criteria to obtain an ‘overall consequences’ estimation.</w:t>
      </w:r>
    </w:p>
    <w:p w14:paraId="068285E5" w14:textId="77777777" w:rsidR="00BC2F05" w:rsidRPr="00AE3263" w:rsidRDefault="00772FB6" w:rsidP="00AB526F">
      <w:pPr>
        <w:rPr>
          <w:b/>
          <w:bCs/>
        </w:rPr>
      </w:pPr>
      <w:r>
        <w:rPr>
          <w:rStyle w:val="Strong"/>
        </w:rPr>
        <w:t>Step 1: Assessing direct and indirect impacts</w:t>
      </w:r>
    </w:p>
    <w:p w14:paraId="58575870" w14:textId="77777777" w:rsidR="00BC2F05" w:rsidRDefault="00772FB6" w:rsidP="00AB526F">
      <w:r>
        <w:t>Direct pest impacts are considered in the context of the impacts on:</w:t>
      </w:r>
    </w:p>
    <w:p w14:paraId="29E8AE02" w14:textId="77777777" w:rsidR="00BC2F05" w:rsidRDefault="00772FB6" w:rsidP="00BC2F05">
      <w:pPr>
        <w:pStyle w:val="ListBullet"/>
      </w:pPr>
      <w:bookmarkStart w:id="195" w:name="_Ref524354990"/>
      <w:bookmarkStart w:id="196" w:name="_Toc6906416"/>
      <w:r w:rsidRPr="00AE3263">
        <w:t>the life or health of plants and plant products</w:t>
      </w:r>
    </w:p>
    <w:p w14:paraId="5E685D17" w14:textId="77777777" w:rsidR="00BC2F05" w:rsidRPr="003B4C03" w:rsidRDefault="00772FB6" w:rsidP="00AB526F">
      <w:pPr>
        <w:pStyle w:val="ListBullet"/>
        <w:numPr>
          <w:ilvl w:val="0"/>
          <w:numId w:val="0"/>
        </w:numPr>
        <w:ind w:left="397"/>
      </w:pPr>
      <w:r w:rsidRPr="003B4C03">
        <w:t>This may include pest impacts on the life or health of the plants and production effects (yield or quality) either at harvest or during storage.</w:t>
      </w:r>
    </w:p>
    <w:p w14:paraId="64C81771" w14:textId="77777777" w:rsidR="00BC2F05" w:rsidRPr="00AE3263" w:rsidRDefault="00772FB6" w:rsidP="00BC2F05">
      <w:pPr>
        <w:pStyle w:val="ListBullet2"/>
        <w:ind w:left="794" w:hanging="397"/>
      </w:pPr>
      <w:r w:rsidRPr="00AE3263">
        <w:t>Where applicable, pest impacts on the life or health of humans or of animals and animal products may also be considered</w:t>
      </w:r>
      <w:r>
        <w:t>.</w:t>
      </w:r>
    </w:p>
    <w:p w14:paraId="6B382CF4" w14:textId="77777777" w:rsidR="00BC2F05" w:rsidRPr="00AE3263" w:rsidRDefault="00772FB6" w:rsidP="00BC2F05">
      <w:pPr>
        <w:pStyle w:val="ListBullet"/>
      </w:pPr>
      <w:r>
        <w:t xml:space="preserve">other aspects of </w:t>
      </w:r>
      <w:r w:rsidRPr="00AE3263">
        <w:t>the environment</w:t>
      </w:r>
      <w:r>
        <w:t>.</w:t>
      </w:r>
    </w:p>
    <w:p w14:paraId="652183D9" w14:textId="77777777" w:rsidR="00BC2F05" w:rsidRPr="00210393" w:rsidRDefault="00772FB6" w:rsidP="00AB526F">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51CC1BBC" w14:textId="77777777" w:rsidR="00BC2F05" w:rsidRPr="00037BCB" w:rsidRDefault="00772FB6" w:rsidP="00BC2F05">
      <w:pPr>
        <w:pStyle w:val="ListBullet"/>
      </w:pPr>
      <w:r w:rsidRPr="00037BCB">
        <w:t>eradication and control</w:t>
      </w:r>
    </w:p>
    <w:p w14:paraId="1E50D776" w14:textId="77777777" w:rsidR="00BC2F05" w:rsidRPr="003B4C03" w:rsidRDefault="00772FB6" w:rsidP="00AB526F">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1E668D61" w14:textId="77777777" w:rsidR="00BC2F05" w:rsidRPr="00037BCB" w:rsidRDefault="00772FB6" w:rsidP="00BC2F05">
      <w:pPr>
        <w:pStyle w:val="ListBullet"/>
      </w:pPr>
      <w:r w:rsidRPr="003B4C03">
        <w:t>domestic trade</w:t>
      </w:r>
    </w:p>
    <w:p w14:paraId="5F4A8EF7" w14:textId="77777777" w:rsidR="00BC2F05" w:rsidRPr="003B4C03" w:rsidRDefault="00772FB6" w:rsidP="00AB526F">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4A5B7392" w14:textId="77777777" w:rsidR="00BC2F05" w:rsidRPr="003B4C03" w:rsidRDefault="00772FB6" w:rsidP="00BC2F05">
      <w:pPr>
        <w:pStyle w:val="ListBullet"/>
      </w:pPr>
      <w:r w:rsidRPr="003B4C03">
        <w:t>international trade</w:t>
      </w:r>
    </w:p>
    <w:p w14:paraId="316D79B6" w14:textId="77777777" w:rsidR="00BC2F05" w:rsidRPr="003B4C03" w:rsidRDefault="00772FB6" w:rsidP="00AB526F">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4FE31482" w14:textId="77777777" w:rsidR="00BC2F05" w:rsidRPr="00037BCB" w:rsidRDefault="00772FB6" w:rsidP="00BC2F05">
      <w:pPr>
        <w:pStyle w:val="ListBullet"/>
      </w:pPr>
      <w:r w:rsidRPr="00037BCB">
        <w:t xml:space="preserve">non-commercial and </w:t>
      </w:r>
      <w:r w:rsidRPr="003B4C03">
        <w:t>environment</w:t>
      </w:r>
    </w:p>
    <w:p w14:paraId="55968D73" w14:textId="77777777" w:rsidR="00BC2F05" w:rsidRPr="003B4C03" w:rsidRDefault="00772FB6" w:rsidP="00AB526F">
      <w:pPr>
        <w:pStyle w:val="ListBullet"/>
        <w:numPr>
          <w:ilvl w:val="0"/>
          <w:numId w:val="0"/>
        </w:numPr>
        <w:ind w:left="397"/>
        <w:rPr>
          <w:color w:val="000000" w:themeColor="text1"/>
        </w:rPr>
      </w:pPr>
      <w:r w:rsidRPr="003B4C03">
        <w:rPr>
          <w:color w:val="000000" w:themeColor="text1"/>
        </w:rPr>
        <w:t>This may include pest impacts on the community and environment, including reduced tourism, reduced rural and regional economic viability, loss of social amenity, and any ‘side effects’ of control measures.</w:t>
      </w:r>
    </w:p>
    <w:p w14:paraId="0BBD66E6" w14:textId="77777777" w:rsidR="00BC2F05" w:rsidRDefault="00772FB6" w:rsidP="00AB526F">
      <w:r w:rsidRPr="00A734CF">
        <w:lastRenderedPageBreak/>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7C212B2A" w14:textId="77777777" w:rsidR="00BC2F05" w:rsidRDefault="00772FB6" w:rsidP="00BC2F05">
      <w:pPr>
        <w:pStyle w:val="ListBullet"/>
      </w:pPr>
      <w:r w:rsidRPr="00037BCB">
        <w:rPr>
          <w:rStyle w:val="Strong"/>
        </w:rPr>
        <w:t>Local</w:t>
      </w:r>
      <w:r>
        <w:t xml:space="preserve">–an aggregate of households or enterprises (a rural community, a </w:t>
      </w:r>
      <w:proofErr w:type="gramStart"/>
      <w:r>
        <w:t>town</w:t>
      </w:r>
      <w:proofErr w:type="gramEnd"/>
      <w:r>
        <w:t xml:space="preserve"> or a local government area)</w:t>
      </w:r>
    </w:p>
    <w:p w14:paraId="1F81F181" w14:textId="77777777" w:rsidR="00BC2F05" w:rsidRDefault="00772FB6" w:rsidP="00BC2F05">
      <w:pPr>
        <w:pStyle w:val="ListBullet"/>
      </w:pPr>
      <w:r w:rsidRPr="00037BCB">
        <w:rPr>
          <w:rStyle w:val="Strong"/>
        </w:rPr>
        <w:t>District</w:t>
      </w:r>
      <w:r>
        <w:t>–a geographically or geopolitically associated collection of aggregates (generally a recognised section of a state or territory, such as ‘Far North Queensland’)</w:t>
      </w:r>
    </w:p>
    <w:p w14:paraId="571AB675" w14:textId="77777777" w:rsidR="00BC2F05" w:rsidRDefault="00772FB6" w:rsidP="00BC2F05">
      <w:pPr>
        <w:pStyle w:val="ListBullet"/>
      </w:pPr>
      <w:r w:rsidRPr="00037BCB">
        <w:rPr>
          <w:rStyle w:val="Strong"/>
        </w:rPr>
        <w:t>Regional</w:t>
      </w:r>
      <w:r>
        <w:t>–a geographically or geopolitically associated collection of districts in a geographic area (generally a state or territory, although there may be exceptions with larger states such as Western Australia)</w:t>
      </w:r>
    </w:p>
    <w:p w14:paraId="36D6831E" w14:textId="77777777" w:rsidR="00BC2F05" w:rsidRDefault="00772FB6" w:rsidP="00BC2F05">
      <w:pPr>
        <w:pStyle w:val="ListBullet"/>
      </w:pPr>
      <w:r w:rsidRPr="00037BCB">
        <w:rPr>
          <w:rStyle w:val="Strong"/>
        </w:rPr>
        <w:t>National</w:t>
      </w:r>
      <w:r>
        <w:t>–Australia wide (Australian mainland states and territories and Tasmania).</w:t>
      </w:r>
    </w:p>
    <w:p w14:paraId="5E70DCDB" w14:textId="77777777" w:rsidR="00BC2F05" w:rsidRDefault="00772FB6" w:rsidP="00AB526F">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described using 4 categories, defined as:</w:t>
      </w:r>
    </w:p>
    <w:p w14:paraId="2AD597EC" w14:textId="77777777" w:rsidR="00BC2F05" w:rsidRPr="00037BCB" w:rsidRDefault="00772FB6" w:rsidP="00BC2F05">
      <w:pPr>
        <w:pStyle w:val="ListBullet"/>
        <w:rPr>
          <w:color w:val="000000" w:themeColor="text1"/>
        </w:rPr>
      </w:pPr>
      <w:r w:rsidRPr="00037BCB">
        <w:rPr>
          <w:rStyle w:val="Strong"/>
          <w:color w:val="000000" w:themeColor="text1"/>
        </w:rPr>
        <w:t xml:space="preserve">Unlikely to be </w:t>
      </w:r>
      <w:r w:rsidRPr="00037BCB">
        <w:rPr>
          <w:rStyle w:val="Strong"/>
        </w:rPr>
        <w:t>discernible</w:t>
      </w:r>
      <w:r>
        <w:t xml:space="preserve">–pest impact </w:t>
      </w:r>
      <w:r w:rsidRPr="00037BCB">
        <w:rPr>
          <w:color w:val="000000" w:themeColor="text1"/>
        </w:rPr>
        <w:t>is not usually distinguishable from normal day-to-day variation in the criterion</w:t>
      </w:r>
    </w:p>
    <w:p w14:paraId="5F3214D2" w14:textId="77777777" w:rsidR="00BC2F05" w:rsidRDefault="00772FB6" w:rsidP="00BC2F05">
      <w:pPr>
        <w:pStyle w:val="ListBullet"/>
      </w:pPr>
      <w:r w:rsidRPr="00037BCB">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1F559F32" w14:textId="77777777" w:rsidR="00BC2F05" w:rsidRDefault="00772FB6" w:rsidP="00BC2F05">
      <w:pPr>
        <w:pStyle w:val="ListBullet"/>
      </w:pPr>
      <w:proofErr w:type="gramStart"/>
      <w:r w:rsidRPr="00723CC8">
        <w:rPr>
          <w:b/>
          <w:bCs/>
        </w:rPr>
        <w:t>Significant</w:t>
      </w:r>
      <w:r>
        <w:t>–expected</w:t>
      </w:r>
      <w:proofErr w:type="gramEnd"/>
      <w: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32C91203" w14:textId="77777777" w:rsidR="00BC2F05" w:rsidRDefault="00772FB6" w:rsidP="00BC2F05">
      <w:pPr>
        <w:pStyle w:val="ListBullet"/>
      </w:pPr>
      <w:r w:rsidRPr="00723CC8">
        <w:rPr>
          <w:b/>
          <w:bCs/>
        </w:rPr>
        <w:t>Major significance</w:t>
      </w:r>
      <w:r>
        <w:t xml:space="preserve">–expected to threaten the economic viability through a large increase in mortality/morbidity of hosts, or a large decrease in production. Expected to </w:t>
      </w:r>
      <w:proofErr w:type="gramStart"/>
      <w:r>
        <w:t>severely or irreversibly damage the intrinsic ‘value’ of non-commercial criteria</w:t>
      </w:r>
      <w:proofErr w:type="gramEnd"/>
      <w:r>
        <w:t>.</w:t>
      </w:r>
    </w:p>
    <w:p w14:paraId="66C4D68D" w14:textId="77777777" w:rsidR="00BC2F05" w:rsidRPr="00A67D9D" w:rsidRDefault="00772FB6" w:rsidP="00AB526F">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 </w:t>
      </w:r>
      <w:r>
        <w:rPr>
          <w:color w:val="000000" w:themeColor="text1"/>
        </w:rPr>
        <w:fldChar w:fldCharType="begin" w:fldLock="1"/>
      </w:r>
      <w:r>
        <w:rPr>
          <w:color w:val="000000" w:themeColor="text1"/>
        </w:rPr>
        <w:instrText xml:space="preserve"> REF _Ref90446454 \h </w:instrText>
      </w:r>
      <w:r>
        <w:rPr>
          <w:color w:val="000000" w:themeColor="text1"/>
        </w:rPr>
      </w:r>
      <w:r>
        <w:rPr>
          <w:color w:val="000000" w:themeColor="text1"/>
        </w:rPr>
        <w:fldChar w:fldCharType="separate"/>
      </w:r>
      <w:r>
        <w:t>Figure A.</w:t>
      </w:r>
      <w:r>
        <w:rPr>
          <w:noProof/>
        </w:rPr>
        <w:t>1</w:t>
      </w:r>
      <w:r>
        <w:rPr>
          <w:color w:val="000000" w:themeColor="text1"/>
        </w:rPr>
        <w:fldChar w:fldCharType="end"/>
      </w:r>
      <w:r w:rsidRPr="00A67D9D">
        <w:rPr>
          <w:color w:val="000000" w:themeColor="text1"/>
        </w:rPr>
        <w:t xml:space="preserve">. This is done by determining which of the shaded cells with bold font in </w:t>
      </w:r>
      <w:r>
        <w:rPr>
          <w:color w:val="000000" w:themeColor="text1"/>
        </w:rPr>
        <w:fldChar w:fldCharType="begin" w:fldLock="1"/>
      </w:r>
      <w:r>
        <w:rPr>
          <w:color w:val="000000" w:themeColor="text1"/>
        </w:rPr>
        <w:instrText xml:space="preserve"> REF _Ref90446454 \h </w:instrText>
      </w:r>
      <w:r>
        <w:rPr>
          <w:color w:val="000000" w:themeColor="text1"/>
        </w:rPr>
      </w:r>
      <w:r>
        <w:rPr>
          <w:color w:val="000000" w:themeColor="text1"/>
        </w:rPr>
        <w:fldChar w:fldCharType="separate"/>
      </w:r>
      <w:r>
        <w:t>Figure A.</w:t>
      </w:r>
      <w:r>
        <w:rPr>
          <w:noProof/>
        </w:rPr>
        <w:t>1</w:t>
      </w:r>
      <w:r>
        <w:rPr>
          <w:color w:val="000000" w:themeColor="text1"/>
        </w:rPr>
        <w:fldChar w:fldCharType="end"/>
      </w:r>
      <w:r>
        <w:rPr>
          <w:color w:val="000000" w:themeColor="text1"/>
        </w:rPr>
        <w:t xml:space="preserve"> </w:t>
      </w:r>
      <w:r w:rsidRPr="00A67D9D">
        <w:rPr>
          <w:color w:val="000000" w:themeColor="text1"/>
        </w:rPr>
        <w:t xml:space="preserve">correspond to the level and magnitude of the </w:t>
      </w:r>
      <w:proofErr w:type="gramStart"/>
      <w:r w:rsidRPr="00A67D9D">
        <w:rPr>
          <w:color w:val="000000" w:themeColor="text1"/>
        </w:rPr>
        <w:t>particular impact</w:t>
      </w:r>
      <w:proofErr w:type="gramEnd"/>
      <w:r w:rsidRPr="00A67D9D">
        <w:rPr>
          <w:color w:val="000000" w:themeColor="text1"/>
        </w:rPr>
        <w:t>.</w:t>
      </w:r>
    </w:p>
    <w:p w14:paraId="2867DAC8" w14:textId="77777777" w:rsidR="00BC2F05" w:rsidRPr="00A67D9D" w:rsidRDefault="00772FB6" w:rsidP="00AB526F">
      <w:pPr>
        <w:rPr>
          <w:color w:val="000000" w:themeColor="text1"/>
        </w:rPr>
      </w:pPr>
      <w:r w:rsidRPr="00A67D9D">
        <w:rPr>
          <w:color w:val="000000" w:themeColor="text1"/>
        </w:rPr>
        <w:t>The following are considered during this process:</w:t>
      </w:r>
    </w:p>
    <w:p w14:paraId="3340F24A" w14:textId="77777777" w:rsidR="00BC2F05" w:rsidRPr="00160AA8" w:rsidRDefault="00772FB6" w:rsidP="00BC2F05">
      <w:pPr>
        <w:pStyle w:val="ListBullet"/>
        <w:rPr>
          <w:color w:val="000000" w:themeColor="text1"/>
        </w:rPr>
      </w:pPr>
      <w:r w:rsidRPr="00160AA8">
        <w:rPr>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5D9BCD3C" w14:textId="77777777" w:rsidR="00BC2F05" w:rsidRPr="00160AA8" w:rsidRDefault="00772FB6" w:rsidP="00BC2F05">
      <w:pPr>
        <w:pStyle w:val="ListBullet"/>
        <w:rPr>
          <w:color w:val="000000" w:themeColor="text1"/>
        </w:rPr>
      </w:pPr>
      <w:r w:rsidRPr="00160AA8">
        <w:rPr>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197" w:name="_Ref17718804"/>
    </w:p>
    <w:p w14:paraId="3D1D5428" w14:textId="77777777" w:rsidR="00BC2F05" w:rsidRDefault="00772FB6" w:rsidP="00BC2F05">
      <w:pPr>
        <w:pStyle w:val="ListBullet"/>
        <w:rPr>
          <w:color w:val="000000" w:themeColor="text1"/>
        </w:rPr>
      </w:pPr>
      <w:r w:rsidRPr="00160AA8">
        <w:rPr>
          <w:color w:val="000000" w:themeColor="text1"/>
        </w:rPr>
        <w:t>The geographic distribution of an impact does not necessarily determine the impact. For example, an outbreak could occur on one orchard/farm, but the impact could potentially</w:t>
      </w:r>
      <w:r w:rsidRPr="00A67D9D">
        <w:rPr>
          <w:color w:val="000000" w:themeColor="text1"/>
        </w:rPr>
        <w:t xml:space="preserve"> still be considered at a state or </w:t>
      </w:r>
      <w:r>
        <w:rPr>
          <w:color w:val="000000" w:themeColor="text1"/>
        </w:rPr>
        <w:t>n</w:t>
      </w:r>
      <w:r w:rsidRPr="00A67D9D">
        <w:rPr>
          <w:color w:val="000000" w:themeColor="text1"/>
        </w:rPr>
        <w:t>ational level.</w:t>
      </w:r>
    </w:p>
    <w:p w14:paraId="293268CF" w14:textId="77777777" w:rsidR="00BC2F05" w:rsidRDefault="00772FB6" w:rsidP="00AB526F">
      <w:pPr>
        <w:pStyle w:val="Caption"/>
      </w:pPr>
      <w:bookmarkStart w:id="198" w:name="_Ref90446454"/>
      <w:bookmarkStart w:id="199" w:name="_Toc113430647"/>
      <w:bookmarkStart w:id="200" w:name="_Toc119493132"/>
      <w:r>
        <w:lastRenderedPageBreak/>
        <w:t>Figure A.</w:t>
      </w:r>
      <w:r w:rsidR="000C0A09">
        <w:fldChar w:fldCharType="begin" w:fldLock="1"/>
      </w:r>
      <w:r w:rsidR="000C0A09">
        <w:instrText xml:space="preserve"> SEQ Figure \* ARABIC \s 2 </w:instrText>
      </w:r>
      <w:r w:rsidR="000C0A09">
        <w:fldChar w:fldCharType="separate"/>
      </w:r>
      <w:r>
        <w:rPr>
          <w:noProof/>
        </w:rPr>
        <w:t>1</w:t>
      </w:r>
      <w:r w:rsidR="000C0A09">
        <w:rPr>
          <w:noProof/>
        </w:rPr>
        <w:fldChar w:fldCharType="end"/>
      </w:r>
      <w:bookmarkEnd w:id="198"/>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199"/>
      <w:bookmarkEnd w:id="200"/>
    </w:p>
    <w:p w14:paraId="0DEBA4B8" w14:textId="77777777" w:rsidR="00BC2F05" w:rsidRDefault="00772FB6" w:rsidP="00AB526F">
      <w:pPr>
        <w:pStyle w:val="FigureTableNoteSource"/>
      </w:pPr>
      <w:r w:rsidRPr="0083164D">
        <w:rPr>
          <w:noProof/>
        </w:rPr>
        <w:t xml:space="preserve">Table describing the rules for impact score determination. </w:t>
      </w:r>
      <w:r>
        <w:rPr>
          <w:noProof/>
        </w:rPr>
        <w:drawing>
          <wp:inline distT="0" distB="0" distL="0" distR="0" wp14:anchorId="409F9B95" wp14:editId="462088BB">
            <wp:extent cx="5759450" cy="4843145"/>
            <wp:effectExtent l="0" t="0" r="0" b="0"/>
            <wp:docPr id="26" name="Picture 26" descr="Table describing the rules for impact scor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23588" name="Picture 26" descr="Table describing the rules for impact score determination."/>
                    <pic:cNvPicPr/>
                  </pic:nvPicPr>
                  <pic:blipFill>
                    <a:blip r:embed="rId88"/>
                    <a:stretch>
                      <a:fillRect/>
                    </a:stretch>
                  </pic:blipFill>
                  <pic:spPr>
                    <a:xfrm>
                      <a:off x="0" y="0"/>
                      <a:ext cx="5759450" cy="4843145"/>
                    </a:xfrm>
                    <a:prstGeom prst="rect">
                      <a:avLst/>
                    </a:prstGeom>
                  </pic:spPr>
                </pic:pic>
              </a:graphicData>
            </a:graphic>
          </wp:inline>
        </w:drawing>
      </w:r>
    </w:p>
    <w:p w14:paraId="241AE051" w14:textId="77777777" w:rsidR="00BC2F05" w:rsidRDefault="00772FB6" w:rsidP="00AB526F">
      <w:pPr>
        <w:pStyle w:val="FigureTableNoteSource"/>
      </w:pPr>
      <w:r>
        <w:t>For each criterion:</w:t>
      </w:r>
    </w:p>
    <w:p w14:paraId="361C431E" w14:textId="77777777" w:rsidR="00BC2F05" w:rsidRDefault="00772FB6" w:rsidP="00BC2F05">
      <w:pPr>
        <w:pStyle w:val="FigureTableNoteSource"/>
        <w:numPr>
          <w:ilvl w:val="0"/>
          <w:numId w:val="21"/>
        </w:numPr>
        <w:rPr>
          <w:rStyle w:val="Emphasis"/>
          <w:i w:val="0"/>
          <w:iCs w:val="0"/>
        </w:rPr>
      </w:pPr>
      <w:r>
        <w:t xml:space="preserve">the </w:t>
      </w:r>
      <w:r>
        <w:rPr>
          <w:rStyle w:val="Emphasis"/>
        </w:rPr>
        <w:t>level of impact is estimated over 4 geographic levels: local, district, regional and national</w:t>
      </w:r>
    </w:p>
    <w:p w14:paraId="75479882" w14:textId="77777777" w:rsidR="00BC2F05" w:rsidRDefault="00772FB6" w:rsidP="00BC2F05">
      <w:pPr>
        <w:pStyle w:val="FigureTableNoteSource"/>
        <w:numPr>
          <w:ilvl w:val="0"/>
          <w:numId w:val="21"/>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56B29F6C" w14:textId="77777777" w:rsidR="00BC2F05" w:rsidRPr="009E5354" w:rsidRDefault="00772FB6" w:rsidP="00BC2F05">
      <w:pPr>
        <w:pStyle w:val="FigureTableNoteSource"/>
        <w:numPr>
          <w:ilvl w:val="0"/>
          <w:numId w:val="21"/>
        </w:numPr>
      </w:pPr>
      <w:r>
        <w:t>an impact score (A–G) is assigned by determining which of the shaded cells with bold font correspond to the level and magnitude of impact.</w:t>
      </w:r>
    </w:p>
    <w:p w14:paraId="1D9AD72A" w14:textId="77777777" w:rsidR="00BC2F05" w:rsidRDefault="00772FB6" w:rsidP="00AB526F">
      <w:pPr>
        <w:rPr>
          <w:rStyle w:val="Strong"/>
        </w:rPr>
      </w:pPr>
      <w:r>
        <w:rPr>
          <w:rStyle w:val="Strong"/>
        </w:rPr>
        <w:t>Step 2: Combining direct and indirect impacts</w:t>
      </w:r>
    </w:p>
    <w:p w14:paraId="583D336F" w14:textId="77777777" w:rsidR="00BC2F05" w:rsidRPr="006D1AB5" w:rsidRDefault="00772FB6" w:rsidP="00AB526F">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Pr>
          <w:color w:val="538135" w:themeColor="accent6" w:themeShade="BF"/>
        </w:rPr>
        <w:t xml:space="preserve"> </w:t>
      </w:r>
      <w:r w:rsidRPr="005966B6">
        <w:fldChar w:fldCharType="begin" w:fldLock="1"/>
      </w:r>
      <w:r w:rsidRPr="005966B6">
        <w:instrText xml:space="preserve"> REF _Ref524355002 \h  \* MERGEFORMAT </w:instrText>
      </w:r>
      <w:r w:rsidRPr="005966B6">
        <w:fldChar w:fldCharType="separate"/>
      </w:r>
      <w:r w:rsidRPr="00254112">
        <w:t xml:space="preserve">Table </w:t>
      </w:r>
      <w:r>
        <w:rPr>
          <w:noProof/>
        </w:rPr>
        <w:t>A.</w:t>
      </w:r>
      <w:r w:rsidRPr="007678C4">
        <w:rPr>
          <w:noProof/>
          <w:color w:val="000000" w:themeColor="text1"/>
        </w:rPr>
        <w:t>3</w:t>
      </w:r>
      <w:r w:rsidRPr="005966B6">
        <w:fldChar w:fldCharType="end"/>
      </w:r>
      <w:r w:rsidRPr="005966B6">
        <w:t xml:space="preserve">. These rules are mutually </w:t>
      </w:r>
      <w:proofErr w:type="gramStart"/>
      <w:r w:rsidRPr="005966B6">
        <w:t>exclusive, and</w:t>
      </w:r>
      <w:proofErr w:type="gramEnd"/>
      <w:r w:rsidRPr="005966B6">
        <w:t xml:space="preserve"> are assessed in numerical order until one applies.</w:t>
      </w:r>
      <w:r>
        <w:t xml:space="preserve"> </w:t>
      </w:r>
      <w:r w:rsidRPr="00206894">
        <w:rPr>
          <w:color w:val="000000" w:themeColor="text1"/>
        </w:rPr>
        <w:t>For example, if the first rule does not apply, the second rule is considered, and so on.</w:t>
      </w:r>
    </w:p>
    <w:p w14:paraId="3EEB069C" w14:textId="77777777" w:rsidR="00BC2F05" w:rsidRDefault="00772FB6" w:rsidP="00AB526F">
      <w:pPr>
        <w:pStyle w:val="Tablecaption"/>
      </w:pPr>
      <w:bookmarkStart w:id="201" w:name="_Ref524355002"/>
      <w:bookmarkStart w:id="202" w:name="_Toc6906417"/>
      <w:bookmarkStart w:id="203" w:name="_Toc113430658"/>
      <w:bookmarkStart w:id="204" w:name="_Toc119493143"/>
      <w:bookmarkEnd w:id="195"/>
      <w:bookmarkEnd w:id="196"/>
      <w:bookmarkEnd w:id="197"/>
      <w:r w:rsidRPr="00254112">
        <w:lastRenderedPageBreak/>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Pr>
          <w:noProof/>
        </w:rPr>
        <w:t>3</w:t>
      </w:r>
      <w:r w:rsidRPr="00254112">
        <w:rPr>
          <w:noProof/>
        </w:rPr>
        <w:fldChar w:fldCharType="end"/>
      </w:r>
      <w:bookmarkEnd w:id="201"/>
      <w:r>
        <w:t xml:space="preserve"> </w:t>
      </w:r>
      <w:r w:rsidRPr="000F1B7B">
        <w:t>Decision rules for determining the overall consequence rating for each pest</w:t>
      </w:r>
      <w:bookmarkEnd w:id="202"/>
      <w:bookmarkEnd w:id="203"/>
      <w:bookmarkEnd w:id="20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C80041" w14:paraId="279E7CF6" w14:textId="77777777" w:rsidTr="00976665">
        <w:trPr>
          <w:trHeight w:val="414"/>
        </w:trPr>
        <w:tc>
          <w:tcPr>
            <w:tcW w:w="440" w:type="pct"/>
            <w:tcBorders>
              <w:top w:val="single" w:sz="4" w:space="0" w:color="auto"/>
              <w:bottom w:val="single" w:sz="4" w:space="0" w:color="auto"/>
            </w:tcBorders>
          </w:tcPr>
          <w:p w14:paraId="59696DFB" w14:textId="77777777" w:rsidR="00BC2F05" w:rsidRDefault="00772FB6" w:rsidP="00976665">
            <w:pPr>
              <w:pStyle w:val="TableHeading"/>
            </w:pPr>
            <w:r>
              <w:t>Rule</w:t>
            </w:r>
          </w:p>
        </w:tc>
        <w:tc>
          <w:tcPr>
            <w:tcW w:w="3206" w:type="pct"/>
            <w:tcBorders>
              <w:top w:val="single" w:sz="4" w:space="0" w:color="auto"/>
              <w:bottom w:val="single" w:sz="4" w:space="0" w:color="auto"/>
            </w:tcBorders>
          </w:tcPr>
          <w:p w14:paraId="3CAD11D2" w14:textId="77777777" w:rsidR="00BC2F05" w:rsidRDefault="00772FB6" w:rsidP="00976665">
            <w:pPr>
              <w:pStyle w:val="TableHeading"/>
            </w:pPr>
            <w:r>
              <w:t>The impact scores for consequences of direct and indirect criteria</w:t>
            </w:r>
          </w:p>
        </w:tc>
        <w:tc>
          <w:tcPr>
            <w:tcW w:w="1354" w:type="pct"/>
            <w:tcBorders>
              <w:top w:val="single" w:sz="4" w:space="0" w:color="auto"/>
              <w:bottom w:val="single" w:sz="4" w:space="0" w:color="auto"/>
            </w:tcBorders>
          </w:tcPr>
          <w:p w14:paraId="569184BF" w14:textId="77777777" w:rsidR="00BC2F05" w:rsidRDefault="00772FB6" w:rsidP="00976665">
            <w:pPr>
              <w:pStyle w:val="TableHeading"/>
            </w:pPr>
            <w:r>
              <w:t>Overall consequence rating</w:t>
            </w:r>
          </w:p>
        </w:tc>
      </w:tr>
      <w:tr w:rsidR="00C80041" w14:paraId="5ACE7CB0" w14:textId="77777777" w:rsidTr="00976665">
        <w:trPr>
          <w:trHeight w:val="414"/>
        </w:trPr>
        <w:tc>
          <w:tcPr>
            <w:tcW w:w="440" w:type="pct"/>
            <w:tcBorders>
              <w:top w:val="single" w:sz="4" w:space="0" w:color="auto"/>
              <w:bottom w:val="nil"/>
            </w:tcBorders>
          </w:tcPr>
          <w:p w14:paraId="062CC096" w14:textId="77777777" w:rsidR="00BC2F05" w:rsidRDefault="00772FB6" w:rsidP="00976665">
            <w:pPr>
              <w:pStyle w:val="TableText"/>
              <w:keepNext/>
            </w:pPr>
            <w:r>
              <w:t>1</w:t>
            </w:r>
          </w:p>
        </w:tc>
        <w:tc>
          <w:tcPr>
            <w:tcW w:w="3206" w:type="pct"/>
            <w:tcBorders>
              <w:top w:val="single" w:sz="4" w:space="0" w:color="auto"/>
              <w:bottom w:val="nil"/>
            </w:tcBorders>
          </w:tcPr>
          <w:p w14:paraId="7DE4FE73" w14:textId="77777777" w:rsidR="00BC2F05" w:rsidRDefault="00772FB6" w:rsidP="00976665">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55027850" w14:textId="77777777" w:rsidR="00BC2F05" w:rsidRDefault="00772FB6" w:rsidP="00976665">
            <w:pPr>
              <w:pStyle w:val="TableText"/>
              <w:keepNext/>
            </w:pPr>
            <w:r>
              <w:t>Extreme</w:t>
            </w:r>
          </w:p>
        </w:tc>
      </w:tr>
      <w:tr w:rsidR="00C80041" w14:paraId="0D769630" w14:textId="77777777" w:rsidTr="00976665">
        <w:trPr>
          <w:trHeight w:val="414"/>
        </w:trPr>
        <w:tc>
          <w:tcPr>
            <w:tcW w:w="440" w:type="pct"/>
            <w:tcBorders>
              <w:top w:val="nil"/>
              <w:bottom w:val="nil"/>
            </w:tcBorders>
          </w:tcPr>
          <w:p w14:paraId="3E924DCB" w14:textId="77777777" w:rsidR="00BC2F05" w:rsidRDefault="00772FB6" w:rsidP="00976665">
            <w:pPr>
              <w:pStyle w:val="TableText"/>
              <w:keepNext/>
            </w:pPr>
            <w:r>
              <w:t>2</w:t>
            </w:r>
          </w:p>
        </w:tc>
        <w:tc>
          <w:tcPr>
            <w:tcW w:w="3206" w:type="pct"/>
            <w:tcBorders>
              <w:top w:val="nil"/>
              <w:bottom w:val="nil"/>
            </w:tcBorders>
          </w:tcPr>
          <w:p w14:paraId="0DBF4721" w14:textId="77777777" w:rsidR="00BC2F05" w:rsidRDefault="00772FB6" w:rsidP="00976665">
            <w:pPr>
              <w:pStyle w:val="TableText"/>
              <w:keepNext/>
            </w:pPr>
            <w:r>
              <w:t>A single criterion has an impact of ‘F’; or</w:t>
            </w:r>
            <w:r>
              <w:br/>
              <w:t>all criteria have an impact of ‘E’.</w:t>
            </w:r>
          </w:p>
        </w:tc>
        <w:tc>
          <w:tcPr>
            <w:tcW w:w="1354" w:type="pct"/>
            <w:tcBorders>
              <w:top w:val="nil"/>
              <w:bottom w:val="nil"/>
            </w:tcBorders>
          </w:tcPr>
          <w:p w14:paraId="7E18836B" w14:textId="77777777" w:rsidR="00BC2F05" w:rsidRDefault="00772FB6" w:rsidP="00976665">
            <w:pPr>
              <w:pStyle w:val="TableText"/>
              <w:keepNext/>
            </w:pPr>
            <w:r>
              <w:t>High</w:t>
            </w:r>
          </w:p>
        </w:tc>
      </w:tr>
      <w:tr w:rsidR="00C80041" w14:paraId="44D1E6C8" w14:textId="77777777" w:rsidTr="00976665">
        <w:trPr>
          <w:trHeight w:val="414"/>
        </w:trPr>
        <w:tc>
          <w:tcPr>
            <w:tcW w:w="440" w:type="pct"/>
            <w:tcBorders>
              <w:top w:val="nil"/>
              <w:bottom w:val="nil"/>
            </w:tcBorders>
          </w:tcPr>
          <w:p w14:paraId="196C5BB9" w14:textId="77777777" w:rsidR="00BC2F05" w:rsidRDefault="00772FB6" w:rsidP="00976665">
            <w:pPr>
              <w:pStyle w:val="TableText"/>
              <w:keepNext/>
            </w:pPr>
            <w:r>
              <w:t>3</w:t>
            </w:r>
          </w:p>
        </w:tc>
        <w:tc>
          <w:tcPr>
            <w:tcW w:w="3206" w:type="pct"/>
            <w:tcBorders>
              <w:top w:val="nil"/>
              <w:bottom w:val="nil"/>
            </w:tcBorders>
          </w:tcPr>
          <w:p w14:paraId="6D078918" w14:textId="77777777" w:rsidR="00BC2F05" w:rsidRDefault="00772FB6" w:rsidP="00976665">
            <w:pPr>
              <w:pStyle w:val="TableText"/>
              <w:keepNext/>
            </w:pPr>
            <w:r>
              <w:t>One or more criteria have an impact of ‘E’; or</w:t>
            </w:r>
            <w:r>
              <w:br/>
              <w:t>all criteria have an impact of ‘D’.</w:t>
            </w:r>
          </w:p>
        </w:tc>
        <w:tc>
          <w:tcPr>
            <w:tcW w:w="1354" w:type="pct"/>
            <w:tcBorders>
              <w:top w:val="nil"/>
              <w:bottom w:val="nil"/>
            </w:tcBorders>
          </w:tcPr>
          <w:p w14:paraId="55234319" w14:textId="77777777" w:rsidR="00BC2F05" w:rsidRDefault="00772FB6" w:rsidP="00976665">
            <w:pPr>
              <w:pStyle w:val="TableText"/>
              <w:keepNext/>
            </w:pPr>
            <w:r>
              <w:t>Moderate</w:t>
            </w:r>
          </w:p>
        </w:tc>
      </w:tr>
      <w:tr w:rsidR="00C80041" w14:paraId="321A7F81" w14:textId="77777777" w:rsidTr="00976665">
        <w:trPr>
          <w:trHeight w:val="414"/>
        </w:trPr>
        <w:tc>
          <w:tcPr>
            <w:tcW w:w="440" w:type="pct"/>
            <w:tcBorders>
              <w:top w:val="nil"/>
              <w:bottom w:val="nil"/>
            </w:tcBorders>
          </w:tcPr>
          <w:p w14:paraId="438F522F" w14:textId="77777777" w:rsidR="00BC2F05" w:rsidRDefault="00772FB6" w:rsidP="00976665">
            <w:pPr>
              <w:pStyle w:val="TableText"/>
              <w:keepNext/>
            </w:pPr>
            <w:r>
              <w:t>4</w:t>
            </w:r>
          </w:p>
        </w:tc>
        <w:tc>
          <w:tcPr>
            <w:tcW w:w="3206" w:type="pct"/>
            <w:tcBorders>
              <w:top w:val="nil"/>
              <w:bottom w:val="nil"/>
            </w:tcBorders>
          </w:tcPr>
          <w:p w14:paraId="6C50B282" w14:textId="77777777" w:rsidR="00BC2F05" w:rsidRDefault="00772FB6" w:rsidP="00976665">
            <w:pPr>
              <w:pStyle w:val="TableText"/>
              <w:keepNext/>
            </w:pPr>
            <w:r>
              <w:t>One or more criteria have an impact of ‘D’; or</w:t>
            </w:r>
            <w:r>
              <w:br/>
              <w:t>all criteria have an impact of ‘C’.</w:t>
            </w:r>
          </w:p>
        </w:tc>
        <w:tc>
          <w:tcPr>
            <w:tcW w:w="1354" w:type="pct"/>
            <w:tcBorders>
              <w:top w:val="nil"/>
              <w:bottom w:val="nil"/>
            </w:tcBorders>
          </w:tcPr>
          <w:p w14:paraId="6EDD1278" w14:textId="77777777" w:rsidR="00BC2F05" w:rsidRDefault="00772FB6" w:rsidP="00976665">
            <w:pPr>
              <w:pStyle w:val="TableText"/>
              <w:keepNext/>
            </w:pPr>
            <w:r>
              <w:t>Low</w:t>
            </w:r>
          </w:p>
        </w:tc>
      </w:tr>
      <w:tr w:rsidR="00C80041" w14:paraId="49D64374" w14:textId="77777777" w:rsidTr="00976665">
        <w:trPr>
          <w:trHeight w:val="414"/>
        </w:trPr>
        <w:tc>
          <w:tcPr>
            <w:tcW w:w="440" w:type="pct"/>
            <w:tcBorders>
              <w:top w:val="nil"/>
              <w:bottom w:val="nil"/>
            </w:tcBorders>
          </w:tcPr>
          <w:p w14:paraId="3D9A3FB8" w14:textId="77777777" w:rsidR="00BC2F05" w:rsidRDefault="00772FB6" w:rsidP="00976665">
            <w:pPr>
              <w:pStyle w:val="TableText"/>
              <w:keepNext/>
            </w:pPr>
            <w:r>
              <w:t>5</w:t>
            </w:r>
          </w:p>
        </w:tc>
        <w:tc>
          <w:tcPr>
            <w:tcW w:w="3206" w:type="pct"/>
            <w:tcBorders>
              <w:top w:val="nil"/>
              <w:bottom w:val="nil"/>
            </w:tcBorders>
          </w:tcPr>
          <w:p w14:paraId="618B5719" w14:textId="77777777" w:rsidR="00BC2F05" w:rsidRDefault="00772FB6" w:rsidP="00976665">
            <w:pPr>
              <w:pStyle w:val="TableText"/>
              <w:keepNext/>
            </w:pPr>
            <w:r>
              <w:t>One or more criteria have an impact of ‘C’; or</w:t>
            </w:r>
            <w:r>
              <w:br/>
              <w:t>all criteria have an impact of ‘B’.</w:t>
            </w:r>
          </w:p>
        </w:tc>
        <w:tc>
          <w:tcPr>
            <w:tcW w:w="1354" w:type="pct"/>
            <w:tcBorders>
              <w:top w:val="nil"/>
              <w:bottom w:val="nil"/>
            </w:tcBorders>
          </w:tcPr>
          <w:p w14:paraId="39995172" w14:textId="77777777" w:rsidR="00BC2F05" w:rsidRDefault="00772FB6" w:rsidP="00976665">
            <w:pPr>
              <w:pStyle w:val="TableText"/>
              <w:keepNext/>
            </w:pPr>
            <w:r>
              <w:t>Very Low</w:t>
            </w:r>
          </w:p>
        </w:tc>
      </w:tr>
      <w:tr w:rsidR="00C80041" w14:paraId="561D4FA0" w14:textId="77777777" w:rsidTr="00976665">
        <w:trPr>
          <w:trHeight w:val="414"/>
        </w:trPr>
        <w:tc>
          <w:tcPr>
            <w:tcW w:w="440" w:type="pct"/>
            <w:tcBorders>
              <w:top w:val="nil"/>
              <w:bottom w:val="single" w:sz="4" w:space="0" w:color="auto"/>
            </w:tcBorders>
          </w:tcPr>
          <w:p w14:paraId="3BE68618" w14:textId="77777777" w:rsidR="00BC2F05" w:rsidRDefault="00772FB6" w:rsidP="00976665">
            <w:pPr>
              <w:pStyle w:val="TableText"/>
            </w:pPr>
            <w:r>
              <w:t>6</w:t>
            </w:r>
          </w:p>
        </w:tc>
        <w:tc>
          <w:tcPr>
            <w:tcW w:w="3206" w:type="pct"/>
            <w:tcBorders>
              <w:top w:val="nil"/>
              <w:bottom w:val="single" w:sz="4" w:space="0" w:color="auto"/>
            </w:tcBorders>
          </w:tcPr>
          <w:p w14:paraId="15B30F1A" w14:textId="77777777" w:rsidR="00BC2F05" w:rsidRDefault="00772FB6" w:rsidP="00976665">
            <w:pPr>
              <w:pStyle w:val="TableText"/>
              <w:keepNext/>
            </w:pPr>
            <w:r>
              <w:t>One or more but not all criteria have an impact of ‘B’, and</w:t>
            </w:r>
            <w:r>
              <w:br/>
              <w:t>all remaining criteria have an impact of ‘A’.</w:t>
            </w:r>
          </w:p>
        </w:tc>
        <w:tc>
          <w:tcPr>
            <w:tcW w:w="1354" w:type="pct"/>
            <w:tcBorders>
              <w:top w:val="nil"/>
              <w:bottom w:val="single" w:sz="4" w:space="0" w:color="auto"/>
            </w:tcBorders>
          </w:tcPr>
          <w:p w14:paraId="11571DC2" w14:textId="77777777" w:rsidR="00BC2F05" w:rsidRDefault="00772FB6" w:rsidP="00976665">
            <w:pPr>
              <w:pStyle w:val="TableText"/>
              <w:keepNext/>
            </w:pPr>
            <w:r>
              <w:t>Negligible</w:t>
            </w:r>
          </w:p>
        </w:tc>
      </w:tr>
    </w:tbl>
    <w:p w14:paraId="3D849726" w14:textId="77777777" w:rsidR="00BC2F05" w:rsidRDefault="00772FB6" w:rsidP="00BC2F05">
      <w:pPr>
        <w:pStyle w:val="Heading4-Appendix"/>
      </w:pPr>
      <w:r>
        <w:t>Estimation of the unrestricted risk</w:t>
      </w:r>
    </w:p>
    <w:p w14:paraId="22A76778" w14:textId="77777777" w:rsidR="00BC2F05" w:rsidRDefault="00772FB6" w:rsidP="00AB526F">
      <w:r>
        <w:t>Once the assessment of the likelihood of entry, establishment and spread and for potential consequences are completed, the unrestricted risk can be determined for each pest or each group of pests. This is determined by using a risk estimation matrix (</w:t>
      </w:r>
      <w:r w:rsidRPr="00254112">
        <w:fldChar w:fldCharType="begin" w:fldLock="1"/>
      </w:r>
      <w:r w:rsidRPr="00254112">
        <w:instrText xml:space="preserve"> REF _Ref524355015 \h  \* MERGEFORMAT </w:instrText>
      </w:r>
      <w:r w:rsidRPr="00254112">
        <w:fldChar w:fldCharType="separate"/>
      </w:r>
      <w:r w:rsidRPr="00254112">
        <w:t xml:space="preserve">Table </w:t>
      </w:r>
      <w:r>
        <w:rPr>
          <w:noProof/>
        </w:rPr>
        <w:t>A.4</w:t>
      </w:r>
      <w:r w:rsidRPr="00254112">
        <w:fldChar w:fldCharType="end"/>
      </w:r>
      <w:r>
        <w:t>) to combine the estimates of the likelihood of entry, establishment and spread and the overall consequences of pest establishment and spread.</w:t>
      </w:r>
    </w:p>
    <w:p w14:paraId="0B393832" w14:textId="77777777" w:rsidR="00BC2F05" w:rsidRDefault="00772FB6" w:rsidP="00AB526F">
      <w: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t>High</w:t>
      </w:r>
      <w:proofErr w:type="gramEnd"/>
      <w:r>
        <w:t xml:space="preserve"> likelihood combined with Low consequences—the matrix is not symmetrical. For example, the former combination would give an unrestricted risk rating of Moderate, </w:t>
      </w:r>
      <w:proofErr w:type="gramStart"/>
      <w:r>
        <w:t>whereas,</w:t>
      </w:r>
      <w:proofErr w:type="gramEnd"/>
      <w:r>
        <w:t xml:space="preserve"> the latter would give a Low rating.</w:t>
      </w:r>
      <w:bookmarkStart w:id="205" w:name="_Toc384979280"/>
    </w:p>
    <w:p w14:paraId="2D2D8239" w14:textId="77777777" w:rsidR="00BC2F05" w:rsidRDefault="00772FB6" w:rsidP="00AB526F">
      <w:pPr>
        <w:pStyle w:val="Tablecaption"/>
      </w:pPr>
      <w:bookmarkStart w:id="206" w:name="_Ref524355015"/>
      <w:bookmarkStart w:id="207" w:name="Table_A4"/>
      <w:bookmarkStart w:id="208" w:name="_Toc6906418"/>
      <w:bookmarkStart w:id="209" w:name="_Toc113430659"/>
      <w:bookmarkStart w:id="210" w:name="_Toc119493144"/>
      <w:bookmarkEnd w:id="205"/>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Pr>
          <w:noProof/>
        </w:rPr>
        <w:t>4</w:t>
      </w:r>
      <w:r w:rsidRPr="00254112">
        <w:rPr>
          <w:noProof/>
        </w:rPr>
        <w:fldChar w:fldCharType="end"/>
      </w:r>
      <w:bookmarkEnd w:id="206"/>
      <w:r>
        <w:t xml:space="preserve"> </w:t>
      </w:r>
      <w:bookmarkEnd w:id="207"/>
      <w:r w:rsidRPr="005E099B">
        <w:t>Risk estimation matrix</w:t>
      </w:r>
      <w:bookmarkEnd w:id="208"/>
      <w:bookmarkEnd w:id="209"/>
      <w:bookmarkEnd w:id="210"/>
    </w:p>
    <w:tbl>
      <w:tblPr>
        <w:tblW w:w="5000" w:type="pct"/>
        <w:tblLook w:val="0000" w:firstRow="0" w:lastRow="0" w:firstColumn="0" w:lastColumn="0" w:noHBand="0" w:noVBand="0"/>
      </w:tblPr>
      <w:tblGrid>
        <w:gridCol w:w="1438"/>
        <w:gridCol w:w="1270"/>
        <w:gridCol w:w="1270"/>
        <w:gridCol w:w="1272"/>
        <w:gridCol w:w="1270"/>
        <w:gridCol w:w="1270"/>
        <w:gridCol w:w="1270"/>
      </w:tblGrid>
      <w:tr w:rsidR="00C80041" w14:paraId="274207BB" w14:textId="77777777" w:rsidTr="00976665">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45E9970E" w14:textId="77777777" w:rsidR="00BC2F05" w:rsidRDefault="00772FB6" w:rsidP="00976665">
            <w:pPr>
              <w:pStyle w:val="TableText"/>
              <w:keepN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2D54BF77" w14:textId="77777777" w:rsidR="00BC2F05" w:rsidRDefault="00772FB6" w:rsidP="00976665">
            <w:pPr>
              <w:pStyle w:val="TableText"/>
              <w:keepNext/>
            </w:pPr>
            <w:r>
              <w:t>Consequences of pest entry, establishment and spread</w:t>
            </w:r>
          </w:p>
        </w:tc>
      </w:tr>
      <w:tr w:rsidR="00C80041" w14:paraId="320571A5" w14:textId="77777777" w:rsidTr="00976665">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2B2F600F" w14:textId="77777777" w:rsidR="00BC2F05" w:rsidRDefault="00BC2F05" w:rsidP="00976665">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5384F218" w14:textId="77777777" w:rsidR="00BC2F05" w:rsidRDefault="00772FB6" w:rsidP="00976665">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E4869F9" w14:textId="77777777" w:rsidR="00BC2F05" w:rsidRDefault="00772FB6" w:rsidP="00976665">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2B163479" w14:textId="77777777" w:rsidR="00BC2F05" w:rsidRDefault="00772FB6" w:rsidP="00976665">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0DE7D695" w14:textId="77777777" w:rsidR="00BC2F05" w:rsidRDefault="00772FB6" w:rsidP="00976665">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121FD6B1" w14:textId="77777777" w:rsidR="00BC2F05" w:rsidRDefault="00772FB6" w:rsidP="00976665">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6A7BFF7E" w14:textId="77777777" w:rsidR="00BC2F05" w:rsidRDefault="00772FB6" w:rsidP="00976665">
            <w:pPr>
              <w:pStyle w:val="TableText"/>
              <w:keepNext/>
            </w:pPr>
            <w:r>
              <w:t xml:space="preserve">Extreme </w:t>
            </w:r>
          </w:p>
        </w:tc>
      </w:tr>
      <w:tr w:rsidR="00C80041" w14:paraId="7F00BDCF" w14:textId="77777777" w:rsidTr="0097666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5E59DDC" w14:textId="77777777" w:rsidR="00BC2F05" w:rsidRDefault="00772FB6" w:rsidP="00976665">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24E5CF60" w14:textId="77777777" w:rsidR="00BC2F05" w:rsidRDefault="00772FB6" w:rsidP="00976665">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F51502C" w14:textId="77777777" w:rsidR="00BC2F05" w:rsidRPr="00D55C05" w:rsidRDefault="00772FB6" w:rsidP="00976665">
            <w:pPr>
              <w:pStyle w:val="TableText"/>
              <w:keepNext/>
            </w:pPr>
            <w:r w:rsidRPr="00D55C05">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0D7D679A" w14:textId="77777777" w:rsidR="00BC2F05" w:rsidRDefault="00772FB6" w:rsidP="00976665">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1EFC3A97" w14:textId="77777777" w:rsidR="00BC2F05" w:rsidRDefault="00772FB6" w:rsidP="00976665">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99CC"/>
          </w:tcPr>
          <w:p w14:paraId="4D607CCF" w14:textId="77777777" w:rsidR="00BC2F05" w:rsidRDefault="00772FB6" w:rsidP="00976665">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0066"/>
          </w:tcPr>
          <w:p w14:paraId="09A0F5C2" w14:textId="77777777" w:rsidR="00BC2F05" w:rsidRDefault="00772FB6" w:rsidP="00976665">
            <w:pPr>
              <w:pStyle w:val="TableText"/>
              <w:keepNext/>
            </w:pPr>
            <w:r>
              <w:t>Extreme risk</w:t>
            </w:r>
          </w:p>
        </w:tc>
      </w:tr>
      <w:tr w:rsidR="00C80041" w14:paraId="0FF4408C" w14:textId="77777777" w:rsidTr="0097666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A7EA017" w14:textId="77777777" w:rsidR="00BC2F05" w:rsidRDefault="00772FB6" w:rsidP="00976665">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D06FCA"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55D85A1" w14:textId="77777777" w:rsidR="00BC2F05" w:rsidRPr="00D55C05" w:rsidRDefault="00772FB6" w:rsidP="00976665">
            <w:pPr>
              <w:pStyle w:val="TableText"/>
              <w:keepNext/>
            </w:pPr>
            <w:r w:rsidRPr="00D55C05">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FFFF99"/>
          </w:tcPr>
          <w:p w14:paraId="2FDC44E3" w14:textId="77777777" w:rsidR="00BC2F05" w:rsidRDefault="00772FB6" w:rsidP="00976665">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04B7250" w14:textId="77777777" w:rsidR="00BC2F05" w:rsidRDefault="00772FB6" w:rsidP="00976665">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99CC"/>
          </w:tcPr>
          <w:p w14:paraId="596D233B" w14:textId="77777777" w:rsidR="00BC2F05" w:rsidRDefault="00772FB6" w:rsidP="00976665">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0066"/>
          </w:tcPr>
          <w:p w14:paraId="4AED62CD" w14:textId="77777777" w:rsidR="00BC2F05" w:rsidRDefault="00772FB6" w:rsidP="00976665">
            <w:pPr>
              <w:pStyle w:val="TableText"/>
              <w:keepNext/>
            </w:pPr>
            <w:r>
              <w:t>Extreme risk</w:t>
            </w:r>
          </w:p>
        </w:tc>
      </w:tr>
      <w:tr w:rsidR="00C80041" w14:paraId="45C88027" w14:textId="77777777" w:rsidTr="0097666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85CE7D1" w14:textId="77777777" w:rsidR="00BC2F05" w:rsidRDefault="00772FB6" w:rsidP="00976665">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F36162B"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8FD2FE9" w14:textId="77777777" w:rsidR="00BC2F05" w:rsidRDefault="00772FB6" w:rsidP="00976665">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423D1A4" w14:textId="77777777" w:rsidR="00BC2F05" w:rsidRPr="00D55C05" w:rsidRDefault="00772FB6" w:rsidP="00976665">
            <w:pPr>
              <w:pStyle w:val="TableText"/>
              <w:keepNext/>
            </w:pPr>
            <w:r w:rsidRPr="00D55C05">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D2E4BCE" w14:textId="77777777" w:rsidR="00BC2F05" w:rsidRDefault="00772FB6" w:rsidP="00976665">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41F05C3" w14:textId="77777777" w:rsidR="00BC2F05" w:rsidRDefault="00772FB6" w:rsidP="00976665">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252CE135" w14:textId="77777777" w:rsidR="00BC2F05" w:rsidRDefault="00772FB6" w:rsidP="00976665">
            <w:pPr>
              <w:pStyle w:val="TableText"/>
              <w:keepNext/>
            </w:pPr>
            <w:r>
              <w:t>High risk</w:t>
            </w:r>
          </w:p>
        </w:tc>
      </w:tr>
      <w:tr w:rsidR="00C80041" w14:paraId="25DD74F3" w14:textId="77777777" w:rsidTr="0097666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7E9201A" w14:textId="77777777" w:rsidR="00BC2F05" w:rsidRDefault="00772FB6" w:rsidP="00976665">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5814750"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B996E93" w14:textId="77777777" w:rsidR="00BC2F05" w:rsidRDefault="00772FB6" w:rsidP="00976665">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833E52D"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9EBDF24" w14:textId="77777777" w:rsidR="00BC2F05" w:rsidRPr="00D55C05" w:rsidRDefault="00772FB6" w:rsidP="00976665">
            <w:pPr>
              <w:pStyle w:val="TableText"/>
              <w:keepNext/>
            </w:pPr>
            <w:r w:rsidRPr="00D55C05">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8DC4237" w14:textId="77777777" w:rsidR="00BC2F05" w:rsidRDefault="00772FB6" w:rsidP="00976665">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4E52587" w14:textId="77777777" w:rsidR="00BC2F05" w:rsidRDefault="00772FB6" w:rsidP="00976665">
            <w:pPr>
              <w:pStyle w:val="TableText"/>
              <w:keepNext/>
            </w:pPr>
            <w:r>
              <w:t>Moderate risk</w:t>
            </w:r>
          </w:p>
        </w:tc>
      </w:tr>
      <w:tr w:rsidR="00C80041" w14:paraId="0EE1C940" w14:textId="77777777" w:rsidTr="00976665">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BDC5E00" w14:textId="77777777" w:rsidR="00BC2F05" w:rsidRDefault="00772FB6" w:rsidP="00976665">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00F0A08"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C009B31" w14:textId="77777777" w:rsidR="00BC2F05" w:rsidRDefault="00772FB6" w:rsidP="00976665">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E4E68D0"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117CE61"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9551868" w14:textId="77777777" w:rsidR="00BC2F05" w:rsidRPr="00D55C05" w:rsidRDefault="00772FB6" w:rsidP="00976665">
            <w:pPr>
              <w:pStyle w:val="TableText"/>
              <w:keepNext/>
            </w:pPr>
            <w:r w:rsidRPr="00D55C05">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30963E53" w14:textId="77777777" w:rsidR="00BC2F05" w:rsidRDefault="00772FB6" w:rsidP="00976665">
            <w:pPr>
              <w:pStyle w:val="TableText"/>
              <w:keepNext/>
            </w:pPr>
            <w:r>
              <w:t>Low risk</w:t>
            </w:r>
          </w:p>
        </w:tc>
      </w:tr>
      <w:tr w:rsidR="00C80041" w14:paraId="5232195C" w14:textId="77777777" w:rsidTr="00976665">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06F26097" w14:textId="77777777" w:rsidR="00BC2F05" w:rsidRDefault="00772FB6" w:rsidP="00976665">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1B702725"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89A8950" w14:textId="77777777" w:rsidR="00BC2F05" w:rsidRDefault="00772FB6" w:rsidP="00976665">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B9297DC"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1D88592"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A892A26" w14:textId="77777777" w:rsidR="00BC2F05" w:rsidRDefault="00772FB6" w:rsidP="00976665">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CCFFCC"/>
          </w:tcPr>
          <w:p w14:paraId="0B22D42B" w14:textId="77777777" w:rsidR="00BC2F05" w:rsidRPr="00D55C05" w:rsidRDefault="00772FB6" w:rsidP="00976665">
            <w:pPr>
              <w:pStyle w:val="TableText"/>
              <w:keepNext/>
            </w:pPr>
            <w:r w:rsidRPr="00D55C05">
              <w:t>Very Low risk</w:t>
            </w:r>
          </w:p>
        </w:tc>
      </w:tr>
    </w:tbl>
    <w:p w14:paraId="6703D0E9" w14:textId="77777777" w:rsidR="00BC2F05" w:rsidRDefault="00772FB6" w:rsidP="00BC2F05">
      <w:pPr>
        <w:pStyle w:val="Heading4-Appendix"/>
      </w:pPr>
      <w:r>
        <w:lastRenderedPageBreak/>
        <w:t>The appropriate level of protection (ALOP) for Australia</w:t>
      </w:r>
    </w:p>
    <w:p w14:paraId="18726977" w14:textId="77777777" w:rsidR="00BC2F05" w:rsidRDefault="00772FB6" w:rsidP="00AB526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7844C681" w14:textId="77777777" w:rsidR="00BC2F05" w:rsidRDefault="00772FB6" w:rsidP="00AB526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254112">
        <w:fldChar w:fldCharType="begin" w:fldLock="1"/>
      </w:r>
      <w:r w:rsidRPr="00254112">
        <w:instrText xml:space="preserve"> REF _Ref524355015 \h  \* MERGEFORMAT </w:instrText>
      </w:r>
      <w:r w:rsidRPr="00254112">
        <w:fldChar w:fldCharType="separate"/>
      </w:r>
      <w:r w:rsidRPr="00254112">
        <w:t xml:space="preserve">Table </w:t>
      </w:r>
      <w:r>
        <w:rPr>
          <w:noProof/>
        </w:rPr>
        <w:t>A.4</w:t>
      </w:r>
      <w:r w:rsidRPr="00254112">
        <w:fldChar w:fldCharType="end"/>
      </w:r>
      <w:r>
        <w:t xml:space="preserve"> marked ‘Very Low risk’ represents the ALOP for Australia.</w:t>
      </w:r>
    </w:p>
    <w:p w14:paraId="01803F9F" w14:textId="77777777" w:rsidR="00BC2F05" w:rsidRDefault="00772FB6" w:rsidP="00BC2F05">
      <w:pPr>
        <w:pStyle w:val="Heading4-Appendix"/>
      </w:pPr>
      <w:bookmarkStart w:id="211" w:name="_Ref524681905"/>
      <w:r>
        <w:t>Adoption of outcomes from previous assessments</w:t>
      </w:r>
      <w:bookmarkEnd w:id="211"/>
    </w:p>
    <w:p w14:paraId="30157ADF" w14:textId="77777777" w:rsidR="00BC2F05" w:rsidRDefault="00772FB6" w:rsidP="00AB526F">
      <w:r>
        <w:t>Outcomes of previous risk assessments have been adopted in this assessment for pests for which the risk profile is assessed as comparable to previously assessed situations.</w:t>
      </w:r>
    </w:p>
    <w:p w14:paraId="43179B1F" w14:textId="77777777" w:rsidR="00BC2F05" w:rsidRDefault="00772FB6" w:rsidP="00AB526F">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F63C80">
        <w:rPr>
          <w:color w:val="000000" w:themeColor="text1"/>
        </w:rPr>
        <w:t xml:space="preserve">the ways the imported produce will be distributed within Australia </w:t>
      </w:r>
      <w:proofErr w:type="gramStart"/>
      <w:r w:rsidRPr="00F63C80">
        <w:rPr>
          <w:color w:val="000000" w:themeColor="text1"/>
        </w:rPr>
        <w:t>as a result of</w:t>
      </w:r>
      <w:proofErr w:type="gramEnd"/>
      <w:r w:rsidRPr="00F63C80">
        <w:rPr>
          <w:color w:val="000000" w:themeColor="text1"/>
        </w:rPr>
        <w:t xml:space="preserve"> the processing, sale or disposal of the imported produc</w:t>
      </w:r>
      <w:r w:rsidRPr="00523580">
        <w:t>e, and</w:t>
      </w:r>
      <w:r>
        <w:t xml:space="preserve"> </w:t>
      </w:r>
      <w:r w:rsidRPr="00523580">
        <w:t>the</w:t>
      </w:r>
      <w:r w:rsidRPr="00E97EDD">
        <w:t xml:space="preserve"> time of year when importation </w:t>
      </w:r>
      <w:r w:rsidRPr="00F63C80">
        <w:rPr>
          <w:color w:val="000000" w:themeColor="text1"/>
        </w:rPr>
        <w:t>occurs</w:t>
      </w:r>
      <w:r>
        <w:rPr>
          <w:color w:val="538135" w:themeColor="accent6" w:themeShade="BF"/>
        </w:rPr>
        <w:t xml:space="preserve"> </w:t>
      </w:r>
      <w:r w:rsidRPr="00FE49AB">
        <w:rPr>
          <w:color w:val="000000" w:themeColor="text1"/>
        </w:rPr>
        <w:t>and</w:t>
      </w:r>
      <w:r w:rsidRPr="00E97EDD">
        <w:t xml:space="preserve"> the availability and susceptibility of hosts at that time. After comparing these factors and reviewing the latest literature, previously determined ratings may be adopted if the department considers the likelihoods </w:t>
      </w:r>
      <w:r>
        <w:t xml:space="preserve">for the pathway being assessed </w:t>
      </w:r>
      <w:r w:rsidRPr="00E97EDD">
        <w:t>to be comparable to those assigned in the previous assessment(s)</w:t>
      </w:r>
      <w:r>
        <w:t>, and there is no new information to suggest that the ratings assigned in the previous assessment(s) have changed.</w:t>
      </w:r>
    </w:p>
    <w:p w14:paraId="7BA6DEFE" w14:textId="77777777" w:rsidR="00BC2F05" w:rsidRDefault="00772FB6" w:rsidP="00AB526F">
      <w:r w:rsidRPr="00E97EDD">
        <w:t xml:space="preserve">The likelihood of establishment and of spread of a pest species in the PRA area will be comparable between risk assessments, regardless of the </w:t>
      </w:r>
      <w:r w:rsidRPr="00F63C80">
        <w:rPr>
          <w:color w:val="000000" w:themeColor="text1"/>
        </w:rPr>
        <w:t xml:space="preserve">import </w:t>
      </w:r>
      <w:r w:rsidRPr="00E97EDD">
        <w:t xml:space="preserve">pathway through which the pest </w:t>
      </w:r>
      <w:r w:rsidRPr="00F63C80">
        <w:rPr>
          <w:color w:val="000000" w:themeColor="text1"/>
        </w:rPr>
        <w:t>has entered the PRA area</w:t>
      </w:r>
      <w:r>
        <w:t>.</w:t>
      </w:r>
      <w:r w:rsidRPr="00E97EDD">
        <w:t xml:space="preserve"> </w:t>
      </w:r>
      <w:r>
        <w:t>This is because</w:t>
      </w:r>
      <w:r w:rsidRPr="00E97EDD">
        <w:t xml:space="preserve"> these likelihoods relate specifically to conditions and events that occur in the PRA </w:t>
      </w:r>
      <w:proofErr w:type="gramStart"/>
      <w:r w:rsidRPr="00E97EDD">
        <w:t>area, and</w:t>
      </w:r>
      <w:proofErr w:type="gramEnd"/>
      <w:r w:rsidRPr="00E97EDD">
        <w:t xml:space="preserve">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538135" w:themeColor="accent6" w:themeShade="BF"/>
        </w:rPr>
        <w:t xml:space="preserve">. </w:t>
      </w:r>
      <w:r w:rsidRPr="00F63C80">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E97EDD">
        <w:t xml:space="preserve"> may be adopted with confidence.</w:t>
      </w:r>
    </w:p>
    <w:p w14:paraId="4BC5BFFE" w14:textId="77777777" w:rsidR="00BC2F05" w:rsidRDefault="00772FB6" w:rsidP="00BC2F05">
      <w:pPr>
        <w:pStyle w:val="Heading4-Appendix"/>
      </w:pPr>
      <w:bookmarkStart w:id="212" w:name="A_2_7"/>
      <w:bookmarkStart w:id="213" w:name="_Ref524681882"/>
      <w:bookmarkStart w:id="214" w:name="_Ref51070313"/>
      <w:r>
        <w:t>Application</w:t>
      </w:r>
      <w:bookmarkEnd w:id="212"/>
      <w:r>
        <w:t xml:space="preserve"> of Group PRA</w:t>
      </w:r>
      <w:bookmarkEnd w:id="213"/>
      <w:r>
        <w:t xml:space="preserve">s </w:t>
      </w:r>
      <w:r w:rsidRPr="00474449">
        <w:t>to this risk analysis</w:t>
      </w:r>
      <w:bookmarkEnd w:id="214"/>
    </w:p>
    <w:p w14:paraId="7C6347B7" w14:textId="77777777" w:rsidR="00BC2F05" w:rsidRDefault="00772FB6" w:rsidP="00AB526F">
      <w:r>
        <w:t>The Group PRAs that were applied to this risk analysis are:</w:t>
      </w:r>
    </w:p>
    <w:p w14:paraId="07C32C86" w14:textId="77777777" w:rsidR="00BC2F05" w:rsidRDefault="00772FB6" w:rsidP="00BC2F05">
      <w:pPr>
        <w:pStyle w:val="ListBullet"/>
        <w:jc w:val="both"/>
      </w:pPr>
      <w:r w:rsidRPr="00124F90">
        <w:rPr>
          <w:color w:val="000000" w:themeColor="text1"/>
        </w:rPr>
        <w:t xml:space="preserve">the </w:t>
      </w:r>
      <w:r w:rsidRPr="00124F90">
        <w:rPr>
          <w:i/>
          <w:color w:val="000000" w:themeColor="text1"/>
        </w:rPr>
        <w:t xml:space="preserve">Final group pest risk analysis for thrips and </w:t>
      </w:r>
      <w:proofErr w:type="spellStart"/>
      <w:r w:rsidRPr="00124F90">
        <w:rPr>
          <w:i/>
          <w:color w:val="000000" w:themeColor="text1"/>
        </w:rPr>
        <w:t>orthotospoviruses</w:t>
      </w:r>
      <w:proofErr w:type="spellEnd"/>
      <w:r w:rsidRPr="00124F90">
        <w:rPr>
          <w:i/>
          <w:color w:val="000000" w:themeColor="text1"/>
        </w:rPr>
        <w:t xml:space="preserve"> on fresh fruit, vegetable, </w:t>
      </w:r>
      <w:proofErr w:type="gramStart"/>
      <w:r w:rsidRPr="00124F90">
        <w:rPr>
          <w:i/>
          <w:color w:val="000000" w:themeColor="text1"/>
        </w:rPr>
        <w:t>cut-flower</w:t>
      </w:r>
      <w:proofErr w:type="gramEnd"/>
      <w:r w:rsidRPr="00124F90">
        <w:rPr>
          <w:i/>
          <w:color w:val="000000" w:themeColor="text1"/>
        </w:rPr>
        <w:t xml:space="preserve"> and foliage imports</w:t>
      </w:r>
      <w:r w:rsidRPr="00124F90">
        <w:rPr>
          <w:color w:val="000000" w:themeColor="text1"/>
        </w:rPr>
        <w:t xml:space="preserve"> </w:t>
      </w:r>
      <w:r>
        <w:rPr>
          <w:color w:val="000000" w:themeColor="text1"/>
        </w:rPr>
        <w:t xml:space="preserve">(thrips Group PRA) </w:t>
      </w:r>
      <w:r>
        <w:rPr>
          <w:noProof/>
          <w:color w:val="000000" w:themeColor="text1"/>
        </w:rPr>
        <w:t>(DAWR 2017a)</w:t>
      </w:r>
      <w:r>
        <w:rPr>
          <w:color w:val="000000" w:themeColor="text1"/>
        </w:rPr>
        <w:t>.</w:t>
      </w:r>
    </w:p>
    <w:p w14:paraId="658FB9AA" w14:textId="77777777" w:rsidR="00BC2F05" w:rsidRDefault="00772FB6" w:rsidP="00BC2F05">
      <w:pPr>
        <w:pStyle w:val="ListBullet"/>
        <w:jc w:val="both"/>
      </w:pPr>
      <w:r w:rsidRPr="00074141">
        <w:t xml:space="preserve">the </w:t>
      </w:r>
      <w:r w:rsidRPr="001101C7">
        <w:rPr>
          <w:i/>
        </w:rPr>
        <w:t xml:space="preserve">Final group pest risk analysis for mealybugs and the viruses they transmit on fresh fruit, vegetable, </w:t>
      </w:r>
      <w:proofErr w:type="gramStart"/>
      <w:r w:rsidRPr="001101C7">
        <w:rPr>
          <w:i/>
        </w:rPr>
        <w:t>cut-flower</w:t>
      </w:r>
      <w:proofErr w:type="gramEnd"/>
      <w:r w:rsidRPr="001101C7">
        <w:rPr>
          <w:i/>
        </w:rPr>
        <w:t xml:space="preserve"> and foliage imports</w:t>
      </w:r>
      <w:r w:rsidRPr="00074141">
        <w:t xml:space="preserve"> </w:t>
      </w:r>
      <w:r>
        <w:t xml:space="preserve">(mealybugs Group PRA) </w:t>
      </w:r>
      <w:r>
        <w:rPr>
          <w:noProof/>
        </w:rPr>
        <w:t>(DAWR 2019)</w:t>
      </w:r>
      <w:r>
        <w:t>.</w:t>
      </w:r>
    </w:p>
    <w:p w14:paraId="55D2964F" w14:textId="77777777" w:rsidR="00BC2F05" w:rsidRDefault="00772FB6" w:rsidP="00BC2F05">
      <w:pPr>
        <w:pStyle w:val="ListBullet"/>
        <w:jc w:val="both"/>
      </w:pPr>
      <w:r w:rsidRPr="00074141">
        <w:lastRenderedPageBreak/>
        <w:t xml:space="preserve">the </w:t>
      </w:r>
      <w:r w:rsidRPr="001101C7">
        <w:rPr>
          <w:i/>
        </w:rPr>
        <w:t xml:space="preserve">Final group pest risk analysis for </w:t>
      </w:r>
      <w:r>
        <w:rPr>
          <w:i/>
        </w:rPr>
        <w:t>soft and hard scale insects</w:t>
      </w:r>
      <w:r w:rsidRPr="001101C7">
        <w:rPr>
          <w:i/>
        </w:rPr>
        <w:t xml:space="preserve"> on fresh fruit, vegetable, </w:t>
      </w:r>
      <w:proofErr w:type="gramStart"/>
      <w:r w:rsidRPr="001101C7">
        <w:rPr>
          <w:i/>
        </w:rPr>
        <w:t>cut-flower</w:t>
      </w:r>
      <w:proofErr w:type="gramEnd"/>
      <w:r w:rsidRPr="001101C7">
        <w:rPr>
          <w:i/>
        </w:rPr>
        <w:t xml:space="preserve"> and foliage imports</w:t>
      </w:r>
      <w:r w:rsidRPr="00074141">
        <w:t xml:space="preserve"> </w:t>
      </w:r>
      <w:r>
        <w:t xml:space="preserve">(scales Group PRA) </w:t>
      </w:r>
      <w:r>
        <w:rPr>
          <w:noProof/>
        </w:rPr>
        <w:t>(DAWE 2021)</w:t>
      </w:r>
      <w:r>
        <w:t>.</w:t>
      </w:r>
    </w:p>
    <w:p w14:paraId="0ADD2F97" w14:textId="77777777" w:rsidR="00BC2F05" w:rsidRDefault="00772FB6" w:rsidP="00AB526F">
      <w:r w:rsidRPr="00E809BC">
        <w:t>The Group PRA approach is consistent with relevant international standards and requirements</w:t>
      </w:r>
      <w:r>
        <w:t>–</w:t>
      </w:r>
      <w:r w:rsidRPr="00E809BC">
        <w:t>including ISPM</w:t>
      </w:r>
      <w:r>
        <w:t> </w:t>
      </w:r>
      <w:r w:rsidRPr="00E809BC">
        <w:t xml:space="preserve">2: </w:t>
      </w:r>
      <w:r w:rsidRPr="00E809BC">
        <w:rPr>
          <w:i/>
          <w:iCs/>
        </w:rPr>
        <w:t>Framework for Pest Risk Analysis</w:t>
      </w:r>
      <w:r w:rsidRPr="00E809BC">
        <w:t xml:space="preserve"> </w:t>
      </w:r>
      <w:r>
        <w:rPr>
          <w:noProof/>
        </w:rPr>
        <w:t>(FAO 2019a)</w:t>
      </w:r>
      <w:r>
        <w:t xml:space="preserve">, </w:t>
      </w:r>
      <w:r w:rsidRPr="00E809BC">
        <w:t>ISPM</w:t>
      </w:r>
      <w:r>
        <w:t> </w:t>
      </w:r>
      <w:r w:rsidRPr="00E809BC">
        <w:t>11: Pest Risk Analysis for Quarantine Pests</w:t>
      </w:r>
      <w:r>
        <w:t xml:space="preserve"> </w:t>
      </w:r>
      <w:r>
        <w:rPr>
          <w:noProof/>
        </w:rPr>
        <w:t>(FAO 2019b)</w:t>
      </w:r>
      <w:r>
        <w:t xml:space="preserve"> </w:t>
      </w:r>
      <w:r w:rsidRPr="00E809BC">
        <w:t>and the SPS Agreement</w:t>
      </w:r>
      <w:r>
        <w:t xml:space="preserve"> </w:t>
      </w:r>
      <w:r>
        <w:rPr>
          <w:noProof/>
        </w:rPr>
        <w:t>(WTO 1995)</w:t>
      </w:r>
      <w:r>
        <w:t xml:space="preserve">. </w:t>
      </w:r>
      <w:r w:rsidRPr="00E809BC">
        <w:t>ISPM</w:t>
      </w:r>
      <w:r>
        <w:t> </w:t>
      </w:r>
      <w:r w:rsidRPr="00E809BC">
        <w:t>2 states that ‘Specific organisms may … be analysed individually, or in groups where individual species share common biological characteristics.’</w:t>
      </w:r>
    </w:p>
    <w:p w14:paraId="627773FE" w14:textId="77777777" w:rsidR="00BC2F05" w:rsidRDefault="00772FB6" w:rsidP="00AB526F">
      <w:r>
        <w:t>Risk estimates derived from a Group PRA are ‘indicative’ in character. This is because the likelihood of entry (the combined likelihoods of importation and distribution) can be influenced by a range of pathway-specific factors, as explained in s</w:t>
      </w:r>
      <w:r w:rsidRPr="00B53E31">
        <w:t xml:space="preserve">ection </w:t>
      </w:r>
      <w:r w:rsidRPr="00B53E31">
        <w:fldChar w:fldCharType="begin" w:fldLock="1"/>
      </w:r>
      <w:r w:rsidRPr="00B53E31">
        <w:instrText xml:space="preserve"> REF _Ref524681905 \r \h  \* MERGEFORMAT </w:instrText>
      </w:r>
      <w:r w:rsidRPr="00B53E31">
        <w:fldChar w:fldCharType="separate"/>
      </w:r>
      <w:r>
        <w:t>A2.6</w:t>
      </w:r>
      <w:r w:rsidRPr="00B53E31">
        <w:fldChar w:fldCharType="end"/>
      </w:r>
      <w:r w:rsidRPr="00B53E31">
        <w:t>.</w:t>
      </w:r>
      <w:r>
        <w:t xml:space="preserve"> Therefore, the indicative likelihood of entry from a Group PRA needs to be verified on a case-by-case basis.</w:t>
      </w:r>
    </w:p>
    <w:p w14:paraId="1BA9C3B2" w14:textId="77777777" w:rsidR="00BC2F05" w:rsidRDefault="00772FB6" w:rsidP="00AB526F">
      <w:r>
        <w:t>In contrast, and as noted in s</w:t>
      </w:r>
      <w:r w:rsidRPr="00B53E31">
        <w:t xml:space="preserve">ection </w:t>
      </w:r>
      <w:r w:rsidRPr="00B53E31">
        <w:fldChar w:fldCharType="begin" w:fldLock="1"/>
      </w:r>
      <w:r w:rsidRPr="00B53E31">
        <w:instrText xml:space="preserve"> REF _Ref524681905 \r \h  \* MERGEFORMAT </w:instrText>
      </w:r>
      <w:r w:rsidRPr="00B53E31">
        <w:fldChar w:fldCharType="separate"/>
      </w:r>
      <w:r>
        <w:t>A2.6</w:t>
      </w:r>
      <w:r w:rsidRPr="00B53E31">
        <w:fldChar w:fldCharType="end"/>
      </w:r>
      <w: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5AC55722" w14:textId="77777777" w:rsidR="00BC2F05" w:rsidRDefault="00772FB6" w:rsidP="00AB526F">
      <w: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FAC9A87" w14:textId="77777777" w:rsidR="00BC2F05" w:rsidRDefault="00772FB6" w:rsidP="00AB526F">
      <w:r w:rsidRPr="006D0500">
        <w:t xml:space="preserve">Application of </w:t>
      </w:r>
      <w:r>
        <w:t>G</w:t>
      </w:r>
      <w:r w:rsidRPr="006D0500">
        <w:t xml:space="preserve">roup policy involves identification of up to </w:t>
      </w:r>
      <w:r>
        <w:t>3</w:t>
      </w:r>
      <w:r w:rsidRPr="006D0500">
        <w:t xml:space="preserve"> species of each relevant group associated with the </w:t>
      </w:r>
      <w:r>
        <w:t>import</w:t>
      </w:r>
      <w:r w:rsidRPr="006D0500">
        <w:t xml:space="preserve"> pathway. 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p>
    <w:p w14:paraId="7BB10B73" w14:textId="77777777" w:rsidR="00BC2F05" w:rsidRDefault="00772FB6" w:rsidP="00BC2F05">
      <w:pPr>
        <w:pStyle w:val="Heading3-Appendix"/>
      </w:pPr>
      <w:bookmarkStart w:id="215" w:name="_Toc389741444"/>
      <w:bookmarkStart w:id="216" w:name="_Toc6906042"/>
      <w:r>
        <w:t>Stage 3: Pest risk management</w:t>
      </w:r>
      <w:bookmarkEnd w:id="215"/>
      <w:bookmarkEnd w:id="216"/>
    </w:p>
    <w:p w14:paraId="521135E2" w14:textId="77777777" w:rsidR="00BC2F05" w:rsidRDefault="00772FB6" w:rsidP="00AB526F">
      <w:r>
        <w:t>Pest risk management describes the process of identifying and implementing phytosanitary measures to manage risks to achieve the ALOP for Australia, while ensuring that any negative effects on trade are minimised.</w:t>
      </w:r>
    </w:p>
    <w:p w14:paraId="794D09B9" w14:textId="77777777" w:rsidR="00BC2F05" w:rsidRDefault="00772FB6" w:rsidP="00AB526F">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1B7AEA42" w14:textId="77777777" w:rsidR="00BC2F05" w:rsidRDefault="00772FB6" w:rsidP="00AB526F">
      <w:r>
        <w:lastRenderedPageBreak/>
        <w:t xml:space="preserve">ISPM 11 </w:t>
      </w:r>
      <w:r>
        <w:rPr>
          <w:noProof/>
        </w:rPr>
        <w:t>(FAO 2019b)</w:t>
      </w:r>
      <w:r>
        <w:t xml:space="preserve"> provides details on the identification and selection of appropriate risk management options and notes that the choice of measures should be based on their effectiveness in reducing the likelihood of entry of the pest.</w:t>
      </w:r>
    </w:p>
    <w:p w14:paraId="557996C1" w14:textId="77777777" w:rsidR="00BC2F05" w:rsidRDefault="00772FB6" w:rsidP="00AB526F">
      <w:r>
        <w:t>Examples given of measures commonly applied to traded commodities include:</w:t>
      </w:r>
    </w:p>
    <w:p w14:paraId="34994D78" w14:textId="77777777" w:rsidR="00BC2F05" w:rsidRDefault="00772FB6" w:rsidP="00BC2F05">
      <w:pPr>
        <w:pStyle w:val="ListBullet"/>
        <w:jc w:val="both"/>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783DC8E3" w14:textId="77777777" w:rsidR="00BC2F05" w:rsidRDefault="00772FB6" w:rsidP="00BC2F05">
      <w:pPr>
        <w:pStyle w:val="ListBullet"/>
        <w:jc w:val="both"/>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75509390" w14:textId="77777777" w:rsidR="00BC2F05" w:rsidRDefault="00772FB6" w:rsidP="00BC2F05">
      <w:pPr>
        <w:pStyle w:val="ListBullet"/>
        <w:jc w:val="both"/>
      </w:pPr>
      <w:r>
        <w:t>options ensuring that the area, place or site of production or crop is free from the pest—for example, pest-free area, pest-free place of production or pest-free production site</w:t>
      </w:r>
    </w:p>
    <w:p w14:paraId="2F39F91E" w14:textId="77777777" w:rsidR="00BC2F05" w:rsidRDefault="00772FB6" w:rsidP="00BC2F05">
      <w:pPr>
        <w:pStyle w:val="ListBullet"/>
        <w:jc w:val="both"/>
      </w:pPr>
      <w:r>
        <w:t xml:space="preserve">options for other types of pathways—for example, consider natural spread, measures for human travellers and their baggage, </w:t>
      </w:r>
      <w:proofErr w:type="gramStart"/>
      <w:r>
        <w:t>cleaning</w:t>
      </w:r>
      <w:proofErr w:type="gramEnd"/>
      <w:r>
        <w:t xml:space="preserve"> or disinfestations of contaminated machinery</w:t>
      </w:r>
    </w:p>
    <w:p w14:paraId="5E16CCD6" w14:textId="77777777" w:rsidR="00BC2F05" w:rsidRDefault="00772FB6" w:rsidP="00BC2F05">
      <w:pPr>
        <w:pStyle w:val="ListBullet"/>
        <w:jc w:val="both"/>
      </w:pPr>
      <w:r>
        <w:t>options within the importing country—for example, surveillance and eradication programs</w:t>
      </w:r>
    </w:p>
    <w:p w14:paraId="2BBD1EE3" w14:textId="77777777" w:rsidR="00BC2F05" w:rsidRDefault="00772FB6" w:rsidP="00BC2F05">
      <w:pPr>
        <w:pStyle w:val="ListBullet"/>
        <w:jc w:val="both"/>
        <w:sectPr w:rsidR="00BC2F05" w:rsidSect="00976665">
          <w:headerReference w:type="default" r:id="rId89"/>
          <w:footerReference w:type="default" r:id="rId90"/>
          <w:pgSz w:w="11906" w:h="16838"/>
          <w:pgMar w:top="1418" w:right="1418" w:bottom="1418" w:left="1418" w:header="567" w:footer="454" w:gutter="0"/>
          <w:cols w:space="708"/>
          <w:docGrid w:linePitch="360"/>
        </w:sectPr>
      </w:pPr>
      <w:r>
        <w:t>prohibition of commodities—if no satisfactory measure can be found.</w:t>
      </w:r>
    </w:p>
    <w:p w14:paraId="1156A895" w14:textId="77777777" w:rsidR="00BC2F05" w:rsidRPr="007157B8" w:rsidRDefault="00772FB6" w:rsidP="00867DCE">
      <w:pPr>
        <w:pStyle w:val="Heading2"/>
        <w:numPr>
          <w:ilvl w:val="0"/>
          <w:numId w:val="0"/>
        </w:numPr>
        <w:ind w:left="794" w:hanging="794"/>
      </w:pPr>
      <w:bookmarkStart w:id="217" w:name="_Toc119493116"/>
      <w:bookmarkEnd w:id="181"/>
      <w:r>
        <w:lastRenderedPageBreak/>
        <w:t xml:space="preserve">Appendix B: </w:t>
      </w:r>
      <w:r w:rsidRPr="007157B8">
        <w:t>Initiation and categorisation for pests of</w:t>
      </w:r>
      <w:r>
        <w:t xml:space="preserve"> dragon fruit</w:t>
      </w:r>
      <w:r w:rsidRPr="007157B8">
        <w:t xml:space="preserve"> from </w:t>
      </w:r>
      <w:r>
        <w:t>the Philippines</w:t>
      </w:r>
      <w:bookmarkEnd w:id="217"/>
    </w:p>
    <w:p w14:paraId="448E25DC" w14:textId="77777777" w:rsidR="00BC2F05" w:rsidRDefault="00772FB6" w:rsidP="00723CC8">
      <w:r>
        <w:t xml:space="preserve">The pest categorisation table does not represent a comprehensive list of all the pests associated with fresh commercially produced dragon fruit from the Philippines. Reference to soil-borne nematodes, soil-borne pathogens, wood-borer pests, root pests or pathogens, and secondary pests has not been made, as they are not directly related to the export pathway of fruit of </w:t>
      </w:r>
      <w:r w:rsidR="000C0A09">
        <w:fldChar w:fldCharType="begin" w:fldLock="1"/>
      </w:r>
      <w:r w:rsidR="000C0A09">
        <w:instrText xml:space="preserve"> REF  commodity \* Lower  \* MERGEFORMAT </w:instrText>
      </w:r>
      <w:r w:rsidR="000C0A09">
        <w:fldChar w:fldCharType="separate"/>
      </w:r>
      <w:r>
        <w:t>dragon fruit</w:t>
      </w:r>
      <w:r w:rsidR="000C0A09">
        <w:fldChar w:fldCharType="end"/>
      </w:r>
      <w:r>
        <w:t xml:space="preserve"> and would be addressed by Australia’s current approach to contaminating pests.</w:t>
      </w:r>
    </w:p>
    <w:p w14:paraId="1C4F3893" w14:textId="77777777" w:rsidR="00BC2F05" w:rsidRDefault="00772FB6" w:rsidP="00867DCE">
      <w:r>
        <w:t xml:space="preserve">The steps in the initiation and categorisation processes are considered sequentially, with the assessment terminating at ‘Yes’ for column 3 (except for pests that are present, but under official control and/or pests of regional concern), or at the first ‘No’ for columns 4, 5, 6 or 7. In the final column of the table (column 8) the acronyms ‘EP’, 'GP', and ‘RA’ are used. The acronym ‘EP’ (existing policy) is used for pests that have been assessed by Australia and for which a policy exists. The acronym 'GP' (Group policy) is used for pests that have been assessed by Australia in a Group policy. The acronym 'RA' (regulated article) is used for pests that are known to vector pathogens of biosecurity concern and are therefore regulated articles. </w:t>
      </w:r>
    </w:p>
    <w:p w14:paraId="263A161A" w14:textId="77777777" w:rsidR="00BC2F05" w:rsidRPr="00AB5D36" w:rsidRDefault="00772FB6" w:rsidP="00867DCE">
      <w:r>
        <w:t xml:space="preserve">The </w:t>
      </w:r>
      <w:r>
        <w:rPr>
          <w:i/>
        </w:rPr>
        <w:t xml:space="preserve">Final group pest risk analysis for thrips and </w:t>
      </w:r>
      <w:proofErr w:type="spellStart"/>
      <w:r>
        <w:rPr>
          <w:i/>
        </w:rPr>
        <w:t>orthotospoviruses</w:t>
      </w:r>
      <w:proofErr w:type="spellEnd"/>
      <w:r>
        <w:rPr>
          <w:i/>
        </w:rPr>
        <w:t xml:space="preserve"> on fresh fruit, vegetable, cut-</w:t>
      </w:r>
      <w:proofErr w:type="gramStart"/>
      <w:r>
        <w:rPr>
          <w:i/>
        </w:rPr>
        <w:t>flower</w:t>
      </w:r>
      <w:proofErr w:type="gramEnd"/>
      <w:r>
        <w:rPr>
          <w:i/>
        </w:rPr>
        <w:t xml:space="preserve"> and foliage imports</w:t>
      </w:r>
      <w:r>
        <w:t xml:space="preserve"> </w:t>
      </w:r>
      <w:r>
        <w:rPr>
          <w:noProof/>
        </w:rPr>
        <w:t>(DAWR 2017a)</w:t>
      </w:r>
      <w:r>
        <w:t xml:space="preserve">, the </w:t>
      </w:r>
      <w:r>
        <w:rPr>
          <w:i/>
        </w:rPr>
        <w:t xml:space="preserve">Final group pest risk analysis for mealybugs and the viruses they transmit on fresh fruit, vegetable, cut-flower and foliage imports </w:t>
      </w:r>
      <w:r>
        <w:rPr>
          <w:noProof/>
        </w:rPr>
        <w:t>(DAWR 2019)</w:t>
      </w:r>
      <w:r>
        <w:t xml:space="preserve"> and the </w:t>
      </w:r>
      <w:r w:rsidRPr="00F525F7">
        <w:rPr>
          <w:i/>
          <w:iCs/>
        </w:rPr>
        <w:t xml:space="preserve">Final group pest risk analysis for soft and hard scale insects on fresh fruit, vegetable, cut-flower and foliage imports </w:t>
      </w:r>
      <w:r>
        <w:rPr>
          <w:noProof/>
        </w:rPr>
        <w:t>(DAWE 2021)</w:t>
      </w:r>
      <w:r w:rsidRPr="00F525F7">
        <w:t xml:space="preserve"> </w:t>
      </w:r>
      <w:r>
        <w:t>have been applied in this risk analysis. Application of Group policy involves identification of up to 3 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1D6EADDA" w14:textId="77777777" w:rsidR="00BC2F05" w:rsidRDefault="00772FB6" w:rsidP="00867DCE">
      <w:r>
        <w:t>The department is aware of the recent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3A1045D5" w14:textId="77777777" w:rsidR="00BC2F05" w:rsidRDefault="00772FB6" w:rsidP="00867DCE">
      <w:pPr>
        <w:rPr>
          <w:color w:val="000000" w:themeColor="text1"/>
        </w:rPr>
      </w:pPr>
      <w:r>
        <w:t xml:space="preserve">A detailed description of the method used for a pest risk analysis is provided in </w:t>
      </w:r>
      <w:r w:rsidRPr="006D53AA">
        <w:rPr>
          <w:color w:val="000000" w:themeColor="text1"/>
        </w:rPr>
        <w:t>Appendix</w:t>
      </w:r>
      <w:r>
        <w:rPr>
          <w:color w:val="000000" w:themeColor="text1"/>
        </w:rPr>
        <w:t> </w:t>
      </w:r>
      <w:r w:rsidRPr="006D53AA">
        <w:rPr>
          <w:color w:val="000000" w:themeColor="text1"/>
        </w:rPr>
        <w:t>A.</w:t>
      </w:r>
    </w:p>
    <w:p w14:paraId="1D53DAB7" w14:textId="77777777" w:rsidR="00BC2F05" w:rsidRDefault="00BC2F05" w:rsidP="00867DCE"/>
    <w:p w14:paraId="34FA6C42" w14:textId="77777777" w:rsidR="00BC2F05" w:rsidRPr="0047313D" w:rsidRDefault="00BC2F05" w:rsidP="00867DCE">
      <w:pPr>
        <w:tabs>
          <w:tab w:val="left" w:pos="2019"/>
        </w:tabs>
        <w:sectPr w:rsidR="00BC2F05" w:rsidRPr="0047313D" w:rsidSect="00160AA8">
          <w:headerReference w:type="default" r:id="rId91"/>
          <w:footerReference w:type="default" r:id="rId92"/>
          <w:pgSz w:w="11906" w:h="16838" w:code="9"/>
          <w:pgMar w:top="1440" w:right="1361" w:bottom="1440" w:left="851" w:header="567" w:footer="454" w:gutter="567"/>
          <w:cols w:space="708"/>
          <w:docGrid w:linePitch="360"/>
        </w:sectPr>
      </w:pPr>
    </w:p>
    <w:tbl>
      <w:tblPr>
        <w:tblW w:w="14180" w:type="dxa"/>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2267"/>
        <w:gridCol w:w="1276"/>
        <w:gridCol w:w="1415"/>
        <w:gridCol w:w="1829"/>
        <w:gridCol w:w="2002"/>
        <w:gridCol w:w="1985"/>
        <w:gridCol w:w="1988"/>
        <w:gridCol w:w="1373"/>
        <w:gridCol w:w="45"/>
      </w:tblGrid>
      <w:tr w:rsidR="00C80041" w14:paraId="0BC97AB2" w14:textId="77777777" w:rsidTr="003754F5">
        <w:trPr>
          <w:cantSplit/>
          <w:tblHeader/>
          <w:jc w:val="center"/>
        </w:trPr>
        <w:tc>
          <w:tcPr>
            <w:tcW w:w="799" w:type="pct"/>
            <w:tcBorders>
              <w:top w:val="single" w:sz="4" w:space="0" w:color="auto"/>
              <w:bottom w:val="nil"/>
            </w:tcBorders>
            <w:shd w:val="clear" w:color="auto" w:fill="auto"/>
          </w:tcPr>
          <w:p w14:paraId="0617E849" w14:textId="77777777" w:rsidR="00BC2F05" w:rsidRPr="005A5F8E" w:rsidRDefault="00BC2F05" w:rsidP="00976665">
            <w:pPr>
              <w:pStyle w:val="TableHeading"/>
            </w:pPr>
          </w:p>
        </w:tc>
        <w:tc>
          <w:tcPr>
            <w:tcW w:w="450" w:type="pct"/>
            <w:tcBorders>
              <w:top w:val="single" w:sz="4" w:space="0" w:color="auto"/>
              <w:bottom w:val="nil"/>
            </w:tcBorders>
            <w:shd w:val="clear" w:color="auto" w:fill="auto"/>
          </w:tcPr>
          <w:p w14:paraId="5E36F6DC" w14:textId="77777777" w:rsidR="00BC2F05" w:rsidRDefault="00BC2F05" w:rsidP="00976665">
            <w:pPr>
              <w:pStyle w:val="TableHeading"/>
            </w:pPr>
          </w:p>
        </w:tc>
        <w:tc>
          <w:tcPr>
            <w:tcW w:w="499" w:type="pct"/>
            <w:tcBorders>
              <w:top w:val="single" w:sz="4" w:space="0" w:color="auto"/>
              <w:bottom w:val="nil"/>
            </w:tcBorders>
            <w:shd w:val="clear" w:color="auto" w:fill="auto"/>
          </w:tcPr>
          <w:p w14:paraId="7DA9348E" w14:textId="77777777" w:rsidR="00BC2F05" w:rsidRPr="005A5F8E" w:rsidRDefault="00BC2F05" w:rsidP="00976665">
            <w:pPr>
              <w:pStyle w:val="TableHeading"/>
            </w:pPr>
          </w:p>
        </w:tc>
        <w:tc>
          <w:tcPr>
            <w:tcW w:w="1351" w:type="pct"/>
            <w:gridSpan w:val="2"/>
            <w:tcBorders>
              <w:top w:val="single" w:sz="4" w:space="0" w:color="auto"/>
              <w:bottom w:val="single" w:sz="4" w:space="0" w:color="auto"/>
            </w:tcBorders>
            <w:shd w:val="clear" w:color="auto" w:fill="auto"/>
          </w:tcPr>
          <w:p w14:paraId="5F52153C" w14:textId="77777777" w:rsidR="00BC2F05" w:rsidRPr="005A5F8E" w:rsidRDefault="00772FB6" w:rsidP="00976665">
            <w:pPr>
              <w:pStyle w:val="TableHeading"/>
              <w:jc w:val="center"/>
            </w:pPr>
            <w:r>
              <w:t>Potential to enter on pathway</w:t>
            </w:r>
          </w:p>
        </w:tc>
        <w:tc>
          <w:tcPr>
            <w:tcW w:w="700" w:type="pct"/>
            <w:tcBorders>
              <w:top w:val="single" w:sz="4" w:space="0" w:color="auto"/>
              <w:bottom w:val="nil"/>
            </w:tcBorders>
            <w:shd w:val="clear" w:color="auto" w:fill="auto"/>
          </w:tcPr>
          <w:p w14:paraId="6B057D21" w14:textId="77777777" w:rsidR="00BC2F05" w:rsidRPr="005A5F8E" w:rsidRDefault="00BC2F05" w:rsidP="00976665">
            <w:pPr>
              <w:pStyle w:val="TableHeading"/>
            </w:pPr>
          </w:p>
        </w:tc>
        <w:tc>
          <w:tcPr>
            <w:tcW w:w="701" w:type="pct"/>
            <w:tcBorders>
              <w:top w:val="single" w:sz="4" w:space="0" w:color="auto"/>
              <w:bottom w:val="nil"/>
            </w:tcBorders>
            <w:shd w:val="clear" w:color="auto" w:fill="auto"/>
          </w:tcPr>
          <w:p w14:paraId="4C9E4F20" w14:textId="77777777" w:rsidR="00BC2F05" w:rsidRPr="005A5F8E" w:rsidRDefault="00BC2F05" w:rsidP="00976665">
            <w:pPr>
              <w:pStyle w:val="TableHeading"/>
            </w:pPr>
          </w:p>
        </w:tc>
        <w:tc>
          <w:tcPr>
            <w:tcW w:w="500" w:type="pct"/>
            <w:gridSpan w:val="2"/>
            <w:tcBorders>
              <w:top w:val="single" w:sz="4" w:space="0" w:color="auto"/>
              <w:bottom w:val="nil"/>
            </w:tcBorders>
            <w:shd w:val="clear" w:color="auto" w:fill="auto"/>
          </w:tcPr>
          <w:p w14:paraId="704E6D71" w14:textId="77777777" w:rsidR="00BC2F05" w:rsidRPr="005A5F8E" w:rsidRDefault="00BC2F05" w:rsidP="00976665">
            <w:pPr>
              <w:pStyle w:val="TableHeading"/>
            </w:pPr>
          </w:p>
        </w:tc>
      </w:tr>
      <w:tr w:rsidR="00C80041" w14:paraId="7695FE3C" w14:textId="77777777" w:rsidTr="003754F5">
        <w:trPr>
          <w:cantSplit/>
          <w:tblHeader/>
          <w:jc w:val="center"/>
        </w:trPr>
        <w:tc>
          <w:tcPr>
            <w:tcW w:w="799" w:type="pct"/>
            <w:tcBorders>
              <w:top w:val="nil"/>
              <w:bottom w:val="single" w:sz="4" w:space="0" w:color="auto"/>
            </w:tcBorders>
            <w:shd w:val="clear" w:color="auto" w:fill="auto"/>
          </w:tcPr>
          <w:p w14:paraId="4B74AED8" w14:textId="77777777" w:rsidR="00BC2F05" w:rsidRPr="005A5F8E" w:rsidRDefault="00772FB6" w:rsidP="00976665">
            <w:pPr>
              <w:pStyle w:val="TableHeading"/>
            </w:pPr>
            <w:r w:rsidRPr="005A5F8E">
              <w:t>Pest</w:t>
            </w:r>
          </w:p>
        </w:tc>
        <w:tc>
          <w:tcPr>
            <w:tcW w:w="450" w:type="pct"/>
            <w:tcBorders>
              <w:top w:val="nil"/>
              <w:bottom w:val="single" w:sz="4" w:space="0" w:color="auto"/>
            </w:tcBorders>
            <w:shd w:val="clear" w:color="auto" w:fill="auto"/>
          </w:tcPr>
          <w:p w14:paraId="56646670" w14:textId="77777777" w:rsidR="00BC2F05" w:rsidRPr="005A5F8E" w:rsidRDefault="00772FB6" w:rsidP="00976665">
            <w:pPr>
              <w:pStyle w:val="TableHeading"/>
            </w:pPr>
            <w:r>
              <w:t xml:space="preserve">Present in </w:t>
            </w:r>
            <w:fldSimple w:instr=" REF  Country  \* MERGEFORMAT " w:fldLock="1">
              <w:r w:rsidRPr="00AA08E0">
                <w:rPr>
                  <w:rStyle w:val="PlaceholderText"/>
                  <w:color w:val="000000" w:themeColor="text1"/>
                </w:rPr>
                <w:t>the</w:t>
              </w:r>
              <w:r>
                <w:t xml:space="preserve"> Philippines</w:t>
              </w:r>
            </w:fldSimple>
          </w:p>
        </w:tc>
        <w:tc>
          <w:tcPr>
            <w:tcW w:w="499" w:type="pct"/>
            <w:tcBorders>
              <w:top w:val="nil"/>
              <w:bottom w:val="single" w:sz="4" w:space="0" w:color="auto"/>
            </w:tcBorders>
            <w:shd w:val="clear" w:color="auto" w:fill="auto"/>
          </w:tcPr>
          <w:p w14:paraId="64BACBF3" w14:textId="77777777" w:rsidR="00BC2F05" w:rsidRPr="005A5F8E" w:rsidRDefault="00772FB6" w:rsidP="00976665">
            <w:pPr>
              <w:pStyle w:val="TableHeading"/>
            </w:pPr>
            <w:r w:rsidRPr="005A5F8E">
              <w:t>Present within Australia</w:t>
            </w:r>
          </w:p>
        </w:tc>
        <w:tc>
          <w:tcPr>
            <w:tcW w:w="645" w:type="pct"/>
            <w:tcBorders>
              <w:top w:val="single" w:sz="4" w:space="0" w:color="auto"/>
              <w:bottom w:val="single" w:sz="4" w:space="0" w:color="auto"/>
            </w:tcBorders>
            <w:shd w:val="clear" w:color="auto" w:fill="auto"/>
          </w:tcPr>
          <w:p w14:paraId="6D2F0D61" w14:textId="77777777" w:rsidR="00BC2F05" w:rsidRPr="005A5F8E" w:rsidRDefault="00772FB6" w:rsidP="00976665">
            <w:pPr>
              <w:pStyle w:val="TableHeading"/>
            </w:pPr>
            <w:r w:rsidRPr="005A5F8E">
              <w:t xml:space="preserve">Potential </w:t>
            </w:r>
            <w:r>
              <w:t>for importation</w:t>
            </w:r>
          </w:p>
        </w:tc>
        <w:tc>
          <w:tcPr>
            <w:tcW w:w="706" w:type="pct"/>
            <w:tcBorders>
              <w:top w:val="single" w:sz="4" w:space="0" w:color="auto"/>
              <w:bottom w:val="single" w:sz="4" w:space="0" w:color="auto"/>
            </w:tcBorders>
          </w:tcPr>
          <w:p w14:paraId="412135DA" w14:textId="77777777" w:rsidR="00BC2F05" w:rsidRDefault="00772FB6" w:rsidP="00976665">
            <w:pPr>
              <w:pStyle w:val="TableHeading"/>
            </w:pPr>
            <w:r w:rsidRPr="005A5F8E">
              <w:t xml:space="preserve">Potential </w:t>
            </w:r>
            <w:r>
              <w:t>for distribution</w:t>
            </w:r>
          </w:p>
        </w:tc>
        <w:tc>
          <w:tcPr>
            <w:tcW w:w="700" w:type="pct"/>
            <w:tcBorders>
              <w:top w:val="nil"/>
              <w:bottom w:val="single" w:sz="4" w:space="0" w:color="auto"/>
            </w:tcBorders>
            <w:shd w:val="clear" w:color="auto" w:fill="auto"/>
          </w:tcPr>
          <w:p w14:paraId="321BD087" w14:textId="77777777" w:rsidR="00BC2F05" w:rsidRPr="005A5F8E" w:rsidRDefault="00772FB6" w:rsidP="00976665">
            <w:pPr>
              <w:pStyle w:val="TableHeading"/>
            </w:pPr>
            <w:r w:rsidRPr="005A5F8E">
              <w:t>Potential for establishment and spread</w:t>
            </w:r>
          </w:p>
        </w:tc>
        <w:tc>
          <w:tcPr>
            <w:tcW w:w="701" w:type="pct"/>
            <w:tcBorders>
              <w:top w:val="nil"/>
              <w:bottom w:val="single" w:sz="4" w:space="0" w:color="auto"/>
            </w:tcBorders>
            <w:shd w:val="clear" w:color="auto" w:fill="auto"/>
          </w:tcPr>
          <w:p w14:paraId="701B86D5" w14:textId="77777777" w:rsidR="00BC2F05" w:rsidRPr="005A5F8E" w:rsidRDefault="00772FB6" w:rsidP="00976665">
            <w:pPr>
              <w:pStyle w:val="TableHeading"/>
            </w:pPr>
            <w:r w:rsidRPr="005A5F8E">
              <w:t>Potential for economic consequences</w:t>
            </w:r>
          </w:p>
        </w:tc>
        <w:tc>
          <w:tcPr>
            <w:tcW w:w="500" w:type="pct"/>
            <w:gridSpan w:val="2"/>
            <w:tcBorders>
              <w:top w:val="nil"/>
              <w:bottom w:val="single" w:sz="4" w:space="0" w:color="auto"/>
            </w:tcBorders>
            <w:shd w:val="clear" w:color="auto" w:fill="auto"/>
          </w:tcPr>
          <w:p w14:paraId="6B1097A1" w14:textId="77777777" w:rsidR="00BC2F05" w:rsidRPr="005A5F8E" w:rsidRDefault="00772FB6" w:rsidP="00976665">
            <w:pPr>
              <w:pStyle w:val="TableHeading"/>
            </w:pPr>
            <w:r w:rsidRPr="005A5F8E">
              <w:t>Pest risk assessment required</w:t>
            </w:r>
          </w:p>
        </w:tc>
      </w:tr>
      <w:tr w:rsidR="00C80041" w14:paraId="0149C994" w14:textId="77777777" w:rsidTr="003754F5">
        <w:trPr>
          <w:cantSplit/>
          <w:trHeight w:val="75"/>
          <w:jc w:val="center"/>
        </w:trPr>
        <w:tc>
          <w:tcPr>
            <w:tcW w:w="799" w:type="pct"/>
            <w:tcBorders>
              <w:top w:val="single" w:sz="4" w:space="0" w:color="auto"/>
            </w:tcBorders>
            <w:shd w:val="clear" w:color="auto" w:fill="auto"/>
          </w:tcPr>
          <w:p w14:paraId="734742A6" w14:textId="77777777" w:rsidR="00BC2F05" w:rsidRPr="00BB5D4F" w:rsidRDefault="00772FB6" w:rsidP="00976665">
            <w:pPr>
              <w:pStyle w:val="TableText"/>
              <w:rPr>
                <w:b/>
                <w:bCs/>
                <w:iCs/>
                <w:color w:val="000000" w:themeColor="text1"/>
                <w:lang w:val="pt-BR"/>
              </w:rPr>
            </w:pPr>
            <w:r>
              <w:rPr>
                <w:b/>
                <w:bCs/>
                <w:iCs/>
                <w:color w:val="000000" w:themeColor="text1"/>
                <w:lang w:val="pt-BR"/>
              </w:rPr>
              <w:t>ARTHROPODS</w:t>
            </w:r>
          </w:p>
        </w:tc>
        <w:tc>
          <w:tcPr>
            <w:tcW w:w="450" w:type="pct"/>
            <w:tcBorders>
              <w:top w:val="single" w:sz="4" w:space="0" w:color="auto"/>
            </w:tcBorders>
            <w:shd w:val="clear" w:color="auto" w:fill="auto"/>
          </w:tcPr>
          <w:p w14:paraId="0FD4C814" w14:textId="77777777" w:rsidR="00BC2F05" w:rsidRDefault="00BC2F05" w:rsidP="00976665">
            <w:pPr>
              <w:pStyle w:val="TableText"/>
              <w:rPr>
                <w:lang w:val="pt-BR"/>
              </w:rPr>
            </w:pPr>
          </w:p>
        </w:tc>
        <w:tc>
          <w:tcPr>
            <w:tcW w:w="499" w:type="pct"/>
            <w:tcBorders>
              <w:top w:val="single" w:sz="4" w:space="0" w:color="auto"/>
            </w:tcBorders>
            <w:shd w:val="clear" w:color="auto" w:fill="auto"/>
          </w:tcPr>
          <w:p w14:paraId="710C5EC9" w14:textId="77777777" w:rsidR="00BC2F05" w:rsidRDefault="00BC2F05" w:rsidP="00976665">
            <w:pPr>
              <w:pStyle w:val="TableText"/>
              <w:rPr>
                <w:szCs w:val="16"/>
              </w:rPr>
            </w:pPr>
          </w:p>
        </w:tc>
        <w:tc>
          <w:tcPr>
            <w:tcW w:w="645" w:type="pct"/>
            <w:tcBorders>
              <w:top w:val="single" w:sz="4" w:space="0" w:color="auto"/>
            </w:tcBorders>
            <w:shd w:val="clear" w:color="auto" w:fill="auto"/>
          </w:tcPr>
          <w:p w14:paraId="029D35B7" w14:textId="77777777" w:rsidR="00BC2F05" w:rsidRDefault="00BC2F05" w:rsidP="00976665">
            <w:pPr>
              <w:pStyle w:val="TableText"/>
            </w:pPr>
          </w:p>
        </w:tc>
        <w:tc>
          <w:tcPr>
            <w:tcW w:w="706" w:type="pct"/>
            <w:tcBorders>
              <w:top w:val="single" w:sz="4" w:space="0" w:color="auto"/>
            </w:tcBorders>
          </w:tcPr>
          <w:p w14:paraId="64226826" w14:textId="77777777" w:rsidR="00BC2F05" w:rsidRDefault="00BC2F05" w:rsidP="00976665">
            <w:pPr>
              <w:pStyle w:val="TableText"/>
            </w:pPr>
          </w:p>
        </w:tc>
        <w:tc>
          <w:tcPr>
            <w:tcW w:w="700" w:type="pct"/>
            <w:tcBorders>
              <w:top w:val="single" w:sz="4" w:space="0" w:color="auto"/>
            </w:tcBorders>
            <w:shd w:val="clear" w:color="auto" w:fill="auto"/>
          </w:tcPr>
          <w:p w14:paraId="17025C44" w14:textId="77777777" w:rsidR="00BC2F05" w:rsidRDefault="00BC2F05" w:rsidP="00976665">
            <w:pPr>
              <w:pStyle w:val="TableText"/>
            </w:pPr>
          </w:p>
        </w:tc>
        <w:tc>
          <w:tcPr>
            <w:tcW w:w="701" w:type="pct"/>
            <w:tcBorders>
              <w:top w:val="single" w:sz="4" w:space="0" w:color="auto"/>
            </w:tcBorders>
            <w:shd w:val="clear" w:color="auto" w:fill="auto"/>
          </w:tcPr>
          <w:p w14:paraId="509A5ABE" w14:textId="77777777" w:rsidR="00BC2F05" w:rsidRDefault="00BC2F05" w:rsidP="00976665">
            <w:pPr>
              <w:pStyle w:val="TableText"/>
            </w:pPr>
          </w:p>
        </w:tc>
        <w:tc>
          <w:tcPr>
            <w:tcW w:w="500" w:type="pct"/>
            <w:gridSpan w:val="2"/>
            <w:tcBorders>
              <w:top w:val="single" w:sz="4" w:space="0" w:color="auto"/>
            </w:tcBorders>
            <w:shd w:val="clear" w:color="auto" w:fill="auto"/>
          </w:tcPr>
          <w:p w14:paraId="4C981426" w14:textId="77777777" w:rsidR="00BC2F05" w:rsidRDefault="00BC2F05" w:rsidP="00976665">
            <w:pPr>
              <w:pStyle w:val="TableText"/>
            </w:pPr>
          </w:p>
        </w:tc>
      </w:tr>
      <w:tr w:rsidR="00C80041" w14:paraId="7A1695F8" w14:textId="77777777" w:rsidTr="003754F5">
        <w:trPr>
          <w:cantSplit/>
          <w:trHeight w:val="75"/>
          <w:jc w:val="center"/>
        </w:trPr>
        <w:tc>
          <w:tcPr>
            <w:tcW w:w="799" w:type="pct"/>
            <w:shd w:val="clear" w:color="auto" w:fill="auto"/>
          </w:tcPr>
          <w:p w14:paraId="06C6E918" w14:textId="77777777" w:rsidR="00BC2F05" w:rsidRDefault="00772FB6" w:rsidP="00976665">
            <w:pPr>
              <w:pStyle w:val="TableText"/>
              <w:rPr>
                <w:b/>
                <w:color w:val="000000" w:themeColor="text1"/>
              </w:rPr>
            </w:pPr>
            <w:r>
              <w:rPr>
                <w:b/>
                <w:color w:val="000000" w:themeColor="text1"/>
              </w:rPr>
              <w:t>Coleoptera</w:t>
            </w:r>
          </w:p>
        </w:tc>
        <w:tc>
          <w:tcPr>
            <w:tcW w:w="450" w:type="pct"/>
            <w:shd w:val="clear" w:color="auto" w:fill="auto"/>
          </w:tcPr>
          <w:p w14:paraId="17E8E549" w14:textId="77777777" w:rsidR="00BC2F05" w:rsidRDefault="00BC2F05" w:rsidP="00976665">
            <w:pPr>
              <w:pStyle w:val="TableText"/>
              <w:rPr>
                <w:lang w:val="pt-BR"/>
              </w:rPr>
            </w:pPr>
          </w:p>
        </w:tc>
        <w:tc>
          <w:tcPr>
            <w:tcW w:w="499" w:type="pct"/>
            <w:shd w:val="clear" w:color="auto" w:fill="auto"/>
          </w:tcPr>
          <w:p w14:paraId="5CB0DCE6" w14:textId="77777777" w:rsidR="00BC2F05" w:rsidRDefault="00BC2F05" w:rsidP="00976665">
            <w:pPr>
              <w:pStyle w:val="TableText"/>
              <w:rPr>
                <w:szCs w:val="16"/>
              </w:rPr>
            </w:pPr>
          </w:p>
        </w:tc>
        <w:tc>
          <w:tcPr>
            <w:tcW w:w="645" w:type="pct"/>
            <w:shd w:val="clear" w:color="auto" w:fill="auto"/>
          </w:tcPr>
          <w:p w14:paraId="08174EAB" w14:textId="77777777" w:rsidR="00BC2F05" w:rsidRDefault="00BC2F05" w:rsidP="00976665">
            <w:pPr>
              <w:pStyle w:val="TableText"/>
            </w:pPr>
          </w:p>
        </w:tc>
        <w:tc>
          <w:tcPr>
            <w:tcW w:w="706" w:type="pct"/>
          </w:tcPr>
          <w:p w14:paraId="0131AF85" w14:textId="77777777" w:rsidR="00BC2F05" w:rsidRDefault="00BC2F05" w:rsidP="00976665">
            <w:pPr>
              <w:pStyle w:val="TableText"/>
            </w:pPr>
          </w:p>
        </w:tc>
        <w:tc>
          <w:tcPr>
            <w:tcW w:w="700" w:type="pct"/>
            <w:shd w:val="clear" w:color="auto" w:fill="auto"/>
          </w:tcPr>
          <w:p w14:paraId="6A273A09" w14:textId="77777777" w:rsidR="00BC2F05" w:rsidRDefault="00BC2F05" w:rsidP="00976665">
            <w:pPr>
              <w:pStyle w:val="TableText"/>
            </w:pPr>
          </w:p>
        </w:tc>
        <w:tc>
          <w:tcPr>
            <w:tcW w:w="701" w:type="pct"/>
            <w:shd w:val="clear" w:color="auto" w:fill="auto"/>
          </w:tcPr>
          <w:p w14:paraId="7DEA585D" w14:textId="77777777" w:rsidR="00BC2F05" w:rsidRDefault="00BC2F05" w:rsidP="00976665">
            <w:pPr>
              <w:pStyle w:val="TableText"/>
            </w:pPr>
          </w:p>
        </w:tc>
        <w:tc>
          <w:tcPr>
            <w:tcW w:w="500" w:type="pct"/>
            <w:gridSpan w:val="2"/>
            <w:shd w:val="clear" w:color="auto" w:fill="auto"/>
          </w:tcPr>
          <w:p w14:paraId="224CDF13" w14:textId="77777777" w:rsidR="00BC2F05" w:rsidRDefault="00BC2F05" w:rsidP="00976665">
            <w:pPr>
              <w:pStyle w:val="TableText"/>
            </w:pPr>
          </w:p>
        </w:tc>
      </w:tr>
      <w:tr w:rsidR="00C80041" w14:paraId="56ECE764" w14:textId="77777777" w:rsidTr="003754F5">
        <w:trPr>
          <w:trHeight w:val="75"/>
          <w:jc w:val="center"/>
        </w:trPr>
        <w:tc>
          <w:tcPr>
            <w:tcW w:w="799" w:type="pct"/>
            <w:shd w:val="clear" w:color="auto" w:fill="auto"/>
          </w:tcPr>
          <w:p w14:paraId="4F844287" w14:textId="77777777" w:rsidR="00BC2F05" w:rsidRPr="00631493" w:rsidRDefault="00772FB6" w:rsidP="00976665">
            <w:pPr>
              <w:pStyle w:val="TableText"/>
              <w:rPr>
                <w:color w:val="000000" w:themeColor="text1"/>
                <w:lang w:val="pt-BR"/>
              </w:rPr>
            </w:pPr>
            <w:r>
              <w:rPr>
                <w:i/>
                <w:lang w:val="pt-BR"/>
              </w:rPr>
              <w:t xml:space="preserve">Araecerus fasciculatus </w:t>
            </w:r>
            <w:r w:rsidRPr="002679A0">
              <w:rPr>
                <w:iCs/>
                <w:lang w:val="pt-BR"/>
              </w:rPr>
              <w:t>(</w:t>
            </w:r>
            <w:r>
              <w:rPr>
                <w:color w:val="000000" w:themeColor="text1"/>
                <w:lang w:val="pt-BR"/>
              </w:rPr>
              <w:t>De Geer, 1775)</w:t>
            </w:r>
          </w:p>
          <w:p w14:paraId="1FF92391" w14:textId="77777777" w:rsidR="00BC2F05" w:rsidRPr="00F508B9" w:rsidRDefault="00772FB6" w:rsidP="00976665">
            <w:pPr>
              <w:pStyle w:val="TableText"/>
              <w:rPr>
                <w:color w:val="000000" w:themeColor="text1"/>
                <w:lang w:val="pt-BR"/>
              </w:rPr>
            </w:pPr>
            <w:r>
              <w:rPr>
                <w:color w:val="000000" w:themeColor="text1"/>
                <w:lang w:val="pt-BR"/>
              </w:rPr>
              <w:t>[Anthribidae]</w:t>
            </w:r>
          </w:p>
          <w:p w14:paraId="33D62215" w14:textId="77777777" w:rsidR="00BC2F05" w:rsidRPr="00F508B9" w:rsidRDefault="00772FB6" w:rsidP="00976665">
            <w:pPr>
              <w:pStyle w:val="TableText"/>
              <w:rPr>
                <w:color w:val="000000" w:themeColor="text1"/>
                <w:lang w:val="pt-BR"/>
              </w:rPr>
            </w:pPr>
            <w:r>
              <w:rPr>
                <w:color w:val="000000" w:themeColor="text1"/>
                <w:lang w:val="pt-BR"/>
              </w:rPr>
              <w:t>Coffee bean weevil</w:t>
            </w:r>
          </w:p>
        </w:tc>
        <w:tc>
          <w:tcPr>
            <w:tcW w:w="450" w:type="pct"/>
            <w:shd w:val="clear" w:color="auto" w:fill="auto"/>
          </w:tcPr>
          <w:p w14:paraId="38E64025" w14:textId="77777777" w:rsidR="00BC2F05" w:rsidRPr="00BD681D" w:rsidRDefault="00772FB6" w:rsidP="00976665">
            <w:pPr>
              <w:pStyle w:val="TableText"/>
              <w:rPr>
                <w:lang w:val="pt-BR"/>
              </w:rPr>
            </w:pPr>
            <w:r>
              <w:rPr>
                <w:lang w:val="pt-BR"/>
              </w:rPr>
              <w:t xml:space="preserve">Yes </w:t>
            </w:r>
            <w:r>
              <w:rPr>
                <w:noProof/>
                <w:lang w:val="pt-BR"/>
              </w:rPr>
              <w:t>(Pascua, Pascua &amp; Gabriel 2015)</w:t>
            </w:r>
          </w:p>
        </w:tc>
        <w:tc>
          <w:tcPr>
            <w:tcW w:w="499" w:type="pct"/>
            <w:shd w:val="clear" w:color="auto" w:fill="auto"/>
          </w:tcPr>
          <w:p w14:paraId="74378DFA" w14:textId="77777777" w:rsidR="00BC2F05" w:rsidRPr="00BD681D" w:rsidRDefault="00772FB6" w:rsidP="00976665">
            <w:pPr>
              <w:pStyle w:val="TableText"/>
              <w:rPr>
                <w:szCs w:val="16"/>
              </w:rPr>
            </w:pPr>
            <w:r>
              <w:rPr>
                <w:szCs w:val="16"/>
              </w:rPr>
              <w:t xml:space="preserve">Yes. WA, NSW, Vic. </w:t>
            </w:r>
            <w:r>
              <w:rPr>
                <w:noProof/>
                <w:szCs w:val="16"/>
              </w:rPr>
              <w:t>(ABRS 2022; APPD 2022)</w:t>
            </w:r>
            <w:r w:rsidRPr="00D11818">
              <w:rPr>
                <w:szCs w:val="16"/>
              </w:rPr>
              <w:t xml:space="preserve"> </w:t>
            </w:r>
          </w:p>
        </w:tc>
        <w:tc>
          <w:tcPr>
            <w:tcW w:w="645" w:type="pct"/>
            <w:shd w:val="clear" w:color="auto" w:fill="auto"/>
          </w:tcPr>
          <w:p w14:paraId="124E950D" w14:textId="77777777" w:rsidR="00BC2F05" w:rsidRPr="00BD681D" w:rsidRDefault="00772FB6" w:rsidP="00976665">
            <w:pPr>
              <w:pStyle w:val="TableText"/>
            </w:pPr>
            <w:r>
              <w:t>Assessment not required</w:t>
            </w:r>
          </w:p>
        </w:tc>
        <w:tc>
          <w:tcPr>
            <w:tcW w:w="706" w:type="pct"/>
          </w:tcPr>
          <w:p w14:paraId="6BB8D67B" w14:textId="77777777" w:rsidR="00BC2F05" w:rsidRDefault="00772FB6" w:rsidP="00976665">
            <w:pPr>
              <w:pStyle w:val="TableText"/>
            </w:pPr>
            <w:r w:rsidRPr="00C52FBC">
              <w:t>Assessment not required</w:t>
            </w:r>
          </w:p>
        </w:tc>
        <w:tc>
          <w:tcPr>
            <w:tcW w:w="700" w:type="pct"/>
            <w:shd w:val="clear" w:color="auto" w:fill="auto"/>
          </w:tcPr>
          <w:p w14:paraId="2D0926D1" w14:textId="77777777" w:rsidR="00BC2F05" w:rsidRPr="00BD681D" w:rsidRDefault="00772FB6" w:rsidP="00976665">
            <w:pPr>
              <w:pStyle w:val="TableText"/>
            </w:pPr>
            <w:r w:rsidRPr="00C52FBC">
              <w:t>Assessment not required</w:t>
            </w:r>
          </w:p>
        </w:tc>
        <w:tc>
          <w:tcPr>
            <w:tcW w:w="701" w:type="pct"/>
            <w:shd w:val="clear" w:color="auto" w:fill="auto"/>
          </w:tcPr>
          <w:p w14:paraId="5322FCC3" w14:textId="77777777" w:rsidR="00BC2F05" w:rsidRPr="00BD681D" w:rsidRDefault="00772FB6" w:rsidP="00976665">
            <w:pPr>
              <w:pStyle w:val="TableText"/>
            </w:pPr>
            <w:r w:rsidRPr="00C52FBC">
              <w:t>Assessment not required</w:t>
            </w:r>
          </w:p>
        </w:tc>
        <w:tc>
          <w:tcPr>
            <w:tcW w:w="500" w:type="pct"/>
            <w:gridSpan w:val="2"/>
            <w:shd w:val="clear" w:color="auto" w:fill="auto"/>
          </w:tcPr>
          <w:p w14:paraId="0047A0B5" w14:textId="77777777" w:rsidR="00BC2F05" w:rsidRPr="00BD681D" w:rsidRDefault="00772FB6" w:rsidP="00976665">
            <w:pPr>
              <w:pStyle w:val="TableText"/>
            </w:pPr>
            <w:r>
              <w:t>No</w:t>
            </w:r>
          </w:p>
        </w:tc>
      </w:tr>
      <w:tr w:rsidR="00C80041" w14:paraId="125439F1" w14:textId="77777777" w:rsidTr="003754F5">
        <w:trPr>
          <w:trHeight w:val="75"/>
          <w:jc w:val="center"/>
        </w:trPr>
        <w:tc>
          <w:tcPr>
            <w:tcW w:w="799" w:type="pct"/>
            <w:shd w:val="clear" w:color="auto" w:fill="auto"/>
          </w:tcPr>
          <w:p w14:paraId="5975C48A" w14:textId="77777777" w:rsidR="00BC2F05" w:rsidRDefault="00772FB6" w:rsidP="00976665">
            <w:pPr>
              <w:pStyle w:val="TableText"/>
              <w:rPr>
                <w:color w:val="000000" w:themeColor="text1"/>
                <w:lang w:val="pt-BR"/>
              </w:rPr>
            </w:pPr>
            <w:r>
              <w:rPr>
                <w:i/>
                <w:lang w:val="pt-BR"/>
              </w:rPr>
              <w:t xml:space="preserve">Cheilomenes sexmaculata </w:t>
            </w:r>
            <w:r>
              <w:rPr>
                <w:color w:val="000000" w:themeColor="text1"/>
                <w:lang w:val="pt-BR"/>
              </w:rPr>
              <w:t>(Fabricius, 1781)</w:t>
            </w:r>
          </w:p>
          <w:p w14:paraId="1601C8DD" w14:textId="77777777" w:rsidR="00BC2F05" w:rsidRPr="00B106EF" w:rsidRDefault="00772FB6" w:rsidP="00976665">
            <w:pPr>
              <w:pStyle w:val="TableText"/>
              <w:rPr>
                <w:color w:val="000000" w:themeColor="text1"/>
              </w:rPr>
            </w:pPr>
            <w:r>
              <w:rPr>
                <w:color w:val="000000" w:themeColor="text1"/>
                <w:lang w:val="pt-BR"/>
              </w:rPr>
              <w:t xml:space="preserve">Synonym: </w:t>
            </w:r>
            <w:r w:rsidRPr="00CF682E">
              <w:rPr>
                <w:i/>
                <w:iCs/>
                <w:color w:val="000000" w:themeColor="text1"/>
                <w:lang w:val="pt-BR"/>
              </w:rPr>
              <w:t>Coccinella sexmaculata</w:t>
            </w:r>
            <w:r>
              <w:rPr>
                <w:color w:val="000000" w:themeColor="text1"/>
                <w:lang w:val="pt-BR"/>
              </w:rPr>
              <w:t xml:space="preserve"> Fabricius, 1781</w:t>
            </w:r>
          </w:p>
          <w:p w14:paraId="5D837AE2" w14:textId="77777777" w:rsidR="00BC2F05" w:rsidRPr="00F508B9" w:rsidRDefault="00772FB6" w:rsidP="00976665">
            <w:pPr>
              <w:pStyle w:val="TableText"/>
              <w:rPr>
                <w:color w:val="000000" w:themeColor="text1"/>
                <w:lang w:val="pt-BR"/>
              </w:rPr>
            </w:pPr>
            <w:r>
              <w:rPr>
                <w:color w:val="000000" w:themeColor="text1"/>
                <w:lang w:val="pt-BR"/>
              </w:rPr>
              <w:t>[Coccinellidae]</w:t>
            </w:r>
          </w:p>
        </w:tc>
        <w:tc>
          <w:tcPr>
            <w:tcW w:w="450" w:type="pct"/>
            <w:shd w:val="clear" w:color="auto" w:fill="auto"/>
          </w:tcPr>
          <w:p w14:paraId="180E1D93" w14:textId="77777777" w:rsidR="00BC2F05" w:rsidRPr="00BD681D" w:rsidRDefault="00772FB6" w:rsidP="00976665">
            <w:pPr>
              <w:pStyle w:val="TableText"/>
              <w:rPr>
                <w:lang w:val="pt-BR"/>
              </w:rPr>
            </w:pPr>
            <w:r>
              <w:rPr>
                <w:lang w:val="pt-BR"/>
              </w:rPr>
              <w:t xml:space="preserve">Yes </w:t>
            </w:r>
            <w:r>
              <w:rPr>
                <w:noProof/>
                <w:lang w:val="pt-BR"/>
              </w:rPr>
              <w:t>(Estigoy &amp; Estigoy 2015)</w:t>
            </w:r>
          </w:p>
        </w:tc>
        <w:tc>
          <w:tcPr>
            <w:tcW w:w="499" w:type="pct"/>
            <w:shd w:val="clear" w:color="auto" w:fill="auto"/>
          </w:tcPr>
          <w:p w14:paraId="70915256" w14:textId="77777777" w:rsidR="00BC2F05" w:rsidRPr="00BD681D" w:rsidRDefault="00772FB6" w:rsidP="00976665">
            <w:pPr>
              <w:pStyle w:val="TableText"/>
              <w:rPr>
                <w:szCs w:val="16"/>
              </w:rPr>
            </w:pPr>
            <w:r>
              <w:rPr>
                <w:szCs w:val="16"/>
              </w:rPr>
              <w:t xml:space="preserve">Yes. NT, WA </w:t>
            </w:r>
            <w:r>
              <w:rPr>
                <w:noProof/>
                <w:szCs w:val="16"/>
              </w:rPr>
              <w:t>(ABRS 2022)</w:t>
            </w:r>
          </w:p>
        </w:tc>
        <w:tc>
          <w:tcPr>
            <w:tcW w:w="645" w:type="pct"/>
            <w:shd w:val="clear" w:color="auto" w:fill="auto"/>
          </w:tcPr>
          <w:p w14:paraId="1210A774" w14:textId="77777777" w:rsidR="00BC2F05" w:rsidRPr="00BD681D" w:rsidRDefault="00772FB6" w:rsidP="00976665">
            <w:pPr>
              <w:pStyle w:val="TableText"/>
            </w:pPr>
            <w:r w:rsidRPr="00D00960">
              <w:t>Assessment not required</w:t>
            </w:r>
          </w:p>
        </w:tc>
        <w:tc>
          <w:tcPr>
            <w:tcW w:w="706" w:type="pct"/>
            <w:shd w:val="clear" w:color="auto" w:fill="auto"/>
          </w:tcPr>
          <w:p w14:paraId="23F4CA82" w14:textId="77777777" w:rsidR="00BC2F05" w:rsidRDefault="00772FB6" w:rsidP="00976665">
            <w:pPr>
              <w:pStyle w:val="TableText"/>
            </w:pPr>
            <w:r w:rsidRPr="00D00960">
              <w:t>Assessment not required</w:t>
            </w:r>
          </w:p>
        </w:tc>
        <w:tc>
          <w:tcPr>
            <w:tcW w:w="700" w:type="pct"/>
            <w:shd w:val="clear" w:color="auto" w:fill="auto"/>
          </w:tcPr>
          <w:p w14:paraId="0109AE01" w14:textId="77777777" w:rsidR="00BC2F05" w:rsidRPr="00BD681D" w:rsidRDefault="00772FB6" w:rsidP="00976665">
            <w:pPr>
              <w:pStyle w:val="TableText"/>
            </w:pPr>
            <w:r w:rsidRPr="00D00960">
              <w:t>Assessment not required</w:t>
            </w:r>
          </w:p>
        </w:tc>
        <w:tc>
          <w:tcPr>
            <w:tcW w:w="701" w:type="pct"/>
            <w:shd w:val="clear" w:color="auto" w:fill="auto"/>
          </w:tcPr>
          <w:p w14:paraId="6B65087E" w14:textId="77777777" w:rsidR="00BC2F05" w:rsidRPr="00BD681D" w:rsidRDefault="00772FB6" w:rsidP="00976665">
            <w:pPr>
              <w:pStyle w:val="TableText"/>
            </w:pPr>
            <w:r w:rsidRPr="00D00960">
              <w:t>Assessment not required</w:t>
            </w:r>
          </w:p>
        </w:tc>
        <w:tc>
          <w:tcPr>
            <w:tcW w:w="500" w:type="pct"/>
            <w:gridSpan w:val="2"/>
            <w:shd w:val="clear" w:color="auto" w:fill="auto"/>
          </w:tcPr>
          <w:p w14:paraId="1E03C974" w14:textId="77777777" w:rsidR="00BC2F05" w:rsidRPr="00BD681D" w:rsidRDefault="00772FB6" w:rsidP="00976665">
            <w:pPr>
              <w:pStyle w:val="TableText"/>
            </w:pPr>
            <w:r>
              <w:t>No</w:t>
            </w:r>
          </w:p>
        </w:tc>
      </w:tr>
      <w:tr w:rsidR="00C80041" w14:paraId="2E74D71A" w14:textId="77777777" w:rsidTr="003754F5">
        <w:trPr>
          <w:trHeight w:val="75"/>
          <w:jc w:val="center"/>
        </w:trPr>
        <w:tc>
          <w:tcPr>
            <w:tcW w:w="799" w:type="pct"/>
            <w:shd w:val="clear" w:color="auto" w:fill="auto"/>
          </w:tcPr>
          <w:p w14:paraId="443F7B03" w14:textId="77777777" w:rsidR="00BC2F05" w:rsidRPr="00631493" w:rsidRDefault="00772FB6" w:rsidP="00976665">
            <w:pPr>
              <w:pStyle w:val="TableText"/>
              <w:rPr>
                <w:color w:val="000000" w:themeColor="text1"/>
                <w:lang w:val="pt-BR"/>
              </w:rPr>
            </w:pPr>
            <w:r>
              <w:rPr>
                <w:i/>
                <w:lang w:val="pt-BR"/>
              </w:rPr>
              <w:t xml:space="preserve">Protaetia fusca </w:t>
            </w:r>
            <w:r>
              <w:rPr>
                <w:color w:val="000000" w:themeColor="text1"/>
                <w:lang w:val="pt-BR"/>
              </w:rPr>
              <w:t>(Herbst, 1790)</w:t>
            </w:r>
          </w:p>
          <w:p w14:paraId="525EFF3A" w14:textId="77777777" w:rsidR="00BC2F05" w:rsidRPr="00F508B9" w:rsidRDefault="00772FB6" w:rsidP="00976665">
            <w:pPr>
              <w:pStyle w:val="TableText"/>
              <w:rPr>
                <w:color w:val="000000" w:themeColor="text1"/>
                <w:lang w:val="pt-BR"/>
              </w:rPr>
            </w:pPr>
            <w:r>
              <w:rPr>
                <w:color w:val="000000" w:themeColor="text1"/>
                <w:lang w:val="pt-BR"/>
              </w:rPr>
              <w:t>[Scarabaeidae]</w:t>
            </w:r>
          </w:p>
          <w:p w14:paraId="21722572" w14:textId="77777777" w:rsidR="00BC2F05" w:rsidRPr="00F508B9" w:rsidRDefault="00772FB6" w:rsidP="00976665">
            <w:pPr>
              <w:pStyle w:val="TableText"/>
              <w:rPr>
                <w:color w:val="000000" w:themeColor="text1"/>
                <w:lang w:val="pt-BR"/>
              </w:rPr>
            </w:pPr>
            <w:r>
              <w:rPr>
                <w:color w:val="000000" w:themeColor="text1"/>
                <w:lang w:val="pt-BR"/>
              </w:rPr>
              <w:t>Mango flower beetle</w:t>
            </w:r>
          </w:p>
        </w:tc>
        <w:tc>
          <w:tcPr>
            <w:tcW w:w="450" w:type="pct"/>
            <w:shd w:val="clear" w:color="auto" w:fill="auto"/>
          </w:tcPr>
          <w:p w14:paraId="331343EE" w14:textId="77777777" w:rsidR="00BC2F05" w:rsidRPr="00BD681D" w:rsidRDefault="00772FB6" w:rsidP="00976665">
            <w:pPr>
              <w:pStyle w:val="TableText"/>
              <w:rPr>
                <w:lang w:val="pt-BR"/>
              </w:rPr>
            </w:pPr>
            <w:r>
              <w:rPr>
                <w:lang w:val="pt-BR"/>
              </w:rPr>
              <w:t xml:space="preserve">Yes </w:t>
            </w:r>
            <w:r>
              <w:rPr>
                <w:noProof/>
                <w:lang w:val="pt-BR"/>
              </w:rPr>
              <w:t>(Woodruff 2006)</w:t>
            </w:r>
          </w:p>
        </w:tc>
        <w:tc>
          <w:tcPr>
            <w:tcW w:w="499" w:type="pct"/>
            <w:shd w:val="clear" w:color="auto" w:fill="auto"/>
          </w:tcPr>
          <w:p w14:paraId="0521E02D" w14:textId="77777777" w:rsidR="00BC2F05" w:rsidRPr="00BD681D" w:rsidRDefault="00772FB6" w:rsidP="00976665">
            <w:pPr>
              <w:pStyle w:val="TableText"/>
              <w:rPr>
                <w:szCs w:val="16"/>
              </w:rPr>
            </w:pPr>
            <w:r>
              <w:rPr>
                <w:szCs w:val="16"/>
              </w:rPr>
              <w:t xml:space="preserve">Yes. NSW, NT, Qld, WA </w:t>
            </w:r>
            <w:r>
              <w:rPr>
                <w:noProof/>
                <w:szCs w:val="16"/>
              </w:rPr>
              <w:t>(APPD 2022)</w:t>
            </w:r>
          </w:p>
        </w:tc>
        <w:tc>
          <w:tcPr>
            <w:tcW w:w="645" w:type="pct"/>
            <w:shd w:val="clear" w:color="auto" w:fill="auto"/>
          </w:tcPr>
          <w:p w14:paraId="7FA1C23C" w14:textId="77777777" w:rsidR="00BC2F05" w:rsidRPr="00BD681D" w:rsidRDefault="00772FB6" w:rsidP="00976665">
            <w:pPr>
              <w:pStyle w:val="TableText"/>
            </w:pPr>
            <w:r w:rsidRPr="00180194">
              <w:t>Assessment not required</w:t>
            </w:r>
          </w:p>
        </w:tc>
        <w:tc>
          <w:tcPr>
            <w:tcW w:w="706" w:type="pct"/>
            <w:shd w:val="clear" w:color="auto" w:fill="auto"/>
          </w:tcPr>
          <w:p w14:paraId="7BA57838" w14:textId="77777777" w:rsidR="00BC2F05" w:rsidRDefault="00772FB6" w:rsidP="00976665">
            <w:pPr>
              <w:pStyle w:val="TableText"/>
            </w:pPr>
            <w:r w:rsidRPr="00180194">
              <w:t>Assessment not required</w:t>
            </w:r>
          </w:p>
        </w:tc>
        <w:tc>
          <w:tcPr>
            <w:tcW w:w="700" w:type="pct"/>
            <w:shd w:val="clear" w:color="auto" w:fill="auto"/>
          </w:tcPr>
          <w:p w14:paraId="16020970" w14:textId="77777777" w:rsidR="00BC2F05" w:rsidRPr="00BD681D" w:rsidRDefault="00772FB6" w:rsidP="00976665">
            <w:pPr>
              <w:pStyle w:val="TableText"/>
            </w:pPr>
            <w:r w:rsidRPr="00180194">
              <w:t>Assessment not required</w:t>
            </w:r>
          </w:p>
        </w:tc>
        <w:tc>
          <w:tcPr>
            <w:tcW w:w="701" w:type="pct"/>
            <w:shd w:val="clear" w:color="auto" w:fill="auto"/>
          </w:tcPr>
          <w:p w14:paraId="6730C25C" w14:textId="77777777" w:rsidR="00BC2F05" w:rsidRPr="00BD681D" w:rsidRDefault="00772FB6" w:rsidP="00976665">
            <w:pPr>
              <w:pStyle w:val="TableText"/>
            </w:pPr>
            <w:r w:rsidRPr="00180194">
              <w:t>Assessment not required</w:t>
            </w:r>
          </w:p>
        </w:tc>
        <w:tc>
          <w:tcPr>
            <w:tcW w:w="500" w:type="pct"/>
            <w:gridSpan w:val="2"/>
            <w:shd w:val="clear" w:color="auto" w:fill="auto"/>
          </w:tcPr>
          <w:p w14:paraId="549D37DC" w14:textId="77777777" w:rsidR="00BC2F05" w:rsidRPr="00BD681D" w:rsidRDefault="00772FB6" w:rsidP="00976665">
            <w:pPr>
              <w:pStyle w:val="TableText"/>
            </w:pPr>
            <w:r>
              <w:t>No</w:t>
            </w:r>
          </w:p>
        </w:tc>
      </w:tr>
      <w:tr w:rsidR="00C80041" w14:paraId="54D7517F" w14:textId="77777777" w:rsidTr="003754F5">
        <w:trPr>
          <w:trHeight w:val="75"/>
          <w:jc w:val="center"/>
        </w:trPr>
        <w:tc>
          <w:tcPr>
            <w:tcW w:w="799" w:type="pct"/>
            <w:shd w:val="clear" w:color="auto" w:fill="auto"/>
          </w:tcPr>
          <w:p w14:paraId="536CD4AA" w14:textId="77777777" w:rsidR="00BC2F05" w:rsidRDefault="00772FB6" w:rsidP="00976665">
            <w:pPr>
              <w:pStyle w:val="TableText"/>
              <w:rPr>
                <w:b/>
                <w:color w:val="000000" w:themeColor="text1"/>
              </w:rPr>
            </w:pPr>
            <w:r>
              <w:rPr>
                <w:b/>
                <w:color w:val="000000" w:themeColor="text1"/>
              </w:rPr>
              <w:t>Dermaptera</w:t>
            </w:r>
          </w:p>
        </w:tc>
        <w:tc>
          <w:tcPr>
            <w:tcW w:w="450" w:type="pct"/>
            <w:shd w:val="clear" w:color="auto" w:fill="auto"/>
          </w:tcPr>
          <w:p w14:paraId="11275DE5" w14:textId="77777777" w:rsidR="00BC2F05" w:rsidRDefault="00BC2F05" w:rsidP="00976665">
            <w:pPr>
              <w:pStyle w:val="TableText"/>
              <w:rPr>
                <w:lang w:val="pt-BR"/>
              </w:rPr>
            </w:pPr>
          </w:p>
        </w:tc>
        <w:tc>
          <w:tcPr>
            <w:tcW w:w="499" w:type="pct"/>
            <w:shd w:val="clear" w:color="auto" w:fill="auto"/>
          </w:tcPr>
          <w:p w14:paraId="2E49CF64" w14:textId="77777777" w:rsidR="00BC2F05" w:rsidRDefault="00BC2F05" w:rsidP="00976665">
            <w:pPr>
              <w:pStyle w:val="TableText"/>
              <w:rPr>
                <w:szCs w:val="16"/>
              </w:rPr>
            </w:pPr>
          </w:p>
        </w:tc>
        <w:tc>
          <w:tcPr>
            <w:tcW w:w="645" w:type="pct"/>
            <w:shd w:val="clear" w:color="auto" w:fill="auto"/>
          </w:tcPr>
          <w:p w14:paraId="60A607D1" w14:textId="77777777" w:rsidR="00BC2F05" w:rsidRDefault="00BC2F05" w:rsidP="00976665">
            <w:pPr>
              <w:pStyle w:val="TableText"/>
            </w:pPr>
          </w:p>
        </w:tc>
        <w:tc>
          <w:tcPr>
            <w:tcW w:w="706" w:type="pct"/>
            <w:shd w:val="clear" w:color="auto" w:fill="auto"/>
          </w:tcPr>
          <w:p w14:paraId="5C86CA9F" w14:textId="77777777" w:rsidR="00BC2F05" w:rsidRDefault="00BC2F05" w:rsidP="00976665">
            <w:pPr>
              <w:pStyle w:val="TableText"/>
            </w:pPr>
          </w:p>
        </w:tc>
        <w:tc>
          <w:tcPr>
            <w:tcW w:w="700" w:type="pct"/>
            <w:shd w:val="clear" w:color="auto" w:fill="auto"/>
          </w:tcPr>
          <w:p w14:paraId="3A180C9B" w14:textId="77777777" w:rsidR="00BC2F05" w:rsidRDefault="00BC2F05" w:rsidP="00976665">
            <w:pPr>
              <w:pStyle w:val="TableText"/>
            </w:pPr>
          </w:p>
        </w:tc>
        <w:tc>
          <w:tcPr>
            <w:tcW w:w="701" w:type="pct"/>
            <w:shd w:val="clear" w:color="auto" w:fill="auto"/>
          </w:tcPr>
          <w:p w14:paraId="47A85DCA" w14:textId="77777777" w:rsidR="00BC2F05" w:rsidRDefault="00BC2F05" w:rsidP="00976665">
            <w:pPr>
              <w:pStyle w:val="TableText"/>
            </w:pPr>
          </w:p>
        </w:tc>
        <w:tc>
          <w:tcPr>
            <w:tcW w:w="500" w:type="pct"/>
            <w:gridSpan w:val="2"/>
            <w:shd w:val="clear" w:color="auto" w:fill="auto"/>
          </w:tcPr>
          <w:p w14:paraId="2122F32A" w14:textId="77777777" w:rsidR="00BC2F05" w:rsidRDefault="00BC2F05" w:rsidP="00976665">
            <w:pPr>
              <w:pStyle w:val="TableText"/>
            </w:pPr>
          </w:p>
        </w:tc>
      </w:tr>
      <w:tr w:rsidR="00C80041" w14:paraId="21033A56" w14:textId="77777777" w:rsidTr="003754F5">
        <w:trPr>
          <w:trHeight w:val="75"/>
          <w:jc w:val="center"/>
        </w:trPr>
        <w:tc>
          <w:tcPr>
            <w:tcW w:w="799" w:type="pct"/>
            <w:shd w:val="clear" w:color="auto" w:fill="auto"/>
          </w:tcPr>
          <w:p w14:paraId="635E5AAA" w14:textId="77777777" w:rsidR="00BC2F05" w:rsidRPr="00631493" w:rsidRDefault="00772FB6" w:rsidP="00976665">
            <w:pPr>
              <w:pStyle w:val="TableText"/>
              <w:rPr>
                <w:color w:val="000000" w:themeColor="text1"/>
                <w:lang w:val="pt-BR"/>
              </w:rPr>
            </w:pPr>
            <w:r>
              <w:rPr>
                <w:i/>
                <w:lang w:val="pt-BR"/>
              </w:rPr>
              <w:t xml:space="preserve">Nala lividipes </w:t>
            </w:r>
            <w:r>
              <w:rPr>
                <w:color w:val="000000" w:themeColor="text1"/>
                <w:lang w:val="pt-BR"/>
              </w:rPr>
              <w:t>(Dufour, 1820)</w:t>
            </w:r>
          </w:p>
          <w:p w14:paraId="35C90A51" w14:textId="77777777" w:rsidR="00BC2F05" w:rsidRPr="00F508B9" w:rsidRDefault="00772FB6" w:rsidP="00976665">
            <w:pPr>
              <w:pStyle w:val="TableText"/>
              <w:rPr>
                <w:color w:val="000000" w:themeColor="text1"/>
                <w:lang w:val="pt-BR"/>
              </w:rPr>
            </w:pPr>
            <w:r>
              <w:rPr>
                <w:color w:val="000000" w:themeColor="text1"/>
                <w:lang w:val="pt-BR"/>
              </w:rPr>
              <w:t>[Nalinae]</w:t>
            </w:r>
          </w:p>
          <w:p w14:paraId="7C9DA81A" w14:textId="77777777" w:rsidR="00BC2F05" w:rsidRPr="00F508B9" w:rsidRDefault="00772FB6" w:rsidP="00976665">
            <w:pPr>
              <w:pStyle w:val="TableText"/>
              <w:rPr>
                <w:color w:val="000000" w:themeColor="text1"/>
                <w:lang w:val="pt-BR"/>
              </w:rPr>
            </w:pPr>
            <w:r>
              <w:rPr>
                <w:color w:val="000000" w:themeColor="text1"/>
                <w:lang w:val="pt-BR"/>
              </w:rPr>
              <w:t>Black field earwig</w:t>
            </w:r>
          </w:p>
        </w:tc>
        <w:tc>
          <w:tcPr>
            <w:tcW w:w="450" w:type="pct"/>
            <w:shd w:val="clear" w:color="auto" w:fill="auto"/>
          </w:tcPr>
          <w:p w14:paraId="4746F61D" w14:textId="77777777" w:rsidR="00BC2F05" w:rsidRPr="00BD681D" w:rsidRDefault="00772FB6" w:rsidP="00976665">
            <w:pPr>
              <w:pStyle w:val="TableText"/>
              <w:rPr>
                <w:lang w:val="pt-BR"/>
              </w:rPr>
            </w:pPr>
            <w:r>
              <w:rPr>
                <w:lang w:val="pt-BR"/>
              </w:rPr>
              <w:t xml:space="preserve">Yes </w:t>
            </w:r>
            <w:r>
              <w:rPr>
                <w:noProof/>
                <w:lang w:val="pt-BR"/>
              </w:rPr>
              <w:t>(Estigoy &amp; Estigoy 2015)</w:t>
            </w:r>
          </w:p>
        </w:tc>
        <w:tc>
          <w:tcPr>
            <w:tcW w:w="499" w:type="pct"/>
            <w:shd w:val="clear" w:color="auto" w:fill="auto"/>
          </w:tcPr>
          <w:p w14:paraId="085C9C5E" w14:textId="77777777" w:rsidR="00BC2F05" w:rsidRPr="00BD681D" w:rsidRDefault="00772FB6" w:rsidP="00976665">
            <w:pPr>
              <w:pStyle w:val="TableText"/>
              <w:rPr>
                <w:szCs w:val="16"/>
              </w:rPr>
            </w:pPr>
            <w:r>
              <w:rPr>
                <w:szCs w:val="16"/>
              </w:rPr>
              <w:t xml:space="preserve">Yes. ACT, NSW, NT, Qld, SA, Tas, Vic., WA </w:t>
            </w:r>
            <w:r>
              <w:rPr>
                <w:noProof/>
                <w:szCs w:val="16"/>
              </w:rPr>
              <w:t>(ABRS 2022)</w:t>
            </w:r>
          </w:p>
        </w:tc>
        <w:tc>
          <w:tcPr>
            <w:tcW w:w="645" w:type="pct"/>
            <w:shd w:val="clear" w:color="auto" w:fill="auto"/>
          </w:tcPr>
          <w:p w14:paraId="63E76FDA" w14:textId="77777777" w:rsidR="00BC2F05" w:rsidRPr="00BD681D" w:rsidRDefault="00772FB6" w:rsidP="00976665">
            <w:pPr>
              <w:pStyle w:val="TableText"/>
            </w:pPr>
            <w:r w:rsidRPr="00952C99">
              <w:t>Assessment not required</w:t>
            </w:r>
          </w:p>
        </w:tc>
        <w:tc>
          <w:tcPr>
            <w:tcW w:w="706" w:type="pct"/>
            <w:shd w:val="clear" w:color="auto" w:fill="auto"/>
          </w:tcPr>
          <w:p w14:paraId="40BAF6C1" w14:textId="77777777" w:rsidR="00BC2F05" w:rsidRDefault="00772FB6" w:rsidP="00976665">
            <w:pPr>
              <w:pStyle w:val="TableText"/>
            </w:pPr>
            <w:r w:rsidRPr="00952C99">
              <w:t>Assessment not required</w:t>
            </w:r>
          </w:p>
        </w:tc>
        <w:tc>
          <w:tcPr>
            <w:tcW w:w="700" w:type="pct"/>
            <w:shd w:val="clear" w:color="auto" w:fill="auto"/>
          </w:tcPr>
          <w:p w14:paraId="5F992DEB" w14:textId="77777777" w:rsidR="00BC2F05" w:rsidRPr="00BD681D" w:rsidRDefault="00772FB6" w:rsidP="00976665">
            <w:pPr>
              <w:pStyle w:val="TableText"/>
            </w:pPr>
            <w:r w:rsidRPr="00952C99">
              <w:t>Assessment not required</w:t>
            </w:r>
          </w:p>
        </w:tc>
        <w:tc>
          <w:tcPr>
            <w:tcW w:w="701" w:type="pct"/>
            <w:shd w:val="clear" w:color="auto" w:fill="auto"/>
          </w:tcPr>
          <w:p w14:paraId="1283681D" w14:textId="77777777" w:rsidR="00BC2F05" w:rsidRPr="00BD681D" w:rsidRDefault="00772FB6" w:rsidP="00976665">
            <w:pPr>
              <w:pStyle w:val="TableText"/>
            </w:pPr>
            <w:r w:rsidRPr="00952C99">
              <w:t>Assessment not required</w:t>
            </w:r>
          </w:p>
        </w:tc>
        <w:tc>
          <w:tcPr>
            <w:tcW w:w="500" w:type="pct"/>
            <w:gridSpan w:val="2"/>
            <w:shd w:val="clear" w:color="auto" w:fill="auto"/>
          </w:tcPr>
          <w:p w14:paraId="563DEEE9" w14:textId="77777777" w:rsidR="00BC2F05" w:rsidRPr="00BD681D" w:rsidRDefault="00772FB6" w:rsidP="00976665">
            <w:pPr>
              <w:pStyle w:val="TableText"/>
            </w:pPr>
            <w:r>
              <w:t>No</w:t>
            </w:r>
          </w:p>
        </w:tc>
      </w:tr>
      <w:tr w:rsidR="00C80041" w14:paraId="490474CE" w14:textId="77777777" w:rsidTr="003754F5">
        <w:trPr>
          <w:trHeight w:val="75"/>
          <w:jc w:val="center"/>
        </w:trPr>
        <w:tc>
          <w:tcPr>
            <w:tcW w:w="799" w:type="pct"/>
            <w:shd w:val="clear" w:color="auto" w:fill="auto"/>
          </w:tcPr>
          <w:p w14:paraId="13E1B8FB" w14:textId="77777777" w:rsidR="00BC2F05" w:rsidRPr="00531237" w:rsidRDefault="00772FB6" w:rsidP="00976665">
            <w:pPr>
              <w:pStyle w:val="TableText"/>
              <w:rPr>
                <w:iCs/>
                <w:color w:val="000000" w:themeColor="text1"/>
                <w:lang w:val="pt-BR"/>
              </w:rPr>
            </w:pPr>
            <w:r>
              <w:rPr>
                <w:b/>
                <w:color w:val="000000" w:themeColor="text1"/>
              </w:rPr>
              <w:t>Diptera</w:t>
            </w:r>
          </w:p>
        </w:tc>
        <w:tc>
          <w:tcPr>
            <w:tcW w:w="450" w:type="pct"/>
            <w:shd w:val="clear" w:color="auto" w:fill="auto"/>
          </w:tcPr>
          <w:p w14:paraId="55823073" w14:textId="77777777" w:rsidR="00BC2F05" w:rsidRDefault="00BC2F05" w:rsidP="00976665">
            <w:pPr>
              <w:pStyle w:val="TableText"/>
              <w:rPr>
                <w:lang w:val="pt-BR"/>
              </w:rPr>
            </w:pPr>
          </w:p>
        </w:tc>
        <w:tc>
          <w:tcPr>
            <w:tcW w:w="499" w:type="pct"/>
            <w:shd w:val="clear" w:color="auto" w:fill="auto"/>
          </w:tcPr>
          <w:p w14:paraId="7E899F9D" w14:textId="77777777" w:rsidR="00BC2F05" w:rsidRDefault="00BC2F05" w:rsidP="00976665">
            <w:pPr>
              <w:pStyle w:val="TableText"/>
              <w:rPr>
                <w:szCs w:val="16"/>
              </w:rPr>
            </w:pPr>
          </w:p>
        </w:tc>
        <w:tc>
          <w:tcPr>
            <w:tcW w:w="645" w:type="pct"/>
            <w:shd w:val="clear" w:color="auto" w:fill="auto"/>
          </w:tcPr>
          <w:p w14:paraId="00BD4333" w14:textId="77777777" w:rsidR="00BC2F05" w:rsidRDefault="00BC2F05" w:rsidP="00976665">
            <w:pPr>
              <w:pStyle w:val="TableText"/>
            </w:pPr>
          </w:p>
        </w:tc>
        <w:tc>
          <w:tcPr>
            <w:tcW w:w="706" w:type="pct"/>
          </w:tcPr>
          <w:p w14:paraId="77C7A40F" w14:textId="77777777" w:rsidR="00BC2F05" w:rsidRDefault="00BC2F05" w:rsidP="00976665">
            <w:pPr>
              <w:pStyle w:val="TableText"/>
            </w:pPr>
          </w:p>
        </w:tc>
        <w:tc>
          <w:tcPr>
            <w:tcW w:w="700" w:type="pct"/>
            <w:shd w:val="clear" w:color="auto" w:fill="auto"/>
          </w:tcPr>
          <w:p w14:paraId="40EDDDEB" w14:textId="77777777" w:rsidR="00BC2F05" w:rsidRDefault="00BC2F05" w:rsidP="00976665">
            <w:pPr>
              <w:pStyle w:val="TableText"/>
            </w:pPr>
          </w:p>
        </w:tc>
        <w:tc>
          <w:tcPr>
            <w:tcW w:w="701" w:type="pct"/>
            <w:shd w:val="clear" w:color="auto" w:fill="auto"/>
          </w:tcPr>
          <w:p w14:paraId="0067592A" w14:textId="77777777" w:rsidR="00BC2F05" w:rsidRDefault="00BC2F05" w:rsidP="00976665">
            <w:pPr>
              <w:pStyle w:val="TableText"/>
            </w:pPr>
          </w:p>
        </w:tc>
        <w:tc>
          <w:tcPr>
            <w:tcW w:w="500" w:type="pct"/>
            <w:gridSpan w:val="2"/>
            <w:shd w:val="clear" w:color="auto" w:fill="auto"/>
          </w:tcPr>
          <w:p w14:paraId="17D45D1A" w14:textId="77777777" w:rsidR="00BC2F05" w:rsidRDefault="00BC2F05" w:rsidP="00976665">
            <w:pPr>
              <w:pStyle w:val="TableText"/>
            </w:pPr>
          </w:p>
        </w:tc>
      </w:tr>
      <w:tr w:rsidR="00C80041" w14:paraId="62F54D3D" w14:textId="77777777" w:rsidTr="003754F5">
        <w:trPr>
          <w:trHeight w:val="75"/>
          <w:jc w:val="center"/>
        </w:trPr>
        <w:tc>
          <w:tcPr>
            <w:tcW w:w="799" w:type="pct"/>
            <w:shd w:val="clear" w:color="auto" w:fill="auto"/>
          </w:tcPr>
          <w:p w14:paraId="4B01DA2F" w14:textId="77777777" w:rsidR="00BC2F05" w:rsidRDefault="00772FB6" w:rsidP="00976665">
            <w:pPr>
              <w:pStyle w:val="TableText"/>
              <w:rPr>
                <w:color w:val="000000" w:themeColor="text1"/>
                <w:lang w:val="pt-BR"/>
              </w:rPr>
            </w:pPr>
            <w:bookmarkStart w:id="218" w:name="_Hlk100317558"/>
            <w:r w:rsidRPr="00631493">
              <w:rPr>
                <w:i/>
                <w:lang w:val="pt-BR"/>
              </w:rPr>
              <w:t>Bactrocera dorsalis</w:t>
            </w:r>
            <w:bookmarkEnd w:id="218"/>
            <w:r>
              <w:rPr>
                <w:i/>
                <w:color w:val="000000" w:themeColor="text1"/>
                <w:lang w:val="pt-BR"/>
              </w:rPr>
              <w:t xml:space="preserve"> </w:t>
            </w:r>
            <w:r>
              <w:rPr>
                <w:color w:val="000000" w:themeColor="text1"/>
                <w:lang w:val="pt-BR"/>
              </w:rPr>
              <w:t>(Hendel, 1912)</w:t>
            </w:r>
          </w:p>
          <w:p w14:paraId="211C16D7" w14:textId="77777777" w:rsidR="00BC2F05" w:rsidRPr="00B106EF" w:rsidRDefault="00772FB6" w:rsidP="00976665">
            <w:pPr>
              <w:pStyle w:val="TableText"/>
              <w:rPr>
                <w:color w:val="000000" w:themeColor="text1"/>
              </w:rPr>
            </w:pPr>
            <w:r>
              <w:rPr>
                <w:color w:val="000000" w:themeColor="text1"/>
                <w:lang w:val="pt-BR"/>
              </w:rPr>
              <w:t xml:space="preserve">Synonyms: </w:t>
            </w:r>
            <w:r>
              <w:rPr>
                <w:i/>
                <w:iCs/>
                <w:color w:val="000000" w:themeColor="text1"/>
                <w:lang w:val="pt-BR"/>
              </w:rPr>
              <w:t xml:space="preserve">Bactrocera invadens </w:t>
            </w:r>
            <w:r>
              <w:rPr>
                <w:color w:val="000000" w:themeColor="text1"/>
                <w:lang w:val="pt-BR"/>
              </w:rPr>
              <w:t xml:space="preserve">Drew, Tsuruta &amp; White, 2005, </w:t>
            </w:r>
            <w:r>
              <w:rPr>
                <w:i/>
                <w:iCs/>
                <w:color w:val="000000" w:themeColor="text1"/>
                <w:lang w:val="pt-BR"/>
              </w:rPr>
              <w:t xml:space="preserve">B. Papayae </w:t>
            </w:r>
            <w:r>
              <w:rPr>
                <w:color w:val="000000" w:themeColor="text1"/>
                <w:lang w:val="pt-BR"/>
              </w:rPr>
              <w:lastRenderedPageBreak/>
              <w:t xml:space="preserve">Drew &amp; Hancock, 1994 and </w:t>
            </w:r>
            <w:r>
              <w:rPr>
                <w:i/>
                <w:iCs/>
                <w:color w:val="000000" w:themeColor="text1"/>
                <w:lang w:val="pt-BR"/>
              </w:rPr>
              <w:t xml:space="preserve">B. philippinensis </w:t>
            </w:r>
            <w:r>
              <w:rPr>
                <w:color w:val="000000" w:themeColor="text1"/>
                <w:lang w:val="pt-BR"/>
              </w:rPr>
              <w:t xml:space="preserve">Drew &amp; Hancock, 1994 have been synonymised with </w:t>
            </w:r>
            <w:r>
              <w:rPr>
                <w:i/>
                <w:iCs/>
                <w:color w:val="000000" w:themeColor="text1"/>
                <w:lang w:val="pt-BR"/>
              </w:rPr>
              <w:t xml:space="preserve">B.dorsalis </w:t>
            </w:r>
          </w:p>
          <w:p w14:paraId="4DA500CF" w14:textId="77777777" w:rsidR="00BC2F05" w:rsidRPr="00F508B9" w:rsidRDefault="00772FB6" w:rsidP="00976665">
            <w:pPr>
              <w:pStyle w:val="TableText"/>
              <w:rPr>
                <w:color w:val="000000" w:themeColor="text1"/>
                <w:lang w:val="pt-BR"/>
              </w:rPr>
            </w:pPr>
            <w:r>
              <w:rPr>
                <w:color w:val="000000" w:themeColor="text1"/>
                <w:lang w:val="pt-BR"/>
              </w:rPr>
              <w:t>[Tephritidae]</w:t>
            </w:r>
          </w:p>
          <w:p w14:paraId="4E1CE2B6" w14:textId="77777777" w:rsidR="00BC2F05" w:rsidRPr="00F508B9" w:rsidRDefault="00772FB6" w:rsidP="00976665">
            <w:pPr>
              <w:pStyle w:val="TableText"/>
              <w:rPr>
                <w:color w:val="000000" w:themeColor="text1"/>
                <w:lang w:val="pt-BR"/>
              </w:rPr>
            </w:pPr>
            <w:r>
              <w:rPr>
                <w:color w:val="000000" w:themeColor="text1"/>
                <w:lang w:val="pt-BR"/>
              </w:rPr>
              <w:t>Oriental fruit fly</w:t>
            </w:r>
          </w:p>
        </w:tc>
        <w:tc>
          <w:tcPr>
            <w:tcW w:w="450" w:type="pct"/>
            <w:shd w:val="clear" w:color="auto" w:fill="auto"/>
          </w:tcPr>
          <w:p w14:paraId="45322DF8" w14:textId="77777777" w:rsidR="00BC2F05" w:rsidRPr="00BD681D" w:rsidRDefault="00772FB6" w:rsidP="00976665">
            <w:pPr>
              <w:pStyle w:val="TableText"/>
              <w:rPr>
                <w:lang w:val="pt-BR"/>
              </w:rPr>
            </w:pPr>
            <w:r>
              <w:rPr>
                <w:lang w:val="pt-BR"/>
              </w:rPr>
              <w:lastRenderedPageBreak/>
              <w:t xml:space="preserve">Yes </w:t>
            </w:r>
            <w:r>
              <w:rPr>
                <w:noProof/>
                <w:lang w:val="pt-BR"/>
              </w:rPr>
              <w:t xml:space="preserve">(CABI 2022; Department of </w:t>
            </w:r>
            <w:r>
              <w:rPr>
                <w:noProof/>
                <w:lang w:val="pt-BR"/>
              </w:rPr>
              <w:lastRenderedPageBreak/>
              <w:t>Agriculture 2020)</w:t>
            </w:r>
          </w:p>
        </w:tc>
        <w:tc>
          <w:tcPr>
            <w:tcW w:w="499" w:type="pct"/>
            <w:shd w:val="clear" w:color="auto" w:fill="auto"/>
          </w:tcPr>
          <w:p w14:paraId="311A525E" w14:textId="77777777" w:rsidR="00BC2F05" w:rsidRPr="00BD681D" w:rsidRDefault="00772FB6" w:rsidP="00976665">
            <w:pPr>
              <w:pStyle w:val="TableText"/>
              <w:rPr>
                <w:szCs w:val="16"/>
              </w:rPr>
            </w:pPr>
            <w:r>
              <w:lastRenderedPageBreak/>
              <w:t xml:space="preserve">No. Eradicated from mainland Australia </w:t>
            </w:r>
            <w:r>
              <w:rPr>
                <w:noProof/>
              </w:rPr>
              <w:t>(Hancock et al. 2000)</w:t>
            </w:r>
          </w:p>
        </w:tc>
        <w:tc>
          <w:tcPr>
            <w:tcW w:w="645" w:type="pct"/>
            <w:shd w:val="clear" w:color="auto" w:fill="auto"/>
          </w:tcPr>
          <w:p w14:paraId="59D6C0BB" w14:textId="77777777" w:rsidR="00BC2F05" w:rsidRDefault="00772FB6" w:rsidP="00976665">
            <w:pPr>
              <w:pStyle w:val="TableText"/>
            </w:pPr>
            <w:r>
              <w:t xml:space="preserve">Yes. </w:t>
            </w:r>
            <w:r w:rsidRPr="0074128D">
              <w:t>Dragon fruit</w:t>
            </w:r>
            <w:r>
              <w:rPr>
                <w:i/>
                <w:iCs/>
              </w:rPr>
              <w:t xml:space="preserve"> </w:t>
            </w:r>
            <w:r>
              <w:t xml:space="preserve">is reported as a good host for </w:t>
            </w:r>
            <w:r w:rsidRPr="0074128D">
              <w:rPr>
                <w:i/>
                <w:iCs/>
              </w:rPr>
              <w:t>Bactrocera dorsalis</w:t>
            </w:r>
            <w:r>
              <w:rPr>
                <w:i/>
                <w:iCs/>
              </w:rPr>
              <w:t xml:space="preserve"> </w:t>
            </w:r>
            <w:r>
              <w:rPr>
                <w:noProof/>
              </w:rPr>
              <w:t xml:space="preserve">(Follett, Haynes &amp; Dominiak </w:t>
            </w:r>
            <w:r>
              <w:rPr>
                <w:noProof/>
              </w:rPr>
              <w:lastRenderedPageBreak/>
              <w:t>2021)</w:t>
            </w:r>
            <w:r>
              <w:t xml:space="preserve"> and the species has been reported as an economic pest in dragon fruit growing regions </w:t>
            </w:r>
            <w:r>
              <w:rPr>
                <w:noProof/>
              </w:rPr>
              <w:t>(Estigoy &amp; Estigoy 2015; Khanh et al. 2016; McQuate 2010)</w:t>
            </w:r>
            <w:r>
              <w:t>. Adult f</w:t>
            </w:r>
            <w:r w:rsidRPr="0074236C">
              <w:t xml:space="preserve">ruit flies lay their eggs beneath the skin of the fruit </w:t>
            </w:r>
            <w:r>
              <w:t xml:space="preserve">of host plants </w:t>
            </w:r>
            <w:r>
              <w:rPr>
                <w:noProof/>
              </w:rPr>
              <w:t>(Bateman 1972)</w:t>
            </w:r>
            <w:r>
              <w:t xml:space="preserve"> and larvae feed and develop within the fruit </w:t>
            </w:r>
            <w:r>
              <w:rPr>
                <w:noProof/>
              </w:rPr>
              <w:t>(Christenson &amp; Foote 1960)</w:t>
            </w:r>
            <w:r>
              <w:t>.</w:t>
            </w:r>
          </w:p>
          <w:p w14:paraId="1EACA4F2" w14:textId="77777777" w:rsidR="00BC2F05" w:rsidRPr="00BD681D" w:rsidRDefault="00BC2F05" w:rsidP="00976665">
            <w:pPr>
              <w:pStyle w:val="TableText"/>
            </w:pPr>
          </w:p>
        </w:tc>
        <w:tc>
          <w:tcPr>
            <w:tcW w:w="706" w:type="pct"/>
            <w:shd w:val="clear" w:color="auto" w:fill="auto"/>
          </w:tcPr>
          <w:p w14:paraId="604097AD" w14:textId="77777777" w:rsidR="00BC2F05" w:rsidRDefault="00772FB6" w:rsidP="00976665">
            <w:pPr>
              <w:pStyle w:val="TableText"/>
            </w:pPr>
            <w:r>
              <w:lastRenderedPageBreak/>
              <w:t>Yes. Dragon</w:t>
            </w:r>
            <w:r w:rsidRPr="00CC2E86">
              <w:t xml:space="preserve"> fruit will be distributed across Australia for sale. Immature stages that could be potentially </w:t>
            </w:r>
            <w:r w:rsidRPr="00CC2E86">
              <w:lastRenderedPageBreak/>
              <w:t xml:space="preserve">present in imported </w:t>
            </w:r>
            <w:r>
              <w:t>dragon fruit,</w:t>
            </w:r>
            <w:r w:rsidRPr="00CC2E86">
              <w:t xml:space="preserve"> could pupate and develop into adults and disperse to new hosts available in Australia</w:t>
            </w:r>
            <w:r>
              <w:t>.</w:t>
            </w:r>
          </w:p>
          <w:p w14:paraId="2907B7CB" w14:textId="77777777" w:rsidR="00BC2F05" w:rsidRDefault="00BC2F05" w:rsidP="00976665">
            <w:pPr>
              <w:pStyle w:val="TableText"/>
            </w:pPr>
          </w:p>
        </w:tc>
        <w:tc>
          <w:tcPr>
            <w:tcW w:w="700" w:type="pct"/>
            <w:shd w:val="clear" w:color="auto" w:fill="auto"/>
          </w:tcPr>
          <w:p w14:paraId="2822A876" w14:textId="77777777" w:rsidR="00BC2F05" w:rsidRPr="00BD681D" w:rsidRDefault="00772FB6" w:rsidP="00976665">
            <w:pPr>
              <w:pStyle w:val="TableText"/>
            </w:pPr>
            <w:r>
              <w:lastRenderedPageBreak/>
              <w:t xml:space="preserve">Yes. </w:t>
            </w:r>
            <w:r w:rsidRPr="0054071D">
              <w:rPr>
                <w:i/>
                <w:iCs/>
              </w:rPr>
              <w:t>Bactrocera dorsalis</w:t>
            </w:r>
            <w:r w:rsidRPr="0054071D">
              <w:t xml:space="preserve"> is a </w:t>
            </w:r>
            <w:r>
              <w:t xml:space="preserve">highly </w:t>
            </w:r>
            <w:r w:rsidRPr="0054071D">
              <w:t xml:space="preserve">polyphagous species </w:t>
            </w:r>
            <w:r>
              <w:t xml:space="preserve">with a host range of over 250 cultivated </w:t>
            </w:r>
            <w:r>
              <w:lastRenderedPageBreak/>
              <w:t xml:space="preserve">and wild fruit </w:t>
            </w:r>
            <w:r>
              <w:rPr>
                <w:noProof/>
              </w:rPr>
              <w:t>(CABI 2021; Clarke et al. 2005; Mau &amp; Martin Kessing 2007)</w:t>
            </w:r>
            <w:r w:rsidRPr="0054071D">
              <w:rPr>
                <w:i/>
                <w:iCs/>
              </w:rPr>
              <w:t xml:space="preserve">, </w:t>
            </w:r>
            <w:r w:rsidRPr="008F2B7A">
              <w:t xml:space="preserve">including hosts grown </w:t>
            </w:r>
            <w:r>
              <w:t>commercially across</w:t>
            </w:r>
            <w:r w:rsidRPr="008F2B7A">
              <w:t xml:space="preserve"> Australia such as </w:t>
            </w:r>
            <w:r w:rsidRPr="009310AB">
              <w:t>avocado,</w:t>
            </w:r>
            <w:r>
              <w:t xml:space="preserve"> citrus, </w:t>
            </w:r>
            <w:proofErr w:type="gramStart"/>
            <w:r>
              <w:t>guava</w:t>
            </w:r>
            <w:proofErr w:type="gramEnd"/>
            <w:r>
              <w:t xml:space="preserve"> and</w:t>
            </w:r>
            <w:r w:rsidRPr="009310AB">
              <w:t xml:space="preserve"> mango </w:t>
            </w:r>
            <w:r>
              <w:rPr>
                <w:noProof/>
              </w:rPr>
              <w:t>(CABI 2022)</w:t>
            </w:r>
            <w:r>
              <w:t xml:space="preserve">. </w:t>
            </w:r>
            <w:r w:rsidRPr="0054071D">
              <w:rPr>
                <w:i/>
                <w:iCs/>
              </w:rPr>
              <w:t>Bactrocera dorsalis</w:t>
            </w:r>
            <w:r>
              <w:t xml:space="preserve"> </w:t>
            </w:r>
            <w:r w:rsidRPr="00A47127">
              <w:t xml:space="preserve">is distributed across sub-Saharan Africa, Asia and several islands in Oceania including Papua New Guinea and Hawaii </w:t>
            </w:r>
            <w:r>
              <w:rPr>
                <w:noProof/>
              </w:rPr>
              <w:t>(CABI 2022; Jiang et al. 2014; Vargas, Pinero &amp; Leblanc 2015)</w:t>
            </w:r>
            <w:r>
              <w:t xml:space="preserve">, </w:t>
            </w:r>
            <w:r w:rsidRPr="00A47127">
              <w:t xml:space="preserve">which have similar climates to parts of Australia. </w:t>
            </w:r>
            <w:r>
              <w:t>The species</w:t>
            </w:r>
            <w:r w:rsidRPr="00945121">
              <w:t xml:space="preserve"> </w:t>
            </w:r>
            <w:r>
              <w:t xml:space="preserve">large </w:t>
            </w:r>
            <w:r w:rsidRPr="00945121">
              <w:t>host range and geographic distribution suggest</w:t>
            </w:r>
            <w:r>
              <w:t>s</w:t>
            </w:r>
            <w:r w:rsidRPr="00945121">
              <w:t xml:space="preserve"> it could establish and spread in Australia</w:t>
            </w:r>
            <w:r>
              <w:t>.</w:t>
            </w:r>
          </w:p>
        </w:tc>
        <w:tc>
          <w:tcPr>
            <w:tcW w:w="701" w:type="pct"/>
            <w:shd w:val="clear" w:color="auto" w:fill="auto"/>
          </w:tcPr>
          <w:p w14:paraId="54A575CE" w14:textId="77777777" w:rsidR="00BC2F05" w:rsidRPr="00BD681D" w:rsidRDefault="00772FB6" w:rsidP="00976665">
            <w:pPr>
              <w:pStyle w:val="TableText"/>
            </w:pPr>
            <w:r>
              <w:lastRenderedPageBreak/>
              <w:t xml:space="preserve">Yes. </w:t>
            </w:r>
            <w:r w:rsidRPr="008F2B7A">
              <w:rPr>
                <w:i/>
                <w:iCs/>
              </w:rPr>
              <w:t>Bactrocera dorsalis</w:t>
            </w:r>
            <w:r w:rsidRPr="008F2B7A">
              <w:t xml:space="preserve"> is one of the world’s most destructive fruit fly pests </w:t>
            </w:r>
            <w:r>
              <w:rPr>
                <w:noProof/>
              </w:rPr>
              <w:t xml:space="preserve">(CABI 2022; </w:t>
            </w:r>
            <w:r>
              <w:rPr>
                <w:noProof/>
              </w:rPr>
              <w:lastRenderedPageBreak/>
              <w:t>Clarke et al. 2005; Mau &amp; Martin Kessing 2007; Qin et al. 2018)</w:t>
            </w:r>
            <w:r w:rsidRPr="008F2B7A">
              <w:t xml:space="preserve">. </w:t>
            </w:r>
            <w:r>
              <w:rPr>
                <w:i/>
                <w:iCs/>
                <w:szCs w:val="18"/>
              </w:rPr>
              <w:t>Bactrocera dorsalis</w:t>
            </w:r>
            <w:r w:rsidRPr="00786EA7">
              <w:rPr>
                <w:szCs w:val="18"/>
              </w:rPr>
              <w:t xml:space="preserve"> is </w:t>
            </w:r>
            <w:r>
              <w:rPr>
                <w:szCs w:val="18"/>
              </w:rPr>
              <w:t xml:space="preserve">highly polyphagous and </w:t>
            </w:r>
            <w:r w:rsidRPr="00786EA7">
              <w:rPr>
                <w:szCs w:val="18"/>
              </w:rPr>
              <w:t>a major pest o</w:t>
            </w:r>
            <w:r>
              <w:rPr>
                <w:szCs w:val="18"/>
              </w:rPr>
              <w:t xml:space="preserve">f </w:t>
            </w:r>
            <w:r w:rsidRPr="009310AB">
              <w:t>avocado,</w:t>
            </w:r>
            <w:r>
              <w:t xml:space="preserve"> citrus, and</w:t>
            </w:r>
            <w:r w:rsidRPr="009310AB">
              <w:t xml:space="preserve"> mango </w:t>
            </w:r>
            <w:r>
              <w:rPr>
                <w:noProof/>
              </w:rPr>
              <w:t>(CABI 2022; Follett, Haynes &amp; Dominiak 2021)</w:t>
            </w:r>
            <w:r>
              <w:t>,</w:t>
            </w:r>
            <w:r w:rsidRPr="00786EA7">
              <w:rPr>
                <w:szCs w:val="18"/>
              </w:rPr>
              <w:t xml:space="preserve"> which are all commercial crops of economic importance to Australia</w:t>
            </w:r>
            <w:r>
              <w:rPr>
                <w:szCs w:val="18"/>
              </w:rPr>
              <w:t>.</w:t>
            </w:r>
            <w:r w:rsidRPr="001043CD">
              <w:rPr>
                <w:i/>
                <w:iCs/>
              </w:rPr>
              <w:t xml:space="preserve"> </w:t>
            </w:r>
            <w:r>
              <w:t xml:space="preserve">Without control, direct damage of up to 100% of fruit has been reported on mango in Africa </w:t>
            </w:r>
            <w:r>
              <w:rPr>
                <w:noProof/>
              </w:rPr>
              <w:t>(Nankinga et al. 2014)</w:t>
            </w:r>
            <w:r>
              <w:t>. Previous</w:t>
            </w:r>
            <w:r w:rsidRPr="008F2B7A">
              <w:t xml:space="preserve"> eradication campaigns conducted in Australia </w:t>
            </w:r>
            <w:r>
              <w:t xml:space="preserve">for this pest </w:t>
            </w:r>
            <w:r w:rsidRPr="008F2B7A">
              <w:t>cost</w:t>
            </w:r>
            <w:r>
              <w:t xml:space="preserve"> </w:t>
            </w:r>
            <w:r w:rsidRPr="008F2B7A">
              <w:t>approximately AUD$3</w:t>
            </w:r>
            <w:r>
              <w:t>9</w:t>
            </w:r>
            <w:r w:rsidRPr="008F2B7A">
              <w:t xml:space="preserve"> million, </w:t>
            </w:r>
            <w:r>
              <w:rPr>
                <w:noProof/>
              </w:rPr>
              <w:t>(Cantrell, Chadwick &amp; Cahill 2002; Plant Health Australia 2008)</w:t>
            </w:r>
            <w:r>
              <w:t>.</w:t>
            </w:r>
          </w:p>
        </w:tc>
        <w:tc>
          <w:tcPr>
            <w:tcW w:w="500" w:type="pct"/>
            <w:gridSpan w:val="2"/>
            <w:shd w:val="clear" w:color="auto" w:fill="auto"/>
          </w:tcPr>
          <w:p w14:paraId="6AA54FDA" w14:textId="77777777" w:rsidR="00BC2F05" w:rsidRPr="00BD681D" w:rsidRDefault="00772FB6" w:rsidP="00976665">
            <w:pPr>
              <w:pStyle w:val="TableText"/>
            </w:pPr>
            <w:r>
              <w:lastRenderedPageBreak/>
              <w:t>Yes (EP)</w:t>
            </w:r>
          </w:p>
        </w:tc>
      </w:tr>
      <w:tr w:rsidR="00C80041" w14:paraId="03678FF5" w14:textId="77777777" w:rsidTr="003754F5">
        <w:trPr>
          <w:trHeight w:val="75"/>
          <w:jc w:val="center"/>
        </w:trPr>
        <w:tc>
          <w:tcPr>
            <w:tcW w:w="799" w:type="pct"/>
            <w:shd w:val="clear" w:color="auto" w:fill="auto"/>
          </w:tcPr>
          <w:p w14:paraId="77A0FE57" w14:textId="77777777" w:rsidR="00BC2F05" w:rsidRDefault="00772FB6" w:rsidP="00976665">
            <w:pPr>
              <w:pStyle w:val="TableText"/>
              <w:rPr>
                <w:color w:val="000000" w:themeColor="text1"/>
                <w:lang w:val="pt-BR"/>
              </w:rPr>
            </w:pPr>
            <w:r w:rsidRPr="00631493">
              <w:rPr>
                <w:i/>
                <w:iCs/>
                <w:lang w:val="pt-BR"/>
              </w:rPr>
              <w:t xml:space="preserve">Zeugodacus cucurbitae </w:t>
            </w:r>
            <w:r>
              <w:rPr>
                <w:color w:val="000000" w:themeColor="text1"/>
                <w:lang w:val="pt-BR"/>
              </w:rPr>
              <w:t>(Coquillett, 1899)</w:t>
            </w:r>
          </w:p>
          <w:p w14:paraId="764A3FFF" w14:textId="77777777" w:rsidR="00BC2F05" w:rsidRPr="00B106EF" w:rsidRDefault="00772FB6" w:rsidP="00976665">
            <w:pPr>
              <w:pStyle w:val="TableText"/>
              <w:rPr>
                <w:color w:val="000000" w:themeColor="text1"/>
              </w:rPr>
            </w:pPr>
            <w:r>
              <w:rPr>
                <w:color w:val="000000" w:themeColor="text1"/>
                <w:lang w:val="pt-BR"/>
              </w:rPr>
              <w:t xml:space="preserve">Synonym: </w:t>
            </w:r>
            <w:r w:rsidRPr="00D873B5">
              <w:rPr>
                <w:i/>
                <w:lang w:val="pt-BR"/>
              </w:rPr>
              <w:t>Bactrocera cucurbitae</w:t>
            </w:r>
            <w:r w:rsidRPr="00D873B5">
              <w:rPr>
                <w:lang w:val="pt-BR"/>
              </w:rPr>
              <w:t xml:space="preserve"> </w:t>
            </w:r>
            <w:r>
              <w:rPr>
                <w:color w:val="000000" w:themeColor="text1"/>
                <w:lang w:val="pt-BR"/>
              </w:rPr>
              <w:t>Coquillet, 1899</w:t>
            </w:r>
          </w:p>
          <w:p w14:paraId="19860529" w14:textId="77777777" w:rsidR="00BC2F05" w:rsidRPr="00F508B9" w:rsidRDefault="00772FB6" w:rsidP="00976665">
            <w:pPr>
              <w:pStyle w:val="TableText"/>
              <w:rPr>
                <w:color w:val="000000" w:themeColor="text1"/>
                <w:lang w:val="pt-BR"/>
              </w:rPr>
            </w:pPr>
            <w:r>
              <w:rPr>
                <w:color w:val="000000" w:themeColor="text1"/>
                <w:lang w:val="pt-BR"/>
              </w:rPr>
              <w:lastRenderedPageBreak/>
              <w:t>[Tephritidae]</w:t>
            </w:r>
          </w:p>
          <w:p w14:paraId="4580C28C" w14:textId="77777777" w:rsidR="00BC2F05" w:rsidRPr="00F508B9" w:rsidRDefault="00772FB6" w:rsidP="00976665">
            <w:pPr>
              <w:pStyle w:val="TableText"/>
              <w:rPr>
                <w:color w:val="000000" w:themeColor="text1"/>
                <w:lang w:val="pt-BR"/>
              </w:rPr>
            </w:pPr>
            <w:r>
              <w:rPr>
                <w:color w:val="000000" w:themeColor="text1"/>
                <w:lang w:val="pt-BR"/>
              </w:rPr>
              <w:t>Melon fly</w:t>
            </w:r>
          </w:p>
        </w:tc>
        <w:tc>
          <w:tcPr>
            <w:tcW w:w="450" w:type="pct"/>
            <w:shd w:val="clear" w:color="auto" w:fill="auto"/>
          </w:tcPr>
          <w:p w14:paraId="77B447BA" w14:textId="77777777" w:rsidR="00BC2F05" w:rsidRPr="00BD681D" w:rsidRDefault="00772FB6" w:rsidP="00976665">
            <w:pPr>
              <w:pStyle w:val="TableText"/>
              <w:rPr>
                <w:lang w:val="pt-BR"/>
              </w:rPr>
            </w:pPr>
            <w:r>
              <w:rPr>
                <w:lang w:val="pt-BR"/>
              </w:rPr>
              <w:lastRenderedPageBreak/>
              <w:t xml:space="preserve">Yes </w:t>
            </w:r>
            <w:r>
              <w:rPr>
                <w:noProof/>
                <w:lang w:val="pt-BR"/>
              </w:rPr>
              <w:t>(CABI 2022; Hu et al. 2008)</w:t>
            </w:r>
          </w:p>
        </w:tc>
        <w:tc>
          <w:tcPr>
            <w:tcW w:w="499" w:type="pct"/>
            <w:shd w:val="clear" w:color="auto" w:fill="auto"/>
          </w:tcPr>
          <w:p w14:paraId="5A30A6BA" w14:textId="77777777" w:rsidR="00BC2F05" w:rsidRPr="00BD681D" w:rsidRDefault="00772FB6" w:rsidP="00976665">
            <w:pPr>
              <w:pStyle w:val="TableText"/>
              <w:rPr>
                <w:szCs w:val="16"/>
              </w:rPr>
            </w:pPr>
            <w:r>
              <w:t xml:space="preserve">No records found </w:t>
            </w:r>
          </w:p>
        </w:tc>
        <w:tc>
          <w:tcPr>
            <w:tcW w:w="645" w:type="pct"/>
            <w:shd w:val="clear" w:color="auto" w:fill="auto"/>
          </w:tcPr>
          <w:p w14:paraId="177906AA" w14:textId="77777777" w:rsidR="00BC2F05" w:rsidRDefault="00772FB6" w:rsidP="00976665">
            <w:pPr>
              <w:pStyle w:val="TableText"/>
              <w:rPr>
                <w:i/>
                <w:iCs/>
              </w:rPr>
            </w:pPr>
            <w:r>
              <w:t xml:space="preserve">Yes. Dragon fruit is a reported as a very good host for </w:t>
            </w:r>
            <w:r>
              <w:rPr>
                <w:i/>
                <w:iCs/>
              </w:rPr>
              <w:t>Zeugodacus</w:t>
            </w:r>
            <w:r w:rsidRPr="007445B8">
              <w:rPr>
                <w:i/>
                <w:iCs/>
              </w:rPr>
              <w:t xml:space="preserve"> </w:t>
            </w:r>
            <w:r w:rsidRPr="00A5474D">
              <w:rPr>
                <w:i/>
                <w:iCs/>
              </w:rPr>
              <w:t>cucurbitae</w:t>
            </w:r>
            <w:r>
              <w:rPr>
                <w:i/>
                <w:iCs/>
              </w:rPr>
              <w:t xml:space="preserve"> </w:t>
            </w:r>
            <w:r>
              <w:rPr>
                <w:noProof/>
              </w:rPr>
              <w:t xml:space="preserve">(Follett, </w:t>
            </w:r>
            <w:r>
              <w:rPr>
                <w:noProof/>
              </w:rPr>
              <w:lastRenderedPageBreak/>
              <w:t>Haynes &amp; Dominiak 2021)</w:t>
            </w:r>
            <w:r>
              <w:t xml:space="preserve"> has been found infesting the fruit of dragon fruit in commercial production </w:t>
            </w:r>
            <w:r>
              <w:rPr>
                <w:noProof/>
              </w:rPr>
              <w:t>(McQuate 2010)</w:t>
            </w:r>
            <w:r>
              <w:rPr>
                <w:i/>
                <w:iCs/>
              </w:rPr>
              <w:t>.</w:t>
            </w:r>
          </w:p>
          <w:p w14:paraId="19015A1D" w14:textId="77777777" w:rsidR="00BC2F05" w:rsidRPr="00BD681D" w:rsidRDefault="00772FB6" w:rsidP="00976665">
            <w:pPr>
              <w:pStyle w:val="TableText"/>
            </w:pPr>
            <w:r>
              <w:t>Adult f</w:t>
            </w:r>
            <w:r w:rsidRPr="0074236C">
              <w:t>ruit flies lay their eggs beneath the skin of the fruit</w:t>
            </w:r>
            <w:r>
              <w:t xml:space="preserve"> of the host plant</w:t>
            </w:r>
            <w:r w:rsidRPr="0074236C">
              <w:t xml:space="preserve"> </w:t>
            </w:r>
            <w:r>
              <w:rPr>
                <w:noProof/>
              </w:rPr>
              <w:t>(Bateman 1972)</w:t>
            </w:r>
            <w:r>
              <w:t xml:space="preserve"> and the larvae feed and develop within the fruit </w:t>
            </w:r>
            <w:r>
              <w:rPr>
                <w:noProof/>
              </w:rPr>
              <w:t>(Christenson &amp; Foote 1960)</w:t>
            </w:r>
            <w:r>
              <w:t xml:space="preserve">. </w:t>
            </w:r>
          </w:p>
        </w:tc>
        <w:tc>
          <w:tcPr>
            <w:tcW w:w="706" w:type="pct"/>
            <w:shd w:val="clear" w:color="auto" w:fill="auto"/>
          </w:tcPr>
          <w:p w14:paraId="63EAC068" w14:textId="77777777" w:rsidR="00BC2F05" w:rsidRDefault="00772FB6" w:rsidP="00976665">
            <w:pPr>
              <w:pStyle w:val="TableText"/>
            </w:pPr>
            <w:r w:rsidRPr="00CC2E86">
              <w:lastRenderedPageBreak/>
              <w:t xml:space="preserve">Yes. </w:t>
            </w:r>
            <w:r>
              <w:t>Dragon</w:t>
            </w:r>
            <w:r w:rsidRPr="00CC2E86">
              <w:t xml:space="preserve"> fruit will be distributed across Australia for sale</w:t>
            </w:r>
            <w:r>
              <w:t>.</w:t>
            </w:r>
            <w:r w:rsidRPr="00CC2E86">
              <w:t xml:space="preserve"> Immature stages that could be potentially </w:t>
            </w:r>
            <w:r w:rsidRPr="00CC2E86">
              <w:lastRenderedPageBreak/>
              <w:t xml:space="preserve">present in imported </w:t>
            </w:r>
            <w:r>
              <w:t xml:space="preserve">dragon </w:t>
            </w:r>
            <w:r w:rsidRPr="00374B2C">
              <w:t>fruit</w:t>
            </w:r>
            <w:r>
              <w:t>,</w:t>
            </w:r>
            <w:r w:rsidRPr="00CC2E86">
              <w:t xml:space="preserve"> could pupate and develop into adults and disperse to new hosts available in Australia</w:t>
            </w:r>
            <w:r>
              <w:t>.</w:t>
            </w:r>
          </w:p>
        </w:tc>
        <w:tc>
          <w:tcPr>
            <w:tcW w:w="700" w:type="pct"/>
            <w:shd w:val="clear" w:color="auto" w:fill="auto"/>
          </w:tcPr>
          <w:p w14:paraId="3FE446A0" w14:textId="77777777" w:rsidR="00BC2F05" w:rsidRPr="00BD681D" w:rsidRDefault="00772FB6" w:rsidP="00976665">
            <w:pPr>
              <w:pStyle w:val="TableText"/>
            </w:pPr>
            <w:r>
              <w:lastRenderedPageBreak/>
              <w:t xml:space="preserve">Yes. </w:t>
            </w:r>
            <w:r>
              <w:rPr>
                <w:i/>
                <w:iCs/>
              </w:rPr>
              <w:t>Zeugodacus</w:t>
            </w:r>
            <w:r w:rsidRPr="007445B8">
              <w:rPr>
                <w:i/>
                <w:iCs/>
              </w:rPr>
              <w:t xml:space="preserve"> </w:t>
            </w:r>
            <w:r w:rsidRPr="0094596C">
              <w:rPr>
                <w:i/>
                <w:iCs/>
              </w:rPr>
              <w:t>cucurbitae</w:t>
            </w:r>
            <w:r>
              <w:t xml:space="preserve"> is widely distributed throughout India, </w:t>
            </w:r>
            <w:proofErr w:type="gramStart"/>
            <w:r>
              <w:t>South East</w:t>
            </w:r>
            <w:proofErr w:type="gramEnd"/>
            <w:r>
              <w:t xml:space="preserve"> Asia and </w:t>
            </w:r>
            <w:r>
              <w:lastRenderedPageBreak/>
              <w:t xml:space="preserve">Central Africa </w:t>
            </w:r>
            <w:r>
              <w:rPr>
                <w:noProof/>
              </w:rPr>
              <w:t>(CABI 2022; Dhillon et al. 2005)</w:t>
            </w:r>
            <w:r>
              <w:t xml:space="preserve">, which have similar climates to parts of Australia. </w:t>
            </w:r>
            <w:r w:rsidRPr="00A941FD">
              <w:rPr>
                <w:i/>
                <w:iCs/>
              </w:rPr>
              <w:t>Zeugodacus cucurbitae</w:t>
            </w:r>
            <w:r>
              <w:t xml:space="preserve"> is highly polyphagous and infests </w:t>
            </w:r>
            <w:proofErr w:type="gramStart"/>
            <w:r>
              <w:t>a large number of</w:t>
            </w:r>
            <w:proofErr w:type="gramEnd"/>
            <w:r>
              <w:t xml:space="preserve"> species including squash, cucumber, pumpkin, rockmelon, watermelon and beans </w:t>
            </w:r>
            <w:r>
              <w:rPr>
                <w:noProof/>
              </w:rPr>
              <w:t>(McQuate &amp; Teruya 2015; White &amp; Elson-Harris 1992)</w:t>
            </w:r>
            <w:r>
              <w:t>, which are commercially grown in Australia. Its host range and geographic distribution suggest it could establish and spread in Australia.</w:t>
            </w:r>
          </w:p>
        </w:tc>
        <w:tc>
          <w:tcPr>
            <w:tcW w:w="701" w:type="pct"/>
            <w:shd w:val="clear" w:color="auto" w:fill="auto"/>
          </w:tcPr>
          <w:p w14:paraId="337630BB" w14:textId="77777777" w:rsidR="00BC2F05" w:rsidRPr="00BD681D" w:rsidRDefault="00772FB6" w:rsidP="00976665">
            <w:pPr>
              <w:pStyle w:val="TableText"/>
            </w:pPr>
            <w:r w:rsidRPr="00786EA7">
              <w:rPr>
                <w:szCs w:val="18"/>
              </w:rPr>
              <w:lastRenderedPageBreak/>
              <w:t xml:space="preserve">Yes. </w:t>
            </w:r>
            <w:r w:rsidRPr="00786EA7">
              <w:rPr>
                <w:i/>
                <w:iCs/>
                <w:szCs w:val="18"/>
              </w:rPr>
              <w:t>Zeugodacus cucurbitae</w:t>
            </w:r>
            <w:r w:rsidRPr="00786EA7">
              <w:rPr>
                <w:szCs w:val="18"/>
              </w:rPr>
              <w:t xml:space="preserve"> is reported to damage 81 host plant species </w:t>
            </w:r>
            <w:r>
              <w:rPr>
                <w:noProof/>
                <w:szCs w:val="18"/>
              </w:rPr>
              <w:t xml:space="preserve">(Allwood et al. 1999; CABI 2019; </w:t>
            </w:r>
            <w:r>
              <w:rPr>
                <w:noProof/>
                <w:szCs w:val="18"/>
              </w:rPr>
              <w:lastRenderedPageBreak/>
              <w:t>Dhillon et al. 2005; FDACS 2017)</w:t>
            </w:r>
            <w:r>
              <w:rPr>
                <w:szCs w:val="18"/>
              </w:rPr>
              <w:t xml:space="preserve">, </w:t>
            </w:r>
            <w:r w:rsidRPr="00786EA7">
              <w:rPr>
                <w:szCs w:val="18"/>
              </w:rPr>
              <w:t xml:space="preserve">causing up to 100% damage depending on host species and the season </w:t>
            </w:r>
            <w:r>
              <w:rPr>
                <w:noProof/>
                <w:szCs w:val="18"/>
              </w:rPr>
              <w:t>(CABI 2022; Dhillon et al. 2005)</w:t>
            </w:r>
            <w:r w:rsidRPr="00786EA7">
              <w:rPr>
                <w:szCs w:val="18"/>
              </w:rPr>
              <w:t xml:space="preserve">. </w:t>
            </w:r>
            <w:r w:rsidRPr="00786EA7">
              <w:rPr>
                <w:i/>
                <w:iCs/>
                <w:szCs w:val="18"/>
              </w:rPr>
              <w:t>Zeugodacus cucurbitae</w:t>
            </w:r>
            <w:r w:rsidRPr="00786EA7">
              <w:rPr>
                <w:szCs w:val="18"/>
              </w:rPr>
              <w:t xml:space="preserve"> is a major pest of cucurbit crops including melons and pumpkins, as well as beans, which are all commercial crops of economic importance to Australia. </w:t>
            </w:r>
          </w:p>
        </w:tc>
        <w:tc>
          <w:tcPr>
            <w:tcW w:w="500" w:type="pct"/>
            <w:gridSpan w:val="2"/>
            <w:shd w:val="clear" w:color="auto" w:fill="auto"/>
          </w:tcPr>
          <w:p w14:paraId="58385025" w14:textId="77777777" w:rsidR="00BC2F05" w:rsidRPr="00BD681D" w:rsidRDefault="00772FB6" w:rsidP="00976665">
            <w:pPr>
              <w:pStyle w:val="TableText"/>
            </w:pPr>
            <w:r>
              <w:lastRenderedPageBreak/>
              <w:t>Yes (EP)</w:t>
            </w:r>
          </w:p>
        </w:tc>
      </w:tr>
      <w:tr w:rsidR="00C80041" w14:paraId="2B05B214" w14:textId="77777777" w:rsidTr="003754F5">
        <w:trPr>
          <w:trHeight w:val="75"/>
          <w:jc w:val="center"/>
        </w:trPr>
        <w:tc>
          <w:tcPr>
            <w:tcW w:w="799" w:type="pct"/>
            <w:shd w:val="clear" w:color="auto" w:fill="auto"/>
          </w:tcPr>
          <w:p w14:paraId="370A6ECA" w14:textId="77777777" w:rsidR="00BC2F05" w:rsidRDefault="00772FB6" w:rsidP="00976665">
            <w:pPr>
              <w:pStyle w:val="TableText"/>
              <w:rPr>
                <w:i/>
                <w:color w:val="000000" w:themeColor="text1"/>
                <w:lang w:val="pt-BR"/>
              </w:rPr>
            </w:pPr>
            <w:r>
              <w:rPr>
                <w:b/>
                <w:color w:val="000000" w:themeColor="text1"/>
              </w:rPr>
              <w:t>Hemiptera</w:t>
            </w:r>
          </w:p>
        </w:tc>
        <w:tc>
          <w:tcPr>
            <w:tcW w:w="450" w:type="pct"/>
            <w:shd w:val="clear" w:color="auto" w:fill="auto"/>
          </w:tcPr>
          <w:p w14:paraId="26490B7C" w14:textId="77777777" w:rsidR="00BC2F05" w:rsidRDefault="00BC2F05" w:rsidP="00976665">
            <w:pPr>
              <w:pStyle w:val="TableText"/>
              <w:rPr>
                <w:lang w:val="pt-BR"/>
              </w:rPr>
            </w:pPr>
          </w:p>
        </w:tc>
        <w:tc>
          <w:tcPr>
            <w:tcW w:w="499" w:type="pct"/>
            <w:shd w:val="clear" w:color="auto" w:fill="auto"/>
          </w:tcPr>
          <w:p w14:paraId="5B4A4E31" w14:textId="77777777" w:rsidR="00BC2F05" w:rsidRDefault="00BC2F05" w:rsidP="00976665">
            <w:pPr>
              <w:pStyle w:val="TableText"/>
              <w:rPr>
                <w:szCs w:val="16"/>
              </w:rPr>
            </w:pPr>
          </w:p>
        </w:tc>
        <w:tc>
          <w:tcPr>
            <w:tcW w:w="645" w:type="pct"/>
            <w:shd w:val="clear" w:color="auto" w:fill="auto"/>
          </w:tcPr>
          <w:p w14:paraId="4CA685D7" w14:textId="77777777" w:rsidR="00BC2F05" w:rsidRDefault="00BC2F05" w:rsidP="00976665">
            <w:pPr>
              <w:pStyle w:val="TableText"/>
            </w:pPr>
          </w:p>
        </w:tc>
        <w:tc>
          <w:tcPr>
            <w:tcW w:w="706" w:type="pct"/>
          </w:tcPr>
          <w:p w14:paraId="2B69735B" w14:textId="77777777" w:rsidR="00BC2F05" w:rsidRDefault="00BC2F05" w:rsidP="00976665">
            <w:pPr>
              <w:pStyle w:val="TableText"/>
            </w:pPr>
          </w:p>
        </w:tc>
        <w:tc>
          <w:tcPr>
            <w:tcW w:w="700" w:type="pct"/>
            <w:shd w:val="clear" w:color="auto" w:fill="auto"/>
          </w:tcPr>
          <w:p w14:paraId="077B3344" w14:textId="77777777" w:rsidR="00BC2F05" w:rsidRDefault="00BC2F05" w:rsidP="00976665">
            <w:pPr>
              <w:pStyle w:val="TableText"/>
            </w:pPr>
          </w:p>
        </w:tc>
        <w:tc>
          <w:tcPr>
            <w:tcW w:w="701" w:type="pct"/>
            <w:shd w:val="clear" w:color="auto" w:fill="auto"/>
          </w:tcPr>
          <w:p w14:paraId="1C6A7CF0" w14:textId="77777777" w:rsidR="00BC2F05" w:rsidRDefault="00BC2F05" w:rsidP="00976665">
            <w:pPr>
              <w:pStyle w:val="TableText"/>
            </w:pPr>
          </w:p>
        </w:tc>
        <w:tc>
          <w:tcPr>
            <w:tcW w:w="500" w:type="pct"/>
            <w:gridSpan w:val="2"/>
            <w:shd w:val="clear" w:color="auto" w:fill="auto"/>
          </w:tcPr>
          <w:p w14:paraId="3C47D6BC" w14:textId="77777777" w:rsidR="00BC2F05" w:rsidRDefault="00BC2F05" w:rsidP="00976665">
            <w:pPr>
              <w:pStyle w:val="TableText"/>
            </w:pPr>
          </w:p>
        </w:tc>
      </w:tr>
      <w:tr w:rsidR="00C80041" w14:paraId="3F105687" w14:textId="77777777" w:rsidTr="003754F5">
        <w:trPr>
          <w:trHeight w:val="75"/>
          <w:jc w:val="center"/>
        </w:trPr>
        <w:tc>
          <w:tcPr>
            <w:tcW w:w="799" w:type="pct"/>
            <w:shd w:val="clear" w:color="auto" w:fill="auto"/>
          </w:tcPr>
          <w:p w14:paraId="148D838F" w14:textId="77777777" w:rsidR="00BC2F05" w:rsidRDefault="00772FB6" w:rsidP="00976665">
            <w:pPr>
              <w:pStyle w:val="TableText"/>
              <w:rPr>
                <w:color w:val="000000" w:themeColor="text1"/>
                <w:lang w:val="pt-BR"/>
              </w:rPr>
            </w:pPr>
            <w:bookmarkStart w:id="219" w:name="_Hlk104198476"/>
            <w:r>
              <w:rPr>
                <w:i/>
                <w:color w:val="000000" w:themeColor="text1"/>
                <w:lang w:val="pt-BR"/>
              </w:rPr>
              <w:t>Aphis aurantii</w:t>
            </w:r>
            <w:bookmarkEnd w:id="219"/>
            <w:r>
              <w:rPr>
                <w:i/>
                <w:color w:val="000000" w:themeColor="text1"/>
                <w:lang w:val="pt-BR"/>
              </w:rPr>
              <w:t xml:space="preserve"> </w:t>
            </w:r>
            <w:r>
              <w:rPr>
                <w:color w:val="000000" w:themeColor="text1"/>
                <w:lang w:val="pt-BR"/>
              </w:rPr>
              <w:t>(Boyer de Fonscolombe, 1841)</w:t>
            </w:r>
          </w:p>
          <w:p w14:paraId="13FCB3B5" w14:textId="77777777" w:rsidR="00BC2F05" w:rsidRPr="00502904" w:rsidRDefault="00772FB6" w:rsidP="00976665">
            <w:pPr>
              <w:pStyle w:val="TableText"/>
              <w:rPr>
                <w:color w:val="63B1E5"/>
              </w:rPr>
            </w:pPr>
            <w:r>
              <w:rPr>
                <w:color w:val="000000" w:themeColor="text1"/>
                <w:lang w:val="pt-BR"/>
              </w:rPr>
              <w:t xml:space="preserve">Synonym: </w:t>
            </w:r>
            <w:r>
              <w:rPr>
                <w:i/>
                <w:color w:val="000000" w:themeColor="text1"/>
                <w:lang w:val="pt-BR"/>
              </w:rPr>
              <w:t xml:space="preserve">Toxoptera aurantii </w:t>
            </w:r>
            <w:r>
              <w:rPr>
                <w:iCs/>
                <w:color w:val="000000" w:themeColor="text1"/>
                <w:lang w:val="pt-BR"/>
              </w:rPr>
              <w:t>(Boyer de Fonscolombe, 1841)</w:t>
            </w:r>
          </w:p>
          <w:p w14:paraId="6086E76A" w14:textId="77777777" w:rsidR="00BC2F05" w:rsidRPr="00F508B9" w:rsidRDefault="00772FB6" w:rsidP="00976665">
            <w:pPr>
              <w:pStyle w:val="TableText"/>
              <w:rPr>
                <w:color w:val="000000" w:themeColor="text1"/>
                <w:lang w:val="pt-BR"/>
              </w:rPr>
            </w:pPr>
            <w:r>
              <w:rPr>
                <w:color w:val="000000" w:themeColor="text1"/>
                <w:lang w:val="pt-BR"/>
              </w:rPr>
              <w:t>[Aphididae]</w:t>
            </w:r>
          </w:p>
          <w:p w14:paraId="3268C458" w14:textId="77777777" w:rsidR="00BC2F05" w:rsidRDefault="00772FB6" w:rsidP="00976665">
            <w:pPr>
              <w:pStyle w:val="TableText"/>
              <w:rPr>
                <w:i/>
                <w:color w:val="000000" w:themeColor="text1"/>
                <w:lang w:val="pt-BR"/>
              </w:rPr>
            </w:pPr>
            <w:r>
              <w:rPr>
                <w:color w:val="000000" w:themeColor="text1"/>
                <w:lang w:val="pt-BR"/>
              </w:rPr>
              <w:t>Black citrus aphid</w:t>
            </w:r>
          </w:p>
        </w:tc>
        <w:tc>
          <w:tcPr>
            <w:tcW w:w="450" w:type="pct"/>
            <w:shd w:val="clear" w:color="auto" w:fill="auto"/>
          </w:tcPr>
          <w:p w14:paraId="784140F4" w14:textId="77777777" w:rsidR="00BC2F05" w:rsidRDefault="00772FB6" w:rsidP="00976665">
            <w:pPr>
              <w:pStyle w:val="TableText"/>
              <w:rPr>
                <w:lang w:val="pt-BR"/>
              </w:rPr>
            </w:pPr>
            <w:r>
              <w:rPr>
                <w:lang w:val="pt-BR"/>
              </w:rPr>
              <w:t xml:space="preserve">Yes </w:t>
            </w:r>
            <w:r>
              <w:rPr>
                <w:noProof/>
                <w:lang w:val="pt-BR"/>
              </w:rPr>
              <w:t>(Tahori &amp; Hazan 1970; Tepora 2021)</w:t>
            </w:r>
          </w:p>
        </w:tc>
        <w:tc>
          <w:tcPr>
            <w:tcW w:w="499" w:type="pct"/>
            <w:shd w:val="clear" w:color="auto" w:fill="auto"/>
          </w:tcPr>
          <w:p w14:paraId="7A65BA70" w14:textId="77777777" w:rsidR="00BC2F05" w:rsidRDefault="00772FB6" w:rsidP="00976665">
            <w:pPr>
              <w:pStyle w:val="TableText"/>
              <w:rPr>
                <w:szCs w:val="16"/>
              </w:rPr>
            </w:pPr>
            <w:r>
              <w:rPr>
                <w:szCs w:val="16"/>
              </w:rPr>
              <w:t xml:space="preserve">Yes. NT, Qld, NSW, Vic., Tas., SA, WA </w:t>
            </w:r>
            <w:r>
              <w:rPr>
                <w:noProof/>
                <w:szCs w:val="16"/>
              </w:rPr>
              <w:t>(APPD 2022)</w:t>
            </w:r>
          </w:p>
        </w:tc>
        <w:tc>
          <w:tcPr>
            <w:tcW w:w="645" w:type="pct"/>
            <w:shd w:val="clear" w:color="auto" w:fill="auto"/>
          </w:tcPr>
          <w:p w14:paraId="2BAE46D0" w14:textId="77777777" w:rsidR="00BC2F05" w:rsidRDefault="00772FB6" w:rsidP="00976665">
            <w:pPr>
              <w:pStyle w:val="TableText"/>
            </w:pPr>
            <w:r w:rsidRPr="00A65634">
              <w:t>Assessment not required</w:t>
            </w:r>
          </w:p>
        </w:tc>
        <w:tc>
          <w:tcPr>
            <w:tcW w:w="706" w:type="pct"/>
          </w:tcPr>
          <w:p w14:paraId="57DF513C" w14:textId="77777777" w:rsidR="00BC2F05" w:rsidRDefault="00772FB6" w:rsidP="00976665">
            <w:pPr>
              <w:pStyle w:val="TableText"/>
            </w:pPr>
            <w:r w:rsidRPr="00A65634">
              <w:t>Assessment not required</w:t>
            </w:r>
          </w:p>
        </w:tc>
        <w:tc>
          <w:tcPr>
            <w:tcW w:w="700" w:type="pct"/>
            <w:shd w:val="clear" w:color="auto" w:fill="auto"/>
          </w:tcPr>
          <w:p w14:paraId="2D3C4310" w14:textId="77777777" w:rsidR="00BC2F05" w:rsidRDefault="00772FB6" w:rsidP="00976665">
            <w:pPr>
              <w:pStyle w:val="TableText"/>
            </w:pPr>
            <w:r w:rsidRPr="00A65634">
              <w:t>Assessment not required</w:t>
            </w:r>
          </w:p>
        </w:tc>
        <w:tc>
          <w:tcPr>
            <w:tcW w:w="701" w:type="pct"/>
            <w:shd w:val="clear" w:color="auto" w:fill="auto"/>
          </w:tcPr>
          <w:p w14:paraId="7BE59599" w14:textId="77777777" w:rsidR="00BC2F05" w:rsidRDefault="00772FB6" w:rsidP="00976665">
            <w:pPr>
              <w:pStyle w:val="TableText"/>
            </w:pPr>
            <w:r w:rsidRPr="00A65634">
              <w:t>Assessment not required</w:t>
            </w:r>
          </w:p>
        </w:tc>
        <w:tc>
          <w:tcPr>
            <w:tcW w:w="500" w:type="pct"/>
            <w:gridSpan w:val="2"/>
            <w:shd w:val="clear" w:color="auto" w:fill="auto"/>
          </w:tcPr>
          <w:p w14:paraId="31A91827" w14:textId="77777777" w:rsidR="00BC2F05" w:rsidRDefault="00772FB6" w:rsidP="00976665">
            <w:pPr>
              <w:pStyle w:val="TableText"/>
            </w:pPr>
            <w:r>
              <w:t>No</w:t>
            </w:r>
          </w:p>
        </w:tc>
      </w:tr>
      <w:tr w:rsidR="00C80041" w14:paraId="6973B739" w14:textId="77777777" w:rsidTr="003754F5">
        <w:trPr>
          <w:trHeight w:val="75"/>
          <w:jc w:val="center"/>
        </w:trPr>
        <w:tc>
          <w:tcPr>
            <w:tcW w:w="799" w:type="pct"/>
            <w:shd w:val="clear" w:color="auto" w:fill="auto"/>
          </w:tcPr>
          <w:p w14:paraId="70D44205" w14:textId="77777777" w:rsidR="00BC2F05" w:rsidRPr="00631493" w:rsidRDefault="00772FB6" w:rsidP="00976665">
            <w:pPr>
              <w:pStyle w:val="TableText"/>
              <w:rPr>
                <w:color w:val="000000" w:themeColor="text1"/>
                <w:lang w:val="pt-BR"/>
              </w:rPr>
            </w:pPr>
            <w:bookmarkStart w:id="220" w:name="_Hlk104207072"/>
            <w:r>
              <w:rPr>
                <w:i/>
                <w:color w:val="000000" w:themeColor="text1"/>
                <w:lang w:val="pt-BR"/>
              </w:rPr>
              <w:lastRenderedPageBreak/>
              <w:t>Aphis craccivora</w:t>
            </w:r>
            <w:bookmarkEnd w:id="220"/>
            <w:r>
              <w:rPr>
                <w:i/>
                <w:color w:val="000000" w:themeColor="text1"/>
                <w:lang w:val="pt-BR"/>
              </w:rPr>
              <w:t xml:space="preserve"> </w:t>
            </w:r>
            <w:r>
              <w:rPr>
                <w:color w:val="000000" w:themeColor="text1"/>
                <w:lang w:val="pt-BR"/>
              </w:rPr>
              <w:t>Koch, 1854</w:t>
            </w:r>
          </w:p>
          <w:p w14:paraId="19F5B6E0" w14:textId="77777777" w:rsidR="00BC2F05" w:rsidRPr="00F508B9" w:rsidRDefault="00772FB6" w:rsidP="00976665">
            <w:pPr>
              <w:pStyle w:val="TableText"/>
              <w:rPr>
                <w:color w:val="000000" w:themeColor="text1"/>
                <w:lang w:val="pt-BR"/>
              </w:rPr>
            </w:pPr>
            <w:r>
              <w:rPr>
                <w:color w:val="000000" w:themeColor="text1"/>
                <w:lang w:val="pt-BR"/>
              </w:rPr>
              <w:t>[Aphididae]</w:t>
            </w:r>
          </w:p>
          <w:p w14:paraId="02756900" w14:textId="77777777" w:rsidR="00BC2F05" w:rsidRPr="00F508B9" w:rsidRDefault="00772FB6" w:rsidP="00976665">
            <w:pPr>
              <w:pStyle w:val="TableText"/>
              <w:rPr>
                <w:color w:val="000000" w:themeColor="text1"/>
                <w:lang w:val="pt-BR"/>
              </w:rPr>
            </w:pPr>
            <w:r>
              <w:rPr>
                <w:color w:val="000000" w:themeColor="text1"/>
                <w:lang w:val="pt-BR"/>
              </w:rPr>
              <w:t>Cowpea aphid</w:t>
            </w:r>
          </w:p>
        </w:tc>
        <w:tc>
          <w:tcPr>
            <w:tcW w:w="450" w:type="pct"/>
            <w:shd w:val="clear" w:color="auto" w:fill="auto"/>
          </w:tcPr>
          <w:p w14:paraId="6D49CC43" w14:textId="77777777" w:rsidR="00BC2F05" w:rsidRPr="00BD681D" w:rsidRDefault="00772FB6" w:rsidP="00976665">
            <w:pPr>
              <w:pStyle w:val="TableText"/>
              <w:rPr>
                <w:lang w:val="pt-BR"/>
              </w:rPr>
            </w:pPr>
            <w:r>
              <w:rPr>
                <w:lang w:val="pt-BR"/>
              </w:rPr>
              <w:t xml:space="preserve">Yes </w:t>
            </w:r>
            <w:r>
              <w:rPr>
                <w:noProof/>
                <w:lang w:val="pt-BR"/>
              </w:rPr>
              <w:t>(Estigoy &amp; Estigoy 2015)</w:t>
            </w:r>
          </w:p>
        </w:tc>
        <w:tc>
          <w:tcPr>
            <w:tcW w:w="499" w:type="pct"/>
            <w:shd w:val="clear" w:color="auto" w:fill="auto"/>
          </w:tcPr>
          <w:p w14:paraId="432E0713" w14:textId="77777777" w:rsidR="00BC2F05" w:rsidRPr="00BD681D" w:rsidRDefault="00772FB6" w:rsidP="00976665">
            <w:pPr>
              <w:pStyle w:val="TableText"/>
              <w:rPr>
                <w:szCs w:val="16"/>
              </w:rPr>
            </w:pPr>
            <w:r>
              <w:t xml:space="preserve">Yes. NT, NSW, Qld, Tas., Vic., WA </w:t>
            </w:r>
            <w:r>
              <w:rPr>
                <w:noProof/>
              </w:rPr>
              <w:t>(APPD 2022; Hollis &amp; Eastop 2005)</w:t>
            </w:r>
            <w:r w:rsidRPr="00F27EDB">
              <w:t xml:space="preserve"> </w:t>
            </w:r>
          </w:p>
        </w:tc>
        <w:tc>
          <w:tcPr>
            <w:tcW w:w="645" w:type="pct"/>
            <w:shd w:val="clear" w:color="auto" w:fill="auto"/>
          </w:tcPr>
          <w:p w14:paraId="57D2417D" w14:textId="77777777" w:rsidR="00BC2F05" w:rsidRPr="00BD681D" w:rsidRDefault="00772FB6" w:rsidP="00976665">
            <w:pPr>
              <w:pStyle w:val="TableText"/>
            </w:pPr>
            <w:r w:rsidRPr="00454B26">
              <w:t>Assessment not required</w:t>
            </w:r>
          </w:p>
        </w:tc>
        <w:tc>
          <w:tcPr>
            <w:tcW w:w="706" w:type="pct"/>
          </w:tcPr>
          <w:p w14:paraId="38272D3B" w14:textId="77777777" w:rsidR="00BC2F05" w:rsidRDefault="00772FB6" w:rsidP="00976665">
            <w:pPr>
              <w:pStyle w:val="TableText"/>
            </w:pPr>
            <w:r w:rsidRPr="00454B26">
              <w:t>Assessment not required</w:t>
            </w:r>
          </w:p>
        </w:tc>
        <w:tc>
          <w:tcPr>
            <w:tcW w:w="700" w:type="pct"/>
            <w:shd w:val="clear" w:color="auto" w:fill="auto"/>
          </w:tcPr>
          <w:p w14:paraId="51FEFB96" w14:textId="77777777" w:rsidR="00BC2F05" w:rsidRPr="00BD681D" w:rsidRDefault="00772FB6" w:rsidP="00976665">
            <w:pPr>
              <w:pStyle w:val="TableText"/>
            </w:pPr>
            <w:r w:rsidRPr="00454B26">
              <w:t>Assessment not required</w:t>
            </w:r>
          </w:p>
        </w:tc>
        <w:tc>
          <w:tcPr>
            <w:tcW w:w="701" w:type="pct"/>
            <w:shd w:val="clear" w:color="auto" w:fill="auto"/>
          </w:tcPr>
          <w:p w14:paraId="3E068A73" w14:textId="77777777" w:rsidR="00BC2F05" w:rsidRPr="00BD681D" w:rsidRDefault="00772FB6" w:rsidP="00976665">
            <w:pPr>
              <w:pStyle w:val="TableText"/>
            </w:pPr>
            <w:r w:rsidRPr="00454B26">
              <w:t>Assessment not required</w:t>
            </w:r>
          </w:p>
        </w:tc>
        <w:tc>
          <w:tcPr>
            <w:tcW w:w="500" w:type="pct"/>
            <w:gridSpan w:val="2"/>
            <w:shd w:val="clear" w:color="auto" w:fill="auto"/>
          </w:tcPr>
          <w:p w14:paraId="1BFA3944" w14:textId="77777777" w:rsidR="00BC2F05" w:rsidRPr="00BD681D" w:rsidRDefault="00772FB6" w:rsidP="00976665">
            <w:pPr>
              <w:pStyle w:val="TableText"/>
            </w:pPr>
            <w:r>
              <w:t>No</w:t>
            </w:r>
          </w:p>
        </w:tc>
      </w:tr>
      <w:tr w:rsidR="00C80041" w14:paraId="6854716D" w14:textId="77777777" w:rsidTr="003754F5">
        <w:trPr>
          <w:trHeight w:val="75"/>
          <w:jc w:val="center"/>
        </w:trPr>
        <w:tc>
          <w:tcPr>
            <w:tcW w:w="799" w:type="pct"/>
            <w:shd w:val="clear" w:color="auto" w:fill="auto"/>
          </w:tcPr>
          <w:p w14:paraId="1748F787" w14:textId="77777777" w:rsidR="00BC2F05" w:rsidRPr="00F12C5D" w:rsidRDefault="00772FB6" w:rsidP="00976665">
            <w:pPr>
              <w:pStyle w:val="TableText"/>
              <w:rPr>
                <w:color w:val="63B1E5"/>
              </w:rPr>
            </w:pPr>
            <w:r>
              <w:rPr>
                <w:i/>
                <w:color w:val="000000" w:themeColor="text1"/>
                <w:lang w:val="pt-BR"/>
              </w:rPr>
              <w:t xml:space="preserve">Aphis gossypii </w:t>
            </w:r>
            <w:r>
              <w:rPr>
                <w:color w:val="000000" w:themeColor="text1"/>
                <w:lang w:val="pt-BR"/>
              </w:rPr>
              <w:t>Glover, 1877</w:t>
            </w:r>
          </w:p>
          <w:p w14:paraId="654CA625" w14:textId="77777777" w:rsidR="00BC2F05" w:rsidRPr="00F508B9" w:rsidRDefault="00772FB6" w:rsidP="00976665">
            <w:pPr>
              <w:pStyle w:val="TableText"/>
              <w:rPr>
                <w:color w:val="000000" w:themeColor="text1"/>
                <w:lang w:val="pt-BR"/>
              </w:rPr>
            </w:pPr>
            <w:r>
              <w:rPr>
                <w:color w:val="000000" w:themeColor="text1"/>
                <w:lang w:val="pt-BR"/>
              </w:rPr>
              <w:t>[Aphididae]</w:t>
            </w:r>
          </w:p>
          <w:p w14:paraId="488ECACF" w14:textId="77777777" w:rsidR="00BC2F05" w:rsidRPr="00F508B9" w:rsidRDefault="00772FB6" w:rsidP="00976665">
            <w:pPr>
              <w:pStyle w:val="TableText"/>
              <w:rPr>
                <w:color w:val="000000" w:themeColor="text1"/>
                <w:lang w:val="pt-BR"/>
              </w:rPr>
            </w:pPr>
            <w:r>
              <w:rPr>
                <w:color w:val="000000" w:themeColor="text1"/>
                <w:lang w:val="pt-BR"/>
              </w:rPr>
              <w:t>Cotton aphid</w:t>
            </w:r>
          </w:p>
        </w:tc>
        <w:tc>
          <w:tcPr>
            <w:tcW w:w="450" w:type="pct"/>
            <w:shd w:val="clear" w:color="auto" w:fill="auto"/>
          </w:tcPr>
          <w:p w14:paraId="29073A39" w14:textId="77777777" w:rsidR="00BC2F05" w:rsidRPr="00BD681D" w:rsidRDefault="00772FB6" w:rsidP="00976665">
            <w:pPr>
              <w:pStyle w:val="TableText"/>
              <w:rPr>
                <w:lang w:val="pt-BR"/>
              </w:rPr>
            </w:pPr>
            <w:r>
              <w:rPr>
                <w:lang w:val="pt-BR"/>
              </w:rPr>
              <w:t xml:space="preserve">Yes </w:t>
            </w:r>
            <w:r>
              <w:rPr>
                <w:noProof/>
                <w:lang w:val="pt-BR"/>
              </w:rPr>
              <w:t>(Amalin, Vasquez &amp; Vander Zaag 1991; Herradura et al. 2003)</w:t>
            </w:r>
          </w:p>
        </w:tc>
        <w:tc>
          <w:tcPr>
            <w:tcW w:w="499" w:type="pct"/>
            <w:shd w:val="clear" w:color="auto" w:fill="auto"/>
          </w:tcPr>
          <w:p w14:paraId="15515A14" w14:textId="77777777" w:rsidR="00BC2F05" w:rsidRPr="00BD681D" w:rsidRDefault="00772FB6" w:rsidP="00976665">
            <w:pPr>
              <w:pStyle w:val="TableText"/>
              <w:rPr>
                <w:szCs w:val="16"/>
              </w:rPr>
            </w:pPr>
            <w:r>
              <w:t xml:space="preserve">Yes. NSW, NT, Qld, SA, Tas., Vic., WA </w:t>
            </w:r>
            <w:r>
              <w:rPr>
                <w:noProof/>
              </w:rPr>
              <w:t>(APPD 2022)</w:t>
            </w:r>
          </w:p>
        </w:tc>
        <w:tc>
          <w:tcPr>
            <w:tcW w:w="645" w:type="pct"/>
            <w:shd w:val="clear" w:color="auto" w:fill="auto"/>
          </w:tcPr>
          <w:p w14:paraId="6CF95BAC" w14:textId="77777777" w:rsidR="00BC2F05" w:rsidRPr="00BD681D" w:rsidRDefault="00772FB6" w:rsidP="00976665">
            <w:pPr>
              <w:pStyle w:val="TableText"/>
            </w:pPr>
            <w:r w:rsidRPr="00DE4F68">
              <w:t>Assessment not required</w:t>
            </w:r>
          </w:p>
        </w:tc>
        <w:tc>
          <w:tcPr>
            <w:tcW w:w="706" w:type="pct"/>
          </w:tcPr>
          <w:p w14:paraId="353ECE58" w14:textId="77777777" w:rsidR="00BC2F05" w:rsidRDefault="00772FB6" w:rsidP="00976665">
            <w:pPr>
              <w:pStyle w:val="TableText"/>
            </w:pPr>
            <w:r w:rsidRPr="00DE4F68">
              <w:t>Assessment not required</w:t>
            </w:r>
          </w:p>
        </w:tc>
        <w:tc>
          <w:tcPr>
            <w:tcW w:w="700" w:type="pct"/>
            <w:shd w:val="clear" w:color="auto" w:fill="auto"/>
          </w:tcPr>
          <w:p w14:paraId="457EDF5C" w14:textId="77777777" w:rsidR="00BC2F05" w:rsidRPr="00BD681D" w:rsidRDefault="00772FB6" w:rsidP="00976665">
            <w:pPr>
              <w:spacing w:before="60" w:after="0" w:line="240" w:lineRule="auto"/>
            </w:pPr>
            <w:r w:rsidRPr="00315902">
              <w:rPr>
                <w:sz w:val="18"/>
              </w:rPr>
              <w:t>Assessment not required</w:t>
            </w:r>
          </w:p>
        </w:tc>
        <w:tc>
          <w:tcPr>
            <w:tcW w:w="701" w:type="pct"/>
            <w:shd w:val="clear" w:color="auto" w:fill="auto"/>
          </w:tcPr>
          <w:p w14:paraId="2F4B9AA6" w14:textId="77777777" w:rsidR="00BC2F05" w:rsidRPr="00BD681D" w:rsidRDefault="00772FB6" w:rsidP="00976665">
            <w:pPr>
              <w:pStyle w:val="TableText"/>
            </w:pPr>
            <w:r w:rsidRPr="00DE4F68">
              <w:t>Assessment not required</w:t>
            </w:r>
          </w:p>
        </w:tc>
        <w:tc>
          <w:tcPr>
            <w:tcW w:w="500" w:type="pct"/>
            <w:gridSpan w:val="2"/>
            <w:shd w:val="clear" w:color="auto" w:fill="auto"/>
          </w:tcPr>
          <w:p w14:paraId="02789E10" w14:textId="77777777" w:rsidR="00BC2F05" w:rsidRPr="00BD681D" w:rsidRDefault="00772FB6" w:rsidP="00976665">
            <w:pPr>
              <w:pStyle w:val="TableText"/>
            </w:pPr>
            <w:r>
              <w:t>No</w:t>
            </w:r>
          </w:p>
        </w:tc>
      </w:tr>
      <w:tr w:rsidR="00C80041" w14:paraId="413E3B27" w14:textId="77777777" w:rsidTr="00A707B5">
        <w:trPr>
          <w:trHeight w:val="75"/>
          <w:jc w:val="center"/>
        </w:trPr>
        <w:tc>
          <w:tcPr>
            <w:tcW w:w="799" w:type="pct"/>
            <w:shd w:val="clear" w:color="auto" w:fill="auto"/>
          </w:tcPr>
          <w:p w14:paraId="0A90437C" w14:textId="77777777" w:rsidR="00BC2F05" w:rsidRDefault="00772FB6" w:rsidP="00A707B5">
            <w:pPr>
              <w:pStyle w:val="TableText"/>
              <w:rPr>
                <w:color w:val="000000" w:themeColor="text1"/>
                <w:lang w:val="pt-BR"/>
              </w:rPr>
            </w:pPr>
            <w:r>
              <w:rPr>
                <w:i/>
                <w:iCs/>
                <w:color w:val="000000" w:themeColor="text1"/>
                <w:lang w:val="pt-BR"/>
              </w:rPr>
              <w:t xml:space="preserve">Aphis odinae </w:t>
            </w:r>
            <w:r>
              <w:rPr>
                <w:color w:val="000000" w:themeColor="text1"/>
                <w:lang w:val="pt-BR"/>
              </w:rPr>
              <w:t>(Van de Goot, 1917)</w:t>
            </w:r>
          </w:p>
          <w:p w14:paraId="5B79B134" w14:textId="77777777" w:rsidR="00BC2F05" w:rsidRPr="00C45669" w:rsidRDefault="00772FB6" w:rsidP="00A707B5">
            <w:pPr>
              <w:pStyle w:val="TableText"/>
              <w:rPr>
                <w:color w:val="63B1E5"/>
              </w:rPr>
            </w:pPr>
            <w:r>
              <w:rPr>
                <w:color w:val="000000" w:themeColor="text1"/>
                <w:lang w:val="pt-BR"/>
              </w:rPr>
              <w:t xml:space="preserve">Synonym: </w:t>
            </w:r>
            <w:r>
              <w:rPr>
                <w:i/>
                <w:color w:val="000000" w:themeColor="text1"/>
                <w:lang w:val="pt-BR"/>
              </w:rPr>
              <w:t xml:space="preserve">Toxoptera odinae </w:t>
            </w:r>
            <w:r>
              <w:rPr>
                <w:iCs/>
                <w:color w:val="000000" w:themeColor="text1"/>
                <w:lang w:val="pt-BR"/>
              </w:rPr>
              <w:t>(Van der Groot, 1917)</w:t>
            </w:r>
          </w:p>
          <w:p w14:paraId="66900AD4" w14:textId="77777777" w:rsidR="00BC2F05" w:rsidRPr="00F508B9" w:rsidRDefault="00772FB6" w:rsidP="00A707B5">
            <w:pPr>
              <w:pStyle w:val="TableText"/>
              <w:rPr>
                <w:color w:val="000000" w:themeColor="text1"/>
                <w:lang w:val="pt-BR"/>
              </w:rPr>
            </w:pPr>
            <w:r>
              <w:rPr>
                <w:color w:val="000000" w:themeColor="text1"/>
                <w:lang w:val="pt-BR"/>
              </w:rPr>
              <w:t>[Aphididae]</w:t>
            </w:r>
          </w:p>
          <w:p w14:paraId="3EFC5948" w14:textId="77777777" w:rsidR="00BC2F05" w:rsidRDefault="00772FB6" w:rsidP="00A707B5">
            <w:pPr>
              <w:pStyle w:val="TableText"/>
              <w:rPr>
                <w:i/>
                <w:color w:val="000000" w:themeColor="text1"/>
                <w:lang w:val="pt-BR"/>
              </w:rPr>
            </w:pPr>
            <w:r>
              <w:rPr>
                <w:color w:val="000000" w:themeColor="text1"/>
                <w:lang w:val="pt-BR"/>
              </w:rPr>
              <w:t>Mango aphid</w:t>
            </w:r>
          </w:p>
        </w:tc>
        <w:tc>
          <w:tcPr>
            <w:tcW w:w="450" w:type="pct"/>
            <w:shd w:val="clear" w:color="auto" w:fill="auto"/>
          </w:tcPr>
          <w:p w14:paraId="71F9F911" w14:textId="77777777" w:rsidR="00BC2F05" w:rsidRDefault="00772FB6" w:rsidP="00A707B5">
            <w:pPr>
              <w:pStyle w:val="TableText"/>
              <w:rPr>
                <w:lang w:val="pt-BR"/>
              </w:rPr>
            </w:pPr>
            <w:r>
              <w:rPr>
                <w:lang w:val="pt-BR"/>
              </w:rPr>
              <w:t xml:space="preserve">Yes </w:t>
            </w:r>
            <w:r>
              <w:rPr>
                <w:noProof/>
                <w:lang w:val="pt-BR"/>
              </w:rPr>
              <w:t>(Calilung 1976)</w:t>
            </w:r>
          </w:p>
        </w:tc>
        <w:tc>
          <w:tcPr>
            <w:tcW w:w="499" w:type="pct"/>
            <w:shd w:val="clear" w:color="auto" w:fill="auto"/>
          </w:tcPr>
          <w:p w14:paraId="1DD5002F" w14:textId="77777777" w:rsidR="00BC2F05" w:rsidRDefault="00772FB6" w:rsidP="00A707B5">
            <w:pPr>
              <w:pStyle w:val="TableText"/>
              <w:rPr>
                <w:szCs w:val="16"/>
              </w:rPr>
            </w:pPr>
            <w:r>
              <w:rPr>
                <w:szCs w:val="16"/>
              </w:rPr>
              <w:t>No records found</w:t>
            </w:r>
          </w:p>
        </w:tc>
        <w:tc>
          <w:tcPr>
            <w:tcW w:w="645" w:type="pct"/>
            <w:shd w:val="clear" w:color="auto" w:fill="auto"/>
          </w:tcPr>
          <w:p w14:paraId="0F74BA0F" w14:textId="77777777" w:rsidR="00BC2F05" w:rsidRPr="004C4B77" w:rsidRDefault="00772FB6" w:rsidP="00A707B5">
            <w:pPr>
              <w:pStyle w:val="TableText"/>
              <w:rPr>
                <w:i/>
                <w:iCs/>
                <w:color w:val="000000" w:themeColor="text1"/>
                <w:lang w:val="pt-BR"/>
              </w:rPr>
            </w:pPr>
            <w:r>
              <w:t>No</w:t>
            </w:r>
            <w:r w:rsidRPr="00F214B0">
              <w:t xml:space="preserve">. </w:t>
            </w:r>
            <w:r>
              <w:rPr>
                <w:i/>
                <w:iCs/>
              </w:rPr>
              <w:t>Aphis</w:t>
            </w:r>
            <w:r w:rsidRPr="00F54D8C">
              <w:rPr>
                <w:i/>
                <w:iCs/>
              </w:rPr>
              <w:t xml:space="preserve"> </w:t>
            </w:r>
            <w:proofErr w:type="spellStart"/>
            <w:r w:rsidRPr="00F54D8C">
              <w:rPr>
                <w:i/>
                <w:iCs/>
              </w:rPr>
              <w:t>odinae</w:t>
            </w:r>
            <w:r>
              <w:rPr>
                <w:i/>
                <w:iCs/>
              </w:rPr>
              <w:t>’s</w:t>
            </w:r>
            <w:proofErr w:type="spellEnd"/>
            <w:r>
              <w:rPr>
                <w:i/>
                <w:iCs/>
              </w:rPr>
              <w:t xml:space="preserve"> </w:t>
            </w:r>
            <w:r>
              <w:t xml:space="preserve">primary hosts are mango and several species of shrub </w:t>
            </w:r>
            <w:r>
              <w:rPr>
                <w:iCs/>
                <w:noProof/>
                <w:lang w:val="pt-BR"/>
              </w:rPr>
              <w:t>(Blackman &amp; Eastop 2018; Lokeshwari et al. 2014)</w:t>
            </w:r>
            <w:r>
              <w:rPr>
                <w:iCs/>
                <w:lang w:val="pt-BR"/>
              </w:rPr>
              <w:t xml:space="preserve">. There is only one record in the literature of this species occuring on dragon fruit in Indonesia and it is unclear whether it feeds upon the fruit </w:t>
            </w:r>
            <w:r>
              <w:rPr>
                <w:iCs/>
                <w:noProof/>
                <w:lang w:val="pt-BR"/>
              </w:rPr>
              <w:t>(Octaviani 2012)</w:t>
            </w:r>
            <w:r>
              <w:rPr>
                <w:iCs/>
                <w:lang w:val="pt-BR"/>
              </w:rPr>
              <w:t xml:space="preserve">. </w:t>
            </w:r>
            <w:r w:rsidRPr="00E94C36">
              <w:rPr>
                <w:i/>
                <w:lang w:val="pt-BR"/>
              </w:rPr>
              <w:t>A</w:t>
            </w:r>
            <w:r>
              <w:rPr>
                <w:i/>
                <w:lang w:val="pt-BR"/>
              </w:rPr>
              <w:t>phis</w:t>
            </w:r>
            <w:r w:rsidRPr="00E94C36">
              <w:rPr>
                <w:i/>
                <w:lang w:val="pt-BR"/>
              </w:rPr>
              <w:t xml:space="preserve"> odinae</w:t>
            </w:r>
            <w:r w:rsidRPr="00761A62">
              <w:rPr>
                <w:iCs/>
                <w:lang w:val="pt-BR"/>
              </w:rPr>
              <w:t xml:space="preserve"> </w:t>
            </w:r>
            <w:r>
              <w:rPr>
                <w:iCs/>
                <w:lang w:val="pt-BR"/>
              </w:rPr>
              <w:t>is</w:t>
            </w:r>
            <w:r w:rsidRPr="00761A62">
              <w:rPr>
                <w:iCs/>
                <w:lang w:val="pt-BR"/>
              </w:rPr>
              <w:t xml:space="preserve"> commonly found feeding on the underside of leaves along the main veins</w:t>
            </w:r>
            <w:r>
              <w:rPr>
                <w:iCs/>
                <w:lang w:val="pt-BR"/>
              </w:rPr>
              <w:t xml:space="preserve"> and </w:t>
            </w:r>
            <w:r w:rsidRPr="00761A62">
              <w:rPr>
                <w:iCs/>
                <w:lang w:val="pt-BR"/>
              </w:rPr>
              <w:t>in dense colonies on shoots</w:t>
            </w:r>
            <w:r>
              <w:rPr>
                <w:iCs/>
                <w:lang w:val="pt-BR"/>
              </w:rPr>
              <w:t xml:space="preserve"> of </w:t>
            </w:r>
            <w:r>
              <w:rPr>
                <w:iCs/>
                <w:lang w:val="pt-BR"/>
              </w:rPr>
              <w:lastRenderedPageBreak/>
              <w:t xml:space="preserve">host plants and only occasionly found on the fruit of some hosts </w:t>
            </w:r>
            <w:r>
              <w:rPr>
                <w:iCs/>
                <w:noProof/>
                <w:lang w:val="pt-BR"/>
              </w:rPr>
              <w:t>(Maruthadurai &amp; Singh 2017)</w:t>
            </w:r>
            <w:r>
              <w:rPr>
                <w:iCs/>
                <w:lang w:val="pt-BR"/>
              </w:rPr>
              <w:t xml:space="preserve">. </w:t>
            </w:r>
            <w:r w:rsidRPr="004E022E">
              <w:rPr>
                <w:i/>
                <w:lang w:val="pt-BR"/>
              </w:rPr>
              <w:t>A. odinae</w:t>
            </w:r>
            <w:r>
              <w:rPr>
                <w:iCs/>
                <w:lang w:val="pt-BR"/>
              </w:rPr>
              <w:t xml:space="preserve"> has been established for many years in the Philippines </w:t>
            </w:r>
            <w:r>
              <w:rPr>
                <w:noProof/>
                <w:lang w:val="pt-BR"/>
              </w:rPr>
              <w:t>(Calilung 1976)</w:t>
            </w:r>
            <w:r>
              <w:rPr>
                <w:iCs/>
                <w:lang w:val="pt-BR"/>
              </w:rPr>
              <w:t>, however, t</w:t>
            </w:r>
            <w:r w:rsidRPr="006C2107">
              <w:rPr>
                <w:iCs/>
                <w:lang w:val="pt-BR"/>
              </w:rPr>
              <w:t xml:space="preserve">here is no evidence of </w:t>
            </w:r>
            <w:r>
              <w:rPr>
                <w:iCs/>
                <w:lang w:val="pt-BR"/>
              </w:rPr>
              <w:t xml:space="preserve">it occuring on dragon fruit or </w:t>
            </w:r>
            <w:r w:rsidRPr="006C2107">
              <w:rPr>
                <w:iCs/>
                <w:lang w:val="pt-BR"/>
              </w:rPr>
              <w:t xml:space="preserve">being present in </w:t>
            </w:r>
            <w:r>
              <w:rPr>
                <w:iCs/>
                <w:lang w:val="pt-BR"/>
              </w:rPr>
              <w:t>commercial</w:t>
            </w:r>
            <w:r w:rsidRPr="006C2107">
              <w:rPr>
                <w:iCs/>
                <w:lang w:val="pt-BR"/>
              </w:rPr>
              <w:t xml:space="preserve"> dragon fruit</w:t>
            </w:r>
            <w:r>
              <w:rPr>
                <w:iCs/>
                <w:lang w:val="pt-BR"/>
              </w:rPr>
              <w:t xml:space="preserve"> </w:t>
            </w:r>
            <w:r w:rsidRPr="006C2107">
              <w:rPr>
                <w:iCs/>
                <w:lang w:val="pt-BR"/>
              </w:rPr>
              <w:t>production areas</w:t>
            </w:r>
            <w:r>
              <w:rPr>
                <w:iCs/>
                <w:lang w:val="pt-BR"/>
              </w:rPr>
              <w:t xml:space="preserve"> in the Philippines or any other country outside of Indonesia</w:t>
            </w:r>
            <w:r w:rsidRPr="006C2107">
              <w:rPr>
                <w:iCs/>
                <w:lang w:val="pt-BR"/>
              </w:rPr>
              <w:t xml:space="preserve">. </w:t>
            </w:r>
          </w:p>
        </w:tc>
        <w:tc>
          <w:tcPr>
            <w:tcW w:w="706" w:type="pct"/>
            <w:shd w:val="clear" w:color="auto" w:fill="auto"/>
          </w:tcPr>
          <w:p w14:paraId="0C1280A8" w14:textId="77777777" w:rsidR="00BC2F05" w:rsidRDefault="00772FB6" w:rsidP="00A707B5">
            <w:pPr>
              <w:pStyle w:val="TableText"/>
            </w:pPr>
            <w:r w:rsidRPr="00DE4F68">
              <w:lastRenderedPageBreak/>
              <w:t>Assessment not required</w:t>
            </w:r>
            <w:r w:rsidRPr="0082028A">
              <w:t xml:space="preserve"> </w:t>
            </w:r>
          </w:p>
        </w:tc>
        <w:tc>
          <w:tcPr>
            <w:tcW w:w="700" w:type="pct"/>
            <w:shd w:val="clear" w:color="auto" w:fill="auto"/>
          </w:tcPr>
          <w:p w14:paraId="3CDE7124" w14:textId="77777777" w:rsidR="00BC2F05" w:rsidRDefault="00772FB6" w:rsidP="00A707B5">
            <w:pPr>
              <w:pStyle w:val="TableText"/>
            </w:pPr>
            <w:r w:rsidRPr="00DE4F68">
              <w:t>Assessment not required</w:t>
            </w:r>
            <w:r w:rsidRPr="00C46FD7">
              <w:t xml:space="preserve"> </w:t>
            </w:r>
          </w:p>
        </w:tc>
        <w:tc>
          <w:tcPr>
            <w:tcW w:w="701" w:type="pct"/>
            <w:shd w:val="clear" w:color="auto" w:fill="auto"/>
          </w:tcPr>
          <w:p w14:paraId="3CA75030" w14:textId="77777777" w:rsidR="00BC2F05" w:rsidRDefault="00772FB6" w:rsidP="00A707B5">
            <w:pPr>
              <w:pStyle w:val="TableText"/>
            </w:pPr>
            <w:r w:rsidRPr="00DE4F68">
              <w:t>Assessment not required</w:t>
            </w:r>
          </w:p>
        </w:tc>
        <w:tc>
          <w:tcPr>
            <w:tcW w:w="500" w:type="pct"/>
            <w:gridSpan w:val="2"/>
            <w:shd w:val="clear" w:color="auto" w:fill="auto"/>
          </w:tcPr>
          <w:p w14:paraId="79BC20AB" w14:textId="77777777" w:rsidR="00BC2F05" w:rsidRDefault="00772FB6" w:rsidP="00A707B5">
            <w:pPr>
              <w:pStyle w:val="TableText"/>
            </w:pPr>
            <w:r>
              <w:t>No</w:t>
            </w:r>
          </w:p>
        </w:tc>
      </w:tr>
      <w:tr w:rsidR="00C80041" w14:paraId="3AA27F57" w14:textId="77777777" w:rsidTr="003754F5">
        <w:trPr>
          <w:trHeight w:val="75"/>
          <w:jc w:val="center"/>
        </w:trPr>
        <w:tc>
          <w:tcPr>
            <w:tcW w:w="799" w:type="pct"/>
            <w:shd w:val="clear" w:color="auto" w:fill="auto"/>
          </w:tcPr>
          <w:p w14:paraId="0B702AE7" w14:textId="77777777" w:rsidR="00BC2F05" w:rsidRPr="00631493" w:rsidRDefault="00772FB6" w:rsidP="00976665">
            <w:pPr>
              <w:pStyle w:val="TableText"/>
              <w:rPr>
                <w:color w:val="000000" w:themeColor="text1"/>
                <w:lang w:val="pt-BR"/>
              </w:rPr>
            </w:pPr>
            <w:r>
              <w:rPr>
                <w:i/>
                <w:color w:val="000000" w:themeColor="text1"/>
                <w:lang w:val="pt-BR"/>
              </w:rPr>
              <w:t xml:space="preserve">Brachycaudus helichrysi </w:t>
            </w:r>
            <w:r>
              <w:rPr>
                <w:color w:val="000000" w:themeColor="text1"/>
                <w:lang w:val="pt-BR"/>
              </w:rPr>
              <w:t>(Kaltenbach, 1843)</w:t>
            </w:r>
          </w:p>
          <w:p w14:paraId="692A8A53" w14:textId="77777777" w:rsidR="00BC2F05" w:rsidRPr="00F508B9" w:rsidRDefault="00772FB6" w:rsidP="00976665">
            <w:pPr>
              <w:pStyle w:val="TableText"/>
              <w:rPr>
                <w:color w:val="000000" w:themeColor="text1"/>
                <w:lang w:val="pt-BR"/>
              </w:rPr>
            </w:pPr>
            <w:r>
              <w:rPr>
                <w:color w:val="000000" w:themeColor="text1"/>
                <w:lang w:val="pt-BR"/>
              </w:rPr>
              <w:t>[Aphididae]</w:t>
            </w:r>
          </w:p>
          <w:p w14:paraId="20098B04" w14:textId="77777777" w:rsidR="00BC2F05" w:rsidRPr="00F508B9" w:rsidRDefault="00772FB6" w:rsidP="00976665">
            <w:pPr>
              <w:pStyle w:val="TableText"/>
              <w:rPr>
                <w:color w:val="000000" w:themeColor="text1"/>
                <w:lang w:val="pt-BR"/>
              </w:rPr>
            </w:pPr>
            <w:r>
              <w:rPr>
                <w:color w:val="000000" w:themeColor="text1"/>
                <w:lang w:val="pt-BR"/>
              </w:rPr>
              <w:t>Leaf-curl plum aphid</w:t>
            </w:r>
          </w:p>
        </w:tc>
        <w:tc>
          <w:tcPr>
            <w:tcW w:w="450" w:type="pct"/>
            <w:shd w:val="clear" w:color="auto" w:fill="auto"/>
          </w:tcPr>
          <w:p w14:paraId="2926CB68" w14:textId="77777777" w:rsidR="00BC2F05" w:rsidRPr="00BD681D" w:rsidRDefault="00772FB6" w:rsidP="00976665">
            <w:pPr>
              <w:pStyle w:val="TableText"/>
              <w:rPr>
                <w:lang w:val="pt-BR"/>
              </w:rPr>
            </w:pPr>
            <w:r>
              <w:rPr>
                <w:lang w:val="pt-BR"/>
              </w:rPr>
              <w:t xml:space="preserve">Yes </w:t>
            </w:r>
            <w:r>
              <w:rPr>
                <w:noProof/>
                <w:lang w:val="pt-BR"/>
              </w:rPr>
              <w:t>(Calilung 1976)</w:t>
            </w:r>
          </w:p>
        </w:tc>
        <w:tc>
          <w:tcPr>
            <w:tcW w:w="499" w:type="pct"/>
            <w:shd w:val="clear" w:color="auto" w:fill="auto"/>
          </w:tcPr>
          <w:p w14:paraId="50561C0A" w14:textId="77777777" w:rsidR="00BC2F05" w:rsidRPr="00BD681D" w:rsidRDefault="00772FB6" w:rsidP="00976665">
            <w:pPr>
              <w:pStyle w:val="TableText"/>
              <w:rPr>
                <w:szCs w:val="16"/>
              </w:rPr>
            </w:pPr>
            <w:r>
              <w:t xml:space="preserve">Yes. NSW, Qld, SA, Tas., Vic., WA </w:t>
            </w:r>
            <w:r>
              <w:rPr>
                <w:noProof/>
                <w:szCs w:val="16"/>
              </w:rPr>
              <w:t>(APPD 2022)</w:t>
            </w:r>
          </w:p>
        </w:tc>
        <w:tc>
          <w:tcPr>
            <w:tcW w:w="645" w:type="pct"/>
            <w:shd w:val="clear" w:color="auto" w:fill="auto"/>
          </w:tcPr>
          <w:p w14:paraId="127E7B82" w14:textId="77777777" w:rsidR="00BC2F05" w:rsidRPr="00BD681D" w:rsidRDefault="00772FB6" w:rsidP="00976665">
            <w:pPr>
              <w:pStyle w:val="TableText"/>
            </w:pPr>
            <w:r w:rsidRPr="0073370D">
              <w:t>Assessment not required</w:t>
            </w:r>
          </w:p>
        </w:tc>
        <w:tc>
          <w:tcPr>
            <w:tcW w:w="706" w:type="pct"/>
          </w:tcPr>
          <w:p w14:paraId="1954F5D5" w14:textId="77777777" w:rsidR="00BC2F05" w:rsidRDefault="00772FB6" w:rsidP="00976665">
            <w:pPr>
              <w:pStyle w:val="TableText"/>
            </w:pPr>
            <w:r w:rsidRPr="0073370D">
              <w:t>Assessment not required</w:t>
            </w:r>
          </w:p>
        </w:tc>
        <w:tc>
          <w:tcPr>
            <w:tcW w:w="700" w:type="pct"/>
            <w:shd w:val="clear" w:color="auto" w:fill="auto"/>
          </w:tcPr>
          <w:p w14:paraId="6B67AA6B" w14:textId="77777777" w:rsidR="00BC2F05" w:rsidRPr="00BD681D" w:rsidRDefault="00772FB6" w:rsidP="00976665">
            <w:pPr>
              <w:pStyle w:val="TableText"/>
            </w:pPr>
            <w:r w:rsidRPr="0073370D">
              <w:t>Assessment not required</w:t>
            </w:r>
          </w:p>
        </w:tc>
        <w:tc>
          <w:tcPr>
            <w:tcW w:w="701" w:type="pct"/>
            <w:shd w:val="clear" w:color="auto" w:fill="auto"/>
          </w:tcPr>
          <w:p w14:paraId="0301B400" w14:textId="77777777" w:rsidR="00BC2F05" w:rsidRPr="00BD681D" w:rsidRDefault="00772FB6" w:rsidP="00976665">
            <w:pPr>
              <w:pStyle w:val="TableText"/>
            </w:pPr>
            <w:r w:rsidRPr="0073370D">
              <w:t>Assessment not required</w:t>
            </w:r>
          </w:p>
        </w:tc>
        <w:tc>
          <w:tcPr>
            <w:tcW w:w="500" w:type="pct"/>
            <w:gridSpan w:val="2"/>
            <w:shd w:val="clear" w:color="auto" w:fill="auto"/>
          </w:tcPr>
          <w:p w14:paraId="7363117B" w14:textId="77777777" w:rsidR="00BC2F05" w:rsidRPr="00BD681D" w:rsidRDefault="00772FB6" w:rsidP="00976665">
            <w:pPr>
              <w:pStyle w:val="TableText"/>
            </w:pPr>
            <w:r>
              <w:t>No</w:t>
            </w:r>
          </w:p>
        </w:tc>
      </w:tr>
      <w:tr w:rsidR="00C80041" w14:paraId="2E1D4C8C" w14:textId="77777777" w:rsidTr="003754F5">
        <w:trPr>
          <w:trHeight w:val="75"/>
          <w:jc w:val="center"/>
        </w:trPr>
        <w:tc>
          <w:tcPr>
            <w:tcW w:w="799" w:type="pct"/>
            <w:shd w:val="clear" w:color="auto" w:fill="auto"/>
          </w:tcPr>
          <w:p w14:paraId="06FC0D7E" w14:textId="77777777" w:rsidR="00BC2F05" w:rsidRPr="00F214B0" w:rsidRDefault="00772FB6" w:rsidP="00976665">
            <w:pPr>
              <w:pStyle w:val="TableText"/>
              <w:rPr>
                <w:lang w:val="pt-BR"/>
              </w:rPr>
            </w:pPr>
            <w:r w:rsidRPr="00F214B0">
              <w:rPr>
                <w:i/>
                <w:lang w:val="pt-BR"/>
              </w:rPr>
              <w:t>Diaspis boisduvalli</w:t>
            </w:r>
            <w:r>
              <w:rPr>
                <w:i/>
                <w:lang w:val="pt-BR"/>
              </w:rPr>
              <w:t xml:space="preserve"> </w:t>
            </w:r>
            <w:r w:rsidRPr="00F214B0">
              <w:rPr>
                <w:lang w:val="pt-BR"/>
              </w:rPr>
              <w:t>Signoret, 1869</w:t>
            </w:r>
          </w:p>
          <w:p w14:paraId="0E9E48EF" w14:textId="77777777" w:rsidR="00BC2F05" w:rsidRPr="00F214B0" w:rsidRDefault="00772FB6" w:rsidP="00976665">
            <w:pPr>
              <w:pStyle w:val="TableText"/>
              <w:rPr>
                <w:lang w:val="pt-BR"/>
              </w:rPr>
            </w:pPr>
            <w:r w:rsidRPr="00F214B0">
              <w:rPr>
                <w:lang w:val="pt-BR"/>
              </w:rPr>
              <w:t>[Diaspididae]</w:t>
            </w:r>
          </w:p>
          <w:p w14:paraId="6960A81A" w14:textId="77777777" w:rsidR="00BC2F05" w:rsidRPr="00F214B0" w:rsidRDefault="00772FB6" w:rsidP="00976665">
            <w:pPr>
              <w:pStyle w:val="TableText"/>
              <w:rPr>
                <w:lang w:val="pt-BR"/>
              </w:rPr>
            </w:pPr>
            <w:r w:rsidRPr="00F214B0">
              <w:rPr>
                <w:lang w:val="pt-BR"/>
              </w:rPr>
              <w:t>Boisduval scale</w:t>
            </w:r>
          </w:p>
        </w:tc>
        <w:tc>
          <w:tcPr>
            <w:tcW w:w="450" w:type="pct"/>
            <w:shd w:val="clear" w:color="auto" w:fill="auto"/>
          </w:tcPr>
          <w:p w14:paraId="3C1DDEE3" w14:textId="77777777" w:rsidR="00BC2F05" w:rsidRPr="00F214B0" w:rsidRDefault="00772FB6" w:rsidP="00976665">
            <w:pPr>
              <w:pStyle w:val="TableText"/>
              <w:rPr>
                <w:lang w:val="pt-BR"/>
              </w:rPr>
            </w:pPr>
            <w:r w:rsidRPr="00F214B0">
              <w:rPr>
                <w:lang w:val="pt-BR"/>
              </w:rPr>
              <w:t xml:space="preserve">Yes </w:t>
            </w:r>
            <w:r>
              <w:rPr>
                <w:noProof/>
                <w:lang w:val="pt-BR"/>
              </w:rPr>
              <w:t>(García Morales et al. 2022)</w:t>
            </w:r>
          </w:p>
        </w:tc>
        <w:tc>
          <w:tcPr>
            <w:tcW w:w="499" w:type="pct"/>
            <w:shd w:val="clear" w:color="auto" w:fill="auto"/>
          </w:tcPr>
          <w:p w14:paraId="60FC8474" w14:textId="77777777" w:rsidR="00BC2F05" w:rsidRPr="00F214B0" w:rsidRDefault="00772FB6" w:rsidP="00976665">
            <w:pPr>
              <w:pStyle w:val="TableText"/>
              <w:rPr>
                <w:szCs w:val="16"/>
              </w:rPr>
            </w:pPr>
            <w:r w:rsidRPr="00F214B0">
              <w:rPr>
                <w:szCs w:val="16"/>
              </w:rPr>
              <w:t>Yes. Qld, NSW, T</w:t>
            </w:r>
            <w:r>
              <w:rPr>
                <w:szCs w:val="16"/>
              </w:rPr>
              <w:t xml:space="preserve">as </w:t>
            </w:r>
            <w:r>
              <w:rPr>
                <w:noProof/>
                <w:szCs w:val="16"/>
              </w:rPr>
              <w:t>(APPD 2022)</w:t>
            </w:r>
            <w:r>
              <w:t xml:space="preserve">, </w:t>
            </w:r>
            <w:r w:rsidRPr="00F214B0">
              <w:rPr>
                <w:szCs w:val="16"/>
              </w:rPr>
              <w:t xml:space="preserve">WA </w:t>
            </w:r>
            <w:r>
              <w:rPr>
                <w:noProof/>
                <w:szCs w:val="18"/>
              </w:rPr>
              <w:t>(Government of Western Australia 2022)</w:t>
            </w:r>
          </w:p>
        </w:tc>
        <w:tc>
          <w:tcPr>
            <w:tcW w:w="645" w:type="pct"/>
            <w:shd w:val="clear" w:color="auto" w:fill="auto"/>
          </w:tcPr>
          <w:p w14:paraId="527235C0" w14:textId="77777777" w:rsidR="00BC2F05" w:rsidRPr="00F214B0" w:rsidRDefault="00772FB6" w:rsidP="00976665">
            <w:pPr>
              <w:pStyle w:val="TableText"/>
            </w:pPr>
            <w:r w:rsidRPr="00634225">
              <w:t>Assessment not required</w:t>
            </w:r>
          </w:p>
        </w:tc>
        <w:tc>
          <w:tcPr>
            <w:tcW w:w="706" w:type="pct"/>
          </w:tcPr>
          <w:p w14:paraId="0284D7E7" w14:textId="77777777" w:rsidR="00BC2F05" w:rsidRPr="00F214B0" w:rsidRDefault="00772FB6" w:rsidP="00976665">
            <w:pPr>
              <w:pStyle w:val="TableText"/>
            </w:pPr>
            <w:r w:rsidRPr="00634225">
              <w:t>Assessment not required</w:t>
            </w:r>
          </w:p>
        </w:tc>
        <w:tc>
          <w:tcPr>
            <w:tcW w:w="700" w:type="pct"/>
            <w:shd w:val="clear" w:color="auto" w:fill="auto"/>
          </w:tcPr>
          <w:p w14:paraId="3D5B6188" w14:textId="77777777" w:rsidR="00BC2F05" w:rsidRPr="00F214B0" w:rsidRDefault="00772FB6" w:rsidP="00976665">
            <w:pPr>
              <w:pStyle w:val="TableText"/>
            </w:pPr>
            <w:r w:rsidRPr="00634225">
              <w:t>Assessment not required</w:t>
            </w:r>
          </w:p>
        </w:tc>
        <w:tc>
          <w:tcPr>
            <w:tcW w:w="701" w:type="pct"/>
            <w:shd w:val="clear" w:color="auto" w:fill="auto"/>
          </w:tcPr>
          <w:p w14:paraId="75B9631D" w14:textId="77777777" w:rsidR="00BC2F05" w:rsidRPr="00F214B0" w:rsidRDefault="00772FB6" w:rsidP="00976665">
            <w:pPr>
              <w:pStyle w:val="TableText"/>
            </w:pPr>
            <w:r w:rsidRPr="00634225">
              <w:t>Assessment not required</w:t>
            </w:r>
          </w:p>
        </w:tc>
        <w:tc>
          <w:tcPr>
            <w:tcW w:w="500" w:type="pct"/>
            <w:gridSpan w:val="2"/>
            <w:shd w:val="clear" w:color="auto" w:fill="auto"/>
          </w:tcPr>
          <w:p w14:paraId="641C5608" w14:textId="77777777" w:rsidR="00BC2F05" w:rsidRPr="00F214B0" w:rsidRDefault="00772FB6" w:rsidP="00976665">
            <w:pPr>
              <w:pStyle w:val="TableText"/>
            </w:pPr>
            <w:r w:rsidRPr="00F214B0">
              <w:t>No</w:t>
            </w:r>
          </w:p>
        </w:tc>
      </w:tr>
      <w:tr w:rsidR="00C80041" w14:paraId="2B47A94B" w14:textId="77777777" w:rsidTr="003754F5">
        <w:trPr>
          <w:trHeight w:val="75"/>
          <w:jc w:val="center"/>
        </w:trPr>
        <w:tc>
          <w:tcPr>
            <w:tcW w:w="799" w:type="pct"/>
            <w:shd w:val="clear" w:color="auto" w:fill="auto"/>
          </w:tcPr>
          <w:p w14:paraId="350E4FF5" w14:textId="77777777" w:rsidR="00BC2F05" w:rsidRPr="00631493" w:rsidRDefault="00772FB6" w:rsidP="00976665">
            <w:pPr>
              <w:pStyle w:val="TableText"/>
              <w:rPr>
                <w:color w:val="000000" w:themeColor="text1"/>
                <w:lang w:val="pt-BR"/>
              </w:rPr>
            </w:pPr>
            <w:bookmarkStart w:id="221" w:name="_Hlk100317582"/>
            <w:r w:rsidRPr="00631493">
              <w:rPr>
                <w:i/>
                <w:lang w:val="pt-BR"/>
              </w:rPr>
              <w:lastRenderedPageBreak/>
              <w:t>Dysmicoccus neobrevipes</w:t>
            </w:r>
            <w:bookmarkEnd w:id="221"/>
            <w:r>
              <w:rPr>
                <w:i/>
                <w:color w:val="000000" w:themeColor="text1"/>
                <w:lang w:val="pt-BR"/>
              </w:rPr>
              <w:t xml:space="preserve"> </w:t>
            </w:r>
            <w:r>
              <w:rPr>
                <w:color w:val="000000" w:themeColor="text1"/>
                <w:lang w:val="pt-BR"/>
              </w:rPr>
              <w:t>Beardsley, 1959</w:t>
            </w:r>
          </w:p>
          <w:p w14:paraId="011E2D38" w14:textId="77777777" w:rsidR="00BC2F05" w:rsidRPr="00F508B9" w:rsidRDefault="00772FB6" w:rsidP="00976665">
            <w:pPr>
              <w:pStyle w:val="TableText"/>
              <w:rPr>
                <w:color w:val="000000" w:themeColor="text1"/>
                <w:lang w:val="pt-BR"/>
              </w:rPr>
            </w:pPr>
            <w:r>
              <w:rPr>
                <w:color w:val="000000" w:themeColor="text1"/>
                <w:lang w:val="pt-BR"/>
              </w:rPr>
              <w:t>[Pseudococcidae]</w:t>
            </w:r>
          </w:p>
          <w:p w14:paraId="7DB96E32" w14:textId="77777777" w:rsidR="00BC2F05" w:rsidRDefault="00772FB6" w:rsidP="00976665">
            <w:pPr>
              <w:pStyle w:val="TableText"/>
              <w:rPr>
                <w:i/>
                <w:color w:val="000000" w:themeColor="text1"/>
                <w:lang w:val="pt-BR"/>
              </w:rPr>
            </w:pPr>
            <w:bookmarkStart w:id="222" w:name="_Hlk100317587"/>
            <w:r>
              <w:rPr>
                <w:color w:val="000000" w:themeColor="text1"/>
                <w:lang w:val="pt-BR"/>
              </w:rPr>
              <w:t>Grey pineapple mealybug</w:t>
            </w:r>
            <w:bookmarkEnd w:id="222"/>
          </w:p>
        </w:tc>
        <w:tc>
          <w:tcPr>
            <w:tcW w:w="450" w:type="pct"/>
            <w:shd w:val="clear" w:color="auto" w:fill="auto"/>
          </w:tcPr>
          <w:p w14:paraId="4DC55E7D" w14:textId="77777777" w:rsidR="00BC2F05" w:rsidRDefault="00772FB6" w:rsidP="00976665">
            <w:pPr>
              <w:pStyle w:val="TableText"/>
              <w:rPr>
                <w:lang w:val="pt-BR"/>
              </w:rPr>
            </w:pPr>
            <w:r w:rsidRPr="00BF4BF9">
              <w:rPr>
                <w:lang w:val="pt-BR"/>
              </w:rPr>
              <w:t xml:space="preserve">Yes </w:t>
            </w:r>
            <w:r>
              <w:rPr>
                <w:noProof/>
                <w:szCs w:val="16"/>
              </w:rPr>
              <w:t>(García Morales et al. 2022)</w:t>
            </w:r>
          </w:p>
        </w:tc>
        <w:tc>
          <w:tcPr>
            <w:tcW w:w="499" w:type="pct"/>
            <w:shd w:val="clear" w:color="auto" w:fill="auto"/>
          </w:tcPr>
          <w:p w14:paraId="27C6BD33" w14:textId="77777777" w:rsidR="00BC2F05" w:rsidRDefault="00772FB6" w:rsidP="00976665">
            <w:pPr>
              <w:pStyle w:val="TableText"/>
              <w:rPr>
                <w:szCs w:val="16"/>
              </w:rPr>
            </w:pPr>
            <w:r w:rsidRPr="00A04016">
              <w:rPr>
                <w:rStyle w:val="PlaceholderText"/>
                <w:color w:val="000000" w:themeColor="text1"/>
              </w:rPr>
              <w:t xml:space="preserve">No. </w:t>
            </w:r>
            <w:r>
              <w:rPr>
                <w:noProof/>
                <w:szCs w:val="16"/>
              </w:rPr>
              <w:t>(García Morales et al. 2022)</w:t>
            </w:r>
          </w:p>
        </w:tc>
        <w:tc>
          <w:tcPr>
            <w:tcW w:w="645" w:type="pct"/>
            <w:shd w:val="clear" w:color="auto" w:fill="auto"/>
          </w:tcPr>
          <w:p w14:paraId="0E551490" w14:textId="77777777" w:rsidR="00BC2F05" w:rsidRPr="00631493" w:rsidRDefault="00772FB6" w:rsidP="00976665">
            <w:pPr>
              <w:pStyle w:val="TableText"/>
              <w:rPr>
                <w:color w:val="63B1E5"/>
              </w:rPr>
            </w:pPr>
            <w:r w:rsidRPr="00A93E79">
              <w:t xml:space="preserve">Yes. </w:t>
            </w:r>
            <w:r w:rsidRPr="00631493">
              <w:rPr>
                <w:i/>
                <w:lang w:val="pt-BR"/>
              </w:rPr>
              <w:t>Dysmicoccus neobrevipes</w:t>
            </w:r>
            <w:r w:rsidRPr="00631493">
              <w:t xml:space="preserve"> occurs on the flowers, fruit and stems of </w:t>
            </w:r>
            <w:r w:rsidRPr="00A93E79">
              <w:t>dragon fruit</w:t>
            </w:r>
            <w:r w:rsidRPr="00F44BD5">
              <w:t xml:space="preserve"> </w:t>
            </w:r>
            <w:r>
              <w:rPr>
                <w:noProof/>
              </w:rPr>
              <w:t>(Doan et al. 2016; USDA-APHIS 2008)</w:t>
            </w:r>
            <w:r>
              <w:t xml:space="preserve">. The species </w:t>
            </w:r>
            <w:r w:rsidRPr="008E6F38">
              <w:t>feed</w:t>
            </w:r>
            <w:r>
              <w:t>s on host plants</w:t>
            </w:r>
            <w:r w:rsidRPr="008E6F38">
              <w:t xml:space="preserve"> by sucking phloem sap from the plant tissue</w:t>
            </w:r>
            <w:r>
              <w:t xml:space="preserve"> </w:t>
            </w:r>
            <w:r>
              <w:rPr>
                <w:noProof/>
                <w:szCs w:val="18"/>
              </w:rPr>
              <w:t>(CABI 2022)</w:t>
            </w:r>
            <w:r w:rsidRPr="008E6F38">
              <w:t xml:space="preserve">. </w:t>
            </w:r>
            <w:r w:rsidRPr="008E6F38">
              <w:rPr>
                <w:i/>
                <w:iCs/>
                <w:szCs w:val="18"/>
              </w:rPr>
              <w:t>D</w:t>
            </w:r>
            <w:r>
              <w:rPr>
                <w:i/>
                <w:iCs/>
                <w:szCs w:val="18"/>
              </w:rPr>
              <w:t>y</w:t>
            </w:r>
            <w:r w:rsidRPr="00631493">
              <w:rPr>
                <w:i/>
                <w:lang w:val="pt-BR"/>
              </w:rPr>
              <w:t>smicoccus</w:t>
            </w:r>
            <w:r>
              <w:rPr>
                <w:i/>
                <w:lang w:val="pt-BR"/>
              </w:rPr>
              <w:t xml:space="preserve"> </w:t>
            </w:r>
            <w:r w:rsidRPr="008E6F38">
              <w:rPr>
                <w:i/>
                <w:iCs/>
                <w:szCs w:val="18"/>
              </w:rPr>
              <w:t>neobrevipes</w:t>
            </w:r>
            <w:r w:rsidRPr="0082028A">
              <w:rPr>
                <w:szCs w:val="18"/>
              </w:rPr>
              <w:t xml:space="preserve"> are small (1.5 mm long) </w:t>
            </w:r>
            <w:r>
              <w:rPr>
                <w:noProof/>
                <w:szCs w:val="18"/>
              </w:rPr>
              <w:t>(CABI 2022)</w:t>
            </w:r>
            <w:r w:rsidRPr="0082028A">
              <w:rPr>
                <w:szCs w:val="18"/>
              </w:rPr>
              <w:t xml:space="preserve"> and could escape detection</w:t>
            </w:r>
            <w:r>
              <w:rPr>
                <w:szCs w:val="18"/>
              </w:rPr>
              <w:t xml:space="preserve"> </w:t>
            </w:r>
            <w:r w:rsidRPr="00945121">
              <w:t>during harvest and packing house processes</w:t>
            </w:r>
            <w:r w:rsidRPr="0082028A">
              <w:rPr>
                <w:szCs w:val="18"/>
              </w:rPr>
              <w:t>.</w:t>
            </w:r>
            <w:r w:rsidRPr="00A93E79">
              <w:t xml:space="preserve"> </w:t>
            </w:r>
          </w:p>
        </w:tc>
        <w:tc>
          <w:tcPr>
            <w:tcW w:w="706" w:type="pct"/>
            <w:shd w:val="clear" w:color="auto" w:fill="auto"/>
          </w:tcPr>
          <w:p w14:paraId="71029347" w14:textId="77777777" w:rsidR="00BC2F05" w:rsidRDefault="00772FB6" w:rsidP="00976665">
            <w:pPr>
              <w:pStyle w:val="TableText"/>
            </w:pPr>
            <w:r w:rsidRPr="0082028A">
              <w:t>Yes. This species is</w:t>
            </w:r>
            <w:r>
              <w:t xml:space="preserve"> highly</w:t>
            </w:r>
            <w:r w:rsidRPr="0082028A">
              <w:t xml:space="preserve"> polyphagous</w:t>
            </w:r>
            <w:r>
              <w:t xml:space="preserve"> with hosts in 40 families and 67 genera </w:t>
            </w:r>
            <w:r>
              <w:rPr>
                <w:noProof/>
                <w:lang w:val="pt-BR"/>
              </w:rPr>
              <w:t>(García Morales et al. 2022)</w:t>
            </w:r>
            <w:r>
              <w:t>. M</w:t>
            </w:r>
            <w:r w:rsidRPr="00116B33">
              <w:t xml:space="preserve">any hosts are available in Australia. Imported </w:t>
            </w:r>
            <w:r>
              <w:t>dragon fruit</w:t>
            </w:r>
            <w:r w:rsidRPr="00116B33">
              <w:t xml:space="preserve"> will</w:t>
            </w:r>
            <w:r>
              <w:t xml:space="preserve"> likely</w:t>
            </w:r>
            <w:r w:rsidRPr="00116B33">
              <w:t xml:space="preserve"> be distributed throughout Australia via the wholesale and retail trade pathway. </w:t>
            </w:r>
            <w:r>
              <w:t>Mealybugs</w:t>
            </w:r>
            <w:r w:rsidRPr="00116B33">
              <w:t xml:space="preserve"> present on discarded</w:t>
            </w:r>
            <w:r>
              <w:t xml:space="preserve"> dragon fruit</w:t>
            </w:r>
            <w:r w:rsidRPr="00116B33">
              <w:t xml:space="preserve"> waste could potentially disperse to a new host within </w:t>
            </w:r>
            <w:proofErr w:type="gramStart"/>
            <w:r w:rsidRPr="00116B33">
              <w:t>close proximity</w:t>
            </w:r>
            <w:proofErr w:type="gramEnd"/>
            <w:r w:rsidRPr="00116B33">
              <w:t xml:space="preserve">. </w:t>
            </w:r>
          </w:p>
        </w:tc>
        <w:tc>
          <w:tcPr>
            <w:tcW w:w="700" w:type="pct"/>
            <w:shd w:val="clear" w:color="auto" w:fill="auto"/>
          </w:tcPr>
          <w:p w14:paraId="0AD90920" w14:textId="77777777" w:rsidR="00BC2F05" w:rsidRDefault="00772FB6" w:rsidP="00976665">
            <w:pPr>
              <w:pStyle w:val="TableText"/>
              <w:rPr>
                <w:color w:val="000000" w:themeColor="text1"/>
              </w:rPr>
            </w:pPr>
            <w:r w:rsidRPr="003C4935">
              <w:rPr>
                <w:rStyle w:val="PlaceholderText"/>
                <w:color w:val="000000" w:themeColor="text1"/>
              </w:rPr>
              <w:t xml:space="preserve">Yes. Assessed in the mealybugs Group PRA </w:t>
            </w:r>
            <w:r>
              <w:rPr>
                <w:noProof/>
                <w:color w:val="000000" w:themeColor="text1"/>
              </w:rPr>
              <w:t>(DAWR 2019)</w:t>
            </w:r>
          </w:p>
        </w:tc>
        <w:tc>
          <w:tcPr>
            <w:tcW w:w="701" w:type="pct"/>
            <w:shd w:val="clear" w:color="auto" w:fill="auto"/>
          </w:tcPr>
          <w:p w14:paraId="433FCDB1" w14:textId="77777777" w:rsidR="00BC2F05" w:rsidRDefault="00772FB6" w:rsidP="00976665">
            <w:pPr>
              <w:pStyle w:val="TableText"/>
            </w:pPr>
            <w:r w:rsidRPr="00A04016">
              <w:rPr>
                <w:rStyle w:val="PlaceholderText"/>
                <w:color w:val="000000" w:themeColor="text1"/>
              </w:rPr>
              <w:t xml:space="preserve">Yes. Assessed in the mealybugs Group PRA </w:t>
            </w:r>
            <w:r>
              <w:rPr>
                <w:noProof/>
                <w:color w:val="000000" w:themeColor="text1"/>
              </w:rPr>
              <w:t>(DAWR 2019)</w:t>
            </w:r>
          </w:p>
        </w:tc>
        <w:tc>
          <w:tcPr>
            <w:tcW w:w="500" w:type="pct"/>
            <w:gridSpan w:val="2"/>
            <w:shd w:val="clear" w:color="auto" w:fill="auto"/>
          </w:tcPr>
          <w:p w14:paraId="01C2DA91" w14:textId="77777777" w:rsidR="00BC2F05" w:rsidRDefault="00772FB6" w:rsidP="00976665">
            <w:pPr>
              <w:pStyle w:val="TableText"/>
            </w:pPr>
            <w:r w:rsidRPr="00A04016">
              <w:rPr>
                <w:rStyle w:val="PlaceholderText"/>
                <w:color w:val="000000" w:themeColor="text1"/>
              </w:rPr>
              <w:t>Yes (GP)</w:t>
            </w:r>
          </w:p>
        </w:tc>
      </w:tr>
      <w:tr w:rsidR="00C80041" w14:paraId="4075ED46" w14:textId="77777777" w:rsidTr="003754F5">
        <w:trPr>
          <w:trHeight w:val="75"/>
          <w:jc w:val="center"/>
        </w:trPr>
        <w:tc>
          <w:tcPr>
            <w:tcW w:w="799" w:type="pct"/>
            <w:shd w:val="clear" w:color="auto" w:fill="auto"/>
          </w:tcPr>
          <w:p w14:paraId="77367A10" w14:textId="77777777" w:rsidR="00BC2F05" w:rsidRPr="00A25EB1" w:rsidRDefault="00772FB6" w:rsidP="00976665">
            <w:pPr>
              <w:pStyle w:val="TableText"/>
              <w:rPr>
                <w:color w:val="000000" w:themeColor="text1"/>
                <w:lang w:val="pt-BR"/>
              </w:rPr>
            </w:pPr>
            <w:bookmarkStart w:id="223" w:name="_Hlk87006986"/>
            <w:r>
              <w:rPr>
                <w:i/>
                <w:color w:val="000000" w:themeColor="text1"/>
                <w:lang w:val="pt-BR"/>
              </w:rPr>
              <w:t>Mictis longicornis</w:t>
            </w:r>
            <w:bookmarkEnd w:id="223"/>
            <w:r>
              <w:rPr>
                <w:i/>
                <w:color w:val="000000" w:themeColor="text1"/>
                <w:lang w:val="pt-BR"/>
              </w:rPr>
              <w:t xml:space="preserve"> </w:t>
            </w:r>
            <w:r>
              <w:rPr>
                <w:color w:val="000000" w:themeColor="text1"/>
                <w:lang w:val="pt-BR"/>
              </w:rPr>
              <w:t>Westwood, 1842</w:t>
            </w:r>
          </w:p>
          <w:p w14:paraId="7FF5A428" w14:textId="77777777" w:rsidR="00BC2F05" w:rsidRPr="00F508B9" w:rsidRDefault="00772FB6" w:rsidP="00976665">
            <w:pPr>
              <w:pStyle w:val="TableText"/>
              <w:rPr>
                <w:color w:val="000000" w:themeColor="text1"/>
                <w:lang w:val="pt-BR"/>
              </w:rPr>
            </w:pPr>
            <w:r>
              <w:rPr>
                <w:color w:val="000000" w:themeColor="text1"/>
                <w:lang w:val="pt-BR"/>
              </w:rPr>
              <w:t>[Coreidae]</w:t>
            </w:r>
          </w:p>
          <w:p w14:paraId="0DA7858D" w14:textId="77777777" w:rsidR="00BC2F05" w:rsidRPr="00F508B9" w:rsidRDefault="00772FB6" w:rsidP="00976665">
            <w:pPr>
              <w:pStyle w:val="TableText"/>
              <w:rPr>
                <w:color w:val="000000" w:themeColor="text1"/>
                <w:lang w:val="pt-BR"/>
              </w:rPr>
            </w:pPr>
            <w:r>
              <w:rPr>
                <w:color w:val="000000" w:themeColor="text1"/>
                <w:lang w:val="pt-BR"/>
              </w:rPr>
              <w:t>Rose coreid</w:t>
            </w:r>
          </w:p>
        </w:tc>
        <w:tc>
          <w:tcPr>
            <w:tcW w:w="450" w:type="pct"/>
            <w:shd w:val="clear" w:color="auto" w:fill="auto"/>
          </w:tcPr>
          <w:p w14:paraId="6EBB1ECD" w14:textId="77777777" w:rsidR="00BC2F05" w:rsidRPr="00BD681D" w:rsidRDefault="00772FB6" w:rsidP="00976665">
            <w:pPr>
              <w:pStyle w:val="TableText"/>
              <w:rPr>
                <w:lang w:val="pt-BR"/>
              </w:rPr>
            </w:pPr>
            <w:r w:rsidRPr="004C01FA">
              <w:rPr>
                <w:lang w:val="pt-BR"/>
              </w:rPr>
              <w:t xml:space="preserve">Yes </w:t>
            </w:r>
            <w:r>
              <w:rPr>
                <w:noProof/>
                <w:lang w:val="pt-BR"/>
              </w:rPr>
              <w:t>(Waterhouse 1993b)</w:t>
            </w:r>
          </w:p>
        </w:tc>
        <w:tc>
          <w:tcPr>
            <w:tcW w:w="499" w:type="pct"/>
            <w:shd w:val="clear" w:color="auto" w:fill="auto"/>
          </w:tcPr>
          <w:p w14:paraId="1B99A19A" w14:textId="77777777" w:rsidR="00BC2F05" w:rsidRPr="00BD681D" w:rsidRDefault="00772FB6" w:rsidP="00976665">
            <w:pPr>
              <w:pStyle w:val="TableText"/>
              <w:rPr>
                <w:szCs w:val="16"/>
              </w:rPr>
            </w:pPr>
            <w:r w:rsidRPr="009C5EF0">
              <w:rPr>
                <w:szCs w:val="16"/>
              </w:rPr>
              <w:t>No records found</w:t>
            </w:r>
          </w:p>
        </w:tc>
        <w:tc>
          <w:tcPr>
            <w:tcW w:w="645" w:type="pct"/>
            <w:shd w:val="clear" w:color="auto" w:fill="auto"/>
          </w:tcPr>
          <w:p w14:paraId="6FD93FA0" w14:textId="77777777" w:rsidR="00BC2F05" w:rsidRPr="00BD681D" w:rsidRDefault="00772FB6" w:rsidP="00976665">
            <w:pPr>
              <w:pStyle w:val="TableText"/>
            </w:pPr>
            <w:r w:rsidRPr="00F759D9">
              <w:t xml:space="preserve">No. </w:t>
            </w:r>
            <w:r>
              <w:t xml:space="preserve">This species is known to feed externally on the stem, </w:t>
            </w:r>
            <w:proofErr w:type="gramStart"/>
            <w:r>
              <w:t>branches</w:t>
            </w:r>
            <w:proofErr w:type="gramEnd"/>
            <w:r>
              <w:t xml:space="preserve"> and flowers of the host plant, including dragon fruit </w:t>
            </w:r>
            <w:r>
              <w:rPr>
                <w:noProof/>
              </w:rPr>
              <w:t>(Điểu &amp; Huỳnh 2009; Kalshoven 1981; Muniappan et al. 2012; USDA APHIS 2011)</w:t>
            </w:r>
            <w:r>
              <w:t xml:space="preserve">. There is no evidence of this species occurring on </w:t>
            </w:r>
            <w:r>
              <w:lastRenderedPageBreak/>
              <w:t xml:space="preserve">the fruit of dragon fruit. </w:t>
            </w:r>
          </w:p>
        </w:tc>
        <w:tc>
          <w:tcPr>
            <w:tcW w:w="706" w:type="pct"/>
          </w:tcPr>
          <w:p w14:paraId="7C6ABD2E" w14:textId="77777777" w:rsidR="00BC2F05" w:rsidRDefault="00772FB6" w:rsidP="00976665">
            <w:pPr>
              <w:pStyle w:val="TableText"/>
            </w:pPr>
            <w:r w:rsidRPr="00B47A50">
              <w:lastRenderedPageBreak/>
              <w:t>Assessment not required</w:t>
            </w:r>
          </w:p>
        </w:tc>
        <w:tc>
          <w:tcPr>
            <w:tcW w:w="700" w:type="pct"/>
            <w:shd w:val="clear" w:color="auto" w:fill="auto"/>
          </w:tcPr>
          <w:p w14:paraId="25E888D2" w14:textId="77777777" w:rsidR="00BC2F05" w:rsidRPr="00BD681D" w:rsidRDefault="00772FB6" w:rsidP="00976665">
            <w:pPr>
              <w:pStyle w:val="TableText"/>
            </w:pPr>
            <w:r w:rsidRPr="00B47A50">
              <w:t>Assessment not required</w:t>
            </w:r>
          </w:p>
        </w:tc>
        <w:tc>
          <w:tcPr>
            <w:tcW w:w="701" w:type="pct"/>
            <w:shd w:val="clear" w:color="auto" w:fill="auto"/>
          </w:tcPr>
          <w:p w14:paraId="64D5A48C" w14:textId="77777777" w:rsidR="00BC2F05" w:rsidRPr="00BD681D" w:rsidRDefault="00772FB6" w:rsidP="00976665">
            <w:pPr>
              <w:pStyle w:val="TableText"/>
            </w:pPr>
            <w:r w:rsidRPr="00B47A50">
              <w:t>Assessment not required</w:t>
            </w:r>
          </w:p>
        </w:tc>
        <w:tc>
          <w:tcPr>
            <w:tcW w:w="500" w:type="pct"/>
            <w:gridSpan w:val="2"/>
            <w:shd w:val="clear" w:color="auto" w:fill="auto"/>
          </w:tcPr>
          <w:p w14:paraId="73167AE7" w14:textId="77777777" w:rsidR="00BC2F05" w:rsidRPr="00BD681D" w:rsidRDefault="00772FB6" w:rsidP="00976665">
            <w:pPr>
              <w:pStyle w:val="TableText"/>
            </w:pPr>
            <w:r>
              <w:t>No</w:t>
            </w:r>
          </w:p>
        </w:tc>
      </w:tr>
      <w:tr w:rsidR="00C80041" w14:paraId="54B8DA08" w14:textId="77777777" w:rsidTr="003754F5">
        <w:trPr>
          <w:trHeight w:val="75"/>
          <w:jc w:val="center"/>
        </w:trPr>
        <w:tc>
          <w:tcPr>
            <w:tcW w:w="799" w:type="pct"/>
            <w:shd w:val="clear" w:color="auto" w:fill="auto"/>
          </w:tcPr>
          <w:p w14:paraId="071C6BED" w14:textId="77777777" w:rsidR="00BC2F05" w:rsidRPr="00A25EB1" w:rsidRDefault="00772FB6" w:rsidP="00976665">
            <w:pPr>
              <w:pStyle w:val="TableText"/>
              <w:rPr>
                <w:color w:val="000000" w:themeColor="text1"/>
                <w:lang w:val="pt-BR"/>
              </w:rPr>
            </w:pPr>
            <w:r>
              <w:rPr>
                <w:i/>
                <w:color w:val="000000" w:themeColor="text1"/>
                <w:lang w:val="pt-BR"/>
              </w:rPr>
              <w:t xml:space="preserve">Nezara viridula </w:t>
            </w:r>
            <w:r>
              <w:rPr>
                <w:color w:val="000000" w:themeColor="text1"/>
                <w:lang w:val="pt-BR"/>
              </w:rPr>
              <w:t>(Linnaeus, 1758)</w:t>
            </w:r>
          </w:p>
          <w:p w14:paraId="6865203D" w14:textId="77777777" w:rsidR="00BC2F05" w:rsidRPr="00F508B9" w:rsidRDefault="00772FB6" w:rsidP="00976665">
            <w:pPr>
              <w:pStyle w:val="TableText"/>
              <w:rPr>
                <w:color w:val="000000" w:themeColor="text1"/>
                <w:lang w:val="pt-BR"/>
              </w:rPr>
            </w:pPr>
            <w:r>
              <w:rPr>
                <w:color w:val="000000" w:themeColor="text1"/>
                <w:lang w:val="pt-BR"/>
              </w:rPr>
              <w:t>[Pentatomidae]</w:t>
            </w:r>
          </w:p>
          <w:p w14:paraId="0A92A665" w14:textId="77777777" w:rsidR="00BC2F05" w:rsidRPr="00F508B9" w:rsidRDefault="00772FB6" w:rsidP="00976665">
            <w:pPr>
              <w:pStyle w:val="TableText"/>
              <w:rPr>
                <w:color w:val="000000" w:themeColor="text1"/>
                <w:lang w:val="pt-BR"/>
              </w:rPr>
            </w:pPr>
            <w:r>
              <w:rPr>
                <w:color w:val="000000" w:themeColor="text1"/>
                <w:lang w:val="pt-BR"/>
              </w:rPr>
              <w:t>Green vegetable bug</w:t>
            </w:r>
          </w:p>
        </w:tc>
        <w:tc>
          <w:tcPr>
            <w:tcW w:w="450" w:type="pct"/>
            <w:shd w:val="clear" w:color="auto" w:fill="auto"/>
          </w:tcPr>
          <w:p w14:paraId="37062930" w14:textId="77777777" w:rsidR="00BC2F05" w:rsidRPr="00BD681D" w:rsidRDefault="00772FB6" w:rsidP="00976665">
            <w:pPr>
              <w:pStyle w:val="TableText"/>
              <w:rPr>
                <w:lang w:val="pt-BR"/>
              </w:rPr>
            </w:pPr>
            <w:r w:rsidRPr="00664527">
              <w:rPr>
                <w:lang w:val="pt-BR"/>
              </w:rPr>
              <w:t xml:space="preserve">Yes </w:t>
            </w:r>
            <w:r>
              <w:rPr>
                <w:noProof/>
                <w:lang w:val="pt-BR"/>
              </w:rPr>
              <w:t>(Jones 1988; McPherson 2018)</w:t>
            </w:r>
          </w:p>
        </w:tc>
        <w:tc>
          <w:tcPr>
            <w:tcW w:w="499" w:type="pct"/>
            <w:shd w:val="clear" w:color="auto" w:fill="auto"/>
          </w:tcPr>
          <w:p w14:paraId="0266EEA2" w14:textId="77777777" w:rsidR="00BC2F05" w:rsidRPr="00BD681D" w:rsidRDefault="00772FB6" w:rsidP="00976665">
            <w:pPr>
              <w:pStyle w:val="TableText"/>
              <w:rPr>
                <w:szCs w:val="16"/>
              </w:rPr>
            </w:pPr>
            <w:r w:rsidRPr="00664527">
              <w:rPr>
                <w:szCs w:val="16"/>
              </w:rPr>
              <w:t>Yes</w:t>
            </w:r>
            <w:r>
              <w:rPr>
                <w:szCs w:val="16"/>
              </w:rPr>
              <w:t>.</w:t>
            </w:r>
            <w:r w:rsidRPr="00664527">
              <w:rPr>
                <w:szCs w:val="16"/>
              </w:rPr>
              <w:t xml:space="preserve"> </w:t>
            </w:r>
            <w:r>
              <w:rPr>
                <w:szCs w:val="16"/>
              </w:rPr>
              <w:t xml:space="preserve">All states and territories </w:t>
            </w:r>
            <w:r>
              <w:rPr>
                <w:noProof/>
                <w:szCs w:val="16"/>
              </w:rPr>
              <w:t>(APPD 2022; McPherson 2018)</w:t>
            </w:r>
          </w:p>
        </w:tc>
        <w:tc>
          <w:tcPr>
            <w:tcW w:w="645" w:type="pct"/>
            <w:shd w:val="clear" w:color="auto" w:fill="auto"/>
          </w:tcPr>
          <w:p w14:paraId="41DD684F" w14:textId="77777777" w:rsidR="00BC2F05" w:rsidRPr="00BD681D" w:rsidRDefault="00772FB6" w:rsidP="00976665">
            <w:pPr>
              <w:pStyle w:val="TableText"/>
            </w:pPr>
            <w:r w:rsidRPr="0023770B">
              <w:t>Assessment not required</w:t>
            </w:r>
          </w:p>
        </w:tc>
        <w:tc>
          <w:tcPr>
            <w:tcW w:w="706" w:type="pct"/>
          </w:tcPr>
          <w:p w14:paraId="65F78607" w14:textId="77777777" w:rsidR="00BC2F05" w:rsidRDefault="00772FB6" w:rsidP="00976665">
            <w:pPr>
              <w:pStyle w:val="TableText"/>
            </w:pPr>
            <w:r w:rsidRPr="0023770B">
              <w:t>Assessment not required</w:t>
            </w:r>
          </w:p>
        </w:tc>
        <w:tc>
          <w:tcPr>
            <w:tcW w:w="700" w:type="pct"/>
            <w:shd w:val="clear" w:color="auto" w:fill="auto"/>
          </w:tcPr>
          <w:p w14:paraId="63DD9787" w14:textId="77777777" w:rsidR="00BC2F05" w:rsidRPr="00BD681D" w:rsidRDefault="00772FB6" w:rsidP="00976665">
            <w:pPr>
              <w:pStyle w:val="TableText"/>
            </w:pPr>
            <w:r w:rsidRPr="0023770B">
              <w:t>Assessment not required</w:t>
            </w:r>
          </w:p>
        </w:tc>
        <w:tc>
          <w:tcPr>
            <w:tcW w:w="701" w:type="pct"/>
            <w:shd w:val="clear" w:color="auto" w:fill="auto"/>
          </w:tcPr>
          <w:p w14:paraId="470AFFD7" w14:textId="77777777" w:rsidR="00BC2F05" w:rsidRPr="00BD681D" w:rsidRDefault="00772FB6" w:rsidP="00976665">
            <w:pPr>
              <w:pStyle w:val="TableText"/>
            </w:pPr>
            <w:r w:rsidRPr="0023770B">
              <w:t>Assessment not required</w:t>
            </w:r>
          </w:p>
        </w:tc>
        <w:tc>
          <w:tcPr>
            <w:tcW w:w="500" w:type="pct"/>
            <w:gridSpan w:val="2"/>
            <w:shd w:val="clear" w:color="auto" w:fill="auto"/>
          </w:tcPr>
          <w:p w14:paraId="0C05C73B" w14:textId="77777777" w:rsidR="00BC2F05" w:rsidRPr="00BD681D" w:rsidRDefault="00772FB6" w:rsidP="00976665">
            <w:pPr>
              <w:pStyle w:val="TableText"/>
            </w:pPr>
            <w:r>
              <w:t>No</w:t>
            </w:r>
          </w:p>
        </w:tc>
      </w:tr>
      <w:tr w:rsidR="00C80041" w14:paraId="6E529159" w14:textId="77777777" w:rsidTr="003754F5">
        <w:trPr>
          <w:trHeight w:val="75"/>
          <w:jc w:val="center"/>
        </w:trPr>
        <w:tc>
          <w:tcPr>
            <w:tcW w:w="799" w:type="pct"/>
            <w:shd w:val="clear" w:color="auto" w:fill="auto"/>
          </w:tcPr>
          <w:p w14:paraId="52913634" w14:textId="77777777" w:rsidR="00BC2F05" w:rsidRPr="00280CCB" w:rsidRDefault="00772FB6" w:rsidP="00976665">
            <w:pPr>
              <w:pStyle w:val="TableText"/>
              <w:rPr>
                <w:color w:val="000000" w:themeColor="text1"/>
                <w:lang w:val="pt-BR"/>
              </w:rPr>
            </w:pPr>
            <w:bookmarkStart w:id="224" w:name="_Hlk100317600"/>
            <w:r w:rsidRPr="00280CCB">
              <w:rPr>
                <w:i/>
                <w:lang w:val="pt-BR"/>
              </w:rPr>
              <w:t>Paracoccus marginatus</w:t>
            </w:r>
            <w:bookmarkEnd w:id="224"/>
            <w:r>
              <w:rPr>
                <w:i/>
                <w:color w:val="000000" w:themeColor="text1"/>
                <w:lang w:val="pt-BR"/>
              </w:rPr>
              <w:t xml:space="preserve"> </w:t>
            </w:r>
            <w:r>
              <w:rPr>
                <w:color w:val="000000" w:themeColor="text1"/>
                <w:lang w:val="pt-BR"/>
              </w:rPr>
              <w:t>Williams &amp; Granara de Willink, 1992</w:t>
            </w:r>
          </w:p>
          <w:p w14:paraId="27D945CE" w14:textId="77777777" w:rsidR="00BC2F05" w:rsidRPr="00F508B9" w:rsidRDefault="00772FB6" w:rsidP="00976665">
            <w:pPr>
              <w:pStyle w:val="TableText"/>
              <w:rPr>
                <w:color w:val="000000" w:themeColor="text1"/>
                <w:lang w:val="pt-BR"/>
              </w:rPr>
            </w:pPr>
            <w:r>
              <w:rPr>
                <w:color w:val="000000" w:themeColor="text1"/>
                <w:lang w:val="pt-BR"/>
              </w:rPr>
              <w:t>[Pseudococcidae]</w:t>
            </w:r>
          </w:p>
          <w:p w14:paraId="5557AC4D" w14:textId="77777777" w:rsidR="00BC2F05" w:rsidRDefault="00772FB6" w:rsidP="00976665">
            <w:pPr>
              <w:pStyle w:val="TableText"/>
              <w:rPr>
                <w:i/>
                <w:color w:val="000000" w:themeColor="text1"/>
                <w:lang w:val="pt-BR"/>
              </w:rPr>
            </w:pPr>
            <w:bookmarkStart w:id="225" w:name="_Hlk100317611"/>
            <w:r>
              <w:rPr>
                <w:color w:val="000000" w:themeColor="text1"/>
                <w:lang w:val="pt-BR"/>
              </w:rPr>
              <w:t>Papaya mealybug</w:t>
            </w:r>
            <w:bookmarkEnd w:id="225"/>
          </w:p>
        </w:tc>
        <w:tc>
          <w:tcPr>
            <w:tcW w:w="450" w:type="pct"/>
            <w:shd w:val="clear" w:color="auto" w:fill="auto"/>
          </w:tcPr>
          <w:p w14:paraId="1F79F638" w14:textId="77777777" w:rsidR="00BC2F05" w:rsidRDefault="00772FB6" w:rsidP="00976665">
            <w:pPr>
              <w:pStyle w:val="TableText"/>
              <w:rPr>
                <w:lang w:val="pt-BR"/>
              </w:rPr>
            </w:pPr>
            <w:r w:rsidRPr="004C01FA">
              <w:rPr>
                <w:lang w:val="pt-BR"/>
              </w:rPr>
              <w:t xml:space="preserve">Yes </w:t>
            </w:r>
            <w:r>
              <w:rPr>
                <w:noProof/>
                <w:szCs w:val="16"/>
              </w:rPr>
              <w:t>(García Morales et al. 2022)</w:t>
            </w:r>
          </w:p>
        </w:tc>
        <w:tc>
          <w:tcPr>
            <w:tcW w:w="499" w:type="pct"/>
            <w:shd w:val="clear" w:color="auto" w:fill="auto"/>
          </w:tcPr>
          <w:p w14:paraId="24E77991" w14:textId="77777777" w:rsidR="00BC2F05" w:rsidRDefault="00772FB6" w:rsidP="00976665">
            <w:pPr>
              <w:pStyle w:val="TableText"/>
              <w:rPr>
                <w:szCs w:val="16"/>
              </w:rPr>
            </w:pPr>
            <w:r w:rsidRPr="00A04016">
              <w:rPr>
                <w:rStyle w:val="PlaceholderText"/>
                <w:color w:val="000000" w:themeColor="text1"/>
              </w:rPr>
              <w:t xml:space="preserve">No. </w:t>
            </w:r>
            <w:r>
              <w:rPr>
                <w:noProof/>
                <w:szCs w:val="16"/>
              </w:rPr>
              <w:t>(García Morales et al. 2022)</w:t>
            </w:r>
          </w:p>
        </w:tc>
        <w:tc>
          <w:tcPr>
            <w:tcW w:w="645" w:type="pct"/>
            <w:shd w:val="clear" w:color="auto" w:fill="auto"/>
          </w:tcPr>
          <w:p w14:paraId="5F2F847E" w14:textId="77777777" w:rsidR="00BC2F05" w:rsidRDefault="00772FB6" w:rsidP="00976665">
            <w:pPr>
              <w:pStyle w:val="TableText"/>
            </w:pPr>
            <w:r w:rsidRPr="00CF278A">
              <w:t>Yes.</w:t>
            </w:r>
            <w:r>
              <w:t xml:space="preserve"> </w:t>
            </w:r>
            <w:r w:rsidRPr="00280CCB">
              <w:rPr>
                <w:i/>
                <w:lang w:val="pt-BR"/>
              </w:rPr>
              <w:t>Paracoccus marginatus</w:t>
            </w:r>
            <w:r>
              <w:t xml:space="preserve"> has been reported feeding on the mature fruit of dragon fruit in aggregations </w:t>
            </w:r>
            <w:r>
              <w:rPr>
                <w:noProof/>
              </w:rPr>
              <w:t>(Ruíz Ronquillo 2021)</w:t>
            </w:r>
            <w:r>
              <w:t xml:space="preserve">. Adults and nymphs </w:t>
            </w:r>
            <w:r w:rsidRPr="008E6F38">
              <w:t>feed</w:t>
            </w:r>
            <w:r>
              <w:t xml:space="preserve"> on the host plant</w:t>
            </w:r>
            <w:r w:rsidRPr="008E6F38">
              <w:t xml:space="preserve"> by sucking phloem sap from the plant tissue</w:t>
            </w:r>
            <w:r>
              <w:t xml:space="preserve"> </w:t>
            </w:r>
            <w:r>
              <w:rPr>
                <w:noProof/>
              </w:rPr>
              <w:t>(CABI 2022; Ruíz Ronquillo 2021)</w:t>
            </w:r>
            <w:r>
              <w:t>.</w:t>
            </w:r>
            <w:r w:rsidRPr="008E6F38">
              <w:rPr>
                <w:i/>
                <w:iCs/>
                <w:szCs w:val="18"/>
              </w:rPr>
              <w:t xml:space="preserve"> </w:t>
            </w:r>
            <w:r>
              <w:rPr>
                <w:i/>
                <w:iCs/>
                <w:szCs w:val="18"/>
              </w:rPr>
              <w:t>Paracoccus marginatus</w:t>
            </w:r>
            <w:r w:rsidRPr="0082028A">
              <w:rPr>
                <w:szCs w:val="18"/>
              </w:rPr>
              <w:t xml:space="preserve"> </w:t>
            </w:r>
            <w:r>
              <w:rPr>
                <w:szCs w:val="18"/>
              </w:rPr>
              <w:t xml:space="preserve">adults </w:t>
            </w:r>
            <w:r w:rsidRPr="0082028A">
              <w:rPr>
                <w:szCs w:val="18"/>
              </w:rPr>
              <w:t>are small (</w:t>
            </w:r>
            <w:r>
              <w:rPr>
                <w:szCs w:val="18"/>
              </w:rPr>
              <w:t>2-3.5</w:t>
            </w:r>
            <w:r w:rsidRPr="0082028A">
              <w:rPr>
                <w:szCs w:val="18"/>
              </w:rPr>
              <w:t xml:space="preserve"> mm long) </w:t>
            </w:r>
            <w:r>
              <w:rPr>
                <w:noProof/>
                <w:szCs w:val="18"/>
              </w:rPr>
              <w:t>(CABI 2022)</w:t>
            </w:r>
            <w:r w:rsidRPr="0082028A">
              <w:rPr>
                <w:szCs w:val="18"/>
              </w:rPr>
              <w:t xml:space="preserve"> and could escape detection</w:t>
            </w:r>
            <w:r>
              <w:rPr>
                <w:szCs w:val="18"/>
              </w:rPr>
              <w:t xml:space="preserve"> </w:t>
            </w:r>
            <w:r w:rsidRPr="00945121">
              <w:t>during harvest and packing house processes</w:t>
            </w:r>
            <w:r w:rsidRPr="0082028A">
              <w:rPr>
                <w:szCs w:val="18"/>
              </w:rPr>
              <w:t>.</w:t>
            </w:r>
          </w:p>
        </w:tc>
        <w:tc>
          <w:tcPr>
            <w:tcW w:w="706" w:type="pct"/>
            <w:shd w:val="clear" w:color="auto" w:fill="auto"/>
          </w:tcPr>
          <w:p w14:paraId="3CFAC74A" w14:textId="77777777" w:rsidR="00BC2F05" w:rsidRDefault="00772FB6" w:rsidP="00976665">
            <w:pPr>
              <w:pStyle w:val="TableText"/>
            </w:pPr>
            <w:r w:rsidRPr="0089090D">
              <w:rPr>
                <w:szCs w:val="18"/>
              </w:rPr>
              <w:t xml:space="preserve">Yes. </w:t>
            </w:r>
            <w:r w:rsidRPr="0089090D">
              <w:rPr>
                <w:i/>
                <w:iCs/>
                <w:szCs w:val="18"/>
              </w:rPr>
              <w:t xml:space="preserve">Paracoccus marginatus </w:t>
            </w:r>
            <w:r w:rsidRPr="0089090D">
              <w:rPr>
                <w:szCs w:val="18"/>
              </w:rPr>
              <w:t>is highly polyphagous</w:t>
            </w:r>
            <w:r>
              <w:t xml:space="preserve"> with hosts in 54 families and 171 genera</w:t>
            </w:r>
            <w:r w:rsidRPr="0089090D">
              <w:rPr>
                <w:szCs w:val="18"/>
              </w:rPr>
              <w:t xml:space="preserve"> </w:t>
            </w:r>
            <w:r>
              <w:rPr>
                <w:noProof/>
                <w:szCs w:val="18"/>
                <w:lang w:val="pt-BR"/>
              </w:rPr>
              <w:t>(García Morales et al. 2022)</w:t>
            </w:r>
            <w:r w:rsidRPr="0089090D">
              <w:t>.</w:t>
            </w:r>
            <w:r w:rsidRPr="0089090D">
              <w:rPr>
                <w:szCs w:val="18"/>
              </w:rPr>
              <w:t xml:space="preserve"> </w:t>
            </w:r>
            <w:r w:rsidRPr="0089090D">
              <w:t xml:space="preserve">Many hosts are available in Australia. Imported </w:t>
            </w:r>
            <w:r>
              <w:t>dragon fruit</w:t>
            </w:r>
            <w:r w:rsidRPr="0089090D">
              <w:t xml:space="preserve"> will likely be distributed throughout Australia via the wholesale and retail trade pathway. Mealybugs present on discarded </w:t>
            </w:r>
            <w:r>
              <w:t>dragon</w:t>
            </w:r>
            <w:r w:rsidRPr="0089090D">
              <w:t xml:space="preserve"> fruit waste could potentially disperse to a new host within </w:t>
            </w:r>
            <w:proofErr w:type="gramStart"/>
            <w:r w:rsidRPr="0089090D">
              <w:t>close proximity</w:t>
            </w:r>
            <w:proofErr w:type="gramEnd"/>
            <w:r w:rsidRPr="0089090D">
              <w:t>.</w:t>
            </w:r>
          </w:p>
        </w:tc>
        <w:tc>
          <w:tcPr>
            <w:tcW w:w="700" w:type="pct"/>
            <w:shd w:val="clear" w:color="auto" w:fill="auto"/>
          </w:tcPr>
          <w:p w14:paraId="7BBC42D6" w14:textId="77777777" w:rsidR="00BC2F05" w:rsidRDefault="00772FB6" w:rsidP="00976665">
            <w:pPr>
              <w:pStyle w:val="TableText"/>
              <w:rPr>
                <w:color w:val="000000" w:themeColor="text1"/>
              </w:rPr>
            </w:pPr>
            <w:r w:rsidRPr="003C4935">
              <w:rPr>
                <w:rStyle w:val="PlaceholderText"/>
                <w:color w:val="000000" w:themeColor="text1"/>
              </w:rPr>
              <w:t xml:space="preserve">Yes. Assessed in the mealybugs Group PRA </w:t>
            </w:r>
            <w:r>
              <w:rPr>
                <w:noProof/>
                <w:color w:val="000000" w:themeColor="text1"/>
              </w:rPr>
              <w:t>(DAWR 2019)</w:t>
            </w:r>
          </w:p>
        </w:tc>
        <w:tc>
          <w:tcPr>
            <w:tcW w:w="701" w:type="pct"/>
            <w:shd w:val="clear" w:color="auto" w:fill="auto"/>
          </w:tcPr>
          <w:p w14:paraId="005D0D99" w14:textId="77777777" w:rsidR="00BC2F05" w:rsidRDefault="00772FB6" w:rsidP="00976665">
            <w:pPr>
              <w:pStyle w:val="TableText"/>
            </w:pPr>
            <w:r w:rsidRPr="00A04016">
              <w:rPr>
                <w:rStyle w:val="PlaceholderText"/>
                <w:color w:val="000000" w:themeColor="text1"/>
              </w:rPr>
              <w:t xml:space="preserve">Yes. Assessed in the mealybugs Group PRA </w:t>
            </w:r>
            <w:r>
              <w:rPr>
                <w:noProof/>
                <w:color w:val="000000" w:themeColor="text1"/>
              </w:rPr>
              <w:t>(DAWR 2019)</w:t>
            </w:r>
          </w:p>
        </w:tc>
        <w:tc>
          <w:tcPr>
            <w:tcW w:w="500" w:type="pct"/>
            <w:gridSpan w:val="2"/>
            <w:shd w:val="clear" w:color="auto" w:fill="auto"/>
          </w:tcPr>
          <w:p w14:paraId="0CDF51D2" w14:textId="77777777" w:rsidR="00BC2F05" w:rsidRDefault="00772FB6" w:rsidP="00976665">
            <w:pPr>
              <w:pStyle w:val="TableText"/>
            </w:pPr>
            <w:r w:rsidRPr="00A04016">
              <w:rPr>
                <w:rStyle w:val="PlaceholderText"/>
                <w:color w:val="000000" w:themeColor="text1"/>
              </w:rPr>
              <w:t>Yes (GP)</w:t>
            </w:r>
          </w:p>
        </w:tc>
      </w:tr>
      <w:tr w:rsidR="00C80041" w14:paraId="665A1D39" w14:textId="77777777" w:rsidTr="003754F5">
        <w:trPr>
          <w:trHeight w:val="75"/>
          <w:jc w:val="center"/>
        </w:trPr>
        <w:tc>
          <w:tcPr>
            <w:tcW w:w="799" w:type="pct"/>
            <w:shd w:val="clear" w:color="auto" w:fill="auto"/>
          </w:tcPr>
          <w:p w14:paraId="709EE40D" w14:textId="77777777" w:rsidR="00BC2F05" w:rsidRPr="00BA505D" w:rsidRDefault="00772FB6" w:rsidP="00976665">
            <w:pPr>
              <w:pStyle w:val="TableText"/>
              <w:rPr>
                <w:color w:val="000000" w:themeColor="text1"/>
                <w:lang w:val="pt-BR"/>
              </w:rPr>
            </w:pPr>
            <w:bookmarkStart w:id="226" w:name="_Hlk83284891"/>
            <w:r>
              <w:rPr>
                <w:i/>
                <w:color w:val="000000" w:themeColor="text1"/>
                <w:lang w:val="pt-BR"/>
              </w:rPr>
              <w:t>Pentalonia nigronervosa</w:t>
            </w:r>
            <w:bookmarkEnd w:id="226"/>
            <w:r>
              <w:rPr>
                <w:i/>
                <w:color w:val="000000" w:themeColor="text1"/>
                <w:lang w:val="pt-BR"/>
              </w:rPr>
              <w:t xml:space="preserve"> </w:t>
            </w:r>
            <w:r>
              <w:rPr>
                <w:color w:val="000000" w:themeColor="text1"/>
                <w:lang w:val="pt-BR"/>
              </w:rPr>
              <w:t>Coquerel, 1859</w:t>
            </w:r>
          </w:p>
          <w:p w14:paraId="1A9FCAD3" w14:textId="77777777" w:rsidR="00BC2F05" w:rsidRPr="00F508B9" w:rsidRDefault="00772FB6" w:rsidP="00976665">
            <w:pPr>
              <w:pStyle w:val="TableText"/>
              <w:rPr>
                <w:color w:val="000000" w:themeColor="text1"/>
                <w:lang w:val="pt-BR"/>
              </w:rPr>
            </w:pPr>
            <w:r>
              <w:rPr>
                <w:color w:val="000000" w:themeColor="text1"/>
                <w:lang w:val="pt-BR"/>
              </w:rPr>
              <w:t>[Aphididae]</w:t>
            </w:r>
          </w:p>
          <w:p w14:paraId="7F34BD1E" w14:textId="77777777" w:rsidR="00BC2F05" w:rsidRPr="00F508B9" w:rsidRDefault="00772FB6" w:rsidP="00976665">
            <w:pPr>
              <w:pStyle w:val="TableText"/>
              <w:rPr>
                <w:color w:val="000000" w:themeColor="text1"/>
                <w:lang w:val="pt-BR"/>
              </w:rPr>
            </w:pPr>
            <w:r>
              <w:rPr>
                <w:color w:val="000000" w:themeColor="text1"/>
                <w:lang w:val="pt-BR"/>
              </w:rPr>
              <w:lastRenderedPageBreak/>
              <w:t>Banana aphid</w:t>
            </w:r>
          </w:p>
        </w:tc>
        <w:tc>
          <w:tcPr>
            <w:tcW w:w="450" w:type="pct"/>
            <w:shd w:val="clear" w:color="auto" w:fill="auto"/>
          </w:tcPr>
          <w:p w14:paraId="25481825" w14:textId="77777777" w:rsidR="00BC2F05" w:rsidRPr="005C5BEB" w:rsidRDefault="00772FB6" w:rsidP="00976665">
            <w:pPr>
              <w:pStyle w:val="TableText"/>
              <w:rPr>
                <w:color w:val="FF0000"/>
                <w:lang w:val="pt-BR"/>
              </w:rPr>
            </w:pPr>
            <w:r w:rsidRPr="00AC69BF">
              <w:rPr>
                <w:lang w:val="pt-BR"/>
              </w:rPr>
              <w:lastRenderedPageBreak/>
              <w:t xml:space="preserve">Yes </w:t>
            </w:r>
            <w:r>
              <w:rPr>
                <w:noProof/>
                <w:lang w:val="pt-BR"/>
              </w:rPr>
              <w:t xml:space="preserve">(Aguilar et al. 2014; Lomerio &amp; </w:t>
            </w:r>
            <w:r>
              <w:rPr>
                <w:noProof/>
                <w:lang w:val="pt-BR"/>
              </w:rPr>
              <w:lastRenderedPageBreak/>
              <w:t>Calilung 1993)</w:t>
            </w:r>
          </w:p>
        </w:tc>
        <w:tc>
          <w:tcPr>
            <w:tcW w:w="499" w:type="pct"/>
            <w:shd w:val="clear" w:color="auto" w:fill="auto"/>
          </w:tcPr>
          <w:p w14:paraId="59D2FAD0" w14:textId="77777777" w:rsidR="00BC2F05" w:rsidRPr="00BD681D" w:rsidRDefault="00772FB6" w:rsidP="00976665">
            <w:pPr>
              <w:pStyle w:val="TableText"/>
              <w:rPr>
                <w:szCs w:val="16"/>
              </w:rPr>
            </w:pPr>
            <w:r w:rsidRPr="00335A9A">
              <w:rPr>
                <w:szCs w:val="16"/>
              </w:rPr>
              <w:lastRenderedPageBreak/>
              <w:t>Yes. NSW, Q</w:t>
            </w:r>
            <w:r>
              <w:rPr>
                <w:szCs w:val="16"/>
              </w:rPr>
              <w:t>ld</w:t>
            </w:r>
            <w:r w:rsidRPr="00335A9A">
              <w:rPr>
                <w:szCs w:val="16"/>
              </w:rPr>
              <w:t xml:space="preserve">, NT, WA </w:t>
            </w:r>
            <w:r>
              <w:rPr>
                <w:noProof/>
                <w:szCs w:val="16"/>
              </w:rPr>
              <w:t xml:space="preserve">(APPD </w:t>
            </w:r>
            <w:r>
              <w:rPr>
                <w:noProof/>
                <w:szCs w:val="16"/>
              </w:rPr>
              <w:lastRenderedPageBreak/>
              <w:t>2022; Foottit et al. 2010)</w:t>
            </w:r>
          </w:p>
        </w:tc>
        <w:tc>
          <w:tcPr>
            <w:tcW w:w="645" w:type="pct"/>
            <w:shd w:val="clear" w:color="auto" w:fill="auto"/>
          </w:tcPr>
          <w:p w14:paraId="0DECE052" w14:textId="77777777" w:rsidR="00BC2F05" w:rsidRPr="00BD681D" w:rsidRDefault="00772FB6" w:rsidP="00976665">
            <w:pPr>
              <w:pStyle w:val="TableText"/>
            </w:pPr>
            <w:r>
              <w:lastRenderedPageBreak/>
              <w:t>Assessment not required</w:t>
            </w:r>
          </w:p>
        </w:tc>
        <w:tc>
          <w:tcPr>
            <w:tcW w:w="706" w:type="pct"/>
          </w:tcPr>
          <w:p w14:paraId="53666CB3" w14:textId="77777777" w:rsidR="00BC2F05" w:rsidRDefault="00772FB6" w:rsidP="00976665">
            <w:pPr>
              <w:pStyle w:val="TableText"/>
            </w:pPr>
            <w:r w:rsidRPr="000312DB">
              <w:t>Assessment not required</w:t>
            </w:r>
          </w:p>
        </w:tc>
        <w:tc>
          <w:tcPr>
            <w:tcW w:w="700" w:type="pct"/>
            <w:shd w:val="clear" w:color="auto" w:fill="auto"/>
          </w:tcPr>
          <w:p w14:paraId="1B64F0BD" w14:textId="77777777" w:rsidR="00BC2F05" w:rsidRPr="00BD681D" w:rsidRDefault="00772FB6" w:rsidP="00976665">
            <w:pPr>
              <w:pStyle w:val="TableText"/>
            </w:pPr>
            <w:r w:rsidRPr="000312DB">
              <w:t>Assessment not required</w:t>
            </w:r>
          </w:p>
        </w:tc>
        <w:tc>
          <w:tcPr>
            <w:tcW w:w="701" w:type="pct"/>
            <w:shd w:val="clear" w:color="auto" w:fill="auto"/>
          </w:tcPr>
          <w:p w14:paraId="0A7430BF" w14:textId="77777777" w:rsidR="00BC2F05" w:rsidRPr="00BD681D" w:rsidRDefault="00772FB6" w:rsidP="00976665">
            <w:pPr>
              <w:pStyle w:val="TableText"/>
            </w:pPr>
            <w:r w:rsidRPr="000312DB">
              <w:t>Assessment not required</w:t>
            </w:r>
          </w:p>
        </w:tc>
        <w:tc>
          <w:tcPr>
            <w:tcW w:w="500" w:type="pct"/>
            <w:gridSpan w:val="2"/>
            <w:shd w:val="clear" w:color="auto" w:fill="auto"/>
          </w:tcPr>
          <w:p w14:paraId="267EB7B3" w14:textId="77777777" w:rsidR="00BC2F05" w:rsidRPr="00BD681D" w:rsidRDefault="00772FB6" w:rsidP="00976665">
            <w:pPr>
              <w:pStyle w:val="TableText"/>
            </w:pPr>
            <w:r>
              <w:t>No</w:t>
            </w:r>
          </w:p>
        </w:tc>
      </w:tr>
      <w:tr w:rsidR="00C80041" w14:paraId="70B5FF46" w14:textId="77777777" w:rsidTr="003754F5">
        <w:trPr>
          <w:trHeight w:val="75"/>
          <w:jc w:val="center"/>
        </w:trPr>
        <w:tc>
          <w:tcPr>
            <w:tcW w:w="799" w:type="pct"/>
            <w:shd w:val="clear" w:color="auto" w:fill="auto"/>
          </w:tcPr>
          <w:p w14:paraId="2A2013B0" w14:textId="77777777" w:rsidR="00BC2F05" w:rsidRPr="00CC3FA5" w:rsidRDefault="00772FB6" w:rsidP="00976665">
            <w:pPr>
              <w:pStyle w:val="TableText"/>
              <w:rPr>
                <w:color w:val="000000" w:themeColor="text1"/>
                <w:lang w:val="pt-BR"/>
              </w:rPr>
            </w:pPr>
            <w:bookmarkStart w:id="227" w:name="_Hlk100317719"/>
            <w:r w:rsidRPr="00CC3FA5">
              <w:rPr>
                <w:i/>
                <w:lang w:val="pt-BR"/>
              </w:rPr>
              <w:t>Pseudococcus jackbeardsleyi</w:t>
            </w:r>
            <w:bookmarkEnd w:id="227"/>
            <w:r>
              <w:rPr>
                <w:i/>
                <w:lang w:val="pt-BR"/>
              </w:rPr>
              <w:t xml:space="preserve"> </w:t>
            </w:r>
            <w:r>
              <w:rPr>
                <w:color w:val="000000" w:themeColor="text1"/>
                <w:lang w:val="pt-BR"/>
              </w:rPr>
              <w:t>Gimpel &amp; Miller, 1996</w:t>
            </w:r>
          </w:p>
          <w:p w14:paraId="2BA003B5" w14:textId="77777777" w:rsidR="00BC2F05" w:rsidRPr="00F508B9" w:rsidRDefault="00772FB6" w:rsidP="00976665">
            <w:pPr>
              <w:pStyle w:val="TableText"/>
              <w:rPr>
                <w:color w:val="000000" w:themeColor="text1"/>
                <w:lang w:val="pt-BR"/>
              </w:rPr>
            </w:pPr>
            <w:r>
              <w:rPr>
                <w:color w:val="000000" w:themeColor="text1"/>
                <w:lang w:val="pt-BR"/>
              </w:rPr>
              <w:t>[Pseudococcidae]</w:t>
            </w:r>
          </w:p>
          <w:p w14:paraId="34BAF625" w14:textId="77777777" w:rsidR="00BC2F05" w:rsidRPr="00F508B9" w:rsidRDefault="00772FB6" w:rsidP="00976665">
            <w:pPr>
              <w:pStyle w:val="TableText"/>
              <w:rPr>
                <w:color w:val="000000" w:themeColor="text1"/>
                <w:lang w:val="pt-BR"/>
              </w:rPr>
            </w:pPr>
            <w:r>
              <w:rPr>
                <w:color w:val="000000" w:themeColor="text1"/>
                <w:lang w:val="pt-BR"/>
              </w:rPr>
              <w:t>Jack Beardsley mealybug</w:t>
            </w:r>
          </w:p>
        </w:tc>
        <w:tc>
          <w:tcPr>
            <w:tcW w:w="450" w:type="pct"/>
            <w:shd w:val="clear" w:color="auto" w:fill="auto"/>
          </w:tcPr>
          <w:p w14:paraId="0381B68C" w14:textId="77777777" w:rsidR="00BC2F05" w:rsidRPr="00BD681D" w:rsidRDefault="00772FB6" w:rsidP="00976665">
            <w:pPr>
              <w:pStyle w:val="TableText"/>
              <w:rPr>
                <w:lang w:val="pt-BR"/>
              </w:rPr>
            </w:pPr>
            <w:r w:rsidRPr="004C01FA">
              <w:rPr>
                <w:lang w:val="pt-BR"/>
              </w:rPr>
              <w:t xml:space="preserve">Yes </w:t>
            </w:r>
            <w:r>
              <w:rPr>
                <w:noProof/>
                <w:szCs w:val="16"/>
              </w:rPr>
              <w:t>(García Morales et al. 2022)</w:t>
            </w:r>
          </w:p>
        </w:tc>
        <w:tc>
          <w:tcPr>
            <w:tcW w:w="499" w:type="pct"/>
            <w:shd w:val="clear" w:color="auto" w:fill="auto"/>
          </w:tcPr>
          <w:p w14:paraId="2244C8D1" w14:textId="77777777" w:rsidR="00BC2F05" w:rsidRPr="00BD681D" w:rsidRDefault="00772FB6" w:rsidP="00976665">
            <w:pPr>
              <w:pStyle w:val="TableText"/>
              <w:rPr>
                <w:szCs w:val="16"/>
              </w:rPr>
            </w:pPr>
            <w:r>
              <w:rPr>
                <w:szCs w:val="16"/>
              </w:rPr>
              <w:t>Y</w:t>
            </w:r>
            <w:r>
              <w:t xml:space="preserve">es. Under official control (Regional) for Qld </w:t>
            </w:r>
            <w:r>
              <w:rPr>
                <w:noProof/>
              </w:rPr>
              <w:t>(Queensland Government 2020)</w:t>
            </w:r>
            <w:r>
              <w:rPr>
                <w:rStyle w:val="PlaceholderText"/>
                <w:color w:val="000000" w:themeColor="text1"/>
              </w:rPr>
              <w:t>.</w:t>
            </w:r>
            <w:r>
              <w:t xml:space="preserve"> Present in the Torres Strait and restricted to the regulated quarantine zone in the northern part of Cape York Peninsula, mainland Australia. There is legislation in place to prevent the spread of this species </w:t>
            </w:r>
            <w:r>
              <w:rPr>
                <w:noProof/>
              </w:rPr>
              <w:t>(QDAF 2020)</w:t>
            </w:r>
            <w:r>
              <w:t>.</w:t>
            </w:r>
            <w:r w:rsidRPr="004609D2">
              <w:t xml:space="preserve"> </w:t>
            </w:r>
          </w:p>
        </w:tc>
        <w:tc>
          <w:tcPr>
            <w:tcW w:w="645" w:type="pct"/>
            <w:shd w:val="clear" w:color="auto" w:fill="auto"/>
          </w:tcPr>
          <w:p w14:paraId="43D8B6FE" w14:textId="77777777" w:rsidR="00BC2F05" w:rsidRPr="00BD681D" w:rsidRDefault="00772FB6" w:rsidP="00976665">
            <w:pPr>
              <w:pStyle w:val="TableText"/>
            </w:pPr>
            <w:r>
              <w:t xml:space="preserve">Yes. </w:t>
            </w:r>
            <w:r>
              <w:rPr>
                <w:i/>
                <w:iCs/>
              </w:rPr>
              <w:t xml:space="preserve">Pseudococcus jackbeardsleyi </w:t>
            </w:r>
            <w:r>
              <w:t xml:space="preserve">is reported as a pest of dragon fruit and commonly occurs on the fruit surface near the areole, in the fruit crevices or in the flower pit end </w:t>
            </w:r>
            <w:r>
              <w:rPr>
                <w:noProof/>
              </w:rPr>
              <w:t>(Sartiami et al. 2019)</w:t>
            </w:r>
            <w:r>
              <w:t xml:space="preserve">. Adults feed individually or in aggregations on the fruit, commonly on or underneath the bracts </w:t>
            </w:r>
            <w:r>
              <w:rPr>
                <w:noProof/>
              </w:rPr>
              <w:t>(Rezeki et al. 2021; Sartiami et al. 2019)</w:t>
            </w:r>
            <w:r>
              <w:t>.</w:t>
            </w:r>
          </w:p>
        </w:tc>
        <w:tc>
          <w:tcPr>
            <w:tcW w:w="706" w:type="pct"/>
            <w:shd w:val="clear" w:color="auto" w:fill="auto"/>
          </w:tcPr>
          <w:p w14:paraId="6BF10989" w14:textId="77777777" w:rsidR="00BC2F05" w:rsidRDefault="00772FB6" w:rsidP="00976665">
            <w:pPr>
              <w:pStyle w:val="TableText"/>
            </w:pPr>
            <w:r w:rsidRPr="0089090D">
              <w:rPr>
                <w:szCs w:val="18"/>
              </w:rPr>
              <w:t xml:space="preserve">Yes. </w:t>
            </w:r>
            <w:r>
              <w:rPr>
                <w:i/>
                <w:iCs/>
                <w:szCs w:val="18"/>
              </w:rPr>
              <w:t>Pseudococcus jackbeardsleyi</w:t>
            </w:r>
            <w:r w:rsidRPr="0089090D">
              <w:rPr>
                <w:i/>
                <w:iCs/>
                <w:szCs w:val="18"/>
              </w:rPr>
              <w:t xml:space="preserve"> </w:t>
            </w:r>
            <w:r w:rsidRPr="0089090D">
              <w:rPr>
                <w:szCs w:val="18"/>
              </w:rPr>
              <w:t xml:space="preserve">is highly polyphagous </w:t>
            </w:r>
            <w:r>
              <w:t xml:space="preserve">with hosts in 54 families and 114 genera </w:t>
            </w:r>
            <w:r>
              <w:rPr>
                <w:noProof/>
                <w:szCs w:val="18"/>
                <w:lang w:val="pt-BR"/>
              </w:rPr>
              <w:t>(García Morales et al. 2022)</w:t>
            </w:r>
            <w:r w:rsidRPr="0089090D">
              <w:t>.</w:t>
            </w:r>
            <w:r w:rsidRPr="0089090D">
              <w:rPr>
                <w:szCs w:val="18"/>
              </w:rPr>
              <w:t xml:space="preserve"> </w:t>
            </w:r>
            <w:r w:rsidRPr="0089090D">
              <w:t xml:space="preserve">Many hosts are available in Australia. Imported </w:t>
            </w:r>
            <w:r>
              <w:t>dragon fruit</w:t>
            </w:r>
            <w:r w:rsidRPr="0089090D">
              <w:t xml:space="preserve"> will likely be distributed throughout Australia via the wholesale and retail trade pathway. Mealybugs present on discarded </w:t>
            </w:r>
            <w:r>
              <w:t>dragon</w:t>
            </w:r>
            <w:r w:rsidRPr="0089090D">
              <w:t xml:space="preserve"> fruit waste could potentially disperse to a new host within </w:t>
            </w:r>
            <w:proofErr w:type="gramStart"/>
            <w:r w:rsidRPr="0089090D">
              <w:t>close proximity</w:t>
            </w:r>
            <w:proofErr w:type="gramEnd"/>
            <w:r>
              <w:t>.</w:t>
            </w:r>
          </w:p>
        </w:tc>
        <w:tc>
          <w:tcPr>
            <w:tcW w:w="700" w:type="pct"/>
            <w:shd w:val="clear" w:color="auto" w:fill="auto"/>
          </w:tcPr>
          <w:p w14:paraId="1907AFC1" w14:textId="77777777" w:rsidR="00BC2F05" w:rsidRPr="00BD681D" w:rsidRDefault="00772FB6" w:rsidP="00976665">
            <w:pPr>
              <w:pStyle w:val="TableText"/>
            </w:pPr>
            <w:r w:rsidRPr="003C4935">
              <w:rPr>
                <w:rStyle w:val="PlaceholderText"/>
                <w:color w:val="000000" w:themeColor="text1"/>
              </w:rPr>
              <w:t xml:space="preserve">Yes. Assessed in the mealybugs Group PRA </w:t>
            </w:r>
            <w:r>
              <w:rPr>
                <w:noProof/>
                <w:color w:val="000000" w:themeColor="text1"/>
              </w:rPr>
              <w:t>(DAWR 2019)</w:t>
            </w:r>
          </w:p>
        </w:tc>
        <w:tc>
          <w:tcPr>
            <w:tcW w:w="701" w:type="pct"/>
            <w:shd w:val="clear" w:color="auto" w:fill="auto"/>
          </w:tcPr>
          <w:p w14:paraId="56EE30A4" w14:textId="77777777" w:rsidR="00BC2F05" w:rsidRPr="00BD681D" w:rsidRDefault="00772FB6" w:rsidP="00976665">
            <w:pPr>
              <w:pStyle w:val="TableText"/>
            </w:pPr>
            <w:r w:rsidRPr="00A04016">
              <w:rPr>
                <w:rStyle w:val="PlaceholderText"/>
                <w:color w:val="000000" w:themeColor="text1"/>
              </w:rPr>
              <w:t xml:space="preserve">Yes. Assessed in the mealybugs Group PRA </w:t>
            </w:r>
            <w:r>
              <w:rPr>
                <w:noProof/>
                <w:color w:val="000000" w:themeColor="text1"/>
              </w:rPr>
              <w:t>(DAWR 2019)</w:t>
            </w:r>
          </w:p>
        </w:tc>
        <w:tc>
          <w:tcPr>
            <w:tcW w:w="500" w:type="pct"/>
            <w:gridSpan w:val="2"/>
            <w:shd w:val="clear" w:color="auto" w:fill="auto"/>
          </w:tcPr>
          <w:p w14:paraId="0ACCDFE5" w14:textId="77777777" w:rsidR="00BC2F05" w:rsidRPr="00BD681D" w:rsidRDefault="00772FB6" w:rsidP="00976665">
            <w:pPr>
              <w:pStyle w:val="TableText"/>
            </w:pPr>
            <w:r w:rsidRPr="00A04016">
              <w:rPr>
                <w:rStyle w:val="PlaceholderText"/>
                <w:color w:val="000000" w:themeColor="text1"/>
              </w:rPr>
              <w:t>Yes (GP)</w:t>
            </w:r>
          </w:p>
        </w:tc>
      </w:tr>
      <w:tr w:rsidR="00C80041" w14:paraId="591C7FC5" w14:textId="77777777" w:rsidTr="003754F5">
        <w:trPr>
          <w:trHeight w:val="75"/>
          <w:jc w:val="center"/>
        </w:trPr>
        <w:tc>
          <w:tcPr>
            <w:tcW w:w="799" w:type="pct"/>
            <w:shd w:val="clear" w:color="auto" w:fill="auto"/>
          </w:tcPr>
          <w:p w14:paraId="110F0B48" w14:textId="77777777" w:rsidR="00BC2F05" w:rsidRDefault="00772FB6" w:rsidP="00976665">
            <w:pPr>
              <w:pStyle w:val="TableText"/>
              <w:rPr>
                <w:i/>
                <w:color w:val="000000" w:themeColor="text1"/>
                <w:lang w:val="pt-BR"/>
              </w:rPr>
            </w:pPr>
            <w:r>
              <w:rPr>
                <w:b/>
                <w:color w:val="000000" w:themeColor="text1"/>
              </w:rPr>
              <w:t>Hymenoptera</w:t>
            </w:r>
          </w:p>
        </w:tc>
        <w:tc>
          <w:tcPr>
            <w:tcW w:w="450" w:type="pct"/>
            <w:shd w:val="clear" w:color="auto" w:fill="auto"/>
          </w:tcPr>
          <w:p w14:paraId="09307D89" w14:textId="77777777" w:rsidR="00BC2F05" w:rsidRDefault="00BC2F05" w:rsidP="00976665">
            <w:pPr>
              <w:pStyle w:val="TableText"/>
              <w:rPr>
                <w:lang w:val="pt-BR"/>
              </w:rPr>
            </w:pPr>
          </w:p>
        </w:tc>
        <w:tc>
          <w:tcPr>
            <w:tcW w:w="499" w:type="pct"/>
            <w:shd w:val="clear" w:color="auto" w:fill="auto"/>
          </w:tcPr>
          <w:p w14:paraId="244CA2F9" w14:textId="77777777" w:rsidR="00BC2F05" w:rsidRDefault="00BC2F05" w:rsidP="00976665">
            <w:pPr>
              <w:pStyle w:val="TableText"/>
              <w:rPr>
                <w:szCs w:val="16"/>
              </w:rPr>
            </w:pPr>
          </w:p>
        </w:tc>
        <w:tc>
          <w:tcPr>
            <w:tcW w:w="645" w:type="pct"/>
            <w:shd w:val="clear" w:color="auto" w:fill="auto"/>
          </w:tcPr>
          <w:p w14:paraId="2B14F8C2" w14:textId="77777777" w:rsidR="00BC2F05" w:rsidRDefault="00BC2F05" w:rsidP="00976665">
            <w:pPr>
              <w:pStyle w:val="TableText"/>
            </w:pPr>
          </w:p>
        </w:tc>
        <w:tc>
          <w:tcPr>
            <w:tcW w:w="706" w:type="pct"/>
          </w:tcPr>
          <w:p w14:paraId="5E97FD32" w14:textId="77777777" w:rsidR="00BC2F05" w:rsidRDefault="00BC2F05" w:rsidP="00976665">
            <w:pPr>
              <w:pStyle w:val="TableText"/>
            </w:pPr>
          </w:p>
        </w:tc>
        <w:tc>
          <w:tcPr>
            <w:tcW w:w="700" w:type="pct"/>
            <w:shd w:val="clear" w:color="auto" w:fill="auto"/>
          </w:tcPr>
          <w:p w14:paraId="07D95563" w14:textId="77777777" w:rsidR="00BC2F05" w:rsidRDefault="00BC2F05" w:rsidP="00976665">
            <w:pPr>
              <w:pStyle w:val="TableText"/>
            </w:pPr>
          </w:p>
        </w:tc>
        <w:tc>
          <w:tcPr>
            <w:tcW w:w="701" w:type="pct"/>
            <w:shd w:val="clear" w:color="auto" w:fill="auto"/>
          </w:tcPr>
          <w:p w14:paraId="37AD71DC" w14:textId="77777777" w:rsidR="00BC2F05" w:rsidRDefault="00BC2F05" w:rsidP="00976665">
            <w:pPr>
              <w:pStyle w:val="TableText"/>
            </w:pPr>
          </w:p>
        </w:tc>
        <w:tc>
          <w:tcPr>
            <w:tcW w:w="500" w:type="pct"/>
            <w:gridSpan w:val="2"/>
            <w:shd w:val="clear" w:color="auto" w:fill="auto"/>
          </w:tcPr>
          <w:p w14:paraId="13F5D5EC" w14:textId="77777777" w:rsidR="00BC2F05" w:rsidRDefault="00BC2F05" w:rsidP="00976665">
            <w:pPr>
              <w:pStyle w:val="TableText"/>
            </w:pPr>
          </w:p>
        </w:tc>
      </w:tr>
      <w:tr w:rsidR="00C80041" w14:paraId="3F54A468" w14:textId="77777777" w:rsidTr="003754F5">
        <w:trPr>
          <w:trHeight w:val="75"/>
          <w:jc w:val="center"/>
        </w:trPr>
        <w:tc>
          <w:tcPr>
            <w:tcW w:w="799" w:type="pct"/>
            <w:shd w:val="clear" w:color="auto" w:fill="auto"/>
          </w:tcPr>
          <w:p w14:paraId="355E9BE2" w14:textId="77777777" w:rsidR="00BC2F05" w:rsidRPr="00AB3341" w:rsidRDefault="00772FB6" w:rsidP="00976665">
            <w:pPr>
              <w:pStyle w:val="TableText"/>
              <w:rPr>
                <w:color w:val="000000" w:themeColor="text1"/>
                <w:lang w:val="pt-BR"/>
              </w:rPr>
            </w:pPr>
            <w:r>
              <w:rPr>
                <w:i/>
                <w:color w:val="000000" w:themeColor="text1"/>
                <w:lang w:val="pt-BR"/>
              </w:rPr>
              <w:t xml:space="preserve">Solenopsis geminata </w:t>
            </w:r>
            <w:r>
              <w:rPr>
                <w:color w:val="000000" w:themeColor="text1"/>
                <w:lang w:val="pt-BR"/>
              </w:rPr>
              <w:t>Fabricius, 1804</w:t>
            </w:r>
          </w:p>
          <w:p w14:paraId="098EF57C" w14:textId="77777777" w:rsidR="00BC2F05" w:rsidRPr="00F508B9" w:rsidRDefault="00772FB6" w:rsidP="00976665">
            <w:pPr>
              <w:pStyle w:val="TableText"/>
              <w:rPr>
                <w:color w:val="000000" w:themeColor="text1"/>
                <w:lang w:val="pt-BR"/>
              </w:rPr>
            </w:pPr>
            <w:r>
              <w:rPr>
                <w:color w:val="000000" w:themeColor="text1"/>
                <w:lang w:val="pt-BR"/>
              </w:rPr>
              <w:t>[Formicidae]</w:t>
            </w:r>
          </w:p>
          <w:p w14:paraId="4C6C5B5B" w14:textId="77777777" w:rsidR="00BC2F05" w:rsidRPr="00F508B9" w:rsidRDefault="00772FB6" w:rsidP="00976665">
            <w:pPr>
              <w:pStyle w:val="TableText"/>
              <w:rPr>
                <w:color w:val="000000" w:themeColor="text1"/>
                <w:lang w:val="pt-BR"/>
              </w:rPr>
            </w:pPr>
            <w:r>
              <w:rPr>
                <w:color w:val="000000" w:themeColor="text1"/>
                <w:lang w:val="pt-BR"/>
              </w:rPr>
              <w:t>Tropical fire ant</w:t>
            </w:r>
          </w:p>
        </w:tc>
        <w:tc>
          <w:tcPr>
            <w:tcW w:w="450" w:type="pct"/>
            <w:shd w:val="clear" w:color="auto" w:fill="auto"/>
          </w:tcPr>
          <w:p w14:paraId="73F98C92" w14:textId="77777777" w:rsidR="00BC2F05" w:rsidRPr="00BD681D" w:rsidRDefault="00772FB6" w:rsidP="00976665">
            <w:pPr>
              <w:pStyle w:val="TableText"/>
              <w:rPr>
                <w:lang w:val="pt-BR"/>
              </w:rPr>
            </w:pPr>
            <w:r>
              <w:rPr>
                <w:lang w:val="pt-BR"/>
              </w:rPr>
              <w:t xml:space="preserve">Yes </w:t>
            </w:r>
            <w:r>
              <w:rPr>
                <w:noProof/>
                <w:lang w:val="pt-BR"/>
              </w:rPr>
              <w:t>(Estigoy &amp; Estigoy 2015)</w:t>
            </w:r>
          </w:p>
        </w:tc>
        <w:tc>
          <w:tcPr>
            <w:tcW w:w="499" w:type="pct"/>
            <w:shd w:val="clear" w:color="auto" w:fill="auto"/>
          </w:tcPr>
          <w:p w14:paraId="4792A710" w14:textId="77777777" w:rsidR="00BC2F05" w:rsidRPr="00BD681D" w:rsidRDefault="00772FB6" w:rsidP="00976665">
            <w:pPr>
              <w:pStyle w:val="TableText"/>
              <w:rPr>
                <w:szCs w:val="16"/>
              </w:rPr>
            </w:pPr>
            <w:r w:rsidRPr="00D72CBE">
              <w:rPr>
                <w:szCs w:val="18"/>
              </w:rPr>
              <w:t>Yes</w:t>
            </w:r>
            <w:r>
              <w:rPr>
                <w:szCs w:val="18"/>
              </w:rPr>
              <w:t xml:space="preserve">. Under official control (Regional) for WA and Qld </w:t>
            </w:r>
            <w:r>
              <w:rPr>
                <w:noProof/>
              </w:rPr>
              <w:lastRenderedPageBreak/>
              <w:t>(Government of Western Australia 2022; Queensland Government 2020)</w:t>
            </w:r>
            <w:r>
              <w:t>.</w:t>
            </w:r>
            <w:r>
              <w:rPr>
                <w:szCs w:val="18"/>
              </w:rPr>
              <w:t xml:space="preserve"> Present in NSW, NT </w:t>
            </w:r>
            <w:r>
              <w:rPr>
                <w:noProof/>
                <w:szCs w:val="16"/>
              </w:rPr>
              <w:t>(APPD 2022)</w:t>
            </w:r>
            <w:r>
              <w:rPr>
                <w:szCs w:val="16"/>
              </w:rPr>
              <w:t xml:space="preserve"> and undergoing eradication in parts of mainland Australia. </w:t>
            </w:r>
            <w:r>
              <w:rPr>
                <w:noProof/>
                <w:szCs w:val="16"/>
              </w:rPr>
              <w:t>(Lenancker &amp; CSIRO 2018)</w:t>
            </w:r>
            <w:r>
              <w:rPr>
                <w:szCs w:val="18"/>
              </w:rPr>
              <w:t xml:space="preserve">. </w:t>
            </w:r>
          </w:p>
        </w:tc>
        <w:tc>
          <w:tcPr>
            <w:tcW w:w="645" w:type="pct"/>
            <w:shd w:val="clear" w:color="auto" w:fill="auto"/>
          </w:tcPr>
          <w:p w14:paraId="601FEB8D" w14:textId="77777777" w:rsidR="00BC2F05" w:rsidRDefault="00772FB6" w:rsidP="00976665">
            <w:pPr>
              <w:pStyle w:val="TableText"/>
            </w:pPr>
            <w:r>
              <w:lastRenderedPageBreak/>
              <w:t xml:space="preserve">Yes. Adult </w:t>
            </w:r>
            <w:proofErr w:type="spellStart"/>
            <w:r w:rsidRPr="00D548EF">
              <w:rPr>
                <w:i/>
                <w:iCs/>
              </w:rPr>
              <w:t>Solenopsis</w:t>
            </w:r>
            <w:proofErr w:type="spellEnd"/>
            <w:r w:rsidRPr="00D548EF">
              <w:rPr>
                <w:i/>
                <w:iCs/>
              </w:rPr>
              <w:t xml:space="preserve"> </w:t>
            </w:r>
            <w:proofErr w:type="spellStart"/>
            <w:r w:rsidRPr="00D548EF">
              <w:rPr>
                <w:i/>
                <w:iCs/>
              </w:rPr>
              <w:t>geminat</w:t>
            </w:r>
            <w:r>
              <w:rPr>
                <w:i/>
                <w:iCs/>
              </w:rPr>
              <w:t>a</w:t>
            </w:r>
            <w:proofErr w:type="spellEnd"/>
            <w:r>
              <w:t xml:space="preserve"> workers feed externally on dragon fruit skin </w:t>
            </w:r>
            <w:r>
              <w:rPr>
                <w:noProof/>
                <w:lang w:val="pt-BR"/>
              </w:rPr>
              <w:lastRenderedPageBreak/>
              <w:t>(Estigoy &amp; Estigoy 2015)</w:t>
            </w:r>
            <w:r>
              <w:rPr>
                <w:lang w:val="pt-BR"/>
              </w:rPr>
              <w:t>.</w:t>
            </w:r>
            <w:r>
              <w:t xml:space="preserve"> Infestations of adult ants and any feeding damage caused by the adult would be conspicuous and infested or damaged fruits are likely to be removed during standard production and pack-house procedures. </w:t>
            </w:r>
          </w:p>
          <w:p w14:paraId="439C58CA" w14:textId="77777777" w:rsidR="00BC2F05" w:rsidRPr="00BD681D" w:rsidRDefault="00772FB6" w:rsidP="00976665">
            <w:pPr>
              <w:pStyle w:val="TableText"/>
            </w:pPr>
            <w:r>
              <w:t>However, due to their small size (2-5mm) and high mobility there is the potential that individual ants could hide in cryptic locations such as under bracts or in the flower pit end.</w:t>
            </w:r>
          </w:p>
        </w:tc>
        <w:tc>
          <w:tcPr>
            <w:tcW w:w="706" w:type="pct"/>
            <w:shd w:val="clear" w:color="auto" w:fill="auto"/>
          </w:tcPr>
          <w:p w14:paraId="60070BAE" w14:textId="77777777" w:rsidR="00BC2F05" w:rsidRDefault="00772FB6" w:rsidP="00976665">
            <w:pPr>
              <w:pStyle w:val="TableText"/>
            </w:pPr>
            <w:r>
              <w:lastRenderedPageBreak/>
              <w:t xml:space="preserve">Yes. </w:t>
            </w:r>
            <w:proofErr w:type="spellStart"/>
            <w:r w:rsidRPr="00D548EF">
              <w:rPr>
                <w:i/>
                <w:iCs/>
              </w:rPr>
              <w:t>Solenopsis</w:t>
            </w:r>
            <w:proofErr w:type="spellEnd"/>
            <w:r w:rsidRPr="00D548EF">
              <w:rPr>
                <w:i/>
                <w:iCs/>
              </w:rPr>
              <w:t xml:space="preserve"> </w:t>
            </w:r>
            <w:proofErr w:type="spellStart"/>
            <w:r>
              <w:rPr>
                <w:i/>
                <w:iCs/>
              </w:rPr>
              <w:t>geminata</w:t>
            </w:r>
            <w:proofErr w:type="spellEnd"/>
            <w:r>
              <w:rPr>
                <w:i/>
                <w:iCs/>
              </w:rPr>
              <w:t xml:space="preserve"> </w:t>
            </w:r>
            <w:r>
              <w:t xml:space="preserve">are scavenger ants able to feed on a large range </w:t>
            </w:r>
            <w:r>
              <w:lastRenderedPageBreak/>
              <w:t xml:space="preserve">of fruits, waste food, proteins and honeydew excreted by aphids and mealybugs </w:t>
            </w:r>
            <w:r>
              <w:rPr>
                <w:noProof/>
              </w:rPr>
              <w:t>(AntWeb 2022; CABI 2022)</w:t>
            </w:r>
            <w:r>
              <w:t xml:space="preserve">. </w:t>
            </w:r>
            <w:r w:rsidRPr="0089090D">
              <w:t xml:space="preserve">Imported </w:t>
            </w:r>
            <w:r>
              <w:t>dragon fruit</w:t>
            </w:r>
            <w:r w:rsidRPr="0089090D">
              <w:t xml:space="preserve"> will likely be distributed throughout Australia via the wholesale and retail trade pathway. </w:t>
            </w:r>
            <w:r>
              <w:t>Ants are highly mobile and, if</w:t>
            </w:r>
            <w:r w:rsidRPr="0089090D">
              <w:t xml:space="preserve"> present </w:t>
            </w:r>
            <w:r>
              <w:t>in</w:t>
            </w:r>
            <w:r w:rsidRPr="0089090D">
              <w:t xml:space="preserve"> discarded </w:t>
            </w:r>
            <w:r>
              <w:t>dragon</w:t>
            </w:r>
            <w:r w:rsidRPr="0089090D">
              <w:t xml:space="preserve"> fruit waste</w:t>
            </w:r>
            <w:r>
              <w:t>,</w:t>
            </w:r>
            <w:r w:rsidRPr="0089090D">
              <w:t xml:space="preserve"> could potentially disperse to a new host</w:t>
            </w:r>
            <w:r>
              <w:t xml:space="preserve"> or scavenge other food</w:t>
            </w:r>
            <w:r w:rsidRPr="0089090D">
              <w:t xml:space="preserve"> within </w:t>
            </w:r>
            <w:r>
              <w:t>the area.</w:t>
            </w:r>
          </w:p>
        </w:tc>
        <w:tc>
          <w:tcPr>
            <w:tcW w:w="700" w:type="pct"/>
            <w:shd w:val="clear" w:color="auto" w:fill="auto"/>
          </w:tcPr>
          <w:p w14:paraId="09580B4C" w14:textId="77777777" w:rsidR="00BC2F05" w:rsidRPr="00BD681D" w:rsidRDefault="00772FB6" w:rsidP="00976665">
            <w:pPr>
              <w:pStyle w:val="TableText"/>
            </w:pPr>
            <w:r>
              <w:lastRenderedPageBreak/>
              <w:t>No. New colonies of ants require a fertilised queen to establish. After mating</w:t>
            </w:r>
            <w:r>
              <w:rPr>
                <w:i/>
                <w:color w:val="000000" w:themeColor="text1"/>
                <w:lang w:val="pt-BR"/>
              </w:rPr>
              <w:t xml:space="preserve"> </w:t>
            </w:r>
            <w:r>
              <w:rPr>
                <w:i/>
                <w:color w:val="000000" w:themeColor="text1"/>
                <w:lang w:val="pt-BR"/>
              </w:rPr>
              <w:lastRenderedPageBreak/>
              <w:t>Solenopsis geminata</w:t>
            </w:r>
            <w:r>
              <w:t xml:space="preserve"> queens drop their wings and burrow into the soil in open sunny areas to start laying eggs and form a new colony in a </w:t>
            </w:r>
            <w:proofErr w:type="gramStart"/>
            <w:r>
              <w:t>large exposed</w:t>
            </w:r>
            <w:proofErr w:type="gramEnd"/>
            <w:r>
              <w:t xml:space="preserve"> soil mound </w:t>
            </w:r>
            <w:r>
              <w:rPr>
                <w:noProof/>
              </w:rPr>
              <w:t>(AntWeb 2022; CABI 2022)</w:t>
            </w:r>
            <w:r>
              <w:t>. Occasionally they will also burrow into sand or gravel (</w:t>
            </w:r>
            <w:r>
              <w:rPr>
                <w:noProof/>
              </w:rPr>
              <w:t>CABI 2022)</w:t>
            </w:r>
            <w:r>
              <w:t xml:space="preserve">. There is no evidence that new colonies are formed in cracks or crevices in trees or other inanimate objects above ground level. Reproductive queens would therefore not be present on the fruit pathway. Worker ants that feed on the fruit of dragon fruit and manage to complete the pathway would not be able to establish a new colony upon arrival. </w:t>
            </w:r>
          </w:p>
        </w:tc>
        <w:tc>
          <w:tcPr>
            <w:tcW w:w="701" w:type="pct"/>
            <w:shd w:val="clear" w:color="auto" w:fill="auto"/>
          </w:tcPr>
          <w:p w14:paraId="11B62A78" w14:textId="77777777" w:rsidR="00BC2F05" w:rsidRPr="00BD681D" w:rsidRDefault="00772FB6" w:rsidP="00976665">
            <w:pPr>
              <w:pStyle w:val="TableText"/>
            </w:pPr>
            <w:r>
              <w:lastRenderedPageBreak/>
              <w:t>Assessment not required</w:t>
            </w:r>
          </w:p>
        </w:tc>
        <w:tc>
          <w:tcPr>
            <w:tcW w:w="500" w:type="pct"/>
            <w:gridSpan w:val="2"/>
            <w:shd w:val="clear" w:color="auto" w:fill="auto"/>
          </w:tcPr>
          <w:p w14:paraId="1487F87E" w14:textId="77777777" w:rsidR="00BC2F05" w:rsidRPr="00BD681D" w:rsidRDefault="00772FB6" w:rsidP="00976665">
            <w:pPr>
              <w:pStyle w:val="TableText"/>
            </w:pPr>
            <w:r>
              <w:t>No</w:t>
            </w:r>
          </w:p>
        </w:tc>
      </w:tr>
      <w:tr w:rsidR="00C80041" w14:paraId="6D2FB8B6" w14:textId="77777777" w:rsidTr="003754F5">
        <w:trPr>
          <w:trHeight w:val="75"/>
          <w:jc w:val="center"/>
        </w:trPr>
        <w:tc>
          <w:tcPr>
            <w:tcW w:w="799" w:type="pct"/>
            <w:shd w:val="clear" w:color="auto" w:fill="auto"/>
          </w:tcPr>
          <w:p w14:paraId="2D34112F" w14:textId="77777777" w:rsidR="00BC2F05" w:rsidRDefault="00772FB6" w:rsidP="00976665">
            <w:pPr>
              <w:pStyle w:val="TableText"/>
              <w:rPr>
                <w:i/>
                <w:color w:val="000000" w:themeColor="text1"/>
                <w:lang w:val="pt-BR"/>
              </w:rPr>
            </w:pPr>
            <w:r>
              <w:rPr>
                <w:b/>
                <w:color w:val="000000" w:themeColor="text1"/>
              </w:rPr>
              <w:t>Lepidoptera</w:t>
            </w:r>
          </w:p>
        </w:tc>
        <w:tc>
          <w:tcPr>
            <w:tcW w:w="450" w:type="pct"/>
            <w:shd w:val="clear" w:color="auto" w:fill="auto"/>
          </w:tcPr>
          <w:p w14:paraId="41840507" w14:textId="77777777" w:rsidR="00BC2F05" w:rsidRDefault="00BC2F05" w:rsidP="00976665">
            <w:pPr>
              <w:pStyle w:val="TableText"/>
              <w:rPr>
                <w:lang w:val="pt-BR"/>
              </w:rPr>
            </w:pPr>
          </w:p>
        </w:tc>
        <w:tc>
          <w:tcPr>
            <w:tcW w:w="499" w:type="pct"/>
            <w:shd w:val="clear" w:color="auto" w:fill="auto"/>
          </w:tcPr>
          <w:p w14:paraId="00C1A5EE" w14:textId="77777777" w:rsidR="00BC2F05" w:rsidRDefault="00BC2F05" w:rsidP="00976665">
            <w:pPr>
              <w:pStyle w:val="TableText"/>
              <w:rPr>
                <w:szCs w:val="16"/>
              </w:rPr>
            </w:pPr>
          </w:p>
        </w:tc>
        <w:tc>
          <w:tcPr>
            <w:tcW w:w="645" w:type="pct"/>
            <w:shd w:val="clear" w:color="auto" w:fill="auto"/>
          </w:tcPr>
          <w:p w14:paraId="20073A69" w14:textId="77777777" w:rsidR="00BC2F05" w:rsidRDefault="00BC2F05" w:rsidP="00976665">
            <w:pPr>
              <w:pStyle w:val="TableText"/>
            </w:pPr>
          </w:p>
        </w:tc>
        <w:tc>
          <w:tcPr>
            <w:tcW w:w="706" w:type="pct"/>
          </w:tcPr>
          <w:p w14:paraId="5058824C" w14:textId="77777777" w:rsidR="00BC2F05" w:rsidRDefault="00BC2F05" w:rsidP="00976665">
            <w:pPr>
              <w:pStyle w:val="TableText"/>
            </w:pPr>
          </w:p>
        </w:tc>
        <w:tc>
          <w:tcPr>
            <w:tcW w:w="700" w:type="pct"/>
            <w:shd w:val="clear" w:color="auto" w:fill="auto"/>
          </w:tcPr>
          <w:p w14:paraId="6E8B6CC5" w14:textId="77777777" w:rsidR="00BC2F05" w:rsidRDefault="00BC2F05" w:rsidP="00976665">
            <w:pPr>
              <w:pStyle w:val="TableText"/>
            </w:pPr>
          </w:p>
        </w:tc>
        <w:tc>
          <w:tcPr>
            <w:tcW w:w="701" w:type="pct"/>
            <w:shd w:val="clear" w:color="auto" w:fill="auto"/>
          </w:tcPr>
          <w:p w14:paraId="75D8AAEA" w14:textId="77777777" w:rsidR="00BC2F05" w:rsidRDefault="00BC2F05" w:rsidP="00976665">
            <w:pPr>
              <w:pStyle w:val="TableText"/>
            </w:pPr>
          </w:p>
        </w:tc>
        <w:tc>
          <w:tcPr>
            <w:tcW w:w="500" w:type="pct"/>
            <w:gridSpan w:val="2"/>
            <w:shd w:val="clear" w:color="auto" w:fill="auto"/>
          </w:tcPr>
          <w:p w14:paraId="1421BBD6" w14:textId="77777777" w:rsidR="00BC2F05" w:rsidRDefault="00BC2F05" w:rsidP="00976665">
            <w:pPr>
              <w:pStyle w:val="TableText"/>
            </w:pPr>
          </w:p>
        </w:tc>
      </w:tr>
      <w:tr w:rsidR="00C80041" w14:paraId="01122F6F" w14:textId="77777777" w:rsidTr="003754F5">
        <w:trPr>
          <w:trHeight w:val="75"/>
          <w:jc w:val="center"/>
        </w:trPr>
        <w:tc>
          <w:tcPr>
            <w:tcW w:w="799" w:type="pct"/>
            <w:shd w:val="clear" w:color="auto" w:fill="auto"/>
          </w:tcPr>
          <w:p w14:paraId="5ACE1241" w14:textId="77777777" w:rsidR="00BC2F05" w:rsidRPr="00903D29" w:rsidRDefault="00772FB6" w:rsidP="00976665">
            <w:pPr>
              <w:pStyle w:val="TableText"/>
              <w:rPr>
                <w:lang w:val="pt-BR"/>
              </w:rPr>
            </w:pPr>
            <w:r w:rsidRPr="00903D29">
              <w:rPr>
                <w:i/>
                <w:lang w:val="pt-BR"/>
              </w:rPr>
              <w:lastRenderedPageBreak/>
              <w:t>Agrotis ipsilon</w:t>
            </w:r>
            <w:r>
              <w:rPr>
                <w:i/>
                <w:lang w:val="pt-BR"/>
              </w:rPr>
              <w:t xml:space="preserve"> </w:t>
            </w:r>
            <w:r w:rsidRPr="00903D29">
              <w:rPr>
                <w:lang w:val="pt-BR"/>
              </w:rPr>
              <w:t>(Hufnagel, 1766)</w:t>
            </w:r>
          </w:p>
          <w:p w14:paraId="2E9F366F" w14:textId="77777777" w:rsidR="00BC2F05" w:rsidRPr="00903D29" w:rsidRDefault="00772FB6" w:rsidP="00976665">
            <w:pPr>
              <w:pStyle w:val="TableText"/>
              <w:rPr>
                <w:lang w:val="pt-BR"/>
              </w:rPr>
            </w:pPr>
            <w:r w:rsidRPr="00903D29">
              <w:rPr>
                <w:lang w:val="pt-BR"/>
              </w:rPr>
              <w:t>[Noctuidae]</w:t>
            </w:r>
          </w:p>
          <w:p w14:paraId="2CF80C9A" w14:textId="77777777" w:rsidR="00BC2F05" w:rsidRPr="00903D29" w:rsidRDefault="00772FB6" w:rsidP="00976665">
            <w:pPr>
              <w:pStyle w:val="TableText"/>
              <w:rPr>
                <w:lang w:val="pt-BR"/>
              </w:rPr>
            </w:pPr>
            <w:r w:rsidRPr="00903D29">
              <w:rPr>
                <w:lang w:val="pt-BR"/>
              </w:rPr>
              <w:t>Black cutworm</w:t>
            </w:r>
          </w:p>
        </w:tc>
        <w:tc>
          <w:tcPr>
            <w:tcW w:w="450" w:type="pct"/>
            <w:shd w:val="clear" w:color="auto" w:fill="auto"/>
          </w:tcPr>
          <w:p w14:paraId="43084656" w14:textId="77777777" w:rsidR="00BC2F05" w:rsidRPr="00903D29" w:rsidRDefault="00772FB6" w:rsidP="00976665">
            <w:pPr>
              <w:pStyle w:val="TableText"/>
              <w:rPr>
                <w:lang w:val="pt-BR"/>
              </w:rPr>
            </w:pPr>
            <w:r w:rsidRPr="00903D29">
              <w:rPr>
                <w:lang w:val="pt-BR"/>
              </w:rPr>
              <w:t xml:space="preserve">Yes </w:t>
            </w:r>
            <w:r>
              <w:rPr>
                <w:noProof/>
                <w:lang w:val="pt-BR"/>
              </w:rPr>
              <w:t>(Waterhouse 1993a)</w:t>
            </w:r>
          </w:p>
        </w:tc>
        <w:tc>
          <w:tcPr>
            <w:tcW w:w="499" w:type="pct"/>
            <w:shd w:val="clear" w:color="auto" w:fill="auto"/>
          </w:tcPr>
          <w:p w14:paraId="2F7F3BA4" w14:textId="77777777" w:rsidR="00BC2F05" w:rsidRPr="00903D29" w:rsidRDefault="00772FB6" w:rsidP="00976665">
            <w:pPr>
              <w:pStyle w:val="TableText"/>
              <w:rPr>
                <w:szCs w:val="16"/>
              </w:rPr>
            </w:pPr>
            <w:r w:rsidRPr="00903D29">
              <w:rPr>
                <w:szCs w:val="16"/>
              </w:rPr>
              <w:t>Yes</w:t>
            </w:r>
            <w:r>
              <w:rPr>
                <w:szCs w:val="16"/>
              </w:rPr>
              <w:t>.</w:t>
            </w:r>
            <w:r w:rsidRPr="00903D29">
              <w:rPr>
                <w:szCs w:val="16"/>
              </w:rPr>
              <w:t xml:space="preserve"> NSW, ACT, Tas, WA, Qld, NT</w:t>
            </w:r>
            <w:r>
              <w:rPr>
                <w:szCs w:val="16"/>
              </w:rPr>
              <w:t>, SA</w:t>
            </w:r>
            <w:r w:rsidRPr="00903D29">
              <w:rPr>
                <w:szCs w:val="16"/>
              </w:rPr>
              <w:t xml:space="preserve"> </w:t>
            </w:r>
            <w:r>
              <w:rPr>
                <w:noProof/>
                <w:szCs w:val="16"/>
              </w:rPr>
              <w:t>(APPD 2022)</w:t>
            </w:r>
          </w:p>
        </w:tc>
        <w:tc>
          <w:tcPr>
            <w:tcW w:w="645" w:type="pct"/>
            <w:shd w:val="clear" w:color="auto" w:fill="auto"/>
          </w:tcPr>
          <w:p w14:paraId="3F1FD9B8" w14:textId="77777777" w:rsidR="00BC2F05" w:rsidRPr="00903D29" w:rsidRDefault="00772FB6" w:rsidP="00976665">
            <w:pPr>
              <w:pStyle w:val="TableText"/>
            </w:pPr>
            <w:r w:rsidRPr="005D2091">
              <w:t>Assessment not required</w:t>
            </w:r>
          </w:p>
        </w:tc>
        <w:tc>
          <w:tcPr>
            <w:tcW w:w="706" w:type="pct"/>
          </w:tcPr>
          <w:p w14:paraId="43F04B33" w14:textId="77777777" w:rsidR="00BC2F05" w:rsidRPr="00903D29" w:rsidRDefault="00772FB6" w:rsidP="00976665">
            <w:pPr>
              <w:pStyle w:val="TableText"/>
            </w:pPr>
            <w:r w:rsidRPr="005D2091">
              <w:t>Assessment not required</w:t>
            </w:r>
          </w:p>
        </w:tc>
        <w:tc>
          <w:tcPr>
            <w:tcW w:w="700" w:type="pct"/>
            <w:shd w:val="clear" w:color="auto" w:fill="auto"/>
          </w:tcPr>
          <w:p w14:paraId="7481B7D2" w14:textId="77777777" w:rsidR="00BC2F05" w:rsidRPr="00903D29" w:rsidRDefault="00772FB6" w:rsidP="00976665">
            <w:pPr>
              <w:pStyle w:val="TableText"/>
            </w:pPr>
            <w:r w:rsidRPr="005D2091">
              <w:t>Assessment not required</w:t>
            </w:r>
          </w:p>
        </w:tc>
        <w:tc>
          <w:tcPr>
            <w:tcW w:w="701" w:type="pct"/>
            <w:shd w:val="clear" w:color="auto" w:fill="auto"/>
          </w:tcPr>
          <w:p w14:paraId="2F75DA64" w14:textId="77777777" w:rsidR="00BC2F05" w:rsidRPr="00903D29" w:rsidRDefault="00772FB6" w:rsidP="00976665">
            <w:pPr>
              <w:pStyle w:val="TableText"/>
            </w:pPr>
            <w:r w:rsidRPr="005D2091">
              <w:t>Assessment not required</w:t>
            </w:r>
          </w:p>
        </w:tc>
        <w:tc>
          <w:tcPr>
            <w:tcW w:w="500" w:type="pct"/>
            <w:gridSpan w:val="2"/>
            <w:shd w:val="clear" w:color="auto" w:fill="auto"/>
          </w:tcPr>
          <w:p w14:paraId="574805C5" w14:textId="77777777" w:rsidR="00BC2F05" w:rsidRPr="00903D29" w:rsidRDefault="00772FB6" w:rsidP="00976665">
            <w:pPr>
              <w:pStyle w:val="TableText"/>
            </w:pPr>
            <w:r w:rsidRPr="00903D29">
              <w:t>No</w:t>
            </w:r>
          </w:p>
        </w:tc>
      </w:tr>
      <w:tr w:rsidR="00C80041" w14:paraId="4DAAAEF4" w14:textId="77777777" w:rsidTr="003754F5">
        <w:trPr>
          <w:trHeight w:val="75"/>
          <w:jc w:val="center"/>
        </w:trPr>
        <w:tc>
          <w:tcPr>
            <w:tcW w:w="799" w:type="pct"/>
            <w:shd w:val="clear" w:color="auto" w:fill="auto"/>
          </w:tcPr>
          <w:p w14:paraId="31B27923" w14:textId="77777777" w:rsidR="00BC2F05" w:rsidRDefault="00772FB6" w:rsidP="00976665">
            <w:pPr>
              <w:pStyle w:val="TableText"/>
              <w:rPr>
                <w:color w:val="000000" w:themeColor="text1"/>
                <w:lang w:val="pt-BR"/>
              </w:rPr>
            </w:pPr>
            <w:bookmarkStart w:id="228" w:name="_Hlk85463731"/>
            <w:r>
              <w:rPr>
                <w:i/>
                <w:color w:val="000000" w:themeColor="text1"/>
                <w:lang w:val="pt-BR"/>
              </w:rPr>
              <w:t>Cryptothelea fuscescens</w:t>
            </w:r>
            <w:bookmarkEnd w:id="228"/>
            <w:r>
              <w:rPr>
                <w:i/>
                <w:color w:val="000000" w:themeColor="text1"/>
                <w:lang w:val="pt-BR"/>
              </w:rPr>
              <w:t xml:space="preserve"> </w:t>
            </w:r>
            <w:r>
              <w:rPr>
                <w:color w:val="000000" w:themeColor="text1"/>
                <w:lang w:val="pt-BR"/>
              </w:rPr>
              <w:t>Snellen, 1879</w:t>
            </w:r>
          </w:p>
          <w:p w14:paraId="26DDF5F4" w14:textId="77777777" w:rsidR="00BC2F05" w:rsidRPr="00B106EF" w:rsidRDefault="00772FB6" w:rsidP="00976665">
            <w:pPr>
              <w:pStyle w:val="TableText"/>
              <w:rPr>
                <w:color w:val="000000" w:themeColor="text1"/>
              </w:rPr>
            </w:pPr>
            <w:r>
              <w:rPr>
                <w:color w:val="000000" w:themeColor="text1"/>
                <w:lang w:val="pt-BR"/>
              </w:rPr>
              <w:t xml:space="preserve">Synoynm: </w:t>
            </w:r>
            <w:r w:rsidRPr="00CF245C">
              <w:rPr>
                <w:i/>
                <w:iCs/>
                <w:color w:val="000000" w:themeColor="text1"/>
                <w:lang w:val="pt-BR"/>
              </w:rPr>
              <w:t>Eumeta fuscescens</w:t>
            </w:r>
            <w:r>
              <w:rPr>
                <w:color w:val="000000" w:themeColor="text1"/>
                <w:lang w:val="pt-BR"/>
              </w:rPr>
              <w:t xml:space="preserve"> Snellen</w:t>
            </w:r>
          </w:p>
          <w:p w14:paraId="2C316680" w14:textId="77777777" w:rsidR="00BC2F05" w:rsidRPr="00F508B9" w:rsidRDefault="00772FB6" w:rsidP="00976665">
            <w:pPr>
              <w:pStyle w:val="TableText"/>
              <w:rPr>
                <w:color w:val="000000" w:themeColor="text1"/>
                <w:lang w:val="pt-BR"/>
              </w:rPr>
            </w:pPr>
            <w:r>
              <w:rPr>
                <w:color w:val="000000" w:themeColor="text1"/>
                <w:lang w:val="pt-BR"/>
              </w:rPr>
              <w:t>[Psychidae]</w:t>
            </w:r>
          </w:p>
        </w:tc>
        <w:tc>
          <w:tcPr>
            <w:tcW w:w="450" w:type="pct"/>
            <w:shd w:val="clear" w:color="auto" w:fill="auto"/>
          </w:tcPr>
          <w:p w14:paraId="7E35F7F4" w14:textId="77777777" w:rsidR="00BC2F05" w:rsidRPr="00BD681D" w:rsidRDefault="00772FB6" w:rsidP="00976665">
            <w:pPr>
              <w:pStyle w:val="TableText"/>
              <w:rPr>
                <w:lang w:val="pt-BR"/>
              </w:rPr>
            </w:pPr>
            <w:r>
              <w:rPr>
                <w:lang w:val="pt-BR"/>
              </w:rPr>
              <w:t xml:space="preserve">Yes </w:t>
            </w:r>
            <w:r>
              <w:rPr>
                <w:noProof/>
                <w:lang w:val="pt-BR"/>
              </w:rPr>
              <w:t>(Pascua, Pascua &amp; Gabriel 2015; Tepora 2021)</w:t>
            </w:r>
          </w:p>
        </w:tc>
        <w:tc>
          <w:tcPr>
            <w:tcW w:w="499" w:type="pct"/>
            <w:shd w:val="clear" w:color="auto" w:fill="auto"/>
          </w:tcPr>
          <w:p w14:paraId="77763DB7" w14:textId="77777777" w:rsidR="00BC2F05" w:rsidRPr="00BD681D" w:rsidRDefault="00772FB6" w:rsidP="00976665">
            <w:pPr>
              <w:pStyle w:val="TableText"/>
              <w:rPr>
                <w:szCs w:val="16"/>
              </w:rPr>
            </w:pPr>
            <w:r>
              <w:rPr>
                <w:szCs w:val="16"/>
              </w:rPr>
              <w:t>No records found</w:t>
            </w:r>
          </w:p>
        </w:tc>
        <w:tc>
          <w:tcPr>
            <w:tcW w:w="645" w:type="pct"/>
            <w:shd w:val="clear" w:color="auto" w:fill="auto"/>
          </w:tcPr>
          <w:p w14:paraId="0E2A97A2" w14:textId="77777777" w:rsidR="00BC2F05" w:rsidRPr="008338EE" w:rsidRDefault="00772FB6" w:rsidP="00976665">
            <w:pPr>
              <w:pStyle w:val="TableText"/>
              <w:rPr>
                <w:color w:val="63B1E5"/>
              </w:rPr>
            </w:pPr>
            <w:r>
              <w:t xml:space="preserve">No. Although dragon fruit is a host, larvae of </w:t>
            </w:r>
            <w:proofErr w:type="spellStart"/>
            <w:r>
              <w:rPr>
                <w:i/>
                <w:iCs/>
              </w:rPr>
              <w:t>Cryptothelea</w:t>
            </w:r>
            <w:proofErr w:type="spellEnd"/>
            <w:r>
              <w:rPr>
                <w:i/>
                <w:iCs/>
              </w:rPr>
              <w:t xml:space="preserve"> </w:t>
            </w:r>
            <w:proofErr w:type="spellStart"/>
            <w:r>
              <w:rPr>
                <w:i/>
                <w:iCs/>
              </w:rPr>
              <w:t>fuscescens</w:t>
            </w:r>
            <w:proofErr w:type="spellEnd"/>
            <w:r>
              <w:rPr>
                <w:i/>
                <w:iCs/>
              </w:rPr>
              <w:t xml:space="preserve"> </w:t>
            </w:r>
            <w:r>
              <w:t xml:space="preserve">feed on leaves </w:t>
            </w:r>
            <w:r>
              <w:rPr>
                <w:noProof/>
              </w:rPr>
              <w:t>(Tepora 2021)</w:t>
            </w:r>
            <w:r>
              <w:t xml:space="preserve">. This pest is not known to be associated with the fruit. </w:t>
            </w:r>
          </w:p>
        </w:tc>
        <w:tc>
          <w:tcPr>
            <w:tcW w:w="706" w:type="pct"/>
          </w:tcPr>
          <w:p w14:paraId="1307E8F6" w14:textId="77777777" w:rsidR="00BC2F05" w:rsidRDefault="00772FB6" w:rsidP="00976665">
            <w:pPr>
              <w:pStyle w:val="TableText"/>
            </w:pPr>
            <w:r w:rsidRPr="002D057A">
              <w:t>Assessment not required</w:t>
            </w:r>
          </w:p>
        </w:tc>
        <w:tc>
          <w:tcPr>
            <w:tcW w:w="700" w:type="pct"/>
            <w:shd w:val="clear" w:color="auto" w:fill="auto"/>
          </w:tcPr>
          <w:p w14:paraId="3180E74E" w14:textId="77777777" w:rsidR="00BC2F05" w:rsidRPr="00BD681D" w:rsidRDefault="00772FB6" w:rsidP="00976665">
            <w:pPr>
              <w:pStyle w:val="TableText"/>
            </w:pPr>
            <w:r w:rsidRPr="002D057A">
              <w:t>Assessment not required</w:t>
            </w:r>
          </w:p>
        </w:tc>
        <w:tc>
          <w:tcPr>
            <w:tcW w:w="701" w:type="pct"/>
            <w:shd w:val="clear" w:color="auto" w:fill="auto"/>
          </w:tcPr>
          <w:p w14:paraId="39366F2E" w14:textId="77777777" w:rsidR="00BC2F05" w:rsidRPr="00BD681D" w:rsidRDefault="00772FB6" w:rsidP="00976665">
            <w:pPr>
              <w:pStyle w:val="TableText"/>
            </w:pPr>
            <w:r w:rsidRPr="002D057A">
              <w:t>Assessment not required</w:t>
            </w:r>
          </w:p>
        </w:tc>
        <w:tc>
          <w:tcPr>
            <w:tcW w:w="500" w:type="pct"/>
            <w:gridSpan w:val="2"/>
            <w:shd w:val="clear" w:color="auto" w:fill="auto"/>
          </w:tcPr>
          <w:p w14:paraId="78541B5D" w14:textId="77777777" w:rsidR="00BC2F05" w:rsidRPr="00BD681D" w:rsidRDefault="00772FB6" w:rsidP="00976665">
            <w:pPr>
              <w:pStyle w:val="TableText"/>
            </w:pPr>
            <w:r>
              <w:t>No</w:t>
            </w:r>
          </w:p>
        </w:tc>
      </w:tr>
      <w:tr w:rsidR="00C80041" w14:paraId="594B4407" w14:textId="77777777" w:rsidTr="003754F5">
        <w:trPr>
          <w:trHeight w:val="75"/>
          <w:jc w:val="center"/>
        </w:trPr>
        <w:tc>
          <w:tcPr>
            <w:tcW w:w="799" w:type="pct"/>
            <w:shd w:val="clear" w:color="auto" w:fill="auto"/>
          </w:tcPr>
          <w:p w14:paraId="28069D56" w14:textId="77777777" w:rsidR="00BC2F05" w:rsidRPr="00DC5220" w:rsidRDefault="00772FB6" w:rsidP="00976665">
            <w:pPr>
              <w:pStyle w:val="TableText"/>
              <w:rPr>
                <w:color w:val="000000" w:themeColor="text1"/>
                <w:lang w:val="pt-BR"/>
              </w:rPr>
            </w:pPr>
            <w:r>
              <w:rPr>
                <w:i/>
                <w:color w:val="000000" w:themeColor="text1"/>
                <w:lang w:val="pt-BR"/>
              </w:rPr>
              <w:t xml:space="preserve">Orgyia australis </w:t>
            </w:r>
            <w:r>
              <w:rPr>
                <w:color w:val="000000" w:themeColor="text1"/>
                <w:lang w:val="pt-BR"/>
              </w:rPr>
              <w:t>Walker, 1855</w:t>
            </w:r>
          </w:p>
          <w:p w14:paraId="20CEA5CA" w14:textId="77777777" w:rsidR="00BC2F05" w:rsidRPr="00F508B9" w:rsidRDefault="00772FB6" w:rsidP="00976665">
            <w:pPr>
              <w:pStyle w:val="TableText"/>
              <w:rPr>
                <w:color w:val="000000" w:themeColor="text1"/>
                <w:lang w:val="pt-BR"/>
              </w:rPr>
            </w:pPr>
            <w:r>
              <w:rPr>
                <w:color w:val="000000" w:themeColor="text1"/>
                <w:lang w:val="pt-BR"/>
              </w:rPr>
              <w:t>[Erebidae]</w:t>
            </w:r>
          </w:p>
          <w:p w14:paraId="32BAFD0B" w14:textId="77777777" w:rsidR="00BC2F05" w:rsidRPr="00F508B9" w:rsidRDefault="00772FB6" w:rsidP="00976665">
            <w:pPr>
              <w:pStyle w:val="TableText"/>
              <w:rPr>
                <w:color w:val="000000" w:themeColor="text1"/>
                <w:lang w:val="pt-BR"/>
              </w:rPr>
            </w:pPr>
            <w:r>
              <w:rPr>
                <w:color w:val="000000" w:themeColor="text1"/>
                <w:lang w:val="pt-BR"/>
              </w:rPr>
              <w:t>Tussock moth</w:t>
            </w:r>
          </w:p>
        </w:tc>
        <w:tc>
          <w:tcPr>
            <w:tcW w:w="450" w:type="pct"/>
            <w:shd w:val="clear" w:color="auto" w:fill="auto"/>
          </w:tcPr>
          <w:p w14:paraId="4A8A4D7C" w14:textId="77777777" w:rsidR="00BC2F05" w:rsidRPr="00BD681D" w:rsidRDefault="00772FB6" w:rsidP="00976665">
            <w:pPr>
              <w:pStyle w:val="TableText"/>
              <w:rPr>
                <w:lang w:val="pt-BR"/>
              </w:rPr>
            </w:pPr>
            <w:r>
              <w:rPr>
                <w:lang w:val="pt-BR"/>
              </w:rPr>
              <w:t xml:space="preserve">Yes </w:t>
            </w:r>
            <w:r>
              <w:rPr>
                <w:noProof/>
                <w:lang w:val="pt-BR"/>
              </w:rPr>
              <w:t>(Pascua, Pascua &amp; Gabriel 2015; Tepora 2019)</w:t>
            </w:r>
          </w:p>
        </w:tc>
        <w:tc>
          <w:tcPr>
            <w:tcW w:w="499" w:type="pct"/>
            <w:shd w:val="clear" w:color="auto" w:fill="auto"/>
          </w:tcPr>
          <w:p w14:paraId="36CB7A9E" w14:textId="77777777" w:rsidR="00BC2F05" w:rsidRPr="00BD681D" w:rsidRDefault="00772FB6" w:rsidP="00976665">
            <w:pPr>
              <w:pStyle w:val="TableText"/>
              <w:rPr>
                <w:szCs w:val="16"/>
              </w:rPr>
            </w:pPr>
            <w:r w:rsidRPr="00364A80">
              <w:rPr>
                <w:szCs w:val="16"/>
              </w:rPr>
              <w:t>Yes. Q</w:t>
            </w:r>
            <w:r>
              <w:rPr>
                <w:szCs w:val="16"/>
              </w:rPr>
              <w:t>ld</w:t>
            </w:r>
            <w:r w:rsidRPr="00364A80">
              <w:rPr>
                <w:szCs w:val="16"/>
              </w:rPr>
              <w:t xml:space="preserve">, </w:t>
            </w:r>
            <w:r>
              <w:rPr>
                <w:szCs w:val="16"/>
              </w:rPr>
              <w:t xml:space="preserve">WA, NSW </w:t>
            </w:r>
            <w:r>
              <w:rPr>
                <w:noProof/>
                <w:szCs w:val="16"/>
              </w:rPr>
              <w:t>(APPD 2022)</w:t>
            </w:r>
          </w:p>
        </w:tc>
        <w:tc>
          <w:tcPr>
            <w:tcW w:w="645" w:type="pct"/>
            <w:shd w:val="clear" w:color="auto" w:fill="auto"/>
          </w:tcPr>
          <w:p w14:paraId="372BE0CE" w14:textId="77777777" w:rsidR="00BC2F05" w:rsidRPr="00BD681D" w:rsidRDefault="00772FB6" w:rsidP="00976665">
            <w:pPr>
              <w:pStyle w:val="TableText"/>
            </w:pPr>
            <w:r w:rsidRPr="00414CC5">
              <w:t>Assessment not required</w:t>
            </w:r>
          </w:p>
        </w:tc>
        <w:tc>
          <w:tcPr>
            <w:tcW w:w="706" w:type="pct"/>
            <w:shd w:val="clear" w:color="auto" w:fill="auto"/>
          </w:tcPr>
          <w:p w14:paraId="295C1DC6" w14:textId="77777777" w:rsidR="00BC2F05" w:rsidRDefault="00772FB6" w:rsidP="00976665">
            <w:pPr>
              <w:pStyle w:val="TableText"/>
            </w:pPr>
            <w:r w:rsidRPr="00414CC5">
              <w:t>Assessment not required</w:t>
            </w:r>
          </w:p>
        </w:tc>
        <w:tc>
          <w:tcPr>
            <w:tcW w:w="700" w:type="pct"/>
            <w:shd w:val="clear" w:color="auto" w:fill="auto"/>
          </w:tcPr>
          <w:p w14:paraId="4DEEEDBA" w14:textId="77777777" w:rsidR="00BC2F05" w:rsidRPr="00BD681D" w:rsidRDefault="00772FB6" w:rsidP="00976665">
            <w:pPr>
              <w:pStyle w:val="TableText"/>
            </w:pPr>
            <w:r w:rsidRPr="00414CC5">
              <w:t>Assessment not required</w:t>
            </w:r>
          </w:p>
        </w:tc>
        <w:tc>
          <w:tcPr>
            <w:tcW w:w="701" w:type="pct"/>
            <w:shd w:val="clear" w:color="auto" w:fill="auto"/>
          </w:tcPr>
          <w:p w14:paraId="6222C645" w14:textId="77777777" w:rsidR="00BC2F05" w:rsidRPr="00BD681D" w:rsidRDefault="00772FB6" w:rsidP="00976665">
            <w:pPr>
              <w:pStyle w:val="TableText"/>
            </w:pPr>
            <w:r w:rsidRPr="00414CC5">
              <w:t>Assessment not required</w:t>
            </w:r>
          </w:p>
        </w:tc>
        <w:tc>
          <w:tcPr>
            <w:tcW w:w="500" w:type="pct"/>
            <w:gridSpan w:val="2"/>
            <w:shd w:val="clear" w:color="auto" w:fill="auto"/>
          </w:tcPr>
          <w:p w14:paraId="6B1D2CC4" w14:textId="77777777" w:rsidR="00BC2F05" w:rsidRPr="00BD681D" w:rsidRDefault="00772FB6" w:rsidP="00976665">
            <w:pPr>
              <w:pStyle w:val="TableText"/>
            </w:pPr>
            <w:r>
              <w:t>No</w:t>
            </w:r>
          </w:p>
        </w:tc>
      </w:tr>
      <w:tr w:rsidR="00C80041" w14:paraId="258358A1" w14:textId="77777777" w:rsidTr="003754F5">
        <w:trPr>
          <w:trHeight w:val="75"/>
          <w:jc w:val="center"/>
        </w:trPr>
        <w:tc>
          <w:tcPr>
            <w:tcW w:w="799" w:type="pct"/>
            <w:shd w:val="clear" w:color="auto" w:fill="auto"/>
          </w:tcPr>
          <w:p w14:paraId="377D9EE1" w14:textId="77777777" w:rsidR="00BC2F05" w:rsidRPr="003848F2" w:rsidRDefault="00772FB6" w:rsidP="00976665">
            <w:pPr>
              <w:pStyle w:val="TableText"/>
              <w:rPr>
                <w:color w:val="000000" w:themeColor="text1"/>
                <w:lang w:val="pt-BR"/>
              </w:rPr>
            </w:pPr>
            <w:bookmarkStart w:id="229" w:name="_Hlk84859701"/>
            <w:r>
              <w:rPr>
                <w:i/>
                <w:color w:val="000000" w:themeColor="text1"/>
                <w:lang w:val="pt-BR"/>
              </w:rPr>
              <w:t>Papilio demoleus libanius</w:t>
            </w:r>
            <w:bookmarkEnd w:id="229"/>
            <w:r>
              <w:rPr>
                <w:i/>
                <w:color w:val="000000" w:themeColor="text1"/>
                <w:lang w:val="pt-BR"/>
              </w:rPr>
              <w:t xml:space="preserve"> </w:t>
            </w:r>
            <w:r>
              <w:rPr>
                <w:color w:val="000000" w:themeColor="text1"/>
                <w:lang w:val="pt-BR"/>
              </w:rPr>
              <w:t>Fruchstorfer, 1908</w:t>
            </w:r>
          </w:p>
          <w:p w14:paraId="6944EB83" w14:textId="77777777" w:rsidR="00BC2F05" w:rsidRPr="00F508B9" w:rsidRDefault="00772FB6" w:rsidP="00976665">
            <w:pPr>
              <w:pStyle w:val="TableText"/>
              <w:rPr>
                <w:color w:val="000000" w:themeColor="text1"/>
                <w:lang w:val="pt-BR"/>
              </w:rPr>
            </w:pPr>
            <w:r>
              <w:rPr>
                <w:color w:val="000000" w:themeColor="text1"/>
                <w:lang w:val="pt-BR"/>
              </w:rPr>
              <w:t>[Papilionidae]</w:t>
            </w:r>
          </w:p>
          <w:p w14:paraId="140BEF43" w14:textId="77777777" w:rsidR="00BC2F05" w:rsidRPr="00F508B9" w:rsidRDefault="00772FB6" w:rsidP="00976665">
            <w:pPr>
              <w:pStyle w:val="TableText"/>
              <w:rPr>
                <w:color w:val="000000" w:themeColor="text1"/>
                <w:lang w:val="pt-BR"/>
              </w:rPr>
            </w:pPr>
            <w:r>
              <w:rPr>
                <w:color w:val="000000" w:themeColor="text1"/>
                <w:lang w:val="pt-BR"/>
              </w:rPr>
              <w:t>Chequered swallowtail</w:t>
            </w:r>
          </w:p>
        </w:tc>
        <w:tc>
          <w:tcPr>
            <w:tcW w:w="450" w:type="pct"/>
            <w:shd w:val="clear" w:color="auto" w:fill="auto"/>
          </w:tcPr>
          <w:p w14:paraId="28E69BAF" w14:textId="77777777" w:rsidR="00BC2F05" w:rsidRPr="00BD681D" w:rsidRDefault="00772FB6" w:rsidP="00976665">
            <w:pPr>
              <w:pStyle w:val="TableText"/>
              <w:rPr>
                <w:lang w:val="pt-BR"/>
              </w:rPr>
            </w:pPr>
            <w:r>
              <w:rPr>
                <w:lang w:val="pt-BR"/>
              </w:rPr>
              <w:t xml:space="preserve">Yes </w:t>
            </w:r>
            <w:r>
              <w:rPr>
                <w:noProof/>
                <w:lang w:val="pt-BR"/>
              </w:rPr>
              <w:t>(Pascua, Pascua &amp; Gabriel 2015; Wiemers 2007)</w:t>
            </w:r>
          </w:p>
        </w:tc>
        <w:tc>
          <w:tcPr>
            <w:tcW w:w="499" w:type="pct"/>
            <w:shd w:val="clear" w:color="auto" w:fill="auto"/>
          </w:tcPr>
          <w:p w14:paraId="31EF40D9" w14:textId="77777777" w:rsidR="00BC2F05" w:rsidRPr="003E4F4F" w:rsidRDefault="00772FB6" w:rsidP="00976665">
            <w:pPr>
              <w:pStyle w:val="TableText"/>
              <w:rPr>
                <w:color w:val="63B1E5"/>
              </w:rPr>
            </w:pPr>
            <w:r>
              <w:rPr>
                <w:szCs w:val="16"/>
              </w:rPr>
              <w:t>No records found</w:t>
            </w:r>
            <w:r w:rsidRPr="00364A80">
              <w:rPr>
                <w:szCs w:val="16"/>
              </w:rPr>
              <w:t xml:space="preserve">. </w:t>
            </w:r>
            <w:bookmarkStart w:id="230" w:name="_Hlk85018660"/>
            <w:r>
              <w:rPr>
                <w:iCs/>
                <w:color w:val="000000" w:themeColor="text1"/>
                <w:lang w:val="pt-BR"/>
              </w:rPr>
              <w:t xml:space="preserve">A different sub-species, </w:t>
            </w:r>
            <w:r>
              <w:rPr>
                <w:i/>
                <w:color w:val="000000" w:themeColor="text1"/>
                <w:lang w:val="pt-BR"/>
              </w:rPr>
              <w:t xml:space="preserve">Papilio demoleus sthenelus, </w:t>
            </w:r>
            <w:r>
              <w:rPr>
                <w:iCs/>
                <w:color w:val="000000" w:themeColor="text1"/>
                <w:lang w:val="pt-BR"/>
              </w:rPr>
              <w:t xml:space="preserve">is known to be present in WA, NT, NSW, Vic., SA, Qld </w:t>
            </w:r>
            <w:bookmarkEnd w:id="230"/>
            <w:r>
              <w:rPr>
                <w:noProof/>
                <w:szCs w:val="16"/>
              </w:rPr>
              <w:t>(ALA 2022; APPD 2022)</w:t>
            </w:r>
            <w:r>
              <w:rPr>
                <w:iCs/>
                <w:color w:val="000000" w:themeColor="text1"/>
                <w:lang w:val="pt-BR"/>
              </w:rPr>
              <w:t>.</w:t>
            </w:r>
          </w:p>
          <w:p w14:paraId="4297881E" w14:textId="77777777" w:rsidR="00BC2F05" w:rsidRPr="00BD681D" w:rsidRDefault="00BC2F05" w:rsidP="00976665">
            <w:pPr>
              <w:pStyle w:val="TableText"/>
              <w:rPr>
                <w:szCs w:val="16"/>
              </w:rPr>
            </w:pPr>
          </w:p>
        </w:tc>
        <w:tc>
          <w:tcPr>
            <w:tcW w:w="645" w:type="pct"/>
            <w:shd w:val="clear" w:color="auto" w:fill="auto"/>
          </w:tcPr>
          <w:p w14:paraId="4A4DC515" w14:textId="77777777" w:rsidR="00BC2F05" w:rsidRPr="00BD681D" w:rsidRDefault="00772FB6" w:rsidP="00976665">
            <w:pPr>
              <w:pStyle w:val="TableText"/>
            </w:pPr>
            <w:r>
              <w:t xml:space="preserve">No. Although dragon fruit is a host </w:t>
            </w:r>
            <w:r>
              <w:rPr>
                <w:noProof/>
              </w:rPr>
              <w:t>(Tepora 2021)</w:t>
            </w:r>
            <w:r>
              <w:t>,</w:t>
            </w:r>
            <w:r w:rsidRPr="00A92816">
              <w:t xml:space="preserve"> </w:t>
            </w:r>
            <w:proofErr w:type="spellStart"/>
            <w:r>
              <w:rPr>
                <w:i/>
                <w:iCs/>
              </w:rPr>
              <w:t>Papilio</w:t>
            </w:r>
            <w:proofErr w:type="spellEnd"/>
            <w:r>
              <w:rPr>
                <w:i/>
                <w:iCs/>
              </w:rPr>
              <w:t xml:space="preserve"> </w:t>
            </w:r>
            <w:proofErr w:type="spellStart"/>
            <w:r>
              <w:rPr>
                <w:i/>
                <w:iCs/>
              </w:rPr>
              <w:t>demoleus</w:t>
            </w:r>
            <w:proofErr w:type="spellEnd"/>
            <w:r>
              <w:rPr>
                <w:i/>
                <w:iCs/>
              </w:rPr>
              <w:t xml:space="preserve"> </w:t>
            </w:r>
            <w:proofErr w:type="spellStart"/>
            <w:r>
              <w:rPr>
                <w:i/>
                <w:iCs/>
              </w:rPr>
              <w:t>libanius</w:t>
            </w:r>
            <w:proofErr w:type="spellEnd"/>
            <w:r>
              <w:rPr>
                <w:i/>
                <w:iCs/>
              </w:rPr>
              <w:t xml:space="preserve"> </w:t>
            </w:r>
            <w:r>
              <w:t xml:space="preserve">lays eggs on the leaves of the host plant and the larvae feed on leaves </w:t>
            </w:r>
            <w:r>
              <w:rPr>
                <w:iCs/>
                <w:noProof/>
                <w:color w:val="000000" w:themeColor="text1"/>
                <w:lang w:val="pt-BR"/>
              </w:rPr>
              <w:t>(CABI 2022)</w:t>
            </w:r>
            <w:r>
              <w:t xml:space="preserve">. This pest is not known to be associated with the fruit. </w:t>
            </w:r>
          </w:p>
        </w:tc>
        <w:tc>
          <w:tcPr>
            <w:tcW w:w="706" w:type="pct"/>
            <w:shd w:val="clear" w:color="auto" w:fill="auto"/>
          </w:tcPr>
          <w:p w14:paraId="248E9CD5" w14:textId="77777777" w:rsidR="00BC2F05" w:rsidRDefault="00772FB6" w:rsidP="00976665">
            <w:pPr>
              <w:pStyle w:val="TableText"/>
            </w:pPr>
            <w:r w:rsidRPr="00762981">
              <w:t>Assessment not required</w:t>
            </w:r>
          </w:p>
        </w:tc>
        <w:tc>
          <w:tcPr>
            <w:tcW w:w="700" w:type="pct"/>
            <w:shd w:val="clear" w:color="auto" w:fill="auto"/>
          </w:tcPr>
          <w:p w14:paraId="0E2367EE" w14:textId="77777777" w:rsidR="00BC2F05" w:rsidRPr="00BD681D" w:rsidRDefault="00772FB6" w:rsidP="00976665">
            <w:pPr>
              <w:pStyle w:val="TableText"/>
            </w:pPr>
            <w:r w:rsidRPr="00762981">
              <w:t>Assessment not required</w:t>
            </w:r>
          </w:p>
        </w:tc>
        <w:tc>
          <w:tcPr>
            <w:tcW w:w="701" w:type="pct"/>
            <w:shd w:val="clear" w:color="auto" w:fill="auto"/>
          </w:tcPr>
          <w:p w14:paraId="7F56D30C" w14:textId="77777777" w:rsidR="00BC2F05" w:rsidRPr="00BD681D" w:rsidRDefault="00772FB6" w:rsidP="00976665">
            <w:pPr>
              <w:pStyle w:val="TableText"/>
            </w:pPr>
            <w:r w:rsidRPr="00762981">
              <w:t>Assessment not required</w:t>
            </w:r>
          </w:p>
        </w:tc>
        <w:tc>
          <w:tcPr>
            <w:tcW w:w="500" w:type="pct"/>
            <w:gridSpan w:val="2"/>
            <w:shd w:val="clear" w:color="auto" w:fill="auto"/>
          </w:tcPr>
          <w:p w14:paraId="40EB7F67" w14:textId="77777777" w:rsidR="00BC2F05" w:rsidRPr="00BD681D" w:rsidRDefault="00772FB6" w:rsidP="00976665">
            <w:pPr>
              <w:pStyle w:val="TableText"/>
            </w:pPr>
            <w:r>
              <w:t>No</w:t>
            </w:r>
          </w:p>
        </w:tc>
      </w:tr>
      <w:tr w:rsidR="00C80041" w14:paraId="0378262D" w14:textId="77777777" w:rsidTr="003754F5">
        <w:trPr>
          <w:trHeight w:val="75"/>
          <w:jc w:val="center"/>
        </w:trPr>
        <w:tc>
          <w:tcPr>
            <w:tcW w:w="799" w:type="pct"/>
            <w:shd w:val="clear" w:color="auto" w:fill="auto"/>
          </w:tcPr>
          <w:p w14:paraId="3AEBD388" w14:textId="77777777" w:rsidR="00BC2F05" w:rsidRPr="00DC5220" w:rsidRDefault="00772FB6" w:rsidP="00976665">
            <w:pPr>
              <w:pStyle w:val="TableText"/>
              <w:rPr>
                <w:color w:val="000000" w:themeColor="text1"/>
                <w:lang w:val="pt-BR"/>
              </w:rPr>
            </w:pPr>
            <w:r>
              <w:rPr>
                <w:i/>
                <w:color w:val="000000" w:themeColor="text1"/>
                <w:lang w:val="pt-BR"/>
              </w:rPr>
              <w:lastRenderedPageBreak/>
              <w:t xml:space="preserve">Spodoptera exigua </w:t>
            </w:r>
            <w:r>
              <w:rPr>
                <w:color w:val="000000" w:themeColor="text1"/>
                <w:lang w:val="pt-BR"/>
              </w:rPr>
              <w:t>(Hubner, 1808)</w:t>
            </w:r>
          </w:p>
          <w:p w14:paraId="041EE758" w14:textId="77777777" w:rsidR="00BC2F05" w:rsidRPr="00F508B9" w:rsidRDefault="00772FB6" w:rsidP="00976665">
            <w:pPr>
              <w:pStyle w:val="TableText"/>
              <w:rPr>
                <w:color w:val="000000" w:themeColor="text1"/>
                <w:lang w:val="pt-BR"/>
              </w:rPr>
            </w:pPr>
            <w:r>
              <w:rPr>
                <w:color w:val="000000" w:themeColor="text1"/>
                <w:lang w:val="pt-BR"/>
              </w:rPr>
              <w:t>[Noctuidae]</w:t>
            </w:r>
          </w:p>
          <w:p w14:paraId="309DD3C4" w14:textId="77777777" w:rsidR="00BC2F05" w:rsidRPr="00F508B9" w:rsidRDefault="00772FB6" w:rsidP="00976665">
            <w:pPr>
              <w:pStyle w:val="TableText"/>
              <w:rPr>
                <w:color w:val="000000" w:themeColor="text1"/>
                <w:lang w:val="pt-BR"/>
              </w:rPr>
            </w:pPr>
            <w:r>
              <w:rPr>
                <w:color w:val="000000" w:themeColor="text1"/>
                <w:lang w:val="pt-BR"/>
              </w:rPr>
              <w:t>Beet armyworm</w:t>
            </w:r>
          </w:p>
        </w:tc>
        <w:tc>
          <w:tcPr>
            <w:tcW w:w="450" w:type="pct"/>
            <w:shd w:val="clear" w:color="auto" w:fill="auto"/>
          </w:tcPr>
          <w:p w14:paraId="31D1D3E8" w14:textId="77777777" w:rsidR="00BC2F05" w:rsidRPr="00BD681D" w:rsidRDefault="00772FB6" w:rsidP="00976665">
            <w:pPr>
              <w:pStyle w:val="TableText"/>
              <w:rPr>
                <w:lang w:val="pt-BR"/>
              </w:rPr>
            </w:pPr>
            <w:r>
              <w:rPr>
                <w:lang w:val="pt-BR"/>
              </w:rPr>
              <w:t xml:space="preserve">Yes </w:t>
            </w:r>
            <w:r>
              <w:rPr>
                <w:noProof/>
                <w:lang w:val="pt-BR"/>
              </w:rPr>
              <w:t>(Montecalvo &amp; Navasero 2021)</w:t>
            </w:r>
          </w:p>
        </w:tc>
        <w:tc>
          <w:tcPr>
            <w:tcW w:w="499" w:type="pct"/>
            <w:shd w:val="clear" w:color="auto" w:fill="auto"/>
          </w:tcPr>
          <w:p w14:paraId="59BB2C9E" w14:textId="77777777" w:rsidR="00BC2F05" w:rsidRPr="00BD681D" w:rsidRDefault="00772FB6" w:rsidP="00976665">
            <w:pPr>
              <w:pStyle w:val="TableText"/>
              <w:rPr>
                <w:szCs w:val="16"/>
              </w:rPr>
            </w:pPr>
            <w:r w:rsidRPr="00364A80">
              <w:rPr>
                <w:szCs w:val="16"/>
              </w:rPr>
              <w:t xml:space="preserve">Yes. </w:t>
            </w:r>
            <w:r>
              <w:rPr>
                <w:szCs w:val="16"/>
              </w:rPr>
              <w:t>Tas.</w:t>
            </w:r>
            <w:r w:rsidRPr="00364A80">
              <w:rPr>
                <w:szCs w:val="16"/>
              </w:rPr>
              <w:t xml:space="preserve">, </w:t>
            </w:r>
            <w:r>
              <w:rPr>
                <w:szCs w:val="16"/>
              </w:rPr>
              <w:t xml:space="preserve">NSW, WA, Vic., NT, Qld, SA </w:t>
            </w:r>
            <w:r>
              <w:rPr>
                <w:noProof/>
                <w:szCs w:val="16"/>
              </w:rPr>
              <w:t>(APPD 2022)</w:t>
            </w:r>
          </w:p>
        </w:tc>
        <w:tc>
          <w:tcPr>
            <w:tcW w:w="645" w:type="pct"/>
            <w:shd w:val="clear" w:color="auto" w:fill="auto"/>
          </w:tcPr>
          <w:p w14:paraId="7CAB9238" w14:textId="77777777" w:rsidR="00BC2F05" w:rsidRPr="00BD681D" w:rsidRDefault="00772FB6" w:rsidP="00976665">
            <w:pPr>
              <w:pStyle w:val="TableText"/>
            </w:pPr>
            <w:r w:rsidRPr="00312025">
              <w:t>Assessment not required</w:t>
            </w:r>
          </w:p>
        </w:tc>
        <w:tc>
          <w:tcPr>
            <w:tcW w:w="706" w:type="pct"/>
          </w:tcPr>
          <w:p w14:paraId="5D1572F7" w14:textId="77777777" w:rsidR="00BC2F05" w:rsidRDefault="00772FB6" w:rsidP="00976665">
            <w:pPr>
              <w:pStyle w:val="TableText"/>
            </w:pPr>
            <w:r w:rsidRPr="00312025">
              <w:t>Assessment not required</w:t>
            </w:r>
          </w:p>
        </w:tc>
        <w:tc>
          <w:tcPr>
            <w:tcW w:w="700" w:type="pct"/>
            <w:shd w:val="clear" w:color="auto" w:fill="auto"/>
          </w:tcPr>
          <w:p w14:paraId="1AE85B0E" w14:textId="77777777" w:rsidR="00BC2F05" w:rsidRPr="00BD681D" w:rsidRDefault="00772FB6" w:rsidP="00976665">
            <w:pPr>
              <w:pStyle w:val="TableText"/>
            </w:pPr>
            <w:r w:rsidRPr="00312025">
              <w:t>Assessment not required</w:t>
            </w:r>
          </w:p>
        </w:tc>
        <w:tc>
          <w:tcPr>
            <w:tcW w:w="701" w:type="pct"/>
            <w:shd w:val="clear" w:color="auto" w:fill="auto"/>
          </w:tcPr>
          <w:p w14:paraId="5EF9DC16" w14:textId="77777777" w:rsidR="00BC2F05" w:rsidRPr="00BD681D" w:rsidRDefault="00772FB6" w:rsidP="00976665">
            <w:pPr>
              <w:pStyle w:val="TableText"/>
            </w:pPr>
            <w:r w:rsidRPr="00312025">
              <w:t>Assessment not required</w:t>
            </w:r>
          </w:p>
        </w:tc>
        <w:tc>
          <w:tcPr>
            <w:tcW w:w="500" w:type="pct"/>
            <w:gridSpan w:val="2"/>
            <w:shd w:val="clear" w:color="auto" w:fill="auto"/>
          </w:tcPr>
          <w:p w14:paraId="327D1415" w14:textId="77777777" w:rsidR="00BC2F05" w:rsidRPr="00BD681D" w:rsidRDefault="00772FB6" w:rsidP="00976665">
            <w:pPr>
              <w:pStyle w:val="TableText"/>
            </w:pPr>
            <w:r>
              <w:t>No</w:t>
            </w:r>
          </w:p>
        </w:tc>
      </w:tr>
      <w:tr w:rsidR="00C80041" w14:paraId="4BAE08A4" w14:textId="77777777" w:rsidTr="003754F5">
        <w:trPr>
          <w:trHeight w:val="75"/>
          <w:jc w:val="center"/>
        </w:trPr>
        <w:tc>
          <w:tcPr>
            <w:tcW w:w="799" w:type="pct"/>
            <w:shd w:val="clear" w:color="auto" w:fill="auto"/>
          </w:tcPr>
          <w:p w14:paraId="335D36D5" w14:textId="77777777" w:rsidR="00BC2F05" w:rsidRPr="00DC5220" w:rsidRDefault="00772FB6" w:rsidP="00976665">
            <w:pPr>
              <w:pStyle w:val="TableText"/>
              <w:rPr>
                <w:color w:val="000000" w:themeColor="text1"/>
                <w:lang w:val="pt-BR"/>
              </w:rPr>
            </w:pPr>
            <w:r>
              <w:rPr>
                <w:i/>
                <w:color w:val="000000" w:themeColor="text1"/>
                <w:lang w:val="pt-BR"/>
              </w:rPr>
              <w:t xml:space="preserve">Spodoptera litura </w:t>
            </w:r>
            <w:r>
              <w:rPr>
                <w:color w:val="000000" w:themeColor="text1"/>
                <w:lang w:val="pt-BR"/>
              </w:rPr>
              <w:t>(Fabricius, 1775)</w:t>
            </w:r>
          </w:p>
          <w:p w14:paraId="1A0D62D9" w14:textId="77777777" w:rsidR="00BC2F05" w:rsidRPr="00F508B9" w:rsidRDefault="00772FB6" w:rsidP="00976665">
            <w:pPr>
              <w:pStyle w:val="TableText"/>
              <w:rPr>
                <w:color w:val="000000" w:themeColor="text1"/>
                <w:lang w:val="pt-BR"/>
              </w:rPr>
            </w:pPr>
            <w:r>
              <w:rPr>
                <w:color w:val="000000" w:themeColor="text1"/>
                <w:lang w:val="pt-BR"/>
              </w:rPr>
              <w:t>[Noctuidae]</w:t>
            </w:r>
          </w:p>
          <w:p w14:paraId="0E95CDAA" w14:textId="77777777" w:rsidR="00BC2F05" w:rsidRPr="00F508B9" w:rsidRDefault="00772FB6" w:rsidP="00976665">
            <w:pPr>
              <w:pStyle w:val="TableText"/>
              <w:rPr>
                <w:color w:val="000000" w:themeColor="text1"/>
                <w:lang w:val="pt-BR"/>
              </w:rPr>
            </w:pPr>
            <w:r>
              <w:rPr>
                <w:color w:val="000000" w:themeColor="text1"/>
                <w:lang w:val="pt-BR"/>
              </w:rPr>
              <w:t>Tobacco cutworm</w:t>
            </w:r>
          </w:p>
        </w:tc>
        <w:tc>
          <w:tcPr>
            <w:tcW w:w="450" w:type="pct"/>
            <w:shd w:val="clear" w:color="auto" w:fill="auto"/>
          </w:tcPr>
          <w:p w14:paraId="23FFBA64" w14:textId="77777777" w:rsidR="00BC2F05" w:rsidRPr="00BD681D" w:rsidRDefault="00772FB6" w:rsidP="00976665">
            <w:pPr>
              <w:pStyle w:val="TableText"/>
              <w:rPr>
                <w:lang w:val="pt-BR"/>
              </w:rPr>
            </w:pPr>
            <w:r>
              <w:rPr>
                <w:lang w:val="pt-BR"/>
              </w:rPr>
              <w:t xml:space="preserve">Yes </w:t>
            </w:r>
            <w:r>
              <w:rPr>
                <w:noProof/>
                <w:lang w:val="pt-BR"/>
              </w:rPr>
              <w:t>(Ulrichs &amp; Mewis 2004)</w:t>
            </w:r>
          </w:p>
        </w:tc>
        <w:tc>
          <w:tcPr>
            <w:tcW w:w="499" w:type="pct"/>
            <w:shd w:val="clear" w:color="auto" w:fill="auto"/>
          </w:tcPr>
          <w:p w14:paraId="249E5AAF" w14:textId="77777777" w:rsidR="00BC2F05" w:rsidRPr="00BD681D" w:rsidRDefault="00772FB6" w:rsidP="00976665">
            <w:pPr>
              <w:pStyle w:val="TableText"/>
              <w:rPr>
                <w:szCs w:val="16"/>
              </w:rPr>
            </w:pPr>
            <w:r w:rsidRPr="00364A80">
              <w:rPr>
                <w:szCs w:val="16"/>
              </w:rPr>
              <w:t xml:space="preserve">Yes. </w:t>
            </w:r>
            <w:r>
              <w:rPr>
                <w:szCs w:val="16"/>
              </w:rPr>
              <w:t xml:space="preserve">NSW, WA, NT, Qld </w:t>
            </w:r>
            <w:r>
              <w:rPr>
                <w:noProof/>
                <w:szCs w:val="16"/>
              </w:rPr>
              <w:t>(APPD 2022)</w:t>
            </w:r>
          </w:p>
        </w:tc>
        <w:tc>
          <w:tcPr>
            <w:tcW w:w="645" w:type="pct"/>
            <w:shd w:val="clear" w:color="auto" w:fill="auto"/>
          </w:tcPr>
          <w:p w14:paraId="6A09A292" w14:textId="77777777" w:rsidR="00BC2F05" w:rsidRPr="00BD681D" w:rsidRDefault="00772FB6" w:rsidP="00976665">
            <w:pPr>
              <w:pStyle w:val="TableText"/>
            </w:pPr>
            <w:r w:rsidRPr="00731C83">
              <w:t>Assessment not required</w:t>
            </w:r>
          </w:p>
        </w:tc>
        <w:tc>
          <w:tcPr>
            <w:tcW w:w="706" w:type="pct"/>
          </w:tcPr>
          <w:p w14:paraId="0EAEA152" w14:textId="77777777" w:rsidR="00BC2F05" w:rsidRDefault="00772FB6" w:rsidP="00976665">
            <w:pPr>
              <w:pStyle w:val="TableText"/>
            </w:pPr>
            <w:r w:rsidRPr="00731C83">
              <w:t>Assessment not required</w:t>
            </w:r>
          </w:p>
        </w:tc>
        <w:tc>
          <w:tcPr>
            <w:tcW w:w="700" w:type="pct"/>
            <w:shd w:val="clear" w:color="auto" w:fill="auto"/>
          </w:tcPr>
          <w:p w14:paraId="5C6F77F1" w14:textId="77777777" w:rsidR="00BC2F05" w:rsidRPr="00BD681D" w:rsidRDefault="00772FB6" w:rsidP="00976665">
            <w:pPr>
              <w:pStyle w:val="TableText"/>
            </w:pPr>
            <w:r w:rsidRPr="00731C83">
              <w:t>Assessment not required</w:t>
            </w:r>
          </w:p>
        </w:tc>
        <w:tc>
          <w:tcPr>
            <w:tcW w:w="701" w:type="pct"/>
            <w:shd w:val="clear" w:color="auto" w:fill="auto"/>
          </w:tcPr>
          <w:p w14:paraId="3B593862" w14:textId="77777777" w:rsidR="00BC2F05" w:rsidRPr="00BD681D" w:rsidRDefault="00772FB6" w:rsidP="00976665">
            <w:pPr>
              <w:pStyle w:val="TableText"/>
            </w:pPr>
            <w:r w:rsidRPr="00731C83">
              <w:t>Assessment not required</w:t>
            </w:r>
          </w:p>
        </w:tc>
        <w:tc>
          <w:tcPr>
            <w:tcW w:w="500" w:type="pct"/>
            <w:gridSpan w:val="2"/>
            <w:shd w:val="clear" w:color="auto" w:fill="auto"/>
          </w:tcPr>
          <w:p w14:paraId="68D4EDA7" w14:textId="77777777" w:rsidR="00BC2F05" w:rsidRPr="00BD681D" w:rsidRDefault="00772FB6" w:rsidP="00976665">
            <w:pPr>
              <w:pStyle w:val="TableText"/>
            </w:pPr>
            <w:r>
              <w:t>No</w:t>
            </w:r>
          </w:p>
        </w:tc>
      </w:tr>
      <w:tr w:rsidR="00C80041" w14:paraId="00D07158" w14:textId="77777777" w:rsidTr="003754F5">
        <w:trPr>
          <w:trHeight w:val="75"/>
          <w:jc w:val="center"/>
        </w:trPr>
        <w:tc>
          <w:tcPr>
            <w:tcW w:w="799" w:type="pct"/>
            <w:shd w:val="clear" w:color="auto" w:fill="auto"/>
          </w:tcPr>
          <w:p w14:paraId="6E8E67C6" w14:textId="77777777" w:rsidR="00BC2F05" w:rsidRDefault="00772FB6" w:rsidP="00976665">
            <w:pPr>
              <w:pStyle w:val="TableText"/>
              <w:rPr>
                <w:i/>
                <w:color w:val="000000" w:themeColor="text1"/>
                <w:lang w:val="pt-BR"/>
              </w:rPr>
            </w:pPr>
            <w:r>
              <w:rPr>
                <w:b/>
                <w:color w:val="000000" w:themeColor="text1"/>
              </w:rPr>
              <w:t>Thysanoptera</w:t>
            </w:r>
          </w:p>
        </w:tc>
        <w:tc>
          <w:tcPr>
            <w:tcW w:w="450" w:type="pct"/>
            <w:shd w:val="clear" w:color="auto" w:fill="auto"/>
          </w:tcPr>
          <w:p w14:paraId="682FFBDB" w14:textId="77777777" w:rsidR="00BC2F05" w:rsidRDefault="00BC2F05" w:rsidP="00976665">
            <w:pPr>
              <w:pStyle w:val="TableText"/>
              <w:rPr>
                <w:lang w:val="pt-BR"/>
              </w:rPr>
            </w:pPr>
          </w:p>
        </w:tc>
        <w:tc>
          <w:tcPr>
            <w:tcW w:w="499" w:type="pct"/>
            <w:shd w:val="clear" w:color="auto" w:fill="auto"/>
          </w:tcPr>
          <w:p w14:paraId="13DDF42D" w14:textId="77777777" w:rsidR="00BC2F05" w:rsidRDefault="00BC2F05" w:rsidP="00976665">
            <w:pPr>
              <w:pStyle w:val="TableText"/>
              <w:rPr>
                <w:szCs w:val="16"/>
              </w:rPr>
            </w:pPr>
          </w:p>
        </w:tc>
        <w:tc>
          <w:tcPr>
            <w:tcW w:w="645" w:type="pct"/>
            <w:shd w:val="clear" w:color="auto" w:fill="auto"/>
          </w:tcPr>
          <w:p w14:paraId="44ED203D" w14:textId="77777777" w:rsidR="00BC2F05" w:rsidRDefault="00BC2F05" w:rsidP="00976665">
            <w:pPr>
              <w:pStyle w:val="TableText"/>
            </w:pPr>
          </w:p>
        </w:tc>
        <w:tc>
          <w:tcPr>
            <w:tcW w:w="706" w:type="pct"/>
          </w:tcPr>
          <w:p w14:paraId="57FA9F59" w14:textId="77777777" w:rsidR="00BC2F05" w:rsidRDefault="00BC2F05" w:rsidP="00976665">
            <w:pPr>
              <w:pStyle w:val="TableText"/>
            </w:pPr>
          </w:p>
        </w:tc>
        <w:tc>
          <w:tcPr>
            <w:tcW w:w="700" w:type="pct"/>
            <w:shd w:val="clear" w:color="auto" w:fill="auto"/>
          </w:tcPr>
          <w:p w14:paraId="44BFF558" w14:textId="77777777" w:rsidR="00BC2F05" w:rsidRDefault="00BC2F05" w:rsidP="00976665">
            <w:pPr>
              <w:pStyle w:val="TableText"/>
            </w:pPr>
          </w:p>
        </w:tc>
        <w:tc>
          <w:tcPr>
            <w:tcW w:w="701" w:type="pct"/>
            <w:shd w:val="clear" w:color="auto" w:fill="auto"/>
          </w:tcPr>
          <w:p w14:paraId="13340CE9" w14:textId="77777777" w:rsidR="00BC2F05" w:rsidRDefault="00BC2F05" w:rsidP="00976665">
            <w:pPr>
              <w:pStyle w:val="TableText"/>
            </w:pPr>
          </w:p>
        </w:tc>
        <w:tc>
          <w:tcPr>
            <w:tcW w:w="500" w:type="pct"/>
            <w:gridSpan w:val="2"/>
            <w:shd w:val="clear" w:color="auto" w:fill="auto"/>
          </w:tcPr>
          <w:p w14:paraId="4EDFF540" w14:textId="77777777" w:rsidR="00BC2F05" w:rsidRDefault="00BC2F05" w:rsidP="00976665">
            <w:pPr>
              <w:pStyle w:val="TableText"/>
            </w:pPr>
          </w:p>
        </w:tc>
      </w:tr>
      <w:tr w:rsidR="00C80041" w14:paraId="254A6B58" w14:textId="77777777" w:rsidTr="003754F5">
        <w:trPr>
          <w:trHeight w:val="75"/>
          <w:jc w:val="center"/>
        </w:trPr>
        <w:tc>
          <w:tcPr>
            <w:tcW w:w="799" w:type="pct"/>
            <w:shd w:val="clear" w:color="auto" w:fill="auto"/>
          </w:tcPr>
          <w:p w14:paraId="5798EF52" w14:textId="77777777" w:rsidR="00BC2F05" w:rsidRPr="008338EE" w:rsidRDefault="00772FB6" w:rsidP="00976665">
            <w:pPr>
              <w:pStyle w:val="TableText"/>
              <w:rPr>
                <w:color w:val="000000" w:themeColor="text1"/>
                <w:lang w:val="pt-BR"/>
              </w:rPr>
            </w:pPr>
            <w:bookmarkStart w:id="231" w:name="_Hlk100317790"/>
            <w:r>
              <w:rPr>
                <w:i/>
                <w:color w:val="000000" w:themeColor="text1"/>
                <w:lang w:val="pt-BR"/>
              </w:rPr>
              <w:t>Frankliniella occidentalis</w:t>
            </w:r>
            <w:bookmarkEnd w:id="231"/>
            <w:r>
              <w:rPr>
                <w:i/>
                <w:lang w:val="pt-BR"/>
              </w:rPr>
              <w:t xml:space="preserve"> </w:t>
            </w:r>
            <w:r>
              <w:rPr>
                <w:color w:val="000000" w:themeColor="text1"/>
                <w:lang w:val="pt-BR"/>
              </w:rPr>
              <w:t>(Pergande, 1895)</w:t>
            </w:r>
          </w:p>
          <w:p w14:paraId="2121F907" w14:textId="77777777" w:rsidR="00BC2F05" w:rsidRPr="00F508B9" w:rsidRDefault="00772FB6" w:rsidP="00976665">
            <w:pPr>
              <w:pStyle w:val="TableText"/>
              <w:rPr>
                <w:color w:val="000000" w:themeColor="text1"/>
                <w:lang w:val="pt-BR"/>
              </w:rPr>
            </w:pPr>
            <w:r>
              <w:rPr>
                <w:color w:val="000000" w:themeColor="text1"/>
                <w:lang w:val="pt-BR"/>
              </w:rPr>
              <w:t>[Thripidae]</w:t>
            </w:r>
          </w:p>
          <w:p w14:paraId="2F5B577D" w14:textId="77777777" w:rsidR="00BC2F05" w:rsidRPr="00F508B9" w:rsidRDefault="00772FB6" w:rsidP="00976665">
            <w:pPr>
              <w:pStyle w:val="TableText"/>
              <w:rPr>
                <w:color w:val="000000" w:themeColor="text1"/>
                <w:lang w:val="pt-BR"/>
              </w:rPr>
            </w:pPr>
            <w:bookmarkStart w:id="232" w:name="_Hlk100317797"/>
            <w:r>
              <w:rPr>
                <w:color w:val="000000" w:themeColor="text1"/>
                <w:lang w:val="pt-BR"/>
              </w:rPr>
              <w:t>Western flower thrips</w:t>
            </w:r>
            <w:bookmarkEnd w:id="232"/>
          </w:p>
        </w:tc>
        <w:tc>
          <w:tcPr>
            <w:tcW w:w="450" w:type="pct"/>
            <w:shd w:val="clear" w:color="auto" w:fill="auto"/>
          </w:tcPr>
          <w:p w14:paraId="5E3816FF" w14:textId="77777777" w:rsidR="00BC2F05" w:rsidRPr="00BD681D" w:rsidRDefault="00772FB6" w:rsidP="00976665">
            <w:pPr>
              <w:pStyle w:val="TableText"/>
              <w:rPr>
                <w:lang w:val="pt-BR"/>
              </w:rPr>
            </w:pPr>
            <w:r>
              <w:rPr>
                <w:lang w:val="pt-BR"/>
              </w:rPr>
              <w:t xml:space="preserve">Yes </w:t>
            </w:r>
            <w:r>
              <w:rPr>
                <w:noProof/>
                <w:lang w:val="pt-BR"/>
              </w:rPr>
              <w:t>(Wang et al. 2010)</w:t>
            </w:r>
          </w:p>
        </w:tc>
        <w:tc>
          <w:tcPr>
            <w:tcW w:w="499" w:type="pct"/>
            <w:shd w:val="clear" w:color="auto" w:fill="auto"/>
          </w:tcPr>
          <w:p w14:paraId="28D72482" w14:textId="77777777" w:rsidR="00BC2F05" w:rsidRDefault="00772FB6" w:rsidP="00976665">
            <w:pPr>
              <w:pStyle w:val="TableText"/>
              <w:rPr>
                <w:szCs w:val="16"/>
              </w:rPr>
            </w:pPr>
            <w:r>
              <w:rPr>
                <w:szCs w:val="16"/>
              </w:rPr>
              <w:t xml:space="preserve">Yes. Under official control (Regional) for NT </w:t>
            </w:r>
            <w:r>
              <w:rPr>
                <w:noProof/>
                <w:szCs w:val="16"/>
              </w:rPr>
              <w:t>(DPIR 2018)</w:t>
            </w:r>
            <w:r>
              <w:rPr>
                <w:szCs w:val="16"/>
              </w:rPr>
              <w:t xml:space="preserve">. Present in WA, Qld, NSW, Vic., Tas., SA </w:t>
            </w:r>
            <w:r>
              <w:rPr>
                <w:noProof/>
                <w:szCs w:val="16"/>
              </w:rPr>
              <w:t>(Mound, Tree &amp; Paris 2022)</w:t>
            </w:r>
          </w:p>
          <w:p w14:paraId="60A049F8" w14:textId="77777777" w:rsidR="00BC2F05" w:rsidRPr="00BD681D" w:rsidRDefault="00BC2F05" w:rsidP="00976665">
            <w:pPr>
              <w:pStyle w:val="TableText"/>
              <w:rPr>
                <w:szCs w:val="16"/>
              </w:rPr>
            </w:pPr>
          </w:p>
        </w:tc>
        <w:tc>
          <w:tcPr>
            <w:tcW w:w="645" w:type="pct"/>
            <w:shd w:val="clear" w:color="auto" w:fill="auto"/>
          </w:tcPr>
          <w:p w14:paraId="00429886" w14:textId="77777777" w:rsidR="00BC2F05" w:rsidRPr="00BD681D" w:rsidRDefault="00772FB6" w:rsidP="00976665">
            <w:pPr>
              <w:pStyle w:val="TableText"/>
            </w:pPr>
            <w:r>
              <w:t xml:space="preserve">Yes. </w:t>
            </w:r>
            <w:r>
              <w:rPr>
                <w:i/>
                <w:iCs/>
              </w:rPr>
              <w:t xml:space="preserve">Frankliniella occidentalis </w:t>
            </w:r>
            <w:r>
              <w:t>is a common pest of dragon fruit. Eggs are oviposited into the flowers and young fruit of host plants, and larvae and adults feed on the fruit and flower of dragon fruit</w:t>
            </w:r>
            <w:r w:rsidRPr="00314498">
              <w:t xml:space="preserve"> </w:t>
            </w:r>
            <w:r>
              <w:rPr>
                <w:noProof/>
              </w:rPr>
              <w:t>(Carrillo, Duncan &amp; Peña 2021; Meza et al. 2020)</w:t>
            </w:r>
            <w:r>
              <w:t xml:space="preserve">. </w:t>
            </w:r>
            <w:r>
              <w:rPr>
                <w:i/>
                <w:iCs/>
              </w:rPr>
              <w:t>F.</w:t>
            </w:r>
            <w:r>
              <w:t xml:space="preserve"> </w:t>
            </w:r>
            <w:r w:rsidRPr="00893C4E">
              <w:rPr>
                <w:i/>
                <w:iCs/>
              </w:rPr>
              <w:t>occidentalis</w:t>
            </w:r>
            <w:r>
              <w:t xml:space="preserve"> is routinely intercepted on horticultural products at the Australian border </w:t>
            </w:r>
            <w:r>
              <w:rPr>
                <w:noProof/>
              </w:rPr>
              <w:t>(DAWR 2017a)</w:t>
            </w:r>
            <w:r>
              <w:rPr>
                <w:rStyle w:val="TableTextChar"/>
              </w:rPr>
              <w:t>.</w:t>
            </w:r>
          </w:p>
        </w:tc>
        <w:tc>
          <w:tcPr>
            <w:tcW w:w="706" w:type="pct"/>
            <w:shd w:val="clear" w:color="auto" w:fill="auto"/>
          </w:tcPr>
          <w:p w14:paraId="15E1EF99" w14:textId="77777777" w:rsidR="00BC2F05" w:rsidRDefault="00772FB6" w:rsidP="00976665">
            <w:pPr>
              <w:pStyle w:val="TableText"/>
            </w:pPr>
            <w:r>
              <w:t xml:space="preserve">Yes. </w:t>
            </w:r>
            <w:r>
              <w:rPr>
                <w:i/>
                <w:iCs/>
              </w:rPr>
              <w:t xml:space="preserve">Frankliniella occidentalis </w:t>
            </w:r>
            <w:r>
              <w:t xml:space="preserve">has a wide host range of crop plants </w:t>
            </w:r>
            <w:r>
              <w:rPr>
                <w:noProof/>
              </w:rPr>
              <w:t>(Mound, Tree &amp; Paris 2022)</w:t>
            </w:r>
            <w:r>
              <w:t xml:space="preserve">, with </w:t>
            </w:r>
            <w:r w:rsidRPr="00CC2E86">
              <w:t xml:space="preserve">many hosts </w:t>
            </w:r>
            <w:r>
              <w:t>being</w:t>
            </w:r>
            <w:r w:rsidRPr="00CC2E86">
              <w:t xml:space="preserve"> available in Australia</w:t>
            </w:r>
            <w:r>
              <w:t>. Imported dragon fruit will be distributed throughout Australia via the wholesale and retail trade pathway. Thrips present on discarded dragon fruit waste could potentially disperse to a new host within proximity.</w:t>
            </w:r>
          </w:p>
        </w:tc>
        <w:tc>
          <w:tcPr>
            <w:tcW w:w="700" w:type="pct"/>
            <w:shd w:val="clear" w:color="auto" w:fill="auto"/>
          </w:tcPr>
          <w:p w14:paraId="17B18CCA" w14:textId="77777777" w:rsidR="00BC2F05" w:rsidRPr="00BD681D" w:rsidRDefault="00772FB6" w:rsidP="00976665">
            <w:pPr>
              <w:spacing w:line="240" w:lineRule="auto"/>
            </w:pPr>
            <w:r w:rsidRPr="00C56D85">
              <w:rPr>
                <w:sz w:val="18"/>
              </w:rPr>
              <w:t xml:space="preserve">Yes. Assessed in the thrips Group PRA </w:t>
            </w:r>
            <w:r>
              <w:rPr>
                <w:noProof/>
                <w:sz w:val="18"/>
              </w:rPr>
              <w:t>(DAWR 2017a)</w:t>
            </w:r>
          </w:p>
        </w:tc>
        <w:tc>
          <w:tcPr>
            <w:tcW w:w="701" w:type="pct"/>
            <w:shd w:val="clear" w:color="auto" w:fill="auto"/>
          </w:tcPr>
          <w:p w14:paraId="1172D8D0" w14:textId="77777777" w:rsidR="00BC2F05" w:rsidRPr="00BD681D" w:rsidRDefault="00772FB6" w:rsidP="00976665">
            <w:pPr>
              <w:pStyle w:val="TableText"/>
            </w:pPr>
            <w:r w:rsidRPr="00187F52">
              <w:t xml:space="preserve">Yes. Assessed in the thrips Group PRA </w:t>
            </w:r>
            <w:r>
              <w:rPr>
                <w:noProof/>
              </w:rPr>
              <w:t>(DAWR 2017a)</w:t>
            </w:r>
          </w:p>
        </w:tc>
        <w:tc>
          <w:tcPr>
            <w:tcW w:w="500" w:type="pct"/>
            <w:gridSpan w:val="2"/>
            <w:shd w:val="clear" w:color="auto" w:fill="auto"/>
          </w:tcPr>
          <w:p w14:paraId="7DF46EC5" w14:textId="77777777" w:rsidR="00BC2F05" w:rsidRPr="00BD681D" w:rsidRDefault="00772FB6" w:rsidP="00976665">
            <w:pPr>
              <w:pStyle w:val="TableText"/>
            </w:pPr>
            <w:r>
              <w:t>Yes (GP)</w:t>
            </w:r>
          </w:p>
        </w:tc>
      </w:tr>
      <w:tr w:rsidR="00C80041" w14:paraId="0E241F5C" w14:textId="77777777" w:rsidTr="003754F5">
        <w:trPr>
          <w:trHeight w:val="75"/>
          <w:jc w:val="center"/>
        </w:trPr>
        <w:tc>
          <w:tcPr>
            <w:tcW w:w="799" w:type="pct"/>
            <w:shd w:val="clear" w:color="auto" w:fill="auto"/>
          </w:tcPr>
          <w:p w14:paraId="3304CAB0" w14:textId="77777777" w:rsidR="00BC2F05" w:rsidRPr="008338EE" w:rsidRDefault="00772FB6" w:rsidP="00976665">
            <w:pPr>
              <w:pStyle w:val="TableText"/>
              <w:rPr>
                <w:color w:val="000000" w:themeColor="text1"/>
                <w:lang w:val="pt-BR"/>
              </w:rPr>
            </w:pPr>
            <w:bookmarkStart w:id="233" w:name="_Hlk100317806"/>
            <w:r w:rsidRPr="008338EE">
              <w:rPr>
                <w:i/>
                <w:lang w:val="pt-BR"/>
              </w:rPr>
              <w:lastRenderedPageBreak/>
              <w:t>Scirtothrips dorsalis</w:t>
            </w:r>
            <w:bookmarkEnd w:id="233"/>
            <w:r>
              <w:rPr>
                <w:i/>
                <w:lang w:val="pt-BR"/>
              </w:rPr>
              <w:t xml:space="preserve"> </w:t>
            </w:r>
            <w:r>
              <w:rPr>
                <w:color w:val="000000" w:themeColor="text1"/>
                <w:lang w:val="pt-BR"/>
              </w:rPr>
              <w:t>Hood, 1919</w:t>
            </w:r>
          </w:p>
          <w:p w14:paraId="59E092DC" w14:textId="77777777" w:rsidR="00BC2F05" w:rsidRPr="00F508B9" w:rsidRDefault="00772FB6" w:rsidP="00976665">
            <w:pPr>
              <w:pStyle w:val="TableText"/>
              <w:rPr>
                <w:color w:val="000000" w:themeColor="text1"/>
                <w:lang w:val="pt-BR"/>
              </w:rPr>
            </w:pPr>
            <w:r>
              <w:rPr>
                <w:color w:val="000000" w:themeColor="text1"/>
                <w:lang w:val="pt-BR"/>
              </w:rPr>
              <w:t>[Thripidae]</w:t>
            </w:r>
          </w:p>
          <w:p w14:paraId="176EE25B" w14:textId="77777777" w:rsidR="00BC2F05" w:rsidRPr="00F508B9" w:rsidRDefault="00772FB6" w:rsidP="00976665">
            <w:pPr>
              <w:pStyle w:val="TableText"/>
              <w:rPr>
                <w:color w:val="000000" w:themeColor="text1"/>
                <w:lang w:val="pt-BR"/>
              </w:rPr>
            </w:pPr>
            <w:bookmarkStart w:id="234" w:name="_Hlk100317813"/>
            <w:r>
              <w:rPr>
                <w:color w:val="000000" w:themeColor="text1"/>
                <w:lang w:val="pt-BR"/>
              </w:rPr>
              <w:t>Chilli thrips</w:t>
            </w:r>
            <w:bookmarkEnd w:id="234"/>
          </w:p>
        </w:tc>
        <w:tc>
          <w:tcPr>
            <w:tcW w:w="450" w:type="pct"/>
            <w:shd w:val="clear" w:color="auto" w:fill="auto"/>
          </w:tcPr>
          <w:p w14:paraId="13EE8E22" w14:textId="77777777" w:rsidR="00BC2F05" w:rsidRPr="008477BB" w:rsidRDefault="00772FB6" w:rsidP="00976665">
            <w:pPr>
              <w:pStyle w:val="TableText"/>
              <w:rPr>
                <w:lang w:val="pt-BR"/>
              </w:rPr>
            </w:pPr>
            <w:r w:rsidRPr="008477BB">
              <w:rPr>
                <w:lang w:val="pt-BR"/>
              </w:rPr>
              <w:t xml:space="preserve">Yes </w:t>
            </w:r>
            <w:r>
              <w:rPr>
                <w:noProof/>
                <w:lang w:val="pt-BR"/>
              </w:rPr>
              <w:t>(CABI 2022; Kumar et al. 2013)</w:t>
            </w:r>
          </w:p>
        </w:tc>
        <w:tc>
          <w:tcPr>
            <w:tcW w:w="499" w:type="pct"/>
            <w:shd w:val="clear" w:color="auto" w:fill="auto"/>
          </w:tcPr>
          <w:p w14:paraId="41CF765C" w14:textId="77777777" w:rsidR="00BC2F05" w:rsidRPr="00CC2E86" w:rsidRDefault="00772FB6" w:rsidP="00976665">
            <w:pPr>
              <w:pStyle w:val="TableText"/>
            </w:pPr>
            <w:r w:rsidRPr="00CC2E86">
              <w:t xml:space="preserve">Yes. NSW, Qld, NT, WA </w:t>
            </w:r>
            <w:r>
              <w:rPr>
                <w:noProof/>
              </w:rPr>
              <w:t>(Government of Western Australia 2022; Mound, Tree &amp; Paris 2018)</w:t>
            </w:r>
            <w:r w:rsidRPr="00CC2E86">
              <w:t>.</w:t>
            </w:r>
          </w:p>
          <w:p w14:paraId="4EFC7040" w14:textId="77777777" w:rsidR="00BC2F05" w:rsidRPr="00BD681D" w:rsidRDefault="00772FB6" w:rsidP="00976665">
            <w:pPr>
              <w:pStyle w:val="TableText"/>
              <w:rPr>
                <w:szCs w:val="16"/>
              </w:rPr>
            </w:pPr>
            <w:r w:rsidRPr="00CC2E86">
              <w:rPr>
                <w:i/>
                <w:iCs/>
              </w:rPr>
              <w:t xml:space="preserve">Scirtothrips dorsalis </w:t>
            </w:r>
            <w:r w:rsidRPr="00CC2E86">
              <w:t xml:space="preserve">was previously assessed in the thrips group PRA as a vector of quarantine </w:t>
            </w:r>
            <w:proofErr w:type="spellStart"/>
            <w:r w:rsidRPr="00CC2E86">
              <w:t>orthotospoviruses</w:t>
            </w:r>
            <w:proofErr w:type="spellEnd"/>
            <w:r w:rsidRPr="00CC2E86">
              <w:t xml:space="preserve">. Therefore, it is a regulated article for Australia </w:t>
            </w:r>
            <w:r>
              <w:rPr>
                <w:noProof/>
              </w:rPr>
              <w:t>(DAWR 2017a)</w:t>
            </w:r>
          </w:p>
        </w:tc>
        <w:tc>
          <w:tcPr>
            <w:tcW w:w="645" w:type="pct"/>
            <w:shd w:val="clear" w:color="auto" w:fill="auto"/>
          </w:tcPr>
          <w:p w14:paraId="456B365E" w14:textId="77777777" w:rsidR="00BC2F05" w:rsidRPr="00BD681D" w:rsidRDefault="00772FB6" w:rsidP="00976665">
            <w:pPr>
              <w:pStyle w:val="TableText"/>
            </w:pPr>
            <w:r>
              <w:t xml:space="preserve">Yes. </w:t>
            </w:r>
            <w:r>
              <w:rPr>
                <w:i/>
                <w:iCs/>
              </w:rPr>
              <w:t>Scirtothrips dorsalis</w:t>
            </w:r>
            <w:r>
              <w:t xml:space="preserve"> is a common pest of dragon fruit. Eggs are oviposited into the flowers and young fruit of host plants, and larvae and adults feed on the flower and fruit of dragon fruit</w:t>
            </w:r>
            <w:r w:rsidRPr="00314498">
              <w:t xml:space="preserve"> </w:t>
            </w:r>
            <w:r>
              <w:rPr>
                <w:noProof/>
              </w:rPr>
              <w:t>(Carrillo, Duncan &amp; Peña 2021; Tran et al. 2018)</w:t>
            </w:r>
            <w:r>
              <w:t xml:space="preserve">. </w:t>
            </w:r>
            <w:r w:rsidRPr="00CC2E86">
              <w:rPr>
                <w:i/>
                <w:szCs w:val="18"/>
              </w:rPr>
              <w:t>Scirtothrips</w:t>
            </w:r>
            <w:r w:rsidRPr="00CC2E86">
              <w:rPr>
                <w:szCs w:val="18"/>
              </w:rPr>
              <w:t xml:space="preserve"> spp. are routinely intercepted on horticultural products at the Australian border </w:t>
            </w:r>
            <w:r>
              <w:rPr>
                <w:noProof/>
              </w:rPr>
              <w:t>(DAWR 2017a)</w:t>
            </w:r>
            <w:r>
              <w:t xml:space="preserve">.  </w:t>
            </w:r>
          </w:p>
        </w:tc>
        <w:tc>
          <w:tcPr>
            <w:tcW w:w="706" w:type="pct"/>
            <w:shd w:val="clear" w:color="auto" w:fill="auto"/>
          </w:tcPr>
          <w:p w14:paraId="3D119C4D" w14:textId="77777777" w:rsidR="00BC2F05" w:rsidRDefault="00772FB6" w:rsidP="00976665">
            <w:pPr>
              <w:pStyle w:val="TableText"/>
            </w:pPr>
            <w:r>
              <w:t xml:space="preserve">Yes. </w:t>
            </w:r>
            <w:r>
              <w:rPr>
                <w:i/>
                <w:iCs/>
              </w:rPr>
              <w:t xml:space="preserve">Scirtothrips dorsalis </w:t>
            </w:r>
            <w:r>
              <w:t xml:space="preserve">has a wide host range including crops and ornamentals </w:t>
            </w:r>
            <w:r>
              <w:rPr>
                <w:noProof/>
              </w:rPr>
              <w:t>(CABI 2022)</w:t>
            </w:r>
            <w:r>
              <w:t xml:space="preserve">, with many hosts being available in Australia. Imported dragon fruit will be distributed throughout Australia via the wholesale and retail trade pathway. Thrips present on discarded dragon fruit waste could potentially disperse to a new host within </w:t>
            </w:r>
            <w:proofErr w:type="gramStart"/>
            <w:r>
              <w:t>close proximity</w:t>
            </w:r>
            <w:proofErr w:type="gramEnd"/>
            <w:r>
              <w:t xml:space="preserve">. </w:t>
            </w:r>
          </w:p>
        </w:tc>
        <w:tc>
          <w:tcPr>
            <w:tcW w:w="700" w:type="pct"/>
            <w:shd w:val="clear" w:color="auto" w:fill="auto"/>
          </w:tcPr>
          <w:p w14:paraId="67A5FBE1" w14:textId="77777777" w:rsidR="00BC2F05" w:rsidRPr="00510863" w:rsidRDefault="00772FB6" w:rsidP="00976665">
            <w:pPr>
              <w:spacing w:before="60" w:after="0" w:line="240" w:lineRule="auto"/>
              <w:rPr>
                <w:sz w:val="18"/>
              </w:rPr>
            </w:pPr>
            <w:r>
              <w:rPr>
                <w:sz w:val="18"/>
              </w:rPr>
              <w:t>Yes. T</w:t>
            </w:r>
            <w:r w:rsidRPr="00510863">
              <w:rPr>
                <w:sz w:val="18"/>
              </w:rPr>
              <w:t xml:space="preserve">he emerging quarantine </w:t>
            </w:r>
            <w:proofErr w:type="spellStart"/>
            <w:r w:rsidRPr="00510863">
              <w:rPr>
                <w:sz w:val="18"/>
              </w:rPr>
              <w:t>orthotospoviruses</w:t>
            </w:r>
            <w:proofErr w:type="spellEnd"/>
            <w:r w:rsidRPr="00510863">
              <w:rPr>
                <w:sz w:val="18"/>
              </w:rPr>
              <w:t xml:space="preserve"> vectored by this thrips have potential for establishment and spread </w:t>
            </w:r>
            <w:r>
              <w:rPr>
                <w:noProof/>
                <w:sz w:val="18"/>
              </w:rPr>
              <w:t>(DAWR 2017a)</w:t>
            </w:r>
            <w:r>
              <w:rPr>
                <w:sz w:val="18"/>
              </w:rPr>
              <w:t>.</w:t>
            </w:r>
          </w:p>
          <w:p w14:paraId="65BCD2A2" w14:textId="77777777" w:rsidR="00BC2F05" w:rsidRPr="00BD681D" w:rsidRDefault="00BC2F05" w:rsidP="00976665">
            <w:pPr>
              <w:pStyle w:val="TableText"/>
            </w:pPr>
          </w:p>
        </w:tc>
        <w:tc>
          <w:tcPr>
            <w:tcW w:w="701" w:type="pct"/>
            <w:shd w:val="clear" w:color="auto" w:fill="auto"/>
          </w:tcPr>
          <w:p w14:paraId="17E98046" w14:textId="77777777" w:rsidR="00BC2F05" w:rsidRPr="00BD681D" w:rsidRDefault="00772FB6" w:rsidP="00976665">
            <w:pPr>
              <w:pStyle w:val="TableText"/>
            </w:pPr>
            <w:r>
              <w:t>Yes. T</w:t>
            </w:r>
            <w:r w:rsidRPr="00510863">
              <w:t xml:space="preserve">he emerging quarantine </w:t>
            </w:r>
            <w:proofErr w:type="spellStart"/>
            <w:r w:rsidRPr="00510863">
              <w:t>orthotospoviruses</w:t>
            </w:r>
            <w:proofErr w:type="spellEnd"/>
            <w:r w:rsidRPr="00510863">
              <w:t xml:space="preserve"> vectored by this thrips have potential </w:t>
            </w:r>
            <w:r>
              <w:t>to cause</w:t>
            </w:r>
            <w:r w:rsidRPr="00510863">
              <w:t xml:space="preserve"> consequences </w:t>
            </w:r>
            <w:r>
              <w:rPr>
                <w:noProof/>
              </w:rPr>
              <w:t>(DAWR 2017a)</w:t>
            </w:r>
            <w:r>
              <w:t>.</w:t>
            </w:r>
          </w:p>
        </w:tc>
        <w:tc>
          <w:tcPr>
            <w:tcW w:w="500" w:type="pct"/>
            <w:gridSpan w:val="2"/>
            <w:shd w:val="clear" w:color="auto" w:fill="auto"/>
          </w:tcPr>
          <w:p w14:paraId="73EAB4B9" w14:textId="77777777" w:rsidR="00BC2F05" w:rsidRPr="00BD681D" w:rsidRDefault="00772FB6" w:rsidP="00976665">
            <w:pPr>
              <w:pStyle w:val="TableText"/>
            </w:pPr>
            <w:r>
              <w:t>Yes (GP, RA)</w:t>
            </w:r>
          </w:p>
        </w:tc>
      </w:tr>
      <w:tr w:rsidR="00C80041" w14:paraId="4A45A3A5" w14:textId="77777777" w:rsidTr="003754F5">
        <w:trPr>
          <w:trHeight w:val="75"/>
          <w:jc w:val="center"/>
        </w:trPr>
        <w:tc>
          <w:tcPr>
            <w:tcW w:w="799" w:type="pct"/>
            <w:shd w:val="clear" w:color="auto" w:fill="auto"/>
          </w:tcPr>
          <w:p w14:paraId="1AD3D388" w14:textId="77777777" w:rsidR="00BC2F05" w:rsidRPr="008338EE" w:rsidRDefault="00772FB6" w:rsidP="00976665">
            <w:pPr>
              <w:pStyle w:val="TableText"/>
              <w:rPr>
                <w:color w:val="000000" w:themeColor="text1"/>
                <w:lang w:val="pt-BR"/>
              </w:rPr>
            </w:pPr>
            <w:bookmarkStart w:id="235" w:name="_Hlk100317825"/>
            <w:r>
              <w:rPr>
                <w:i/>
                <w:color w:val="000000" w:themeColor="text1"/>
                <w:lang w:val="pt-BR"/>
              </w:rPr>
              <w:t>Thrips palmi</w:t>
            </w:r>
            <w:bookmarkEnd w:id="235"/>
            <w:r>
              <w:rPr>
                <w:i/>
                <w:lang w:val="pt-BR"/>
              </w:rPr>
              <w:t xml:space="preserve"> </w:t>
            </w:r>
            <w:r>
              <w:rPr>
                <w:color w:val="000000" w:themeColor="text1"/>
                <w:lang w:val="pt-BR"/>
              </w:rPr>
              <w:t>Karny, 1925</w:t>
            </w:r>
          </w:p>
          <w:p w14:paraId="4B66CA58" w14:textId="77777777" w:rsidR="00BC2F05" w:rsidRPr="00F508B9" w:rsidRDefault="00772FB6" w:rsidP="00976665">
            <w:pPr>
              <w:pStyle w:val="TableText"/>
              <w:rPr>
                <w:color w:val="000000" w:themeColor="text1"/>
                <w:lang w:val="pt-BR"/>
              </w:rPr>
            </w:pPr>
            <w:r>
              <w:rPr>
                <w:color w:val="000000" w:themeColor="text1"/>
                <w:lang w:val="pt-BR"/>
              </w:rPr>
              <w:t>[Thripidae]</w:t>
            </w:r>
          </w:p>
          <w:p w14:paraId="416D65D0" w14:textId="77777777" w:rsidR="00BC2F05" w:rsidRPr="00F508B9" w:rsidRDefault="00772FB6" w:rsidP="00976665">
            <w:pPr>
              <w:pStyle w:val="TableText"/>
              <w:rPr>
                <w:color w:val="000000" w:themeColor="text1"/>
                <w:lang w:val="pt-BR"/>
              </w:rPr>
            </w:pPr>
            <w:bookmarkStart w:id="236" w:name="_Hlk100317833"/>
            <w:r>
              <w:rPr>
                <w:color w:val="000000" w:themeColor="text1"/>
                <w:lang w:val="pt-BR"/>
              </w:rPr>
              <w:t>Melon thrips</w:t>
            </w:r>
            <w:bookmarkEnd w:id="236"/>
          </w:p>
        </w:tc>
        <w:tc>
          <w:tcPr>
            <w:tcW w:w="450" w:type="pct"/>
            <w:shd w:val="clear" w:color="auto" w:fill="auto"/>
          </w:tcPr>
          <w:p w14:paraId="1CE7C038" w14:textId="77777777" w:rsidR="00BC2F05" w:rsidRPr="00BD681D" w:rsidRDefault="00772FB6" w:rsidP="00976665">
            <w:pPr>
              <w:pStyle w:val="TableText"/>
              <w:rPr>
                <w:lang w:val="pt-BR"/>
              </w:rPr>
            </w:pPr>
            <w:r w:rsidRPr="00364A80">
              <w:rPr>
                <w:lang w:val="pt-BR"/>
              </w:rPr>
              <w:t xml:space="preserve">Yes </w:t>
            </w:r>
            <w:r>
              <w:rPr>
                <w:noProof/>
                <w:lang w:val="pt-BR"/>
              </w:rPr>
              <w:t>(Kajita et al. 1996)</w:t>
            </w:r>
          </w:p>
        </w:tc>
        <w:tc>
          <w:tcPr>
            <w:tcW w:w="499" w:type="pct"/>
            <w:shd w:val="clear" w:color="auto" w:fill="auto"/>
          </w:tcPr>
          <w:p w14:paraId="01C5EE27" w14:textId="77777777" w:rsidR="00BC2F05" w:rsidRPr="00BD681D" w:rsidRDefault="00772FB6" w:rsidP="00976665">
            <w:pPr>
              <w:pStyle w:val="TableText"/>
              <w:rPr>
                <w:szCs w:val="16"/>
              </w:rPr>
            </w:pPr>
            <w:r w:rsidRPr="00364A80">
              <w:rPr>
                <w:szCs w:val="16"/>
              </w:rPr>
              <w:t xml:space="preserve">Yes. </w:t>
            </w:r>
            <w:r>
              <w:rPr>
                <w:szCs w:val="16"/>
              </w:rPr>
              <w:t xml:space="preserve">Under official control (Regional) for SA </w:t>
            </w:r>
            <w:r>
              <w:rPr>
                <w:noProof/>
              </w:rPr>
              <w:t>(PIRSA 2020)</w:t>
            </w:r>
            <w:r>
              <w:t xml:space="preserve"> and WA </w:t>
            </w:r>
            <w:r>
              <w:rPr>
                <w:noProof/>
              </w:rPr>
              <w:t>(Government of Western Australia 2022)</w:t>
            </w:r>
            <w:r>
              <w:t xml:space="preserve">. Present in NSW, NT, Qld, WA </w:t>
            </w:r>
            <w:r>
              <w:rPr>
                <w:noProof/>
                <w:szCs w:val="16"/>
              </w:rPr>
              <w:t xml:space="preserve">(APPD 2022; Government of </w:t>
            </w:r>
            <w:r>
              <w:rPr>
                <w:noProof/>
                <w:szCs w:val="16"/>
              </w:rPr>
              <w:lastRenderedPageBreak/>
              <w:t>Western Australia 2022)</w:t>
            </w:r>
          </w:p>
        </w:tc>
        <w:tc>
          <w:tcPr>
            <w:tcW w:w="645" w:type="pct"/>
            <w:shd w:val="clear" w:color="auto" w:fill="auto"/>
          </w:tcPr>
          <w:p w14:paraId="214DFE6D" w14:textId="77777777" w:rsidR="00BC2F05" w:rsidRPr="00BD681D" w:rsidRDefault="00772FB6" w:rsidP="00976665">
            <w:pPr>
              <w:pStyle w:val="TableText"/>
            </w:pPr>
            <w:r>
              <w:lastRenderedPageBreak/>
              <w:t xml:space="preserve">Yes. </w:t>
            </w:r>
            <w:r>
              <w:rPr>
                <w:i/>
                <w:iCs/>
              </w:rPr>
              <w:t>Thrips palmi</w:t>
            </w:r>
            <w:r>
              <w:t xml:space="preserve"> is a common pest of dragon fruit. Eggs are oviposited into the flowers and young fruit of host plants, and larvae and adults feed on the flower and fruit of dragon fruit</w:t>
            </w:r>
            <w:r w:rsidRPr="00314498">
              <w:t xml:space="preserve"> </w:t>
            </w:r>
            <w:r>
              <w:rPr>
                <w:noProof/>
              </w:rPr>
              <w:t>(Carrillo, Duncan &amp; Peña 2021; Tran et al. 2018)</w:t>
            </w:r>
            <w:r>
              <w:t>.</w:t>
            </w:r>
            <w:r w:rsidRPr="00945121">
              <w:rPr>
                <w:color w:val="000000" w:themeColor="text1"/>
              </w:rPr>
              <w:t xml:space="preserve"> Members </w:t>
            </w:r>
            <w:r w:rsidRPr="00945121">
              <w:rPr>
                <w:color w:val="000000" w:themeColor="text1"/>
              </w:rPr>
              <w:lastRenderedPageBreak/>
              <w:t xml:space="preserve">of this genus are frequently intercepted on horticultural products at the Australian border </w:t>
            </w:r>
            <w:r>
              <w:rPr>
                <w:noProof/>
              </w:rPr>
              <w:t>(DAWR 2017a)</w:t>
            </w:r>
            <w:r>
              <w:t>.</w:t>
            </w:r>
          </w:p>
        </w:tc>
        <w:tc>
          <w:tcPr>
            <w:tcW w:w="706" w:type="pct"/>
            <w:shd w:val="clear" w:color="auto" w:fill="auto"/>
          </w:tcPr>
          <w:p w14:paraId="48264E2D" w14:textId="77777777" w:rsidR="00BC2F05" w:rsidRDefault="00772FB6" w:rsidP="00976665">
            <w:pPr>
              <w:pStyle w:val="TableText"/>
            </w:pPr>
            <w:r>
              <w:lastRenderedPageBreak/>
              <w:t xml:space="preserve">Yes. </w:t>
            </w:r>
            <w:r>
              <w:rPr>
                <w:i/>
                <w:iCs/>
              </w:rPr>
              <w:t xml:space="preserve">Thrips palmi </w:t>
            </w:r>
            <w:r>
              <w:t xml:space="preserve">has a wide host range of crop plants </w:t>
            </w:r>
            <w:r>
              <w:rPr>
                <w:noProof/>
              </w:rPr>
              <w:t>(CABI 2022)</w:t>
            </w:r>
            <w:r>
              <w:t xml:space="preserve">, with many hosts being available in Australia. Imported dragon fruit will be distributed throughout Australia via the wholesale and retail trade pathway. Thrips present on discarded dragon fruit waste </w:t>
            </w:r>
            <w:r>
              <w:lastRenderedPageBreak/>
              <w:t xml:space="preserve">could potentially disperse to a new host within </w:t>
            </w:r>
            <w:proofErr w:type="gramStart"/>
            <w:r>
              <w:t>close proximity</w:t>
            </w:r>
            <w:proofErr w:type="gramEnd"/>
            <w:r>
              <w:t>.</w:t>
            </w:r>
          </w:p>
        </w:tc>
        <w:tc>
          <w:tcPr>
            <w:tcW w:w="700" w:type="pct"/>
            <w:shd w:val="clear" w:color="auto" w:fill="auto"/>
          </w:tcPr>
          <w:p w14:paraId="0091F622" w14:textId="77777777" w:rsidR="00BC2F05" w:rsidRPr="00BD681D" w:rsidRDefault="00772FB6" w:rsidP="00976665">
            <w:pPr>
              <w:pStyle w:val="TableText"/>
            </w:pPr>
            <w:r w:rsidRPr="00187F52">
              <w:lastRenderedPageBreak/>
              <w:t xml:space="preserve">Yes. Assessed in the thrips Group PRA </w:t>
            </w:r>
            <w:r>
              <w:rPr>
                <w:noProof/>
              </w:rPr>
              <w:t>(DAWR 2017a)</w:t>
            </w:r>
          </w:p>
        </w:tc>
        <w:tc>
          <w:tcPr>
            <w:tcW w:w="701" w:type="pct"/>
            <w:shd w:val="clear" w:color="auto" w:fill="auto"/>
          </w:tcPr>
          <w:p w14:paraId="7A9C2B66" w14:textId="77777777" w:rsidR="00BC2F05" w:rsidRPr="00BD681D" w:rsidRDefault="00772FB6" w:rsidP="00976665">
            <w:pPr>
              <w:pStyle w:val="TableText"/>
            </w:pPr>
            <w:r w:rsidRPr="00187F52">
              <w:t xml:space="preserve">Yes. Assessed in the thrips Group PRA </w:t>
            </w:r>
            <w:r>
              <w:rPr>
                <w:noProof/>
              </w:rPr>
              <w:t>(DAWR 2017a)</w:t>
            </w:r>
          </w:p>
        </w:tc>
        <w:tc>
          <w:tcPr>
            <w:tcW w:w="500" w:type="pct"/>
            <w:gridSpan w:val="2"/>
            <w:shd w:val="clear" w:color="auto" w:fill="auto"/>
          </w:tcPr>
          <w:p w14:paraId="5439D8F9" w14:textId="77777777" w:rsidR="00BC2F05" w:rsidRPr="00BD681D" w:rsidRDefault="00772FB6" w:rsidP="00976665">
            <w:pPr>
              <w:pStyle w:val="TableText"/>
            </w:pPr>
            <w:r w:rsidRPr="00187F52">
              <w:t>Yes</w:t>
            </w:r>
            <w:r>
              <w:t xml:space="preserve"> (GP)</w:t>
            </w:r>
          </w:p>
        </w:tc>
      </w:tr>
      <w:tr w:rsidR="00C80041" w14:paraId="6948D47F" w14:textId="77777777" w:rsidTr="003754F5">
        <w:trPr>
          <w:trHeight w:val="75"/>
          <w:jc w:val="center"/>
        </w:trPr>
        <w:tc>
          <w:tcPr>
            <w:tcW w:w="799" w:type="pct"/>
            <w:tcBorders>
              <w:top w:val="single" w:sz="4" w:space="0" w:color="auto"/>
            </w:tcBorders>
            <w:shd w:val="clear" w:color="auto" w:fill="auto"/>
          </w:tcPr>
          <w:p w14:paraId="6CA3CCF3" w14:textId="77777777" w:rsidR="00BC2F05" w:rsidRPr="00BB5D4F" w:rsidRDefault="00772FB6" w:rsidP="00976665">
            <w:pPr>
              <w:pStyle w:val="TableText"/>
              <w:rPr>
                <w:b/>
                <w:bCs/>
                <w:iCs/>
                <w:color w:val="000000" w:themeColor="text1"/>
                <w:lang w:val="pt-BR"/>
              </w:rPr>
            </w:pPr>
            <w:r>
              <w:rPr>
                <w:b/>
                <w:bCs/>
                <w:iCs/>
                <w:color w:val="000000" w:themeColor="text1"/>
                <w:lang w:val="pt-BR"/>
              </w:rPr>
              <w:t>MOLLUSCS</w:t>
            </w:r>
          </w:p>
        </w:tc>
        <w:tc>
          <w:tcPr>
            <w:tcW w:w="450" w:type="pct"/>
            <w:tcBorders>
              <w:top w:val="single" w:sz="4" w:space="0" w:color="auto"/>
            </w:tcBorders>
            <w:shd w:val="clear" w:color="auto" w:fill="auto"/>
          </w:tcPr>
          <w:p w14:paraId="62FA8893" w14:textId="77777777" w:rsidR="00BC2F05" w:rsidRDefault="00BC2F05" w:rsidP="00976665">
            <w:pPr>
              <w:pStyle w:val="TableText"/>
              <w:rPr>
                <w:lang w:val="pt-BR"/>
              </w:rPr>
            </w:pPr>
          </w:p>
        </w:tc>
        <w:tc>
          <w:tcPr>
            <w:tcW w:w="499" w:type="pct"/>
            <w:tcBorders>
              <w:top w:val="single" w:sz="4" w:space="0" w:color="auto"/>
            </w:tcBorders>
            <w:shd w:val="clear" w:color="auto" w:fill="auto"/>
          </w:tcPr>
          <w:p w14:paraId="40566ACF" w14:textId="77777777" w:rsidR="00BC2F05" w:rsidRDefault="00BC2F05" w:rsidP="00976665">
            <w:pPr>
              <w:pStyle w:val="TableText"/>
              <w:rPr>
                <w:szCs w:val="16"/>
              </w:rPr>
            </w:pPr>
          </w:p>
        </w:tc>
        <w:tc>
          <w:tcPr>
            <w:tcW w:w="645" w:type="pct"/>
            <w:tcBorders>
              <w:top w:val="single" w:sz="4" w:space="0" w:color="auto"/>
            </w:tcBorders>
            <w:shd w:val="clear" w:color="auto" w:fill="auto"/>
          </w:tcPr>
          <w:p w14:paraId="4E4C6742" w14:textId="77777777" w:rsidR="00BC2F05" w:rsidRDefault="00BC2F05" w:rsidP="00976665">
            <w:pPr>
              <w:pStyle w:val="TableText"/>
            </w:pPr>
          </w:p>
        </w:tc>
        <w:tc>
          <w:tcPr>
            <w:tcW w:w="706" w:type="pct"/>
            <w:tcBorders>
              <w:top w:val="single" w:sz="4" w:space="0" w:color="auto"/>
            </w:tcBorders>
          </w:tcPr>
          <w:p w14:paraId="64222392" w14:textId="77777777" w:rsidR="00BC2F05" w:rsidRDefault="00BC2F05" w:rsidP="00976665">
            <w:pPr>
              <w:pStyle w:val="TableText"/>
            </w:pPr>
          </w:p>
        </w:tc>
        <w:tc>
          <w:tcPr>
            <w:tcW w:w="700" w:type="pct"/>
            <w:tcBorders>
              <w:top w:val="single" w:sz="4" w:space="0" w:color="auto"/>
            </w:tcBorders>
            <w:shd w:val="clear" w:color="auto" w:fill="auto"/>
          </w:tcPr>
          <w:p w14:paraId="0CBB74A7" w14:textId="77777777" w:rsidR="00BC2F05" w:rsidRDefault="00BC2F05" w:rsidP="00976665">
            <w:pPr>
              <w:pStyle w:val="TableText"/>
            </w:pPr>
          </w:p>
        </w:tc>
        <w:tc>
          <w:tcPr>
            <w:tcW w:w="701" w:type="pct"/>
            <w:tcBorders>
              <w:top w:val="single" w:sz="4" w:space="0" w:color="auto"/>
            </w:tcBorders>
            <w:shd w:val="clear" w:color="auto" w:fill="auto"/>
          </w:tcPr>
          <w:p w14:paraId="0E76F1A1" w14:textId="77777777" w:rsidR="00BC2F05" w:rsidRDefault="00BC2F05" w:rsidP="00976665">
            <w:pPr>
              <w:pStyle w:val="TableText"/>
            </w:pPr>
          </w:p>
        </w:tc>
        <w:tc>
          <w:tcPr>
            <w:tcW w:w="500" w:type="pct"/>
            <w:gridSpan w:val="2"/>
            <w:tcBorders>
              <w:top w:val="single" w:sz="4" w:space="0" w:color="auto"/>
            </w:tcBorders>
            <w:shd w:val="clear" w:color="auto" w:fill="auto"/>
          </w:tcPr>
          <w:p w14:paraId="0420617E" w14:textId="77777777" w:rsidR="00BC2F05" w:rsidRDefault="00BC2F05" w:rsidP="00976665">
            <w:pPr>
              <w:pStyle w:val="TableText"/>
            </w:pPr>
          </w:p>
        </w:tc>
      </w:tr>
      <w:tr w:rsidR="00C80041" w14:paraId="06A5CB90" w14:textId="77777777" w:rsidTr="003754F5">
        <w:trPr>
          <w:trHeight w:val="75"/>
          <w:jc w:val="center"/>
        </w:trPr>
        <w:tc>
          <w:tcPr>
            <w:tcW w:w="799" w:type="pct"/>
            <w:shd w:val="clear" w:color="auto" w:fill="auto"/>
          </w:tcPr>
          <w:p w14:paraId="2A0CEF0B" w14:textId="77777777" w:rsidR="00BC2F05" w:rsidRDefault="00772FB6" w:rsidP="00976665">
            <w:pPr>
              <w:pStyle w:val="TableText"/>
              <w:rPr>
                <w:b/>
                <w:bCs/>
                <w:iCs/>
                <w:color w:val="000000" w:themeColor="text1"/>
                <w:lang w:val="pt-BR"/>
              </w:rPr>
            </w:pPr>
            <w:r w:rsidRPr="00C83C20">
              <w:rPr>
                <w:b/>
                <w:bCs/>
                <w:iCs/>
                <w:color w:val="000000" w:themeColor="text1"/>
                <w:lang w:val="pt-BR"/>
              </w:rPr>
              <w:t>Stylommatophora</w:t>
            </w:r>
          </w:p>
        </w:tc>
        <w:tc>
          <w:tcPr>
            <w:tcW w:w="450" w:type="pct"/>
            <w:shd w:val="clear" w:color="auto" w:fill="auto"/>
          </w:tcPr>
          <w:p w14:paraId="4D3B49D8" w14:textId="77777777" w:rsidR="00BC2F05" w:rsidRDefault="00BC2F05" w:rsidP="00976665">
            <w:pPr>
              <w:pStyle w:val="TableText"/>
              <w:rPr>
                <w:lang w:val="pt-BR"/>
              </w:rPr>
            </w:pPr>
          </w:p>
        </w:tc>
        <w:tc>
          <w:tcPr>
            <w:tcW w:w="499" w:type="pct"/>
            <w:shd w:val="clear" w:color="auto" w:fill="auto"/>
          </w:tcPr>
          <w:p w14:paraId="768CBCEE" w14:textId="77777777" w:rsidR="00BC2F05" w:rsidRDefault="00BC2F05" w:rsidP="00976665">
            <w:pPr>
              <w:pStyle w:val="TableText"/>
              <w:rPr>
                <w:szCs w:val="16"/>
              </w:rPr>
            </w:pPr>
          </w:p>
        </w:tc>
        <w:tc>
          <w:tcPr>
            <w:tcW w:w="645" w:type="pct"/>
            <w:shd w:val="clear" w:color="auto" w:fill="auto"/>
          </w:tcPr>
          <w:p w14:paraId="1038F205" w14:textId="77777777" w:rsidR="00BC2F05" w:rsidRDefault="00BC2F05" w:rsidP="00976665">
            <w:pPr>
              <w:pStyle w:val="TableText"/>
            </w:pPr>
          </w:p>
        </w:tc>
        <w:tc>
          <w:tcPr>
            <w:tcW w:w="706" w:type="pct"/>
          </w:tcPr>
          <w:p w14:paraId="73A97185" w14:textId="77777777" w:rsidR="00BC2F05" w:rsidRDefault="00BC2F05" w:rsidP="00976665">
            <w:pPr>
              <w:pStyle w:val="TableText"/>
            </w:pPr>
          </w:p>
        </w:tc>
        <w:tc>
          <w:tcPr>
            <w:tcW w:w="700" w:type="pct"/>
            <w:shd w:val="clear" w:color="auto" w:fill="auto"/>
          </w:tcPr>
          <w:p w14:paraId="4674F500" w14:textId="77777777" w:rsidR="00BC2F05" w:rsidRDefault="00BC2F05" w:rsidP="00976665">
            <w:pPr>
              <w:pStyle w:val="TableText"/>
            </w:pPr>
          </w:p>
        </w:tc>
        <w:tc>
          <w:tcPr>
            <w:tcW w:w="701" w:type="pct"/>
            <w:shd w:val="clear" w:color="auto" w:fill="auto"/>
          </w:tcPr>
          <w:p w14:paraId="0FE7DA3E" w14:textId="77777777" w:rsidR="00BC2F05" w:rsidRDefault="00BC2F05" w:rsidP="00976665">
            <w:pPr>
              <w:pStyle w:val="TableText"/>
            </w:pPr>
          </w:p>
        </w:tc>
        <w:tc>
          <w:tcPr>
            <w:tcW w:w="500" w:type="pct"/>
            <w:gridSpan w:val="2"/>
            <w:shd w:val="clear" w:color="auto" w:fill="auto"/>
          </w:tcPr>
          <w:p w14:paraId="4CAC3CD0" w14:textId="77777777" w:rsidR="00BC2F05" w:rsidRDefault="00BC2F05" w:rsidP="00976665">
            <w:pPr>
              <w:pStyle w:val="TableText"/>
            </w:pPr>
          </w:p>
        </w:tc>
      </w:tr>
      <w:tr w:rsidR="00C80041" w14:paraId="16A9289B" w14:textId="77777777" w:rsidTr="003754F5">
        <w:trPr>
          <w:trHeight w:val="75"/>
          <w:jc w:val="center"/>
        </w:trPr>
        <w:tc>
          <w:tcPr>
            <w:tcW w:w="799" w:type="pct"/>
            <w:shd w:val="clear" w:color="auto" w:fill="auto"/>
          </w:tcPr>
          <w:p w14:paraId="217EF82E" w14:textId="77777777" w:rsidR="00BC2F05" w:rsidRPr="00903D29" w:rsidRDefault="00772FB6" w:rsidP="00976665">
            <w:pPr>
              <w:pStyle w:val="TableText"/>
              <w:rPr>
                <w:lang w:val="pt-BR"/>
              </w:rPr>
            </w:pPr>
            <w:r w:rsidRPr="00903D29">
              <w:rPr>
                <w:i/>
                <w:lang w:val="pt-BR"/>
              </w:rPr>
              <w:t>Lissachatina fulica</w:t>
            </w:r>
            <w:r>
              <w:rPr>
                <w:i/>
                <w:lang w:val="pt-BR"/>
              </w:rPr>
              <w:t xml:space="preserve"> </w:t>
            </w:r>
            <w:r w:rsidRPr="00903D29">
              <w:rPr>
                <w:lang w:val="pt-BR"/>
              </w:rPr>
              <w:t>Bowdich, 1822</w:t>
            </w:r>
          </w:p>
          <w:p w14:paraId="1F03BE47" w14:textId="77777777" w:rsidR="00BC2F05" w:rsidRPr="00903D29" w:rsidRDefault="00772FB6" w:rsidP="00976665">
            <w:pPr>
              <w:pStyle w:val="TableText"/>
              <w:rPr>
                <w:lang w:val="pt-BR"/>
              </w:rPr>
            </w:pPr>
            <w:r w:rsidRPr="00903D29">
              <w:rPr>
                <w:lang w:val="pt-BR"/>
              </w:rPr>
              <w:t>[Achatinidae]</w:t>
            </w:r>
          </w:p>
          <w:p w14:paraId="6DA75ACB" w14:textId="77777777" w:rsidR="00BC2F05" w:rsidRPr="00903D29" w:rsidRDefault="00772FB6" w:rsidP="00976665">
            <w:pPr>
              <w:pStyle w:val="TableText"/>
              <w:rPr>
                <w:lang w:val="pt-BR"/>
              </w:rPr>
            </w:pPr>
            <w:r w:rsidRPr="00903D29">
              <w:rPr>
                <w:lang w:val="pt-BR"/>
              </w:rPr>
              <w:t>Giant African snail</w:t>
            </w:r>
          </w:p>
        </w:tc>
        <w:tc>
          <w:tcPr>
            <w:tcW w:w="450" w:type="pct"/>
            <w:shd w:val="clear" w:color="auto" w:fill="auto"/>
          </w:tcPr>
          <w:p w14:paraId="48531601" w14:textId="77777777" w:rsidR="00BC2F05" w:rsidRPr="00903D29" w:rsidRDefault="00772FB6" w:rsidP="00976665">
            <w:pPr>
              <w:pStyle w:val="TableText"/>
              <w:rPr>
                <w:lang w:val="pt-BR"/>
              </w:rPr>
            </w:pPr>
            <w:r w:rsidRPr="00903D29">
              <w:rPr>
                <w:lang w:val="pt-BR"/>
              </w:rPr>
              <w:t xml:space="preserve">Yes </w:t>
            </w:r>
            <w:r>
              <w:rPr>
                <w:noProof/>
                <w:lang w:val="pt-BR"/>
              </w:rPr>
              <w:t>(CABI 2022; EPPO 2022)</w:t>
            </w:r>
          </w:p>
        </w:tc>
        <w:tc>
          <w:tcPr>
            <w:tcW w:w="499" w:type="pct"/>
            <w:shd w:val="clear" w:color="auto" w:fill="auto"/>
          </w:tcPr>
          <w:p w14:paraId="368012BC" w14:textId="77777777" w:rsidR="00BC2F05" w:rsidRPr="00903D29" w:rsidRDefault="00772FB6" w:rsidP="00976665">
            <w:pPr>
              <w:pStyle w:val="TableText"/>
              <w:rPr>
                <w:szCs w:val="16"/>
              </w:rPr>
            </w:pPr>
            <w:r w:rsidRPr="00903D29">
              <w:rPr>
                <w:szCs w:val="16"/>
              </w:rPr>
              <w:t xml:space="preserve">No. </w:t>
            </w:r>
            <w:proofErr w:type="spellStart"/>
            <w:r w:rsidRPr="00903D29">
              <w:rPr>
                <w:i/>
                <w:iCs/>
                <w:szCs w:val="16"/>
              </w:rPr>
              <w:t>Lissachatina</w:t>
            </w:r>
            <w:proofErr w:type="spellEnd"/>
            <w:r w:rsidRPr="00903D29">
              <w:rPr>
                <w:i/>
                <w:iCs/>
                <w:szCs w:val="16"/>
              </w:rPr>
              <w:t xml:space="preserve"> </w:t>
            </w:r>
            <w:proofErr w:type="spellStart"/>
            <w:r w:rsidRPr="00903D29">
              <w:rPr>
                <w:i/>
                <w:iCs/>
                <w:szCs w:val="16"/>
              </w:rPr>
              <w:t>fulica</w:t>
            </w:r>
            <w:proofErr w:type="spellEnd"/>
            <w:r w:rsidRPr="00903D29">
              <w:rPr>
                <w:szCs w:val="16"/>
              </w:rPr>
              <w:t xml:space="preserve"> was previously eradicated following an incursion in Queensland in 1977 </w:t>
            </w:r>
            <w:r>
              <w:rPr>
                <w:noProof/>
                <w:szCs w:val="16"/>
              </w:rPr>
              <w:t>(Business Queensland 2019)</w:t>
            </w:r>
          </w:p>
        </w:tc>
        <w:tc>
          <w:tcPr>
            <w:tcW w:w="645" w:type="pct"/>
            <w:shd w:val="clear" w:color="auto" w:fill="auto"/>
          </w:tcPr>
          <w:p w14:paraId="6A5B7F20" w14:textId="77777777" w:rsidR="00BC2F05" w:rsidRPr="00903D29" w:rsidRDefault="00772FB6" w:rsidP="00976665">
            <w:pPr>
              <w:pStyle w:val="TableText"/>
              <w:rPr>
                <w:iCs/>
                <w:lang w:val="pt-BR"/>
              </w:rPr>
            </w:pPr>
            <w:r w:rsidRPr="00903D29">
              <w:t xml:space="preserve">No. There is </w:t>
            </w:r>
            <w:r>
              <w:t>limited evidence</w:t>
            </w:r>
            <w:r w:rsidRPr="00F82DCF">
              <w:t xml:space="preserve"> of</w:t>
            </w:r>
            <w:r w:rsidRPr="00EA314C">
              <w:t xml:space="preserve"> </w:t>
            </w:r>
            <w:r w:rsidRPr="00EA314C">
              <w:rPr>
                <w:i/>
                <w:lang w:val="pt-BR"/>
              </w:rPr>
              <w:t xml:space="preserve">Lissachatina fulica </w:t>
            </w:r>
            <w:r w:rsidRPr="00EA314C">
              <w:rPr>
                <w:iCs/>
                <w:lang w:val="pt-BR"/>
              </w:rPr>
              <w:t>occur</w:t>
            </w:r>
            <w:r w:rsidRPr="00F82DCF">
              <w:rPr>
                <w:iCs/>
                <w:lang w:val="pt-BR"/>
              </w:rPr>
              <w:t>ing</w:t>
            </w:r>
            <w:r w:rsidRPr="00EA314C">
              <w:rPr>
                <w:iCs/>
                <w:lang w:val="pt-BR"/>
              </w:rPr>
              <w:t xml:space="preserve"> on</w:t>
            </w:r>
            <w:r w:rsidRPr="00903D29">
              <w:rPr>
                <w:iCs/>
                <w:lang w:val="pt-BR"/>
              </w:rPr>
              <w:t xml:space="preserve"> dragon fruit </w:t>
            </w:r>
            <w:r>
              <w:rPr>
                <w:iCs/>
                <w:noProof/>
                <w:lang w:val="pt-BR"/>
              </w:rPr>
              <w:t>(Gołdyn et al. 2016; Tepora 2021)</w:t>
            </w:r>
            <w:r w:rsidRPr="00903D29">
              <w:rPr>
                <w:iCs/>
                <w:lang w:val="pt-BR"/>
              </w:rPr>
              <w:t xml:space="preserve"> and no evidence of it </w:t>
            </w:r>
            <w:r>
              <w:rPr>
                <w:iCs/>
                <w:lang w:val="pt-BR"/>
              </w:rPr>
              <w:t>occuring</w:t>
            </w:r>
            <w:r w:rsidRPr="00903D29">
              <w:rPr>
                <w:iCs/>
                <w:lang w:val="pt-BR"/>
              </w:rPr>
              <w:t xml:space="preserve"> on the fruit</w:t>
            </w:r>
            <w:r>
              <w:rPr>
                <w:iCs/>
                <w:lang w:val="pt-BR"/>
              </w:rPr>
              <w:t xml:space="preserve"> of dragon fruit</w:t>
            </w:r>
            <w:r w:rsidRPr="00903D29">
              <w:rPr>
                <w:iCs/>
                <w:lang w:val="pt-BR"/>
              </w:rPr>
              <w:t xml:space="preserve">. This species mainly feeds on stems, leaves and roots </w:t>
            </w:r>
            <w:r>
              <w:rPr>
                <w:iCs/>
                <w:lang w:val="pt-BR"/>
              </w:rPr>
              <w:t xml:space="preserve">of host plants </w:t>
            </w:r>
            <w:r>
              <w:rPr>
                <w:iCs/>
                <w:noProof/>
                <w:lang w:val="pt-BR"/>
              </w:rPr>
              <w:t>(Mead 1961; Raut &amp; Ghose 1984)</w:t>
            </w:r>
            <w:r w:rsidRPr="00903D29">
              <w:rPr>
                <w:lang w:eastAsia="ja-JP"/>
              </w:rPr>
              <w:t>.</w:t>
            </w:r>
            <w:r w:rsidRPr="00903D29">
              <w:rPr>
                <w:iCs/>
                <w:lang w:val="pt-BR"/>
              </w:rPr>
              <w:t xml:space="preserve"> </w:t>
            </w:r>
          </w:p>
          <w:p w14:paraId="5328DDBE" w14:textId="77777777" w:rsidR="00BC2F05" w:rsidRPr="00903D29" w:rsidRDefault="00772FB6" w:rsidP="00976665">
            <w:pPr>
              <w:pStyle w:val="TableText"/>
            </w:pPr>
            <w:r w:rsidRPr="00903D29">
              <w:rPr>
                <w:i/>
                <w:lang w:val="pt-BR"/>
              </w:rPr>
              <w:t xml:space="preserve">Lissachatina fulica </w:t>
            </w:r>
            <w:r w:rsidRPr="00903D29">
              <w:rPr>
                <w:iCs/>
                <w:lang w:val="pt-BR"/>
              </w:rPr>
              <w:t xml:space="preserve">is a large snail </w:t>
            </w:r>
            <w:r>
              <w:rPr>
                <w:iCs/>
                <w:lang w:val="pt-BR"/>
              </w:rPr>
              <w:t>and is likely to be</w:t>
            </w:r>
            <w:r w:rsidRPr="00903D29">
              <w:t xml:space="preserve"> removed during standard </w:t>
            </w:r>
            <w:r>
              <w:t xml:space="preserve">production and </w:t>
            </w:r>
            <w:r w:rsidRPr="00903D29">
              <w:t>packhouse procedures.</w:t>
            </w:r>
          </w:p>
        </w:tc>
        <w:tc>
          <w:tcPr>
            <w:tcW w:w="706" w:type="pct"/>
          </w:tcPr>
          <w:p w14:paraId="61CFAA2C" w14:textId="77777777" w:rsidR="00BC2F05" w:rsidRPr="00903D29" w:rsidRDefault="00772FB6" w:rsidP="00976665">
            <w:pPr>
              <w:pStyle w:val="TableText"/>
            </w:pPr>
            <w:r w:rsidRPr="00995981">
              <w:t>Assessment not required</w:t>
            </w:r>
          </w:p>
        </w:tc>
        <w:tc>
          <w:tcPr>
            <w:tcW w:w="700" w:type="pct"/>
            <w:shd w:val="clear" w:color="auto" w:fill="auto"/>
          </w:tcPr>
          <w:p w14:paraId="76C04641" w14:textId="77777777" w:rsidR="00BC2F05" w:rsidRPr="00903D29" w:rsidRDefault="00772FB6" w:rsidP="00976665">
            <w:pPr>
              <w:pStyle w:val="TableText"/>
            </w:pPr>
            <w:r w:rsidRPr="00995981">
              <w:t>Assessment not required</w:t>
            </w:r>
          </w:p>
        </w:tc>
        <w:tc>
          <w:tcPr>
            <w:tcW w:w="701" w:type="pct"/>
            <w:shd w:val="clear" w:color="auto" w:fill="auto"/>
          </w:tcPr>
          <w:p w14:paraId="49541783" w14:textId="77777777" w:rsidR="00BC2F05" w:rsidRPr="00903D29" w:rsidRDefault="00772FB6" w:rsidP="00976665">
            <w:pPr>
              <w:pStyle w:val="TableText"/>
            </w:pPr>
            <w:r w:rsidRPr="00995981">
              <w:t>Assessment not required</w:t>
            </w:r>
          </w:p>
        </w:tc>
        <w:tc>
          <w:tcPr>
            <w:tcW w:w="500" w:type="pct"/>
            <w:gridSpan w:val="2"/>
            <w:shd w:val="clear" w:color="auto" w:fill="auto"/>
          </w:tcPr>
          <w:p w14:paraId="3A16C5A5" w14:textId="77777777" w:rsidR="00BC2F05" w:rsidRPr="00903D29" w:rsidRDefault="00772FB6" w:rsidP="00976665">
            <w:pPr>
              <w:pStyle w:val="TableText"/>
            </w:pPr>
            <w:r w:rsidRPr="00903D29">
              <w:t>No</w:t>
            </w:r>
          </w:p>
        </w:tc>
      </w:tr>
      <w:tr w:rsidR="00C80041" w14:paraId="03EDC695" w14:textId="77777777" w:rsidTr="003754F5">
        <w:trPr>
          <w:trHeight w:val="75"/>
          <w:jc w:val="center"/>
        </w:trPr>
        <w:tc>
          <w:tcPr>
            <w:tcW w:w="799" w:type="pct"/>
            <w:shd w:val="clear" w:color="auto" w:fill="auto"/>
          </w:tcPr>
          <w:p w14:paraId="728777BB" w14:textId="77777777" w:rsidR="00BC2F05" w:rsidRPr="00BB5D4F" w:rsidRDefault="00772FB6" w:rsidP="00976665">
            <w:pPr>
              <w:pStyle w:val="TableText"/>
              <w:rPr>
                <w:b/>
                <w:bCs/>
                <w:iCs/>
                <w:color w:val="000000" w:themeColor="text1"/>
                <w:lang w:val="pt-BR"/>
              </w:rPr>
            </w:pPr>
            <w:r>
              <w:rPr>
                <w:b/>
                <w:bCs/>
                <w:iCs/>
                <w:color w:val="000000" w:themeColor="text1"/>
                <w:lang w:val="pt-BR"/>
              </w:rPr>
              <w:t>BACTERIA</w:t>
            </w:r>
          </w:p>
        </w:tc>
        <w:tc>
          <w:tcPr>
            <w:tcW w:w="450" w:type="pct"/>
            <w:shd w:val="clear" w:color="auto" w:fill="auto"/>
          </w:tcPr>
          <w:p w14:paraId="52092E54" w14:textId="77777777" w:rsidR="00BC2F05" w:rsidRDefault="00BC2F05" w:rsidP="00976665">
            <w:pPr>
              <w:pStyle w:val="TableText"/>
              <w:rPr>
                <w:lang w:val="pt-BR"/>
              </w:rPr>
            </w:pPr>
          </w:p>
        </w:tc>
        <w:tc>
          <w:tcPr>
            <w:tcW w:w="499" w:type="pct"/>
            <w:shd w:val="clear" w:color="auto" w:fill="auto"/>
          </w:tcPr>
          <w:p w14:paraId="45432DD9" w14:textId="77777777" w:rsidR="00BC2F05" w:rsidRDefault="00BC2F05" w:rsidP="00976665">
            <w:pPr>
              <w:pStyle w:val="TableText"/>
              <w:rPr>
                <w:szCs w:val="16"/>
              </w:rPr>
            </w:pPr>
          </w:p>
        </w:tc>
        <w:tc>
          <w:tcPr>
            <w:tcW w:w="645" w:type="pct"/>
            <w:shd w:val="clear" w:color="auto" w:fill="auto"/>
          </w:tcPr>
          <w:p w14:paraId="3D42B5CC" w14:textId="77777777" w:rsidR="00BC2F05" w:rsidRDefault="00BC2F05" w:rsidP="00976665">
            <w:pPr>
              <w:pStyle w:val="TableText"/>
            </w:pPr>
          </w:p>
        </w:tc>
        <w:tc>
          <w:tcPr>
            <w:tcW w:w="706" w:type="pct"/>
          </w:tcPr>
          <w:p w14:paraId="43453664" w14:textId="77777777" w:rsidR="00BC2F05" w:rsidRDefault="00BC2F05" w:rsidP="00976665">
            <w:pPr>
              <w:pStyle w:val="TableText"/>
            </w:pPr>
          </w:p>
        </w:tc>
        <w:tc>
          <w:tcPr>
            <w:tcW w:w="700" w:type="pct"/>
            <w:shd w:val="clear" w:color="auto" w:fill="auto"/>
          </w:tcPr>
          <w:p w14:paraId="514467A7" w14:textId="77777777" w:rsidR="00BC2F05" w:rsidRDefault="00BC2F05" w:rsidP="00976665">
            <w:pPr>
              <w:pStyle w:val="TableText"/>
            </w:pPr>
          </w:p>
        </w:tc>
        <w:tc>
          <w:tcPr>
            <w:tcW w:w="701" w:type="pct"/>
            <w:shd w:val="clear" w:color="auto" w:fill="auto"/>
          </w:tcPr>
          <w:p w14:paraId="48495CE4" w14:textId="77777777" w:rsidR="00BC2F05" w:rsidRDefault="00BC2F05" w:rsidP="00976665">
            <w:pPr>
              <w:pStyle w:val="TableText"/>
            </w:pPr>
          </w:p>
        </w:tc>
        <w:tc>
          <w:tcPr>
            <w:tcW w:w="500" w:type="pct"/>
            <w:gridSpan w:val="2"/>
            <w:shd w:val="clear" w:color="auto" w:fill="auto"/>
          </w:tcPr>
          <w:p w14:paraId="417D6DE5" w14:textId="77777777" w:rsidR="00BC2F05" w:rsidRDefault="00BC2F05" w:rsidP="00976665">
            <w:pPr>
              <w:pStyle w:val="TableText"/>
            </w:pPr>
          </w:p>
        </w:tc>
      </w:tr>
      <w:tr w:rsidR="00C80041" w14:paraId="26EDAED3" w14:textId="77777777" w:rsidTr="003754F5">
        <w:trPr>
          <w:trHeight w:val="75"/>
          <w:jc w:val="center"/>
        </w:trPr>
        <w:tc>
          <w:tcPr>
            <w:tcW w:w="799" w:type="pct"/>
            <w:shd w:val="clear" w:color="auto" w:fill="auto"/>
          </w:tcPr>
          <w:p w14:paraId="53E7F42E" w14:textId="77777777" w:rsidR="00BC2F05" w:rsidRDefault="00772FB6" w:rsidP="00976665">
            <w:pPr>
              <w:pStyle w:val="TableText"/>
              <w:rPr>
                <w:i/>
                <w:lang w:val="pt-BR"/>
              </w:rPr>
            </w:pPr>
            <w:r w:rsidRPr="001A3775">
              <w:rPr>
                <w:i/>
                <w:lang w:val="pt-BR"/>
              </w:rPr>
              <w:lastRenderedPageBreak/>
              <w:t xml:space="preserve">Dickeya </w:t>
            </w:r>
            <w:r w:rsidRPr="006A57A8">
              <w:rPr>
                <w:iCs/>
                <w:lang w:val="pt-BR"/>
              </w:rPr>
              <w:t>sp</w:t>
            </w:r>
            <w:r>
              <w:rPr>
                <w:iCs/>
                <w:lang w:val="pt-BR"/>
              </w:rPr>
              <w:t xml:space="preserve"> </w:t>
            </w:r>
            <w:r w:rsidRPr="005B51B4">
              <w:rPr>
                <w:i/>
                <w:lang w:val="pt-BR"/>
              </w:rPr>
              <w:t>‘Dragon fruit</w:t>
            </w:r>
            <w:r>
              <w:rPr>
                <w:i/>
                <w:lang w:val="pt-BR"/>
              </w:rPr>
              <w:t xml:space="preserve">’. </w:t>
            </w:r>
            <w:r>
              <w:rPr>
                <w:color w:val="000000" w:themeColor="text1"/>
                <w:lang w:val="pt-BR"/>
              </w:rPr>
              <w:t xml:space="preserve">Samson </w:t>
            </w:r>
            <w:r w:rsidRPr="001A3775">
              <w:rPr>
                <w:i/>
                <w:iCs/>
                <w:color w:val="000000" w:themeColor="text1"/>
                <w:lang w:val="pt-BR"/>
              </w:rPr>
              <w:t>et al.</w:t>
            </w:r>
            <w:r>
              <w:rPr>
                <w:i/>
                <w:iCs/>
                <w:color w:val="000000" w:themeColor="text1"/>
                <w:lang w:val="pt-BR"/>
              </w:rPr>
              <w:t xml:space="preserve"> </w:t>
            </w:r>
            <w:r>
              <w:rPr>
                <w:color w:val="000000" w:themeColor="text1"/>
                <w:lang w:val="pt-BR"/>
              </w:rPr>
              <w:t>2005</w:t>
            </w:r>
          </w:p>
          <w:p w14:paraId="048F6F71" w14:textId="77777777" w:rsidR="00BC2F05" w:rsidRPr="001A3775" w:rsidRDefault="00772FB6" w:rsidP="00976665">
            <w:pPr>
              <w:pStyle w:val="TableText"/>
              <w:rPr>
                <w:color w:val="000000" w:themeColor="text1"/>
                <w:lang w:val="pt-BR"/>
              </w:rPr>
            </w:pPr>
            <w:r>
              <w:rPr>
                <w:color w:val="000000" w:themeColor="text1"/>
                <w:lang w:val="pt-BR"/>
              </w:rPr>
              <w:t xml:space="preserve">Synonym: </w:t>
            </w:r>
            <w:r w:rsidRPr="004A5145">
              <w:rPr>
                <w:i/>
                <w:iCs/>
                <w:lang w:val="pt-BR"/>
              </w:rPr>
              <w:t>Erwin</w:t>
            </w:r>
            <w:r>
              <w:rPr>
                <w:i/>
                <w:iCs/>
                <w:lang w:val="pt-BR"/>
              </w:rPr>
              <w:t>i</w:t>
            </w:r>
            <w:r w:rsidRPr="004A5145">
              <w:rPr>
                <w:i/>
                <w:iCs/>
                <w:lang w:val="pt-BR"/>
              </w:rPr>
              <w:t>a chrysanthemi</w:t>
            </w:r>
            <w:r>
              <w:rPr>
                <w:i/>
                <w:iCs/>
                <w:lang w:val="pt-BR"/>
              </w:rPr>
              <w:t xml:space="preserve"> </w:t>
            </w:r>
            <w:r>
              <w:rPr>
                <w:lang w:val="pt-BR"/>
              </w:rPr>
              <w:t xml:space="preserve">Burkholder </w:t>
            </w:r>
            <w:r w:rsidRPr="00A73935">
              <w:rPr>
                <w:i/>
                <w:iCs/>
                <w:lang w:val="pt-BR"/>
              </w:rPr>
              <w:t>et. al.</w:t>
            </w:r>
            <w:r>
              <w:rPr>
                <w:lang w:val="pt-BR"/>
              </w:rPr>
              <w:t xml:space="preserve"> 1953</w:t>
            </w:r>
          </w:p>
          <w:p w14:paraId="0DB2F6A7" w14:textId="77777777" w:rsidR="00BC2F05" w:rsidRPr="00DC54F9" w:rsidRDefault="00772FB6" w:rsidP="00976665">
            <w:pPr>
              <w:pStyle w:val="TableText"/>
              <w:rPr>
                <w:color w:val="000000" w:themeColor="text1"/>
                <w:lang w:val="pt-BR"/>
              </w:rPr>
            </w:pPr>
            <w:r>
              <w:rPr>
                <w:color w:val="000000" w:themeColor="text1"/>
                <w:lang w:val="pt-BR"/>
              </w:rPr>
              <w:t>[Enterobacterales: Enterobacteriaceae]</w:t>
            </w:r>
          </w:p>
          <w:p w14:paraId="25AD2BC7" w14:textId="77777777" w:rsidR="00BC2F05" w:rsidRDefault="00772FB6" w:rsidP="00976665">
            <w:pPr>
              <w:pStyle w:val="TableText"/>
              <w:rPr>
                <w:color w:val="000000" w:themeColor="text1"/>
                <w:lang w:val="pt-BR"/>
              </w:rPr>
            </w:pPr>
            <w:r>
              <w:rPr>
                <w:color w:val="000000" w:themeColor="text1"/>
                <w:lang w:val="pt-BR"/>
              </w:rPr>
              <w:t>Fruit soft rot</w:t>
            </w:r>
          </w:p>
          <w:p w14:paraId="7F75333A" w14:textId="77777777" w:rsidR="00BC2F05" w:rsidRPr="00262D72" w:rsidRDefault="00772FB6" w:rsidP="00976665">
            <w:pPr>
              <w:pStyle w:val="TableText"/>
              <w:rPr>
                <w:lang w:val="pt-BR"/>
              </w:rPr>
            </w:pPr>
            <w:r w:rsidRPr="004A5145">
              <w:rPr>
                <w:lang w:val="pt-BR"/>
              </w:rPr>
              <w:t>Note:</w:t>
            </w:r>
            <w:r>
              <w:rPr>
                <w:lang w:val="pt-BR"/>
              </w:rPr>
              <w:t xml:space="preserve"> </w:t>
            </w:r>
            <w:r w:rsidRPr="001A3775">
              <w:rPr>
                <w:lang w:val="pt-BR"/>
              </w:rPr>
              <w:t>Previous assessments</w:t>
            </w:r>
            <w:r w:rsidRPr="004A5145">
              <w:rPr>
                <w:lang w:val="pt-BR"/>
              </w:rPr>
              <w:t xml:space="preserve"> </w:t>
            </w:r>
            <w:r>
              <w:rPr>
                <w:lang w:val="pt-BR"/>
              </w:rPr>
              <w:t xml:space="preserve">have refered to the species </w:t>
            </w:r>
            <w:r w:rsidRPr="004A5145">
              <w:rPr>
                <w:i/>
                <w:iCs/>
                <w:lang w:val="pt-BR"/>
              </w:rPr>
              <w:t>Erwin</w:t>
            </w:r>
            <w:r>
              <w:rPr>
                <w:i/>
                <w:iCs/>
                <w:lang w:val="pt-BR"/>
              </w:rPr>
              <w:t>i</w:t>
            </w:r>
            <w:r w:rsidRPr="004A5145">
              <w:rPr>
                <w:i/>
                <w:iCs/>
                <w:lang w:val="pt-BR"/>
              </w:rPr>
              <w:t>a chrysanthemi</w:t>
            </w:r>
            <w:r w:rsidRPr="001A3775">
              <w:rPr>
                <w:lang w:val="pt-BR"/>
              </w:rPr>
              <w:t>, which</w:t>
            </w:r>
            <w:r>
              <w:rPr>
                <w:i/>
                <w:iCs/>
                <w:lang w:val="pt-BR"/>
              </w:rPr>
              <w:t xml:space="preserve"> </w:t>
            </w:r>
            <w:r w:rsidRPr="004A5145">
              <w:rPr>
                <w:lang w:val="pt-BR"/>
              </w:rPr>
              <w:t xml:space="preserve">has </w:t>
            </w:r>
            <w:r>
              <w:rPr>
                <w:lang w:val="pt-BR"/>
              </w:rPr>
              <w:t xml:space="preserve">recently </w:t>
            </w:r>
            <w:r w:rsidRPr="004A5145">
              <w:rPr>
                <w:lang w:val="pt-BR"/>
              </w:rPr>
              <w:t xml:space="preserve">been split into </w:t>
            </w:r>
            <w:r>
              <w:rPr>
                <w:lang w:val="pt-BR"/>
              </w:rPr>
              <w:t>thirteen</w:t>
            </w:r>
            <w:r w:rsidRPr="004A5145">
              <w:rPr>
                <w:lang w:val="pt-BR"/>
              </w:rPr>
              <w:t xml:space="preserve"> Dickeya species</w:t>
            </w:r>
            <w:r>
              <w:rPr>
                <w:lang w:val="pt-BR"/>
              </w:rPr>
              <w:t xml:space="preserve"> </w:t>
            </w:r>
            <w:r>
              <w:rPr>
                <w:noProof/>
                <w:lang w:val="pt-BR"/>
              </w:rPr>
              <w:t>(Parte 2020)</w:t>
            </w:r>
            <w:r w:rsidRPr="004A5145">
              <w:rPr>
                <w:lang w:val="pt-BR"/>
              </w:rPr>
              <w:t>. It is not certain which Dickey</w:t>
            </w:r>
            <w:r>
              <w:rPr>
                <w:lang w:val="pt-BR"/>
              </w:rPr>
              <w:t>a</w:t>
            </w:r>
            <w:r w:rsidRPr="004A5145">
              <w:rPr>
                <w:lang w:val="pt-BR"/>
              </w:rPr>
              <w:t xml:space="preserve"> species the records reported </w:t>
            </w:r>
            <w:r>
              <w:rPr>
                <w:lang w:val="pt-BR"/>
              </w:rPr>
              <w:t>in the literature</w:t>
            </w:r>
            <w:r w:rsidRPr="004A5145">
              <w:rPr>
                <w:lang w:val="pt-BR"/>
              </w:rPr>
              <w:t xml:space="preserve"> refer to.</w:t>
            </w:r>
            <w:r>
              <w:rPr>
                <w:lang w:val="pt-BR"/>
              </w:rPr>
              <w:t xml:space="preserve"> </w:t>
            </w:r>
          </w:p>
        </w:tc>
        <w:tc>
          <w:tcPr>
            <w:tcW w:w="450" w:type="pct"/>
            <w:shd w:val="clear" w:color="auto" w:fill="auto"/>
          </w:tcPr>
          <w:p w14:paraId="4E3B3247" w14:textId="77777777" w:rsidR="00BC2F05" w:rsidRPr="00BD681D" w:rsidRDefault="00772FB6" w:rsidP="00976665">
            <w:pPr>
              <w:pStyle w:val="TableText"/>
              <w:rPr>
                <w:lang w:val="pt-BR"/>
              </w:rPr>
            </w:pPr>
            <w:r>
              <w:rPr>
                <w:lang w:val="pt-BR"/>
              </w:rPr>
              <w:t xml:space="preserve">Yes </w:t>
            </w:r>
            <w:r>
              <w:rPr>
                <w:noProof/>
                <w:lang w:val="pt-BR"/>
              </w:rPr>
              <w:t>(CABI EPPO 2020)</w:t>
            </w:r>
          </w:p>
        </w:tc>
        <w:tc>
          <w:tcPr>
            <w:tcW w:w="499" w:type="pct"/>
            <w:shd w:val="clear" w:color="auto" w:fill="auto"/>
          </w:tcPr>
          <w:p w14:paraId="5004B186" w14:textId="77777777" w:rsidR="00BC2F05" w:rsidRDefault="00772FB6" w:rsidP="00976665">
            <w:pPr>
              <w:pStyle w:val="TableText"/>
            </w:pPr>
            <w:r>
              <w:t xml:space="preserve">Uncertain. The literature refers to infection by </w:t>
            </w:r>
            <w:r w:rsidRPr="00905DEE">
              <w:rPr>
                <w:i/>
                <w:iCs/>
                <w:lang w:val="pt-BR"/>
              </w:rPr>
              <w:t>Erwin</w:t>
            </w:r>
            <w:r>
              <w:rPr>
                <w:i/>
                <w:iCs/>
                <w:lang w:val="pt-BR"/>
              </w:rPr>
              <w:t>i</w:t>
            </w:r>
            <w:r w:rsidRPr="00905DEE">
              <w:rPr>
                <w:i/>
                <w:iCs/>
                <w:lang w:val="pt-BR"/>
              </w:rPr>
              <w:t>a chrysanthemi</w:t>
            </w:r>
            <w:r>
              <w:rPr>
                <w:lang w:val="pt-BR"/>
              </w:rPr>
              <w:t xml:space="preserve">, which has recently been </w:t>
            </w:r>
            <w:r>
              <w:t xml:space="preserve">reclassified into multiple species within the new genus </w:t>
            </w:r>
            <w:proofErr w:type="spellStart"/>
            <w:r w:rsidRPr="006A57A8">
              <w:rPr>
                <w:i/>
                <w:iCs/>
              </w:rPr>
              <w:t>Dickeya</w:t>
            </w:r>
            <w:proofErr w:type="spellEnd"/>
            <w:r>
              <w:t xml:space="preserve"> </w:t>
            </w:r>
            <w:r>
              <w:rPr>
                <w:noProof/>
              </w:rPr>
              <w:t>(Marrero et al. 2013; Samson et al. 2005)</w:t>
            </w:r>
          </w:p>
          <w:p w14:paraId="5F1B3273" w14:textId="77777777" w:rsidR="00BC2F05" w:rsidRPr="00BD681D" w:rsidRDefault="00772FB6" w:rsidP="00976665">
            <w:pPr>
              <w:pStyle w:val="TableText"/>
              <w:rPr>
                <w:szCs w:val="16"/>
              </w:rPr>
            </w:pPr>
            <w:r>
              <w:t xml:space="preserve">Due to the uncertainty around the taxonomy of this complex, the identity of the species recorded from either </w:t>
            </w:r>
            <w:proofErr w:type="gramStart"/>
            <w:r>
              <w:t>Australia</w:t>
            </w:r>
            <w:proofErr w:type="gramEnd"/>
            <w:r>
              <w:t xml:space="preserve"> or the Philippines cannot be confidently assessed without in-depth </w:t>
            </w:r>
            <w:r>
              <w:lastRenderedPageBreak/>
              <w:t>molecular examination.</w:t>
            </w:r>
          </w:p>
        </w:tc>
        <w:tc>
          <w:tcPr>
            <w:tcW w:w="645" w:type="pct"/>
            <w:shd w:val="clear" w:color="auto" w:fill="auto"/>
          </w:tcPr>
          <w:p w14:paraId="316B5EA3" w14:textId="77777777" w:rsidR="00BC2F05" w:rsidRDefault="00772FB6" w:rsidP="00976665">
            <w:pPr>
              <w:pStyle w:val="TableText"/>
            </w:pPr>
            <w:r>
              <w:lastRenderedPageBreak/>
              <w:t xml:space="preserve">No. The </w:t>
            </w:r>
            <w:proofErr w:type="spellStart"/>
            <w:r>
              <w:rPr>
                <w:i/>
                <w:iCs/>
              </w:rPr>
              <w:t>Dickeya</w:t>
            </w:r>
            <w:proofErr w:type="spellEnd"/>
            <w:r>
              <w:rPr>
                <w:i/>
                <w:iCs/>
              </w:rPr>
              <w:t xml:space="preserve"> sp. </w:t>
            </w:r>
            <w:r>
              <w:t xml:space="preserve">reported </w:t>
            </w:r>
            <w:r w:rsidRPr="001B7132">
              <w:t>occurs on</w:t>
            </w:r>
            <w:r>
              <w:t xml:space="preserve"> flowers and young fruit of dragon fruit, initially forming water-soaked blisters and obvious secondary infections that can spread to the whole fruit within 12-24 hours </w:t>
            </w:r>
            <w:r>
              <w:rPr>
                <w:noProof/>
              </w:rPr>
              <w:t>(Hieu &amp; Hoa 2015; Hoa et al. 2014)</w:t>
            </w:r>
            <w:r>
              <w:t xml:space="preserve">. The pathogen mainly colonises dead and decaying plant material, soil, </w:t>
            </w:r>
            <w:proofErr w:type="gramStart"/>
            <w:r>
              <w:t>water</w:t>
            </w:r>
            <w:proofErr w:type="gramEnd"/>
            <w:r>
              <w:t xml:space="preserve"> and lesions in the stems </w:t>
            </w:r>
            <w:r>
              <w:rPr>
                <w:noProof/>
              </w:rPr>
              <w:t>(Hieu &amp; Hoa 2015; Hoa et al. 2014)</w:t>
            </w:r>
            <w:r>
              <w:t>.</w:t>
            </w:r>
          </w:p>
          <w:p w14:paraId="7F1A6C87" w14:textId="77777777" w:rsidR="00BC2F05" w:rsidRPr="00BD681D" w:rsidRDefault="00772FB6" w:rsidP="00976665">
            <w:pPr>
              <w:pStyle w:val="TableText"/>
            </w:pPr>
            <w:r>
              <w:t xml:space="preserve">Due to the rapid development of symptoms on </w:t>
            </w:r>
            <w:proofErr w:type="gramStart"/>
            <w:r>
              <w:t>young infected</w:t>
            </w:r>
            <w:proofErr w:type="gramEnd"/>
            <w:r>
              <w:t xml:space="preserve"> fruit it is likely the fruit will not develop to full maturity or mature fruit will have obvious signs of infection and will be removed during standard commercial </w:t>
            </w:r>
            <w:r>
              <w:lastRenderedPageBreak/>
              <w:t>production and pack house practices.</w:t>
            </w:r>
          </w:p>
        </w:tc>
        <w:tc>
          <w:tcPr>
            <w:tcW w:w="706" w:type="pct"/>
          </w:tcPr>
          <w:p w14:paraId="33C264AA" w14:textId="77777777" w:rsidR="00BC2F05" w:rsidRDefault="00772FB6" w:rsidP="00976665">
            <w:pPr>
              <w:pStyle w:val="TableText"/>
            </w:pPr>
            <w:r w:rsidRPr="00C76C60">
              <w:lastRenderedPageBreak/>
              <w:t>Assessment not required</w:t>
            </w:r>
          </w:p>
        </w:tc>
        <w:tc>
          <w:tcPr>
            <w:tcW w:w="700" w:type="pct"/>
            <w:shd w:val="clear" w:color="auto" w:fill="auto"/>
          </w:tcPr>
          <w:p w14:paraId="439C9DB5" w14:textId="77777777" w:rsidR="00BC2F05" w:rsidRPr="00BD681D" w:rsidRDefault="00772FB6" w:rsidP="00976665">
            <w:pPr>
              <w:pStyle w:val="TableText"/>
            </w:pPr>
            <w:r w:rsidRPr="00C76C60">
              <w:t>Assessment not required</w:t>
            </w:r>
          </w:p>
        </w:tc>
        <w:tc>
          <w:tcPr>
            <w:tcW w:w="701" w:type="pct"/>
            <w:shd w:val="clear" w:color="auto" w:fill="auto"/>
          </w:tcPr>
          <w:p w14:paraId="6A5AFB53" w14:textId="77777777" w:rsidR="00BC2F05" w:rsidRPr="00BD681D" w:rsidRDefault="00772FB6" w:rsidP="00976665">
            <w:pPr>
              <w:pStyle w:val="TableText"/>
            </w:pPr>
            <w:r w:rsidRPr="00C76C60">
              <w:t>Assessment not required</w:t>
            </w:r>
          </w:p>
        </w:tc>
        <w:tc>
          <w:tcPr>
            <w:tcW w:w="500" w:type="pct"/>
            <w:gridSpan w:val="2"/>
            <w:shd w:val="clear" w:color="auto" w:fill="auto"/>
          </w:tcPr>
          <w:p w14:paraId="3F687F70" w14:textId="77777777" w:rsidR="00BC2F05" w:rsidRPr="00BD681D" w:rsidRDefault="00772FB6" w:rsidP="00976665">
            <w:pPr>
              <w:pStyle w:val="TableText"/>
            </w:pPr>
            <w:r>
              <w:t>No</w:t>
            </w:r>
          </w:p>
        </w:tc>
      </w:tr>
      <w:tr w:rsidR="00C80041" w14:paraId="6521BB5F" w14:textId="77777777" w:rsidTr="003754F5">
        <w:trPr>
          <w:trHeight w:val="75"/>
          <w:jc w:val="center"/>
        </w:trPr>
        <w:tc>
          <w:tcPr>
            <w:tcW w:w="799" w:type="pct"/>
            <w:shd w:val="clear" w:color="auto" w:fill="auto"/>
          </w:tcPr>
          <w:p w14:paraId="0758A4E8" w14:textId="77777777" w:rsidR="00BC2F05" w:rsidRPr="005C0A2D" w:rsidRDefault="00772FB6" w:rsidP="00976665">
            <w:pPr>
              <w:pStyle w:val="TableText"/>
              <w:rPr>
                <w:color w:val="000000" w:themeColor="text1"/>
                <w:lang w:val="pt-BR"/>
              </w:rPr>
            </w:pPr>
            <w:r>
              <w:rPr>
                <w:i/>
                <w:color w:val="000000" w:themeColor="text1"/>
                <w:lang w:val="pt-BR"/>
              </w:rPr>
              <w:t xml:space="preserve">Dickeya zeae </w:t>
            </w:r>
            <w:r>
              <w:rPr>
                <w:color w:val="000000" w:themeColor="text1"/>
                <w:lang w:val="pt-BR"/>
              </w:rPr>
              <w:t xml:space="preserve">Samson </w:t>
            </w:r>
            <w:r w:rsidRPr="00262D72">
              <w:rPr>
                <w:i/>
                <w:iCs/>
                <w:color w:val="000000" w:themeColor="text1"/>
                <w:lang w:val="pt-BR"/>
              </w:rPr>
              <w:t>et al</w:t>
            </w:r>
            <w:r>
              <w:rPr>
                <w:color w:val="000000" w:themeColor="text1"/>
                <w:lang w:val="pt-BR"/>
              </w:rPr>
              <w:t>. 2005</w:t>
            </w:r>
          </w:p>
          <w:p w14:paraId="6EBAF9FF" w14:textId="77777777" w:rsidR="00BC2F05" w:rsidRPr="00DC54F9" w:rsidRDefault="00772FB6" w:rsidP="00976665">
            <w:pPr>
              <w:pStyle w:val="TableText"/>
              <w:rPr>
                <w:color w:val="000000" w:themeColor="text1"/>
                <w:lang w:val="pt-BR"/>
              </w:rPr>
            </w:pPr>
            <w:r>
              <w:rPr>
                <w:color w:val="000000" w:themeColor="text1"/>
                <w:lang w:val="pt-BR"/>
              </w:rPr>
              <w:t>[Enterobacterales: Enterobacteriaceae]</w:t>
            </w:r>
          </w:p>
        </w:tc>
        <w:tc>
          <w:tcPr>
            <w:tcW w:w="450" w:type="pct"/>
            <w:shd w:val="clear" w:color="auto" w:fill="auto"/>
          </w:tcPr>
          <w:p w14:paraId="1615A1CD" w14:textId="77777777" w:rsidR="00BC2F05" w:rsidRPr="00BD681D" w:rsidRDefault="00772FB6" w:rsidP="00976665">
            <w:pPr>
              <w:pStyle w:val="TableText"/>
              <w:rPr>
                <w:lang w:val="pt-BR"/>
              </w:rPr>
            </w:pPr>
            <w:r w:rsidRPr="00262D72">
              <w:t>Yes</w:t>
            </w:r>
            <w:r>
              <w:rPr>
                <w:i/>
                <w:iCs/>
              </w:rPr>
              <w:t xml:space="preserve"> </w:t>
            </w:r>
            <w:r>
              <w:rPr>
                <w:noProof/>
              </w:rPr>
              <w:t>(Hu et al. 2018)</w:t>
            </w:r>
          </w:p>
        </w:tc>
        <w:tc>
          <w:tcPr>
            <w:tcW w:w="499" w:type="pct"/>
            <w:shd w:val="clear" w:color="auto" w:fill="auto"/>
          </w:tcPr>
          <w:p w14:paraId="56ECFA2E" w14:textId="77777777" w:rsidR="00BC2F05" w:rsidRPr="00BD681D" w:rsidRDefault="00772FB6" w:rsidP="00976665">
            <w:pPr>
              <w:pStyle w:val="TableText"/>
              <w:rPr>
                <w:szCs w:val="16"/>
              </w:rPr>
            </w:pPr>
            <w:r>
              <w:t xml:space="preserve">Yes. Qld, NSW, Vic. </w:t>
            </w:r>
            <w:r>
              <w:rPr>
                <w:noProof/>
                <w:szCs w:val="16"/>
              </w:rPr>
              <w:t>(APPD 2022; Li et al. 2020)</w:t>
            </w:r>
          </w:p>
        </w:tc>
        <w:tc>
          <w:tcPr>
            <w:tcW w:w="645" w:type="pct"/>
            <w:shd w:val="clear" w:color="auto" w:fill="auto"/>
          </w:tcPr>
          <w:p w14:paraId="5C46A634" w14:textId="77777777" w:rsidR="00BC2F05" w:rsidRPr="00BD681D" w:rsidRDefault="00772FB6" w:rsidP="00976665">
            <w:pPr>
              <w:pStyle w:val="TableText"/>
            </w:pPr>
            <w:r w:rsidRPr="00BE4EED">
              <w:t>Assessment not required</w:t>
            </w:r>
          </w:p>
        </w:tc>
        <w:tc>
          <w:tcPr>
            <w:tcW w:w="706" w:type="pct"/>
          </w:tcPr>
          <w:p w14:paraId="1D62FD86" w14:textId="77777777" w:rsidR="00BC2F05" w:rsidRDefault="00772FB6" w:rsidP="00976665">
            <w:pPr>
              <w:pStyle w:val="TableText"/>
            </w:pPr>
            <w:r w:rsidRPr="00BE4EED">
              <w:t>Assessment not required</w:t>
            </w:r>
          </w:p>
        </w:tc>
        <w:tc>
          <w:tcPr>
            <w:tcW w:w="700" w:type="pct"/>
            <w:shd w:val="clear" w:color="auto" w:fill="auto"/>
          </w:tcPr>
          <w:p w14:paraId="79A4AEFB" w14:textId="77777777" w:rsidR="00BC2F05" w:rsidRPr="00BD681D" w:rsidRDefault="00772FB6" w:rsidP="00976665">
            <w:pPr>
              <w:pStyle w:val="TableText"/>
            </w:pPr>
            <w:r w:rsidRPr="00BE4EED">
              <w:t>Assessment not required</w:t>
            </w:r>
          </w:p>
        </w:tc>
        <w:tc>
          <w:tcPr>
            <w:tcW w:w="701" w:type="pct"/>
            <w:shd w:val="clear" w:color="auto" w:fill="auto"/>
          </w:tcPr>
          <w:p w14:paraId="3DD9C0F4" w14:textId="77777777" w:rsidR="00BC2F05" w:rsidRPr="00BD681D" w:rsidRDefault="00772FB6" w:rsidP="00976665">
            <w:pPr>
              <w:pStyle w:val="TableText"/>
            </w:pPr>
            <w:r w:rsidRPr="00BE4EED">
              <w:t>Assessment not required</w:t>
            </w:r>
          </w:p>
        </w:tc>
        <w:tc>
          <w:tcPr>
            <w:tcW w:w="500" w:type="pct"/>
            <w:gridSpan w:val="2"/>
            <w:shd w:val="clear" w:color="auto" w:fill="auto"/>
          </w:tcPr>
          <w:p w14:paraId="65CC2E86" w14:textId="77777777" w:rsidR="00BC2F05" w:rsidRPr="00BD681D" w:rsidRDefault="00772FB6" w:rsidP="00976665">
            <w:pPr>
              <w:pStyle w:val="TableText"/>
            </w:pPr>
            <w:r>
              <w:t>No</w:t>
            </w:r>
          </w:p>
        </w:tc>
      </w:tr>
      <w:tr w:rsidR="00C80041" w14:paraId="2B057927" w14:textId="77777777" w:rsidTr="003754F5">
        <w:trPr>
          <w:trHeight w:val="75"/>
          <w:jc w:val="center"/>
        </w:trPr>
        <w:tc>
          <w:tcPr>
            <w:tcW w:w="799" w:type="pct"/>
            <w:shd w:val="clear" w:color="auto" w:fill="auto"/>
          </w:tcPr>
          <w:p w14:paraId="5A1E0C8B" w14:textId="77777777" w:rsidR="00BC2F05" w:rsidRPr="005C0A2D" w:rsidRDefault="00772FB6" w:rsidP="00976665">
            <w:pPr>
              <w:pStyle w:val="TableText"/>
              <w:rPr>
                <w:color w:val="000000" w:themeColor="text1"/>
                <w:lang w:val="pt-BR"/>
              </w:rPr>
            </w:pPr>
            <w:r>
              <w:rPr>
                <w:i/>
                <w:color w:val="000000" w:themeColor="text1"/>
                <w:lang w:val="pt-BR"/>
              </w:rPr>
              <w:t xml:space="preserve">Enterobacter cloacae </w:t>
            </w:r>
            <w:r>
              <w:rPr>
                <w:color w:val="000000" w:themeColor="text1"/>
                <w:lang w:val="pt-BR"/>
              </w:rPr>
              <w:t>(Jordan) Hormaeche and Edwards, 1960</w:t>
            </w:r>
          </w:p>
          <w:p w14:paraId="4DD412F4" w14:textId="77777777" w:rsidR="00BC2F05" w:rsidRPr="00DC54F9" w:rsidRDefault="00772FB6" w:rsidP="00976665">
            <w:pPr>
              <w:pStyle w:val="TableText"/>
              <w:rPr>
                <w:color w:val="000000" w:themeColor="text1"/>
                <w:lang w:val="pt-BR"/>
              </w:rPr>
            </w:pPr>
            <w:r>
              <w:rPr>
                <w:color w:val="000000" w:themeColor="text1"/>
                <w:lang w:val="pt-BR"/>
              </w:rPr>
              <w:t>[Enterobacterales: Enterobacteriaceae]</w:t>
            </w:r>
          </w:p>
        </w:tc>
        <w:tc>
          <w:tcPr>
            <w:tcW w:w="450" w:type="pct"/>
            <w:shd w:val="clear" w:color="auto" w:fill="auto"/>
          </w:tcPr>
          <w:p w14:paraId="5BE7E80A" w14:textId="77777777" w:rsidR="00BC2F05" w:rsidRPr="00BD681D" w:rsidRDefault="00772FB6" w:rsidP="00976665">
            <w:pPr>
              <w:pStyle w:val="TableText"/>
              <w:rPr>
                <w:lang w:val="pt-BR"/>
              </w:rPr>
            </w:pPr>
            <w:r>
              <w:rPr>
                <w:lang w:val="pt-BR"/>
              </w:rPr>
              <w:t xml:space="preserve">Yes </w:t>
            </w:r>
            <w:r>
              <w:rPr>
                <w:noProof/>
                <w:lang w:val="pt-BR"/>
              </w:rPr>
              <w:t>(Suzuki et al. 2020; Tepora 2019)</w:t>
            </w:r>
          </w:p>
        </w:tc>
        <w:tc>
          <w:tcPr>
            <w:tcW w:w="499" w:type="pct"/>
            <w:shd w:val="clear" w:color="auto" w:fill="auto"/>
          </w:tcPr>
          <w:p w14:paraId="6ABDB9D2" w14:textId="77777777" w:rsidR="00BC2F05" w:rsidRPr="00BD681D" w:rsidRDefault="00772FB6" w:rsidP="00976665">
            <w:pPr>
              <w:pStyle w:val="TableText"/>
              <w:rPr>
                <w:szCs w:val="16"/>
              </w:rPr>
            </w:pPr>
            <w:r>
              <w:t xml:space="preserve">Yes. NSW, Qld, WA </w:t>
            </w:r>
            <w:r>
              <w:rPr>
                <w:noProof/>
                <w:szCs w:val="16"/>
              </w:rPr>
              <w:t>(APPD 2022; Sidjabat et al. 2015)</w:t>
            </w:r>
          </w:p>
        </w:tc>
        <w:tc>
          <w:tcPr>
            <w:tcW w:w="645" w:type="pct"/>
            <w:shd w:val="clear" w:color="auto" w:fill="auto"/>
          </w:tcPr>
          <w:p w14:paraId="0B8EA69A" w14:textId="77777777" w:rsidR="00BC2F05" w:rsidRPr="00BD681D" w:rsidRDefault="00772FB6" w:rsidP="00976665">
            <w:pPr>
              <w:pStyle w:val="TableText"/>
            </w:pPr>
            <w:r w:rsidRPr="00BE4EED">
              <w:t>Assessment not required</w:t>
            </w:r>
          </w:p>
        </w:tc>
        <w:tc>
          <w:tcPr>
            <w:tcW w:w="706" w:type="pct"/>
          </w:tcPr>
          <w:p w14:paraId="7A9A1857" w14:textId="77777777" w:rsidR="00BC2F05" w:rsidRDefault="00772FB6" w:rsidP="00976665">
            <w:pPr>
              <w:pStyle w:val="TableText"/>
            </w:pPr>
            <w:r w:rsidRPr="00BE4EED">
              <w:t>Assessment not required</w:t>
            </w:r>
          </w:p>
        </w:tc>
        <w:tc>
          <w:tcPr>
            <w:tcW w:w="700" w:type="pct"/>
            <w:shd w:val="clear" w:color="auto" w:fill="auto"/>
          </w:tcPr>
          <w:p w14:paraId="04A4BCDE" w14:textId="77777777" w:rsidR="00BC2F05" w:rsidRPr="00BD681D" w:rsidRDefault="00772FB6" w:rsidP="00976665">
            <w:pPr>
              <w:pStyle w:val="TableText"/>
            </w:pPr>
            <w:r w:rsidRPr="00BE4EED">
              <w:t>Assessment not required</w:t>
            </w:r>
          </w:p>
        </w:tc>
        <w:tc>
          <w:tcPr>
            <w:tcW w:w="701" w:type="pct"/>
            <w:shd w:val="clear" w:color="auto" w:fill="auto"/>
          </w:tcPr>
          <w:p w14:paraId="3EEE3C7B" w14:textId="77777777" w:rsidR="00BC2F05" w:rsidRPr="00BD681D" w:rsidRDefault="00772FB6" w:rsidP="00976665">
            <w:pPr>
              <w:pStyle w:val="TableText"/>
            </w:pPr>
            <w:r w:rsidRPr="00BE4EED">
              <w:t>Assessment not required</w:t>
            </w:r>
          </w:p>
        </w:tc>
        <w:tc>
          <w:tcPr>
            <w:tcW w:w="500" w:type="pct"/>
            <w:gridSpan w:val="2"/>
            <w:shd w:val="clear" w:color="auto" w:fill="auto"/>
          </w:tcPr>
          <w:p w14:paraId="54931E7D" w14:textId="77777777" w:rsidR="00BC2F05" w:rsidRPr="00BD681D" w:rsidRDefault="00772FB6" w:rsidP="00976665">
            <w:pPr>
              <w:pStyle w:val="TableText"/>
            </w:pPr>
            <w:r>
              <w:t>No</w:t>
            </w:r>
          </w:p>
        </w:tc>
      </w:tr>
      <w:tr w:rsidR="00C80041" w14:paraId="5A42DBEA" w14:textId="77777777" w:rsidTr="003754F5">
        <w:trPr>
          <w:trHeight w:val="75"/>
          <w:jc w:val="center"/>
        </w:trPr>
        <w:tc>
          <w:tcPr>
            <w:tcW w:w="799" w:type="pct"/>
            <w:shd w:val="clear" w:color="auto" w:fill="auto"/>
          </w:tcPr>
          <w:p w14:paraId="0C059B8C" w14:textId="77777777" w:rsidR="00BC2F05" w:rsidRPr="00956548" w:rsidRDefault="00772FB6" w:rsidP="00976665">
            <w:pPr>
              <w:pStyle w:val="TableText"/>
              <w:rPr>
                <w:color w:val="000000" w:themeColor="text1"/>
                <w:lang w:val="pt-BR"/>
              </w:rPr>
            </w:pPr>
            <w:bookmarkStart w:id="237" w:name="_Hlk100316261"/>
            <w:r w:rsidRPr="00956548">
              <w:rPr>
                <w:i/>
                <w:color w:val="000000" w:themeColor="text1"/>
                <w:lang w:val="pt-BR"/>
              </w:rPr>
              <w:t>Paenibacillus polymyxa</w:t>
            </w:r>
            <w:bookmarkEnd w:id="237"/>
            <w:r>
              <w:rPr>
                <w:i/>
                <w:color w:val="000000" w:themeColor="text1"/>
                <w:lang w:val="pt-BR"/>
              </w:rPr>
              <w:t xml:space="preserve"> </w:t>
            </w:r>
            <w:r w:rsidRPr="00956548">
              <w:rPr>
                <w:color w:val="000000" w:themeColor="text1"/>
                <w:lang w:val="pt-BR"/>
              </w:rPr>
              <w:t>(Prazmowski 1880)</w:t>
            </w:r>
            <w:r>
              <w:rPr>
                <w:color w:val="000000" w:themeColor="text1"/>
                <w:lang w:val="pt-BR"/>
              </w:rPr>
              <w:t xml:space="preserve"> </w:t>
            </w:r>
            <w:r w:rsidRPr="00956548">
              <w:rPr>
                <w:color w:val="000000" w:themeColor="text1"/>
                <w:lang w:val="pt-BR"/>
              </w:rPr>
              <w:t>Ash et al. 1994</w:t>
            </w:r>
          </w:p>
          <w:p w14:paraId="4E2CFD2F" w14:textId="77777777" w:rsidR="00BC2F05" w:rsidRPr="00956548" w:rsidRDefault="00772FB6" w:rsidP="00976665">
            <w:pPr>
              <w:pStyle w:val="TableText"/>
              <w:rPr>
                <w:color w:val="000000" w:themeColor="text1"/>
                <w:lang w:val="pt-BR"/>
              </w:rPr>
            </w:pPr>
            <w:r w:rsidRPr="00956548">
              <w:rPr>
                <w:color w:val="000000" w:themeColor="text1"/>
                <w:lang w:val="pt-BR"/>
              </w:rPr>
              <w:t>[Bacillales: Paenibacillaceae]</w:t>
            </w:r>
          </w:p>
        </w:tc>
        <w:tc>
          <w:tcPr>
            <w:tcW w:w="450" w:type="pct"/>
            <w:shd w:val="clear" w:color="auto" w:fill="auto"/>
          </w:tcPr>
          <w:p w14:paraId="2EF9DE2D" w14:textId="77777777" w:rsidR="00BC2F05" w:rsidRPr="00956548" w:rsidRDefault="00772FB6" w:rsidP="00976665">
            <w:pPr>
              <w:pStyle w:val="TableText"/>
              <w:rPr>
                <w:color w:val="000000" w:themeColor="text1"/>
                <w:lang w:val="pt-BR"/>
              </w:rPr>
            </w:pPr>
            <w:r w:rsidRPr="00956548">
              <w:rPr>
                <w:color w:val="000000" w:themeColor="text1"/>
                <w:lang w:val="pt-BR"/>
              </w:rPr>
              <w:t xml:space="preserve">Yes </w:t>
            </w:r>
            <w:r>
              <w:rPr>
                <w:noProof/>
                <w:color w:val="000000" w:themeColor="text1"/>
                <w:lang w:val="pt-BR"/>
              </w:rPr>
              <w:t>(Cottyn et al. 2009)</w:t>
            </w:r>
          </w:p>
        </w:tc>
        <w:tc>
          <w:tcPr>
            <w:tcW w:w="499" w:type="pct"/>
            <w:shd w:val="clear" w:color="auto" w:fill="auto"/>
          </w:tcPr>
          <w:p w14:paraId="42CD1F9E" w14:textId="77777777" w:rsidR="00BC2F05" w:rsidRPr="00956548" w:rsidRDefault="00772FB6" w:rsidP="00976665">
            <w:pPr>
              <w:pStyle w:val="TableText"/>
              <w:rPr>
                <w:color w:val="000000" w:themeColor="text1"/>
                <w:szCs w:val="16"/>
              </w:rPr>
            </w:pPr>
            <w:r w:rsidRPr="00956548">
              <w:rPr>
                <w:color w:val="000000" w:themeColor="text1"/>
              </w:rPr>
              <w:t xml:space="preserve">Yes. SA </w:t>
            </w:r>
            <w:r>
              <w:rPr>
                <w:noProof/>
                <w:color w:val="000000" w:themeColor="text1"/>
                <w:szCs w:val="16"/>
              </w:rPr>
              <w:t>(APPD 2022)</w:t>
            </w:r>
          </w:p>
        </w:tc>
        <w:tc>
          <w:tcPr>
            <w:tcW w:w="645" w:type="pct"/>
            <w:shd w:val="clear" w:color="auto" w:fill="auto"/>
          </w:tcPr>
          <w:p w14:paraId="5242BDE0" w14:textId="77777777" w:rsidR="00BC2F05" w:rsidRPr="00956548" w:rsidRDefault="00772FB6" w:rsidP="00976665">
            <w:pPr>
              <w:pStyle w:val="TableText"/>
              <w:rPr>
                <w:color w:val="000000" w:themeColor="text1"/>
              </w:rPr>
            </w:pPr>
            <w:r w:rsidRPr="00BE4EED">
              <w:t>Assessment not required</w:t>
            </w:r>
          </w:p>
        </w:tc>
        <w:tc>
          <w:tcPr>
            <w:tcW w:w="706" w:type="pct"/>
          </w:tcPr>
          <w:p w14:paraId="657B0D2B" w14:textId="77777777" w:rsidR="00BC2F05" w:rsidRPr="00956548" w:rsidRDefault="00772FB6" w:rsidP="00976665">
            <w:pPr>
              <w:pStyle w:val="TableText"/>
              <w:rPr>
                <w:color w:val="000000" w:themeColor="text1"/>
              </w:rPr>
            </w:pPr>
            <w:r w:rsidRPr="00BE4EED">
              <w:t>Assessment not required</w:t>
            </w:r>
          </w:p>
        </w:tc>
        <w:tc>
          <w:tcPr>
            <w:tcW w:w="700" w:type="pct"/>
            <w:shd w:val="clear" w:color="auto" w:fill="auto"/>
          </w:tcPr>
          <w:p w14:paraId="3CB51FCF" w14:textId="77777777" w:rsidR="00BC2F05" w:rsidRPr="00956548" w:rsidRDefault="00772FB6" w:rsidP="00976665">
            <w:pPr>
              <w:pStyle w:val="TableText"/>
              <w:rPr>
                <w:color w:val="000000" w:themeColor="text1"/>
              </w:rPr>
            </w:pPr>
            <w:r w:rsidRPr="00BE4EED">
              <w:t>Assessment not required</w:t>
            </w:r>
          </w:p>
        </w:tc>
        <w:tc>
          <w:tcPr>
            <w:tcW w:w="701" w:type="pct"/>
            <w:shd w:val="clear" w:color="auto" w:fill="auto"/>
          </w:tcPr>
          <w:p w14:paraId="0B922557" w14:textId="77777777" w:rsidR="00BC2F05" w:rsidRPr="00956548" w:rsidRDefault="00772FB6" w:rsidP="00976665">
            <w:pPr>
              <w:pStyle w:val="TableText"/>
              <w:rPr>
                <w:color w:val="000000" w:themeColor="text1"/>
              </w:rPr>
            </w:pPr>
            <w:r w:rsidRPr="00BE4EED">
              <w:t>Assessment not required</w:t>
            </w:r>
          </w:p>
        </w:tc>
        <w:tc>
          <w:tcPr>
            <w:tcW w:w="500" w:type="pct"/>
            <w:gridSpan w:val="2"/>
            <w:shd w:val="clear" w:color="auto" w:fill="auto"/>
          </w:tcPr>
          <w:p w14:paraId="00AF259E" w14:textId="77777777" w:rsidR="00BC2F05" w:rsidRPr="00956548" w:rsidRDefault="00772FB6" w:rsidP="00976665">
            <w:pPr>
              <w:pStyle w:val="TableText"/>
              <w:rPr>
                <w:color w:val="000000" w:themeColor="text1"/>
              </w:rPr>
            </w:pPr>
            <w:r w:rsidRPr="00956548">
              <w:rPr>
                <w:color w:val="000000" w:themeColor="text1"/>
              </w:rPr>
              <w:t>No</w:t>
            </w:r>
          </w:p>
        </w:tc>
      </w:tr>
      <w:tr w:rsidR="00C80041" w14:paraId="0BB2EDDA" w14:textId="77777777" w:rsidTr="003754F5">
        <w:trPr>
          <w:trHeight w:val="75"/>
          <w:jc w:val="center"/>
        </w:trPr>
        <w:tc>
          <w:tcPr>
            <w:tcW w:w="799" w:type="pct"/>
            <w:shd w:val="clear" w:color="auto" w:fill="auto"/>
          </w:tcPr>
          <w:p w14:paraId="51FB7EB8" w14:textId="77777777" w:rsidR="00BC2F05" w:rsidRDefault="00772FB6" w:rsidP="00976665">
            <w:pPr>
              <w:pStyle w:val="TableText"/>
              <w:rPr>
                <w:color w:val="000000" w:themeColor="text1"/>
                <w:lang w:val="pt-BR"/>
              </w:rPr>
            </w:pPr>
            <w:bookmarkStart w:id="238" w:name="_Hlk87010512"/>
            <w:r>
              <w:rPr>
                <w:i/>
                <w:color w:val="000000" w:themeColor="text1"/>
                <w:lang w:val="pt-BR"/>
              </w:rPr>
              <w:t>Pectobacterium carotovorum</w:t>
            </w:r>
            <w:bookmarkEnd w:id="238"/>
            <w:r>
              <w:rPr>
                <w:i/>
                <w:color w:val="000000" w:themeColor="text1"/>
                <w:lang w:val="pt-BR"/>
              </w:rPr>
              <w:t xml:space="preserve"> </w:t>
            </w:r>
            <w:r>
              <w:rPr>
                <w:color w:val="000000" w:themeColor="text1"/>
                <w:lang w:val="pt-BR"/>
              </w:rPr>
              <w:t>(Jones),  Waldee, 1945</w:t>
            </w:r>
          </w:p>
          <w:p w14:paraId="38392E90" w14:textId="77777777" w:rsidR="00BC2F05" w:rsidRPr="00B106EF" w:rsidRDefault="00772FB6" w:rsidP="00976665">
            <w:pPr>
              <w:pStyle w:val="TableText"/>
              <w:rPr>
                <w:color w:val="000000" w:themeColor="text1"/>
              </w:rPr>
            </w:pPr>
            <w:r>
              <w:t xml:space="preserve">Synonym: </w:t>
            </w:r>
            <w:r w:rsidRPr="00571FAE">
              <w:rPr>
                <w:i/>
                <w:iCs/>
              </w:rPr>
              <w:t xml:space="preserve">Erwinia </w:t>
            </w:r>
            <w:proofErr w:type="spellStart"/>
            <w:r w:rsidRPr="00571FAE">
              <w:rPr>
                <w:i/>
                <w:iCs/>
              </w:rPr>
              <w:t>carotovor</w:t>
            </w:r>
            <w:r>
              <w:t>a</w:t>
            </w:r>
            <w:proofErr w:type="spellEnd"/>
            <w:r>
              <w:t xml:space="preserve"> (Jones, 1901) Berge et al. 1923 (Approved lists 1980)</w:t>
            </w:r>
          </w:p>
          <w:p w14:paraId="04BC1C5D" w14:textId="77777777" w:rsidR="00BC2F05" w:rsidRPr="00DC54F9" w:rsidRDefault="00772FB6" w:rsidP="00976665">
            <w:pPr>
              <w:pStyle w:val="TableText"/>
              <w:rPr>
                <w:color w:val="000000" w:themeColor="text1"/>
                <w:lang w:val="pt-BR"/>
              </w:rPr>
            </w:pPr>
            <w:r>
              <w:rPr>
                <w:color w:val="000000" w:themeColor="text1"/>
                <w:lang w:val="pt-BR"/>
              </w:rPr>
              <w:t>[Enterobacterales: Enterobacteriaceae]</w:t>
            </w:r>
          </w:p>
        </w:tc>
        <w:tc>
          <w:tcPr>
            <w:tcW w:w="450" w:type="pct"/>
            <w:shd w:val="clear" w:color="auto" w:fill="auto"/>
          </w:tcPr>
          <w:p w14:paraId="3F98CB4A" w14:textId="77777777" w:rsidR="00BC2F05" w:rsidRPr="00BD681D" w:rsidRDefault="00772FB6" w:rsidP="00976665">
            <w:pPr>
              <w:pStyle w:val="TableText"/>
              <w:rPr>
                <w:lang w:val="pt-BR"/>
              </w:rPr>
            </w:pPr>
            <w:r>
              <w:rPr>
                <w:lang w:val="pt-BR"/>
              </w:rPr>
              <w:t xml:space="preserve">Yes </w:t>
            </w:r>
            <w:r>
              <w:rPr>
                <w:noProof/>
                <w:lang w:val="pt-BR"/>
              </w:rPr>
              <w:t>(Daengsubha &amp; Quimio 1981)</w:t>
            </w:r>
            <w:r>
              <w:rPr>
                <w:lang w:val="pt-BR"/>
              </w:rPr>
              <w:t xml:space="preserve"> </w:t>
            </w:r>
          </w:p>
        </w:tc>
        <w:tc>
          <w:tcPr>
            <w:tcW w:w="499" w:type="pct"/>
            <w:shd w:val="clear" w:color="auto" w:fill="auto"/>
          </w:tcPr>
          <w:p w14:paraId="63BBB5DD" w14:textId="77777777" w:rsidR="00BC2F05" w:rsidRPr="00BD681D" w:rsidRDefault="00772FB6" w:rsidP="00976665">
            <w:pPr>
              <w:pStyle w:val="TableText"/>
              <w:rPr>
                <w:szCs w:val="16"/>
              </w:rPr>
            </w:pPr>
            <w:r>
              <w:t xml:space="preserve">Yes. NSW, Qld, SA, Vic., ACT </w:t>
            </w:r>
            <w:r>
              <w:rPr>
                <w:noProof/>
                <w:szCs w:val="16"/>
              </w:rPr>
              <w:t>(APPD 2022; Horne 2002)</w:t>
            </w:r>
          </w:p>
        </w:tc>
        <w:tc>
          <w:tcPr>
            <w:tcW w:w="645" w:type="pct"/>
            <w:shd w:val="clear" w:color="auto" w:fill="auto"/>
          </w:tcPr>
          <w:p w14:paraId="333CD346" w14:textId="77777777" w:rsidR="00BC2F05" w:rsidRPr="00BD681D" w:rsidRDefault="00772FB6" w:rsidP="00976665">
            <w:pPr>
              <w:pStyle w:val="TableText"/>
            </w:pPr>
            <w:r w:rsidRPr="00BE4EED">
              <w:t>Assessment not required</w:t>
            </w:r>
          </w:p>
        </w:tc>
        <w:tc>
          <w:tcPr>
            <w:tcW w:w="706" w:type="pct"/>
          </w:tcPr>
          <w:p w14:paraId="3F82052A" w14:textId="77777777" w:rsidR="00BC2F05" w:rsidRDefault="00772FB6" w:rsidP="00976665">
            <w:pPr>
              <w:pStyle w:val="TableText"/>
            </w:pPr>
            <w:r w:rsidRPr="00BE4EED">
              <w:t>Assessment not required</w:t>
            </w:r>
          </w:p>
        </w:tc>
        <w:tc>
          <w:tcPr>
            <w:tcW w:w="700" w:type="pct"/>
            <w:shd w:val="clear" w:color="auto" w:fill="auto"/>
          </w:tcPr>
          <w:p w14:paraId="7A0CE2D6" w14:textId="77777777" w:rsidR="00BC2F05" w:rsidRPr="00BD681D" w:rsidRDefault="00772FB6" w:rsidP="00976665">
            <w:pPr>
              <w:pStyle w:val="TableText"/>
            </w:pPr>
            <w:r w:rsidRPr="00BE4EED">
              <w:t>Assessment not required</w:t>
            </w:r>
          </w:p>
        </w:tc>
        <w:tc>
          <w:tcPr>
            <w:tcW w:w="701" w:type="pct"/>
            <w:shd w:val="clear" w:color="auto" w:fill="auto"/>
          </w:tcPr>
          <w:p w14:paraId="5B672FFD" w14:textId="77777777" w:rsidR="00BC2F05" w:rsidRPr="00BD681D" w:rsidRDefault="00772FB6" w:rsidP="00976665">
            <w:pPr>
              <w:pStyle w:val="TableText"/>
            </w:pPr>
            <w:r w:rsidRPr="00BE4EED">
              <w:t>Assessment not required</w:t>
            </w:r>
          </w:p>
        </w:tc>
        <w:tc>
          <w:tcPr>
            <w:tcW w:w="500" w:type="pct"/>
            <w:gridSpan w:val="2"/>
            <w:shd w:val="clear" w:color="auto" w:fill="auto"/>
          </w:tcPr>
          <w:p w14:paraId="20A8EDAE" w14:textId="77777777" w:rsidR="00BC2F05" w:rsidRPr="00BD681D" w:rsidRDefault="00772FB6" w:rsidP="00976665">
            <w:pPr>
              <w:pStyle w:val="TableText"/>
            </w:pPr>
            <w:r>
              <w:t>No</w:t>
            </w:r>
          </w:p>
        </w:tc>
      </w:tr>
      <w:tr w:rsidR="00C80041" w14:paraId="730719F1" w14:textId="77777777" w:rsidTr="003754F5">
        <w:trPr>
          <w:trHeight w:val="75"/>
          <w:jc w:val="center"/>
        </w:trPr>
        <w:tc>
          <w:tcPr>
            <w:tcW w:w="799" w:type="pct"/>
            <w:shd w:val="clear" w:color="auto" w:fill="auto"/>
          </w:tcPr>
          <w:p w14:paraId="6A5B7C2A" w14:textId="77777777" w:rsidR="00BC2F05" w:rsidRPr="005C0A2D" w:rsidRDefault="00772FB6" w:rsidP="00976665">
            <w:pPr>
              <w:pStyle w:val="TableText"/>
              <w:rPr>
                <w:color w:val="000000" w:themeColor="text1"/>
                <w:lang w:val="pt-BR"/>
              </w:rPr>
            </w:pPr>
            <w:r>
              <w:rPr>
                <w:i/>
                <w:color w:val="000000" w:themeColor="text1"/>
                <w:lang w:val="pt-BR"/>
              </w:rPr>
              <w:t xml:space="preserve">Serratia marcescens </w:t>
            </w:r>
            <w:r>
              <w:rPr>
                <w:color w:val="000000" w:themeColor="text1"/>
                <w:lang w:val="pt-BR"/>
              </w:rPr>
              <w:t>Bizio, 1823</w:t>
            </w:r>
          </w:p>
          <w:p w14:paraId="52B74B65" w14:textId="77777777" w:rsidR="00BC2F05" w:rsidRPr="00DC54F9" w:rsidRDefault="00772FB6" w:rsidP="00976665">
            <w:pPr>
              <w:pStyle w:val="TableText"/>
              <w:rPr>
                <w:color w:val="000000" w:themeColor="text1"/>
                <w:lang w:val="pt-BR"/>
              </w:rPr>
            </w:pPr>
            <w:r>
              <w:rPr>
                <w:color w:val="000000" w:themeColor="text1"/>
                <w:lang w:val="pt-BR"/>
              </w:rPr>
              <w:t>[Enterobacterales: Yersiniaceae]</w:t>
            </w:r>
          </w:p>
        </w:tc>
        <w:tc>
          <w:tcPr>
            <w:tcW w:w="450" w:type="pct"/>
            <w:shd w:val="clear" w:color="auto" w:fill="auto"/>
          </w:tcPr>
          <w:p w14:paraId="5CD4505C" w14:textId="77777777" w:rsidR="00BC2F05" w:rsidRPr="00BD681D" w:rsidRDefault="00772FB6" w:rsidP="00976665">
            <w:pPr>
              <w:pStyle w:val="TableText"/>
              <w:rPr>
                <w:lang w:val="pt-BR"/>
              </w:rPr>
            </w:pPr>
            <w:r>
              <w:rPr>
                <w:lang w:val="pt-BR"/>
              </w:rPr>
              <w:t xml:space="preserve">Yes </w:t>
            </w:r>
            <w:r>
              <w:rPr>
                <w:noProof/>
                <w:lang w:val="pt-BR"/>
              </w:rPr>
              <w:t xml:space="preserve">(Pascual, Tepora &amp; Tumolva </w:t>
            </w:r>
            <w:r>
              <w:rPr>
                <w:noProof/>
                <w:lang w:val="pt-BR"/>
              </w:rPr>
              <w:lastRenderedPageBreak/>
              <w:t>2016; Tepora 2019)</w:t>
            </w:r>
          </w:p>
        </w:tc>
        <w:tc>
          <w:tcPr>
            <w:tcW w:w="499" w:type="pct"/>
            <w:shd w:val="clear" w:color="auto" w:fill="auto"/>
          </w:tcPr>
          <w:p w14:paraId="581BBE20" w14:textId="77777777" w:rsidR="00BC2F05" w:rsidRPr="00BD681D" w:rsidRDefault="00772FB6" w:rsidP="00976665">
            <w:pPr>
              <w:pStyle w:val="TableText"/>
              <w:rPr>
                <w:szCs w:val="16"/>
              </w:rPr>
            </w:pPr>
            <w:r>
              <w:lastRenderedPageBreak/>
              <w:t xml:space="preserve">Yes. NSW, Qld, Vic. </w:t>
            </w:r>
            <w:r>
              <w:rPr>
                <w:noProof/>
                <w:szCs w:val="16"/>
              </w:rPr>
              <w:t>(APPD 2022  ; Lloyd et al. 1986)</w:t>
            </w:r>
          </w:p>
        </w:tc>
        <w:tc>
          <w:tcPr>
            <w:tcW w:w="645" w:type="pct"/>
            <w:shd w:val="clear" w:color="auto" w:fill="auto"/>
          </w:tcPr>
          <w:p w14:paraId="3B59B043" w14:textId="77777777" w:rsidR="00BC2F05" w:rsidRPr="00BD681D" w:rsidRDefault="00772FB6" w:rsidP="00976665">
            <w:pPr>
              <w:pStyle w:val="TableText"/>
            </w:pPr>
            <w:r w:rsidRPr="00B5411E">
              <w:t>Assessment not required</w:t>
            </w:r>
          </w:p>
        </w:tc>
        <w:tc>
          <w:tcPr>
            <w:tcW w:w="706" w:type="pct"/>
            <w:shd w:val="clear" w:color="auto" w:fill="auto"/>
          </w:tcPr>
          <w:p w14:paraId="7ACBBD9F" w14:textId="77777777" w:rsidR="00BC2F05" w:rsidRDefault="00772FB6" w:rsidP="00976665">
            <w:pPr>
              <w:pStyle w:val="TableText"/>
            </w:pPr>
            <w:r w:rsidRPr="00B5411E">
              <w:t>Assessment not required</w:t>
            </w:r>
          </w:p>
        </w:tc>
        <w:tc>
          <w:tcPr>
            <w:tcW w:w="700" w:type="pct"/>
            <w:shd w:val="clear" w:color="auto" w:fill="auto"/>
          </w:tcPr>
          <w:p w14:paraId="7536814F" w14:textId="77777777" w:rsidR="00BC2F05" w:rsidRPr="00BD681D" w:rsidRDefault="00772FB6" w:rsidP="00976665">
            <w:pPr>
              <w:pStyle w:val="TableText"/>
            </w:pPr>
            <w:r w:rsidRPr="00B5411E">
              <w:t>Assessment not required</w:t>
            </w:r>
          </w:p>
        </w:tc>
        <w:tc>
          <w:tcPr>
            <w:tcW w:w="701" w:type="pct"/>
            <w:shd w:val="clear" w:color="auto" w:fill="auto"/>
          </w:tcPr>
          <w:p w14:paraId="470B99FA" w14:textId="77777777" w:rsidR="00BC2F05" w:rsidRPr="00BD681D" w:rsidRDefault="00772FB6" w:rsidP="00976665">
            <w:pPr>
              <w:pStyle w:val="TableText"/>
            </w:pPr>
            <w:r w:rsidRPr="00B5411E">
              <w:t>Assessment not required</w:t>
            </w:r>
          </w:p>
        </w:tc>
        <w:tc>
          <w:tcPr>
            <w:tcW w:w="500" w:type="pct"/>
            <w:gridSpan w:val="2"/>
            <w:shd w:val="clear" w:color="auto" w:fill="auto"/>
          </w:tcPr>
          <w:p w14:paraId="231EE36A" w14:textId="77777777" w:rsidR="00BC2F05" w:rsidRPr="00BD681D" w:rsidRDefault="00772FB6" w:rsidP="00976665">
            <w:pPr>
              <w:pStyle w:val="TableText"/>
            </w:pPr>
            <w:r>
              <w:t>No</w:t>
            </w:r>
          </w:p>
        </w:tc>
      </w:tr>
      <w:tr w:rsidR="00C80041" w14:paraId="3A2D29F4" w14:textId="77777777" w:rsidTr="003754F5">
        <w:trPr>
          <w:trHeight w:val="75"/>
          <w:jc w:val="center"/>
        </w:trPr>
        <w:tc>
          <w:tcPr>
            <w:tcW w:w="799" w:type="pct"/>
            <w:shd w:val="clear" w:color="auto" w:fill="auto"/>
          </w:tcPr>
          <w:p w14:paraId="727B3AD8" w14:textId="77777777" w:rsidR="00BC2F05" w:rsidRPr="00BB5D4F" w:rsidRDefault="00772FB6" w:rsidP="00976665">
            <w:pPr>
              <w:pStyle w:val="TableText"/>
              <w:rPr>
                <w:b/>
                <w:bCs/>
                <w:iCs/>
                <w:color w:val="000000" w:themeColor="text1"/>
                <w:lang w:val="pt-BR"/>
              </w:rPr>
            </w:pPr>
            <w:r>
              <w:rPr>
                <w:b/>
                <w:bCs/>
                <w:iCs/>
                <w:color w:val="000000" w:themeColor="text1"/>
                <w:lang w:val="pt-BR"/>
              </w:rPr>
              <w:t>CHROMALVEOLATA</w:t>
            </w:r>
          </w:p>
        </w:tc>
        <w:tc>
          <w:tcPr>
            <w:tcW w:w="450" w:type="pct"/>
            <w:shd w:val="clear" w:color="auto" w:fill="auto"/>
          </w:tcPr>
          <w:p w14:paraId="7C8D59E4" w14:textId="77777777" w:rsidR="00BC2F05" w:rsidRDefault="00BC2F05" w:rsidP="00976665">
            <w:pPr>
              <w:pStyle w:val="TableText"/>
              <w:rPr>
                <w:lang w:val="pt-BR"/>
              </w:rPr>
            </w:pPr>
          </w:p>
        </w:tc>
        <w:tc>
          <w:tcPr>
            <w:tcW w:w="499" w:type="pct"/>
            <w:shd w:val="clear" w:color="auto" w:fill="auto"/>
          </w:tcPr>
          <w:p w14:paraId="55BE6F8C" w14:textId="77777777" w:rsidR="00BC2F05" w:rsidRDefault="00BC2F05" w:rsidP="00976665">
            <w:pPr>
              <w:pStyle w:val="TableText"/>
              <w:rPr>
                <w:szCs w:val="16"/>
              </w:rPr>
            </w:pPr>
          </w:p>
        </w:tc>
        <w:tc>
          <w:tcPr>
            <w:tcW w:w="645" w:type="pct"/>
            <w:shd w:val="clear" w:color="auto" w:fill="auto"/>
          </w:tcPr>
          <w:p w14:paraId="05CA211C" w14:textId="77777777" w:rsidR="00BC2F05" w:rsidRDefault="00BC2F05" w:rsidP="00976665">
            <w:pPr>
              <w:pStyle w:val="TableText"/>
            </w:pPr>
          </w:p>
        </w:tc>
        <w:tc>
          <w:tcPr>
            <w:tcW w:w="706" w:type="pct"/>
          </w:tcPr>
          <w:p w14:paraId="3664DB15" w14:textId="77777777" w:rsidR="00BC2F05" w:rsidRDefault="00BC2F05" w:rsidP="00976665">
            <w:pPr>
              <w:pStyle w:val="TableText"/>
            </w:pPr>
          </w:p>
        </w:tc>
        <w:tc>
          <w:tcPr>
            <w:tcW w:w="700" w:type="pct"/>
            <w:shd w:val="clear" w:color="auto" w:fill="auto"/>
          </w:tcPr>
          <w:p w14:paraId="5635790A" w14:textId="77777777" w:rsidR="00BC2F05" w:rsidRDefault="00BC2F05" w:rsidP="00976665">
            <w:pPr>
              <w:pStyle w:val="TableText"/>
            </w:pPr>
          </w:p>
        </w:tc>
        <w:tc>
          <w:tcPr>
            <w:tcW w:w="701" w:type="pct"/>
            <w:shd w:val="clear" w:color="auto" w:fill="auto"/>
          </w:tcPr>
          <w:p w14:paraId="5C714840" w14:textId="77777777" w:rsidR="00BC2F05" w:rsidRDefault="00BC2F05" w:rsidP="00976665">
            <w:pPr>
              <w:pStyle w:val="TableText"/>
            </w:pPr>
          </w:p>
        </w:tc>
        <w:tc>
          <w:tcPr>
            <w:tcW w:w="500" w:type="pct"/>
            <w:gridSpan w:val="2"/>
            <w:shd w:val="clear" w:color="auto" w:fill="auto"/>
          </w:tcPr>
          <w:p w14:paraId="00EDB45E" w14:textId="77777777" w:rsidR="00BC2F05" w:rsidRDefault="00BC2F05" w:rsidP="00976665">
            <w:pPr>
              <w:pStyle w:val="TableText"/>
            </w:pPr>
          </w:p>
        </w:tc>
      </w:tr>
      <w:tr w:rsidR="00C80041" w14:paraId="3A9392C1" w14:textId="77777777" w:rsidTr="003754F5">
        <w:trPr>
          <w:trHeight w:val="75"/>
          <w:jc w:val="center"/>
        </w:trPr>
        <w:tc>
          <w:tcPr>
            <w:tcW w:w="799" w:type="pct"/>
            <w:shd w:val="clear" w:color="auto" w:fill="auto"/>
          </w:tcPr>
          <w:p w14:paraId="71AF4B22" w14:textId="77777777" w:rsidR="00BC2F05" w:rsidRDefault="00772FB6" w:rsidP="00976665">
            <w:pPr>
              <w:pStyle w:val="TableText"/>
              <w:rPr>
                <w:color w:val="000000" w:themeColor="text1"/>
                <w:lang w:val="pt-BR"/>
              </w:rPr>
            </w:pPr>
            <w:r>
              <w:rPr>
                <w:i/>
                <w:color w:val="000000" w:themeColor="text1"/>
                <w:lang w:val="pt-BR"/>
              </w:rPr>
              <w:t xml:space="preserve">Globisporangium irregulare </w:t>
            </w:r>
            <w:r>
              <w:rPr>
                <w:color w:val="000000" w:themeColor="text1"/>
                <w:lang w:val="pt-BR"/>
              </w:rPr>
              <w:t>(Buisman) Uzuhashi, Tojo &amp; Kakish.</w:t>
            </w:r>
          </w:p>
          <w:p w14:paraId="6CE24651" w14:textId="77777777" w:rsidR="00BC2F05" w:rsidRPr="00C8445A" w:rsidRDefault="00772FB6" w:rsidP="00976665">
            <w:pPr>
              <w:pStyle w:val="TableText"/>
              <w:rPr>
                <w:color w:val="63B1E5"/>
              </w:rPr>
            </w:pPr>
            <w:r>
              <w:rPr>
                <w:color w:val="000000" w:themeColor="text1"/>
                <w:lang w:val="pt-BR"/>
              </w:rPr>
              <w:t xml:space="preserve">Synonym: </w:t>
            </w:r>
            <w:r>
              <w:rPr>
                <w:i/>
                <w:color w:val="000000" w:themeColor="text1"/>
                <w:lang w:val="pt-BR"/>
              </w:rPr>
              <w:t xml:space="preserve">Pythium irregulare </w:t>
            </w:r>
            <w:r>
              <w:rPr>
                <w:iCs/>
                <w:color w:val="000000" w:themeColor="text1"/>
                <w:lang w:val="pt-BR"/>
              </w:rPr>
              <w:t>Buisman, 1927</w:t>
            </w:r>
          </w:p>
          <w:p w14:paraId="3FB09214" w14:textId="77777777" w:rsidR="00BC2F05" w:rsidRPr="00E53740" w:rsidRDefault="00772FB6" w:rsidP="00976665">
            <w:pPr>
              <w:pStyle w:val="TableText"/>
            </w:pPr>
            <w:r>
              <w:rPr>
                <w:color w:val="000000" w:themeColor="text1"/>
                <w:lang w:val="pt-BR"/>
              </w:rPr>
              <w:t>[Peronosporales: Pythiaceae]</w:t>
            </w:r>
          </w:p>
          <w:p w14:paraId="73E0DE75" w14:textId="77777777" w:rsidR="00BC2F05" w:rsidRPr="00E53740" w:rsidRDefault="00772FB6" w:rsidP="00976665">
            <w:pPr>
              <w:pStyle w:val="TableText"/>
              <w:rPr>
                <w:color w:val="000000" w:themeColor="text1"/>
                <w:lang w:val="pt-BR"/>
              </w:rPr>
            </w:pPr>
            <w:r>
              <w:rPr>
                <w:color w:val="000000" w:themeColor="text1"/>
                <w:lang w:val="pt-BR"/>
              </w:rPr>
              <w:t>Root rot citronelle</w:t>
            </w:r>
          </w:p>
        </w:tc>
        <w:tc>
          <w:tcPr>
            <w:tcW w:w="450" w:type="pct"/>
            <w:shd w:val="clear" w:color="auto" w:fill="auto"/>
          </w:tcPr>
          <w:p w14:paraId="14C31C80" w14:textId="77777777" w:rsidR="00BC2F05" w:rsidRDefault="00772FB6" w:rsidP="00976665">
            <w:pPr>
              <w:pStyle w:val="TableText"/>
              <w:rPr>
                <w:lang w:val="pt-BR"/>
              </w:rPr>
            </w:pPr>
            <w:r>
              <w:rPr>
                <w:lang w:val="pt-BR"/>
              </w:rPr>
              <w:t>Yes</w:t>
            </w:r>
          </w:p>
          <w:p w14:paraId="1C2926DB" w14:textId="77777777" w:rsidR="00BC2F05" w:rsidRPr="00BD681D" w:rsidRDefault="00772FB6" w:rsidP="00976665">
            <w:pPr>
              <w:pStyle w:val="TableText"/>
              <w:rPr>
                <w:lang w:val="pt-BR"/>
              </w:rPr>
            </w:pPr>
            <w:r>
              <w:rPr>
                <w:noProof/>
                <w:lang w:val="pt-BR"/>
              </w:rPr>
              <w:t xml:space="preserve"> (CABI 1986)</w:t>
            </w:r>
            <w:r w:rsidRPr="00FD7DEC">
              <w:rPr>
                <w:lang w:val="pt-BR"/>
              </w:rPr>
              <w:t xml:space="preserve"> </w:t>
            </w:r>
          </w:p>
        </w:tc>
        <w:tc>
          <w:tcPr>
            <w:tcW w:w="499" w:type="pct"/>
            <w:shd w:val="clear" w:color="auto" w:fill="auto"/>
          </w:tcPr>
          <w:p w14:paraId="71C4568E" w14:textId="77777777" w:rsidR="00BC2F05" w:rsidRPr="00BD681D" w:rsidRDefault="00772FB6" w:rsidP="00976665">
            <w:pPr>
              <w:pStyle w:val="TableText"/>
              <w:rPr>
                <w:szCs w:val="16"/>
              </w:rPr>
            </w:pPr>
            <w:r>
              <w:t xml:space="preserve">Yes. NSW, Qld, Vic., SA, WA, Tas. </w:t>
            </w:r>
            <w:r>
              <w:rPr>
                <w:noProof/>
                <w:szCs w:val="16"/>
              </w:rPr>
              <w:t>(APPD 2022)</w:t>
            </w:r>
          </w:p>
        </w:tc>
        <w:tc>
          <w:tcPr>
            <w:tcW w:w="645" w:type="pct"/>
            <w:shd w:val="clear" w:color="auto" w:fill="auto"/>
          </w:tcPr>
          <w:p w14:paraId="14396BDE" w14:textId="77777777" w:rsidR="00BC2F05" w:rsidRPr="00BD681D" w:rsidRDefault="00772FB6" w:rsidP="00976665">
            <w:pPr>
              <w:pStyle w:val="TableText"/>
            </w:pPr>
            <w:r w:rsidRPr="001C1731">
              <w:t>Assessment not required</w:t>
            </w:r>
          </w:p>
        </w:tc>
        <w:tc>
          <w:tcPr>
            <w:tcW w:w="706" w:type="pct"/>
          </w:tcPr>
          <w:p w14:paraId="79EBD4E0" w14:textId="77777777" w:rsidR="00BC2F05" w:rsidRDefault="00772FB6" w:rsidP="00976665">
            <w:pPr>
              <w:pStyle w:val="TableText"/>
            </w:pPr>
            <w:r w:rsidRPr="001C1731">
              <w:t>Assessment not required</w:t>
            </w:r>
          </w:p>
        </w:tc>
        <w:tc>
          <w:tcPr>
            <w:tcW w:w="700" w:type="pct"/>
            <w:shd w:val="clear" w:color="auto" w:fill="auto"/>
          </w:tcPr>
          <w:p w14:paraId="67527C2D" w14:textId="77777777" w:rsidR="00BC2F05" w:rsidRPr="00BD681D" w:rsidRDefault="00772FB6" w:rsidP="00976665">
            <w:pPr>
              <w:pStyle w:val="TableText"/>
            </w:pPr>
            <w:r w:rsidRPr="001C1731">
              <w:t>Assessment not required</w:t>
            </w:r>
          </w:p>
        </w:tc>
        <w:tc>
          <w:tcPr>
            <w:tcW w:w="701" w:type="pct"/>
            <w:shd w:val="clear" w:color="auto" w:fill="auto"/>
          </w:tcPr>
          <w:p w14:paraId="6272AC47" w14:textId="77777777" w:rsidR="00BC2F05" w:rsidRPr="00BD681D" w:rsidRDefault="00772FB6" w:rsidP="00976665">
            <w:pPr>
              <w:pStyle w:val="TableText"/>
            </w:pPr>
            <w:r w:rsidRPr="001C1731">
              <w:t>Assessment not required</w:t>
            </w:r>
          </w:p>
        </w:tc>
        <w:tc>
          <w:tcPr>
            <w:tcW w:w="500" w:type="pct"/>
            <w:gridSpan w:val="2"/>
            <w:shd w:val="clear" w:color="auto" w:fill="auto"/>
          </w:tcPr>
          <w:p w14:paraId="64480924" w14:textId="77777777" w:rsidR="00BC2F05" w:rsidRPr="00BD681D" w:rsidRDefault="00772FB6" w:rsidP="00976665">
            <w:pPr>
              <w:pStyle w:val="TableText"/>
            </w:pPr>
            <w:r>
              <w:t>No</w:t>
            </w:r>
          </w:p>
        </w:tc>
      </w:tr>
      <w:tr w:rsidR="00C80041" w14:paraId="601D0A22" w14:textId="77777777" w:rsidTr="003754F5">
        <w:trPr>
          <w:trHeight w:val="75"/>
          <w:jc w:val="center"/>
        </w:trPr>
        <w:tc>
          <w:tcPr>
            <w:tcW w:w="799" w:type="pct"/>
            <w:shd w:val="clear" w:color="auto" w:fill="auto"/>
          </w:tcPr>
          <w:p w14:paraId="4A71C670" w14:textId="77777777" w:rsidR="00BC2F05" w:rsidRPr="005C0A2D" w:rsidRDefault="00772FB6" w:rsidP="00976665">
            <w:pPr>
              <w:pStyle w:val="TableText"/>
              <w:rPr>
                <w:color w:val="000000" w:themeColor="text1"/>
                <w:lang w:val="pt-BR"/>
              </w:rPr>
            </w:pPr>
            <w:r>
              <w:rPr>
                <w:i/>
                <w:color w:val="000000" w:themeColor="text1"/>
                <w:lang w:val="pt-BR"/>
              </w:rPr>
              <w:t xml:space="preserve">Phytophthora cactorum </w:t>
            </w:r>
            <w:r>
              <w:rPr>
                <w:color w:val="000000" w:themeColor="text1"/>
                <w:lang w:val="pt-BR"/>
              </w:rPr>
              <w:t>(Iebert &amp; Cohn) Schr</w:t>
            </w:r>
            <w:r w:rsidRPr="00A5619D">
              <w:rPr>
                <w:color w:val="000000" w:themeColor="text1"/>
                <w:lang w:val="pt-BR"/>
              </w:rPr>
              <w:t>ö</w:t>
            </w:r>
            <w:r>
              <w:rPr>
                <w:color w:val="000000" w:themeColor="text1"/>
                <w:lang w:val="pt-BR"/>
              </w:rPr>
              <w:t xml:space="preserve">ter </w:t>
            </w:r>
          </w:p>
          <w:p w14:paraId="09D685BE" w14:textId="77777777" w:rsidR="00BC2F05" w:rsidRPr="00E53740" w:rsidRDefault="00772FB6" w:rsidP="00976665">
            <w:pPr>
              <w:pStyle w:val="TableText"/>
            </w:pPr>
            <w:r>
              <w:rPr>
                <w:color w:val="000000" w:themeColor="text1"/>
                <w:lang w:val="pt-BR"/>
              </w:rPr>
              <w:t>[Peronosporales: Peronosporacaea]</w:t>
            </w:r>
          </w:p>
          <w:p w14:paraId="05D56F57" w14:textId="77777777" w:rsidR="00BC2F05" w:rsidRPr="00E53740" w:rsidRDefault="00772FB6" w:rsidP="00976665">
            <w:pPr>
              <w:pStyle w:val="TableText"/>
              <w:rPr>
                <w:color w:val="000000" w:themeColor="text1"/>
                <w:lang w:val="pt-BR"/>
              </w:rPr>
            </w:pPr>
            <w:r>
              <w:rPr>
                <w:color w:val="000000" w:themeColor="text1"/>
                <w:lang w:val="pt-BR"/>
              </w:rPr>
              <w:t>Apple collar rot</w:t>
            </w:r>
          </w:p>
        </w:tc>
        <w:tc>
          <w:tcPr>
            <w:tcW w:w="450" w:type="pct"/>
            <w:shd w:val="clear" w:color="auto" w:fill="auto"/>
          </w:tcPr>
          <w:p w14:paraId="681D219D" w14:textId="77777777" w:rsidR="00BC2F05" w:rsidRPr="00BD681D" w:rsidRDefault="00772FB6" w:rsidP="00976665">
            <w:pPr>
              <w:pStyle w:val="TableText"/>
              <w:rPr>
                <w:lang w:val="pt-BR"/>
              </w:rPr>
            </w:pPr>
            <w:r>
              <w:rPr>
                <w:lang w:val="pt-BR"/>
              </w:rPr>
              <w:t xml:space="preserve">Yes </w:t>
            </w:r>
            <w:r>
              <w:rPr>
                <w:noProof/>
                <w:lang w:val="pt-BR"/>
              </w:rPr>
              <w:t>(Portales 2011)</w:t>
            </w:r>
          </w:p>
        </w:tc>
        <w:tc>
          <w:tcPr>
            <w:tcW w:w="499" w:type="pct"/>
            <w:shd w:val="clear" w:color="auto" w:fill="auto"/>
          </w:tcPr>
          <w:p w14:paraId="409F690A" w14:textId="77777777" w:rsidR="00BC2F05" w:rsidRPr="00BD681D" w:rsidRDefault="00772FB6" w:rsidP="00976665">
            <w:pPr>
              <w:pStyle w:val="TableText"/>
              <w:rPr>
                <w:szCs w:val="16"/>
              </w:rPr>
            </w:pPr>
            <w:r>
              <w:t xml:space="preserve">Yes. ACT, NSW, Qld, SA, Vic., WA </w:t>
            </w:r>
            <w:r>
              <w:rPr>
                <w:noProof/>
                <w:szCs w:val="16"/>
              </w:rPr>
              <w:t>(APPD 2022)</w:t>
            </w:r>
          </w:p>
        </w:tc>
        <w:tc>
          <w:tcPr>
            <w:tcW w:w="645" w:type="pct"/>
            <w:shd w:val="clear" w:color="auto" w:fill="auto"/>
          </w:tcPr>
          <w:p w14:paraId="3E8D78C7" w14:textId="77777777" w:rsidR="00BC2F05" w:rsidRPr="00BD681D" w:rsidRDefault="00772FB6" w:rsidP="00976665">
            <w:pPr>
              <w:pStyle w:val="TableText"/>
            </w:pPr>
            <w:r w:rsidRPr="008A6C9D">
              <w:t>Assessment not required</w:t>
            </w:r>
          </w:p>
        </w:tc>
        <w:tc>
          <w:tcPr>
            <w:tcW w:w="706" w:type="pct"/>
          </w:tcPr>
          <w:p w14:paraId="545F4375" w14:textId="77777777" w:rsidR="00BC2F05" w:rsidRDefault="00772FB6" w:rsidP="00976665">
            <w:pPr>
              <w:pStyle w:val="TableText"/>
            </w:pPr>
            <w:r w:rsidRPr="008A6C9D">
              <w:t>Assessment not required</w:t>
            </w:r>
          </w:p>
        </w:tc>
        <w:tc>
          <w:tcPr>
            <w:tcW w:w="700" w:type="pct"/>
            <w:shd w:val="clear" w:color="auto" w:fill="auto"/>
          </w:tcPr>
          <w:p w14:paraId="65ABBF2F" w14:textId="77777777" w:rsidR="00BC2F05" w:rsidRPr="00BD681D" w:rsidRDefault="00772FB6" w:rsidP="00976665">
            <w:pPr>
              <w:pStyle w:val="TableText"/>
            </w:pPr>
            <w:r w:rsidRPr="008A6C9D">
              <w:t>Assessment not required</w:t>
            </w:r>
          </w:p>
        </w:tc>
        <w:tc>
          <w:tcPr>
            <w:tcW w:w="701" w:type="pct"/>
            <w:shd w:val="clear" w:color="auto" w:fill="auto"/>
          </w:tcPr>
          <w:p w14:paraId="08D26C8F" w14:textId="77777777" w:rsidR="00BC2F05" w:rsidRPr="00BD681D" w:rsidRDefault="00772FB6" w:rsidP="00976665">
            <w:pPr>
              <w:pStyle w:val="TableText"/>
            </w:pPr>
            <w:r w:rsidRPr="008A6C9D">
              <w:t>Assessment not required</w:t>
            </w:r>
          </w:p>
        </w:tc>
        <w:tc>
          <w:tcPr>
            <w:tcW w:w="500" w:type="pct"/>
            <w:gridSpan w:val="2"/>
            <w:shd w:val="clear" w:color="auto" w:fill="auto"/>
          </w:tcPr>
          <w:p w14:paraId="0B9B4E71" w14:textId="77777777" w:rsidR="00BC2F05" w:rsidRPr="00BD681D" w:rsidRDefault="00772FB6" w:rsidP="00976665">
            <w:pPr>
              <w:pStyle w:val="TableText"/>
            </w:pPr>
            <w:r>
              <w:t>No</w:t>
            </w:r>
          </w:p>
        </w:tc>
      </w:tr>
      <w:tr w:rsidR="00C80041" w14:paraId="7F83D019" w14:textId="77777777" w:rsidTr="003754F5">
        <w:trPr>
          <w:trHeight w:val="75"/>
          <w:jc w:val="center"/>
        </w:trPr>
        <w:tc>
          <w:tcPr>
            <w:tcW w:w="799" w:type="pct"/>
            <w:shd w:val="clear" w:color="auto" w:fill="auto"/>
          </w:tcPr>
          <w:p w14:paraId="551AA653" w14:textId="77777777" w:rsidR="00BC2F05" w:rsidRDefault="00772FB6" w:rsidP="00976665">
            <w:pPr>
              <w:pStyle w:val="TableText"/>
              <w:rPr>
                <w:color w:val="000000" w:themeColor="text1"/>
                <w:lang w:val="pt-BR"/>
              </w:rPr>
            </w:pPr>
            <w:r>
              <w:rPr>
                <w:i/>
                <w:color w:val="000000" w:themeColor="text1"/>
                <w:lang w:val="pt-BR"/>
              </w:rPr>
              <w:t xml:space="preserve">Phytophthora nicotianae </w:t>
            </w:r>
            <w:r>
              <w:rPr>
                <w:color w:val="000000" w:themeColor="text1"/>
                <w:lang w:val="pt-BR"/>
              </w:rPr>
              <w:t xml:space="preserve">Breda de Haan </w:t>
            </w:r>
          </w:p>
          <w:p w14:paraId="7A6B8E2C" w14:textId="77777777" w:rsidR="00BC2F05" w:rsidRPr="00B106EF" w:rsidRDefault="00772FB6" w:rsidP="00976665">
            <w:pPr>
              <w:pStyle w:val="TableText"/>
              <w:rPr>
                <w:color w:val="000000" w:themeColor="text1"/>
              </w:rPr>
            </w:pPr>
            <w:r>
              <w:t xml:space="preserve">Synonym: </w:t>
            </w:r>
            <w:r w:rsidRPr="0065196D">
              <w:rPr>
                <w:i/>
                <w:iCs/>
              </w:rPr>
              <w:t xml:space="preserve">Phytophthora </w:t>
            </w:r>
            <w:proofErr w:type="spellStart"/>
            <w:r w:rsidRPr="0065196D">
              <w:rPr>
                <w:i/>
                <w:iCs/>
              </w:rPr>
              <w:t>parasitica</w:t>
            </w:r>
            <w:proofErr w:type="spellEnd"/>
            <w:r>
              <w:t xml:space="preserve"> Dastur</w:t>
            </w:r>
          </w:p>
          <w:p w14:paraId="0B3A2DE4" w14:textId="77777777" w:rsidR="00BC2F05" w:rsidRPr="00E53740" w:rsidRDefault="00772FB6" w:rsidP="00976665">
            <w:pPr>
              <w:pStyle w:val="TableText"/>
            </w:pPr>
            <w:r>
              <w:rPr>
                <w:color w:val="000000" w:themeColor="text1"/>
                <w:lang w:val="pt-BR"/>
              </w:rPr>
              <w:t>[Peronosporales: Peronosporaceae]</w:t>
            </w:r>
          </w:p>
          <w:p w14:paraId="51FF39B3" w14:textId="77777777" w:rsidR="00BC2F05" w:rsidRPr="00E53740" w:rsidRDefault="00772FB6" w:rsidP="00976665">
            <w:pPr>
              <w:pStyle w:val="TableText"/>
              <w:rPr>
                <w:color w:val="000000" w:themeColor="text1"/>
                <w:lang w:val="pt-BR"/>
              </w:rPr>
            </w:pPr>
            <w:r>
              <w:rPr>
                <w:color w:val="000000" w:themeColor="text1"/>
                <w:lang w:val="pt-BR"/>
              </w:rPr>
              <w:t>Black shank</w:t>
            </w:r>
          </w:p>
        </w:tc>
        <w:tc>
          <w:tcPr>
            <w:tcW w:w="450" w:type="pct"/>
            <w:shd w:val="clear" w:color="auto" w:fill="auto"/>
          </w:tcPr>
          <w:p w14:paraId="475578DF" w14:textId="77777777" w:rsidR="00BC2F05" w:rsidRPr="00BD681D" w:rsidRDefault="00772FB6" w:rsidP="00976665">
            <w:pPr>
              <w:pStyle w:val="TableText"/>
              <w:rPr>
                <w:lang w:val="pt-BR"/>
              </w:rPr>
            </w:pPr>
            <w:r>
              <w:rPr>
                <w:lang w:val="pt-BR"/>
              </w:rPr>
              <w:t xml:space="preserve">Yes </w:t>
            </w:r>
            <w:r>
              <w:rPr>
                <w:noProof/>
                <w:lang w:val="pt-BR"/>
              </w:rPr>
              <w:t>(Portales 2011)</w:t>
            </w:r>
          </w:p>
        </w:tc>
        <w:tc>
          <w:tcPr>
            <w:tcW w:w="499" w:type="pct"/>
            <w:shd w:val="clear" w:color="auto" w:fill="auto"/>
          </w:tcPr>
          <w:p w14:paraId="350ACB9E" w14:textId="77777777" w:rsidR="00BC2F05" w:rsidRPr="00BD681D" w:rsidRDefault="00772FB6" w:rsidP="00976665">
            <w:pPr>
              <w:pStyle w:val="TableText"/>
              <w:rPr>
                <w:szCs w:val="16"/>
              </w:rPr>
            </w:pPr>
            <w:r>
              <w:t xml:space="preserve">Yes. NSW, NT, Qld, SA, Vic. </w:t>
            </w:r>
            <w:r>
              <w:rPr>
                <w:noProof/>
                <w:szCs w:val="16"/>
              </w:rPr>
              <w:t>(APPD 2022)</w:t>
            </w:r>
            <w:r>
              <w:rPr>
                <w:szCs w:val="16"/>
              </w:rPr>
              <w:t xml:space="preserve">, WA </w:t>
            </w:r>
            <w:r>
              <w:rPr>
                <w:noProof/>
              </w:rPr>
              <w:t>(Government of Western Australia 2022)</w:t>
            </w:r>
          </w:p>
        </w:tc>
        <w:tc>
          <w:tcPr>
            <w:tcW w:w="645" w:type="pct"/>
            <w:shd w:val="clear" w:color="auto" w:fill="auto"/>
          </w:tcPr>
          <w:p w14:paraId="7A32469C" w14:textId="77777777" w:rsidR="00BC2F05" w:rsidRPr="00BD681D" w:rsidRDefault="00772FB6" w:rsidP="00976665">
            <w:pPr>
              <w:pStyle w:val="TableText"/>
            </w:pPr>
            <w:r w:rsidRPr="008A6C9D">
              <w:t>Assessment not required</w:t>
            </w:r>
          </w:p>
        </w:tc>
        <w:tc>
          <w:tcPr>
            <w:tcW w:w="706" w:type="pct"/>
          </w:tcPr>
          <w:p w14:paraId="75CBC32F" w14:textId="77777777" w:rsidR="00BC2F05" w:rsidRDefault="00772FB6" w:rsidP="00976665">
            <w:pPr>
              <w:pStyle w:val="TableText"/>
            </w:pPr>
            <w:r w:rsidRPr="008A6C9D">
              <w:t>Assessment not required</w:t>
            </w:r>
          </w:p>
        </w:tc>
        <w:tc>
          <w:tcPr>
            <w:tcW w:w="700" w:type="pct"/>
            <w:shd w:val="clear" w:color="auto" w:fill="auto"/>
          </w:tcPr>
          <w:p w14:paraId="250BCD4C" w14:textId="77777777" w:rsidR="00BC2F05" w:rsidRPr="00BD681D" w:rsidRDefault="00772FB6" w:rsidP="00976665">
            <w:pPr>
              <w:pStyle w:val="TableText"/>
            </w:pPr>
            <w:r w:rsidRPr="008A6C9D">
              <w:t>Assessment not required</w:t>
            </w:r>
          </w:p>
        </w:tc>
        <w:tc>
          <w:tcPr>
            <w:tcW w:w="701" w:type="pct"/>
            <w:shd w:val="clear" w:color="auto" w:fill="auto"/>
          </w:tcPr>
          <w:p w14:paraId="50CFB3C0" w14:textId="77777777" w:rsidR="00BC2F05" w:rsidRPr="00BD681D" w:rsidRDefault="00772FB6" w:rsidP="00976665">
            <w:pPr>
              <w:pStyle w:val="TableText"/>
            </w:pPr>
            <w:r w:rsidRPr="008A6C9D">
              <w:t>Assessment not required</w:t>
            </w:r>
          </w:p>
        </w:tc>
        <w:tc>
          <w:tcPr>
            <w:tcW w:w="500" w:type="pct"/>
            <w:gridSpan w:val="2"/>
            <w:shd w:val="clear" w:color="auto" w:fill="auto"/>
          </w:tcPr>
          <w:p w14:paraId="4B2FB01B" w14:textId="77777777" w:rsidR="00BC2F05" w:rsidRPr="00BD681D" w:rsidRDefault="00772FB6" w:rsidP="00976665">
            <w:pPr>
              <w:pStyle w:val="TableText"/>
            </w:pPr>
            <w:r>
              <w:t>No</w:t>
            </w:r>
          </w:p>
        </w:tc>
      </w:tr>
      <w:tr w:rsidR="00C80041" w14:paraId="332CCD92" w14:textId="77777777" w:rsidTr="003754F5">
        <w:trPr>
          <w:trHeight w:val="75"/>
          <w:jc w:val="center"/>
        </w:trPr>
        <w:tc>
          <w:tcPr>
            <w:tcW w:w="799" w:type="pct"/>
            <w:shd w:val="clear" w:color="auto" w:fill="auto"/>
          </w:tcPr>
          <w:p w14:paraId="7ED35C8B" w14:textId="77777777" w:rsidR="00BC2F05" w:rsidRPr="005C0A2D" w:rsidRDefault="00772FB6" w:rsidP="00976665">
            <w:pPr>
              <w:pStyle w:val="TableText"/>
              <w:rPr>
                <w:color w:val="000000" w:themeColor="text1"/>
                <w:lang w:val="pt-BR"/>
              </w:rPr>
            </w:pPr>
            <w:r>
              <w:rPr>
                <w:i/>
                <w:color w:val="000000" w:themeColor="text1"/>
                <w:lang w:val="pt-BR"/>
              </w:rPr>
              <w:t xml:space="preserve">Pythium aphanidermatum </w:t>
            </w:r>
            <w:r>
              <w:rPr>
                <w:color w:val="000000" w:themeColor="text1"/>
                <w:lang w:val="pt-BR"/>
              </w:rPr>
              <w:t>(Edson) Fitzpatrick, 1915</w:t>
            </w:r>
          </w:p>
          <w:p w14:paraId="0D923E4E" w14:textId="77777777" w:rsidR="00BC2F05" w:rsidRPr="00E53740" w:rsidRDefault="00772FB6" w:rsidP="00976665">
            <w:pPr>
              <w:pStyle w:val="TableText"/>
            </w:pPr>
            <w:r>
              <w:rPr>
                <w:color w:val="000000" w:themeColor="text1"/>
                <w:lang w:val="pt-BR"/>
              </w:rPr>
              <w:t>[Peronosporales: Pythiaceae]</w:t>
            </w:r>
          </w:p>
          <w:p w14:paraId="3E6CE8EA" w14:textId="77777777" w:rsidR="00BC2F05" w:rsidRPr="00E53740" w:rsidRDefault="00772FB6" w:rsidP="00976665">
            <w:pPr>
              <w:pStyle w:val="TableText"/>
              <w:rPr>
                <w:color w:val="000000" w:themeColor="text1"/>
                <w:lang w:val="pt-BR"/>
              </w:rPr>
            </w:pPr>
            <w:r>
              <w:rPr>
                <w:color w:val="000000" w:themeColor="text1"/>
                <w:lang w:val="pt-BR"/>
              </w:rPr>
              <w:t>Damping-off</w:t>
            </w:r>
          </w:p>
        </w:tc>
        <w:tc>
          <w:tcPr>
            <w:tcW w:w="450" w:type="pct"/>
            <w:shd w:val="clear" w:color="auto" w:fill="auto"/>
          </w:tcPr>
          <w:p w14:paraId="733023C9" w14:textId="77777777" w:rsidR="00BC2F05" w:rsidRPr="00BD681D" w:rsidRDefault="00772FB6" w:rsidP="00976665">
            <w:pPr>
              <w:pStyle w:val="TableText"/>
              <w:rPr>
                <w:lang w:val="pt-BR"/>
              </w:rPr>
            </w:pPr>
            <w:r>
              <w:rPr>
                <w:lang w:val="pt-BR"/>
              </w:rPr>
              <w:t xml:space="preserve">Yes </w:t>
            </w:r>
            <w:r>
              <w:rPr>
                <w:noProof/>
                <w:lang w:val="pt-BR"/>
              </w:rPr>
              <w:t>(CABI 2005)</w:t>
            </w:r>
          </w:p>
        </w:tc>
        <w:tc>
          <w:tcPr>
            <w:tcW w:w="499" w:type="pct"/>
            <w:shd w:val="clear" w:color="auto" w:fill="auto"/>
          </w:tcPr>
          <w:p w14:paraId="18D9BA80" w14:textId="77777777" w:rsidR="00BC2F05" w:rsidRPr="00BD681D" w:rsidRDefault="00772FB6" w:rsidP="00976665">
            <w:pPr>
              <w:pStyle w:val="TableText"/>
              <w:rPr>
                <w:szCs w:val="16"/>
              </w:rPr>
            </w:pPr>
            <w:r>
              <w:t xml:space="preserve">Yes. NSW, Qld, Vic., WA, SA </w:t>
            </w:r>
            <w:r>
              <w:rPr>
                <w:noProof/>
                <w:szCs w:val="16"/>
              </w:rPr>
              <w:t>(APPD 2022)</w:t>
            </w:r>
          </w:p>
        </w:tc>
        <w:tc>
          <w:tcPr>
            <w:tcW w:w="645" w:type="pct"/>
            <w:shd w:val="clear" w:color="auto" w:fill="auto"/>
          </w:tcPr>
          <w:p w14:paraId="73D48A4D" w14:textId="77777777" w:rsidR="00BC2F05" w:rsidRPr="00BD681D" w:rsidRDefault="00772FB6" w:rsidP="00976665">
            <w:pPr>
              <w:pStyle w:val="TableText"/>
            </w:pPr>
            <w:r w:rsidRPr="008A6C9D">
              <w:t>Assessment not required</w:t>
            </w:r>
          </w:p>
        </w:tc>
        <w:tc>
          <w:tcPr>
            <w:tcW w:w="706" w:type="pct"/>
          </w:tcPr>
          <w:p w14:paraId="3BCAA8F4" w14:textId="77777777" w:rsidR="00BC2F05" w:rsidRDefault="00772FB6" w:rsidP="00976665">
            <w:pPr>
              <w:pStyle w:val="TableText"/>
            </w:pPr>
            <w:r w:rsidRPr="008A6C9D">
              <w:t>Assessment not required</w:t>
            </w:r>
          </w:p>
        </w:tc>
        <w:tc>
          <w:tcPr>
            <w:tcW w:w="700" w:type="pct"/>
            <w:shd w:val="clear" w:color="auto" w:fill="auto"/>
          </w:tcPr>
          <w:p w14:paraId="68C07194" w14:textId="77777777" w:rsidR="00BC2F05" w:rsidRPr="00BD681D" w:rsidRDefault="00772FB6" w:rsidP="00976665">
            <w:pPr>
              <w:pStyle w:val="TableText"/>
            </w:pPr>
            <w:r w:rsidRPr="008A6C9D">
              <w:t>Assessment not required</w:t>
            </w:r>
          </w:p>
        </w:tc>
        <w:tc>
          <w:tcPr>
            <w:tcW w:w="701" w:type="pct"/>
            <w:shd w:val="clear" w:color="auto" w:fill="auto"/>
          </w:tcPr>
          <w:p w14:paraId="39D22BE8" w14:textId="77777777" w:rsidR="00BC2F05" w:rsidRPr="00BD681D" w:rsidRDefault="00772FB6" w:rsidP="00976665">
            <w:pPr>
              <w:pStyle w:val="TableText"/>
            </w:pPr>
            <w:r w:rsidRPr="008A6C9D">
              <w:t>Assessment not required</w:t>
            </w:r>
          </w:p>
        </w:tc>
        <w:tc>
          <w:tcPr>
            <w:tcW w:w="500" w:type="pct"/>
            <w:gridSpan w:val="2"/>
            <w:shd w:val="clear" w:color="auto" w:fill="auto"/>
          </w:tcPr>
          <w:p w14:paraId="4EEB47C2" w14:textId="77777777" w:rsidR="00BC2F05" w:rsidRPr="00BD681D" w:rsidRDefault="00772FB6" w:rsidP="00976665">
            <w:pPr>
              <w:pStyle w:val="TableText"/>
            </w:pPr>
            <w:r>
              <w:t>No</w:t>
            </w:r>
          </w:p>
        </w:tc>
      </w:tr>
      <w:tr w:rsidR="00C80041" w14:paraId="3807286D" w14:textId="77777777" w:rsidTr="003754F5">
        <w:trPr>
          <w:trHeight w:val="75"/>
          <w:jc w:val="center"/>
        </w:trPr>
        <w:tc>
          <w:tcPr>
            <w:tcW w:w="799" w:type="pct"/>
            <w:shd w:val="clear" w:color="auto" w:fill="auto"/>
          </w:tcPr>
          <w:p w14:paraId="58D729B0" w14:textId="77777777" w:rsidR="00BC2F05" w:rsidRPr="00BB5D4F" w:rsidRDefault="00772FB6" w:rsidP="00976665">
            <w:pPr>
              <w:pStyle w:val="TableText"/>
              <w:rPr>
                <w:b/>
                <w:bCs/>
                <w:iCs/>
                <w:color w:val="000000" w:themeColor="text1"/>
                <w:lang w:val="pt-BR"/>
              </w:rPr>
            </w:pPr>
            <w:r>
              <w:rPr>
                <w:b/>
                <w:bCs/>
                <w:iCs/>
                <w:color w:val="000000" w:themeColor="text1"/>
                <w:lang w:val="pt-BR"/>
              </w:rPr>
              <w:lastRenderedPageBreak/>
              <w:t>FUNGI</w:t>
            </w:r>
          </w:p>
        </w:tc>
        <w:tc>
          <w:tcPr>
            <w:tcW w:w="450" w:type="pct"/>
            <w:shd w:val="clear" w:color="auto" w:fill="auto"/>
          </w:tcPr>
          <w:p w14:paraId="516721FF" w14:textId="77777777" w:rsidR="00BC2F05" w:rsidRDefault="00BC2F05" w:rsidP="00976665">
            <w:pPr>
              <w:pStyle w:val="TableText"/>
              <w:rPr>
                <w:lang w:val="pt-BR"/>
              </w:rPr>
            </w:pPr>
          </w:p>
        </w:tc>
        <w:tc>
          <w:tcPr>
            <w:tcW w:w="499" w:type="pct"/>
            <w:shd w:val="clear" w:color="auto" w:fill="auto"/>
          </w:tcPr>
          <w:p w14:paraId="7C902467" w14:textId="77777777" w:rsidR="00BC2F05" w:rsidRDefault="00BC2F05" w:rsidP="00976665">
            <w:pPr>
              <w:pStyle w:val="TableText"/>
              <w:rPr>
                <w:szCs w:val="16"/>
              </w:rPr>
            </w:pPr>
          </w:p>
        </w:tc>
        <w:tc>
          <w:tcPr>
            <w:tcW w:w="645" w:type="pct"/>
            <w:shd w:val="clear" w:color="auto" w:fill="auto"/>
          </w:tcPr>
          <w:p w14:paraId="40D16B6B" w14:textId="77777777" w:rsidR="00BC2F05" w:rsidRDefault="00BC2F05" w:rsidP="00976665">
            <w:pPr>
              <w:pStyle w:val="TableText"/>
            </w:pPr>
          </w:p>
        </w:tc>
        <w:tc>
          <w:tcPr>
            <w:tcW w:w="706" w:type="pct"/>
          </w:tcPr>
          <w:p w14:paraId="3D12C635" w14:textId="77777777" w:rsidR="00BC2F05" w:rsidRDefault="00BC2F05" w:rsidP="00976665">
            <w:pPr>
              <w:pStyle w:val="TableText"/>
            </w:pPr>
          </w:p>
        </w:tc>
        <w:tc>
          <w:tcPr>
            <w:tcW w:w="700" w:type="pct"/>
            <w:shd w:val="clear" w:color="auto" w:fill="auto"/>
          </w:tcPr>
          <w:p w14:paraId="144AAD08" w14:textId="77777777" w:rsidR="00BC2F05" w:rsidRDefault="00BC2F05" w:rsidP="00976665">
            <w:pPr>
              <w:pStyle w:val="TableText"/>
            </w:pPr>
          </w:p>
        </w:tc>
        <w:tc>
          <w:tcPr>
            <w:tcW w:w="701" w:type="pct"/>
            <w:shd w:val="clear" w:color="auto" w:fill="auto"/>
          </w:tcPr>
          <w:p w14:paraId="0FDCD437" w14:textId="77777777" w:rsidR="00BC2F05" w:rsidRDefault="00BC2F05" w:rsidP="00976665">
            <w:pPr>
              <w:pStyle w:val="TableText"/>
            </w:pPr>
          </w:p>
        </w:tc>
        <w:tc>
          <w:tcPr>
            <w:tcW w:w="500" w:type="pct"/>
            <w:gridSpan w:val="2"/>
            <w:shd w:val="clear" w:color="auto" w:fill="auto"/>
          </w:tcPr>
          <w:p w14:paraId="25C60053" w14:textId="77777777" w:rsidR="00BC2F05" w:rsidRDefault="00BC2F05" w:rsidP="00976665">
            <w:pPr>
              <w:pStyle w:val="TableText"/>
            </w:pPr>
          </w:p>
        </w:tc>
      </w:tr>
      <w:tr w:rsidR="00C80041" w14:paraId="514430ED" w14:textId="77777777" w:rsidTr="003754F5">
        <w:trPr>
          <w:trHeight w:val="75"/>
          <w:jc w:val="center"/>
        </w:trPr>
        <w:tc>
          <w:tcPr>
            <w:tcW w:w="799" w:type="pct"/>
            <w:shd w:val="clear" w:color="auto" w:fill="auto"/>
          </w:tcPr>
          <w:p w14:paraId="05A6A0E3" w14:textId="77777777" w:rsidR="00BC2F05" w:rsidRPr="006C5743" w:rsidRDefault="00772FB6" w:rsidP="00976665">
            <w:pPr>
              <w:pStyle w:val="TableText"/>
              <w:rPr>
                <w:color w:val="000000" w:themeColor="text1"/>
                <w:lang w:val="pt-BR"/>
              </w:rPr>
            </w:pPr>
            <w:r>
              <w:rPr>
                <w:i/>
                <w:color w:val="000000" w:themeColor="text1"/>
                <w:lang w:val="pt-BR"/>
              </w:rPr>
              <w:t xml:space="preserve">Alternaria alternata </w:t>
            </w:r>
            <w:r>
              <w:t xml:space="preserve">(Fr.) </w:t>
            </w:r>
            <w:proofErr w:type="spellStart"/>
            <w:r>
              <w:t>Keissl</w:t>
            </w:r>
            <w:proofErr w:type="spellEnd"/>
            <w:r>
              <w:t>.</w:t>
            </w:r>
          </w:p>
          <w:p w14:paraId="6476DC49" w14:textId="77777777" w:rsidR="00BC2F05" w:rsidRPr="00E53740" w:rsidRDefault="00772FB6" w:rsidP="00976665">
            <w:pPr>
              <w:pStyle w:val="TableText"/>
            </w:pPr>
            <w:r>
              <w:rPr>
                <w:color w:val="000000" w:themeColor="text1"/>
                <w:lang w:val="pt-BR"/>
              </w:rPr>
              <w:t>[</w:t>
            </w:r>
            <w:proofErr w:type="spellStart"/>
            <w:r>
              <w:t>Pleosporales</w:t>
            </w:r>
            <w:proofErr w:type="spellEnd"/>
            <w:r>
              <w:t xml:space="preserve">: </w:t>
            </w:r>
            <w:proofErr w:type="spellStart"/>
            <w:r>
              <w:t>Pleosporaceae</w:t>
            </w:r>
            <w:proofErr w:type="spellEnd"/>
            <w:r>
              <w:t>]</w:t>
            </w:r>
          </w:p>
          <w:p w14:paraId="3EEDC2B9" w14:textId="77777777" w:rsidR="00BC2F05" w:rsidRPr="00E53740" w:rsidRDefault="00772FB6" w:rsidP="00976665">
            <w:pPr>
              <w:pStyle w:val="TableText"/>
              <w:rPr>
                <w:color w:val="000000" w:themeColor="text1"/>
                <w:lang w:val="pt-BR"/>
              </w:rPr>
            </w:pPr>
            <w:r>
              <w:rPr>
                <w:color w:val="000000" w:themeColor="text1"/>
                <w:lang w:val="pt-BR"/>
              </w:rPr>
              <w:t>Alternaria leaf spot</w:t>
            </w:r>
          </w:p>
        </w:tc>
        <w:tc>
          <w:tcPr>
            <w:tcW w:w="450" w:type="pct"/>
            <w:shd w:val="clear" w:color="auto" w:fill="auto"/>
          </w:tcPr>
          <w:p w14:paraId="425403C1" w14:textId="77777777" w:rsidR="00BC2F05" w:rsidRPr="00BD681D" w:rsidRDefault="00772FB6" w:rsidP="00976665">
            <w:pPr>
              <w:pStyle w:val="TableText"/>
              <w:rPr>
                <w:lang w:val="pt-BR"/>
              </w:rPr>
            </w:pPr>
            <w:r w:rsidRPr="00364A80">
              <w:rPr>
                <w:lang w:val="pt-BR"/>
              </w:rPr>
              <w:t xml:space="preserve">Yes </w:t>
            </w:r>
            <w:r>
              <w:rPr>
                <w:noProof/>
                <w:lang w:val="pt-BR"/>
              </w:rPr>
              <w:t>(Farr &amp; Rossman 2021)</w:t>
            </w:r>
          </w:p>
        </w:tc>
        <w:tc>
          <w:tcPr>
            <w:tcW w:w="499" w:type="pct"/>
            <w:shd w:val="clear" w:color="auto" w:fill="auto"/>
          </w:tcPr>
          <w:p w14:paraId="2C20E712" w14:textId="77777777" w:rsidR="00BC2F05" w:rsidRPr="00BD681D" w:rsidRDefault="00772FB6" w:rsidP="00976665">
            <w:pPr>
              <w:pStyle w:val="TableText"/>
              <w:rPr>
                <w:szCs w:val="16"/>
              </w:rPr>
            </w:pPr>
            <w:r w:rsidRPr="00364A80">
              <w:rPr>
                <w:szCs w:val="16"/>
              </w:rPr>
              <w:t xml:space="preserve">Yes. All States and Territories </w:t>
            </w:r>
            <w:r>
              <w:rPr>
                <w:noProof/>
                <w:szCs w:val="16"/>
              </w:rPr>
              <w:t>(APPD 2022)</w:t>
            </w:r>
          </w:p>
        </w:tc>
        <w:tc>
          <w:tcPr>
            <w:tcW w:w="645" w:type="pct"/>
            <w:shd w:val="clear" w:color="auto" w:fill="auto"/>
          </w:tcPr>
          <w:p w14:paraId="054D5CDB" w14:textId="77777777" w:rsidR="00BC2F05" w:rsidRPr="00BD681D" w:rsidRDefault="00772FB6" w:rsidP="00976665">
            <w:pPr>
              <w:pStyle w:val="TableText"/>
            </w:pPr>
            <w:r w:rsidRPr="008C0879">
              <w:t>Assessment not required</w:t>
            </w:r>
          </w:p>
        </w:tc>
        <w:tc>
          <w:tcPr>
            <w:tcW w:w="706" w:type="pct"/>
          </w:tcPr>
          <w:p w14:paraId="03F003B2" w14:textId="77777777" w:rsidR="00BC2F05" w:rsidRDefault="00772FB6" w:rsidP="00976665">
            <w:pPr>
              <w:pStyle w:val="TableText"/>
            </w:pPr>
            <w:r w:rsidRPr="008C0879">
              <w:t>Assessment not required</w:t>
            </w:r>
          </w:p>
        </w:tc>
        <w:tc>
          <w:tcPr>
            <w:tcW w:w="700" w:type="pct"/>
            <w:shd w:val="clear" w:color="auto" w:fill="auto"/>
          </w:tcPr>
          <w:p w14:paraId="29CA77BE" w14:textId="77777777" w:rsidR="00BC2F05" w:rsidRPr="00BD681D" w:rsidRDefault="00772FB6" w:rsidP="00976665">
            <w:pPr>
              <w:pStyle w:val="TableText"/>
            </w:pPr>
            <w:r w:rsidRPr="008C0879">
              <w:t>Assessment not required</w:t>
            </w:r>
          </w:p>
        </w:tc>
        <w:tc>
          <w:tcPr>
            <w:tcW w:w="701" w:type="pct"/>
            <w:shd w:val="clear" w:color="auto" w:fill="auto"/>
          </w:tcPr>
          <w:p w14:paraId="576070B7" w14:textId="77777777" w:rsidR="00BC2F05" w:rsidRPr="00BD681D" w:rsidRDefault="00772FB6" w:rsidP="00976665">
            <w:pPr>
              <w:pStyle w:val="TableText"/>
            </w:pPr>
            <w:r w:rsidRPr="008C0879">
              <w:t>Assessment not required</w:t>
            </w:r>
          </w:p>
        </w:tc>
        <w:tc>
          <w:tcPr>
            <w:tcW w:w="500" w:type="pct"/>
            <w:gridSpan w:val="2"/>
            <w:shd w:val="clear" w:color="auto" w:fill="auto"/>
          </w:tcPr>
          <w:p w14:paraId="29D0FB44" w14:textId="77777777" w:rsidR="00BC2F05" w:rsidRPr="00BD681D" w:rsidRDefault="00772FB6" w:rsidP="00976665">
            <w:pPr>
              <w:pStyle w:val="TableText"/>
            </w:pPr>
            <w:r>
              <w:t>No</w:t>
            </w:r>
          </w:p>
        </w:tc>
      </w:tr>
      <w:tr w:rsidR="00C80041" w14:paraId="0087C0DE" w14:textId="77777777" w:rsidTr="003754F5">
        <w:trPr>
          <w:trHeight w:val="75"/>
          <w:jc w:val="center"/>
        </w:trPr>
        <w:tc>
          <w:tcPr>
            <w:tcW w:w="799" w:type="pct"/>
            <w:shd w:val="clear" w:color="auto" w:fill="auto"/>
          </w:tcPr>
          <w:p w14:paraId="4015CA0A" w14:textId="77777777" w:rsidR="00BC2F05" w:rsidRDefault="00772FB6" w:rsidP="00976665">
            <w:pPr>
              <w:pStyle w:val="TableText"/>
              <w:rPr>
                <w:color w:val="000000" w:themeColor="text1"/>
                <w:lang w:val="pt-BR"/>
              </w:rPr>
            </w:pPr>
            <w:r w:rsidRPr="005356B0">
              <w:rPr>
                <w:i/>
                <w:lang w:val="pt-BR"/>
              </w:rPr>
              <w:t>Aspergillus awamori</w:t>
            </w:r>
            <w:r>
              <w:rPr>
                <w:i/>
                <w:lang w:val="pt-BR"/>
              </w:rPr>
              <w:t xml:space="preserve"> </w:t>
            </w:r>
            <w:r>
              <w:rPr>
                <w:color w:val="000000" w:themeColor="text1"/>
                <w:lang w:val="pt-BR"/>
              </w:rPr>
              <w:t>Nakaz.</w:t>
            </w:r>
          </w:p>
          <w:p w14:paraId="1EF4C896" w14:textId="77777777" w:rsidR="00BC2F05" w:rsidRPr="00B106EF" w:rsidRDefault="00772FB6" w:rsidP="00976665">
            <w:pPr>
              <w:pStyle w:val="TableText"/>
              <w:rPr>
                <w:color w:val="000000" w:themeColor="text1"/>
              </w:rPr>
            </w:pPr>
            <w:r>
              <w:t xml:space="preserve">Synonym: </w:t>
            </w:r>
            <w:r w:rsidRPr="00A80F7F">
              <w:rPr>
                <w:i/>
                <w:iCs/>
              </w:rPr>
              <w:t xml:space="preserve">Aspergillus </w:t>
            </w:r>
            <w:proofErr w:type="spellStart"/>
            <w:r w:rsidRPr="00A80F7F">
              <w:rPr>
                <w:i/>
                <w:iCs/>
              </w:rPr>
              <w:t>niger</w:t>
            </w:r>
            <w:proofErr w:type="spellEnd"/>
            <w:r w:rsidRPr="00A80F7F">
              <w:rPr>
                <w:i/>
                <w:iCs/>
              </w:rPr>
              <w:t xml:space="preserve"> var. awamor</w:t>
            </w:r>
            <w:r>
              <w:rPr>
                <w:i/>
                <w:iCs/>
              </w:rPr>
              <w:t xml:space="preserve">i </w:t>
            </w:r>
            <w:r>
              <w:t>(</w:t>
            </w:r>
            <w:proofErr w:type="spellStart"/>
            <w:r>
              <w:t>Nakaz</w:t>
            </w:r>
            <w:proofErr w:type="spellEnd"/>
            <w:r>
              <w:t>.) Al-Musallam</w:t>
            </w:r>
          </w:p>
          <w:p w14:paraId="2FBFEC00" w14:textId="77777777" w:rsidR="00BC2F05" w:rsidRPr="006C5743" w:rsidRDefault="00772FB6" w:rsidP="00976665">
            <w:pPr>
              <w:pStyle w:val="TableText"/>
            </w:pPr>
            <w:r>
              <w:rPr>
                <w:color w:val="000000" w:themeColor="text1"/>
                <w:lang w:val="pt-BR"/>
              </w:rPr>
              <w:t>[Eurotiales: Trichocomaceae]</w:t>
            </w:r>
          </w:p>
        </w:tc>
        <w:tc>
          <w:tcPr>
            <w:tcW w:w="450" w:type="pct"/>
            <w:shd w:val="clear" w:color="auto" w:fill="auto"/>
          </w:tcPr>
          <w:p w14:paraId="70CD76BE" w14:textId="77777777" w:rsidR="00BC2F05" w:rsidRPr="00BD681D" w:rsidRDefault="00772FB6" w:rsidP="00976665">
            <w:pPr>
              <w:pStyle w:val="TableText"/>
              <w:rPr>
                <w:lang w:val="pt-BR"/>
              </w:rPr>
            </w:pPr>
            <w:r>
              <w:rPr>
                <w:lang w:val="pt-BR"/>
              </w:rPr>
              <w:t xml:space="preserve">Yes </w:t>
            </w:r>
            <w:r>
              <w:rPr>
                <w:noProof/>
                <w:lang w:val="pt-BR"/>
              </w:rPr>
              <w:t>(Hipol et al. 2014)</w:t>
            </w:r>
          </w:p>
        </w:tc>
        <w:tc>
          <w:tcPr>
            <w:tcW w:w="499" w:type="pct"/>
            <w:shd w:val="clear" w:color="auto" w:fill="auto"/>
          </w:tcPr>
          <w:p w14:paraId="15514073" w14:textId="77777777" w:rsidR="00BC2F05" w:rsidRPr="00BD681D" w:rsidRDefault="00772FB6" w:rsidP="00976665">
            <w:pPr>
              <w:pStyle w:val="TableText"/>
              <w:rPr>
                <w:szCs w:val="16"/>
              </w:rPr>
            </w:pPr>
            <w:r>
              <w:rPr>
                <w:szCs w:val="16"/>
              </w:rPr>
              <w:t xml:space="preserve">Yes. WA </w:t>
            </w:r>
            <w:r>
              <w:rPr>
                <w:noProof/>
              </w:rPr>
              <w:t>(Leong 2005)</w:t>
            </w:r>
          </w:p>
        </w:tc>
        <w:tc>
          <w:tcPr>
            <w:tcW w:w="645" w:type="pct"/>
            <w:shd w:val="clear" w:color="auto" w:fill="auto"/>
          </w:tcPr>
          <w:p w14:paraId="69224521" w14:textId="77777777" w:rsidR="00BC2F05" w:rsidRPr="00BD681D" w:rsidRDefault="00772FB6" w:rsidP="00976665">
            <w:pPr>
              <w:pStyle w:val="TableText"/>
            </w:pPr>
            <w:r w:rsidRPr="008C0879">
              <w:t>Assessment not required</w:t>
            </w:r>
          </w:p>
        </w:tc>
        <w:tc>
          <w:tcPr>
            <w:tcW w:w="706" w:type="pct"/>
          </w:tcPr>
          <w:p w14:paraId="62C2FC85" w14:textId="77777777" w:rsidR="00BC2F05" w:rsidRDefault="00772FB6" w:rsidP="00976665">
            <w:pPr>
              <w:pStyle w:val="TableText"/>
            </w:pPr>
            <w:r w:rsidRPr="008C0879">
              <w:t>Assessment not required</w:t>
            </w:r>
          </w:p>
        </w:tc>
        <w:tc>
          <w:tcPr>
            <w:tcW w:w="700" w:type="pct"/>
            <w:shd w:val="clear" w:color="auto" w:fill="auto"/>
          </w:tcPr>
          <w:p w14:paraId="6D5E6BFB" w14:textId="77777777" w:rsidR="00BC2F05" w:rsidRPr="00BD681D" w:rsidRDefault="00772FB6" w:rsidP="00976665">
            <w:pPr>
              <w:pStyle w:val="TableText"/>
            </w:pPr>
            <w:r w:rsidRPr="008C0879">
              <w:t>Assessment not required</w:t>
            </w:r>
          </w:p>
        </w:tc>
        <w:tc>
          <w:tcPr>
            <w:tcW w:w="701" w:type="pct"/>
            <w:shd w:val="clear" w:color="auto" w:fill="auto"/>
          </w:tcPr>
          <w:p w14:paraId="5A616B14" w14:textId="77777777" w:rsidR="00BC2F05" w:rsidRPr="00BD681D" w:rsidRDefault="00772FB6" w:rsidP="00976665">
            <w:pPr>
              <w:pStyle w:val="TableText"/>
            </w:pPr>
            <w:r w:rsidRPr="008C0879">
              <w:t>Assessment not required</w:t>
            </w:r>
          </w:p>
        </w:tc>
        <w:tc>
          <w:tcPr>
            <w:tcW w:w="500" w:type="pct"/>
            <w:gridSpan w:val="2"/>
            <w:shd w:val="clear" w:color="auto" w:fill="auto"/>
          </w:tcPr>
          <w:p w14:paraId="6655B182" w14:textId="77777777" w:rsidR="00BC2F05" w:rsidRPr="00BD681D" w:rsidRDefault="00772FB6" w:rsidP="00976665">
            <w:pPr>
              <w:pStyle w:val="TableText"/>
            </w:pPr>
            <w:r>
              <w:t>No</w:t>
            </w:r>
          </w:p>
        </w:tc>
      </w:tr>
      <w:tr w:rsidR="00C80041" w14:paraId="3326273A" w14:textId="77777777" w:rsidTr="003754F5">
        <w:trPr>
          <w:trHeight w:val="75"/>
          <w:jc w:val="center"/>
        </w:trPr>
        <w:tc>
          <w:tcPr>
            <w:tcW w:w="799" w:type="pct"/>
            <w:shd w:val="clear" w:color="auto" w:fill="auto"/>
          </w:tcPr>
          <w:p w14:paraId="72FEA2B1" w14:textId="77777777" w:rsidR="00BC2F05" w:rsidRPr="006C5743" w:rsidRDefault="00772FB6" w:rsidP="00976665">
            <w:pPr>
              <w:pStyle w:val="TableText"/>
              <w:rPr>
                <w:color w:val="000000" w:themeColor="text1"/>
                <w:lang w:val="pt-BR"/>
              </w:rPr>
            </w:pPr>
            <w:r>
              <w:rPr>
                <w:i/>
                <w:color w:val="000000" w:themeColor="text1"/>
                <w:lang w:val="pt-BR"/>
              </w:rPr>
              <w:t xml:space="preserve">Aspergillus clavatus </w:t>
            </w:r>
            <w:r>
              <w:rPr>
                <w:color w:val="000000" w:themeColor="text1"/>
                <w:lang w:val="pt-BR"/>
              </w:rPr>
              <w:t xml:space="preserve">Desm. </w:t>
            </w:r>
          </w:p>
          <w:p w14:paraId="2DB45A49" w14:textId="77777777" w:rsidR="00BC2F05" w:rsidRPr="006C5743" w:rsidRDefault="00772FB6" w:rsidP="00976665">
            <w:pPr>
              <w:pStyle w:val="TableText"/>
            </w:pPr>
            <w:r>
              <w:rPr>
                <w:color w:val="000000" w:themeColor="text1"/>
                <w:lang w:val="pt-BR"/>
              </w:rPr>
              <w:t>[Eurotiales: Trichocomaceae]</w:t>
            </w:r>
          </w:p>
        </w:tc>
        <w:tc>
          <w:tcPr>
            <w:tcW w:w="450" w:type="pct"/>
            <w:shd w:val="clear" w:color="auto" w:fill="auto"/>
          </w:tcPr>
          <w:p w14:paraId="7AF87CCE" w14:textId="77777777" w:rsidR="00BC2F05" w:rsidRPr="00BD681D" w:rsidRDefault="00772FB6" w:rsidP="00976665">
            <w:pPr>
              <w:pStyle w:val="TableText"/>
              <w:rPr>
                <w:lang w:val="pt-BR"/>
              </w:rPr>
            </w:pPr>
            <w:r>
              <w:rPr>
                <w:lang w:val="pt-BR"/>
              </w:rPr>
              <w:t xml:space="preserve">Yes </w:t>
            </w:r>
            <w:r>
              <w:rPr>
                <w:noProof/>
                <w:lang w:val="pt-BR"/>
              </w:rPr>
              <w:t>(Alvindia, Kobayashi &amp; Tanda 2002; Ebarvia, dela Cruz &amp; dela Cruz 2017)</w:t>
            </w:r>
          </w:p>
        </w:tc>
        <w:tc>
          <w:tcPr>
            <w:tcW w:w="499" w:type="pct"/>
            <w:shd w:val="clear" w:color="auto" w:fill="auto"/>
          </w:tcPr>
          <w:p w14:paraId="29D8E652" w14:textId="77777777" w:rsidR="00BC2F05" w:rsidRPr="00BD681D" w:rsidRDefault="00772FB6" w:rsidP="00976665">
            <w:pPr>
              <w:pStyle w:val="TableText"/>
              <w:rPr>
                <w:szCs w:val="16"/>
              </w:rPr>
            </w:pPr>
            <w:r>
              <w:t xml:space="preserve">Yes. Qld, Vic., WA </w:t>
            </w:r>
            <w:r>
              <w:rPr>
                <w:noProof/>
                <w:szCs w:val="16"/>
              </w:rPr>
              <w:t>(APPD 2022)</w:t>
            </w:r>
          </w:p>
        </w:tc>
        <w:tc>
          <w:tcPr>
            <w:tcW w:w="645" w:type="pct"/>
            <w:shd w:val="clear" w:color="auto" w:fill="auto"/>
          </w:tcPr>
          <w:p w14:paraId="01089875" w14:textId="77777777" w:rsidR="00BC2F05" w:rsidRPr="00BD681D" w:rsidRDefault="00772FB6" w:rsidP="00976665">
            <w:pPr>
              <w:pStyle w:val="TableText"/>
            </w:pPr>
            <w:r w:rsidRPr="00616CE6">
              <w:t>Assessment not required</w:t>
            </w:r>
          </w:p>
        </w:tc>
        <w:tc>
          <w:tcPr>
            <w:tcW w:w="706" w:type="pct"/>
          </w:tcPr>
          <w:p w14:paraId="41CD6A9D" w14:textId="77777777" w:rsidR="00BC2F05" w:rsidRDefault="00772FB6" w:rsidP="00976665">
            <w:pPr>
              <w:pStyle w:val="TableText"/>
            </w:pPr>
            <w:r w:rsidRPr="00616CE6">
              <w:t>Assessment not required</w:t>
            </w:r>
          </w:p>
        </w:tc>
        <w:tc>
          <w:tcPr>
            <w:tcW w:w="700" w:type="pct"/>
            <w:shd w:val="clear" w:color="auto" w:fill="auto"/>
          </w:tcPr>
          <w:p w14:paraId="007FE607" w14:textId="77777777" w:rsidR="00BC2F05" w:rsidRPr="00BD681D" w:rsidRDefault="00772FB6" w:rsidP="00976665">
            <w:pPr>
              <w:pStyle w:val="TableText"/>
            </w:pPr>
            <w:r w:rsidRPr="00616CE6">
              <w:t>Assessment not required</w:t>
            </w:r>
          </w:p>
        </w:tc>
        <w:tc>
          <w:tcPr>
            <w:tcW w:w="701" w:type="pct"/>
            <w:shd w:val="clear" w:color="auto" w:fill="auto"/>
          </w:tcPr>
          <w:p w14:paraId="45A84314" w14:textId="77777777" w:rsidR="00BC2F05" w:rsidRPr="00BD681D" w:rsidRDefault="00772FB6" w:rsidP="00976665">
            <w:pPr>
              <w:pStyle w:val="TableText"/>
            </w:pPr>
            <w:r w:rsidRPr="00616CE6">
              <w:t>Assessment not required</w:t>
            </w:r>
          </w:p>
        </w:tc>
        <w:tc>
          <w:tcPr>
            <w:tcW w:w="500" w:type="pct"/>
            <w:gridSpan w:val="2"/>
            <w:shd w:val="clear" w:color="auto" w:fill="auto"/>
          </w:tcPr>
          <w:p w14:paraId="63223A5F" w14:textId="77777777" w:rsidR="00BC2F05" w:rsidRPr="00BD681D" w:rsidRDefault="00772FB6" w:rsidP="00976665">
            <w:pPr>
              <w:pStyle w:val="TableText"/>
            </w:pPr>
            <w:r>
              <w:t>No</w:t>
            </w:r>
          </w:p>
        </w:tc>
      </w:tr>
      <w:tr w:rsidR="00C80041" w14:paraId="4630EA0E" w14:textId="77777777" w:rsidTr="003754F5">
        <w:trPr>
          <w:trHeight w:val="75"/>
          <w:jc w:val="center"/>
        </w:trPr>
        <w:tc>
          <w:tcPr>
            <w:tcW w:w="799" w:type="pct"/>
            <w:shd w:val="clear" w:color="auto" w:fill="auto"/>
          </w:tcPr>
          <w:p w14:paraId="59BBB84E" w14:textId="77777777" w:rsidR="00BC2F05" w:rsidRPr="006C5743" w:rsidRDefault="00772FB6" w:rsidP="00976665">
            <w:pPr>
              <w:pStyle w:val="TableText"/>
              <w:rPr>
                <w:color w:val="000000" w:themeColor="text1"/>
                <w:lang w:val="pt-BR"/>
              </w:rPr>
            </w:pPr>
            <w:bookmarkStart w:id="239" w:name="_Hlk87011729"/>
            <w:bookmarkStart w:id="240" w:name="_Hlk84860358"/>
            <w:r w:rsidRPr="006D033F">
              <w:rPr>
                <w:i/>
                <w:lang w:val="pt-BR"/>
              </w:rPr>
              <w:t xml:space="preserve">Aspergillus flavus </w:t>
            </w:r>
            <w:r w:rsidRPr="006D033F">
              <w:rPr>
                <w:iCs/>
                <w:lang w:val="pt-BR"/>
              </w:rPr>
              <w:t xml:space="preserve">var. </w:t>
            </w:r>
            <w:r>
              <w:rPr>
                <w:iCs/>
                <w:lang w:val="pt-BR"/>
              </w:rPr>
              <w:t>c</w:t>
            </w:r>
            <w:proofErr w:type="spellStart"/>
            <w:r w:rsidRPr="006D033F">
              <w:rPr>
                <w:i/>
                <w:iCs/>
              </w:rPr>
              <w:t>olumnaris</w:t>
            </w:r>
            <w:bookmarkEnd w:id="239"/>
            <w:bookmarkEnd w:id="240"/>
            <w:proofErr w:type="spellEnd"/>
            <w:r>
              <w:rPr>
                <w:i/>
                <w:lang w:val="pt-BR"/>
              </w:rPr>
              <w:t xml:space="preserve"> </w:t>
            </w:r>
            <w:proofErr w:type="spellStart"/>
            <w:r>
              <w:t>Raper</w:t>
            </w:r>
            <w:proofErr w:type="spellEnd"/>
            <w:r>
              <w:t xml:space="preserve"> &amp; Fennell</w:t>
            </w:r>
          </w:p>
          <w:p w14:paraId="119A792E" w14:textId="77777777" w:rsidR="00BC2F05" w:rsidRPr="006C5743" w:rsidRDefault="00772FB6" w:rsidP="00976665">
            <w:pPr>
              <w:pStyle w:val="TableText"/>
            </w:pPr>
            <w:r>
              <w:t>[</w:t>
            </w:r>
            <w:proofErr w:type="spellStart"/>
            <w:r>
              <w:t>Eurotiales</w:t>
            </w:r>
            <w:proofErr w:type="spellEnd"/>
            <w:r>
              <w:t xml:space="preserve">: </w:t>
            </w:r>
            <w:proofErr w:type="spellStart"/>
            <w:r>
              <w:t>Trichocomaceae</w:t>
            </w:r>
            <w:proofErr w:type="spellEnd"/>
            <w:r>
              <w:t>]</w:t>
            </w:r>
          </w:p>
        </w:tc>
        <w:tc>
          <w:tcPr>
            <w:tcW w:w="450" w:type="pct"/>
            <w:shd w:val="clear" w:color="auto" w:fill="auto"/>
          </w:tcPr>
          <w:p w14:paraId="6E27A250" w14:textId="77777777" w:rsidR="00BC2F05" w:rsidRDefault="00772FB6" w:rsidP="00976665">
            <w:pPr>
              <w:pStyle w:val="TableText"/>
              <w:rPr>
                <w:lang w:val="pt-BR"/>
              </w:rPr>
            </w:pPr>
            <w:r>
              <w:rPr>
                <w:lang w:val="pt-BR"/>
              </w:rPr>
              <w:t xml:space="preserve">Yes </w:t>
            </w:r>
            <w:r>
              <w:rPr>
                <w:noProof/>
                <w:lang w:val="pt-BR"/>
              </w:rPr>
              <w:t>(Diamante 1986)</w:t>
            </w:r>
          </w:p>
          <w:p w14:paraId="018AD7A5" w14:textId="77777777" w:rsidR="00BC2F05" w:rsidRPr="00BD681D" w:rsidRDefault="00BC2F05" w:rsidP="00976665">
            <w:pPr>
              <w:pStyle w:val="TableText"/>
              <w:rPr>
                <w:lang w:val="pt-BR"/>
              </w:rPr>
            </w:pPr>
          </w:p>
        </w:tc>
        <w:tc>
          <w:tcPr>
            <w:tcW w:w="499" w:type="pct"/>
            <w:shd w:val="clear" w:color="auto" w:fill="auto"/>
          </w:tcPr>
          <w:p w14:paraId="467F7CBA" w14:textId="77777777" w:rsidR="00BC2F05" w:rsidRPr="00BD681D" w:rsidRDefault="00772FB6" w:rsidP="00976665">
            <w:pPr>
              <w:pStyle w:val="TableText"/>
              <w:rPr>
                <w:szCs w:val="16"/>
              </w:rPr>
            </w:pPr>
            <w:r>
              <w:t xml:space="preserve">No records found for this variant, but </w:t>
            </w:r>
            <w:r w:rsidRPr="00813365">
              <w:rPr>
                <w:i/>
                <w:iCs/>
              </w:rPr>
              <w:t xml:space="preserve">A. flavus </w:t>
            </w:r>
            <w:r>
              <w:t xml:space="preserve">is recorded in NSW, NT, Qld, Vic., WA </w:t>
            </w:r>
            <w:r>
              <w:rPr>
                <w:noProof/>
                <w:szCs w:val="16"/>
              </w:rPr>
              <w:t xml:space="preserve">(APPD 2022; Government of Western </w:t>
            </w:r>
            <w:r>
              <w:rPr>
                <w:noProof/>
                <w:szCs w:val="16"/>
              </w:rPr>
              <w:lastRenderedPageBreak/>
              <w:t>Australia 2022)</w:t>
            </w:r>
          </w:p>
        </w:tc>
        <w:tc>
          <w:tcPr>
            <w:tcW w:w="645" w:type="pct"/>
            <w:shd w:val="clear" w:color="auto" w:fill="auto"/>
          </w:tcPr>
          <w:p w14:paraId="23E0D6B9" w14:textId="77777777" w:rsidR="00BC2F05" w:rsidRPr="00BD681D" w:rsidRDefault="00772FB6" w:rsidP="00976665">
            <w:pPr>
              <w:pStyle w:val="TableText"/>
            </w:pPr>
            <w:r>
              <w:lastRenderedPageBreak/>
              <w:t xml:space="preserve">No. There has been only one report of this pest on the fruit of dragon fruit </w:t>
            </w:r>
            <w:r>
              <w:rPr>
                <w:noProof/>
              </w:rPr>
              <w:t>(Le et al. 2000)</w:t>
            </w:r>
            <w:r>
              <w:t xml:space="preserve">. This quality assurance system report incidentally lists </w:t>
            </w:r>
            <w:proofErr w:type="gramStart"/>
            <w:r>
              <w:t>a number of</w:t>
            </w:r>
            <w:proofErr w:type="gramEnd"/>
            <w:r>
              <w:t xml:space="preserve"> fungi found on the stored fruit used in the </w:t>
            </w:r>
            <w:r>
              <w:lastRenderedPageBreak/>
              <w:t xml:space="preserve">study. There is no other evidence supporting </w:t>
            </w:r>
            <w:r w:rsidRPr="0046337A">
              <w:rPr>
                <w:i/>
                <w:iCs/>
              </w:rPr>
              <w:t xml:space="preserve">Aspergillus flavus var. </w:t>
            </w:r>
            <w:proofErr w:type="spellStart"/>
            <w:r w:rsidRPr="0046337A">
              <w:rPr>
                <w:i/>
                <w:iCs/>
              </w:rPr>
              <w:t>columnaris</w:t>
            </w:r>
            <w:proofErr w:type="spellEnd"/>
            <w:r>
              <w:t xml:space="preserve"> being a pest of dragon fruit. </w:t>
            </w:r>
            <w:r w:rsidRPr="006D033F">
              <w:rPr>
                <w:i/>
                <w:iCs/>
              </w:rPr>
              <w:t>Aspergillus</w:t>
            </w:r>
            <w:r>
              <w:t xml:space="preserve"> spp. are spoilage fungi that occur on damaged fruit </w:t>
            </w:r>
            <w:r>
              <w:rPr>
                <w:noProof/>
              </w:rPr>
              <w:t>(Pitt &amp; Hocking 2009)</w:t>
            </w:r>
            <w:r>
              <w:t xml:space="preserve">. </w:t>
            </w:r>
          </w:p>
        </w:tc>
        <w:tc>
          <w:tcPr>
            <w:tcW w:w="706" w:type="pct"/>
          </w:tcPr>
          <w:p w14:paraId="039A2C69" w14:textId="77777777" w:rsidR="00BC2F05" w:rsidRDefault="00772FB6" w:rsidP="00976665">
            <w:pPr>
              <w:pStyle w:val="TableText"/>
            </w:pPr>
            <w:r w:rsidRPr="00DD2BD1">
              <w:lastRenderedPageBreak/>
              <w:t>Assessment not required</w:t>
            </w:r>
          </w:p>
        </w:tc>
        <w:tc>
          <w:tcPr>
            <w:tcW w:w="700" w:type="pct"/>
            <w:shd w:val="clear" w:color="auto" w:fill="auto"/>
          </w:tcPr>
          <w:p w14:paraId="4CA66A45" w14:textId="77777777" w:rsidR="00BC2F05" w:rsidRPr="00BD681D" w:rsidRDefault="00772FB6" w:rsidP="00976665">
            <w:pPr>
              <w:pStyle w:val="TableText"/>
            </w:pPr>
            <w:r w:rsidRPr="00DD2BD1">
              <w:t>Assessment not required</w:t>
            </w:r>
          </w:p>
        </w:tc>
        <w:tc>
          <w:tcPr>
            <w:tcW w:w="701" w:type="pct"/>
            <w:shd w:val="clear" w:color="auto" w:fill="auto"/>
          </w:tcPr>
          <w:p w14:paraId="2747C6C3" w14:textId="77777777" w:rsidR="00BC2F05" w:rsidRPr="00BD681D" w:rsidRDefault="00772FB6" w:rsidP="00976665">
            <w:pPr>
              <w:pStyle w:val="TableText"/>
            </w:pPr>
            <w:r w:rsidRPr="00DD2BD1">
              <w:t>Assessment not required</w:t>
            </w:r>
          </w:p>
        </w:tc>
        <w:tc>
          <w:tcPr>
            <w:tcW w:w="500" w:type="pct"/>
            <w:gridSpan w:val="2"/>
            <w:shd w:val="clear" w:color="auto" w:fill="auto"/>
          </w:tcPr>
          <w:p w14:paraId="07A0FDAF" w14:textId="77777777" w:rsidR="00BC2F05" w:rsidRPr="00BD681D" w:rsidRDefault="00772FB6" w:rsidP="00976665">
            <w:pPr>
              <w:pStyle w:val="TableText"/>
            </w:pPr>
            <w:r>
              <w:t>No</w:t>
            </w:r>
          </w:p>
        </w:tc>
      </w:tr>
      <w:tr w:rsidR="00C80041" w14:paraId="0DE6AD23" w14:textId="77777777" w:rsidTr="003754F5">
        <w:trPr>
          <w:trHeight w:val="75"/>
          <w:jc w:val="center"/>
        </w:trPr>
        <w:tc>
          <w:tcPr>
            <w:tcW w:w="799" w:type="pct"/>
            <w:shd w:val="clear" w:color="auto" w:fill="auto"/>
          </w:tcPr>
          <w:p w14:paraId="5D8FFFDD" w14:textId="77777777" w:rsidR="00BC2F05" w:rsidRPr="006C5743" w:rsidRDefault="00772FB6" w:rsidP="00976665">
            <w:pPr>
              <w:pStyle w:val="TableText"/>
              <w:rPr>
                <w:color w:val="000000" w:themeColor="text1"/>
                <w:lang w:val="pt-BR"/>
              </w:rPr>
            </w:pPr>
            <w:r>
              <w:rPr>
                <w:i/>
                <w:color w:val="000000" w:themeColor="text1"/>
                <w:lang w:val="pt-BR"/>
              </w:rPr>
              <w:t xml:space="preserve">Aspergillus fumigatus </w:t>
            </w:r>
            <w:r>
              <w:rPr>
                <w:color w:val="000000" w:themeColor="text1"/>
                <w:lang w:val="pt-BR"/>
              </w:rPr>
              <w:t>Fresen.</w:t>
            </w:r>
          </w:p>
          <w:p w14:paraId="7857A6E3" w14:textId="77777777" w:rsidR="00BC2F05" w:rsidRPr="006C5743" w:rsidRDefault="00772FB6" w:rsidP="00976665">
            <w:pPr>
              <w:pStyle w:val="TableText"/>
            </w:pPr>
            <w:r>
              <w:rPr>
                <w:color w:val="000000" w:themeColor="text1"/>
                <w:lang w:val="pt-BR"/>
              </w:rPr>
              <w:t>[Eurotiales: Trichocomaceae]</w:t>
            </w:r>
          </w:p>
        </w:tc>
        <w:tc>
          <w:tcPr>
            <w:tcW w:w="450" w:type="pct"/>
            <w:shd w:val="clear" w:color="auto" w:fill="auto"/>
          </w:tcPr>
          <w:p w14:paraId="55AA37FE" w14:textId="77777777" w:rsidR="00BC2F05" w:rsidRPr="00BD681D" w:rsidRDefault="00772FB6" w:rsidP="00976665">
            <w:pPr>
              <w:pStyle w:val="TableText"/>
              <w:rPr>
                <w:lang w:val="pt-BR"/>
              </w:rPr>
            </w:pPr>
            <w:r>
              <w:rPr>
                <w:lang w:val="pt-BR"/>
              </w:rPr>
              <w:t xml:space="preserve">Yes </w:t>
            </w:r>
            <w:r>
              <w:rPr>
                <w:noProof/>
                <w:lang w:val="pt-BR"/>
              </w:rPr>
              <w:t>(Alvindia, Kobayashi &amp; Tanda 2002; Tepora 2019)</w:t>
            </w:r>
          </w:p>
        </w:tc>
        <w:tc>
          <w:tcPr>
            <w:tcW w:w="499" w:type="pct"/>
            <w:shd w:val="clear" w:color="auto" w:fill="auto"/>
          </w:tcPr>
          <w:p w14:paraId="7E32E9E8" w14:textId="77777777" w:rsidR="00BC2F05" w:rsidRPr="00BD681D" w:rsidRDefault="00772FB6" w:rsidP="00976665">
            <w:pPr>
              <w:pStyle w:val="TableText"/>
              <w:rPr>
                <w:szCs w:val="16"/>
              </w:rPr>
            </w:pPr>
            <w:r>
              <w:t xml:space="preserve">Yes. NSW, Qld, WA </w:t>
            </w:r>
            <w:r>
              <w:rPr>
                <w:noProof/>
                <w:szCs w:val="16"/>
              </w:rPr>
              <w:t>(APPD 2022)</w:t>
            </w:r>
          </w:p>
        </w:tc>
        <w:tc>
          <w:tcPr>
            <w:tcW w:w="645" w:type="pct"/>
            <w:shd w:val="clear" w:color="auto" w:fill="auto"/>
          </w:tcPr>
          <w:p w14:paraId="024452EF" w14:textId="77777777" w:rsidR="00BC2F05" w:rsidRPr="00BD681D" w:rsidRDefault="00772FB6" w:rsidP="00976665">
            <w:pPr>
              <w:pStyle w:val="TableText"/>
            </w:pPr>
            <w:r w:rsidRPr="00103231">
              <w:t>Assessment not required</w:t>
            </w:r>
          </w:p>
        </w:tc>
        <w:tc>
          <w:tcPr>
            <w:tcW w:w="706" w:type="pct"/>
          </w:tcPr>
          <w:p w14:paraId="122E52CC" w14:textId="77777777" w:rsidR="00BC2F05" w:rsidRDefault="00772FB6" w:rsidP="00976665">
            <w:pPr>
              <w:pStyle w:val="TableText"/>
            </w:pPr>
            <w:r w:rsidRPr="00103231">
              <w:t>Assessment not required</w:t>
            </w:r>
          </w:p>
        </w:tc>
        <w:tc>
          <w:tcPr>
            <w:tcW w:w="700" w:type="pct"/>
            <w:shd w:val="clear" w:color="auto" w:fill="auto"/>
          </w:tcPr>
          <w:p w14:paraId="162B29E4" w14:textId="77777777" w:rsidR="00BC2F05" w:rsidRPr="00BD681D" w:rsidRDefault="00772FB6" w:rsidP="00976665">
            <w:pPr>
              <w:pStyle w:val="TableText"/>
            </w:pPr>
            <w:r w:rsidRPr="00103231">
              <w:t>Assessment not required</w:t>
            </w:r>
          </w:p>
        </w:tc>
        <w:tc>
          <w:tcPr>
            <w:tcW w:w="701" w:type="pct"/>
            <w:shd w:val="clear" w:color="auto" w:fill="auto"/>
          </w:tcPr>
          <w:p w14:paraId="10F2C8C7" w14:textId="77777777" w:rsidR="00BC2F05" w:rsidRPr="00BD681D" w:rsidRDefault="00772FB6" w:rsidP="00976665">
            <w:pPr>
              <w:pStyle w:val="TableText"/>
            </w:pPr>
            <w:r w:rsidRPr="00103231">
              <w:t>Assessment not required</w:t>
            </w:r>
          </w:p>
        </w:tc>
        <w:tc>
          <w:tcPr>
            <w:tcW w:w="500" w:type="pct"/>
            <w:gridSpan w:val="2"/>
            <w:shd w:val="clear" w:color="auto" w:fill="auto"/>
          </w:tcPr>
          <w:p w14:paraId="4D0D2F91" w14:textId="77777777" w:rsidR="00BC2F05" w:rsidRPr="00BD681D" w:rsidRDefault="00772FB6" w:rsidP="00976665">
            <w:pPr>
              <w:pStyle w:val="TableText"/>
            </w:pPr>
            <w:r>
              <w:t>No</w:t>
            </w:r>
          </w:p>
        </w:tc>
      </w:tr>
      <w:tr w:rsidR="00C80041" w14:paraId="7C792838" w14:textId="77777777" w:rsidTr="003754F5">
        <w:trPr>
          <w:trHeight w:val="75"/>
          <w:jc w:val="center"/>
        </w:trPr>
        <w:tc>
          <w:tcPr>
            <w:tcW w:w="799" w:type="pct"/>
            <w:shd w:val="clear" w:color="auto" w:fill="auto"/>
          </w:tcPr>
          <w:p w14:paraId="658CDAEC" w14:textId="77777777" w:rsidR="00BC2F05" w:rsidRPr="006C5743" w:rsidRDefault="00772FB6" w:rsidP="00976665">
            <w:pPr>
              <w:pStyle w:val="TableText"/>
              <w:rPr>
                <w:color w:val="000000" w:themeColor="text1"/>
                <w:lang w:val="pt-BR"/>
              </w:rPr>
            </w:pPr>
            <w:r>
              <w:rPr>
                <w:i/>
                <w:color w:val="000000" w:themeColor="text1"/>
                <w:lang w:val="pt-BR"/>
              </w:rPr>
              <w:t xml:space="preserve">Aspergillus niger </w:t>
            </w:r>
            <w:r>
              <w:rPr>
                <w:color w:val="000000" w:themeColor="text1"/>
                <w:lang w:val="pt-BR"/>
              </w:rPr>
              <w:t>Tiegh.</w:t>
            </w:r>
          </w:p>
          <w:p w14:paraId="67B78D50" w14:textId="77777777" w:rsidR="00BC2F05" w:rsidRPr="00E53740" w:rsidRDefault="00772FB6" w:rsidP="00976665">
            <w:pPr>
              <w:pStyle w:val="TableText"/>
            </w:pPr>
            <w:r>
              <w:rPr>
                <w:color w:val="000000" w:themeColor="text1"/>
                <w:lang w:val="pt-BR"/>
              </w:rPr>
              <w:t>[Eurotiales: Trichocomaceae]</w:t>
            </w:r>
          </w:p>
          <w:p w14:paraId="07B52064" w14:textId="77777777" w:rsidR="00BC2F05" w:rsidRPr="00E53740" w:rsidRDefault="00772FB6" w:rsidP="00976665">
            <w:pPr>
              <w:pStyle w:val="TableText"/>
              <w:rPr>
                <w:color w:val="000000" w:themeColor="text1"/>
                <w:lang w:val="pt-BR"/>
              </w:rPr>
            </w:pPr>
            <w:r>
              <w:rPr>
                <w:color w:val="000000" w:themeColor="text1"/>
                <w:lang w:val="pt-BR"/>
              </w:rPr>
              <w:t>Collar rot</w:t>
            </w:r>
          </w:p>
        </w:tc>
        <w:tc>
          <w:tcPr>
            <w:tcW w:w="450" w:type="pct"/>
            <w:shd w:val="clear" w:color="auto" w:fill="auto"/>
          </w:tcPr>
          <w:p w14:paraId="4AA84623" w14:textId="77777777" w:rsidR="00BC2F05" w:rsidRPr="00BD681D" w:rsidRDefault="00772FB6" w:rsidP="00976665">
            <w:pPr>
              <w:pStyle w:val="TableText"/>
              <w:rPr>
                <w:lang w:val="pt-BR"/>
              </w:rPr>
            </w:pPr>
            <w:r>
              <w:rPr>
                <w:lang w:val="pt-BR"/>
              </w:rPr>
              <w:t xml:space="preserve">Yes </w:t>
            </w:r>
            <w:r>
              <w:rPr>
                <w:noProof/>
                <w:lang w:val="pt-BR"/>
              </w:rPr>
              <w:t>(Alvindia, Kobayashi &amp; Tanda 2002; Ebarvia, dela Cruz &amp; dela Cruz 2017)</w:t>
            </w:r>
          </w:p>
        </w:tc>
        <w:tc>
          <w:tcPr>
            <w:tcW w:w="499" w:type="pct"/>
            <w:shd w:val="clear" w:color="auto" w:fill="auto"/>
          </w:tcPr>
          <w:p w14:paraId="34979431" w14:textId="77777777" w:rsidR="00BC2F05" w:rsidRPr="00BD681D" w:rsidRDefault="00772FB6" w:rsidP="00976665">
            <w:pPr>
              <w:pStyle w:val="TableText"/>
              <w:rPr>
                <w:szCs w:val="16"/>
              </w:rPr>
            </w:pPr>
            <w:r>
              <w:t xml:space="preserve">Yes. NSW, NT, Qld, Vic., WA </w:t>
            </w:r>
            <w:r>
              <w:rPr>
                <w:noProof/>
                <w:szCs w:val="16"/>
              </w:rPr>
              <w:t>(APPD 2022; Government of Western Australia 2022)</w:t>
            </w:r>
          </w:p>
        </w:tc>
        <w:tc>
          <w:tcPr>
            <w:tcW w:w="645" w:type="pct"/>
            <w:shd w:val="clear" w:color="auto" w:fill="auto"/>
          </w:tcPr>
          <w:p w14:paraId="361CEFB9" w14:textId="77777777" w:rsidR="00BC2F05" w:rsidRPr="00BD681D" w:rsidRDefault="00772FB6" w:rsidP="00976665">
            <w:pPr>
              <w:pStyle w:val="TableText"/>
            </w:pPr>
            <w:r w:rsidRPr="00103231">
              <w:t>Assessment not required</w:t>
            </w:r>
          </w:p>
        </w:tc>
        <w:tc>
          <w:tcPr>
            <w:tcW w:w="706" w:type="pct"/>
          </w:tcPr>
          <w:p w14:paraId="0F255078" w14:textId="77777777" w:rsidR="00BC2F05" w:rsidRDefault="00772FB6" w:rsidP="00976665">
            <w:pPr>
              <w:pStyle w:val="TableText"/>
            </w:pPr>
            <w:r w:rsidRPr="00103231">
              <w:t>Assessment not required</w:t>
            </w:r>
          </w:p>
        </w:tc>
        <w:tc>
          <w:tcPr>
            <w:tcW w:w="700" w:type="pct"/>
            <w:shd w:val="clear" w:color="auto" w:fill="auto"/>
          </w:tcPr>
          <w:p w14:paraId="258CD147" w14:textId="77777777" w:rsidR="00BC2F05" w:rsidRPr="00BD681D" w:rsidRDefault="00772FB6" w:rsidP="00976665">
            <w:pPr>
              <w:pStyle w:val="TableText"/>
            </w:pPr>
            <w:r w:rsidRPr="00103231">
              <w:t>Assessment not required</w:t>
            </w:r>
          </w:p>
        </w:tc>
        <w:tc>
          <w:tcPr>
            <w:tcW w:w="701" w:type="pct"/>
            <w:shd w:val="clear" w:color="auto" w:fill="auto"/>
          </w:tcPr>
          <w:p w14:paraId="264567C9" w14:textId="77777777" w:rsidR="00BC2F05" w:rsidRPr="00BD681D" w:rsidRDefault="00772FB6" w:rsidP="00976665">
            <w:pPr>
              <w:pStyle w:val="TableText"/>
            </w:pPr>
            <w:r w:rsidRPr="00103231">
              <w:t>Assessment not required</w:t>
            </w:r>
          </w:p>
        </w:tc>
        <w:tc>
          <w:tcPr>
            <w:tcW w:w="500" w:type="pct"/>
            <w:gridSpan w:val="2"/>
            <w:shd w:val="clear" w:color="auto" w:fill="auto"/>
          </w:tcPr>
          <w:p w14:paraId="4FAB5F70" w14:textId="77777777" w:rsidR="00BC2F05" w:rsidRPr="00BD681D" w:rsidRDefault="00772FB6" w:rsidP="00976665">
            <w:pPr>
              <w:pStyle w:val="TableText"/>
            </w:pPr>
            <w:r>
              <w:t>No</w:t>
            </w:r>
          </w:p>
        </w:tc>
      </w:tr>
      <w:tr w:rsidR="00C80041" w14:paraId="0F724721" w14:textId="77777777" w:rsidTr="003754F5">
        <w:trPr>
          <w:trHeight w:val="75"/>
          <w:jc w:val="center"/>
        </w:trPr>
        <w:tc>
          <w:tcPr>
            <w:tcW w:w="799" w:type="pct"/>
            <w:shd w:val="clear" w:color="auto" w:fill="auto"/>
          </w:tcPr>
          <w:p w14:paraId="4F08F90F" w14:textId="77777777" w:rsidR="00BC2F05" w:rsidRDefault="00772FB6" w:rsidP="00976665">
            <w:pPr>
              <w:pStyle w:val="TableText"/>
              <w:rPr>
                <w:color w:val="000000" w:themeColor="text1"/>
                <w:lang w:val="pt-BR"/>
              </w:rPr>
            </w:pPr>
            <w:r w:rsidRPr="005D615B">
              <w:rPr>
                <w:i/>
                <w:lang w:val="pt-BR"/>
              </w:rPr>
              <w:t>Aspergillus oryzae</w:t>
            </w:r>
            <w:r>
              <w:rPr>
                <w:i/>
                <w:lang w:val="pt-BR"/>
              </w:rPr>
              <w:t xml:space="preserve"> </w:t>
            </w:r>
            <w:r>
              <w:t>(</w:t>
            </w:r>
            <w:proofErr w:type="spellStart"/>
            <w:r>
              <w:t>Ahlb</w:t>
            </w:r>
            <w:proofErr w:type="spellEnd"/>
            <w:r>
              <w:t>.) Cohn</w:t>
            </w:r>
          </w:p>
          <w:p w14:paraId="26479316" w14:textId="77777777" w:rsidR="00BC2F05" w:rsidRPr="00B106EF" w:rsidRDefault="00772FB6" w:rsidP="00976665">
            <w:pPr>
              <w:pStyle w:val="TableText"/>
              <w:rPr>
                <w:color w:val="000000" w:themeColor="text1"/>
              </w:rPr>
            </w:pPr>
            <w:r>
              <w:rPr>
                <w:color w:val="000000" w:themeColor="text1"/>
                <w:lang w:val="pt-BR"/>
              </w:rPr>
              <w:t xml:space="preserve">Synonym: </w:t>
            </w:r>
            <w:r w:rsidRPr="000162FD">
              <w:rPr>
                <w:i/>
                <w:iCs/>
                <w:color w:val="000000" w:themeColor="text1"/>
                <w:lang w:val="pt-BR"/>
              </w:rPr>
              <w:t>Aspergillus flavus var. oryzae</w:t>
            </w:r>
            <w:r w:rsidRPr="000162FD">
              <w:rPr>
                <w:color w:val="000000" w:themeColor="text1"/>
                <w:lang w:val="pt-BR"/>
              </w:rPr>
              <w:t xml:space="preserve"> </w:t>
            </w:r>
            <w:r>
              <w:rPr>
                <w:color w:val="000000" w:themeColor="text1"/>
                <w:lang w:val="pt-BR"/>
              </w:rPr>
              <w:t xml:space="preserve">(Ahlb.) </w:t>
            </w:r>
            <w:r w:rsidRPr="000162FD">
              <w:rPr>
                <w:color w:val="000000" w:themeColor="text1"/>
                <w:lang w:val="pt-BR"/>
              </w:rPr>
              <w:t xml:space="preserve">Kurtzman, M.J. Smiley, Robnett &amp; Wicklow </w:t>
            </w:r>
          </w:p>
          <w:p w14:paraId="22E27648" w14:textId="77777777" w:rsidR="00BC2F05" w:rsidRPr="006C5743" w:rsidRDefault="00772FB6" w:rsidP="00976665">
            <w:pPr>
              <w:pStyle w:val="TableText"/>
            </w:pPr>
            <w:r>
              <w:t>[</w:t>
            </w:r>
            <w:proofErr w:type="spellStart"/>
            <w:r>
              <w:t>Eurotiales</w:t>
            </w:r>
            <w:proofErr w:type="spellEnd"/>
            <w:r>
              <w:t xml:space="preserve">: </w:t>
            </w:r>
            <w:proofErr w:type="spellStart"/>
            <w:r>
              <w:t>Trichocomaceae</w:t>
            </w:r>
            <w:proofErr w:type="spellEnd"/>
            <w:r>
              <w:t>]</w:t>
            </w:r>
          </w:p>
        </w:tc>
        <w:tc>
          <w:tcPr>
            <w:tcW w:w="450" w:type="pct"/>
            <w:shd w:val="clear" w:color="auto" w:fill="auto"/>
          </w:tcPr>
          <w:p w14:paraId="64E05FFA" w14:textId="77777777" w:rsidR="00BC2F05" w:rsidRPr="00BD681D" w:rsidRDefault="00772FB6" w:rsidP="00976665">
            <w:pPr>
              <w:pStyle w:val="TableText"/>
              <w:rPr>
                <w:lang w:val="pt-BR"/>
              </w:rPr>
            </w:pPr>
            <w:r>
              <w:rPr>
                <w:lang w:val="pt-BR"/>
              </w:rPr>
              <w:t xml:space="preserve">Yes </w:t>
            </w:r>
            <w:r>
              <w:rPr>
                <w:noProof/>
                <w:lang w:val="pt-BR"/>
              </w:rPr>
              <w:t>(Ebarvia, dela Cruz &amp; dela Cruz 2017)</w:t>
            </w:r>
          </w:p>
        </w:tc>
        <w:tc>
          <w:tcPr>
            <w:tcW w:w="499" w:type="pct"/>
            <w:shd w:val="clear" w:color="auto" w:fill="auto"/>
          </w:tcPr>
          <w:p w14:paraId="0ECEE007" w14:textId="77777777" w:rsidR="00BC2F05" w:rsidRPr="00BD681D" w:rsidRDefault="00772FB6" w:rsidP="00976665">
            <w:pPr>
              <w:pStyle w:val="TableText"/>
              <w:rPr>
                <w:szCs w:val="16"/>
              </w:rPr>
            </w:pPr>
            <w:r>
              <w:rPr>
                <w:szCs w:val="16"/>
              </w:rPr>
              <w:t xml:space="preserve">Yes. </w:t>
            </w:r>
            <w:r w:rsidRPr="00B83360">
              <w:rPr>
                <w:i/>
                <w:iCs/>
                <w:szCs w:val="16"/>
              </w:rPr>
              <w:t xml:space="preserve">Aspergillus </w:t>
            </w:r>
            <w:proofErr w:type="spellStart"/>
            <w:r w:rsidRPr="00B83360">
              <w:rPr>
                <w:i/>
                <w:iCs/>
                <w:szCs w:val="16"/>
              </w:rPr>
              <w:t>oryzae</w:t>
            </w:r>
            <w:proofErr w:type="spellEnd"/>
            <w:r>
              <w:rPr>
                <w:szCs w:val="16"/>
              </w:rPr>
              <w:t xml:space="preserve"> is listed by the department as an approved </w:t>
            </w:r>
            <w:r w:rsidRPr="00B83360">
              <w:rPr>
                <w:szCs w:val="16"/>
              </w:rPr>
              <w:t>microorganism</w:t>
            </w:r>
            <w:r>
              <w:rPr>
                <w:szCs w:val="16"/>
              </w:rPr>
              <w:t xml:space="preserve"> for use in bio remedial products and </w:t>
            </w:r>
            <w:r>
              <w:rPr>
                <w:szCs w:val="16"/>
              </w:rPr>
              <w:lastRenderedPageBreak/>
              <w:t xml:space="preserve">fertilisers and is therefore assumed to be present throughout Australia </w:t>
            </w:r>
            <w:r>
              <w:rPr>
                <w:noProof/>
                <w:szCs w:val="16"/>
              </w:rPr>
              <w:t>(DAWE 2022)</w:t>
            </w:r>
          </w:p>
        </w:tc>
        <w:tc>
          <w:tcPr>
            <w:tcW w:w="645" w:type="pct"/>
            <w:shd w:val="clear" w:color="auto" w:fill="auto"/>
          </w:tcPr>
          <w:p w14:paraId="317516BB" w14:textId="77777777" w:rsidR="00BC2F05" w:rsidRPr="00BD681D" w:rsidRDefault="00772FB6" w:rsidP="00976665">
            <w:pPr>
              <w:pStyle w:val="TableText"/>
            </w:pPr>
            <w:r w:rsidRPr="00B81BE1">
              <w:lastRenderedPageBreak/>
              <w:t>Assessment not required</w:t>
            </w:r>
          </w:p>
        </w:tc>
        <w:tc>
          <w:tcPr>
            <w:tcW w:w="706" w:type="pct"/>
          </w:tcPr>
          <w:p w14:paraId="73F5C186" w14:textId="77777777" w:rsidR="00BC2F05" w:rsidRDefault="00772FB6" w:rsidP="00976665">
            <w:pPr>
              <w:pStyle w:val="TableText"/>
            </w:pPr>
            <w:r w:rsidRPr="00B81BE1">
              <w:t>Assessment not required</w:t>
            </w:r>
          </w:p>
        </w:tc>
        <w:tc>
          <w:tcPr>
            <w:tcW w:w="700" w:type="pct"/>
            <w:shd w:val="clear" w:color="auto" w:fill="auto"/>
          </w:tcPr>
          <w:p w14:paraId="360E175C" w14:textId="77777777" w:rsidR="00BC2F05" w:rsidRPr="00BD681D" w:rsidRDefault="00772FB6" w:rsidP="00976665">
            <w:pPr>
              <w:pStyle w:val="TableText"/>
            </w:pPr>
            <w:r w:rsidRPr="00B81BE1">
              <w:t>Assessment not required</w:t>
            </w:r>
          </w:p>
        </w:tc>
        <w:tc>
          <w:tcPr>
            <w:tcW w:w="701" w:type="pct"/>
            <w:shd w:val="clear" w:color="auto" w:fill="auto"/>
          </w:tcPr>
          <w:p w14:paraId="55A2EAA1" w14:textId="77777777" w:rsidR="00BC2F05" w:rsidRPr="00BD681D" w:rsidRDefault="00772FB6" w:rsidP="00976665">
            <w:pPr>
              <w:pStyle w:val="TableText"/>
            </w:pPr>
            <w:r w:rsidRPr="00B81BE1">
              <w:t>Assessment not required</w:t>
            </w:r>
          </w:p>
        </w:tc>
        <w:tc>
          <w:tcPr>
            <w:tcW w:w="500" w:type="pct"/>
            <w:gridSpan w:val="2"/>
            <w:shd w:val="clear" w:color="auto" w:fill="auto"/>
          </w:tcPr>
          <w:p w14:paraId="661003E5" w14:textId="77777777" w:rsidR="00BC2F05" w:rsidRPr="00BD681D" w:rsidRDefault="00772FB6" w:rsidP="00976665">
            <w:pPr>
              <w:pStyle w:val="TableText"/>
            </w:pPr>
            <w:r>
              <w:t>No</w:t>
            </w:r>
          </w:p>
        </w:tc>
      </w:tr>
      <w:tr w:rsidR="00C80041" w14:paraId="0AD34B47" w14:textId="77777777" w:rsidTr="003754F5">
        <w:trPr>
          <w:trHeight w:val="75"/>
          <w:jc w:val="center"/>
        </w:trPr>
        <w:tc>
          <w:tcPr>
            <w:tcW w:w="799" w:type="pct"/>
            <w:shd w:val="clear" w:color="auto" w:fill="auto"/>
          </w:tcPr>
          <w:p w14:paraId="2E1F75C9" w14:textId="77777777" w:rsidR="00BC2F05" w:rsidRPr="006C5743" w:rsidRDefault="00772FB6" w:rsidP="00976665">
            <w:pPr>
              <w:pStyle w:val="TableText"/>
              <w:rPr>
                <w:color w:val="000000" w:themeColor="text1"/>
                <w:lang w:val="pt-BR"/>
              </w:rPr>
            </w:pPr>
            <w:bookmarkStart w:id="241" w:name="_Hlk87011935"/>
            <w:r w:rsidRPr="006D033F">
              <w:rPr>
                <w:i/>
                <w:lang w:val="pt-BR"/>
              </w:rPr>
              <w:t>Aspergillus tubingensis</w:t>
            </w:r>
            <w:bookmarkEnd w:id="241"/>
            <w:r>
              <w:rPr>
                <w:i/>
                <w:color w:val="000000" w:themeColor="text1"/>
                <w:lang w:val="pt-BR"/>
              </w:rPr>
              <w:t xml:space="preserve"> </w:t>
            </w:r>
            <w:proofErr w:type="spellStart"/>
            <w:r>
              <w:t>Mosseray</w:t>
            </w:r>
            <w:proofErr w:type="spellEnd"/>
          </w:p>
          <w:p w14:paraId="07F66DB9" w14:textId="77777777" w:rsidR="00BC2F05" w:rsidRPr="006C5743" w:rsidRDefault="00772FB6" w:rsidP="00976665">
            <w:pPr>
              <w:pStyle w:val="TableText"/>
            </w:pPr>
            <w:r>
              <w:rPr>
                <w:color w:val="000000" w:themeColor="text1"/>
                <w:lang w:val="pt-BR"/>
              </w:rPr>
              <w:t>[</w:t>
            </w:r>
            <w:proofErr w:type="spellStart"/>
            <w:r>
              <w:t>Eurotiales</w:t>
            </w:r>
            <w:proofErr w:type="spellEnd"/>
            <w:r>
              <w:t xml:space="preserve">: </w:t>
            </w:r>
            <w:proofErr w:type="spellStart"/>
            <w:r>
              <w:t>Trichocomaceae</w:t>
            </w:r>
            <w:proofErr w:type="spellEnd"/>
            <w:r>
              <w:t>]</w:t>
            </w:r>
          </w:p>
        </w:tc>
        <w:tc>
          <w:tcPr>
            <w:tcW w:w="450" w:type="pct"/>
            <w:shd w:val="clear" w:color="auto" w:fill="auto"/>
          </w:tcPr>
          <w:p w14:paraId="13DC138C" w14:textId="77777777" w:rsidR="00BC2F05" w:rsidRPr="00BD681D" w:rsidRDefault="00772FB6" w:rsidP="00976665">
            <w:pPr>
              <w:pStyle w:val="TableText"/>
              <w:rPr>
                <w:lang w:val="pt-BR"/>
              </w:rPr>
            </w:pPr>
            <w:r>
              <w:rPr>
                <w:lang w:val="pt-BR"/>
              </w:rPr>
              <w:t xml:space="preserve">Yes </w:t>
            </w:r>
            <w:r>
              <w:rPr>
                <w:noProof/>
                <w:lang w:val="pt-BR"/>
              </w:rPr>
              <w:t>(Guerrero et al. 2019)</w:t>
            </w:r>
          </w:p>
        </w:tc>
        <w:tc>
          <w:tcPr>
            <w:tcW w:w="499" w:type="pct"/>
            <w:shd w:val="clear" w:color="auto" w:fill="auto"/>
          </w:tcPr>
          <w:p w14:paraId="7CE6A451" w14:textId="77777777" w:rsidR="00BC2F05" w:rsidRPr="00BD681D" w:rsidRDefault="00772FB6" w:rsidP="00976665">
            <w:pPr>
              <w:pStyle w:val="TableText"/>
              <w:rPr>
                <w:szCs w:val="16"/>
              </w:rPr>
            </w:pPr>
            <w:r>
              <w:rPr>
                <w:szCs w:val="16"/>
              </w:rPr>
              <w:t xml:space="preserve">Yes </w:t>
            </w:r>
            <w:r>
              <w:rPr>
                <w:noProof/>
                <w:szCs w:val="16"/>
              </w:rPr>
              <w:t>(Varga et al. 2004)</w:t>
            </w:r>
          </w:p>
        </w:tc>
        <w:tc>
          <w:tcPr>
            <w:tcW w:w="645" w:type="pct"/>
            <w:shd w:val="clear" w:color="auto" w:fill="auto"/>
          </w:tcPr>
          <w:p w14:paraId="373ABC0D" w14:textId="77777777" w:rsidR="00BC2F05" w:rsidRPr="00BD681D" w:rsidRDefault="00772FB6" w:rsidP="00976665">
            <w:pPr>
              <w:pStyle w:val="TableText"/>
            </w:pPr>
            <w:r>
              <w:t>Assessment not required</w:t>
            </w:r>
          </w:p>
        </w:tc>
        <w:tc>
          <w:tcPr>
            <w:tcW w:w="706" w:type="pct"/>
          </w:tcPr>
          <w:p w14:paraId="634D05AE" w14:textId="77777777" w:rsidR="00BC2F05" w:rsidRDefault="00772FB6" w:rsidP="00976665">
            <w:pPr>
              <w:pStyle w:val="TableText"/>
            </w:pPr>
            <w:r w:rsidRPr="009C54D3">
              <w:t>Assessment not required</w:t>
            </w:r>
          </w:p>
        </w:tc>
        <w:tc>
          <w:tcPr>
            <w:tcW w:w="700" w:type="pct"/>
            <w:shd w:val="clear" w:color="auto" w:fill="auto"/>
          </w:tcPr>
          <w:p w14:paraId="1CDFBE94" w14:textId="77777777" w:rsidR="00BC2F05" w:rsidRPr="00BD681D" w:rsidRDefault="00772FB6" w:rsidP="00976665">
            <w:pPr>
              <w:pStyle w:val="TableText"/>
            </w:pPr>
            <w:r w:rsidRPr="009C54D3">
              <w:t>Assessment not required</w:t>
            </w:r>
          </w:p>
        </w:tc>
        <w:tc>
          <w:tcPr>
            <w:tcW w:w="701" w:type="pct"/>
            <w:shd w:val="clear" w:color="auto" w:fill="auto"/>
          </w:tcPr>
          <w:p w14:paraId="4E9EE97D" w14:textId="77777777" w:rsidR="00BC2F05" w:rsidRPr="00BD681D" w:rsidRDefault="00772FB6" w:rsidP="00976665">
            <w:pPr>
              <w:pStyle w:val="TableText"/>
            </w:pPr>
            <w:r w:rsidRPr="009C54D3">
              <w:t>Assessment not required</w:t>
            </w:r>
          </w:p>
        </w:tc>
        <w:tc>
          <w:tcPr>
            <w:tcW w:w="500" w:type="pct"/>
            <w:gridSpan w:val="2"/>
            <w:shd w:val="clear" w:color="auto" w:fill="auto"/>
          </w:tcPr>
          <w:p w14:paraId="41704351" w14:textId="77777777" w:rsidR="00BC2F05" w:rsidRPr="00BD681D" w:rsidRDefault="00772FB6" w:rsidP="00976665">
            <w:pPr>
              <w:pStyle w:val="TableText"/>
            </w:pPr>
            <w:r>
              <w:t>No</w:t>
            </w:r>
          </w:p>
        </w:tc>
      </w:tr>
      <w:tr w:rsidR="00C80041" w14:paraId="746A040B" w14:textId="77777777" w:rsidTr="003754F5">
        <w:trPr>
          <w:trHeight w:val="75"/>
          <w:jc w:val="center"/>
        </w:trPr>
        <w:tc>
          <w:tcPr>
            <w:tcW w:w="799" w:type="pct"/>
            <w:shd w:val="clear" w:color="auto" w:fill="auto"/>
          </w:tcPr>
          <w:p w14:paraId="66FB95E4" w14:textId="77777777" w:rsidR="00BC2F05" w:rsidRDefault="00772FB6" w:rsidP="00976665">
            <w:pPr>
              <w:pStyle w:val="TableText"/>
              <w:rPr>
                <w:color w:val="000000" w:themeColor="text1"/>
                <w:lang w:val="pt-BR"/>
              </w:rPr>
            </w:pPr>
            <w:r w:rsidRPr="00AA27A9">
              <w:rPr>
                <w:i/>
                <w:color w:val="000000" w:themeColor="text1"/>
                <w:lang w:val="pt-BR"/>
              </w:rPr>
              <w:t>Athelia rolfsii</w:t>
            </w:r>
            <w:r>
              <w:rPr>
                <w:i/>
                <w:color w:val="000000" w:themeColor="text1"/>
                <w:lang w:val="pt-BR"/>
              </w:rPr>
              <w:t xml:space="preserve"> </w:t>
            </w:r>
            <w:r>
              <w:t>(</w:t>
            </w:r>
            <w:proofErr w:type="spellStart"/>
            <w:r>
              <w:t>Curzi</w:t>
            </w:r>
            <w:proofErr w:type="spellEnd"/>
            <w:r>
              <w:t xml:space="preserve">) C. C. Tu &amp; </w:t>
            </w:r>
            <w:proofErr w:type="spellStart"/>
            <w:r>
              <w:t>Kimbr</w:t>
            </w:r>
            <w:proofErr w:type="spellEnd"/>
            <w:r>
              <w:t>.</w:t>
            </w:r>
          </w:p>
          <w:p w14:paraId="5CB24762" w14:textId="77777777" w:rsidR="00BC2F05" w:rsidRPr="00F51195" w:rsidRDefault="00772FB6" w:rsidP="00976665">
            <w:pPr>
              <w:pStyle w:val="TableText"/>
              <w:rPr>
                <w:i/>
                <w:iCs/>
                <w:color w:val="000000" w:themeColor="text1"/>
              </w:rPr>
            </w:pPr>
            <w:r>
              <w:t xml:space="preserve">Synonym: </w:t>
            </w:r>
            <w:r w:rsidRPr="00F51195">
              <w:rPr>
                <w:i/>
                <w:iCs/>
              </w:rPr>
              <w:t xml:space="preserve">Sclerotium </w:t>
            </w:r>
            <w:proofErr w:type="spellStart"/>
            <w:r w:rsidRPr="00F51195">
              <w:rPr>
                <w:i/>
                <w:iCs/>
              </w:rPr>
              <w:t>rolfsii</w:t>
            </w:r>
            <w:proofErr w:type="spellEnd"/>
            <w:r w:rsidRPr="00F51195">
              <w:rPr>
                <w:i/>
                <w:iCs/>
              </w:rPr>
              <w:t xml:space="preserve"> </w:t>
            </w:r>
            <w:proofErr w:type="spellStart"/>
            <w:r w:rsidRPr="00F51195">
              <w:t>Sacc</w:t>
            </w:r>
            <w:proofErr w:type="spellEnd"/>
          </w:p>
          <w:p w14:paraId="3E696899" w14:textId="77777777" w:rsidR="00BC2F05" w:rsidRPr="00E53740" w:rsidRDefault="00772FB6" w:rsidP="00976665">
            <w:pPr>
              <w:pStyle w:val="TableText"/>
            </w:pPr>
            <w:r>
              <w:rPr>
                <w:color w:val="000000" w:themeColor="text1"/>
                <w:lang w:val="pt-BR"/>
              </w:rPr>
              <w:t>[</w:t>
            </w:r>
            <w:proofErr w:type="spellStart"/>
            <w:r>
              <w:t>Atheliales</w:t>
            </w:r>
            <w:proofErr w:type="spellEnd"/>
            <w:r>
              <w:t xml:space="preserve">: </w:t>
            </w:r>
            <w:proofErr w:type="spellStart"/>
            <w:r>
              <w:t>Atheliaceae</w:t>
            </w:r>
            <w:proofErr w:type="spellEnd"/>
            <w:r>
              <w:rPr>
                <w:color w:val="000000" w:themeColor="text1"/>
                <w:lang w:val="pt-BR"/>
              </w:rPr>
              <w:t>]</w:t>
            </w:r>
          </w:p>
          <w:p w14:paraId="6CDE81EE" w14:textId="77777777" w:rsidR="00BC2F05" w:rsidRPr="00E53740" w:rsidRDefault="00772FB6" w:rsidP="00976665">
            <w:pPr>
              <w:pStyle w:val="TableText"/>
              <w:rPr>
                <w:color w:val="000000" w:themeColor="text1"/>
                <w:lang w:val="pt-BR"/>
              </w:rPr>
            </w:pPr>
            <w:r>
              <w:t>Sclerotium rot</w:t>
            </w:r>
          </w:p>
        </w:tc>
        <w:tc>
          <w:tcPr>
            <w:tcW w:w="450" w:type="pct"/>
            <w:shd w:val="clear" w:color="auto" w:fill="auto"/>
          </w:tcPr>
          <w:p w14:paraId="2F2B8B30" w14:textId="77777777" w:rsidR="00BC2F05" w:rsidRPr="00BD681D" w:rsidRDefault="00772FB6" w:rsidP="00976665">
            <w:pPr>
              <w:pStyle w:val="TableText"/>
              <w:rPr>
                <w:lang w:val="pt-BR"/>
              </w:rPr>
            </w:pPr>
            <w:r>
              <w:rPr>
                <w:lang w:val="pt-BR"/>
              </w:rPr>
              <w:t xml:space="preserve">Yes </w:t>
            </w:r>
            <w:r>
              <w:rPr>
                <w:noProof/>
                <w:lang w:val="pt-BR"/>
              </w:rPr>
              <w:t>(Acabal et al. 2019)</w:t>
            </w:r>
          </w:p>
        </w:tc>
        <w:tc>
          <w:tcPr>
            <w:tcW w:w="499" w:type="pct"/>
            <w:shd w:val="clear" w:color="auto" w:fill="auto"/>
          </w:tcPr>
          <w:p w14:paraId="34877081" w14:textId="77777777" w:rsidR="00BC2F05" w:rsidRPr="00BD681D" w:rsidRDefault="00772FB6" w:rsidP="00976665">
            <w:pPr>
              <w:pStyle w:val="TableText"/>
              <w:rPr>
                <w:szCs w:val="16"/>
              </w:rPr>
            </w:pPr>
            <w:r>
              <w:t xml:space="preserve">Yes. NSW, NT, Qld, SA, Vic., WA </w:t>
            </w:r>
            <w:r>
              <w:rPr>
                <w:noProof/>
                <w:szCs w:val="16"/>
              </w:rPr>
              <w:t>(APPD 2022)</w:t>
            </w:r>
          </w:p>
        </w:tc>
        <w:tc>
          <w:tcPr>
            <w:tcW w:w="645" w:type="pct"/>
            <w:shd w:val="clear" w:color="auto" w:fill="auto"/>
          </w:tcPr>
          <w:p w14:paraId="4AF3C3F4" w14:textId="77777777" w:rsidR="00BC2F05" w:rsidRPr="00BD681D" w:rsidRDefault="00772FB6" w:rsidP="00976665">
            <w:pPr>
              <w:pStyle w:val="TableText"/>
            </w:pPr>
            <w:r w:rsidRPr="0062461A">
              <w:t>Assessment not required</w:t>
            </w:r>
          </w:p>
        </w:tc>
        <w:tc>
          <w:tcPr>
            <w:tcW w:w="706" w:type="pct"/>
          </w:tcPr>
          <w:p w14:paraId="04B13F3C" w14:textId="77777777" w:rsidR="00BC2F05" w:rsidRDefault="00772FB6" w:rsidP="00976665">
            <w:pPr>
              <w:pStyle w:val="TableText"/>
            </w:pPr>
            <w:r w:rsidRPr="0062461A">
              <w:t>Assessment not required</w:t>
            </w:r>
          </w:p>
        </w:tc>
        <w:tc>
          <w:tcPr>
            <w:tcW w:w="700" w:type="pct"/>
            <w:shd w:val="clear" w:color="auto" w:fill="auto"/>
          </w:tcPr>
          <w:p w14:paraId="1ED3A13D" w14:textId="77777777" w:rsidR="00BC2F05" w:rsidRPr="00BD681D" w:rsidRDefault="00772FB6" w:rsidP="00976665">
            <w:pPr>
              <w:pStyle w:val="TableText"/>
            </w:pPr>
            <w:r w:rsidRPr="0062461A">
              <w:t>Assessment not required</w:t>
            </w:r>
          </w:p>
        </w:tc>
        <w:tc>
          <w:tcPr>
            <w:tcW w:w="701" w:type="pct"/>
            <w:shd w:val="clear" w:color="auto" w:fill="auto"/>
          </w:tcPr>
          <w:p w14:paraId="37DD5CBB" w14:textId="77777777" w:rsidR="00BC2F05" w:rsidRPr="00BD681D" w:rsidRDefault="00772FB6" w:rsidP="00976665">
            <w:pPr>
              <w:pStyle w:val="TableText"/>
            </w:pPr>
            <w:r w:rsidRPr="0062461A">
              <w:t>Assessment not required</w:t>
            </w:r>
          </w:p>
        </w:tc>
        <w:tc>
          <w:tcPr>
            <w:tcW w:w="500" w:type="pct"/>
            <w:gridSpan w:val="2"/>
            <w:shd w:val="clear" w:color="auto" w:fill="auto"/>
          </w:tcPr>
          <w:p w14:paraId="423B34EB" w14:textId="77777777" w:rsidR="00BC2F05" w:rsidRPr="00BD681D" w:rsidRDefault="00772FB6" w:rsidP="00976665">
            <w:pPr>
              <w:pStyle w:val="TableText"/>
            </w:pPr>
            <w:r>
              <w:t>No</w:t>
            </w:r>
          </w:p>
        </w:tc>
      </w:tr>
      <w:tr w:rsidR="00C80041" w14:paraId="33A1F734" w14:textId="77777777" w:rsidTr="003754F5">
        <w:trPr>
          <w:trHeight w:val="75"/>
          <w:jc w:val="center"/>
        </w:trPr>
        <w:tc>
          <w:tcPr>
            <w:tcW w:w="799" w:type="pct"/>
            <w:shd w:val="clear" w:color="auto" w:fill="auto"/>
          </w:tcPr>
          <w:p w14:paraId="222A10AF" w14:textId="77777777" w:rsidR="00BC2F05" w:rsidRPr="00F51195" w:rsidRDefault="00772FB6" w:rsidP="00976665">
            <w:pPr>
              <w:pStyle w:val="TableText"/>
              <w:rPr>
                <w:i/>
                <w:iCs/>
                <w:color w:val="000000" w:themeColor="text1"/>
              </w:rPr>
            </w:pPr>
            <w:r w:rsidRPr="009E4073">
              <w:rPr>
                <w:i/>
                <w:color w:val="000000" w:themeColor="text1"/>
                <w:lang w:val="pt-BR"/>
              </w:rPr>
              <w:t>Aureobasidium pullulans</w:t>
            </w:r>
            <w:r>
              <w:rPr>
                <w:i/>
                <w:color w:val="000000" w:themeColor="text1"/>
                <w:lang w:val="pt-BR"/>
              </w:rPr>
              <w:t xml:space="preserve"> </w:t>
            </w:r>
            <w:r w:rsidRPr="009E4073">
              <w:t xml:space="preserve">(de </w:t>
            </w:r>
            <w:proofErr w:type="spellStart"/>
            <w:r w:rsidRPr="009E4073">
              <w:t>Bary</w:t>
            </w:r>
            <w:proofErr w:type="spellEnd"/>
            <w:r w:rsidRPr="009E4073">
              <w:t>)</w:t>
            </w:r>
            <w:r>
              <w:t xml:space="preserve"> G. </w:t>
            </w:r>
            <w:r w:rsidRPr="009E4073">
              <w:t>Arnaud</w:t>
            </w:r>
          </w:p>
          <w:p w14:paraId="42CED8A0" w14:textId="77777777" w:rsidR="00BC2F05" w:rsidRPr="009E4073" w:rsidRDefault="00772FB6" w:rsidP="00976665">
            <w:pPr>
              <w:pStyle w:val="TableText"/>
            </w:pPr>
            <w:r>
              <w:rPr>
                <w:color w:val="000000" w:themeColor="text1"/>
                <w:lang w:val="pt-BR"/>
              </w:rPr>
              <w:t>[</w:t>
            </w:r>
            <w:proofErr w:type="spellStart"/>
            <w:r>
              <w:t>Dothideales</w:t>
            </w:r>
            <w:proofErr w:type="spellEnd"/>
            <w:r>
              <w:t xml:space="preserve">: </w:t>
            </w:r>
            <w:proofErr w:type="spellStart"/>
            <w:r>
              <w:t>Saccotheciaceae</w:t>
            </w:r>
            <w:proofErr w:type="spellEnd"/>
            <w:r>
              <w:rPr>
                <w:color w:val="000000" w:themeColor="text1"/>
                <w:lang w:val="pt-BR"/>
              </w:rPr>
              <w:t>]</w:t>
            </w:r>
          </w:p>
        </w:tc>
        <w:tc>
          <w:tcPr>
            <w:tcW w:w="450" w:type="pct"/>
            <w:shd w:val="clear" w:color="auto" w:fill="auto"/>
          </w:tcPr>
          <w:p w14:paraId="14593DCE" w14:textId="77777777" w:rsidR="00BC2F05" w:rsidRPr="00BD681D" w:rsidRDefault="00772FB6" w:rsidP="00976665">
            <w:pPr>
              <w:pStyle w:val="TableText"/>
              <w:rPr>
                <w:lang w:val="pt-BR"/>
              </w:rPr>
            </w:pPr>
            <w:r>
              <w:rPr>
                <w:lang w:val="pt-BR"/>
              </w:rPr>
              <w:t xml:space="preserve">Yes </w:t>
            </w:r>
            <w:r>
              <w:rPr>
                <w:noProof/>
                <w:lang w:val="pt-BR"/>
              </w:rPr>
              <w:t>(Horváth et al. 2020)</w:t>
            </w:r>
          </w:p>
        </w:tc>
        <w:tc>
          <w:tcPr>
            <w:tcW w:w="499" w:type="pct"/>
            <w:shd w:val="clear" w:color="auto" w:fill="auto"/>
          </w:tcPr>
          <w:p w14:paraId="3EA4CCD8" w14:textId="77777777" w:rsidR="00BC2F05" w:rsidRPr="00BD681D" w:rsidRDefault="00772FB6" w:rsidP="00976665">
            <w:pPr>
              <w:pStyle w:val="TableText"/>
              <w:rPr>
                <w:szCs w:val="16"/>
              </w:rPr>
            </w:pPr>
            <w:r>
              <w:t xml:space="preserve">Yes. NSW, Qld, SA, Vic., Tas., WA </w:t>
            </w:r>
            <w:r>
              <w:rPr>
                <w:noProof/>
                <w:szCs w:val="16"/>
              </w:rPr>
              <w:t>(APPD 2022; Government of Western Australia 2022)</w:t>
            </w:r>
          </w:p>
        </w:tc>
        <w:tc>
          <w:tcPr>
            <w:tcW w:w="645" w:type="pct"/>
            <w:shd w:val="clear" w:color="auto" w:fill="auto"/>
          </w:tcPr>
          <w:p w14:paraId="53535F79" w14:textId="77777777" w:rsidR="00BC2F05" w:rsidRPr="00BD681D" w:rsidRDefault="00772FB6" w:rsidP="00976665">
            <w:pPr>
              <w:pStyle w:val="TableText"/>
            </w:pPr>
            <w:r w:rsidRPr="0062461A">
              <w:t>Assessment not required</w:t>
            </w:r>
          </w:p>
        </w:tc>
        <w:tc>
          <w:tcPr>
            <w:tcW w:w="706" w:type="pct"/>
          </w:tcPr>
          <w:p w14:paraId="4082791A" w14:textId="77777777" w:rsidR="00BC2F05" w:rsidRDefault="00772FB6" w:rsidP="00976665">
            <w:pPr>
              <w:pStyle w:val="TableText"/>
            </w:pPr>
            <w:r w:rsidRPr="0062461A">
              <w:t>Assessment not required</w:t>
            </w:r>
          </w:p>
        </w:tc>
        <w:tc>
          <w:tcPr>
            <w:tcW w:w="700" w:type="pct"/>
            <w:shd w:val="clear" w:color="auto" w:fill="auto"/>
          </w:tcPr>
          <w:p w14:paraId="686CB39C" w14:textId="77777777" w:rsidR="00BC2F05" w:rsidRPr="00BD681D" w:rsidRDefault="00772FB6" w:rsidP="00976665">
            <w:pPr>
              <w:pStyle w:val="TableText"/>
            </w:pPr>
            <w:r w:rsidRPr="0062461A">
              <w:t>Assessment not required</w:t>
            </w:r>
          </w:p>
        </w:tc>
        <w:tc>
          <w:tcPr>
            <w:tcW w:w="701" w:type="pct"/>
            <w:shd w:val="clear" w:color="auto" w:fill="auto"/>
          </w:tcPr>
          <w:p w14:paraId="2D33475B" w14:textId="77777777" w:rsidR="00BC2F05" w:rsidRPr="00BD681D" w:rsidRDefault="00772FB6" w:rsidP="00976665">
            <w:pPr>
              <w:pStyle w:val="TableText"/>
            </w:pPr>
            <w:r w:rsidRPr="0062461A">
              <w:t>Assessment not required</w:t>
            </w:r>
          </w:p>
        </w:tc>
        <w:tc>
          <w:tcPr>
            <w:tcW w:w="500" w:type="pct"/>
            <w:gridSpan w:val="2"/>
            <w:shd w:val="clear" w:color="auto" w:fill="auto"/>
          </w:tcPr>
          <w:p w14:paraId="2345462D" w14:textId="77777777" w:rsidR="00BC2F05" w:rsidRPr="00BD681D" w:rsidRDefault="00772FB6" w:rsidP="00976665">
            <w:pPr>
              <w:pStyle w:val="TableText"/>
            </w:pPr>
            <w:r>
              <w:t>No</w:t>
            </w:r>
          </w:p>
        </w:tc>
      </w:tr>
      <w:tr w:rsidR="00C80041" w14:paraId="42DF9834" w14:textId="77777777" w:rsidTr="003754F5">
        <w:trPr>
          <w:trHeight w:val="75"/>
          <w:jc w:val="center"/>
        </w:trPr>
        <w:tc>
          <w:tcPr>
            <w:tcW w:w="799" w:type="pct"/>
            <w:shd w:val="clear" w:color="auto" w:fill="auto"/>
          </w:tcPr>
          <w:p w14:paraId="67954AF9" w14:textId="77777777" w:rsidR="00BC2F05" w:rsidRPr="006C5743" w:rsidRDefault="00772FB6" w:rsidP="00976665">
            <w:pPr>
              <w:pStyle w:val="TableText"/>
              <w:rPr>
                <w:color w:val="000000" w:themeColor="text1"/>
                <w:lang w:val="pt-BR"/>
              </w:rPr>
            </w:pPr>
            <w:r w:rsidRPr="00DC153B">
              <w:rPr>
                <w:i/>
                <w:color w:val="000000" w:themeColor="text1"/>
                <w:lang w:val="pt-BR"/>
              </w:rPr>
              <w:t>Botrytis cinerea</w:t>
            </w:r>
            <w:r>
              <w:rPr>
                <w:i/>
                <w:color w:val="000000" w:themeColor="text1"/>
                <w:lang w:val="pt-BR"/>
              </w:rPr>
              <w:t xml:space="preserve"> </w:t>
            </w:r>
            <w:r>
              <w:rPr>
                <w:color w:val="000000" w:themeColor="text1"/>
                <w:lang w:val="pt-BR"/>
              </w:rPr>
              <w:t xml:space="preserve">Pers. </w:t>
            </w:r>
          </w:p>
          <w:p w14:paraId="656A1E6D" w14:textId="77777777" w:rsidR="00BC2F05" w:rsidRPr="00E53740" w:rsidRDefault="00772FB6" w:rsidP="00976665">
            <w:pPr>
              <w:pStyle w:val="TableText"/>
            </w:pPr>
            <w:r>
              <w:rPr>
                <w:color w:val="000000" w:themeColor="text1"/>
                <w:lang w:val="pt-BR"/>
              </w:rPr>
              <w:t>[</w:t>
            </w:r>
            <w:proofErr w:type="spellStart"/>
            <w:r>
              <w:t>Helotiales</w:t>
            </w:r>
            <w:proofErr w:type="spellEnd"/>
            <w:r>
              <w:t xml:space="preserve">: </w:t>
            </w:r>
            <w:proofErr w:type="spellStart"/>
            <w:r>
              <w:t>Screotiniaceae</w:t>
            </w:r>
            <w:proofErr w:type="spellEnd"/>
            <w:r>
              <w:t>]</w:t>
            </w:r>
          </w:p>
          <w:p w14:paraId="331E31FC" w14:textId="77777777" w:rsidR="00BC2F05" w:rsidRPr="00E53740" w:rsidRDefault="00772FB6" w:rsidP="00976665">
            <w:pPr>
              <w:pStyle w:val="TableText"/>
              <w:rPr>
                <w:color w:val="000000" w:themeColor="text1"/>
                <w:lang w:val="pt-BR"/>
              </w:rPr>
            </w:pPr>
            <w:r>
              <w:rPr>
                <w:color w:val="000000" w:themeColor="text1"/>
                <w:lang w:val="pt-BR"/>
              </w:rPr>
              <w:t>Grey mould</w:t>
            </w:r>
          </w:p>
        </w:tc>
        <w:tc>
          <w:tcPr>
            <w:tcW w:w="450" w:type="pct"/>
            <w:shd w:val="clear" w:color="auto" w:fill="auto"/>
          </w:tcPr>
          <w:p w14:paraId="28706A17" w14:textId="77777777" w:rsidR="00BC2F05" w:rsidRPr="00BD681D" w:rsidRDefault="00772FB6" w:rsidP="00976665">
            <w:pPr>
              <w:pStyle w:val="TableText"/>
              <w:rPr>
                <w:lang w:val="pt-BR"/>
              </w:rPr>
            </w:pPr>
            <w:r>
              <w:rPr>
                <w:lang w:val="pt-BR"/>
              </w:rPr>
              <w:t xml:space="preserve">Yes </w:t>
            </w:r>
            <w:r>
              <w:rPr>
                <w:noProof/>
                <w:lang w:val="pt-BR"/>
              </w:rPr>
              <w:t>(Yap &amp; Halos 1995)</w:t>
            </w:r>
          </w:p>
        </w:tc>
        <w:tc>
          <w:tcPr>
            <w:tcW w:w="499" w:type="pct"/>
            <w:shd w:val="clear" w:color="auto" w:fill="auto"/>
          </w:tcPr>
          <w:p w14:paraId="7BA2AA27" w14:textId="77777777" w:rsidR="00BC2F05" w:rsidRPr="00BD681D" w:rsidRDefault="00772FB6" w:rsidP="00976665">
            <w:pPr>
              <w:pStyle w:val="TableText"/>
              <w:rPr>
                <w:szCs w:val="16"/>
              </w:rPr>
            </w:pPr>
            <w:r>
              <w:t xml:space="preserve">Yes. NSW, Qld, SA, Tas., Vic., WA </w:t>
            </w:r>
            <w:r>
              <w:rPr>
                <w:noProof/>
                <w:szCs w:val="16"/>
              </w:rPr>
              <w:t>(APPD 2022)</w:t>
            </w:r>
          </w:p>
        </w:tc>
        <w:tc>
          <w:tcPr>
            <w:tcW w:w="645" w:type="pct"/>
            <w:shd w:val="clear" w:color="auto" w:fill="auto"/>
          </w:tcPr>
          <w:p w14:paraId="2A66840B" w14:textId="77777777" w:rsidR="00BC2F05" w:rsidRPr="00BD681D" w:rsidRDefault="00772FB6" w:rsidP="00976665">
            <w:pPr>
              <w:pStyle w:val="TableText"/>
            </w:pPr>
            <w:r w:rsidRPr="0062461A">
              <w:t>Assessment not required</w:t>
            </w:r>
          </w:p>
        </w:tc>
        <w:tc>
          <w:tcPr>
            <w:tcW w:w="706" w:type="pct"/>
          </w:tcPr>
          <w:p w14:paraId="39E466CC" w14:textId="77777777" w:rsidR="00BC2F05" w:rsidRDefault="00772FB6" w:rsidP="00976665">
            <w:pPr>
              <w:pStyle w:val="TableText"/>
            </w:pPr>
            <w:r w:rsidRPr="0062461A">
              <w:t>Assessment not required</w:t>
            </w:r>
          </w:p>
        </w:tc>
        <w:tc>
          <w:tcPr>
            <w:tcW w:w="700" w:type="pct"/>
            <w:shd w:val="clear" w:color="auto" w:fill="auto"/>
          </w:tcPr>
          <w:p w14:paraId="0A4880EC" w14:textId="77777777" w:rsidR="00BC2F05" w:rsidRPr="00BD681D" w:rsidRDefault="00772FB6" w:rsidP="00976665">
            <w:pPr>
              <w:pStyle w:val="TableText"/>
            </w:pPr>
            <w:r w:rsidRPr="0062461A">
              <w:t>Assessment not required</w:t>
            </w:r>
          </w:p>
        </w:tc>
        <w:tc>
          <w:tcPr>
            <w:tcW w:w="701" w:type="pct"/>
            <w:shd w:val="clear" w:color="auto" w:fill="auto"/>
          </w:tcPr>
          <w:p w14:paraId="1A8684ED" w14:textId="77777777" w:rsidR="00BC2F05" w:rsidRPr="00BD681D" w:rsidRDefault="00772FB6" w:rsidP="00976665">
            <w:pPr>
              <w:pStyle w:val="TableText"/>
            </w:pPr>
            <w:r w:rsidRPr="0062461A">
              <w:t>Assessment not required</w:t>
            </w:r>
          </w:p>
        </w:tc>
        <w:tc>
          <w:tcPr>
            <w:tcW w:w="500" w:type="pct"/>
            <w:gridSpan w:val="2"/>
            <w:shd w:val="clear" w:color="auto" w:fill="auto"/>
          </w:tcPr>
          <w:p w14:paraId="35A62B80" w14:textId="77777777" w:rsidR="00BC2F05" w:rsidRPr="00BD681D" w:rsidRDefault="00772FB6" w:rsidP="00976665">
            <w:pPr>
              <w:pStyle w:val="TableText"/>
            </w:pPr>
            <w:r>
              <w:t>No</w:t>
            </w:r>
          </w:p>
        </w:tc>
      </w:tr>
      <w:tr w:rsidR="00C80041" w14:paraId="2A83C797" w14:textId="77777777" w:rsidTr="003754F5">
        <w:trPr>
          <w:trHeight w:val="75"/>
          <w:jc w:val="center"/>
        </w:trPr>
        <w:tc>
          <w:tcPr>
            <w:tcW w:w="799" w:type="pct"/>
            <w:shd w:val="clear" w:color="auto" w:fill="auto"/>
          </w:tcPr>
          <w:p w14:paraId="16DEE067" w14:textId="77777777" w:rsidR="00BC2F05" w:rsidRPr="006C5743" w:rsidRDefault="00772FB6" w:rsidP="00976665">
            <w:pPr>
              <w:pStyle w:val="TableText"/>
              <w:rPr>
                <w:color w:val="000000" w:themeColor="text1"/>
                <w:lang w:val="pt-BR"/>
              </w:rPr>
            </w:pPr>
            <w:r>
              <w:rPr>
                <w:i/>
                <w:color w:val="000000" w:themeColor="text1"/>
                <w:lang w:val="pt-BR"/>
              </w:rPr>
              <w:lastRenderedPageBreak/>
              <w:t>Botryosphaeria</w:t>
            </w:r>
            <w:r w:rsidRPr="00DC153B">
              <w:rPr>
                <w:i/>
                <w:color w:val="000000" w:themeColor="text1"/>
                <w:lang w:val="pt-BR"/>
              </w:rPr>
              <w:t xml:space="preserve"> </w:t>
            </w:r>
            <w:r w:rsidRPr="00D8273E">
              <w:rPr>
                <w:i/>
                <w:color w:val="000000" w:themeColor="text1"/>
                <w:lang w:val="pt-BR"/>
              </w:rPr>
              <w:t>dothidea</w:t>
            </w:r>
            <w:r>
              <w:rPr>
                <w:i/>
                <w:color w:val="000000" w:themeColor="text1"/>
                <w:lang w:val="pt-BR"/>
              </w:rPr>
              <w:t xml:space="preserve"> </w:t>
            </w:r>
            <w:r w:rsidRPr="00D8273E">
              <w:rPr>
                <w:color w:val="000000" w:themeColor="text1"/>
                <w:lang w:val="pt-BR"/>
              </w:rPr>
              <w:t>(Moug</w:t>
            </w:r>
            <w:r>
              <w:rPr>
                <w:color w:val="000000" w:themeColor="text1"/>
                <w:lang w:val="pt-BR"/>
              </w:rPr>
              <w:t>.</w:t>
            </w:r>
            <w:r w:rsidRPr="00D8273E">
              <w:rPr>
                <w:color w:val="000000" w:themeColor="text1"/>
                <w:lang w:val="pt-BR"/>
              </w:rPr>
              <w:t xml:space="preserve">) </w:t>
            </w:r>
            <w:r>
              <w:rPr>
                <w:color w:val="000000" w:themeColor="text1"/>
                <w:lang w:val="pt-BR"/>
              </w:rPr>
              <w:t xml:space="preserve">Ces. &amp; De Not. </w:t>
            </w:r>
          </w:p>
          <w:p w14:paraId="7F539D44" w14:textId="77777777" w:rsidR="00BC2F05" w:rsidRPr="00D8273E" w:rsidRDefault="00772FB6" w:rsidP="00976665">
            <w:pPr>
              <w:pStyle w:val="TableText"/>
            </w:pPr>
            <w:r>
              <w:rPr>
                <w:color w:val="000000" w:themeColor="text1"/>
                <w:lang w:val="pt-BR"/>
              </w:rPr>
              <w:t>[</w:t>
            </w:r>
            <w:proofErr w:type="spellStart"/>
            <w:r w:rsidRPr="00D8273E">
              <w:t>Botryosphaeriales</w:t>
            </w:r>
            <w:proofErr w:type="spellEnd"/>
            <w:r w:rsidRPr="00D8273E">
              <w:t xml:space="preserve">: </w:t>
            </w:r>
            <w:proofErr w:type="spellStart"/>
            <w:r w:rsidRPr="00D8273E">
              <w:t>Botryosphaeriaceae</w:t>
            </w:r>
            <w:proofErr w:type="spellEnd"/>
            <w:r w:rsidRPr="00D8273E">
              <w:t>]</w:t>
            </w:r>
          </w:p>
        </w:tc>
        <w:tc>
          <w:tcPr>
            <w:tcW w:w="450" w:type="pct"/>
            <w:shd w:val="clear" w:color="auto" w:fill="auto"/>
          </w:tcPr>
          <w:p w14:paraId="45C52F57" w14:textId="77777777" w:rsidR="00BC2F05" w:rsidRPr="00BD681D" w:rsidRDefault="00772FB6" w:rsidP="00976665">
            <w:pPr>
              <w:pStyle w:val="TableText"/>
              <w:rPr>
                <w:lang w:val="pt-BR"/>
              </w:rPr>
            </w:pPr>
            <w:r>
              <w:rPr>
                <w:lang w:val="pt-BR"/>
              </w:rPr>
              <w:t xml:space="preserve">Yes </w:t>
            </w:r>
            <w:r>
              <w:rPr>
                <w:noProof/>
                <w:lang w:val="pt-BR"/>
              </w:rPr>
              <w:t>(Kobayashi &amp; De Guzman 1988)</w:t>
            </w:r>
          </w:p>
        </w:tc>
        <w:tc>
          <w:tcPr>
            <w:tcW w:w="499" w:type="pct"/>
            <w:shd w:val="clear" w:color="auto" w:fill="auto"/>
          </w:tcPr>
          <w:p w14:paraId="38B5FD57" w14:textId="77777777" w:rsidR="00BC2F05" w:rsidRPr="00BD681D" w:rsidRDefault="00772FB6" w:rsidP="00976665">
            <w:pPr>
              <w:pStyle w:val="TableText"/>
              <w:rPr>
                <w:szCs w:val="16"/>
              </w:rPr>
            </w:pPr>
            <w:r>
              <w:t xml:space="preserve">Yes. NSW, Qld, Vic., WA </w:t>
            </w:r>
            <w:r>
              <w:rPr>
                <w:noProof/>
                <w:szCs w:val="16"/>
              </w:rPr>
              <w:t>(APPD 2022)</w:t>
            </w:r>
            <w:r>
              <w:t xml:space="preserve"> </w:t>
            </w:r>
          </w:p>
        </w:tc>
        <w:tc>
          <w:tcPr>
            <w:tcW w:w="645" w:type="pct"/>
            <w:shd w:val="clear" w:color="auto" w:fill="auto"/>
          </w:tcPr>
          <w:p w14:paraId="38C4B930" w14:textId="77777777" w:rsidR="00BC2F05" w:rsidRPr="00BD681D" w:rsidRDefault="00772FB6" w:rsidP="00976665">
            <w:pPr>
              <w:pStyle w:val="TableText"/>
            </w:pPr>
            <w:r w:rsidRPr="00FF241B">
              <w:t>Assessment not required</w:t>
            </w:r>
          </w:p>
        </w:tc>
        <w:tc>
          <w:tcPr>
            <w:tcW w:w="706" w:type="pct"/>
          </w:tcPr>
          <w:p w14:paraId="6E014452" w14:textId="77777777" w:rsidR="00BC2F05" w:rsidRDefault="00772FB6" w:rsidP="00976665">
            <w:pPr>
              <w:pStyle w:val="TableText"/>
            </w:pPr>
            <w:r w:rsidRPr="00FF241B">
              <w:t>Assessment not required</w:t>
            </w:r>
          </w:p>
        </w:tc>
        <w:tc>
          <w:tcPr>
            <w:tcW w:w="700" w:type="pct"/>
            <w:shd w:val="clear" w:color="auto" w:fill="auto"/>
          </w:tcPr>
          <w:p w14:paraId="41A6EE7B" w14:textId="77777777" w:rsidR="00BC2F05" w:rsidRPr="00BD681D" w:rsidRDefault="00772FB6" w:rsidP="00976665">
            <w:pPr>
              <w:pStyle w:val="TableText"/>
            </w:pPr>
            <w:r w:rsidRPr="00FF241B">
              <w:t>Assessment not required</w:t>
            </w:r>
          </w:p>
        </w:tc>
        <w:tc>
          <w:tcPr>
            <w:tcW w:w="701" w:type="pct"/>
            <w:shd w:val="clear" w:color="auto" w:fill="auto"/>
          </w:tcPr>
          <w:p w14:paraId="3C17C5B7" w14:textId="77777777" w:rsidR="00BC2F05" w:rsidRPr="00BD681D" w:rsidRDefault="00772FB6" w:rsidP="00976665">
            <w:pPr>
              <w:pStyle w:val="TableText"/>
            </w:pPr>
            <w:r w:rsidRPr="00FF241B">
              <w:t>Assessment not required</w:t>
            </w:r>
          </w:p>
        </w:tc>
        <w:tc>
          <w:tcPr>
            <w:tcW w:w="500" w:type="pct"/>
            <w:gridSpan w:val="2"/>
            <w:shd w:val="clear" w:color="auto" w:fill="auto"/>
          </w:tcPr>
          <w:p w14:paraId="7708DFEF" w14:textId="77777777" w:rsidR="00BC2F05" w:rsidRPr="00BD681D" w:rsidRDefault="00772FB6" w:rsidP="00976665">
            <w:pPr>
              <w:pStyle w:val="TableText"/>
            </w:pPr>
            <w:r>
              <w:t>No</w:t>
            </w:r>
          </w:p>
        </w:tc>
      </w:tr>
      <w:tr w:rsidR="00C80041" w14:paraId="2BE9EA64" w14:textId="77777777" w:rsidTr="003754F5">
        <w:trPr>
          <w:trHeight w:val="75"/>
          <w:jc w:val="center"/>
        </w:trPr>
        <w:tc>
          <w:tcPr>
            <w:tcW w:w="799" w:type="pct"/>
            <w:shd w:val="clear" w:color="auto" w:fill="auto"/>
          </w:tcPr>
          <w:p w14:paraId="1C8CB7C3" w14:textId="77777777" w:rsidR="00BC2F05" w:rsidRPr="008D71E6" w:rsidRDefault="00772FB6" w:rsidP="00976665">
            <w:pPr>
              <w:pStyle w:val="TableText"/>
              <w:rPr>
                <w:color w:val="000000" w:themeColor="text1"/>
                <w:lang w:val="pt-BR"/>
              </w:rPr>
            </w:pPr>
            <w:bookmarkStart w:id="242" w:name="_Hlk87012016"/>
            <w:r w:rsidRPr="00DC153B">
              <w:rPr>
                <w:i/>
                <w:color w:val="000000" w:themeColor="text1"/>
                <w:lang w:val="pt-BR"/>
              </w:rPr>
              <w:t>Cladosporium herbarum</w:t>
            </w:r>
            <w:bookmarkEnd w:id="242"/>
            <w:r>
              <w:rPr>
                <w:i/>
                <w:color w:val="000000" w:themeColor="text1"/>
                <w:lang w:val="pt-BR"/>
              </w:rPr>
              <w:t xml:space="preserve"> </w:t>
            </w:r>
            <w:r>
              <w:rPr>
                <w:color w:val="000000" w:themeColor="text1"/>
                <w:lang w:val="pt-BR"/>
              </w:rPr>
              <w:t>(Pers.) Link</w:t>
            </w:r>
          </w:p>
          <w:p w14:paraId="5D726764" w14:textId="77777777" w:rsidR="00BC2F05" w:rsidRPr="008D71E6" w:rsidRDefault="00772FB6" w:rsidP="00976665">
            <w:pPr>
              <w:pStyle w:val="TableText"/>
            </w:pPr>
            <w:r>
              <w:rPr>
                <w:color w:val="000000" w:themeColor="text1"/>
                <w:lang w:val="pt-BR"/>
              </w:rPr>
              <w:t>[</w:t>
            </w:r>
            <w:proofErr w:type="spellStart"/>
            <w:r>
              <w:t>Capnodiales</w:t>
            </w:r>
            <w:proofErr w:type="spellEnd"/>
            <w:r>
              <w:t xml:space="preserve">: </w:t>
            </w:r>
            <w:proofErr w:type="spellStart"/>
            <w:r>
              <w:t>Cladosporiaceae</w:t>
            </w:r>
            <w:proofErr w:type="spellEnd"/>
            <w:r>
              <w:t>]</w:t>
            </w:r>
          </w:p>
        </w:tc>
        <w:tc>
          <w:tcPr>
            <w:tcW w:w="450" w:type="pct"/>
            <w:shd w:val="clear" w:color="auto" w:fill="auto"/>
          </w:tcPr>
          <w:p w14:paraId="08F53FF9" w14:textId="77777777" w:rsidR="00BC2F05" w:rsidRPr="00BD681D" w:rsidRDefault="00772FB6" w:rsidP="00976665">
            <w:pPr>
              <w:pStyle w:val="TableText"/>
              <w:rPr>
                <w:lang w:val="pt-BR"/>
              </w:rPr>
            </w:pPr>
            <w:r>
              <w:rPr>
                <w:lang w:val="pt-BR"/>
              </w:rPr>
              <w:t xml:space="preserve">Yes </w:t>
            </w:r>
            <w:r>
              <w:rPr>
                <w:noProof/>
                <w:lang w:val="pt-BR"/>
              </w:rPr>
              <w:t>(Angelito 1984)</w:t>
            </w:r>
          </w:p>
        </w:tc>
        <w:tc>
          <w:tcPr>
            <w:tcW w:w="499" w:type="pct"/>
            <w:shd w:val="clear" w:color="auto" w:fill="auto"/>
          </w:tcPr>
          <w:p w14:paraId="43A3E25D" w14:textId="77777777" w:rsidR="00BC2F05" w:rsidRPr="00BD681D" w:rsidRDefault="00772FB6" w:rsidP="00976665">
            <w:pPr>
              <w:pStyle w:val="TableText"/>
              <w:rPr>
                <w:szCs w:val="16"/>
              </w:rPr>
            </w:pPr>
            <w:r>
              <w:t xml:space="preserve">Yes. NSW, Qld, SA, Tas., Vic., WA </w:t>
            </w:r>
            <w:r>
              <w:rPr>
                <w:noProof/>
                <w:szCs w:val="16"/>
              </w:rPr>
              <w:t>(APPD 2022)</w:t>
            </w:r>
            <w:r>
              <w:t xml:space="preserve"> </w:t>
            </w:r>
          </w:p>
        </w:tc>
        <w:tc>
          <w:tcPr>
            <w:tcW w:w="645" w:type="pct"/>
            <w:shd w:val="clear" w:color="auto" w:fill="auto"/>
          </w:tcPr>
          <w:p w14:paraId="012FD864" w14:textId="77777777" w:rsidR="00BC2F05" w:rsidRPr="00BD681D" w:rsidRDefault="00772FB6" w:rsidP="00976665">
            <w:pPr>
              <w:pStyle w:val="TableText"/>
            </w:pPr>
            <w:r w:rsidRPr="00FF241B">
              <w:t>Assessment not required</w:t>
            </w:r>
          </w:p>
        </w:tc>
        <w:tc>
          <w:tcPr>
            <w:tcW w:w="706" w:type="pct"/>
          </w:tcPr>
          <w:p w14:paraId="238D1633" w14:textId="77777777" w:rsidR="00BC2F05" w:rsidRDefault="00772FB6" w:rsidP="00976665">
            <w:pPr>
              <w:pStyle w:val="TableText"/>
            </w:pPr>
            <w:r w:rsidRPr="00FF241B">
              <w:t>Assessment not required</w:t>
            </w:r>
          </w:p>
        </w:tc>
        <w:tc>
          <w:tcPr>
            <w:tcW w:w="700" w:type="pct"/>
            <w:shd w:val="clear" w:color="auto" w:fill="auto"/>
          </w:tcPr>
          <w:p w14:paraId="769959E6" w14:textId="77777777" w:rsidR="00BC2F05" w:rsidRPr="00BD681D" w:rsidRDefault="00772FB6" w:rsidP="00976665">
            <w:pPr>
              <w:pStyle w:val="TableText"/>
            </w:pPr>
            <w:r w:rsidRPr="00FF241B">
              <w:t>Assessment not required</w:t>
            </w:r>
          </w:p>
        </w:tc>
        <w:tc>
          <w:tcPr>
            <w:tcW w:w="701" w:type="pct"/>
            <w:shd w:val="clear" w:color="auto" w:fill="auto"/>
          </w:tcPr>
          <w:p w14:paraId="741ABACF" w14:textId="77777777" w:rsidR="00BC2F05" w:rsidRPr="00BD681D" w:rsidRDefault="00772FB6" w:rsidP="00976665">
            <w:pPr>
              <w:pStyle w:val="TableText"/>
            </w:pPr>
            <w:r w:rsidRPr="00FF241B">
              <w:t>Assessment not required</w:t>
            </w:r>
          </w:p>
        </w:tc>
        <w:tc>
          <w:tcPr>
            <w:tcW w:w="500" w:type="pct"/>
            <w:gridSpan w:val="2"/>
            <w:shd w:val="clear" w:color="auto" w:fill="auto"/>
          </w:tcPr>
          <w:p w14:paraId="407D8F29" w14:textId="77777777" w:rsidR="00BC2F05" w:rsidRPr="00BD681D" w:rsidRDefault="00772FB6" w:rsidP="00976665">
            <w:pPr>
              <w:pStyle w:val="TableText"/>
            </w:pPr>
            <w:r>
              <w:t>No</w:t>
            </w:r>
          </w:p>
        </w:tc>
      </w:tr>
      <w:tr w:rsidR="00C80041" w14:paraId="5A04D258" w14:textId="77777777" w:rsidTr="003754F5">
        <w:trPr>
          <w:trHeight w:val="75"/>
          <w:jc w:val="center"/>
        </w:trPr>
        <w:tc>
          <w:tcPr>
            <w:tcW w:w="799" w:type="pct"/>
            <w:shd w:val="clear" w:color="auto" w:fill="auto"/>
          </w:tcPr>
          <w:p w14:paraId="47D1D7A4" w14:textId="77777777" w:rsidR="00BC2F05" w:rsidRPr="008D71E6" w:rsidRDefault="00772FB6" w:rsidP="00976665">
            <w:pPr>
              <w:pStyle w:val="TableText"/>
              <w:rPr>
                <w:color w:val="000000" w:themeColor="text1"/>
                <w:lang w:val="pt-BR"/>
              </w:rPr>
            </w:pPr>
            <w:bookmarkStart w:id="243" w:name="_Hlk87012102"/>
            <w:r>
              <w:rPr>
                <w:i/>
                <w:color w:val="000000" w:themeColor="text1"/>
                <w:lang w:val="pt-BR"/>
              </w:rPr>
              <w:t>Cladosporium oxysporum</w:t>
            </w:r>
            <w:bookmarkEnd w:id="243"/>
            <w:r>
              <w:rPr>
                <w:i/>
                <w:color w:val="000000" w:themeColor="text1"/>
                <w:lang w:val="pt-BR"/>
              </w:rPr>
              <w:t xml:space="preserve"> </w:t>
            </w:r>
            <w:r>
              <w:t>Berk. &amp; M.A Curtis</w:t>
            </w:r>
          </w:p>
          <w:p w14:paraId="584A9C32" w14:textId="77777777" w:rsidR="00BC2F05" w:rsidRPr="008D71E6" w:rsidRDefault="00772FB6" w:rsidP="00976665">
            <w:pPr>
              <w:pStyle w:val="TableText"/>
            </w:pPr>
            <w:r>
              <w:rPr>
                <w:color w:val="000000" w:themeColor="text1"/>
                <w:lang w:val="pt-BR"/>
              </w:rPr>
              <w:t>[</w:t>
            </w:r>
            <w:proofErr w:type="spellStart"/>
            <w:r>
              <w:t>Capnodiales</w:t>
            </w:r>
            <w:proofErr w:type="spellEnd"/>
            <w:r>
              <w:t xml:space="preserve">: </w:t>
            </w:r>
            <w:proofErr w:type="spellStart"/>
            <w:r>
              <w:t>Mycosphaerelllaceae</w:t>
            </w:r>
            <w:proofErr w:type="spellEnd"/>
            <w:r>
              <w:rPr>
                <w:color w:val="000000" w:themeColor="text1"/>
                <w:lang w:val="pt-BR"/>
              </w:rPr>
              <w:t>]</w:t>
            </w:r>
          </w:p>
        </w:tc>
        <w:tc>
          <w:tcPr>
            <w:tcW w:w="450" w:type="pct"/>
            <w:shd w:val="clear" w:color="auto" w:fill="auto"/>
          </w:tcPr>
          <w:p w14:paraId="41572067" w14:textId="77777777" w:rsidR="00BC2F05" w:rsidRPr="00BD681D" w:rsidRDefault="00772FB6" w:rsidP="00976665">
            <w:pPr>
              <w:pStyle w:val="TableText"/>
              <w:rPr>
                <w:lang w:val="pt-BR"/>
              </w:rPr>
            </w:pPr>
            <w:r>
              <w:rPr>
                <w:lang w:val="pt-BR"/>
              </w:rPr>
              <w:t xml:space="preserve">Yes </w:t>
            </w:r>
            <w:r>
              <w:rPr>
                <w:noProof/>
                <w:lang w:val="pt-BR"/>
              </w:rPr>
              <w:t>(Macalinao et al. 2017)</w:t>
            </w:r>
          </w:p>
        </w:tc>
        <w:tc>
          <w:tcPr>
            <w:tcW w:w="499" w:type="pct"/>
            <w:shd w:val="clear" w:color="auto" w:fill="auto"/>
          </w:tcPr>
          <w:p w14:paraId="4682DB05" w14:textId="77777777" w:rsidR="00BC2F05" w:rsidRPr="00BD681D" w:rsidRDefault="00772FB6" w:rsidP="00976665">
            <w:pPr>
              <w:pStyle w:val="TableText"/>
              <w:rPr>
                <w:szCs w:val="16"/>
              </w:rPr>
            </w:pPr>
            <w:r>
              <w:t xml:space="preserve">Yes. NSW, NT, Qld, WA </w:t>
            </w:r>
            <w:r>
              <w:rPr>
                <w:noProof/>
                <w:szCs w:val="16"/>
              </w:rPr>
              <w:t>(APPD 2022)</w:t>
            </w:r>
          </w:p>
        </w:tc>
        <w:tc>
          <w:tcPr>
            <w:tcW w:w="645" w:type="pct"/>
            <w:shd w:val="clear" w:color="auto" w:fill="auto"/>
          </w:tcPr>
          <w:p w14:paraId="25193339" w14:textId="77777777" w:rsidR="00BC2F05" w:rsidRPr="00BD681D" w:rsidRDefault="00772FB6" w:rsidP="00976665">
            <w:pPr>
              <w:pStyle w:val="TableText"/>
            </w:pPr>
            <w:r w:rsidRPr="00FF241B">
              <w:t>Assessment not required</w:t>
            </w:r>
          </w:p>
        </w:tc>
        <w:tc>
          <w:tcPr>
            <w:tcW w:w="706" w:type="pct"/>
          </w:tcPr>
          <w:p w14:paraId="52CED478" w14:textId="77777777" w:rsidR="00BC2F05" w:rsidRDefault="00772FB6" w:rsidP="00976665">
            <w:pPr>
              <w:pStyle w:val="TableText"/>
            </w:pPr>
            <w:r w:rsidRPr="00FF241B">
              <w:t>Assessment not required</w:t>
            </w:r>
          </w:p>
        </w:tc>
        <w:tc>
          <w:tcPr>
            <w:tcW w:w="700" w:type="pct"/>
            <w:shd w:val="clear" w:color="auto" w:fill="auto"/>
          </w:tcPr>
          <w:p w14:paraId="63B9D35D" w14:textId="77777777" w:rsidR="00BC2F05" w:rsidRPr="00BD681D" w:rsidRDefault="00772FB6" w:rsidP="00976665">
            <w:pPr>
              <w:pStyle w:val="TableText"/>
            </w:pPr>
            <w:r w:rsidRPr="00FF241B">
              <w:t>Assessment not required</w:t>
            </w:r>
          </w:p>
        </w:tc>
        <w:tc>
          <w:tcPr>
            <w:tcW w:w="701" w:type="pct"/>
            <w:shd w:val="clear" w:color="auto" w:fill="auto"/>
          </w:tcPr>
          <w:p w14:paraId="6AEE7378" w14:textId="77777777" w:rsidR="00BC2F05" w:rsidRPr="00BD681D" w:rsidRDefault="00772FB6" w:rsidP="00976665">
            <w:pPr>
              <w:pStyle w:val="TableText"/>
            </w:pPr>
            <w:r w:rsidRPr="00FF241B">
              <w:t>Assessment not required</w:t>
            </w:r>
          </w:p>
        </w:tc>
        <w:tc>
          <w:tcPr>
            <w:tcW w:w="500" w:type="pct"/>
            <w:gridSpan w:val="2"/>
            <w:shd w:val="clear" w:color="auto" w:fill="auto"/>
          </w:tcPr>
          <w:p w14:paraId="58D0B6E2" w14:textId="77777777" w:rsidR="00BC2F05" w:rsidRPr="00BD681D" w:rsidRDefault="00772FB6" w:rsidP="00976665">
            <w:pPr>
              <w:pStyle w:val="TableText"/>
            </w:pPr>
            <w:r>
              <w:t>No</w:t>
            </w:r>
          </w:p>
        </w:tc>
      </w:tr>
      <w:tr w:rsidR="00C80041" w14:paraId="581D699F" w14:textId="77777777" w:rsidTr="003754F5">
        <w:trPr>
          <w:trHeight w:val="75"/>
          <w:jc w:val="center"/>
        </w:trPr>
        <w:tc>
          <w:tcPr>
            <w:tcW w:w="799" w:type="pct"/>
            <w:shd w:val="clear" w:color="auto" w:fill="auto"/>
          </w:tcPr>
          <w:p w14:paraId="0606566F" w14:textId="77777777" w:rsidR="00BC2F05" w:rsidRDefault="00772FB6" w:rsidP="00976665">
            <w:pPr>
              <w:pStyle w:val="TableText"/>
              <w:rPr>
                <w:color w:val="000000" w:themeColor="text1"/>
                <w:lang w:val="pt-BR"/>
              </w:rPr>
            </w:pPr>
            <w:r w:rsidRPr="00DC153B">
              <w:rPr>
                <w:i/>
                <w:color w:val="000000" w:themeColor="text1"/>
                <w:lang w:val="pt-BR"/>
              </w:rPr>
              <w:t>Colletotrichum fructicola</w:t>
            </w:r>
            <w:r>
              <w:rPr>
                <w:i/>
                <w:color w:val="000000" w:themeColor="text1"/>
                <w:lang w:val="pt-BR"/>
              </w:rPr>
              <w:t xml:space="preserve"> </w:t>
            </w:r>
            <w:proofErr w:type="spellStart"/>
            <w:r>
              <w:t>Prihastuti</w:t>
            </w:r>
            <w:proofErr w:type="spellEnd"/>
            <w:r>
              <w:t>, L. Cai &amp; K.D. Hyde</w:t>
            </w:r>
          </w:p>
          <w:p w14:paraId="3C2E9958" w14:textId="77777777" w:rsidR="00BC2F05" w:rsidRPr="00B106EF" w:rsidRDefault="00772FB6" w:rsidP="00976665">
            <w:pPr>
              <w:pStyle w:val="TableText"/>
              <w:rPr>
                <w:color w:val="000000" w:themeColor="text1"/>
              </w:rPr>
            </w:pPr>
            <w:r>
              <w:t xml:space="preserve">Synonym: </w:t>
            </w:r>
            <w:proofErr w:type="spellStart"/>
            <w:r w:rsidRPr="00D355E3">
              <w:rPr>
                <w:i/>
                <w:iCs/>
              </w:rPr>
              <w:t>Glomerella</w:t>
            </w:r>
            <w:proofErr w:type="spellEnd"/>
            <w:r w:rsidRPr="00D355E3">
              <w:rPr>
                <w:i/>
                <w:iCs/>
              </w:rPr>
              <w:t xml:space="preserve"> </w:t>
            </w:r>
            <w:proofErr w:type="spellStart"/>
            <w:r w:rsidRPr="00D355E3">
              <w:rPr>
                <w:i/>
                <w:iCs/>
              </w:rPr>
              <w:t>cingulata</w:t>
            </w:r>
            <w:proofErr w:type="spellEnd"/>
            <w:r w:rsidRPr="00D355E3">
              <w:rPr>
                <w:i/>
                <w:iCs/>
              </w:rPr>
              <w:t xml:space="preserve"> var. minor</w:t>
            </w:r>
            <w:r>
              <w:t xml:space="preserve"> </w:t>
            </w:r>
            <w:proofErr w:type="spellStart"/>
            <w:r>
              <w:t>Wollenw</w:t>
            </w:r>
            <w:proofErr w:type="spellEnd"/>
            <w:r>
              <w:t>.</w:t>
            </w:r>
          </w:p>
          <w:p w14:paraId="62BDA793" w14:textId="77777777" w:rsidR="00BC2F05" w:rsidRPr="00E53740" w:rsidRDefault="00772FB6" w:rsidP="00976665">
            <w:pPr>
              <w:pStyle w:val="TableText"/>
            </w:pPr>
            <w:r>
              <w:rPr>
                <w:color w:val="000000" w:themeColor="text1"/>
                <w:lang w:val="pt-BR"/>
              </w:rPr>
              <w:t>[</w:t>
            </w:r>
            <w:proofErr w:type="spellStart"/>
            <w:r>
              <w:t>Glomerellales</w:t>
            </w:r>
            <w:proofErr w:type="spellEnd"/>
            <w:r>
              <w:t xml:space="preserve">: </w:t>
            </w:r>
            <w:proofErr w:type="spellStart"/>
            <w:r>
              <w:t>Glomerellaceae</w:t>
            </w:r>
            <w:proofErr w:type="spellEnd"/>
            <w:r>
              <w:rPr>
                <w:color w:val="000000" w:themeColor="text1"/>
                <w:lang w:val="pt-BR"/>
              </w:rPr>
              <w:t>]</w:t>
            </w:r>
          </w:p>
          <w:p w14:paraId="20D28DBE" w14:textId="77777777" w:rsidR="00BC2F05" w:rsidRPr="00E53740" w:rsidRDefault="00772FB6" w:rsidP="00976665">
            <w:pPr>
              <w:pStyle w:val="TableText"/>
              <w:rPr>
                <w:color w:val="000000" w:themeColor="text1"/>
                <w:lang w:val="pt-BR"/>
              </w:rPr>
            </w:pPr>
            <w:r>
              <w:rPr>
                <w:color w:val="000000" w:themeColor="text1"/>
                <w:lang w:val="pt-BR"/>
              </w:rPr>
              <w:t>Bitter rot</w:t>
            </w:r>
          </w:p>
        </w:tc>
        <w:tc>
          <w:tcPr>
            <w:tcW w:w="450" w:type="pct"/>
            <w:shd w:val="clear" w:color="auto" w:fill="auto"/>
          </w:tcPr>
          <w:p w14:paraId="4894759C" w14:textId="77777777" w:rsidR="00BC2F05" w:rsidRPr="00BD681D" w:rsidRDefault="00772FB6" w:rsidP="00976665">
            <w:pPr>
              <w:pStyle w:val="TableText"/>
              <w:rPr>
                <w:lang w:val="pt-BR"/>
              </w:rPr>
            </w:pPr>
            <w:r>
              <w:rPr>
                <w:lang w:val="pt-BR"/>
              </w:rPr>
              <w:t xml:space="preserve">Yes </w:t>
            </w:r>
            <w:r>
              <w:rPr>
                <w:noProof/>
                <w:lang w:val="pt-BR"/>
              </w:rPr>
              <w:t>(Dela Cueva et al. 2021)</w:t>
            </w:r>
          </w:p>
        </w:tc>
        <w:tc>
          <w:tcPr>
            <w:tcW w:w="499" w:type="pct"/>
            <w:shd w:val="clear" w:color="auto" w:fill="auto"/>
          </w:tcPr>
          <w:p w14:paraId="0270B55F" w14:textId="77777777" w:rsidR="00BC2F05" w:rsidRPr="00BD681D" w:rsidRDefault="00772FB6" w:rsidP="00976665">
            <w:pPr>
              <w:pStyle w:val="TableText"/>
              <w:rPr>
                <w:szCs w:val="16"/>
              </w:rPr>
            </w:pPr>
            <w:r>
              <w:t xml:space="preserve">Yes. Qld, Vic. </w:t>
            </w:r>
            <w:r>
              <w:rPr>
                <w:noProof/>
                <w:szCs w:val="16"/>
              </w:rPr>
              <w:t>(APPD 2022; Shivas et al. 2016)</w:t>
            </w:r>
          </w:p>
        </w:tc>
        <w:tc>
          <w:tcPr>
            <w:tcW w:w="645" w:type="pct"/>
            <w:shd w:val="clear" w:color="auto" w:fill="auto"/>
          </w:tcPr>
          <w:p w14:paraId="38EAACDE" w14:textId="77777777" w:rsidR="00BC2F05" w:rsidRPr="00BD681D" w:rsidRDefault="00772FB6" w:rsidP="00976665">
            <w:pPr>
              <w:pStyle w:val="TableText"/>
            </w:pPr>
            <w:r w:rsidRPr="001E65D2">
              <w:t>Assessment not required</w:t>
            </w:r>
          </w:p>
        </w:tc>
        <w:tc>
          <w:tcPr>
            <w:tcW w:w="706" w:type="pct"/>
          </w:tcPr>
          <w:p w14:paraId="1DF692B3" w14:textId="77777777" w:rsidR="00BC2F05" w:rsidRDefault="00772FB6" w:rsidP="00976665">
            <w:pPr>
              <w:pStyle w:val="TableText"/>
            </w:pPr>
            <w:r w:rsidRPr="001E65D2">
              <w:t>Assessment not required</w:t>
            </w:r>
          </w:p>
        </w:tc>
        <w:tc>
          <w:tcPr>
            <w:tcW w:w="700" w:type="pct"/>
            <w:shd w:val="clear" w:color="auto" w:fill="auto"/>
          </w:tcPr>
          <w:p w14:paraId="1766A38A" w14:textId="77777777" w:rsidR="00BC2F05" w:rsidRPr="00BD681D" w:rsidRDefault="00772FB6" w:rsidP="00976665">
            <w:pPr>
              <w:pStyle w:val="TableText"/>
            </w:pPr>
            <w:r w:rsidRPr="001E65D2">
              <w:t>Assessment not required</w:t>
            </w:r>
          </w:p>
        </w:tc>
        <w:tc>
          <w:tcPr>
            <w:tcW w:w="701" w:type="pct"/>
            <w:shd w:val="clear" w:color="auto" w:fill="auto"/>
          </w:tcPr>
          <w:p w14:paraId="579C95AF" w14:textId="77777777" w:rsidR="00BC2F05" w:rsidRPr="00BD681D" w:rsidRDefault="00772FB6" w:rsidP="00976665">
            <w:pPr>
              <w:pStyle w:val="TableText"/>
            </w:pPr>
            <w:r w:rsidRPr="001E65D2">
              <w:t>Assessment not required</w:t>
            </w:r>
          </w:p>
        </w:tc>
        <w:tc>
          <w:tcPr>
            <w:tcW w:w="500" w:type="pct"/>
            <w:gridSpan w:val="2"/>
            <w:shd w:val="clear" w:color="auto" w:fill="auto"/>
          </w:tcPr>
          <w:p w14:paraId="2D274F64" w14:textId="77777777" w:rsidR="00BC2F05" w:rsidRPr="00BD681D" w:rsidRDefault="00772FB6" w:rsidP="00976665">
            <w:pPr>
              <w:pStyle w:val="TableText"/>
            </w:pPr>
            <w:r>
              <w:t>No</w:t>
            </w:r>
          </w:p>
        </w:tc>
      </w:tr>
      <w:tr w:rsidR="00C80041" w14:paraId="22880702" w14:textId="77777777" w:rsidTr="003754F5">
        <w:trPr>
          <w:trHeight w:val="75"/>
          <w:jc w:val="center"/>
        </w:trPr>
        <w:tc>
          <w:tcPr>
            <w:tcW w:w="799" w:type="pct"/>
            <w:shd w:val="clear" w:color="auto" w:fill="auto"/>
          </w:tcPr>
          <w:p w14:paraId="7B69DEBC" w14:textId="77777777" w:rsidR="00BC2F05" w:rsidRDefault="00772FB6" w:rsidP="00976665">
            <w:pPr>
              <w:pStyle w:val="TableText"/>
              <w:rPr>
                <w:color w:val="000000" w:themeColor="text1"/>
                <w:lang w:val="pt-BR"/>
              </w:rPr>
            </w:pPr>
            <w:r w:rsidRPr="00DC153B">
              <w:rPr>
                <w:i/>
                <w:color w:val="000000" w:themeColor="text1"/>
                <w:lang w:val="pt-BR"/>
              </w:rPr>
              <w:t>Colletotrichum</w:t>
            </w:r>
            <w:r>
              <w:rPr>
                <w:i/>
                <w:color w:val="000000" w:themeColor="text1"/>
                <w:lang w:val="pt-BR"/>
              </w:rPr>
              <w:t xml:space="preserve"> </w:t>
            </w:r>
            <w:r w:rsidRPr="00DC153B">
              <w:rPr>
                <w:i/>
                <w:color w:val="000000" w:themeColor="text1"/>
                <w:lang w:val="pt-BR"/>
              </w:rPr>
              <w:t>gloeosporioides</w:t>
            </w:r>
            <w:r>
              <w:rPr>
                <w:i/>
                <w:color w:val="000000" w:themeColor="text1"/>
                <w:lang w:val="pt-BR"/>
              </w:rPr>
              <w:t xml:space="preserve"> </w:t>
            </w:r>
            <w:r>
              <w:t>(</w:t>
            </w:r>
            <w:proofErr w:type="spellStart"/>
            <w:r>
              <w:t>Penz</w:t>
            </w:r>
            <w:proofErr w:type="spellEnd"/>
            <w:r>
              <w:t xml:space="preserve">.) </w:t>
            </w:r>
            <w:proofErr w:type="spellStart"/>
            <w:r>
              <w:t>Penz</w:t>
            </w:r>
            <w:proofErr w:type="spellEnd"/>
            <w:r>
              <w:t xml:space="preserve">. &amp; </w:t>
            </w:r>
            <w:proofErr w:type="spellStart"/>
            <w:r>
              <w:t>Sacc</w:t>
            </w:r>
            <w:proofErr w:type="spellEnd"/>
            <w:r>
              <w:rPr>
                <w:color w:val="000000" w:themeColor="text1"/>
                <w:lang w:val="pt-BR"/>
              </w:rPr>
              <w:t>.</w:t>
            </w:r>
          </w:p>
          <w:p w14:paraId="2792DAAB" w14:textId="77777777" w:rsidR="00BC2F05" w:rsidRPr="00B106EF" w:rsidRDefault="00772FB6" w:rsidP="00976665">
            <w:pPr>
              <w:pStyle w:val="TableText"/>
              <w:rPr>
                <w:color w:val="000000" w:themeColor="text1"/>
              </w:rPr>
            </w:pPr>
            <w:r>
              <w:t xml:space="preserve">Synonym: </w:t>
            </w:r>
            <w:proofErr w:type="spellStart"/>
            <w:r w:rsidRPr="00B02849">
              <w:rPr>
                <w:i/>
                <w:iCs/>
              </w:rPr>
              <w:t>Glomerella</w:t>
            </w:r>
            <w:proofErr w:type="spellEnd"/>
            <w:r w:rsidRPr="00B02849">
              <w:rPr>
                <w:i/>
                <w:iCs/>
              </w:rPr>
              <w:t xml:space="preserve"> </w:t>
            </w:r>
            <w:proofErr w:type="spellStart"/>
            <w:r w:rsidRPr="00B02849">
              <w:rPr>
                <w:i/>
                <w:iCs/>
              </w:rPr>
              <w:t>cingulata</w:t>
            </w:r>
            <w:proofErr w:type="spellEnd"/>
            <w:r>
              <w:t xml:space="preserve"> (Stoneman) </w:t>
            </w:r>
            <w:proofErr w:type="spellStart"/>
            <w:r>
              <w:t>Spaud</w:t>
            </w:r>
            <w:proofErr w:type="spellEnd"/>
            <w:r>
              <w:t xml:space="preserve">. &amp; H. </w:t>
            </w:r>
            <w:proofErr w:type="spellStart"/>
            <w:r>
              <w:t>Schrenk</w:t>
            </w:r>
            <w:proofErr w:type="spellEnd"/>
          </w:p>
          <w:p w14:paraId="47DB9C13" w14:textId="77777777" w:rsidR="00BC2F05" w:rsidRPr="00E53740" w:rsidRDefault="00772FB6" w:rsidP="00976665">
            <w:pPr>
              <w:pStyle w:val="TableText"/>
            </w:pPr>
            <w:r>
              <w:rPr>
                <w:color w:val="000000" w:themeColor="text1"/>
                <w:lang w:val="pt-BR"/>
              </w:rPr>
              <w:t>[</w:t>
            </w:r>
            <w:proofErr w:type="spellStart"/>
            <w:r>
              <w:t>Sordariomycetidae</w:t>
            </w:r>
            <w:proofErr w:type="spellEnd"/>
            <w:r>
              <w:t xml:space="preserve">: </w:t>
            </w:r>
            <w:proofErr w:type="spellStart"/>
            <w:r>
              <w:t>Glomerellaceae</w:t>
            </w:r>
            <w:proofErr w:type="spellEnd"/>
            <w:r>
              <w:rPr>
                <w:color w:val="000000" w:themeColor="text1"/>
                <w:lang w:val="pt-BR"/>
              </w:rPr>
              <w:t>]</w:t>
            </w:r>
          </w:p>
          <w:p w14:paraId="4EFF6975" w14:textId="77777777" w:rsidR="00BC2F05" w:rsidRPr="00E53740" w:rsidRDefault="00772FB6" w:rsidP="00976665">
            <w:pPr>
              <w:pStyle w:val="TableText"/>
              <w:rPr>
                <w:color w:val="000000" w:themeColor="text1"/>
                <w:lang w:val="pt-BR"/>
              </w:rPr>
            </w:pPr>
            <w:r>
              <w:rPr>
                <w:color w:val="000000" w:themeColor="text1"/>
                <w:lang w:val="pt-BR"/>
              </w:rPr>
              <w:lastRenderedPageBreak/>
              <w:t>Anthracnose</w:t>
            </w:r>
          </w:p>
        </w:tc>
        <w:tc>
          <w:tcPr>
            <w:tcW w:w="450" w:type="pct"/>
            <w:shd w:val="clear" w:color="auto" w:fill="auto"/>
          </w:tcPr>
          <w:p w14:paraId="377D7E34" w14:textId="77777777" w:rsidR="00BC2F05" w:rsidRPr="00BD681D" w:rsidRDefault="00772FB6" w:rsidP="00976665">
            <w:pPr>
              <w:pStyle w:val="TableText"/>
              <w:rPr>
                <w:lang w:val="pt-BR"/>
              </w:rPr>
            </w:pPr>
            <w:r>
              <w:rPr>
                <w:lang w:val="pt-BR"/>
              </w:rPr>
              <w:lastRenderedPageBreak/>
              <w:t xml:space="preserve">Yes </w:t>
            </w:r>
            <w:r>
              <w:rPr>
                <w:noProof/>
                <w:lang w:val="pt-BR"/>
              </w:rPr>
              <w:t>(Alvindia, Kobayashi &amp; Tanda 2002; Tepora 2019)</w:t>
            </w:r>
          </w:p>
        </w:tc>
        <w:tc>
          <w:tcPr>
            <w:tcW w:w="499" w:type="pct"/>
            <w:shd w:val="clear" w:color="auto" w:fill="auto"/>
          </w:tcPr>
          <w:p w14:paraId="645F5C6B" w14:textId="77777777" w:rsidR="00BC2F05" w:rsidRPr="00BD681D" w:rsidRDefault="00772FB6" w:rsidP="00976665">
            <w:pPr>
              <w:pStyle w:val="TableText"/>
              <w:rPr>
                <w:szCs w:val="16"/>
              </w:rPr>
            </w:pPr>
            <w:r>
              <w:t xml:space="preserve">Yes. NSW, NT, Qld, SA, Tas., Vic., WA, ACT </w:t>
            </w:r>
            <w:r>
              <w:rPr>
                <w:noProof/>
                <w:szCs w:val="16"/>
              </w:rPr>
              <w:t>(APPD 2022)</w:t>
            </w:r>
          </w:p>
        </w:tc>
        <w:tc>
          <w:tcPr>
            <w:tcW w:w="645" w:type="pct"/>
            <w:shd w:val="clear" w:color="auto" w:fill="auto"/>
          </w:tcPr>
          <w:p w14:paraId="3969524F" w14:textId="77777777" w:rsidR="00BC2F05" w:rsidRPr="00BD681D" w:rsidRDefault="00772FB6" w:rsidP="00976665">
            <w:pPr>
              <w:pStyle w:val="TableText"/>
            </w:pPr>
            <w:r w:rsidRPr="001E65D2">
              <w:t>Assessment not required</w:t>
            </w:r>
          </w:p>
        </w:tc>
        <w:tc>
          <w:tcPr>
            <w:tcW w:w="706" w:type="pct"/>
          </w:tcPr>
          <w:p w14:paraId="18876796" w14:textId="77777777" w:rsidR="00BC2F05" w:rsidRDefault="00772FB6" w:rsidP="00976665">
            <w:pPr>
              <w:pStyle w:val="TableText"/>
            </w:pPr>
            <w:r w:rsidRPr="001E65D2">
              <w:t>Assessment not required</w:t>
            </w:r>
          </w:p>
        </w:tc>
        <w:tc>
          <w:tcPr>
            <w:tcW w:w="700" w:type="pct"/>
            <w:shd w:val="clear" w:color="auto" w:fill="auto"/>
          </w:tcPr>
          <w:p w14:paraId="1D9D9287" w14:textId="77777777" w:rsidR="00BC2F05" w:rsidRPr="00BD681D" w:rsidRDefault="00772FB6" w:rsidP="00976665">
            <w:pPr>
              <w:pStyle w:val="TableText"/>
            </w:pPr>
            <w:r w:rsidRPr="001E65D2">
              <w:t>Assessment not required</w:t>
            </w:r>
          </w:p>
        </w:tc>
        <w:tc>
          <w:tcPr>
            <w:tcW w:w="701" w:type="pct"/>
            <w:shd w:val="clear" w:color="auto" w:fill="auto"/>
          </w:tcPr>
          <w:p w14:paraId="410AFEE3" w14:textId="77777777" w:rsidR="00BC2F05" w:rsidRPr="00BD681D" w:rsidRDefault="00772FB6" w:rsidP="00976665">
            <w:pPr>
              <w:pStyle w:val="TableText"/>
            </w:pPr>
            <w:r w:rsidRPr="001E65D2">
              <w:t>Assessment not required</w:t>
            </w:r>
          </w:p>
        </w:tc>
        <w:tc>
          <w:tcPr>
            <w:tcW w:w="500" w:type="pct"/>
            <w:gridSpan w:val="2"/>
            <w:shd w:val="clear" w:color="auto" w:fill="auto"/>
          </w:tcPr>
          <w:p w14:paraId="5DE12CFE" w14:textId="77777777" w:rsidR="00BC2F05" w:rsidRPr="00BD681D" w:rsidRDefault="00772FB6" w:rsidP="00976665">
            <w:pPr>
              <w:pStyle w:val="TableText"/>
            </w:pPr>
            <w:r>
              <w:t>No</w:t>
            </w:r>
          </w:p>
        </w:tc>
      </w:tr>
      <w:tr w:rsidR="00C80041" w14:paraId="62EF9ED2" w14:textId="77777777" w:rsidTr="003754F5">
        <w:trPr>
          <w:trHeight w:val="75"/>
          <w:jc w:val="center"/>
        </w:trPr>
        <w:tc>
          <w:tcPr>
            <w:tcW w:w="799" w:type="pct"/>
            <w:shd w:val="clear" w:color="auto" w:fill="auto"/>
          </w:tcPr>
          <w:p w14:paraId="57819F6F" w14:textId="77777777" w:rsidR="00BC2F05" w:rsidRPr="008D71E6" w:rsidRDefault="00772FB6" w:rsidP="00976665">
            <w:pPr>
              <w:pStyle w:val="TableText"/>
              <w:rPr>
                <w:color w:val="000000" w:themeColor="text1"/>
                <w:lang w:val="pt-BR"/>
              </w:rPr>
            </w:pPr>
            <w:r w:rsidRPr="00DC153B">
              <w:rPr>
                <w:i/>
                <w:color w:val="000000" w:themeColor="text1"/>
                <w:lang w:val="pt-BR"/>
              </w:rPr>
              <w:t>Colletotrichum musae</w:t>
            </w:r>
            <w:r>
              <w:rPr>
                <w:i/>
                <w:color w:val="000000" w:themeColor="text1"/>
                <w:lang w:val="pt-BR"/>
              </w:rPr>
              <w:t xml:space="preserve"> </w:t>
            </w:r>
            <w:r>
              <w:t xml:space="preserve">(Berk. &amp; M.A Curtis) </w:t>
            </w:r>
            <w:proofErr w:type="spellStart"/>
            <w:r>
              <w:t>Arx</w:t>
            </w:r>
            <w:proofErr w:type="spellEnd"/>
          </w:p>
          <w:p w14:paraId="22CE38A6" w14:textId="77777777" w:rsidR="00BC2F05" w:rsidRPr="00E53740" w:rsidRDefault="00772FB6" w:rsidP="00976665">
            <w:pPr>
              <w:pStyle w:val="TableText"/>
            </w:pPr>
            <w:r>
              <w:rPr>
                <w:color w:val="000000" w:themeColor="text1"/>
                <w:lang w:val="pt-BR"/>
              </w:rPr>
              <w:t>[</w:t>
            </w:r>
            <w:proofErr w:type="spellStart"/>
            <w:r>
              <w:t>Sordariomycetidae</w:t>
            </w:r>
            <w:proofErr w:type="spellEnd"/>
            <w:r>
              <w:t xml:space="preserve">: </w:t>
            </w:r>
            <w:proofErr w:type="spellStart"/>
            <w:r>
              <w:t>Glomerellaceae</w:t>
            </w:r>
            <w:proofErr w:type="spellEnd"/>
            <w:r>
              <w:rPr>
                <w:color w:val="000000" w:themeColor="text1"/>
                <w:lang w:val="pt-BR"/>
              </w:rPr>
              <w:t>]</w:t>
            </w:r>
          </w:p>
          <w:p w14:paraId="5C5FEB2E" w14:textId="77777777" w:rsidR="00BC2F05" w:rsidRPr="00E53740" w:rsidRDefault="00772FB6" w:rsidP="00976665">
            <w:pPr>
              <w:pStyle w:val="TableText"/>
              <w:rPr>
                <w:color w:val="000000" w:themeColor="text1"/>
                <w:lang w:val="pt-BR"/>
              </w:rPr>
            </w:pPr>
            <w:r>
              <w:rPr>
                <w:color w:val="000000" w:themeColor="text1"/>
                <w:lang w:val="pt-BR"/>
              </w:rPr>
              <w:t>Tip rot of banana</w:t>
            </w:r>
          </w:p>
        </w:tc>
        <w:tc>
          <w:tcPr>
            <w:tcW w:w="450" w:type="pct"/>
            <w:shd w:val="clear" w:color="auto" w:fill="auto"/>
          </w:tcPr>
          <w:p w14:paraId="66CE2A5C"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0E3C05C8" w14:textId="77777777" w:rsidR="00BC2F05" w:rsidRPr="00BD681D" w:rsidRDefault="00772FB6" w:rsidP="00976665">
            <w:pPr>
              <w:pStyle w:val="TableText"/>
              <w:rPr>
                <w:szCs w:val="16"/>
              </w:rPr>
            </w:pPr>
            <w:r>
              <w:t xml:space="preserve">Yes. NSW, Qld, Vic., WA </w:t>
            </w:r>
            <w:r>
              <w:rPr>
                <w:noProof/>
                <w:szCs w:val="16"/>
              </w:rPr>
              <w:t>(APPD 2022)</w:t>
            </w:r>
          </w:p>
        </w:tc>
        <w:tc>
          <w:tcPr>
            <w:tcW w:w="645" w:type="pct"/>
            <w:shd w:val="clear" w:color="auto" w:fill="auto"/>
          </w:tcPr>
          <w:p w14:paraId="2FB694E3" w14:textId="77777777" w:rsidR="00BC2F05" w:rsidRPr="00BD681D" w:rsidRDefault="00772FB6" w:rsidP="00976665">
            <w:pPr>
              <w:pStyle w:val="TableText"/>
            </w:pPr>
            <w:r w:rsidRPr="001E65D2">
              <w:t>Assessment not required</w:t>
            </w:r>
          </w:p>
        </w:tc>
        <w:tc>
          <w:tcPr>
            <w:tcW w:w="706" w:type="pct"/>
          </w:tcPr>
          <w:p w14:paraId="0A7A8A08" w14:textId="77777777" w:rsidR="00BC2F05" w:rsidRDefault="00772FB6" w:rsidP="00976665">
            <w:pPr>
              <w:pStyle w:val="TableText"/>
            </w:pPr>
            <w:r w:rsidRPr="001E65D2">
              <w:t>Assessment not required</w:t>
            </w:r>
          </w:p>
        </w:tc>
        <w:tc>
          <w:tcPr>
            <w:tcW w:w="700" w:type="pct"/>
            <w:shd w:val="clear" w:color="auto" w:fill="auto"/>
          </w:tcPr>
          <w:p w14:paraId="1A0E05E9" w14:textId="77777777" w:rsidR="00BC2F05" w:rsidRPr="00BD681D" w:rsidRDefault="00772FB6" w:rsidP="00976665">
            <w:pPr>
              <w:pStyle w:val="TableText"/>
            </w:pPr>
            <w:r w:rsidRPr="001E65D2">
              <w:t>Assessment not required</w:t>
            </w:r>
          </w:p>
        </w:tc>
        <w:tc>
          <w:tcPr>
            <w:tcW w:w="701" w:type="pct"/>
            <w:shd w:val="clear" w:color="auto" w:fill="auto"/>
          </w:tcPr>
          <w:p w14:paraId="27058D8B" w14:textId="77777777" w:rsidR="00BC2F05" w:rsidRPr="00BD681D" w:rsidRDefault="00772FB6" w:rsidP="00976665">
            <w:pPr>
              <w:pStyle w:val="TableText"/>
            </w:pPr>
            <w:r w:rsidRPr="001E65D2">
              <w:t>Assessment not required</w:t>
            </w:r>
          </w:p>
        </w:tc>
        <w:tc>
          <w:tcPr>
            <w:tcW w:w="500" w:type="pct"/>
            <w:gridSpan w:val="2"/>
            <w:shd w:val="clear" w:color="auto" w:fill="auto"/>
          </w:tcPr>
          <w:p w14:paraId="1B13D56E" w14:textId="77777777" w:rsidR="00BC2F05" w:rsidRPr="00BD681D" w:rsidRDefault="00772FB6" w:rsidP="00976665">
            <w:pPr>
              <w:pStyle w:val="TableText"/>
            </w:pPr>
            <w:r>
              <w:t>No</w:t>
            </w:r>
          </w:p>
        </w:tc>
      </w:tr>
      <w:tr w:rsidR="00C80041" w14:paraId="100299F5" w14:textId="77777777" w:rsidTr="003754F5">
        <w:trPr>
          <w:trHeight w:val="75"/>
          <w:jc w:val="center"/>
        </w:trPr>
        <w:tc>
          <w:tcPr>
            <w:tcW w:w="799" w:type="pct"/>
            <w:shd w:val="clear" w:color="auto" w:fill="auto"/>
          </w:tcPr>
          <w:p w14:paraId="1DACD188" w14:textId="77777777" w:rsidR="00BC2F05" w:rsidRPr="00956548" w:rsidRDefault="00772FB6" w:rsidP="00976665">
            <w:pPr>
              <w:pStyle w:val="TableText"/>
              <w:rPr>
                <w:color w:val="000000" w:themeColor="text1"/>
                <w:lang w:val="pt-BR"/>
              </w:rPr>
            </w:pPr>
            <w:r w:rsidRPr="00956548">
              <w:rPr>
                <w:i/>
                <w:color w:val="000000" w:themeColor="text1"/>
                <w:lang w:val="pt-BR"/>
              </w:rPr>
              <w:t>Colletotrichum tropicale</w:t>
            </w:r>
            <w:r>
              <w:rPr>
                <w:i/>
                <w:color w:val="000000" w:themeColor="text1"/>
                <w:lang w:val="pt-BR"/>
              </w:rPr>
              <w:t xml:space="preserve"> </w:t>
            </w:r>
            <w:r w:rsidRPr="00956548">
              <w:rPr>
                <w:color w:val="000000" w:themeColor="text1"/>
                <w:lang w:val="pt-BR"/>
              </w:rPr>
              <w:t>Rojas, Rehner &amp; Samuels</w:t>
            </w:r>
          </w:p>
          <w:p w14:paraId="09EF0FD3" w14:textId="77777777" w:rsidR="00BC2F05" w:rsidRPr="00956548" w:rsidRDefault="00772FB6" w:rsidP="00976665">
            <w:pPr>
              <w:pStyle w:val="TableText"/>
              <w:rPr>
                <w:color w:val="000000" w:themeColor="text1"/>
              </w:rPr>
            </w:pPr>
            <w:r w:rsidRPr="00956548">
              <w:rPr>
                <w:color w:val="000000" w:themeColor="text1"/>
                <w:lang w:val="pt-BR"/>
              </w:rPr>
              <w:t>[</w:t>
            </w:r>
            <w:proofErr w:type="spellStart"/>
            <w:r w:rsidRPr="00956548">
              <w:rPr>
                <w:color w:val="000000" w:themeColor="text1"/>
              </w:rPr>
              <w:t>Sordariomycetidae</w:t>
            </w:r>
            <w:proofErr w:type="spellEnd"/>
            <w:r w:rsidRPr="00956548">
              <w:rPr>
                <w:color w:val="000000" w:themeColor="text1"/>
              </w:rPr>
              <w:t xml:space="preserve">: </w:t>
            </w:r>
            <w:proofErr w:type="spellStart"/>
            <w:r w:rsidRPr="00956548">
              <w:rPr>
                <w:color w:val="000000" w:themeColor="text1"/>
              </w:rPr>
              <w:t>Glomerellaceae</w:t>
            </w:r>
            <w:proofErr w:type="spellEnd"/>
            <w:r w:rsidRPr="00956548">
              <w:rPr>
                <w:color w:val="000000" w:themeColor="text1"/>
                <w:lang w:val="pt-BR"/>
              </w:rPr>
              <w:t>]</w:t>
            </w:r>
          </w:p>
        </w:tc>
        <w:tc>
          <w:tcPr>
            <w:tcW w:w="450" w:type="pct"/>
            <w:shd w:val="clear" w:color="auto" w:fill="auto"/>
          </w:tcPr>
          <w:p w14:paraId="333EB4B8" w14:textId="77777777" w:rsidR="00BC2F05" w:rsidRPr="00956548" w:rsidRDefault="00772FB6" w:rsidP="00976665">
            <w:pPr>
              <w:pStyle w:val="TableText"/>
              <w:rPr>
                <w:color w:val="000000" w:themeColor="text1"/>
                <w:lang w:val="pt-BR"/>
              </w:rPr>
            </w:pPr>
            <w:r w:rsidRPr="00956548">
              <w:rPr>
                <w:color w:val="000000" w:themeColor="text1"/>
                <w:lang w:val="pt-BR"/>
              </w:rPr>
              <w:t xml:space="preserve">Yes </w:t>
            </w:r>
            <w:r>
              <w:rPr>
                <w:noProof/>
                <w:color w:val="000000" w:themeColor="text1"/>
              </w:rPr>
              <w:t>(Evallo et al. 2022)</w:t>
            </w:r>
          </w:p>
        </w:tc>
        <w:tc>
          <w:tcPr>
            <w:tcW w:w="499" w:type="pct"/>
            <w:shd w:val="clear" w:color="auto" w:fill="auto"/>
          </w:tcPr>
          <w:p w14:paraId="07A7D0FC" w14:textId="77777777" w:rsidR="00BC2F05" w:rsidRPr="00956548" w:rsidRDefault="00772FB6" w:rsidP="00976665">
            <w:pPr>
              <w:pStyle w:val="TableText"/>
              <w:rPr>
                <w:color w:val="000000" w:themeColor="text1"/>
              </w:rPr>
            </w:pPr>
            <w:r w:rsidRPr="00956548">
              <w:rPr>
                <w:color w:val="000000" w:themeColor="text1"/>
                <w:szCs w:val="16"/>
              </w:rPr>
              <w:t>No records found</w:t>
            </w:r>
          </w:p>
        </w:tc>
        <w:tc>
          <w:tcPr>
            <w:tcW w:w="645" w:type="pct"/>
            <w:shd w:val="clear" w:color="auto" w:fill="auto"/>
          </w:tcPr>
          <w:p w14:paraId="4C091ABA" w14:textId="77777777" w:rsidR="00BC2F05" w:rsidRPr="00956548" w:rsidRDefault="00772FB6" w:rsidP="00976665">
            <w:pPr>
              <w:pStyle w:val="TableText"/>
              <w:rPr>
                <w:color w:val="000000" w:themeColor="text1"/>
              </w:rPr>
            </w:pPr>
            <w:r w:rsidRPr="00956548">
              <w:rPr>
                <w:color w:val="000000" w:themeColor="text1"/>
              </w:rPr>
              <w:t xml:space="preserve">No. </w:t>
            </w:r>
            <w:r w:rsidRPr="00956548">
              <w:rPr>
                <w:i/>
                <w:iCs/>
                <w:color w:val="000000" w:themeColor="text1"/>
              </w:rPr>
              <w:t xml:space="preserve">Colletotrichum </w:t>
            </w:r>
            <w:proofErr w:type="spellStart"/>
            <w:r w:rsidRPr="00956548">
              <w:rPr>
                <w:i/>
                <w:iCs/>
                <w:color w:val="000000" w:themeColor="text1"/>
              </w:rPr>
              <w:t>tropicale</w:t>
            </w:r>
            <w:proofErr w:type="spellEnd"/>
            <w:r w:rsidRPr="00956548">
              <w:rPr>
                <w:color w:val="000000" w:themeColor="text1"/>
              </w:rPr>
              <w:t xml:space="preserve"> </w:t>
            </w:r>
            <w:r>
              <w:rPr>
                <w:color w:val="000000" w:themeColor="text1"/>
              </w:rPr>
              <w:t>has</w:t>
            </w:r>
            <w:r w:rsidRPr="00956548">
              <w:rPr>
                <w:color w:val="000000" w:themeColor="text1"/>
              </w:rPr>
              <w:t xml:space="preserve"> only</w:t>
            </w:r>
            <w:r>
              <w:rPr>
                <w:color w:val="000000" w:themeColor="text1"/>
              </w:rPr>
              <w:t xml:space="preserve"> been</w:t>
            </w:r>
            <w:r w:rsidRPr="00956548">
              <w:rPr>
                <w:color w:val="000000" w:themeColor="text1"/>
              </w:rPr>
              <w:t xml:space="preserve"> reported infecting the stem of dragon fruit </w:t>
            </w:r>
            <w:r>
              <w:rPr>
                <w:noProof/>
                <w:color w:val="000000" w:themeColor="text1"/>
              </w:rPr>
              <w:t>(Evallo et al. 2022)</w:t>
            </w:r>
            <w:r>
              <w:rPr>
                <w:color w:val="000000" w:themeColor="text1"/>
              </w:rPr>
              <w:t>.</w:t>
            </w:r>
            <w:r w:rsidRPr="00956548">
              <w:rPr>
                <w:color w:val="000000" w:themeColor="text1"/>
              </w:rPr>
              <w:t xml:space="preserve"> </w:t>
            </w:r>
          </w:p>
        </w:tc>
        <w:tc>
          <w:tcPr>
            <w:tcW w:w="706" w:type="pct"/>
            <w:shd w:val="clear" w:color="auto" w:fill="auto"/>
          </w:tcPr>
          <w:p w14:paraId="145340D8" w14:textId="77777777" w:rsidR="00BC2F05" w:rsidRPr="00956548" w:rsidRDefault="00772FB6" w:rsidP="00976665">
            <w:pPr>
              <w:pStyle w:val="TableText"/>
              <w:rPr>
                <w:color w:val="000000" w:themeColor="text1"/>
              </w:rPr>
            </w:pPr>
            <w:r w:rsidRPr="00C92E21">
              <w:t>Assessment not required</w:t>
            </w:r>
          </w:p>
        </w:tc>
        <w:tc>
          <w:tcPr>
            <w:tcW w:w="700" w:type="pct"/>
            <w:shd w:val="clear" w:color="auto" w:fill="auto"/>
          </w:tcPr>
          <w:p w14:paraId="58EB47D4" w14:textId="77777777" w:rsidR="00BC2F05" w:rsidRPr="00956548" w:rsidRDefault="00772FB6" w:rsidP="00976665">
            <w:pPr>
              <w:pStyle w:val="TableText"/>
              <w:rPr>
                <w:color w:val="000000" w:themeColor="text1"/>
              </w:rPr>
            </w:pPr>
            <w:r w:rsidRPr="00C92E21">
              <w:t>Assessment not required</w:t>
            </w:r>
          </w:p>
        </w:tc>
        <w:tc>
          <w:tcPr>
            <w:tcW w:w="701" w:type="pct"/>
            <w:shd w:val="clear" w:color="auto" w:fill="auto"/>
          </w:tcPr>
          <w:p w14:paraId="552F740B" w14:textId="77777777" w:rsidR="00BC2F05" w:rsidRPr="00956548" w:rsidRDefault="00772FB6" w:rsidP="00976665">
            <w:pPr>
              <w:spacing w:before="60" w:after="60"/>
              <w:rPr>
                <w:color w:val="000000" w:themeColor="text1"/>
              </w:rPr>
            </w:pPr>
            <w:r w:rsidRPr="00BE71D5">
              <w:rPr>
                <w:sz w:val="18"/>
                <w:szCs w:val="18"/>
              </w:rPr>
              <w:t>Assessment not required</w:t>
            </w:r>
          </w:p>
        </w:tc>
        <w:tc>
          <w:tcPr>
            <w:tcW w:w="500" w:type="pct"/>
            <w:gridSpan w:val="2"/>
            <w:shd w:val="clear" w:color="auto" w:fill="auto"/>
          </w:tcPr>
          <w:p w14:paraId="1883B6A5" w14:textId="77777777" w:rsidR="00BC2F05" w:rsidRPr="00956548" w:rsidRDefault="00772FB6" w:rsidP="00976665">
            <w:pPr>
              <w:pStyle w:val="TableText"/>
              <w:rPr>
                <w:color w:val="000000" w:themeColor="text1"/>
              </w:rPr>
            </w:pPr>
            <w:r w:rsidRPr="00956548">
              <w:rPr>
                <w:color w:val="000000" w:themeColor="text1"/>
              </w:rPr>
              <w:t>No</w:t>
            </w:r>
          </w:p>
        </w:tc>
      </w:tr>
      <w:tr w:rsidR="00C80041" w14:paraId="5FE8B436" w14:textId="77777777" w:rsidTr="003754F5">
        <w:trPr>
          <w:trHeight w:val="75"/>
          <w:jc w:val="center"/>
        </w:trPr>
        <w:tc>
          <w:tcPr>
            <w:tcW w:w="799" w:type="pct"/>
            <w:shd w:val="clear" w:color="auto" w:fill="auto"/>
          </w:tcPr>
          <w:p w14:paraId="4ED90074" w14:textId="77777777" w:rsidR="00BC2F05" w:rsidRDefault="00772FB6" w:rsidP="00976665">
            <w:pPr>
              <w:pStyle w:val="TableText"/>
              <w:rPr>
                <w:color w:val="000000" w:themeColor="text1"/>
                <w:lang w:val="pt-BR"/>
              </w:rPr>
            </w:pPr>
            <w:bookmarkStart w:id="244" w:name="_Hlk84860431"/>
            <w:r w:rsidRPr="000E3BB5">
              <w:rPr>
                <w:i/>
                <w:lang w:val="pt-BR"/>
              </w:rPr>
              <w:t>Colletotrichum truncatum</w:t>
            </w:r>
            <w:bookmarkEnd w:id="244"/>
            <w:r>
              <w:rPr>
                <w:i/>
                <w:lang w:val="pt-BR"/>
              </w:rPr>
              <w:t xml:space="preserve"> </w:t>
            </w:r>
            <w:r>
              <w:t>(</w:t>
            </w:r>
            <w:proofErr w:type="spellStart"/>
            <w:r>
              <w:t>Schwwin</w:t>
            </w:r>
            <w:proofErr w:type="spellEnd"/>
            <w:r>
              <w:t>.) Andrus &amp; W.D. Moore</w:t>
            </w:r>
          </w:p>
          <w:p w14:paraId="75F341AC" w14:textId="77777777" w:rsidR="00BC2F05" w:rsidRPr="00B106EF" w:rsidRDefault="00772FB6" w:rsidP="00976665">
            <w:pPr>
              <w:pStyle w:val="TableText"/>
              <w:rPr>
                <w:color w:val="000000" w:themeColor="text1"/>
              </w:rPr>
            </w:pPr>
            <w:r>
              <w:t xml:space="preserve">Synonym: </w:t>
            </w:r>
            <w:r w:rsidRPr="00B02849">
              <w:rPr>
                <w:i/>
                <w:iCs/>
              </w:rPr>
              <w:t xml:space="preserve">Colletotrichum </w:t>
            </w:r>
            <w:proofErr w:type="spellStart"/>
            <w:r w:rsidRPr="00B02849">
              <w:rPr>
                <w:i/>
                <w:iCs/>
              </w:rPr>
              <w:t>capsici</w:t>
            </w:r>
            <w:proofErr w:type="spellEnd"/>
            <w:r w:rsidRPr="00B02849">
              <w:rPr>
                <w:i/>
                <w:iCs/>
              </w:rPr>
              <w:t xml:space="preserve"> </w:t>
            </w:r>
            <w:r>
              <w:t xml:space="preserve">(Syd. &amp; P. Syd.) E. J. Butler &amp; </w:t>
            </w:r>
            <w:proofErr w:type="spellStart"/>
            <w:r>
              <w:t>Bisby</w:t>
            </w:r>
            <w:proofErr w:type="spellEnd"/>
          </w:p>
          <w:p w14:paraId="102B5408" w14:textId="77777777" w:rsidR="00BC2F05" w:rsidRPr="008D71E6" w:rsidRDefault="00772FB6" w:rsidP="00976665">
            <w:pPr>
              <w:pStyle w:val="TableText"/>
            </w:pPr>
            <w:r>
              <w:rPr>
                <w:color w:val="000000" w:themeColor="text1"/>
                <w:lang w:val="pt-BR"/>
              </w:rPr>
              <w:t>[</w:t>
            </w:r>
            <w:proofErr w:type="spellStart"/>
            <w:r>
              <w:t>Sordariomycetidae</w:t>
            </w:r>
            <w:proofErr w:type="spellEnd"/>
            <w:r>
              <w:t xml:space="preserve">: </w:t>
            </w:r>
            <w:proofErr w:type="spellStart"/>
            <w:r>
              <w:t>Glomerellaceae</w:t>
            </w:r>
            <w:proofErr w:type="spellEnd"/>
            <w:r>
              <w:rPr>
                <w:color w:val="000000" w:themeColor="text1"/>
                <w:lang w:val="pt-BR"/>
              </w:rPr>
              <w:t>]</w:t>
            </w:r>
          </w:p>
        </w:tc>
        <w:tc>
          <w:tcPr>
            <w:tcW w:w="450" w:type="pct"/>
            <w:shd w:val="clear" w:color="auto" w:fill="auto"/>
          </w:tcPr>
          <w:p w14:paraId="694363C9" w14:textId="77777777" w:rsidR="00BC2F05" w:rsidRPr="00BD681D" w:rsidRDefault="00772FB6" w:rsidP="00976665">
            <w:pPr>
              <w:pStyle w:val="TableText"/>
              <w:rPr>
                <w:lang w:val="pt-BR"/>
              </w:rPr>
            </w:pPr>
            <w:r>
              <w:rPr>
                <w:lang w:val="pt-BR"/>
              </w:rPr>
              <w:t xml:space="preserve">Yes </w:t>
            </w:r>
            <w:r>
              <w:rPr>
                <w:noProof/>
                <w:lang w:val="pt-BR"/>
              </w:rPr>
              <w:t>(Department of Agriculture 2020; Laurel, Magdalita &amp; Dela Cueva 2021)</w:t>
            </w:r>
          </w:p>
        </w:tc>
        <w:tc>
          <w:tcPr>
            <w:tcW w:w="499" w:type="pct"/>
            <w:shd w:val="clear" w:color="auto" w:fill="auto"/>
          </w:tcPr>
          <w:p w14:paraId="59580EA7" w14:textId="77777777" w:rsidR="00BC2F05" w:rsidRPr="000E3BB5" w:rsidRDefault="00772FB6" w:rsidP="00976665">
            <w:pPr>
              <w:pStyle w:val="TableText"/>
            </w:pPr>
            <w:r>
              <w:t xml:space="preserve">Yes. NSW, NT, Qld, Vic., WA </w:t>
            </w:r>
            <w:r>
              <w:rPr>
                <w:noProof/>
                <w:szCs w:val="16"/>
              </w:rPr>
              <w:t>(APPD 2022)</w:t>
            </w:r>
            <w:r>
              <w:rPr>
                <w:szCs w:val="16"/>
              </w:rPr>
              <w:t xml:space="preserve"> </w:t>
            </w:r>
            <w:r>
              <w:t xml:space="preserve">Qld, WA </w:t>
            </w:r>
            <w:r>
              <w:rPr>
                <w:noProof/>
              </w:rPr>
              <w:t>(ALA 2022; Ash et al. 2014)</w:t>
            </w:r>
          </w:p>
        </w:tc>
        <w:tc>
          <w:tcPr>
            <w:tcW w:w="645" w:type="pct"/>
            <w:shd w:val="clear" w:color="auto" w:fill="auto"/>
          </w:tcPr>
          <w:p w14:paraId="22370771" w14:textId="77777777" w:rsidR="00BC2F05" w:rsidRPr="00BD681D" w:rsidRDefault="00772FB6" w:rsidP="00976665">
            <w:pPr>
              <w:pStyle w:val="TableText"/>
            </w:pPr>
            <w:r w:rsidRPr="00C04D4C">
              <w:t>Assessment not required</w:t>
            </w:r>
          </w:p>
        </w:tc>
        <w:tc>
          <w:tcPr>
            <w:tcW w:w="706" w:type="pct"/>
          </w:tcPr>
          <w:p w14:paraId="34254DAC" w14:textId="77777777" w:rsidR="00BC2F05" w:rsidRDefault="00772FB6" w:rsidP="00976665">
            <w:pPr>
              <w:pStyle w:val="TableText"/>
            </w:pPr>
            <w:r w:rsidRPr="00C04D4C">
              <w:t>Assessment not required</w:t>
            </w:r>
          </w:p>
        </w:tc>
        <w:tc>
          <w:tcPr>
            <w:tcW w:w="700" w:type="pct"/>
            <w:shd w:val="clear" w:color="auto" w:fill="auto"/>
          </w:tcPr>
          <w:p w14:paraId="16218E3D" w14:textId="77777777" w:rsidR="00BC2F05" w:rsidRPr="00BD681D" w:rsidRDefault="00772FB6" w:rsidP="00976665">
            <w:pPr>
              <w:pStyle w:val="TableText"/>
            </w:pPr>
            <w:r w:rsidRPr="00C04D4C">
              <w:t>Assessment not required</w:t>
            </w:r>
          </w:p>
        </w:tc>
        <w:tc>
          <w:tcPr>
            <w:tcW w:w="701" w:type="pct"/>
            <w:shd w:val="clear" w:color="auto" w:fill="auto"/>
          </w:tcPr>
          <w:p w14:paraId="205A69F7" w14:textId="77777777" w:rsidR="00BC2F05" w:rsidRPr="00BD681D" w:rsidRDefault="00772FB6" w:rsidP="00976665">
            <w:pPr>
              <w:pStyle w:val="TableText"/>
            </w:pPr>
            <w:r w:rsidRPr="00C04D4C">
              <w:t>Assessment not required</w:t>
            </w:r>
          </w:p>
        </w:tc>
        <w:tc>
          <w:tcPr>
            <w:tcW w:w="500" w:type="pct"/>
            <w:gridSpan w:val="2"/>
            <w:shd w:val="clear" w:color="auto" w:fill="auto"/>
          </w:tcPr>
          <w:p w14:paraId="479FFE39" w14:textId="77777777" w:rsidR="00BC2F05" w:rsidRPr="00BD681D" w:rsidRDefault="00772FB6" w:rsidP="00976665">
            <w:pPr>
              <w:pStyle w:val="TableText"/>
            </w:pPr>
            <w:r>
              <w:t>No</w:t>
            </w:r>
          </w:p>
        </w:tc>
      </w:tr>
      <w:tr w:rsidR="00C80041" w14:paraId="3AE2D008" w14:textId="77777777" w:rsidTr="003754F5">
        <w:trPr>
          <w:trHeight w:val="75"/>
          <w:jc w:val="center"/>
        </w:trPr>
        <w:tc>
          <w:tcPr>
            <w:tcW w:w="799" w:type="pct"/>
            <w:shd w:val="clear" w:color="auto" w:fill="auto"/>
          </w:tcPr>
          <w:p w14:paraId="7D565DD8" w14:textId="77777777" w:rsidR="00BC2F05" w:rsidRPr="008D71E6" w:rsidRDefault="00772FB6" w:rsidP="00976665">
            <w:pPr>
              <w:pStyle w:val="TableText"/>
              <w:rPr>
                <w:color w:val="000000" w:themeColor="text1"/>
                <w:lang w:val="pt-BR"/>
              </w:rPr>
            </w:pPr>
            <w:r w:rsidRPr="00DC153B">
              <w:rPr>
                <w:i/>
                <w:color w:val="000000" w:themeColor="text1"/>
                <w:lang w:val="pt-BR"/>
              </w:rPr>
              <w:t>Corynespora cassiicola</w:t>
            </w:r>
            <w:r>
              <w:rPr>
                <w:i/>
                <w:color w:val="000000" w:themeColor="text1"/>
                <w:lang w:val="pt-BR"/>
              </w:rPr>
              <w:t xml:space="preserve"> </w:t>
            </w:r>
            <w:r>
              <w:t>(Berk. &amp; M.A. Curtis) C.T. Wei</w:t>
            </w:r>
          </w:p>
          <w:p w14:paraId="755B2CB0" w14:textId="77777777" w:rsidR="00BC2F05" w:rsidRPr="00E53740" w:rsidRDefault="00772FB6" w:rsidP="00976665">
            <w:pPr>
              <w:pStyle w:val="TableText"/>
            </w:pPr>
            <w:r>
              <w:rPr>
                <w:color w:val="000000" w:themeColor="text1"/>
                <w:lang w:val="pt-BR"/>
              </w:rPr>
              <w:t>[</w:t>
            </w:r>
            <w:proofErr w:type="spellStart"/>
            <w:r>
              <w:t>Pleosporales</w:t>
            </w:r>
            <w:proofErr w:type="spellEnd"/>
            <w:r>
              <w:t xml:space="preserve">: </w:t>
            </w:r>
            <w:proofErr w:type="spellStart"/>
            <w:r>
              <w:t>Corynesporascaceae</w:t>
            </w:r>
            <w:proofErr w:type="spellEnd"/>
            <w:r>
              <w:rPr>
                <w:color w:val="000000" w:themeColor="text1"/>
                <w:lang w:val="pt-BR"/>
              </w:rPr>
              <w:t>]</w:t>
            </w:r>
          </w:p>
          <w:p w14:paraId="45CE5AA4" w14:textId="77777777" w:rsidR="00BC2F05" w:rsidRPr="00E53740" w:rsidRDefault="00772FB6" w:rsidP="00976665">
            <w:pPr>
              <w:pStyle w:val="TableText"/>
              <w:rPr>
                <w:color w:val="000000" w:themeColor="text1"/>
                <w:lang w:val="pt-BR"/>
              </w:rPr>
            </w:pPr>
            <w:r>
              <w:rPr>
                <w:color w:val="000000" w:themeColor="text1"/>
                <w:lang w:val="pt-BR"/>
              </w:rPr>
              <w:t>Leaf spot</w:t>
            </w:r>
          </w:p>
        </w:tc>
        <w:tc>
          <w:tcPr>
            <w:tcW w:w="450" w:type="pct"/>
            <w:shd w:val="clear" w:color="auto" w:fill="auto"/>
          </w:tcPr>
          <w:p w14:paraId="1878256A" w14:textId="77777777" w:rsidR="00BC2F05" w:rsidRPr="00BD681D" w:rsidRDefault="00772FB6" w:rsidP="00976665">
            <w:pPr>
              <w:pStyle w:val="TableText"/>
              <w:rPr>
                <w:lang w:val="pt-BR"/>
              </w:rPr>
            </w:pPr>
            <w:r>
              <w:rPr>
                <w:lang w:val="pt-BR"/>
              </w:rPr>
              <w:t xml:space="preserve">Yes </w:t>
            </w:r>
            <w:r>
              <w:rPr>
                <w:noProof/>
                <w:lang w:val="pt-BR"/>
              </w:rPr>
              <w:t>(Dimayacyac &amp; Balendres 2021)</w:t>
            </w:r>
          </w:p>
        </w:tc>
        <w:tc>
          <w:tcPr>
            <w:tcW w:w="499" w:type="pct"/>
            <w:shd w:val="clear" w:color="auto" w:fill="auto"/>
          </w:tcPr>
          <w:p w14:paraId="54401332" w14:textId="77777777" w:rsidR="00BC2F05" w:rsidRPr="00BD681D" w:rsidRDefault="00772FB6" w:rsidP="00976665">
            <w:pPr>
              <w:pStyle w:val="TableText"/>
              <w:rPr>
                <w:szCs w:val="16"/>
              </w:rPr>
            </w:pPr>
            <w:r>
              <w:t xml:space="preserve">Yes. NSW, Qld, Vic., NT </w:t>
            </w:r>
            <w:r>
              <w:rPr>
                <w:noProof/>
                <w:szCs w:val="16"/>
              </w:rPr>
              <w:t>(APPD 2022)</w:t>
            </w:r>
            <w:r>
              <w:rPr>
                <w:szCs w:val="16"/>
              </w:rPr>
              <w:t xml:space="preserve">, WA </w:t>
            </w:r>
            <w:r>
              <w:rPr>
                <w:noProof/>
              </w:rPr>
              <w:t>(Government of Western Australia 2022)</w:t>
            </w:r>
          </w:p>
        </w:tc>
        <w:tc>
          <w:tcPr>
            <w:tcW w:w="645" w:type="pct"/>
            <w:shd w:val="clear" w:color="auto" w:fill="auto"/>
          </w:tcPr>
          <w:p w14:paraId="392D4E24" w14:textId="77777777" w:rsidR="00BC2F05" w:rsidRPr="00BD681D" w:rsidRDefault="00772FB6" w:rsidP="00976665">
            <w:pPr>
              <w:pStyle w:val="TableText"/>
            </w:pPr>
            <w:r w:rsidRPr="00C04D4C">
              <w:t>Assessment not required</w:t>
            </w:r>
          </w:p>
        </w:tc>
        <w:tc>
          <w:tcPr>
            <w:tcW w:w="706" w:type="pct"/>
          </w:tcPr>
          <w:p w14:paraId="1A1B80EA" w14:textId="77777777" w:rsidR="00BC2F05" w:rsidRDefault="00772FB6" w:rsidP="00976665">
            <w:pPr>
              <w:pStyle w:val="TableText"/>
            </w:pPr>
            <w:r w:rsidRPr="00C04D4C">
              <w:t>Assessment not required</w:t>
            </w:r>
          </w:p>
        </w:tc>
        <w:tc>
          <w:tcPr>
            <w:tcW w:w="700" w:type="pct"/>
            <w:shd w:val="clear" w:color="auto" w:fill="auto"/>
          </w:tcPr>
          <w:p w14:paraId="2C2D4F93" w14:textId="77777777" w:rsidR="00BC2F05" w:rsidRPr="00BD681D" w:rsidRDefault="00772FB6" w:rsidP="00976665">
            <w:pPr>
              <w:pStyle w:val="TableText"/>
            </w:pPr>
            <w:r w:rsidRPr="00C04D4C">
              <w:t>Assessment not required</w:t>
            </w:r>
          </w:p>
        </w:tc>
        <w:tc>
          <w:tcPr>
            <w:tcW w:w="701" w:type="pct"/>
            <w:shd w:val="clear" w:color="auto" w:fill="auto"/>
          </w:tcPr>
          <w:p w14:paraId="61528794" w14:textId="77777777" w:rsidR="00BC2F05" w:rsidRPr="00BD681D" w:rsidRDefault="00772FB6" w:rsidP="00976665">
            <w:pPr>
              <w:pStyle w:val="TableText"/>
            </w:pPr>
            <w:r w:rsidRPr="00C04D4C">
              <w:t>Assessment not required</w:t>
            </w:r>
          </w:p>
        </w:tc>
        <w:tc>
          <w:tcPr>
            <w:tcW w:w="500" w:type="pct"/>
            <w:gridSpan w:val="2"/>
            <w:shd w:val="clear" w:color="auto" w:fill="auto"/>
          </w:tcPr>
          <w:p w14:paraId="3628160D" w14:textId="77777777" w:rsidR="00BC2F05" w:rsidRPr="00BD681D" w:rsidRDefault="00772FB6" w:rsidP="00976665">
            <w:pPr>
              <w:pStyle w:val="TableText"/>
            </w:pPr>
            <w:r>
              <w:t>No</w:t>
            </w:r>
          </w:p>
        </w:tc>
      </w:tr>
      <w:tr w:rsidR="00C80041" w14:paraId="26567D3B" w14:textId="77777777" w:rsidTr="003754F5">
        <w:trPr>
          <w:trHeight w:val="75"/>
          <w:jc w:val="center"/>
        </w:trPr>
        <w:tc>
          <w:tcPr>
            <w:tcW w:w="799" w:type="pct"/>
            <w:shd w:val="clear" w:color="auto" w:fill="auto"/>
          </w:tcPr>
          <w:p w14:paraId="2A539E8C" w14:textId="77777777" w:rsidR="00BC2F05" w:rsidRDefault="00772FB6" w:rsidP="00976665">
            <w:pPr>
              <w:pStyle w:val="TableText"/>
              <w:rPr>
                <w:color w:val="000000" w:themeColor="text1"/>
                <w:lang w:val="pt-BR"/>
              </w:rPr>
            </w:pPr>
            <w:r w:rsidRPr="002D5010">
              <w:rPr>
                <w:i/>
                <w:color w:val="000000" w:themeColor="text1"/>
                <w:lang w:val="pt-BR"/>
              </w:rPr>
              <w:t>Curvularia lunata</w:t>
            </w:r>
            <w:r>
              <w:rPr>
                <w:i/>
                <w:color w:val="000000" w:themeColor="text1"/>
                <w:lang w:val="pt-BR"/>
              </w:rPr>
              <w:t xml:space="preserve"> </w:t>
            </w:r>
            <w:r>
              <w:t>(</w:t>
            </w:r>
            <w:proofErr w:type="spellStart"/>
            <w:r>
              <w:t>Wakker</w:t>
            </w:r>
            <w:proofErr w:type="spellEnd"/>
            <w:r>
              <w:t xml:space="preserve">) </w:t>
            </w:r>
            <w:proofErr w:type="spellStart"/>
            <w:r>
              <w:t>Boedijn</w:t>
            </w:r>
            <w:proofErr w:type="spellEnd"/>
          </w:p>
          <w:p w14:paraId="64F619F4" w14:textId="77777777" w:rsidR="00BC2F05" w:rsidRPr="00B106EF" w:rsidRDefault="00772FB6" w:rsidP="00976665">
            <w:pPr>
              <w:pStyle w:val="TableText"/>
              <w:rPr>
                <w:color w:val="000000" w:themeColor="text1"/>
              </w:rPr>
            </w:pPr>
            <w:r>
              <w:lastRenderedPageBreak/>
              <w:t xml:space="preserve">Synonym: </w:t>
            </w:r>
            <w:proofErr w:type="spellStart"/>
            <w:r w:rsidRPr="00385896">
              <w:rPr>
                <w:i/>
                <w:iCs/>
              </w:rPr>
              <w:t>Cochliobolus</w:t>
            </w:r>
            <w:proofErr w:type="spellEnd"/>
            <w:r w:rsidRPr="00385896">
              <w:rPr>
                <w:i/>
                <w:iCs/>
              </w:rPr>
              <w:t xml:space="preserve"> lunatus</w:t>
            </w:r>
            <w:r>
              <w:t xml:space="preserve"> R.R. Nelson &amp; F.A. </w:t>
            </w:r>
            <w:proofErr w:type="spellStart"/>
            <w:r>
              <w:t>Haasis</w:t>
            </w:r>
            <w:proofErr w:type="spellEnd"/>
          </w:p>
          <w:p w14:paraId="504E8F37" w14:textId="77777777" w:rsidR="00BC2F05" w:rsidRPr="008D71E6" w:rsidRDefault="00772FB6" w:rsidP="00976665">
            <w:pPr>
              <w:pStyle w:val="TableText"/>
            </w:pPr>
            <w:r>
              <w:rPr>
                <w:color w:val="000000" w:themeColor="text1"/>
                <w:lang w:val="pt-BR"/>
              </w:rPr>
              <w:t>[</w:t>
            </w:r>
            <w:proofErr w:type="spellStart"/>
            <w:r>
              <w:t>Pleosporales</w:t>
            </w:r>
            <w:proofErr w:type="spellEnd"/>
            <w:r>
              <w:t xml:space="preserve">: </w:t>
            </w:r>
            <w:proofErr w:type="spellStart"/>
            <w:r>
              <w:t>Pleosporaceae</w:t>
            </w:r>
            <w:proofErr w:type="spellEnd"/>
            <w:r>
              <w:rPr>
                <w:color w:val="000000" w:themeColor="text1"/>
                <w:lang w:val="pt-BR"/>
              </w:rPr>
              <w:t>]</w:t>
            </w:r>
          </w:p>
        </w:tc>
        <w:tc>
          <w:tcPr>
            <w:tcW w:w="450" w:type="pct"/>
            <w:shd w:val="clear" w:color="auto" w:fill="auto"/>
          </w:tcPr>
          <w:p w14:paraId="70D90832" w14:textId="77777777" w:rsidR="00BC2F05" w:rsidRPr="00BD681D" w:rsidRDefault="00772FB6" w:rsidP="00976665">
            <w:pPr>
              <w:pStyle w:val="TableText"/>
              <w:rPr>
                <w:lang w:val="pt-BR"/>
              </w:rPr>
            </w:pPr>
            <w:r>
              <w:rPr>
                <w:lang w:val="pt-BR"/>
              </w:rPr>
              <w:lastRenderedPageBreak/>
              <w:t xml:space="preserve">Yes </w:t>
            </w:r>
            <w:r>
              <w:rPr>
                <w:noProof/>
                <w:lang w:val="pt-BR"/>
              </w:rPr>
              <w:t>(Alvindia, Kobayashi &amp; Tanda 2002)</w:t>
            </w:r>
          </w:p>
        </w:tc>
        <w:tc>
          <w:tcPr>
            <w:tcW w:w="499" w:type="pct"/>
            <w:shd w:val="clear" w:color="auto" w:fill="auto"/>
          </w:tcPr>
          <w:p w14:paraId="511C507D" w14:textId="77777777" w:rsidR="00BC2F05" w:rsidRPr="00BD681D" w:rsidRDefault="00772FB6" w:rsidP="00976665">
            <w:pPr>
              <w:pStyle w:val="TableText"/>
              <w:rPr>
                <w:szCs w:val="16"/>
              </w:rPr>
            </w:pPr>
            <w:r>
              <w:t xml:space="preserve">Yes. NSW, Qld, Vic., WA </w:t>
            </w:r>
            <w:r>
              <w:rPr>
                <w:noProof/>
                <w:szCs w:val="16"/>
              </w:rPr>
              <w:t>(APPD 2022)</w:t>
            </w:r>
          </w:p>
        </w:tc>
        <w:tc>
          <w:tcPr>
            <w:tcW w:w="645" w:type="pct"/>
            <w:shd w:val="clear" w:color="auto" w:fill="auto"/>
          </w:tcPr>
          <w:p w14:paraId="46489BA9" w14:textId="77777777" w:rsidR="00BC2F05" w:rsidRPr="00BD681D" w:rsidRDefault="00772FB6" w:rsidP="00976665">
            <w:pPr>
              <w:pStyle w:val="TableText"/>
            </w:pPr>
            <w:r w:rsidRPr="00C04D4C">
              <w:t>Assessment not required</w:t>
            </w:r>
          </w:p>
        </w:tc>
        <w:tc>
          <w:tcPr>
            <w:tcW w:w="706" w:type="pct"/>
          </w:tcPr>
          <w:p w14:paraId="6A886A79" w14:textId="77777777" w:rsidR="00BC2F05" w:rsidRDefault="00772FB6" w:rsidP="00976665">
            <w:pPr>
              <w:pStyle w:val="TableText"/>
            </w:pPr>
            <w:r w:rsidRPr="00C04D4C">
              <w:t>Assessment not required</w:t>
            </w:r>
          </w:p>
        </w:tc>
        <w:tc>
          <w:tcPr>
            <w:tcW w:w="700" w:type="pct"/>
            <w:shd w:val="clear" w:color="auto" w:fill="auto"/>
          </w:tcPr>
          <w:p w14:paraId="0E699A1F" w14:textId="77777777" w:rsidR="00BC2F05" w:rsidRPr="00BD681D" w:rsidRDefault="00772FB6" w:rsidP="00976665">
            <w:pPr>
              <w:pStyle w:val="TableText"/>
            </w:pPr>
            <w:r w:rsidRPr="00C04D4C">
              <w:t>Assessment not required</w:t>
            </w:r>
          </w:p>
        </w:tc>
        <w:tc>
          <w:tcPr>
            <w:tcW w:w="701" w:type="pct"/>
            <w:shd w:val="clear" w:color="auto" w:fill="auto"/>
          </w:tcPr>
          <w:p w14:paraId="044A5BE6" w14:textId="77777777" w:rsidR="00BC2F05" w:rsidRPr="00BD681D" w:rsidRDefault="00772FB6" w:rsidP="00976665">
            <w:pPr>
              <w:pStyle w:val="TableText"/>
            </w:pPr>
            <w:r w:rsidRPr="00C04D4C">
              <w:t>Assessment not required</w:t>
            </w:r>
          </w:p>
        </w:tc>
        <w:tc>
          <w:tcPr>
            <w:tcW w:w="500" w:type="pct"/>
            <w:gridSpan w:val="2"/>
            <w:shd w:val="clear" w:color="auto" w:fill="auto"/>
          </w:tcPr>
          <w:p w14:paraId="33B448B8" w14:textId="77777777" w:rsidR="00BC2F05" w:rsidRPr="00BD681D" w:rsidRDefault="00772FB6" w:rsidP="00976665">
            <w:pPr>
              <w:pStyle w:val="TableText"/>
            </w:pPr>
            <w:r>
              <w:t>No</w:t>
            </w:r>
          </w:p>
        </w:tc>
      </w:tr>
      <w:tr w:rsidR="00C80041" w14:paraId="2C62C1A8" w14:textId="77777777" w:rsidTr="003754F5">
        <w:trPr>
          <w:trHeight w:val="75"/>
          <w:jc w:val="center"/>
        </w:trPr>
        <w:tc>
          <w:tcPr>
            <w:tcW w:w="799" w:type="pct"/>
            <w:shd w:val="clear" w:color="auto" w:fill="auto"/>
          </w:tcPr>
          <w:p w14:paraId="5F0F17B9" w14:textId="77777777" w:rsidR="00BC2F05" w:rsidRPr="008D71E6" w:rsidRDefault="00772FB6" w:rsidP="00976665">
            <w:pPr>
              <w:pStyle w:val="TableText"/>
              <w:rPr>
                <w:color w:val="000000" w:themeColor="text1"/>
                <w:lang w:val="pt-BR"/>
              </w:rPr>
            </w:pPr>
            <w:r>
              <w:rPr>
                <w:i/>
                <w:color w:val="000000" w:themeColor="text1"/>
                <w:lang w:val="pt-BR"/>
              </w:rPr>
              <w:t xml:space="preserve">Curvularia oryzae </w:t>
            </w:r>
            <w:proofErr w:type="spellStart"/>
            <w:r>
              <w:t>Bugnic</w:t>
            </w:r>
            <w:proofErr w:type="spellEnd"/>
            <w:r>
              <w:rPr>
                <w:color w:val="000000" w:themeColor="text1"/>
                <w:lang w:val="pt-BR"/>
              </w:rPr>
              <w:t>.</w:t>
            </w:r>
          </w:p>
          <w:p w14:paraId="610E057F" w14:textId="77777777" w:rsidR="00BC2F05" w:rsidRPr="008D71E6" w:rsidRDefault="00772FB6" w:rsidP="00976665">
            <w:pPr>
              <w:pStyle w:val="TableText"/>
            </w:pPr>
            <w:r>
              <w:rPr>
                <w:color w:val="000000" w:themeColor="text1"/>
                <w:lang w:val="pt-BR"/>
              </w:rPr>
              <w:t>[</w:t>
            </w:r>
            <w:proofErr w:type="spellStart"/>
            <w:r>
              <w:t>Pleosporales</w:t>
            </w:r>
            <w:proofErr w:type="spellEnd"/>
            <w:r>
              <w:t xml:space="preserve">: </w:t>
            </w:r>
            <w:proofErr w:type="spellStart"/>
            <w:r>
              <w:t>Pleosporaceae</w:t>
            </w:r>
            <w:proofErr w:type="spellEnd"/>
            <w:r>
              <w:rPr>
                <w:color w:val="000000" w:themeColor="text1"/>
                <w:lang w:val="pt-BR"/>
              </w:rPr>
              <w:t>]</w:t>
            </w:r>
          </w:p>
        </w:tc>
        <w:tc>
          <w:tcPr>
            <w:tcW w:w="450" w:type="pct"/>
            <w:shd w:val="clear" w:color="auto" w:fill="auto"/>
          </w:tcPr>
          <w:p w14:paraId="71F5CB8D" w14:textId="77777777" w:rsidR="00BC2F05" w:rsidRPr="00BD681D" w:rsidRDefault="00772FB6" w:rsidP="00976665">
            <w:pPr>
              <w:pStyle w:val="TableText"/>
              <w:rPr>
                <w:lang w:val="pt-BR"/>
              </w:rPr>
            </w:pPr>
            <w:r>
              <w:rPr>
                <w:lang w:val="pt-BR"/>
              </w:rPr>
              <w:t xml:space="preserve">Yes </w:t>
            </w:r>
            <w:r>
              <w:rPr>
                <w:noProof/>
                <w:lang w:val="pt-BR"/>
              </w:rPr>
              <w:t>(de Luna, Watson &amp; Paulitz 2002)</w:t>
            </w:r>
          </w:p>
        </w:tc>
        <w:tc>
          <w:tcPr>
            <w:tcW w:w="499" w:type="pct"/>
            <w:shd w:val="clear" w:color="auto" w:fill="auto"/>
          </w:tcPr>
          <w:p w14:paraId="7D8EC812" w14:textId="77777777" w:rsidR="00BC2F05" w:rsidRPr="00BD681D" w:rsidRDefault="00772FB6" w:rsidP="00976665">
            <w:pPr>
              <w:pStyle w:val="TableText"/>
              <w:rPr>
                <w:szCs w:val="16"/>
              </w:rPr>
            </w:pPr>
            <w:r>
              <w:t xml:space="preserve">Yes. Qld, Tas. </w:t>
            </w:r>
            <w:r>
              <w:rPr>
                <w:noProof/>
                <w:szCs w:val="16"/>
              </w:rPr>
              <w:t>(APPD 2022)</w:t>
            </w:r>
          </w:p>
        </w:tc>
        <w:tc>
          <w:tcPr>
            <w:tcW w:w="645" w:type="pct"/>
            <w:shd w:val="clear" w:color="auto" w:fill="auto"/>
          </w:tcPr>
          <w:p w14:paraId="699E5173" w14:textId="77777777" w:rsidR="00BC2F05" w:rsidRPr="00BD681D" w:rsidRDefault="00772FB6" w:rsidP="00976665">
            <w:pPr>
              <w:pStyle w:val="TableText"/>
            </w:pPr>
            <w:r>
              <w:t>Assessment not required</w:t>
            </w:r>
          </w:p>
        </w:tc>
        <w:tc>
          <w:tcPr>
            <w:tcW w:w="706" w:type="pct"/>
          </w:tcPr>
          <w:p w14:paraId="79A78CCE" w14:textId="77777777" w:rsidR="00BC2F05" w:rsidRDefault="00772FB6" w:rsidP="00976665">
            <w:pPr>
              <w:pStyle w:val="TableText"/>
            </w:pPr>
            <w:r>
              <w:t>Assessment not required</w:t>
            </w:r>
          </w:p>
        </w:tc>
        <w:tc>
          <w:tcPr>
            <w:tcW w:w="700" w:type="pct"/>
            <w:shd w:val="clear" w:color="auto" w:fill="auto"/>
          </w:tcPr>
          <w:p w14:paraId="2BD1A77C" w14:textId="77777777" w:rsidR="00BC2F05" w:rsidRPr="00BD681D" w:rsidRDefault="00772FB6" w:rsidP="00976665">
            <w:pPr>
              <w:pStyle w:val="TableText"/>
            </w:pPr>
            <w:r>
              <w:t>Assessment not required</w:t>
            </w:r>
          </w:p>
        </w:tc>
        <w:tc>
          <w:tcPr>
            <w:tcW w:w="701" w:type="pct"/>
            <w:shd w:val="clear" w:color="auto" w:fill="auto"/>
          </w:tcPr>
          <w:p w14:paraId="25130236" w14:textId="77777777" w:rsidR="00BC2F05" w:rsidRPr="00BD681D" w:rsidRDefault="00772FB6" w:rsidP="00976665">
            <w:pPr>
              <w:pStyle w:val="TableText"/>
            </w:pPr>
            <w:r>
              <w:t>Assessment not required</w:t>
            </w:r>
          </w:p>
        </w:tc>
        <w:tc>
          <w:tcPr>
            <w:tcW w:w="500" w:type="pct"/>
            <w:gridSpan w:val="2"/>
            <w:shd w:val="clear" w:color="auto" w:fill="auto"/>
          </w:tcPr>
          <w:p w14:paraId="65489400" w14:textId="77777777" w:rsidR="00BC2F05" w:rsidRPr="00BD681D" w:rsidRDefault="00772FB6" w:rsidP="00976665">
            <w:pPr>
              <w:pStyle w:val="TableText"/>
            </w:pPr>
            <w:r>
              <w:t>No</w:t>
            </w:r>
          </w:p>
        </w:tc>
      </w:tr>
      <w:tr w:rsidR="00C80041" w14:paraId="43DEF6A6" w14:textId="77777777" w:rsidTr="003754F5">
        <w:trPr>
          <w:trHeight w:val="75"/>
          <w:jc w:val="center"/>
        </w:trPr>
        <w:tc>
          <w:tcPr>
            <w:tcW w:w="799" w:type="pct"/>
            <w:shd w:val="clear" w:color="auto" w:fill="auto"/>
          </w:tcPr>
          <w:p w14:paraId="63AC14F5" w14:textId="77777777" w:rsidR="00BC2F05" w:rsidRDefault="00772FB6" w:rsidP="00976665">
            <w:pPr>
              <w:pStyle w:val="TableText"/>
              <w:rPr>
                <w:lang w:val="pt-BR"/>
              </w:rPr>
            </w:pPr>
            <w:r w:rsidRPr="001C0529">
              <w:rPr>
                <w:i/>
                <w:lang w:val="pt-BR"/>
              </w:rPr>
              <w:t>Fusarium chlamydosporum</w:t>
            </w:r>
            <w:r>
              <w:rPr>
                <w:i/>
                <w:lang w:val="pt-BR"/>
              </w:rPr>
              <w:t xml:space="preserve"> </w:t>
            </w:r>
            <w:proofErr w:type="spellStart"/>
            <w:r w:rsidRPr="001C0529">
              <w:t>Wollenw</w:t>
            </w:r>
            <w:proofErr w:type="spellEnd"/>
            <w:r>
              <w:t>.</w:t>
            </w:r>
            <w:r w:rsidRPr="001C0529">
              <w:t xml:space="preserve"> &amp; Reinking</w:t>
            </w:r>
          </w:p>
          <w:p w14:paraId="5BACED6B" w14:textId="77777777" w:rsidR="00BC2F05" w:rsidRPr="001C0529" w:rsidRDefault="00772FB6" w:rsidP="00976665">
            <w:pPr>
              <w:pStyle w:val="TableText"/>
              <w:rPr>
                <w:lang w:val="pt-BR"/>
              </w:rPr>
            </w:pPr>
            <w:r>
              <w:rPr>
                <w:lang w:val="pt-BR"/>
              </w:rPr>
              <w:t xml:space="preserve">Synonym: </w:t>
            </w:r>
            <w:r>
              <w:rPr>
                <w:i/>
                <w:color w:val="000000" w:themeColor="text1"/>
                <w:lang w:val="pt-BR"/>
              </w:rPr>
              <w:t xml:space="preserve">Fusarium sporotrichioides </w:t>
            </w:r>
            <w:r>
              <w:rPr>
                <w:color w:val="000000" w:themeColor="text1"/>
                <w:lang w:val="pt-BR"/>
              </w:rPr>
              <w:t>Sherb.</w:t>
            </w:r>
          </w:p>
          <w:p w14:paraId="141D09BA" w14:textId="77777777" w:rsidR="00BC2F05" w:rsidRPr="001C0529" w:rsidRDefault="00772FB6" w:rsidP="00976665">
            <w:pPr>
              <w:pStyle w:val="TableText"/>
            </w:pPr>
            <w:r w:rsidRPr="001C0529">
              <w:rPr>
                <w:lang w:val="pt-BR"/>
              </w:rPr>
              <w:t>[</w:t>
            </w:r>
            <w:r w:rsidRPr="001C0529">
              <w:t xml:space="preserve">Hypocreales: </w:t>
            </w:r>
            <w:proofErr w:type="spellStart"/>
            <w:r w:rsidRPr="001C0529">
              <w:t>Nectriaceae</w:t>
            </w:r>
            <w:proofErr w:type="spellEnd"/>
            <w:r w:rsidRPr="001C0529">
              <w:rPr>
                <w:lang w:val="pt-BR"/>
              </w:rPr>
              <w:t>]</w:t>
            </w:r>
          </w:p>
          <w:p w14:paraId="390ACE9B" w14:textId="77777777" w:rsidR="00BC2F05" w:rsidRPr="001C0529" w:rsidRDefault="00772FB6" w:rsidP="00976665">
            <w:pPr>
              <w:pStyle w:val="TableText"/>
              <w:rPr>
                <w:lang w:val="pt-BR"/>
              </w:rPr>
            </w:pPr>
            <w:r w:rsidRPr="001C0529">
              <w:rPr>
                <w:lang w:val="pt-BR"/>
              </w:rPr>
              <w:t>Cotton wilt</w:t>
            </w:r>
          </w:p>
        </w:tc>
        <w:tc>
          <w:tcPr>
            <w:tcW w:w="450" w:type="pct"/>
            <w:shd w:val="clear" w:color="auto" w:fill="auto"/>
          </w:tcPr>
          <w:p w14:paraId="6EA4E653" w14:textId="77777777" w:rsidR="00BC2F05" w:rsidRPr="001C0529" w:rsidRDefault="00772FB6" w:rsidP="00976665">
            <w:pPr>
              <w:pStyle w:val="TableText"/>
              <w:rPr>
                <w:lang w:val="pt-BR"/>
              </w:rPr>
            </w:pPr>
            <w:r w:rsidRPr="001C0529">
              <w:rPr>
                <w:lang w:val="pt-BR"/>
              </w:rPr>
              <w:t xml:space="preserve">Yes </w:t>
            </w:r>
            <w:r>
              <w:rPr>
                <w:noProof/>
                <w:lang w:val="pt-BR"/>
              </w:rPr>
              <w:t>(Alberto &amp; Otanes 2016)</w:t>
            </w:r>
          </w:p>
        </w:tc>
        <w:tc>
          <w:tcPr>
            <w:tcW w:w="499" w:type="pct"/>
            <w:shd w:val="clear" w:color="auto" w:fill="auto"/>
          </w:tcPr>
          <w:p w14:paraId="4724EC12" w14:textId="77777777" w:rsidR="00BC2F05" w:rsidRPr="001C0529" w:rsidRDefault="00772FB6" w:rsidP="00976665">
            <w:pPr>
              <w:pStyle w:val="TableText"/>
              <w:rPr>
                <w:szCs w:val="16"/>
              </w:rPr>
            </w:pPr>
            <w:r w:rsidRPr="001C0529">
              <w:t>Yes. WA, Vic., NSW, Qld, Tas</w:t>
            </w:r>
            <w:r>
              <w:t>.</w:t>
            </w:r>
            <w:r w:rsidRPr="001C0529">
              <w:t xml:space="preserve"> </w:t>
            </w:r>
            <w:r>
              <w:rPr>
                <w:noProof/>
                <w:szCs w:val="16"/>
              </w:rPr>
              <w:t>(APPD 2022)</w:t>
            </w:r>
          </w:p>
        </w:tc>
        <w:tc>
          <w:tcPr>
            <w:tcW w:w="645" w:type="pct"/>
            <w:shd w:val="clear" w:color="auto" w:fill="auto"/>
          </w:tcPr>
          <w:p w14:paraId="6E815A5C" w14:textId="77777777" w:rsidR="00BC2F05" w:rsidRPr="001C0529" w:rsidRDefault="00772FB6" w:rsidP="00976665">
            <w:pPr>
              <w:pStyle w:val="TableText"/>
            </w:pPr>
            <w:r w:rsidRPr="001C0529">
              <w:t>Assessment not required</w:t>
            </w:r>
          </w:p>
        </w:tc>
        <w:tc>
          <w:tcPr>
            <w:tcW w:w="706" w:type="pct"/>
          </w:tcPr>
          <w:p w14:paraId="737463DE" w14:textId="77777777" w:rsidR="00BC2F05" w:rsidRPr="001C0529" w:rsidRDefault="00772FB6" w:rsidP="00976665">
            <w:pPr>
              <w:pStyle w:val="TableText"/>
            </w:pPr>
            <w:r w:rsidRPr="001C0529">
              <w:t>Assessment not required</w:t>
            </w:r>
          </w:p>
        </w:tc>
        <w:tc>
          <w:tcPr>
            <w:tcW w:w="700" w:type="pct"/>
            <w:shd w:val="clear" w:color="auto" w:fill="auto"/>
          </w:tcPr>
          <w:p w14:paraId="532843F1" w14:textId="77777777" w:rsidR="00BC2F05" w:rsidRPr="001C0529" w:rsidRDefault="00772FB6" w:rsidP="00976665">
            <w:pPr>
              <w:pStyle w:val="TableText"/>
            </w:pPr>
            <w:r w:rsidRPr="001C0529">
              <w:t>Assessment not required</w:t>
            </w:r>
          </w:p>
        </w:tc>
        <w:tc>
          <w:tcPr>
            <w:tcW w:w="701" w:type="pct"/>
            <w:shd w:val="clear" w:color="auto" w:fill="auto"/>
          </w:tcPr>
          <w:p w14:paraId="4AC35DF9" w14:textId="77777777" w:rsidR="00BC2F05" w:rsidRPr="001C0529" w:rsidRDefault="00772FB6" w:rsidP="00976665">
            <w:pPr>
              <w:pStyle w:val="TableText"/>
            </w:pPr>
            <w:r w:rsidRPr="001C0529">
              <w:t>Assessment not required</w:t>
            </w:r>
          </w:p>
        </w:tc>
        <w:tc>
          <w:tcPr>
            <w:tcW w:w="500" w:type="pct"/>
            <w:gridSpan w:val="2"/>
            <w:shd w:val="clear" w:color="auto" w:fill="auto"/>
          </w:tcPr>
          <w:p w14:paraId="43F9091A" w14:textId="77777777" w:rsidR="00BC2F05" w:rsidRPr="001C0529" w:rsidRDefault="00772FB6" w:rsidP="00976665">
            <w:pPr>
              <w:pStyle w:val="TableText"/>
            </w:pPr>
            <w:r w:rsidRPr="001C0529">
              <w:t>No</w:t>
            </w:r>
          </w:p>
        </w:tc>
      </w:tr>
      <w:tr w:rsidR="00C80041" w14:paraId="2E2AAA4E" w14:textId="77777777" w:rsidTr="003754F5">
        <w:trPr>
          <w:trHeight w:val="75"/>
          <w:jc w:val="center"/>
        </w:trPr>
        <w:tc>
          <w:tcPr>
            <w:tcW w:w="799" w:type="pct"/>
            <w:shd w:val="clear" w:color="auto" w:fill="auto"/>
          </w:tcPr>
          <w:p w14:paraId="5BA90DBA" w14:textId="77777777" w:rsidR="00BC2F05" w:rsidRDefault="00772FB6" w:rsidP="00976665">
            <w:pPr>
              <w:pStyle w:val="TableText"/>
              <w:rPr>
                <w:color w:val="000000" w:themeColor="text1"/>
                <w:lang w:val="pt-BR"/>
              </w:rPr>
            </w:pPr>
            <w:r>
              <w:rPr>
                <w:i/>
                <w:color w:val="000000" w:themeColor="text1"/>
                <w:lang w:val="pt-BR"/>
              </w:rPr>
              <w:t xml:space="preserve">Fusarium equiseti </w:t>
            </w:r>
            <w:r>
              <w:t xml:space="preserve">(Corda) </w:t>
            </w:r>
            <w:proofErr w:type="spellStart"/>
            <w:r>
              <w:t>Sacc</w:t>
            </w:r>
            <w:proofErr w:type="spellEnd"/>
            <w:r>
              <w:t>.</w:t>
            </w:r>
          </w:p>
          <w:p w14:paraId="7F808716" w14:textId="77777777" w:rsidR="00BC2F05" w:rsidRPr="00B106EF" w:rsidRDefault="00772FB6" w:rsidP="00976665">
            <w:pPr>
              <w:pStyle w:val="TableText"/>
              <w:rPr>
                <w:color w:val="000000" w:themeColor="text1"/>
              </w:rPr>
            </w:pPr>
            <w:r>
              <w:t xml:space="preserve">Synonym: </w:t>
            </w:r>
            <w:proofErr w:type="spellStart"/>
            <w:r w:rsidRPr="00780FAC">
              <w:rPr>
                <w:i/>
                <w:iCs/>
              </w:rPr>
              <w:t>Gibberella</w:t>
            </w:r>
            <w:proofErr w:type="spellEnd"/>
            <w:r w:rsidRPr="00780FAC">
              <w:rPr>
                <w:i/>
                <w:iCs/>
              </w:rPr>
              <w:t xml:space="preserve"> </w:t>
            </w:r>
            <w:proofErr w:type="spellStart"/>
            <w:r w:rsidRPr="00780FAC">
              <w:rPr>
                <w:i/>
                <w:iCs/>
              </w:rPr>
              <w:t>intricans</w:t>
            </w:r>
            <w:proofErr w:type="spellEnd"/>
            <w:r w:rsidRPr="00780FAC">
              <w:rPr>
                <w:i/>
                <w:iCs/>
              </w:rPr>
              <w:t xml:space="preserve"> </w:t>
            </w:r>
            <w:proofErr w:type="spellStart"/>
            <w:r>
              <w:t>Wollenw</w:t>
            </w:r>
            <w:proofErr w:type="spellEnd"/>
            <w:r>
              <w:t>.</w:t>
            </w:r>
          </w:p>
          <w:p w14:paraId="00CB5420" w14:textId="77777777" w:rsidR="00BC2F05" w:rsidRPr="00E53740" w:rsidRDefault="00772FB6" w:rsidP="00976665">
            <w:pPr>
              <w:pStyle w:val="TableText"/>
            </w:pPr>
            <w:r>
              <w:rPr>
                <w:color w:val="000000" w:themeColor="text1"/>
                <w:lang w:val="pt-BR"/>
              </w:rPr>
              <w:t>[</w:t>
            </w:r>
            <w:r>
              <w:t xml:space="preserve">Hypocreales: </w:t>
            </w:r>
            <w:proofErr w:type="spellStart"/>
            <w:r>
              <w:t>Nectriaceae</w:t>
            </w:r>
            <w:proofErr w:type="spellEnd"/>
            <w:r>
              <w:rPr>
                <w:color w:val="000000" w:themeColor="text1"/>
                <w:lang w:val="pt-BR"/>
              </w:rPr>
              <w:t>]</w:t>
            </w:r>
          </w:p>
          <w:p w14:paraId="1367104B" w14:textId="77777777" w:rsidR="00BC2F05" w:rsidRPr="00E53740" w:rsidRDefault="00772FB6" w:rsidP="00976665">
            <w:pPr>
              <w:pStyle w:val="TableText"/>
              <w:rPr>
                <w:color w:val="000000" w:themeColor="text1"/>
                <w:lang w:val="pt-BR"/>
              </w:rPr>
            </w:pPr>
            <w:r>
              <w:rPr>
                <w:color w:val="000000" w:themeColor="text1"/>
                <w:lang w:val="pt-BR"/>
              </w:rPr>
              <w:t>Brown rot</w:t>
            </w:r>
          </w:p>
        </w:tc>
        <w:tc>
          <w:tcPr>
            <w:tcW w:w="450" w:type="pct"/>
            <w:shd w:val="clear" w:color="auto" w:fill="auto"/>
          </w:tcPr>
          <w:p w14:paraId="73E8B75B"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41CF068C" w14:textId="77777777" w:rsidR="00BC2F05" w:rsidRPr="00BD681D" w:rsidRDefault="00772FB6" w:rsidP="00976665">
            <w:pPr>
              <w:pStyle w:val="TableText"/>
              <w:rPr>
                <w:szCs w:val="16"/>
              </w:rPr>
            </w:pPr>
            <w:r>
              <w:t xml:space="preserve">Yes. NSW, Qld, SA, Tas., Vic., WA </w:t>
            </w:r>
            <w:r>
              <w:rPr>
                <w:noProof/>
                <w:szCs w:val="16"/>
              </w:rPr>
              <w:t>(APPD 2022)</w:t>
            </w:r>
          </w:p>
        </w:tc>
        <w:tc>
          <w:tcPr>
            <w:tcW w:w="645" w:type="pct"/>
            <w:shd w:val="clear" w:color="auto" w:fill="auto"/>
          </w:tcPr>
          <w:p w14:paraId="3E3AFB0E" w14:textId="77777777" w:rsidR="00BC2F05" w:rsidRPr="00BD681D" w:rsidRDefault="00772FB6" w:rsidP="00976665">
            <w:pPr>
              <w:pStyle w:val="TableText"/>
            </w:pPr>
            <w:r>
              <w:t>Assessment not required</w:t>
            </w:r>
          </w:p>
        </w:tc>
        <w:tc>
          <w:tcPr>
            <w:tcW w:w="706" w:type="pct"/>
          </w:tcPr>
          <w:p w14:paraId="77BE2BE3" w14:textId="77777777" w:rsidR="00BC2F05" w:rsidRDefault="00772FB6" w:rsidP="00976665">
            <w:pPr>
              <w:pStyle w:val="TableText"/>
            </w:pPr>
            <w:r>
              <w:t>Assessment not required</w:t>
            </w:r>
          </w:p>
        </w:tc>
        <w:tc>
          <w:tcPr>
            <w:tcW w:w="700" w:type="pct"/>
            <w:shd w:val="clear" w:color="auto" w:fill="auto"/>
          </w:tcPr>
          <w:p w14:paraId="55A6A191" w14:textId="77777777" w:rsidR="00BC2F05" w:rsidRPr="00BD681D" w:rsidRDefault="00772FB6" w:rsidP="00976665">
            <w:pPr>
              <w:pStyle w:val="TableText"/>
            </w:pPr>
            <w:r>
              <w:t>Assessment not required</w:t>
            </w:r>
          </w:p>
        </w:tc>
        <w:tc>
          <w:tcPr>
            <w:tcW w:w="701" w:type="pct"/>
            <w:shd w:val="clear" w:color="auto" w:fill="auto"/>
          </w:tcPr>
          <w:p w14:paraId="74912C7C" w14:textId="77777777" w:rsidR="00BC2F05" w:rsidRPr="00BD681D" w:rsidRDefault="00772FB6" w:rsidP="00976665">
            <w:pPr>
              <w:pStyle w:val="TableText"/>
            </w:pPr>
            <w:r>
              <w:t>Assessment not required</w:t>
            </w:r>
          </w:p>
        </w:tc>
        <w:tc>
          <w:tcPr>
            <w:tcW w:w="500" w:type="pct"/>
            <w:gridSpan w:val="2"/>
            <w:shd w:val="clear" w:color="auto" w:fill="auto"/>
          </w:tcPr>
          <w:p w14:paraId="00649812" w14:textId="77777777" w:rsidR="00BC2F05" w:rsidRPr="00BD681D" w:rsidRDefault="00772FB6" w:rsidP="00976665">
            <w:pPr>
              <w:pStyle w:val="TableText"/>
            </w:pPr>
            <w:r>
              <w:t>No</w:t>
            </w:r>
          </w:p>
        </w:tc>
      </w:tr>
      <w:tr w:rsidR="00C80041" w14:paraId="05102952" w14:textId="77777777" w:rsidTr="003754F5">
        <w:trPr>
          <w:trHeight w:val="75"/>
          <w:jc w:val="center"/>
        </w:trPr>
        <w:tc>
          <w:tcPr>
            <w:tcW w:w="799" w:type="pct"/>
            <w:shd w:val="clear" w:color="auto" w:fill="auto"/>
          </w:tcPr>
          <w:p w14:paraId="35D43BEB" w14:textId="77777777" w:rsidR="00BC2F05" w:rsidRPr="001C0529" w:rsidRDefault="00772FB6" w:rsidP="00976665">
            <w:pPr>
              <w:pStyle w:val="TableText"/>
              <w:rPr>
                <w:lang w:val="pt-BR"/>
              </w:rPr>
            </w:pPr>
            <w:r w:rsidRPr="001C0529">
              <w:rPr>
                <w:i/>
                <w:lang w:val="pt-BR"/>
              </w:rPr>
              <w:t>Fusarium fujikuroi</w:t>
            </w:r>
            <w:r>
              <w:rPr>
                <w:i/>
                <w:lang w:val="pt-BR"/>
              </w:rPr>
              <w:t xml:space="preserve"> </w:t>
            </w:r>
            <w:r w:rsidRPr="0040190F">
              <w:rPr>
                <w:iCs/>
                <w:lang w:val="pt-BR"/>
              </w:rPr>
              <w:t xml:space="preserve">sensu stricto </w:t>
            </w:r>
            <w:r w:rsidRPr="001C0529">
              <w:t>Nirenberg</w:t>
            </w:r>
          </w:p>
          <w:p w14:paraId="2A0B7679" w14:textId="77777777" w:rsidR="00BC2F05" w:rsidRPr="001C0529" w:rsidRDefault="00772FB6" w:rsidP="00976665">
            <w:pPr>
              <w:pStyle w:val="TableText"/>
            </w:pPr>
            <w:r w:rsidRPr="001C0529">
              <w:rPr>
                <w:lang w:val="pt-BR"/>
              </w:rPr>
              <w:t>[</w:t>
            </w:r>
            <w:r w:rsidRPr="001C0529">
              <w:t xml:space="preserve">Hypocreales: </w:t>
            </w:r>
            <w:proofErr w:type="spellStart"/>
            <w:r w:rsidRPr="001C0529">
              <w:t>Nectriaceae</w:t>
            </w:r>
            <w:proofErr w:type="spellEnd"/>
            <w:r w:rsidRPr="001C0529">
              <w:rPr>
                <w:lang w:val="pt-BR"/>
              </w:rPr>
              <w:t>]</w:t>
            </w:r>
          </w:p>
          <w:p w14:paraId="14CCBA1B" w14:textId="77777777" w:rsidR="00BC2F05" w:rsidRPr="001C0529" w:rsidRDefault="00772FB6" w:rsidP="00976665">
            <w:pPr>
              <w:pStyle w:val="TableText"/>
              <w:rPr>
                <w:lang w:val="pt-BR"/>
              </w:rPr>
            </w:pPr>
            <w:r w:rsidRPr="001C0529">
              <w:t>Stem rot</w:t>
            </w:r>
          </w:p>
        </w:tc>
        <w:tc>
          <w:tcPr>
            <w:tcW w:w="450" w:type="pct"/>
            <w:shd w:val="clear" w:color="auto" w:fill="auto"/>
          </w:tcPr>
          <w:p w14:paraId="0D0C4F7D" w14:textId="77777777" w:rsidR="00BC2F05" w:rsidRPr="001C0529" w:rsidRDefault="00772FB6" w:rsidP="00976665">
            <w:pPr>
              <w:pStyle w:val="TableText"/>
              <w:rPr>
                <w:lang w:val="pt-BR"/>
              </w:rPr>
            </w:pPr>
            <w:r w:rsidRPr="001C0529">
              <w:rPr>
                <w:lang w:val="pt-BR"/>
              </w:rPr>
              <w:t xml:space="preserve">Yes </w:t>
            </w:r>
            <w:r>
              <w:rPr>
                <w:noProof/>
                <w:lang w:val="pt-BR"/>
              </w:rPr>
              <w:t>(Cumagun, Arcillas &amp; Gergon 2011)</w:t>
            </w:r>
          </w:p>
        </w:tc>
        <w:tc>
          <w:tcPr>
            <w:tcW w:w="499" w:type="pct"/>
            <w:shd w:val="clear" w:color="auto" w:fill="auto"/>
          </w:tcPr>
          <w:p w14:paraId="2C52324C" w14:textId="77777777" w:rsidR="00BC2F05" w:rsidRPr="001C0529" w:rsidRDefault="00772FB6" w:rsidP="00976665">
            <w:pPr>
              <w:pStyle w:val="TableText"/>
              <w:rPr>
                <w:szCs w:val="16"/>
              </w:rPr>
            </w:pPr>
            <w:r w:rsidRPr="001C0529">
              <w:t>Yes. NSW, Qld</w:t>
            </w:r>
            <w:r>
              <w:t xml:space="preserve">, SA, Vic., WA </w:t>
            </w:r>
            <w:r>
              <w:rPr>
                <w:noProof/>
                <w:szCs w:val="16"/>
              </w:rPr>
              <w:t>(APPD 2022)</w:t>
            </w:r>
          </w:p>
        </w:tc>
        <w:tc>
          <w:tcPr>
            <w:tcW w:w="645" w:type="pct"/>
            <w:shd w:val="clear" w:color="auto" w:fill="auto"/>
          </w:tcPr>
          <w:p w14:paraId="686056D0" w14:textId="77777777" w:rsidR="00BC2F05" w:rsidRPr="001C0529" w:rsidRDefault="00772FB6" w:rsidP="00976665">
            <w:pPr>
              <w:pStyle w:val="TableText"/>
            </w:pPr>
            <w:r w:rsidRPr="001C0529">
              <w:t>Assessment not required</w:t>
            </w:r>
          </w:p>
        </w:tc>
        <w:tc>
          <w:tcPr>
            <w:tcW w:w="706" w:type="pct"/>
          </w:tcPr>
          <w:p w14:paraId="52EF5529" w14:textId="77777777" w:rsidR="00BC2F05" w:rsidRPr="001C0529" w:rsidRDefault="00772FB6" w:rsidP="00976665">
            <w:pPr>
              <w:pStyle w:val="TableText"/>
            </w:pPr>
            <w:r w:rsidRPr="001C0529">
              <w:t>Assessment not required</w:t>
            </w:r>
          </w:p>
        </w:tc>
        <w:tc>
          <w:tcPr>
            <w:tcW w:w="700" w:type="pct"/>
            <w:shd w:val="clear" w:color="auto" w:fill="auto"/>
          </w:tcPr>
          <w:p w14:paraId="42A2D971" w14:textId="77777777" w:rsidR="00BC2F05" w:rsidRPr="001C0529" w:rsidRDefault="00772FB6" w:rsidP="00976665">
            <w:pPr>
              <w:pStyle w:val="TableText"/>
            </w:pPr>
            <w:r w:rsidRPr="001C0529">
              <w:t>Assessment not required</w:t>
            </w:r>
          </w:p>
        </w:tc>
        <w:tc>
          <w:tcPr>
            <w:tcW w:w="701" w:type="pct"/>
            <w:shd w:val="clear" w:color="auto" w:fill="auto"/>
          </w:tcPr>
          <w:p w14:paraId="7C7C8BD4" w14:textId="77777777" w:rsidR="00BC2F05" w:rsidRPr="001C0529" w:rsidRDefault="00772FB6" w:rsidP="00976665">
            <w:pPr>
              <w:pStyle w:val="TableText"/>
            </w:pPr>
            <w:r w:rsidRPr="001C0529">
              <w:t>Assessment not required</w:t>
            </w:r>
          </w:p>
        </w:tc>
        <w:tc>
          <w:tcPr>
            <w:tcW w:w="500" w:type="pct"/>
            <w:gridSpan w:val="2"/>
            <w:shd w:val="clear" w:color="auto" w:fill="auto"/>
          </w:tcPr>
          <w:p w14:paraId="510D44AB" w14:textId="77777777" w:rsidR="00BC2F05" w:rsidRPr="001C0529" w:rsidRDefault="00772FB6" w:rsidP="00976665">
            <w:pPr>
              <w:pStyle w:val="TableText"/>
            </w:pPr>
            <w:r w:rsidRPr="001C0529">
              <w:t>No</w:t>
            </w:r>
          </w:p>
        </w:tc>
      </w:tr>
      <w:tr w:rsidR="00C80041" w14:paraId="55049220" w14:textId="77777777" w:rsidTr="003754F5">
        <w:trPr>
          <w:trHeight w:val="75"/>
          <w:jc w:val="center"/>
        </w:trPr>
        <w:tc>
          <w:tcPr>
            <w:tcW w:w="799" w:type="pct"/>
            <w:shd w:val="clear" w:color="auto" w:fill="auto"/>
          </w:tcPr>
          <w:p w14:paraId="580DD00E" w14:textId="77777777" w:rsidR="00BC2F05" w:rsidRDefault="00772FB6" w:rsidP="00976665">
            <w:pPr>
              <w:pStyle w:val="TableText"/>
              <w:rPr>
                <w:lang w:val="pt-BR"/>
              </w:rPr>
            </w:pPr>
            <w:r w:rsidRPr="001C0529">
              <w:rPr>
                <w:i/>
                <w:lang w:val="pt-BR"/>
              </w:rPr>
              <w:lastRenderedPageBreak/>
              <w:t>Fusarium incarnatum</w:t>
            </w:r>
            <w:r>
              <w:rPr>
                <w:i/>
                <w:lang w:val="pt-BR"/>
              </w:rPr>
              <w:t xml:space="preserve"> </w:t>
            </w:r>
            <w:r>
              <w:rPr>
                <w:lang w:val="pt-BR"/>
              </w:rPr>
              <w:t>(Roberge ex Desm</w:t>
            </w:r>
            <w:r w:rsidRPr="001C0529">
              <w:rPr>
                <w:lang w:val="pt-BR"/>
              </w:rPr>
              <w:t>.</w:t>
            </w:r>
            <w:r>
              <w:rPr>
                <w:lang w:val="pt-BR"/>
              </w:rPr>
              <w:t>) Sacc.</w:t>
            </w:r>
          </w:p>
          <w:p w14:paraId="24F39BCE" w14:textId="77777777" w:rsidR="00BC2F05" w:rsidRPr="001C0529" w:rsidRDefault="00772FB6" w:rsidP="00976665">
            <w:pPr>
              <w:pStyle w:val="TableText"/>
              <w:rPr>
                <w:lang w:val="pt-BR"/>
              </w:rPr>
            </w:pPr>
            <w:r>
              <w:rPr>
                <w:lang w:val="pt-BR"/>
              </w:rPr>
              <w:t xml:space="preserve">Synonym: </w:t>
            </w:r>
            <w:r>
              <w:rPr>
                <w:i/>
                <w:color w:val="000000" w:themeColor="text1"/>
                <w:lang w:val="pt-BR"/>
              </w:rPr>
              <w:t xml:space="preserve">Fusarium semitectum </w:t>
            </w:r>
            <w:r>
              <w:t xml:space="preserve">Berk. &amp; </w:t>
            </w:r>
            <w:proofErr w:type="spellStart"/>
            <w:r>
              <w:t>Ravenel</w:t>
            </w:r>
            <w:proofErr w:type="spellEnd"/>
          </w:p>
          <w:p w14:paraId="30ACE4D6" w14:textId="77777777" w:rsidR="00BC2F05" w:rsidRPr="001C0529" w:rsidRDefault="00772FB6" w:rsidP="00976665">
            <w:pPr>
              <w:pStyle w:val="TableText"/>
            </w:pPr>
            <w:r w:rsidRPr="001C0529">
              <w:rPr>
                <w:lang w:val="pt-BR"/>
              </w:rPr>
              <w:t>[</w:t>
            </w:r>
            <w:r w:rsidRPr="001C0529">
              <w:t xml:space="preserve">Hypocreales: </w:t>
            </w:r>
            <w:proofErr w:type="spellStart"/>
            <w:r w:rsidRPr="001C0529">
              <w:t>Nectriaceae</w:t>
            </w:r>
            <w:proofErr w:type="spellEnd"/>
            <w:r w:rsidRPr="001C0529">
              <w:rPr>
                <w:lang w:val="pt-BR"/>
              </w:rPr>
              <w:t>]</w:t>
            </w:r>
          </w:p>
        </w:tc>
        <w:tc>
          <w:tcPr>
            <w:tcW w:w="450" w:type="pct"/>
            <w:shd w:val="clear" w:color="auto" w:fill="auto"/>
          </w:tcPr>
          <w:p w14:paraId="73D3A5A7" w14:textId="77777777" w:rsidR="00BC2F05" w:rsidRPr="001C0529" w:rsidRDefault="00772FB6" w:rsidP="00976665">
            <w:pPr>
              <w:pStyle w:val="TableText"/>
              <w:rPr>
                <w:lang w:val="pt-BR"/>
              </w:rPr>
            </w:pPr>
            <w:r w:rsidRPr="001C0529">
              <w:rPr>
                <w:lang w:val="pt-BR"/>
              </w:rPr>
              <w:t xml:space="preserve">Yes </w:t>
            </w:r>
            <w:r>
              <w:rPr>
                <w:noProof/>
                <w:lang w:val="pt-BR"/>
              </w:rPr>
              <w:t>(Samaco &amp; dela Cueva 2019)</w:t>
            </w:r>
            <w:r w:rsidRPr="001C0529">
              <w:rPr>
                <w:lang w:val="pt-BR"/>
              </w:rPr>
              <w:t xml:space="preserve"> </w:t>
            </w:r>
          </w:p>
        </w:tc>
        <w:tc>
          <w:tcPr>
            <w:tcW w:w="499" w:type="pct"/>
            <w:shd w:val="clear" w:color="auto" w:fill="auto"/>
          </w:tcPr>
          <w:p w14:paraId="1986F58D" w14:textId="77777777" w:rsidR="00BC2F05" w:rsidRPr="001C0529" w:rsidRDefault="00772FB6" w:rsidP="00976665">
            <w:pPr>
              <w:pStyle w:val="TableText"/>
              <w:rPr>
                <w:szCs w:val="16"/>
              </w:rPr>
            </w:pPr>
            <w:r w:rsidRPr="001C0529">
              <w:t xml:space="preserve">Yes. NSW, Qld, Vic., NT </w:t>
            </w:r>
            <w:r>
              <w:rPr>
                <w:noProof/>
              </w:rPr>
              <w:t>(GBIF Secretariat 2022)</w:t>
            </w:r>
            <w:r w:rsidRPr="001C0529">
              <w:t xml:space="preserve">, WA </w:t>
            </w:r>
            <w:r>
              <w:rPr>
                <w:noProof/>
              </w:rPr>
              <w:t>(Government of Western Australia 2022)</w:t>
            </w:r>
          </w:p>
        </w:tc>
        <w:tc>
          <w:tcPr>
            <w:tcW w:w="645" w:type="pct"/>
            <w:shd w:val="clear" w:color="auto" w:fill="auto"/>
          </w:tcPr>
          <w:p w14:paraId="6986DBB1" w14:textId="77777777" w:rsidR="00BC2F05" w:rsidRPr="001C0529" w:rsidRDefault="00772FB6" w:rsidP="00976665">
            <w:pPr>
              <w:pStyle w:val="TableText"/>
            </w:pPr>
            <w:r w:rsidRPr="001C0529">
              <w:t>Assessment not required</w:t>
            </w:r>
          </w:p>
        </w:tc>
        <w:tc>
          <w:tcPr>
            <w:tcW w:w="706" w:type="pct"/>
          </w:tcPr>
          <w:p w14:paraId="75A6FB5A" w14:textId="77777777" w:rsidR="00BC2F05" w:rsidRPr="001C0529" w:rsidRDefault="00772FB6" w:rsidP="00976665">
            <w:pPr>
              <w:pStyle w:val="TableText"/>
            </w:pPr>
            <w:r w:rsidRPr="001C0529">
              <w:t>Assessment not required</w:t>
            </w:r>
          </w:p>
        </w:tc>
        <w:tc>
          <w:tcPr>
            <w:tcW w:w="700" w:type="pct"/>
            <w:shd w:val="clear" w:color="auto" w:fill="auto"/>
          </w:tcPr>
          <w:p w14:paraId="220594AC" w14:textId="77777777" w:rsidR="00BC2F05" w:rsidRPr="001C0529" w:rsidRDefault="00772FB6" w:rsidP="00976665">
            <w:pPr>
              <w:pStyle w:val="TableText"/>
            </w:pPr>
            <w:r w:rsidRPr="001C0529">
              <w:t>Assessment not required</w:t>
            </w:r>
          </w:p>
        </w:tc>
        <w:tc>
          <w:tcPr>
            <w:tcW w:w="701" w:type="pct"/>
            <w:shd w:val="clear" w:color="auto" w:fill="auto"/>
          </w:tcPr>
          <w:p w14:paraId="4B255064" w14:textId="77777777" w:rsidR="00BC2F05" w:rsidRPr="001C0529" w:rsidRDefault="00772FB6" w:rsidP="00976665">
            <w:pPr>
              <w:pStyle w:val="TableText"/>
            </w:pPr>
            <w:r w:rsidRPr="001C0529">
              <w:t>Assessment not required</w:t>
            </w:r>
          </w:p>
        </w:tc>
        <w:tc>
          <w:tcPr>
            <w:tcW w:w="500" w:type="pct"/>
            <w:gridSpan w:val="2"/>
            <w:shd w:val="clear" w:color="auto" w:fill="auto"/>
          </w:tcPr>
          <w:p w14:paraId="7189F839" w14:textId="77777777" w:rsidR="00BC2F05" w:rsidRPr="001C0529" w:rsidRDefault="00772FB6" w:rsidP="00976665">
            <w:pPr>
              <w:pStyle w:val="TableText"/>
            </w:pPr>
            <w:r w:rsidRPr="001C0529">
              <w:t>No</w:t>
            </w:r>
          </w:p>
        </w:tc>
      </w:tr>
      <w:tr w:rsidR="00C80041" w14:paraId="58654BF7" w14:textId="77777777" w:rsidTr="003754F5">
        <w:trPr>
          <w:trHeight w:val="75"/>
          <w:jc w:val="center"/>
        </w:trPr>
        <w:tc>
          <w:tcPr>
            <w:tcW w:w="799" w:type="pct"/>
            <w:shd w:val="clear" w:color="auto" w:fill="auto"/>
          </w:tcPr>
          <w:p w14:paraId="2B66B35D" w14:textId="77777777" w:rsidR="00BC2F05" w:rsidRDefault="00772FB6" w:rsidP="00976665">
            <w:pPr>
              <w:pStyle w:val="TableText"/>
              <w:rPr>
                <w:color w:val="000000" w:themeColor="text1"/>
                <w:lang w:val="pt-BR"/>
              </w:rPr>
            </w:pPr>
            <w:r w:rsidRPr="002D5010">
              <w:rPr>
                <w:i/>
                <w:color w:val="000000" w:themeColor="text1"/>
                <w:lang w:val="pt-BR"/>
              </w:rPr>
              <w:t>Fusarium lateritium</w:t>
            </w:r>
            <w:r>
              <w:rPr>
                <w:i/>
                <w:color w:val="000000" w:themeColor="text1"/>
                <w:lang w:val="pt-BR"/>
              </w:rPr>
              <w:t xml:space="preserve"> </w:t>
            </w:r>
            <w:r>
              <w:rPr>
                <w:color w:val="000000" w:themeColor="text1"/>
                <w:lang w:val="pt-BR"/>
              </w:rPr>
              <w:t>Nees</w:t>
            </w:r>
          </w:p>
          <w:p w14:paraId="1DFBB32E" w14:textId="77777777" w:rsidR="00BC2F05" w:rsidRPr="00B106EF" w:rsidRDefault="00772FB6" w:rsidP="00976665">
            <w:pPr>
              <w:pStyle w:val="TableText"/>
              <w:rPr>
                <w:color w:val="000000" w:themeColor="text1"/>
              </w:rPr>
            </w:pPr>
            <w:r>
              <w:t xml:space="preserve">Synonym: </w:t>
            </w:r>
            <w:proofErr w:type="spellStart"/>
            <w:r w:rsidRPr="000515EB">
              <w:rPr>
                <w:i/>
                <w:iCs/>
              </w:rPr>
              <w:t>Gibberella</w:t>
            </w:r>
            <w:proofErr w:type="spellEnd"/>
            <w:r w:rsidRPr="000515EB">
              <w:rPr>
                <w:i/>
                <w:iCs/>
              </w:rPr>
              <w:t xml:space="preserve"> </w:t>
            </w:r>
            <w:proofErr w:type="spellStart"/>
            <w:r w:rsidRPr="000515EB">
              <w:rPr>
                <w:i/>
                <w:iCs/>
              </w:rPr>
              <w:t>baccata</w:t>
            </w:r>
            <w:proofErr w:type="spellEnd"/>
            <w:r>
              <w:t xml:space="preserve"> (</w:t>
            </w:r>
            <w:proofErr w:type="spellStart"/>
            <w:r>
              <w:t>Wallr</w:t>
            </w:r>
            <w:proofErr w:type="spellEnd"/>
            <w:r>
              <w:t xml:space="preserve">.) </w:t>
            </w:r>
            <w:proofErr w:type="spellStart"/>
            <w:r>
              <w:t>Sacc</w:t>
            </w:r>
            <w:proofErr w:type="spellEnd"/>
            <w:r>
              <w:t>.</w:t>
            </w:r>
          </w:p>
          <w:p w14:paraId="5C15AE9F" w14:textId="77777777" w:rsidR="00BC2F05" w:rsidRPr="008D71E6" w:rsidRDefault="00772FB6" w:rsidP="00976665">
            <w:pPr>
              <w:pStyle w:val="TableText"/>
            </w:pPr>
            <w:r>
              <w:rPr>
                <w:color w:val="000000" w:themeColor="text1"/>
                <w:lang w:val="pt-BR"/>
              </w:rPr>
              <w:t>[</w:t>
            </w:r>
            <w:r>
              <w:t xml:space="preserve">Hypocreales: </w:t>
            </w:r>
            <w:proofErr w:type="spellStart"/>
            <w:r>
              <w:t>Nectriaceae</w:t>
            </w:r>
            <w:proofErr w:type="spellEnd"/>
            <w:r>
              <w:rPr>
                <w:color w:val="000000" w:themeColor="text1"/>
                <w:lang w:val="pt-BR"/>
              </w:rPr>
              <w:t>]</w:t>
            </w:r>
          </w:p>
        </w:tc>
        <w:tc>
          <w:tcPr>
            <w:tcW w:w="450" w:type="pct"/>
            <w:shd w:val="clear" w:color="auto" w:fill="auto"/>
          </w:tcPr>
          <w:p w14:paraId="46D8EB78" w14:textId="77777777" w:rsidR="00BC2F05" w:rsidRPr="00BD681D" w:rsidRDefault="00772FB6" w:rsidP="00976665">
            <w:pPr>
              <w:pStyle w:val="TableText"/>
              <w:rPr>
                <w:lang w:val="pt-BR"/>
              </w:rPr>
            </w:pPr>
            <w:r>
              <w:rPr>
                <w:lang w:val="pt-BR"/>
              </w:rPr>
              <w:t xml:space="preserve">Yes </w:t>
            </w:r>
            <w:r>
              <w:rPr>
                <w:noProof/>
                <w:lang w:val="pt-BR"/>
              </w:rPr>
              <w:t>(Clark &amp; Hoy 1994)</w:t>
            </w:r>
          </w:p>
        </w:tc>
        <w:tc>
          <w:tcPr>
            <w:tcW w:w="499" w:type="pct"/>
            <w:shd w:val="clear" w:color="auto" w:fill="auto"/>
          </w:tcPr>
          <w:p w14:paraId="0ACE2F0B" w14:textId="77777777" w:rsidR="00BC2F05" w:rsidRPr="00BD681D" w:rsidRDefault="00772FB6" w:rsidP="00976665">
            <w:pPr>
              <w:pStyle w:val="TableText"/>
              <w:rPr>
                <w:szCs w:val="16"/>
              </w:rPr>
            </w:pPr>
            <w:r>
              <w:t xml:space="preserve">Yes. NSW, Qld, SA, Tas., Vic., WA </w:t>
            </w:r>
            <w:r>
              <w:rPr>
                <w:noProof/>
                <w:szCs w:val="16"/>
              </w:rPr>
              <w:t>(APPD 2022; Clark &amp; Hoy 1994)</w:t>
            </w:r>
          </w:p>
        </w:tc>
        <w:tc>
          <w:tcPr>
            <w:tcW w:w="645" w:type="pct"/>
            <w:shd w:val="clear" w:color="auto" w:fill="auto"/>
          </w:tcPr>
          <w:p w14:paraId="22EF614F" w14:textId="77777777" w:rsidR="00BC2F05" w:rsidRPr="00BD681D" w:rsidRDefault="00772FB6" w:rsidP="00976665">
            <w:pPr>
              <w:pStyle w:val="TableText"/>
            </w:pPr>
            <w:r>
              <w:t>Assessment not required</w:t>
            </w:r>
          </w:p>
        </w:tc>
        <w:tc>
          <w:tcPr>
            <w:tcW w:w="706" w:type="pct"/>
          </w:tcPr>
          <w:p w14:paraId="5474E2E6" w14:textId="77777777" w:rsidR="00BC2F05" w:rsidRDefault="00772FB6" w:rsidP="00976665">
            <w:pPr>
              <w:pStyle w:val="TableText"/>
            </w:pPr>
            <w:r>
              <w:t>Assessment not required</w:t>
            </w:r>
          </w:p>
        </w:tc>
        <w:tc>
          <w:tcPr>
            <w:tcW w:w="700" w:type="pct"/>
            <w:shd w:val="clear" w:color="auto" w:fill="auto"/>
          </w:tcPr>
          <w:p w14:paraId="23316B2C" w14:textId="77777777" w:rsidR="00BC2F05" w:rsidRPr="00BD681D" w:rsidRDefault="00772FB6" w:rsidP="00976665">
            <w:pPr>
              <w:pStyle w:val="TableText"/>
            </w:pPr>
            <w:r>
              <w:t>Assessment not required</w:t>
            </w:r>
          </w:p>
        </w:tc>
        <w:tc>
          <w:tcPr>
            <w:tcW w:w="701" w:type="pct"/>
            <w:shd w:val="clear" w:color="auto" w:fill="auto"/>
          </w:tcPr>
          <w:p w14:paraId="39E933C0" w14:textId="77777777" w:rsidR="00BC2F05" w:rsidRPr="00BD681D" w:rsidRDefault="00772FB6" w:rsidP="00976665">
            <w:pPr>
              <w:pStyle w:val="TableText"/>
            </w:pPr>
            <w:r>
              <w:t>Assessment not required</w:t>
            </w:r>
          </w:p>
        </w:tc>
        <w:tc>
          <w:tcPr>
            <w:tcW w:w="500" w:type="pct"/>
            <w:gridSpan w:val="2"/>
            <w:shd w:val="clear" w:color="auto" w:fill="auto"/>
          </w:tcPr>
          <w:p w14:paraId="42733281" w14:textId="77777777" w:rsidR="00BC2F05" w:rsidRPr="00BD681D" w:rsidRDefault="00772FB6" w:rsidP="00976665">
            <w:pPr>
              <w:pStyle w:val="TableText"/>
            </w:pPr>
            <w:r>
              <w:t>No</w:t>
            </w:r>
          </w:p>
        </w:tc>
      </w:tr>
      <w:tr w:rsidR="00C80041" w14:paraId="36CEA194" w14:textId="77777777" w:rsidTr="003754F5">
        <w:trPr>
          <w:trHeight w:val="75"/>
          <w:jc w:val="center"/>
        </w:trPr>
        <w:tc>
          <w:tcPr>
            <w:tcW w:w="799" w:type="pct"/>
            <w:shd w:val="clear" w:color="auto" w:fill="auto"/>
          </w:tcPr>
          <w:p w14:paraId="4120190C" w14:textId="77777777" w:rsidR="00BC2F05" w:rsidRPr="008D71E6" w:rsidRDefault="00772FB6" w:rsidP="00976665">
            <w:pPr>
              <w:pStyle w:val="TableText"/>
              <w:rPr>
                <w:color w:val="000000" w:themeColor="text1"/>
                <w:lang w:val="pt-BR"/>
              </w:rPr>
            </w:pPr>
            <w:bookmarkStart w:id="245" w:name="_Hlk84860525"/>
            <w:r w:rsidRPr="002D5010">
              <w:rPr>
                <w:i/>
                <w:color w:val="000000" w:themeColor="text1"/>
                <w:lang w:val="pt-BR"/>
              </w:rPr>
              <w:t>Fusarium oxysporum</w:t>
            </w:r>
            <w:bookmarkEnd w:id="245"/>
            <w:r>
              <w:rPr>
                <w:i/>
                <w:color w:val="000000" w:themeColor="text1"/>
                <w:lang w:val="pt-BR"/>
              </w:rPr>
              <w:t xml:space="preserve"> </w:t>
            </w:r>
            <w:proofErr w:type="spellStart"/>
            <w:r>
              <w:t>Schltdl</w:t>
            </w:r>
            <w:proofErr w:type="spellEnd"/>
            <w:r>
              <w:t>.</w:t>
            </w:r>
          </w:p>
          <w:p w14:paraId="076DC4CB" w14:textId="77777777" w:rsidR="00BC2F05" w:rsidRDefault="00772FB6" w:rsidP="00976665">
            <w:pPr>
              <w:pStyle w:val="TableText"/>
              <w:rPr>
                <w:color w:val="000000" w:themeColor="text1"/>
                <w:lang w:val="pt-BR"/>
              </w:rPr>
            </w:pPr>
            <w:r>
              <w:rPr>
                <w:color w:val="000000" w:themeColor="text1"/>
                <w:lang w:val="pt-BR"/>
              </w:rPr>
              <w:t>[</w:t>
            </w:r>
            <w:r>
              <w:t xml:space="preserve">Hypocreales: </w:t>
            </w:r>
            <w:proofErr w:type="spellStart"/>
            <w:r>
              <w:t>Nectriaceae</w:t>
            </w:r>
            <w:proofErr w:type="spellEnd"/>
            <w:r>
              <w:rPr>
                <w:color w:val="000000" w:themeColor="text1"/>
                <w:lang w:val="pt-BR"/>
              </w:rPr>
              <w:t>]</w:t>
            </w:r>
          </w:p>
          <w:p w14:paraId="192354A6" w14:textId="77777777" w:rsidR="00BC2F05" w:rsidRPr="008D71E6" w:rsidRDefault="00BC2F05" w:rsidP="00976665">
            <w:pPr>
              <w:pStyle w:val="TableText"/>
            </w:pPr>
          </w:p>
        </w:tc>
        <w:tc>
          <w:tcPr>
            <w:tcW w:w="450" w:type="pct"/>
            <w:shd w:val="clear" w:color="auto" w:fill="auto"/>
          </w:tcPr>
          <w:p w14:paraId="7B7320EB"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0AC2D58E" w14:textId="77777777" w:rsidR="00BC2F05" w:rsidRPr="00BD681D" w:rsidRDefault="00772FB6" w:rsidP="00976665">
            <w:pPr>
              <w:pStyle w:val="TableText"/>
              <w:rPr>
                <w:szCs w:val="16"/>
              </w:rPr>
            </w:pPr>
            <w:bookmarkStart w:id="246" w:name="_Hlk109993655"/>
            <w:r>
              <w:t xml:space="preserve">Yes. All states and territories </w:t>
            </w:r>
            <w:bookmarkEnd w:id="246"/>
            <w:r>
              <w:rPr>
                <w:noProof/>
                <w:szCs w:val="16"/>
              </w:rPr>
              <w:t>(APPD 2022; Clark &amp; Hoy 1994)</w:t>
            </w:r>
          </w:p>
        </w:tc>
        <w:tc>
          <w:tcPr>
            <w:tcW w:w="645" w:type="pct"/>
            <w:shd w:val="clear" w:color="auto" w:fill="auto"/>
          </w:tcPr>
          <w:p w14:paraId="6F875790" w14:textId="77777777" w:rsidR="00BC2F05" w:rsidRPr="00BD681D" w:rsidRDefault="00772FB6" w:rsidP="00976665">
            <w:pPr>
              <w:pStyle w:val="TableText"/>
            </w:pPr>
            <w:r>
              <w:t xml:space="preserve">Assessment not required </w:t>
            </w:r>
          </w:p>
        </w:tc>
        <w:tc>
          <w:tcPr>
            <w:tcW w:w="706" w:type="pct"/>
          </w:tcPr>
          <w:p w14:paraId="36372B3F" w14:textId="77777777" w:rsidR="00BC2F05" w:rsidRDefault="00772FB6" w:rsidP="00976665">
            <w:pPr>
              <w:pStyle w:val="TableText"/>
            </w:pPr>
            <w:r>
              <w:t>Assessment not required</w:t>
            </w:r>
          </w:p>
        </w:tc>
        <w:tc>
          <w:tcPr>
            <w:tcW w:w="700" w:type="pct"/>
            <w:shd w:val="clear" w:color="auto" w:fill="auto"/>
          </w:tcPr>
          <w:p w14:paraId="7D82D425" w14:textId="77777777" w:rsidR="00BC2F05" w:rsidRPr="00BD681D" w:rsidRDefault="00772FB6" w:rsidP="00976665">
            <w:pPr>
              <w:pStyle w:val="TableText"/>
            </w:pPr>
            <w:r>
              <w:t>Assessment not required</w:t>
            </w:r>
          </w:p>
        </w:tc>
        <w:tc>
          <w:tcPr>
            <w:tcW w:w="701" w:type="pct"/>
            <w:shd w:val="clear" w:color="auto" w:fill="auto"/>
          </w:tcPr>
          <w:p w14:paraId="1F117B7E" w14:textId="77777777" w:rsidR="00BC2F05" w:rsidRPr="00BD681D" w:rsidRDefault="00772FB6" w:rsidP="00976665">
            <w:pPr>
              <w:pStyle w:val="TableText"/>
            </w:pPr>
            <w:r>
              <w:t>Assessment not required</w:t>
            </w:r>
          </w:p>
        </w:tc>
        <w:tc>
          <w:tcPr>
            <w:tcW w:w="500" w:type="pct"/>
            <w:gridSpan w:val="2"/>
            <w:shd w:val="clear" w:color="auto" w:fill="auto"/>
          </w:tcPr>
          <w:p w14:paraId="7CBB418C" w14:textId="77777777" w:rsidR="00BC2F05" w:rsidRPr="00BD681D" w:rsidRDefault="00772FB6" w:rsidP="00976665">
            <w:pPr>
              <w:pStyle w:val="TableText"/>
            </w:pPr>
            <w:r>
              <w:t>No</w:t>
            </w:r>
          </w:p>
        </w:tc>
      </w:tr>
      <w:tr w:rsidR="00C80041" w14:paraId="65679A21" w14:textId="77777777" w:rsidTr="003754F5">
        <w:trPr>
          <w:trHeight w:val="75"/>
          <w:jc w:val="center"/>
        </w:trPr>
        <w:tc>
          <w:tcPr>
            <w:tcW w:w="799" w:type="pct"/>
            <w:shd w:val="clear" w:color="auto" w:fill="auto"/>
          </w:tcPr>
          <w:p w14:paraId="30197F36" w14:textId="77777777" w:rsidR="00BC2F05" w:rsidRPr="008B323C" w:rsidRDefault="00772FB6" w:rsidP="00976665">
            <w:pPr>
              <w:pStyle w:val="TableText"/>
              <w:rPr>
                <w:color w:val="000000" w:themeColor="text1"/>
                <w:lang w:val="pt-BR"/>
              </w:rPr>
            </w:pPr>
            <w:r w:rsidRPr="00A552A3">
              <w:rPr>
                <w:i/>
                <w:lang w:val="pt-BR"/>
              </w:rPr>
              <w:t>Fusarium proliferatum</w:t>
            </w:r>
            <w:r>
              <w:rPr>
                <w:i/>
                <w:lang w:val="pt-BR"/>
              </w:rPr>
              <w:t xml:space="preserve"> </w:t>
            </w:r>
            <w:r>
              <w:rPr>
                <w:color w:val="000000" w:themeColor="text1"/>
                <w:lang w:val="pt-BR"/>
              </w:rPr>
              <w:t>(Matsush.) Nirenberg ex Gerlach &amp; Nirenberg</w:t>
            </w:r>
          </w:p>
          <w:p w14:paraId="5D32094A" w14:textId="77777777" w:rsidR="00BC2F05" w:rsidRPr="008D71E6" w:rsidRDefault="00772FB6" w:rsidP="00976665">
            <w:pPr>
              <w:pStyle w:val="TableText"/>
            </w:pPr>
            <w:r>
              <w:rPr>
                <w:color w:val="000000" w:themeColor="text1"/>
                <w:lang w:val="pt-BR"/>
              </w:rPr>
              <w:t>[Hypocreales: Nectriaceae]</w:t>
            </w:r>
          </w:p>
        </w:tc>
        <w:tc>
          <w:tcPr>
            <w:tcW w:w="450" w:type="pct"/>
            <w:shd w:val="clear" w:color="auto" w:fill="auto"/>
          </w:tcPr>
          <w:p w14:paraId="639B5172" w14:textId="77777777" w:rsidR="00BC2F05" w:rsidRPr="008D71E6" w:rsidRDefault="00772FB6" w:rsidP="00976665">
            <w:pPr>
              <w:pStyle w:val="TableText"/>
            </w:pPr>
            <w:r>
              <w:rPr>
                <w:lang w:val="pt-BR"/>
              </w:rPr>
              <w:t xml:space="preserve">Yes </w:t>
            </w:r>
            <w:r>
              <w:rPr>
                <w:noProof/>
                <w:lang w:val="pt-BR"/>
              </w:rPr>
              <w:t>(Pascual et al. 2016; Pascual, Tepora &amp; Tumolva 2016)</w:t>
            </w:r>
          </w:p>
        </w:tc>
        <w:tc>
          <w:tcPr>
            <w:tcW w:w="499" w:type="pct"/>
            <w:shd w:val="clear" w:color="auto" w:fill="auto"/>
          </w:tcPr>
          <w:p w14:paraId="58905C07" w14:textId="77777777" w:rsidR="00BC2F05" w:rsidRPr="00BD681D" w:rsidRDefault="00772FB6" w:rsidP="00976665">
            <w:pPr>
              <w:pStyle w:val="TableText"/>
              <w:rPr>
                <w:szCs w:val="16"/>
              </w:rPr>
            </w:pPr>
            <w:r>
              <w:rPr>
                <w:szCs w:val="16"/>
              </w:rPr>
              <w:t xml:space="preserve">Yes. WA, Qld, NSW, Vic., SA, Tas., NT </w:t>
            </w:r>
            <w:r>
              <w:rPr>
                <w:noProof/>
                <w:szCs w:val="16"/>
              </w:rPr>
              <w:t>(APPD 2022; Elmer et al. 1999)</w:t>
            </w:r>
          </w:p>
        </w:tc>
        <w:tc>
          <w:tcPr>
            <w:tcW w:w="645" w:type="pct"/>
            <w:shd w:val="clear" w:color="auto" w:fill="auto"/>
          </w:tcPr>
          <w:p w14:paraId="35275BAD" w14:textId="77777777" w:rsidR="00BC2F05" w:rsidRPr="00BD681D" w:rsidRDefault="00772FB6" w:rsidP="00976665">
            <w:pPr>
              <w:pStyle w:val="TableText"/>
            </w:pPr>
            <w:r>
              <w:t>Assessment not required</w:t>
            </w:r>
          </w:p>
        </w:tc>
        <w:tc>
          <w:tcPr>
            <w:tcW w:w="706" w:type="pct"/>
          </w:tcPr>
          <w:p w14:paraId="41F4BB3D" w14:textId="77777777" w:rsidR="00BC2F05" w:rsidRDefault="00772FB6" w:rsidP="00976665">
            <w:pPr>
              <w:pStyle w:val="TableText"/>
            </w:pPr>
            <w:r>
              <w:t>Assessment not required</w:t>
            </w:r>
          </w:p>
        </w:tc>
        <w:tc>
          <w:tcPr>
            <w:tcW w:w="700" w:type="pct"/>
            <w:shd w:val="clear" w:color="auto" w:fill="auto"/>
          </w:tcPr>
          <w:p w14:paraId="64BFE042" w14:textId="77777777" w:rsidR="00BC2F05" w:rsidRPr="00BD681D" w:rsidRDefault="00772FB6" w:rsidP="00976665">
            <w:pPr>
              <w:pStyle w:val="TableText"/>
            </w:pPr>
            <w:r>
              <w:t>Assessment not required</w:t>
            </w:r>
          </w:p>
        </w:tc>
        <w:tc>
          <w:tcPr>
            <w:tcW w:w="701" w:type="pct"/>
            <w:shd w:val="clear" w:color="auto" w:fill="auto"/>
          </w:tcPr>
          <w:p w14:paraId="300B40A9" w14:textId="77777777" w:rsidR="00BC2F05" w:rsidRPr="00BD681D" w:rsidRDefault="00772FB6" w:rsidP="00976665">
            <w:pPr>
              <w:pStyle w:val="TableText"/>
            </w:pPr>
            <w:r>
              <w:t>Assessment not required</w:t>
            </w:r>
          </w:p>
        </w:tc>
        <w:tc>
          <w:tcPr>
            <w:tcW w:w="500" w:type="pct"/>
            <w:gridSpan w:val="2"/>
            <w:shd w:val="clear" w:color="auto" w:fill="auto"/>
          </w:tcPr>
          <w:p w14:paraId="3ABC5076" w14:textId="77777777" w:rsidR="00BC2F05" w:rsidRPr="00BD681D" w:rsidRDefault="00772FB6" w:rsidP="00976665">
            <w:pPr>
              <w:pStyle w:val="TableText"/>
            </w:pPr>
            <w:r>
              <w:t>No</w:t>
            </w:r>
          </w:p>
        </w:tc>
      </w:tr>
      <w:tr w:rsidR="00C80041" w14:paraId="60DD3804" w14:textId="77777777" w:rsidTr="003754F5">
        <w:trPr>
          <w:trHeight w:val="75"/>
          <w:jc w:val="center"/>
        </w:trPr>
        <w:tc>
          <w:tcPr>
            <w:tcW w:w="799" w:type="pct"/>
            <w:shd w:val="clear" w:color="auto" w:fill="auto"/>
          </w:tcPr>
          <w:p w14:paraId="5290C6F8" w14:textId="77777777" w:rsidR="00BC2F05" w:rsidRPr="00C5073D" w:rsidRDefault="00772FB6" w:rsidP="00976665">
            <w:pPr>
              <w:pStyle w:val="TableText"/>
              <w:rPr>
                <w:iCs/>
                <w:lang w:val="pt-BR"/>
              </w:rPr>
            </w:pPr>
            <w:r w:rsidRPr="00C5073D">
              <w:rPr>
                <w:i/>
                <w:lang w:val="pt-BR"/>
              </w:rPr>
              <w:t>Fusarium sambucinum</w:t>
            </w:r>
            <w:r>
              <w:rPr>
                <w:i/>
                <w:lang w:val="pt-BR"/>
              </w:rPr>
              <w:t xml:space="preserve"> </w:t>
            </w:r>
            <w:r>
              <w:rPr>
                <w:iCs/>
                <w:lang w:val="pt-BR"/>
              </w:rPr>
              <w:t>Fuckel</w:t>
            </w:r>
          </w:p>
          <w:p w14:paraId="172DEFEA" w14:textId="77777777" w:rsidR="00BC2F05" w:rsidRPr="00D22235" w:rsidRDefault="00772FB6" w:rsidP="00976665">
            <w:pPr>
              <w:pStyle w:val="TableText"/>
              <w:rPr>
                <w:lang w:val="pt-BR"/>
              </w:rPr>
            </w:pPr>
            <w:r>
              <w:rPr>
                <w:iCs/>
                <w:lang w:val="pt-BR"/>
              </w:rPr>
              <w:t xml:space="preserve">Synonym: </w:t>
            </w:r>
            <w:r w:rsidRPr="00D22235">
              <w:rPr>
                <w:i/>
                <w:lang w:val="pt-BR"/>
              </w:rPr>
              <w:t xml:space="preserve">Fusarium roseum </w:t>
            </w:r>
            <w:r w:rsidRPr="00D22235">
              <w:rPr>
                <w:lang w:val="pt-BR"/>
              </w:rPr>
              <w:t>Link</w:t>
            </w:r>
          </w:p>
          <w:p w14:paraId="585992FD" w14:textId="77777777" w:rsidR="00BC2F05" w:rsidRPr="00D22235" w:rsidRDefault="00772FB6" w:rsidP="00976665">
            <w:pPr>
              <w:pStyle w:val="TableText"/>
            </w:pPr>
            <w:r w:rsidRPr="00D22235">
              <w:rPr>
                <w:lang w:val="pt-BR"/>
              </w:rPr>
              <w:t>[</w:t>
            </w:r>
            <w:r w:rsidRPr="00D22235">
              <w:t xml:space="preserve">Hypocreales: </w:t>
            </w:r>
            <w:proofErr w:type="spellStart"/>
            <w:r w:rsidRPr="00D22235">
              <w:t>Nectriaceae</w:t>
            </w:r>
            <w:proofErr w:type="spellEnd"/>
            <w:r w:rsidRPr="00D22235">
              <w:rPr>
                <w:lang w:val="pt-BR"/>
              </w:rPr>
              <w:t>]</w:t>
            </w:r>
          </w:p>
        </w:tc>
        <w:tc>
          <w:tcPr>
            <w:tcW w:w="450" w:type="pct"/>
            <w:shd w:val="clear" w:color="auto" w:fill="auto"/>
          </w:tcPr>
          <w:p w14:paraId="7F68C97A" w14:textId="77777777" w:rsidR="00BC2F05" w:rsidRPr="00D22235" w:rsidRDefault="00772FB6" w:rsidP="00976665">
            <w:pPr>
              <w:pStyle w:val="TableText"/>
              <w:rPr>
                <w:lang w:val="pt-BR"/>
              </w:rPr>
            </w:pPr>
            <w:r w:rsidRPr="00D22235">
              <w:rPr>
                <w:lang w:val="pt-BR"/>
              </w:rPr>
              <w:t xml:space="preserve">Yes </w:t>
            </w:r>
            <w:r>
              <w:rPr>
                <w:noProof/>
                <w:lang w:val="pt-BR"/>
              </w:rPr>
              <w:t>(Clark &amp; Hoy 1994)</w:t>
            </w:r>
          </w:p>
        </w:tc>
        <w:tc>
          <w:tcPr>
            <w:tcW w:w="499" w:type="pct"/>
            <w:shd w:val="clear" w:color="auto" w:fill="auto"/>
          </w:tcPr>
          <w:p w14:paraId="720637CA" w14:textId="77777777" w:rsidR="00BC2F05" w:rsidRPr="00D22235" w:rsidRDefault="00772FB6" w:rsidP="00976665">
            <w:pPr>
              <w:pStyle w:val="TableText"/>
              <w:rPr>
                <w:szCs w:val="16"/>
              </w:rPr>
            </w:pPr>
            <w:r w:rsidRPr="00D22235">
              <w:t xml:space="preserve">Yes. NSW, Qld, SA, Tas., Vic., WA </w:t>
            </w:r>
            <w:r>
              <w:rPr>
                <w:noProof/>
                <w:szCs w:val="16"/>
              </w:rPr>
              <w:t>(APPD 2022; Clark &amp; Hoy 1994)</w:t>
            </w:r>
          </w:p>
        </w:tc>
        <w:tc>
          <w:tcPr>
            <w:tcW w:w="645" w:type="pct"/>
            <w:shd w:val="clear" w:color="auto" w:fill="auto"/>
          </w:tcPr>
          <w:p w14:paraId="739744EE" w14:textId="77777777" w:rsidR="00BC2F05" w:rsidRPr="00D22235" w:rsidRDefault="00772FB6" w:rsidP="00976665">
            <w:pPr>
              <w:pStyle w:val="TableText"/>
            </w:pPr>
            <w:r w:rsidRPr="00D22235">
              <w:t>Assessment not required</w:t>
            </w:r>
          </w:p>
        </w:tc>
        <w:tc>
          <w:tcPr>
            <w:tcW w:w="706" w:type="pct"/>
            <w:shd w:val="clear" w:color="auto" w:fill="auto"/>
          </w:tcPr>
          <w:p w14:paraId="0D3C44BE" w14:textId="77777777" w:rsidR="00BC2F05" w:rsidRPr="00D22235" w:rsidRDefault="00772FB6" w:rsidP="00976665">
            <w:pPr>
              <w:pStyle w:val="TableText"/>
            </w:pPr>
            <w:r w:rsidRPr="00D22235">
              <w:t>Assessment not required</w:t>
            </w:r>
          </w:p>
        </w:tc>
        <w:tc>
          <w:tcPr>
            <w:tcW w:w="700" w:type="pct"/>
            <w:shd w:val="clear" w:color="auto" w:fill="auto"/>
          </w:tcPr>
          <w:p w14:paraId="5C25DE40" w14:textId="77777777" w:rsidR="00BC2F05" w:rsidRPr="00D22235" w:rsidRDefault="00772FB6" w:rsidP="00976665">
            <w:pPr>
              <w:pStyle w:val="TableText"/>
            </w:pPr>
            <w:r w:rsidRPr="00D22235">
              <w:t>Assessment not required</w:t>
            </w:r>
          </w:p>
        </w:tc>
        <w:tc>
          <w:tcPr>
            <w:tcW w:w="701" w:type="pct"/>
            <w:shd w:val="clear" w:color="auto" w:fill="auto"/>
          </w:tcPr>
          <w:p w14:paraId="33CC240D" w14:textId="77777777" w:rsidR="00BC2F05" w:rsidRPr="00D22235" w:rsidRDefault="00772FB6" w:rsidP="00976665">
            <w:pPr>
              <w:pStyle w:val="TableText"/>
            </w:pPr>
            <w:r w:rsidRPr="00D22235">
              <w:t>Assessment not required</w:t>
            </w:r>
          </w:p>
        </w:tc>
        <w:tc>
          <w:tcPr>
            <w:tcW w:w="500" w:type="pct"/>
            <w:gridSpan w:val="2"/>
            <w:shd w:val="clear" w:color="auto" w:fill="auto"/>
          </w:tcPr>
          <w:p w14:paraId="398FE8A8" w14:textId="77777777" w:rsidR="00BC2F05" w:rsidRPr="00D22235" w:rsidRDefault="00772FB6" w:rsidP="00976665">
            <w:pPr>
              <w:pStyle w:val="TableText"/>
            </w:pPr>
            <w:r w:rsidRPr="00D22235">
              <w:t>No</w:t>
            </w:r>
          </w:p>
        </w:tc>
      </w:tr>
      <w:tr w:rsidR="00C80041" w14:paraId="028E262A" w14:textId="77777777" w:rsidTr="003754F5">
        <w:trPr>
          <w:trHeight w:val="75"/>
          <w:jc w:val="center"/>
        </w:trPr>
        <w:tc>
          <w:tcPr>
            <w:tcW w:w="799" w:type="pct"/>
            <w:shd w:val="clear" w:color="auto" w:fill="auto"/>
          </w:tcPr>
          <w:p w14:paraId="21BADA21" w14:textId="77777777" w:rsidR="00BC2F05" w:rsidRDefault="00772FB6" w:rsidP="00976665">
            <w:pPr>
              <w:pStyle w:val="TableText"/>
              <w:rPr>
                <w:color w:val="000000" w:themeColor="text1"/>
                <w:lang w:val="pt-BR"/>
              </w:rPr>
            </w:pPr>
            <w:r w:rsidRPr="002D5010">
              <w:rPr>
                <w:i/>
                <w:color w:val="000000" w:themeColor="text1"/>
                <w:lang w:val="pt-BR"/>
              </w:rPr>
              <w:lastRenderedPageBreak/>
              <w:t>Fusarium verticillioides</w:t>
            </w:r>
            <w:r>
              <w:rPr>
                <w:i/>
                <w:color w:val="000000" w:themeColor="text1"/>
                <w:lang w:val="pt-BR"/>
              </w:rPr>
              <w:t xml:space="preserve"> </w:t>
            </w:r>
            <w:r>
              <w:t>(</w:t>
            </w:r>
            <w:proofErr w:type="spellStart"/>
            <w:r>
              <w:t>Sacc</w:t>
            </w:r>
            <w:proofErr w:type="spellEnd"/>
            <w:r>
              <w:t>.) Nirenberg</w:t>
            </w:r>
          </w:p>
          <w:p w14:paraId="184EF450" w14:textId="77777777" w:rsidR="00BC2F05" w:rsidRPr="00B106EF" w:rsidRDefault="00772FB6" w:rsidP="00976665">
            <w:pPr>
              <w:pStyle w:val="TableText"/>
              <w:rPr>
                <w:color w:val="000000" w:themeColor="text1"/>
              </w:rPr>
            </w:pPr>
            <w:r>
              <w:t xml:space="preserve">Synonym: </w:t>
            </w:r>
            <w:proofErr w:type="spellStart"/>
            <w:r w:rsidRPr="00B73B1C">
              <w:rPr>
                <w:i/>
                <w:iCs/>
              </w:rPr>
              <w:t>Gibberella</w:t>
            </w:r>
            <w:proofErr w:type="spellEnd"/>
            <w:r w:rsidRPr="00B73B1C">
              <w:rPr>
                <w:i/>
                <w:iCs/>
              </w:rPr>
              <w:t xml:space="preserve"> moniliformis</w:t>
            </w:r>
            <w:r>
              <w:t xml:space="preserve"> </w:t>
            </w:r>
            <w:proofErr w:type="spellStart"/>
            <w:r>
              <w:t>Wineland</w:t>
            </w:r>
            <w:proofErr w:type="spellEnd"/>
          </w:p>
          <w:p w14:paraId="27FF701D" w14:textId="77777777" w:rsidR="00BC2F05" w:rsidRPr="00E53740" w:rsidRDefault="00772FB6" w:rsidP="00976665">
            <w:pPr>
              <w:pStyle w:val="TableText"/>
            </w:pPr>
            <w:r>
              <w:rPr>
                <w:color w:val="000000" w:themeColor="text1"/>
                <w:lang w:val="pt-BR"/>
              </w:rPr>
              <w:t>[</w:t>
            </w:r>
            <w:r>
              <w:t xml:space="preserve">Hypocreales: </w:t>
            </w:r>
            <w:proofErr w:type="spellStart"/>
            <w:r>
              <w:t>Nectriaceae</w:t>
            </w:r>
            <w:proofErr w:type="spellEnd"/>
            <w:r>
              <w:rPr>
                <w:color w:val="000000" w:themeColor="text1"/>
                <w:lang w:val="pt-BR"/>
              </w:rPr>
              <w:t>]</w:t>
            </w:r>
          </w:p>
          <w:p w14:paraId="0D7CD437" w14:textId="77777777" w:rsidR="00BC2F05" w:rsidRPr="00E53740" w:rsidRDefault="00772FB6" w:rsidP="00976665">
            <w:pPr>
              <w:pStyle w:val="TableText"/>
              <w:rPr>
                <w:color w:val="000000" w:themeColor="text1"/>
                <w:lang w:val="pt-BR"/>
              </w:rPr>
            </w:pPr>
            <w:r>
              <w:rPr>
                <w:color w:val="000000" w:themeColor="text1"/>
                <w:lang w:val="pt-BR"/>
              </w:rPr>
              <w:t>Bakanae disease of rice</w:t>
            </w:r>
          </w:p>
        </w:tc>
        <w:tc>
          <w:tcPr>
            <w:tcW w:w="450" w:type="pct"/>
            <w:shd w:val="clear" w:color="auto" w:fill="auto"/>
          </w:tcPr>
          <w:p w14:paraId="08E606FE"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7BA6FCE9" w14:textId="77777777" w:rsidR="00BC2F05" w:rsidRPr="00BD681D" w:rsidRDefault="00772FB6" w:rsidP="00976665">
            <w:pPr>
              <w:pStyle w:val="TableText"/>
              <w:rPr>
                <w:szCs w:val="16"/>
              </w:rPr>
            </w:pPr>
            <w:r>
              <w:rPr>
                <w:szCs w:val="16"/>
              </w:rPr>
              <w:t xml:space="preserve">Yes. Vic., WA, Qld, NSW, SA </w:t>
            </w:r>
            <w:r>
              <w:rPr>
                <w:noProof/>
                <w:szCs w:val="16"/>
              </w:rPr>
              <w:t>(APPD 2022)</w:t>
            </w:r>
          </w:p>
        </w:tc>
        <w:tc>
          <w:tcPr>
            <w:tcW w:w="645" w:type="pct"/>
            <w:shd w:val="clear" w:color="auto" w:fill="auto"/>
          </w:tcPr>
          <w:p w14:paraId="50417127" w14:textId="77777777" w:rsidR="00BC2F05" w:rsidRPr="00BD681D" w:rsidRDefault="00772FB6" w:rsidP="00976665">
            <w:pPr>
              <w:pStyle w:val="TableText"/>
            </w:pPr>
            <w:r>
              <w:t>Assessment not required</w:t>
            </w:r>
          </w:p>
        </w:tc>
        <w:tc>
          <w:tcPr>
            <w:tcW w:w="706" w:type="pct"/>
          </w:tcPr>
          <w:p w14:paraId="799EBE68" w14:textId="77777777" w:rsidR="00BC2F05" w:rsidRDefault="00772FB6" w:rsidP="00976665">
            <w:pPr>
              <w:pStyle w:val="TableText"/>
            </w:pPr>
            <w:r>
              <w:t>Assessment not required</w:t>
            </w:r>
          </w:p>
        </w:tc>
        <w:tc>
          <w:tcPr>
            <w:tcW w:w="700" w:type="pct"/>
            <w:shd w:val="clear" w:color="auto" w:fill="auto"/>
          </w:tcPr>
          <w:p w14:paraId="59FB826F" w14:textId="77777777" w:rsidR="00BC2F05" w:rsidRPr="00BD681D" w:rsidRDefault="00772FB6" w:rsidP="00976665">
            <w:pPr>
              <w:pStyle w:val="TableText"/>
            </w:pPr>
            <w:r>
              <w:t>Assessment not required</w:t>
            </w:r>
          </w:p>
        </w:tc>
        <w:tc>
          <w:tcPr>
            <w:tcW w:w="701" w:type="pct"/>
            <w:shd w:val="clear" w:color="auto" w:fill="auto"/>
          </w:tcPr>
          <w:p w14:paraId="20C7B079" w14:textId="77777777" w:rsidR="00BC2F05" w:rsidRPr="00BD681D" w:rsidRDefault="00772FB6" w:rsidP="00976665">
            <w:pPr>
              <w:pStyle w:val="TableText"/>
            </w:pPr>
            <w:r>
              <w:t>Assessment not required</w:t>
            </w:r>
          </w:p>
        </w:tc>
        <w:tc>
          <w:tcPr>
            <w:tcW w:w="500" w:type="pct"/>
            <w:gridSpan w:val="2"/>
            <w:shd w:val="clear" w:color="auto" w:fill="auto"/>
          </w:tcPr>
          <w:p w14:paraId="27C9C4C3" w14:textId="77777777" w:rsidR="00BC2F05" w:rsidRPr="00BD681D" w:rsidRDefault="00772FB6" w:rsidP="00976665">
            <w:pPr>
              <w:pStyle w:val="TableText"/>
            </w:pPr>
            <w:r>
              <w:t>No</w:t>
            </w:r>
          </w:p>
        </w:tc>
      </w:tr>
      <w:tr w:rsidR="00C80041" w14:paraId="56E3FB7A" w14:textId="77777777" w:rsidTr="003754F5">
        <w:trPr>
          <w:trHeight w:val="75"/>
          <w:jc w:val="center"/>
        </w:trPr>
        <w:tc>
          <w:tcPr>
            <w:tcW w:w="799" w:type="pct"/>
            <w:shd w:val="clear" w:color="auto" w:fill="auto"/>
          </w:tcPr>
          <w:p w14:paraId="225ACB03" w14:textId="77777777" w:rsidR="00BC2F05" w:rsidRPr="008D71E6" w:rsidRDefault="00772FB6" w:rsidP="00976665">
            <w:pPr>
              <w:pStyle w:val="TableText"/>
              <w:rPr>
                <w:color w:val="000000" w:themeColor="text1"/>
                <w:lang w:val="pt-BR"/>
              </w:rPr>
            </w:pPr>
            <w:r w:rsidRPr="002D5010">
              <w:rPr>
                <w:i/>
                <w:color w:val="000000" w:themeColor="text1"/>
                <w:lang w:val="pt-BR"/>
              </w:rPr>
              <w:t>Lasiodiplodia theobromae</w:t>
            </w:r>
            <w:r>
              <w:rPr>
                <w:i/>
                <w:color w:val="000000" w:themeColor="text1"/>
                <w:lang w:val="pt-BR"/>
              </w:rPr>
              <w:t xml:space="preserve"> </w:t>
            </w:r>
            <w:r>
              <w:t xml:space="preserve">(Pat) Griffon &amp; </w:t>
            </w:r>
            <w:proofErr w:type="spellStart"/>
            <w:r>
              <w:t>Maubl</w:t>
            </w:r>
            <w:proofErr w:type="spellEnd"/>
            <w:r>
              <w:t>.</w:t>
            </w:r>
            <w:r>
              <w:rPr>
                <w:color w:val="000000" w:themeColor="text1"/>
                <w:lang w:val="pt-BR"/>
              </w:rPr>
              <w:t xml:space="preserve"> </w:t>
            </w:r>
          </w:p>
          <w:p w14:paraId="102AFCF3" w14:textId="77777777" w:rsidR="00BC2F05" w:rsidRPr="00E53740" w:rsidRDefault="00772FB6" w:rsidP="00976665">
            <w:pPr>
              <w:pStyle w:val="TableText"/>
            </w:pPr>
            <w:r>
              <w:rPr>
                <w:color w:val="000000" w:themeColor="text1"/>
                <w:lang w:val="pt-BR"/>
              </w:rPr>
              <w:t>[</w:t>
            </w:r>
            <w:proofErr w:type="spellStart"/>
            <w:r>
              <w:t>Botryosphaeriales</w:t>
            </w:r>
            <w:proofErr w:type="spellEnd"/>
            <w:r>
              <w:t xml:space="preserve">: </w:t>
            </w:r>
            <w:proofErr w:type="spellStart"/>
            <w:r>
              <w:t>Botryosphaeriaceae</w:t>
            </w:r>
            <w:proofErr w:type="spellEnd"/>
            <w:r>
              <w:rPr>
                <w:color w:val="000000" w:themeColor="text1"/>
                <w:lang w:val="pt-BR"/>
              </w:rPr>
              <w:t>]</w:t>
            </w:r>
          </w:p>
          <w:p w14:paraId="5C36AC00" w14:textId="77777777" w:rsidR="00BC2F05" w:rsidRPr="00E53740" w:rsidRDefault="00772FB6" w:rsidP="00976665">
            <w:pPr>
              <w:pStyle w:val="TableText"/>
              <w:rPr>
                <w:color w:val="000000" w:themeColor="text1"/>
                <w:lang w:val="pt-BR"/>
              </w:rPr>
            </w:pPr>
            <w:r>
              <w:rPr>
                <w:color w:val="000000" w:themeColor="text1"/>
                <w:lang w:val="pt-BR"/>
              </w:rPr>
              <w:t>Diploid pod rot of cocoa</w:t>
            </w:r>
          </w:p>
        </w:tc>
        <w:tc>
          <w:tcPr>
            <w:tcW w:w="450" w:type="pct"/>
            <w:shd w:val="clear" w:color="auto" w:fill="auto"/>
          </w:tcPr>
          <w:p w14:paraId="38715EE8"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7052BB20" w14:textId="77777777" w:rsidR="00BC2F05" w:rsidRPr="00BD681D" w:rsidRDefault="00772FB6" w:rsidP="00976665">
            <w:pPr>
              <w:pStyle w:val="TableText"/>
              <w:rPr>
                <w:szCs w:val="16"/>
              </w:rPr>
            </w:pPr>
            <w:r>
              <w:rPr>
                <w:szCs w:val="16"/>
              </w:rPr>
              <w:t xml:space="preserve">Yes. Qld, WA, NSW, NT, SA </w:t>
            </w:r>
            <w:r>
              <w:rPr>
                <w:noProof/>
                <w:szCs w:val="16"/>
              </w:rPr>
              <w:t>(APPD 2022; Pitt et al. 2010; Sacdalan et al. 2012; Scarlett et al. 2019)</w:t>
            </w:r>
          </w:p>
        </w:tc>
        <w:tc>
          <w:tcPr>
            <w:tcW w:w="645" w:type="pct"/>
            <w:shd w:val="clear" w:color="auto" w:fill="auto"/>
          </w:tcPr>
          <w:p w14:paraId="30E1BA74" w14:textId="77777777" w:rsidR="00BC2F05" w:rsidRPr="00BD681D" w:rsidRDefault="00772FB6" w:rsidP="00976665">
            <w:pPr>
              <w:pStyle w:val="TableText"/>
            </w:pPr>
            <w:r>
              <w:t>Assessment not required</w:t>
            </w:r>
          </w:p>
        </w:tc>
        <w:tc>
          <w:tcPr>
            <w:tcW w:w="706" w:type="pct"/>
          </w:tcPr>
          <w:p w14:paraId="5EBAC97B" w14:textId="77777777" w:rsidR="00BC2F05" w:rsidRDefault="00772FB6" w:rsidP="00976665">
            <w:pPr>
              <w:pStyle w:val="TableText"/>
            </w:pPr>
            <w:r>
              <w:t>Assessment not required</w:t>
            </w:r>
          </w:p>
        </w:tc>
        <w:tc>
          <w:tcPr>
            <w:tcW w:w="700" w:type="pct"/>
            <w:shd w:val="clear" w:color="auto" w:fill="auto"/>
          </w:tcPr>
          <w:p w14:paraId="3ED06F9E" w14:textId="77777777" w:rsidR="00BC2F05" w:rsidRPr="00BD681D" w:rsidRDefault="00772FB6" w:rsidP="00976665">
            <w:pPr>
              <w:pStyle w:val="TableText"/>
            </w:pPr>
            <w:r>
              <w:t>Assessment not required</w:t>
            </w:r>
          </w:p>
        </w:tc>
        <w:tc>
          <w:tcPr>
            <w:tcW w:w="701" w:type="pct"/>
            <w:shd w:val="clear" w:color="auto" w:fill="auto"/>
          </w:tcPr>
          <w:p w14:paraId="5D56C482" w14:textId="77777777" w:rsidR="00BC2F05" w:rsidRPr="00BD681D" w:rsidRDefault="00772FB6" w:rsidP="00976665">
            <w:pPr>
              <w:pStyle w:val="TableText"/>
            </w:pPr>
            <w:r>
              <w:t>Assessment not required</w:t>
            </w:r>
          </w:p>
        </w:tc>
        <w:tc>
          <w:tcPr>
            <w:tcW w:w="500" w:type="pct"/>
            <w:gridSpan w:val="2"/>
            <w:shd w:val="clear" w:color="auto" w:fill="auto"/>
          </w:tcPr>
          <w:p w14:paraId="64BD8D56" w14:textId="77777777" w:rsidR="00BC2F05" w:rsidRPr="00BD681D" w:rsidRDefault="00772FB6" w:rsidP="00976665">
            <w:pPr>
              <w:pStyle w:val="TableText"/>
            </w:pPr>
            <w:r>
              <w:t>No</w:t>
            </w:r>
          </w:p>
        </w:tc>
      </w:tr>
      <w:tr w:rsidR="00C80041" w14:paraId="7F1F3278" w14:textId="77777777" w:rsidTr="003754F5">
        <w:trPr>
          <w:trHeight w:val="75"/>
          <w:jc w:val="center"/>
        </w:trPr>
        <w:tc>
          <w:tcPr>
            <w:tcW w:w="799" w:type="pct"/>
            <w:shd w:val="clear" w:color="auto" w:fill="auto"/>
          </w:tcPr>
          <w:p w14:paraId="03334BFE" w14:textId="77777777" w:rsidR="00BC2F05" w:rsidRPr="00C46AD0" w:rsidRDefault="00772FB6" w:rsidP="00976665">
            <w:pPr>
              <w:pStyle w:val="TableText"/>
              <w:rPr>
                <w:iCs/>
                <w:color w:val="000000" w:themeColor="text1"/>
                <w:lang w:val="pt-BR"/>
              </w:rPr>
            </w:pPr>
            <w:r>
              <w:rPr>
                <w:i/>
                <w:color w:val="000000" w:themeColor="text1"/>
                <w:lang w:val="pt-BR"/>
              </w:rPr>
              <w:t xml:space="preserve">Neocosmospora solani </w:t>
            </w:r>
            <w:r>
              <w:rPr>
                <w:iCs/>
                <w:color w:val="000000" w:themeColor="text1"/>
                <w:lang w:val="pt-BR"/>
              </w:rPr>
              <w:t>(Mart.) L. Lombard &amp; Crous</w:t>
            </w:r>
          </w:p>
          <w:p w14:paraId="61F70C7D" w14:textId="77777777" w:rsidR="00BC2F05" w:rsidRPr="008D71E6" w:rsidRDefault="00772FB6" w:rsidP="00976665">
            <w:pPr>
              <w:pStyle w:val="TableText"/>
              <w:rPr>
                <w:color w:val="000000" w:themeColor="text1"/>
                <w:lang w:val="pt-BR"/>
              </w:rPr>
            </w:pPr>
            <w:r>
              <w:rPr>
                <w:iCs/>
                <w:color w:val="000000" w:themeColor="text1"/>
                <w:lang w:val="pt-BR"/>
              </w:rPr>
              <w:t xml:space="preserve">Synonym: </w:t>
            </w:r>
            <w:r w:rsidRPr="002D5010">
              <w:rPr>
                <w:i/>
                <w:color w:val="000000" w:themeColor="text1"/>
                <w:lang w:val="pt-BR"/>
              </w:rPr>
              <w:t>Fusarium solani</w:t>
            </w:r>
            <w:r>
              <w:rPr>
                <w:i/>
                <w:color w:val="000000" w:themeColor="text1"/>
                <w:lang w:val="pt-BR"/>
              </w:rPr>
              <w:t xml:space="preserve"> </w:t>
            </w:r>
            <w:r>
              <w:t xml:space="preserve">(Mart.) </w:t>
            </w:r>
            <w:proofErr w:type="spellStart"/>
            <w:r>
              <w:t>Sacc</w:t>
            </w:r>
            <w:proofErr w:type="spellEnd"/>
            <w:r>
              <w:t>.</w:t>
            </w:r>
            <w:r>
              <w:rPr>
                <w:color w:val="000000" w:themeColor="text1"/>
                <w:lang w:val="pt-BR"/>
              </w:rPr>
              <w:t xml:space="preserve"> </w:t>
            </w:r>
          </w:p>
          <w:p w14:paraId="5DA7009C" w14:textId="77777777" w:rsidR="00BC2F05" w:rsidRPr="00E53740" w:rsidRDefault="00772FB6" w:rsidP="00976665">
            <w:pPr>
              <w:pStyle w:val="TableText"/>
            </w:pPr>
            <w:r>
              <w:rPr>
                <w:color w:val="000000" w:themeColor="text1"/>
                <w:lang w:val="pt-BR"/>
              </w:rPr>
              <w:t>[</w:t>
            </w:r>
            <w:r>
              <w:t xml:space="preserve">Hypocreales: </w:t>
            </w:r>
            <w:proofErr w:type="spellStart"/>
            <w:r>
              <w:t>Nectriaceae</w:t>
            </w:r>
            <w:proofErr w:type="spellEnd"/>
            <w:r>
              <w:rPr>
                <w:color w:val="000000" w:themeColor="text1"/>
                <w:lang w:val="pt-BR"/>
              </w:rPr>
              <w:t>]</w:t>
            </w:r>
          </w:p>
          <w:p w14:paraId="6ACF5269" w14:textId="77777777" w:rsidR="00BC2F05" w:rsidRPr="00E53740" w:rsidRDefault="00772FB6" w:rsidP="00976665">
            <w:pPr>
              <w:pStyle w:val="TableText"/>
              <w:rPr>
                <w:color w:val="000000" w:themeColor="text1"/>
                <w:lang w:val="pt-BR"/>
              </w:rPr>
            </w:pPr>
            <w:r>
              <w:rPr>
                <w:color w:val="000000" w:themeColor="text1"/>
                <w:lang w:val="pt-BR"/>
              </w:rPr>
              <w:t>Root rot</w:t>
            </w:r>
          </w:p>
        </w:tc>
        <w:tc>
          <w:tcPr>
            <w:tcW w:w="450" w:type="pct"/>
            <w:shd w:val="clear" w:color="auto" w:fill="auto"/>
          </w:tcPr>
          <w:p w14:paraId="2E997C02" w14:textId="77777777" w:rsidR="00BC2F05" w:rsidRPr="00BD681D" w:rsidRDefault="00772FB6" w:rsidP="00976665">
            <w:pPr>
              <w:pStyle w:val="TableText"/>
              <w:rPr>
                <w:lang w:val="pt-BR"/>
              </w:rPr>
            </w:pPr>
            <w:r>
              <w:rPr>
                <w:lang w:val="pt-BR"/>
              </w:rPr>
              <w:t xml:space="preserve">Yes </w:t>
            </w:r>
            <w:r>
              <w:rPr>
                <w:noProof/>
                <w:lang w:val="pt-BR"/>
              </w:rPr>
              <w:t>(Alvindia, Kobayashi &amp; Tanda 2002)</w:t>
            </w:r>
          </w:p>
        </w:tc>
        <w:tc>
          <w:tcPr>
            <w:tcW w:w="499" w:type="pct"/>
            <w:shd w:val="clear" w:color="auto" w:fill="auto"/>
          </w:tcPr>
          <w:p w14:paraId="513727ED" w14:textId="77777777" w:rsidR="00BC2F05" w:rsidRPr="00BD681D" w:rsidRDefault="00772FB6" w:rsidP="00976665">
            <w:pPr>
              <w:pStyle w:val="TableText"/>
              <w:rPr>
                <w:szCs w:val="16"/>
              </w:rPr>
            </w:pPr>
            <w:r>
              <w:rPr>
                <w:szCs w:val="16"/>
              </w:rPr>
              <w:t xml:space="preserve">Yes. NSW, Qld, SA, Vic., WA, Tas. </w:t>
            </w:r>
            <w:r>
              <w:rPr>
                <w:noProof/>
                <w:szCs w:val="16"/>
              </w:rPr>
              <w:t>(APPD 2022)</w:t>
            </w:r>
          </w:p>
        </w:tc>
        <w:tc>
          <w:tcPr>
            <w:tcW w:w="645" w:type="pct"/>
            <w:shd w:val="clear" w:color="auto" w:fill="auto"/>
          </w:tcPr>
          <w:p w14:paraId="4C0388B6" w14:textId="77777777" w:rsidR="00BC2F05" w:rsidRPr="00BD681D" w:rsidRDefault="00772FB6" w:rsidP="00976665">
            <w:pPr>
              <w:pStyle w:val="TableText"/>
            </w:pPr>
            <w:r>
              <w:t>Assessment not required</w:t>
            </w:r>
          </w:p>
        </w:tc>
        <w:tc>
          <w:tcPr>
            <w:tcW w:w="706" w:type="pct"/>
          </w:tcPr>
          <w:p w14:paraId="3EA0913F" w14:textId="77777777" w:rsidR="00BC2F05" w:rsidRDefault="00772FB6" w:rsidP="00976665">
            <w:pPr>
              <w:pStyle w:val="TableText"/>
            </w:pPr>
            <w:r>
              <w:t>Assessment not required</w:t>
            </w:r>
          </w:p>
        </w:tc>
        <w:tc>
          <w:tcPr>
            <w:tcW w:w="700" w:type="pct"/>
            <w:shd w:val="clear" w:color="auto" w:fill="auto"/>
          </w:tcPr>
          <w:p w14:paraId="30F103A4" w14:textId="77777777" w:rsidR="00BC2F05" w:rsidRPr="00BD681D" w:rsidRDefault="00772FB6" w:rsidP="00976665">
            <w:pPr>
              <w:pStyle w:val="TableText"/>
            </w:pPr>
            <w:r>
              <w:t>Assessment not required</w:t>
            </w:r>
          </w:p>
        </w:tc>
        <w:tc>
          <w:tcPr>
            <w:tcW w:w="701" w:type="pct"/>
            <w:shd w:val="clear" w:color="auto" w:fill="auto"/>
          </w:tcPr>
          <w:p w14:paraId="292577AE" w14:textId="77777777" w:rsidR="00BC2F05" w:rsidRPr="00BD681D" w:rsidRDefault="00772FB6" w:rsidP="00976665">
            <w:pPr>
              <w:pStyle w:val="TableText"/>
            </w:pPr>
            <w:r>
              <w:t>Assessment not required</w:t>
            </w:r>
          </w:p>
        </w:tc>
        <w:tc>
          <w:tcPr>
            <w:tcW w:w="500" w:type="pct"/>
            <w:gridSpan w:val="2"/>
            <w:shd w:val="clear" w:color="auto" w:fill="auto"/>
          </w:tcPr>
          <w:p w14:paraId="1D6D2488" w14:textId="77777777" w:rsidR="00BC2F05" w:rsidRPr="00BD681D" w:rsidRDefault="00772FB6" w:rsidP="00976665">
            <w:pPr>
              <w:pStyle w:val="TableText"/>
            </w:pPr>
            <w:r>
              <w:t>No</w:t>
            </w:r>
          </w:p>
        </w:tc>
      </w:tr>
      <w:tr w:rsidR="00C80041" w14:paraId="04778961" w14:textId="77777777" w:rsidTr="003754F5">
        <w:trPr>
          <w:trHeight w:val="75"/>
          <w:jc w:val="center"/>
        </w:trPr>
        <w:tc>
          <w:tcPr>
            <w:tcW w:w="799" w:type="pct"/>
            <w:shd w:val="clear" w:color="auto" w:fill="auto"/>
          </w:tcPr>
          <w:p w14:paraId="6AE02738" w14:textId="77777777" w:rsidR="00BC2F05" w:rsidRPr="008D71E6" w:rsidRDefault="00772FB6" w:rsidP="00976665">
            <w:pPr>
              <w:pStyle w:val="TableText"/>
              <w:rPr>
                <w:color w:val="000000" w:themeColor="text1"/>
                <w:lang w:val="pt-BR"/>
              </w:rPr>
            </w:pPr>
            <w:r w:rsidRPr="002D5010">
              <w:rPr>
                <w:i/>
                <w:color w:val="000000" w:themeColor="text1"/>
                <w:lang w:val="pt-BR"/>
              </w:rPr>
              <w:t>Neoscytalidium</w:t>
            </w:r>
            <w:r>
              <w:rPr>
                <w:i/>
                <w:color w:val="000000" w:themeColor="text1"/>
                <w:lang w:val="pt-BR"/>
              </w:rPr>
              <w:t xml:space="preserve"> </w:t>
            </w:r>
            <w:r w:rsidRPr="002D5010">
              <w:rPr>
                <w:i/>
                <w:color w:val="000000" w:themeColor="text1"/>
                <w:lang w:val="pt-BR"/>
              </w:rPr>
              <w:t>dimidiatum</w:t>
            </w:r>
            <w:r>
              <w:rPr>
                <w:i/>
                <w:color w:val="000000" w:themeColor="text1"/>
                <w:lang w:val="pt-BR"/>
              </w:rPr>
              <w:t xml:space="preserve"> </w:t>
            </w:r>
            <w:r>
              <w:t>(</w:t>
            </w:r>
            <w:proofErr w:type="spellStart"/>
            <w:r>
              <w:t>Penz</w:t>
            </w:r>
            <w:proofErr w:type="spellEnd"/>
            <w:r>
              <w:t xml:space="preserve">.) </w:t>
            </w:r>
            <w:proofErr w:type="spellStart"/>
            <w:r>
              <w:t>Crous</w:t>
            </w:r>
            <w:proofErr w:type="spellEnd"/>
            <w:r>
              <w:t xml:space="preserve"> &amp; Slippers</w:t>
            </w:r>
          </w:p>
          <w:p w14:paraId="344D727A" w14:textId="77777777" w:rsidR="00BC2F05" w:rsidRPr="00E53740" w:rsidRDefault="00772FB6" w:rsidP="00976665">
            <w:pPr>
              <w:pStyle w:val="TableText"/>
            </w:pPr>
            <w:r>
              <w:rPr>
                <w:color w:val="000000" w:themeColor="text1"/>
                <w:lang w:val="pt-BR"/>
              </w:rPr>
              <w:t>[</w:t>
            </w:r>
            <w:proofErr w:type="spellStart"/>
            <w:r>
              <w:t>Botryosphaeriales</w:t>
            </w:r>
            <w:proofErr w:type="spellEnd"/>
            <w:r>
              <w:t xml:space="preserve">: </w:t>
            </w:r>
            <w:proofErr w:type="spellStart"/>
            <w:r>
              <w:t>Botryosphaeriaceae</w:t>
            </w:r>
            <w:proofErr w:type="spellEnd"/>
            <w:r>
              <w:rPr>
                <w:color w:val="000000" w:themeColor="text1"/>
                <w:lang w:val="pt-BR"/>
              </w:rPr>
              <w:t>]</w:t>
            </w:r>
          </w:p>
          <w:p w14:paraId="1A2D71CA" w14:textId="77777777" w:rsidR="00BC2F05" w:rsidRPr="00E53740" w:rsidRDefault="00772FB6" w:rsidP="00976665">
            <w:pPr>
              <w:pStyle w:val="TableText"/>
              <w:rPr>
                <w:color w:val="000000" w:themeColor="text1"/>
                <w:lang w:val="pt-BR"/>
              </w:rPr>
            </w:pPr>
            <w:r>
              <w:rPr>
                <w:color w:val="000000" w:themeColor="text1"/>
                <w:lang w:val="pt-BR"/>
              </w:rPr>
              <w:t>Stem canker disease</w:t>
            </w:r>
          </w:p>
        </w:tc>
        <w:tc>
          <w:tcPr>
            <w:tcW w:w="450" w:type="pct"/>
            <w:shd w:val="clear" w:color="auto" w:fill="auto"/>
          </w:tcPr>
          <w:p w14:paraId="5C730016" w14:textId="77777777" w:rsidR="00BC2F05" w:rsidRPr="00BD681D" w:rsidRDefault="00772FB6" w:rsidP="00976665">
            <w:pPr>
              <w:pStyle w:val="TableText"/>
              <w:rPr>
                <w:lang w:val="pt-BR"/>
              </w:rPr>
            </w:pPr>
            <w:r>
              <w:rPr>
                <w:szCs w:val="16"/>
              </w:rPr>
              <w:t xml:space="preserve">Yes </w:t>
            </w:r>
            <w:r>
              <w:rPr>
                <w:noProof/>
                <w:szCs w:val="16"/>
              </w:rPr>
              <w:t>(Xu et al. 2018)</w:t>
            </w:r>
          </w:p>
        </w:tc>
        <w:tc>
          <w:tcPr>
            <w:tcW w:w="499" w:type="pct"/>
            <w:shd w:val="clear" w:color="auto" w:fill="auto"/>
          </w:tcPr>
          <w:p w14:paraId="42D7448D" w14:textId="77777777" w:rsidR="00BC2F05" w:rsidRPr="00BD681D" w:rsidRDefault="00772FB6" w:rsidP="00976665">
            <w:pPr>
              <w:pStyle w:val="TableText"/>
              <w:rPr>
                <w:szCs w:val="16"/>
              </w:rPr>
            </w:pPr>
            <w:r>
              <w:rPr>
                <w:szCs w:val="16"/>
              </w:rPr>
              <w:t xml:space="preserve">Yes. NT, WA </w:t>
            </w:r>
            <w:r>
              <w:rPr>
                <w:noProof/>
                <w:szCs w:val="16"/>
              </w:rPr>
              <w:t>(APPD 2022)</w:t>
            </w:r>
          </w:p>
        </w:tc>
        <w:tc>
          <w:tcPr>
            <w:tcW w:w="645" w:type="pct"/>
            <w:shd w:val="clear" w:color="auto" w:fill="auto"/>
          </w:tcPr>
          <w:p w14:paraId="576DB907" w14:textId="77777777" w:rsidR="00BC2F05" w:rsidRPr="00BD681D" w:rsidRDefault="00772FB6" w:rsidP="00976665">
            <w:pPr>
              <w:pStyle w:val="TableText"/>
            </w:pPr>
            <w:r>
              <w:t>Assessment not required</w:t>
            </w:r>
          </w:p>
        </w:tc>
        <w:tc>
          <w:tcPr>
            <w:tcW w:w="706" w:type="pct"/>
          </w:tcPr>
          <w:p w14:paraId="27601949" w14:textId="77777777" w:rsidR="00BC2F05" w:rsidRDefault="00772FB6" w:rsidP="00976665">
            <w:pPr>
              <w:pStyle w:val="TableText"/>
            </w:pPr>
            <w:r>
              <w:t>Assessment not required</w:t>
            </w:r>
          </w:p>
        </w:tc>
        <w:tc>
          <w:tcPr>
            <w:tcW w:w="700" w:type="pct"/>
            <w:shd w:val="clear" w:color="auto" w:fill="auto"/>
          </w:tcPr>
          <w:p w14:paraId="2CB6D3E5" w14:textId="77777777" w:rsidR="00BC2F05" w:rsidRPr="00BD681D" w:rsidRDefault="00772FB6" w:rsidP="00976665">
            <w:pPr>
              <w:pStyle w:val="TableText"/>
            </w:pPr>
            <w:r>
              <w:t>Assessment not required</w:t>
            </w:r>
          </w:p>
        </w:tc>
        <w:tc>
          <w:tcPr>
            <w:tcW w:w="701" w:type="pct"/>
            <w:shd w:val="clear" w:color="auto" w:fill="auto"/>
          </w:tcPr>
          <w:p w14:paraId="7CEBD1E1" w14:textId="77777777" w:rsidR="00BC2F05" w:rsidRPr="00BD681D" w:rsidRDefault="00772FB6" w:rsidP="00976665">
            <w:pPr>
              <w:pStyle w:val="TableText"/>
            </w:pPr>
            <w:r>
              <w:t>Assessment not required</w:t>
            </w:r>
          </w:p>
        </w:tc>
        <w:tc>
          <w:tcPr>
            <w:tcW w:w="500" w:type="pct"/>
            <w:gridSpan w:val="2"/>
            <w:shd w:val="clear" w:color="auto" w:fill="auto"/>
          </w:tcPr>
          <w:p w14:paraId="7DDF8ED5" w14:textId="77777777" w:rsidR="00BC2F05" w:rsidRPr="00BD681D" w:rsidRDefault="00772FB6" w:rsidP="00976665">
            <w:pPr>
              <w:pStyle w:val="TableText"/>
            </w:pPr>
            <w:r>
              <w:t>No</w:t>
            </w:r>
          </w:p>
        </w:tc>
      </w:tr>
      <w:tr w:rsidR="00C80041" w14:paraId="4E95480C" w14:textId="77777777" w:rsidTr="003754F5">
        <w:trPr>
          <w:trHeight w:val="75"/>
          <w:jc w:val="center"/>
        </w:trPr>
        <w:tc>
          <w:tcPr>
            <w:tcW w:w="799" w:type="pct"/>
            <w:shd w:val="clear" w:color="auto" w:fill="auto"/>
          </w:tcPr>
          <w:p w14:paraId="78DDF56C" w14:textId="77777777" w:rsidR="00BC2F05" w:rsidRPr="008D71E6" w:rsidRDefault="00772FB6" w:rsidP="00976665">
            <w:pPr>
              <w:pStyle w:val="TableText"/>
              <w:rPr>
                <w:color w:val="000000" w:themeColor="text1"/>
                <w:lang w:val="pt-BR"/>
              </w:rPr>
            </w:pPr>
            <w:r>
              <w:rPr>
                <w:i/>
                <w:color w:val="000000" w:themeColor="text1"/>
                <w:lang w:val="pt-BR"/>
              </w:rPr>
              <w:lastRenderedPageBreak/>
              <w:t xml:space="preserve">Nigrospora sphaerica </w:t>
            </w:r>
            <w:r w:rsidRPr="00D14C3A">
              <w:rPr>
                <w:color w:val="000000" w:themeColor="text1"/>
                <w:lang w:val="pt-BR"/>
              </w:rPr>
              <w:t>(</w:t>
            </w:r>
            <w:r>
              <w:rPr>
                <w:color w:val="000000" w:themeColor="text1"/>
                <w:lang w:val="pt-BR"/>
              </w:rPr>
              <w:t>Sacc.</w:t>
            </w:r>
            <w:r w:rsidRPr="00D14C3A">
              <w:rPr>
                <w:color w:val="000000" w:themeColor="text1"/>
                <w:lang w:val="pt-BR"/>
              </w:rPr>
              <w:t xml:space="preserve">) </w:t>
            </w:r>
            <w:r>
              <w:rPr>
                <w:color w:val="000000" w:themeColor="text1"/>
                <w:lang w:val="pt-BR"/>
              </w:rPr>
              <w:t xml:space="preserve">E.W </w:t>
            </w:r>
            <w:r w:rsidRPr="00D14C3A">
              <w:rPr>
                <w:color w:val="000000" w:themeColor="text1"/>
                <w:lang w:val="pt-BR"/>
              </w:rPr>
              <w:t>Mason</w:t>
            </w:r>
            <w:r>
              <w:rPr>
                <w:color w:val="000000" w:themeColor="text1"/>
                <w:lang w:val="pt-BR"/>
              </w:rPr>
              <w:t xml:space="preserve"> </w:t>
            </w:r>
          </w:p>
          <w:p w14:paraId="761D305C" w14:textId="77777777" w:rsidR="00BC2F05" w:rsidRDefault="00772FB6" w:rsidP="00976665">
            <w:pPr>
              <w:pStyle w:val="TableText"/>
              <w:rPr>
                <w:color w:val="000000" w:themeColor="text1"/>
                <w:lang w:val="pt-BR"/>
              </w:rPr>
            </w:pPr>
            <w:r>
              <w:rPr>
                <w:color w:val="000000" w:themeColor="text1"/>
                <w:lang w:val="pt-BR"/>
              </w:rPr>
              <w:t>[Trichosphaeriales:</w:t>
            </w:r>
          </w:p>
          <w:p w14:paraId="58D52AA3" w14:textId="77777777" w:rsidR="00BC2F05" w:rsidRPr="008D71E6" w:rsidRDefault="00772FB6" w:rsidP="00976665">
            <w:pPr>
              <w:pStyle w:val="TableText"/>
            </w:pPr>
            <w:r>
              <w:rPr>
                <w:color w:val="000000" w:themeColor="text1"/>
                <w:lang w:val="pt-BR"/>
              </w:rPr>
              <w:t>Trichosphaeriaceae]</w:t>
            </w:r>
          </w:p>
        </w:tc>
        <w:tc>
          <w:tcPr>
            <w:tcW w:w="450" w:type="pct"/>
            <w:shd w:val="clear" w:color="auto" w:fill="auto"/>
          </w:tcPr>
          <w:p w14:paraId="04D19ABE" w14:textId="77777777" w:rsidR="00BC2F05" w:rsidRPr="00BD681D" w:rsidRDefault="00772FB6" w:rsidP="00976665">
            <w:pPr>
              <w:pStyle w:val="TableText"/>
              <w:rPr>
                <w:lang w:val="pt-BR"/>
              </w:rPr>
            </w:pPr>
            <w:r>
              <w:rPr>
                <w:lang w:val="pt-BR"/>
              </w:rPr>
              <w:t xml:space="preserve">Yes </w:t>
            </w:r>
            <w:r>
              <w:rPr>
                <w:noProof/>
                <w:lang w:val="pt-BR"/>
              </w:rPr>
              <w:t>(Taguiam et al. 2020a)</w:t>
            </w:r>
          </w:p>
        </w:tc>
        <w:tc>
          <w:tcPr>
            <w:tcW w:w="499" w:type="pct"/>
            <w:shd w:val="clear" w:color="auto" w:fill="auto"/>
          </w:tcPr>
          <w:p w14:paraId="782A113C" w14:textId="77777777" w:rsidR="00BC2F05" w:rsidRPr="00BD681D" w:rsidRDefault="00772FB6" w:rsidP="00976665">
            <w:pPr>
              <w:pStyle w:val="TableText"/>
              <w:rPr>
                <w:szCs w:val="16"/>
              </w:rPr>
            </w:pPr>
            <w:r>
              <w:rPr>
                <w:szCs w:val="16"/>
              </w:rPr>
              <w:t xml:space="preserve">Yes. Qld, NSW, WA, Vic. </w:t>
            </w:r>
            <w:r>
              <w:rPr>
                <w:noProof/>
                <w:szCs w:val="16"/>
              </w:rPr>
              <w:t>(APPD 2022)</w:t>
            </w:r>
          </w:p>
        </w:tc>
        <w:tc>
          <w:tcPr>
            <w:tcW w:w="645" w:type="pct"/>
            <w:shd w:val="clear" w:color="auto" w:fill="auto"/>
          </w:tcPr>
          <w:p w14:paraId="00E41D11" w14:textId="77777777" w:rsidR="00BC2F05" w:rsidRPr="00BD681D" w:rsidRDefault="00772FB6" w:rsidP="00976665">
            <w:pPr>
              <w:pStyle w:val="TableText"/>
            </w:pPr>
            <w:r>
              <w:t>Assessment not required</w:t>
            </w:r>
          </w:p>
        </w:tc>
        <w:tc>
          <w:tcPr>
            <w:tcW w:w="706" w:type="pct"/>
          </w:tcPr>
          <w:p w14:paraId="4A3BC8CD" w14:textId="77777777" w:rsidR="00BC2F05" w:rsidRDefault="00772FB6" w:rsidP="00976665">
            <w:pPr>
              <w:pStyle w:val="TableText"/>
            </w:pPr>
            <w:r>
              <w:t>Assessment not required</w:t>
            </w:r>
          </w:p>
        </w:tc>
        <w:tc>
          <w:tcPr>
            <w:tcW w:w="700" w:type="pct"/>
            <w:shd w:val="clear" w:color="auto" w:fill="auto"/>
          </w:tcPr>
          <w:p w14:paraId="72934014" w14:textId="77777777" w:rsidR="00BC2F05" w:rsidRPr="00BD681D" w:rsidRDefault="00772FB6" w:rsidP="00976665">
            <w:pPr>
              <w:pStyle w:val="TableText"/>
            </w:pPr>
            <w:r>
              <w:t>Assessment not required</w:t>
            </w:r>
          </w:p>
        </w:tc>
        <w:tc>
          <w:tcPr>
            <w:tcW w:w="701" w:type="pct"/>
            <w:shd w:val="clear" w:color="auto" w:fill="auto"/>
          </w:tcPr>
          <w:p w14:paraId="160E423E" w14:textId="77777777" w:rsidR="00BC2F05" w:rsidRPr="00BD681D" w:rsidRDefault="00772FB6" w:rsidP="00976665">
            <w:pPr>
              <w:pStyle w:val="TableText"/>
            </w:pPr>
            <w:r>
              <w:t>Assessment not required</w:t>
            </w:r>
          </w:p>
        </w:tc>
        <w:tc>
          <w:tcPr>
            <w:tcW w:w="500" w:type="pct"/>
            <w:gridSpan w:val="2"/>
            <w:shd w:val="clear" w:color="auto" w:fill="auto"/>
          </w:tcPr>
          <w:p w14:paraId="3C100B7B" w14:textId="77777777" w:rsidR="00BC2F05" w:rsidRPr="00BD681D" w:rsidRDefault="00772FB6" w:rsidP="00976665">
            <w:pPr>
              <w:pStyle w:val="TableText"/>
            </w:pPr>
            <w:r>
              <w:t>No</w:t>
            </w:r>
          </w:p>
        </w:tc>
      </w:tr>
      <w:tr w:rsidR="00C80041" w14:paraId="0CFFABBC" w14:textId="77777777" w:rsidTr="003754F5">
        <w:trPr>
          <w:trHeight w:val="75"/>
          <w:jc w:val="center"/>
        </w:trPr>
        <w:tc>
          <w:tcPr>
            <w:tcW w:w="799" w:type="pct"/>
            <w:shd w:val="clear" w:color="auto" w:fill="auto"/>
          </w:tcPr>
          <w:p w14:paraId="4FF9D072" w14:textId="77777777" w:rsidR="00BC2F05" w:rsidRPr="008D71E6" w:rsidRDefault="00772FB6" w:rsidP="00976665">
            <w:pPr>
              <w:pStyle w:val="TableText"/>
              <w:rPr>
                <w:color w:val="000000" w:themeColor="text1"/>
                <w:lang w:val="pt-BR"/>
              </w:rPr>
            </w:pPr>
            <w:bookmarkStart w:id="247" w:name="_Hlk84860604"/>
            <w:r>
              <w:rPr>
                <w:i/>
                <w:color w:val="000000" w:themeColor="text1"/>
                <w:lang w:val="pt-BR"/>
              </w:rPr>
              <w:t>Penicillium glabrum</w:t>
            </w:r>
            <w:bookmarkEnd w:id="247"/>
            <w:r>
              <w:rPr>
                <w:i/>
                <w:color w:val="000000" w:themeColor="text1"/>
                <w:lang w:val="pt-BR"/>
              </w:rPr>
              <w:t xml:space="preserve"> </w:t>
            </w:r>
            <w:r>
              <w:rPr>
                <w:color w:val="000000" w:themeColor="text1"/>
                <w:lang w:val="pt-BR"/>
              </w:rPr>
              <w:t xml:space="preserve">(Wehmer) Westling </w:t>
            </w:r>
          </w:p>
          <w:p w14:paraId="3DBE8852" w14:textId="77777777" w:rsidR="00BC2F05" w:rsidRPr="008D71E6" w:rsidRDefault="00772FB6" w:rsidP="00976665">
            <w:pPr>
              <w:pStyle w:val="TableText"/>
            </w:pPr>
            <w:r>
              <w:rPr>
                <w:color w:val="000000" w:themeColor="text1"/>
                <w:lang w:val="pt-BR"/>
              </w:rPr>
              <w:t>[Eurotiales: Trichocomaceae]</w:t>
            </w:r>
          </w:p>
        </w:tc>
        <w:tc>
          <w:tcPr>
            <w:tcW w:w="450" w:type="pct"/>
            <w:shd w:val="clear" w:color="auto" w:fill="auto"/>
          </w:tcPr>
          <w:p w14:paraId="518082A3" w14:textId="77777777" w:rsidR="00BC2F05" w:rsidRPr="00BD681D" w:rsidRDefault="00772FB6" w:rsidP="00976665">
            <w:pPr>
              <w:pStyle w:val="TableText"/>
              <w:rPr>
                <w:lang w:val="pt-BR"/>
              </w:rPr>
            </w:pPr>
            <w:r>
              <w:rPr>
                <w:lang w:val="pt-BR"/>
              </w:rPr>
              <w:t xml:space="preserve">Yes </w:t>
            </w:r>
            <w:r>
              <w:rPr>
                <w:noProof/>
                <w:lang w:val="pt-BR"/>
              </w:rPr>
              <w:t>(Pascual, Tepora &amp; Tumolva 2016; Tepora 2019)</w:t>
            </w:r>
          </w:p>
        </w:tc>
        <w:tc>
          <w:tcPr>
            <w:tcW w:w="499" w:type="pct"/>
            <w:shd w:val="clear" w:color="auto" w:fill="auto"/>
          </w:tcPr>
          <w:p w14:paraId="4A2080AE" w14:textId="77777777" w:rsidR="00BC2F05" w:rsidRPr="00BD681D" w:rsidRDefault="00772FB6" w:rsidP="00976665">
            <w:pPr>
              <w:pStyle w:val="TableText"/>
              <w:rPr>
                <w:szCs w:val="16"/>
              </w:rPr>
            </w:pPr>
            <w:r>
              <w:rPr>
                <w:szCs w:val="16"/>
              </w:rPr>
              <w:t xml:space="preserve">Yes. ACT, NSW, Vic., WA </w:t>
            </w:r>
            <w:r>
              <w:rPr>
                <w:noProof/>
                <w:szCs w:val="16"/>
              </w:rPr>
              <w:t>(APPD 2022; Fisher, Petrini &amp; Sutton 1993; Houbraken et al. 2014)</w:t>
            </w:r>
          </w:p>
        </w:tc>
        <w:tc>
          <w:tcPr>
            <w:tcW w:w="645" w:type="pct"/>
            <w:shd w:val="clear" w:color="auto" w:fill="auto"/>
          </w:tcPr>
          <w:p w14:paraId="5BF56867" w14:textId="77777777" w:rsidR="00BC2F05" w:rsidRPr="00BD681D" w:rsidRDefault="00772FB6" w:rsidP="00976665">
            <w:pPr>
              <w:pStyle w:val="TableText"/>
            </w:pPr>
            <w:r>
              <w:t>Assessment not required</w:t>
            </w:r>
          </w:p>
        </w:tc>
        <w:tc>
          <w:tcPr>
            <w:tcW w:w="706" w:type="pct"/>
          </w:tcPr>
          <w:p w14:paraId="70B32569" w14:textId="77777777" w:rsidR="00BC2F05" w:rsidRDefault="00772FB6" w:rsidP="00976665">
            <w:pPr>
              <w:pStyle w:val="TableText"/>
            </w:pPr>
            <w:r>
              <w:t>Assessment not required</w:t>
            </w:r>
          </w:p>
        </w:tc>
        <w:tc>
          <w:tcPr>
            <w:tcW w:w="700" w:type="pct"/>
            <w:shd w:val="clear" w:color="auto" w:fill="auto"/>
          </w:tcPr>
          <w:p w14:paraId="23AF1FDD" w14:textId="77777777" w:rsidR="00BC2F05" w:rsidRPr="00BD681D" w:rsidRDefault="00772FB6" w:rsidP="00976665">
            <w:pPr>
              <w:pStyle w:val="TableText"/>
            </w:pPr>
            <w:r>
              <w:t>Assessment not required</w:t>
            </w:r>
          </w:p>
        </w:tc>
        <w:tc>
          <w:tcPr>
            <w:tcW w:w="701" w:type="pct"/>
            <w:shd w:val="clear" w:color="auto" w:fill="auto"/>
          </w:tcPr>
          <w:p w14:paraId="1066185C" w14:textId="77777777" w:rsidR="00BC2F05" w:rsidRPr="00BD681D" w:rsidRDefault="00772FB6" w:rsidP="00976665">
            <w:pPr>
              <w:pStyle w:val="TableText"/>
            </w:pPr>
            <w:r>
              <w:t>Assessment not required</w:t>
            </w:r>
          </w:p>
        </w:tc>
        <w:tc>
          <w:tcPr>
            <w:tcW w:w="500" w:type="pct"/>
            <w:gridSpan w:val="2"/>
            <w:shd w:val="clear" w:color="auto" w:fill="auto"/>
          </w:tcPr>
          <w:p w14:paraId="37C1484E" w14:textId="77777777" w:rsidR="00BC2F05" w:rsidRPr="00BD681D" w:rsidRDefault="00772FB6" w:rsidP="00976665">
            <w:pPr>
              <w:pStyle w:val="TableText"/>
            </w:pPr>
            <w:r>
              <w:t>No</w:t>
            </w:r>
          </w:p>
        </w:tc>
      </w:tr>
      <w:tr w:rsidR="00C80041" w14:paraId="321C2FC4" w14:textId="77777777" w:rsidTr="003754F5">
        <w:trPr>
          <w:trHeight w:val="75"/>
          <w:jc w:val="center"/>
        </w:trPr>
        <w:tc>
          <w:tcPr>
            <w:tcW w:w="799" w:type="pct"/>
            <w:shd w:val="clear" w:color="auto" w:fill="auto"/>
          </w:tcPr>
          <w:p w14:paraId="476C0524" w14:textId="77777777" w:rsidR="00BC2F05" w:rsidRPr="008D71E6" w:rsidRDefault="00772FB6" w:rsidP="00976665">
            <w:pPr>
              <w:pStyle w:val="TableText"/>
              <w:rPr>
                <w:color w:val="000000" w:themeColor="text1"/>
                <w:lang w:val="pt-BR"/>
              </w:rPr>
            </w:pPr>
            <w:bookmarkStart w:id="248" w:name="_Hlk84860634"/>
            <w:r w:rsidRPr="00816BB6">
              <w:rPr>
                <w:i/>
                <w:color w:val="000000" w:themeColor="text1"/>
                <w:lang w:val="pt-BR"/>
              </w:rPr>
              <w:t>Pestalotiopsis versicolor</w:t>
            </w:r>
            <w:bookmarkEnd w:id="248"/>
            <w:r>
              <w:rPr>
                <w:i/>
                <w:color w:val="000000" w:themeColor="text1"/>
                <w:lang w:val="pt-BR"/>
              </w:rPr>
              <w:t xml:space="preserve"> </w:t>
            </w:r>
            <w:r>
              <w:rPr>
                <w:color w:val="000000" w:themeColor="text1"/>
                <w:lang w:val="pt-BR"/>
              </w:rPr>
              <w:t xml:space="preserve">(Speg.) Steyaert </w:t>
            </w:r>
          </w:p>
          <w:p w14:paraId="160E189D" w14:textId="77777777" w:rsidR="00BC2F05" w:rsidRPr="008D71E6" w:rsidRDefault="00772FB6" w:rsidP="00976665">
            <w:pPr>
              <w:pStyle w:val="TableText"/>
            </w:pPr>
            <w:r>
              <w:rPr>
                <w:color w:val="000000" w:themeColor="text1"/>
                <w:lang w:val="pt-BR"/>
              </w:rPr>
              <w:t>[Xylariales: Amphisphaeriaceae]</w:t>
            </w:r>
          </w:p>
        </w:tc>
        <w:tc>
          <w:tcPr>
            <w:tcW w:w="450" w:type="pct"/>
            <w:shd w:val="clear" w:color="auto" w:fill="auto"/>
          </w:tcPr>
          <w:p w14:paraId="35D2ED0B" w14:textId="77777777" w:rsidR="00BC2F05" w:rsidRPr="00BD681D" w:rsidRDefault="00772FB6" w:rsidP="00976665">
            <w:pPr>
              <w:pStyle w:val="TableText"/>
              <w:rPr>
                <w:lang w:val="pt-BR"/>
              </w:rPr>
            </w:pPr>
            <w:r>
              <w:rPr>
                <w:lang w:val="pt-BR"/>
              </w:rPr>
              <w:t xml:space="preserve">Yes </w:t>
            </w:r>
            <w:r>
              <w:rPr>
                <w:noProof/>
                <w:lang w:val="pt-BR"/>
              </w:rPr>
              <w:t>(Pascual, Tepora &amp; Tumolva 2016)</w:t>
            </w:r>
          </w:p>
        </w:tc>
        <w:tc>
          <w:tcPr>
            <w:tcW w:w="499" w:type="pct"/>
            <w:shd w:val="clear" w:color="auto" w:fill="auto"/>
          </w:tcPr>
          <w:p w14:paraId="77DC86B3" w14:textId="77777777" w:rsidR="00BC2F05" w:rsidRPr="00BD681D" w:rsidRDefault="00772FB6" w:rsidP="00976665">
            <w:pPr>
              <w:pStyle w:val="TableText"/>
              <w:rPr>
                <w:szCs w:val="16"/>
              </w:rPr>
            </w:pPr>
            <w:r>
              <w:rPr>
                <w:szCs w:val="16"/>
              </w:rPr>
              <w:t xml:space="preserve">Yes. NT, Qld, NSW, Vic., WA </w:t>
            </w:r>
            <w:r>
              <w:rPr>
                <w:noProof/>
                <w:szCs w:val="16"/>
              </w:rPr>
              <w:t>(APPD 2022; Jeewon et al. 2003)</w:t>
            </w:r>
          </w:p>
        </w:tc>
        <w:tc>
          <w:tcPr>
            <w:tcW w:w="645" w:type="pct"/>
            <w:shd w:val="clear" w:color="auto" w:fill="auto"/>
          </w:tcPr>
          <w:p w14:paraId="62287AB6" w14:textId="77777777" w:rsidR="00BC2F05" w:rsidRPr="00BD681D" w:rsidRDefault="00772FB6" w:rsidP="00976665">
            <w:pPr>
              <w:pStyle w:val="TableText"/>
            </w:pPr>
            <w:r>
              <w:t>Assessment not required</w:t>
            </w:r>
          </w:p>
        </w:tc>
        <w:tc>
          <w:tcPr>
            <w:tcW w:w="706" w:type="pct"/>
          </w:tcPr>
          <w:p w14:paraId="45F8715B" w14:textId="77777777" w:rsidR="00BC2F05" w:rsidRDefault="00772FB6" w:rsidP="00976665">
            <w:pPr>
              <w:pStyle w:val="TableText"/>
            </w:pPr>
            <w:r>
              <w:t>Assessment not required</w:t>
            </w:r>
          </w:p>
        </w:tc>
        <w:tc>
          <w:tcPr>
            <w:tcW w:w="700" w:type="pct"/>
            <w:shd w:val="clear" w:color="auto" w:fill="auto"/>
          </w:tcPr>
          <w:p w14:paraId="672196B5" w14:textId="77777777" w:rsidR="00BC2F05" w:rsidRPr="00BD681D" w:rsidRDefault="00772FB6" w:rsidP="00976665">
            <w:pPr>
              <w:pStyle w:val="TableText"/>
            </w:pPr>
            <w:r>
              <w:t>Assessment not required</w:t>
            </w:r>
          </w:p>
        </w:tc>
        <w:tc>
          <w:tcPr>
            <w:tcW w:w="701" w:type="pct"/>
            <w:shd w:val="clear" w:color="auto" w:fill="auto"/>
          </w:tcPr>
          <w:p w14:paraId="0E9F981D" w14:textId="77777777" w:rsidR="00BC2F05" w:rsidRPr="00BD681D" w:rsidRDefault="00772FB6" w:rsidP="00976665">
            <w:pPr>
              <w:pStyle w:val="TableText"/>
            </w:pPr>
            <w:r>
              <w:t>Assessment not required</w:t>
            </w:r>
          </w:p>
        </w:tc>
        <w:tc>
          <w:tcPr>
            <w:tcW w:w="500" w:type="pct"/>
            <w:gridSpan w:val="2"/>
            <w:shd w:val="clear" w:color="auto" w:fill="auto"/>
          </w:tcPr>
          <w:p w14:paraId="1B9B5BC4" w14:textId="77777777" w:rsidR="00BC2F05" w:rsidRPr="00BD681D" w:rsidRDefault="00772FB6" w:rsidP="00976665">
            <w:pPr>
              <w:pStyle w:val="TableText"/>
            </w:pPr>
            <w:r>
              <w:t>No</w:t>
            </w:r>
          </w:p>
        </w:tc>
      </w:tr>
      <w:tr w:rsidR="00C80041" w14:paraId="6A827E29" w14:textId="77777777" w:rsidTr="003754F5">
        <w:trPr>
          <w:trHeight w:val="75"/>
          <w:jc w:val="center"/>
        </w:trPr>
        <w:tc>
          <w:tcPr>
            <w:tcW w:w="799" w:type="pct"/>
            <w:shd w:val="clear" w:color="auto" w:fill="auto"/>
          </w:tcPr>
          <w:p w14:paraId="7E614991" w14:textId="77777777" w:rsidR="00BC2F05" w:rsidRDefault="00772FB6" w:rsidP="00976665">
            <w:pPr>
              <w:pStyle w:val="TableText"/>
              <w:rPr>
                <w:color w:val="000000" w:themeColor="text1"/>
                <w:lang w:val="pt-BR"/>
              </w:rPr>
            </w:pPr>
            <w:r>
              <w:rPr>
                <w:i/>
                <w:color w:val="000000" w:themeColor="text1"/>
                <w:lang w:val="pt-BR"/>
              </w:rPr>
              <w:t xml:space="preserve">Phylloscticta sorghina </w:t>
            </w:r>
            <w:r>
              <w:rPr>
                <w:iCs/>
                <w:color w:val="000000" w:themeColor="text1"/>
                <w:lang w:val="pt-BR"/>
              </w:rPr>
              <w:t>Sacc., Michelia</w:t>
            </w:r>
            <w:r>
              <w:rPr>
                <w:i/>
                <w:color w:val="000000" w:themeColor="text1"/>
                <w:lang w:val="pt-BR"/>
              </w:rPr>
              <w:t xml:space="preserve"> </w:t>
            </w:r>
            <w:r w:rsidRPr="00B965E7">
              <w:t>(</w:t>
            </w:r>
            <w:proofErr w:type="spellStart"/>
            <w:r w:rsidRPr="00B965E7">
              <w:t>Sacc</w:t>
            </w:r>
            <w:proofErr w:type="spellEnd"/>
            <w:r w:rsidRPr="00B965E7">
              <w:t xml:space="preserve">.) </w:t>
            </w:r>
            <w:proofErr w:type="spellStart"/>
            <w:r w:rsidRPr="00B965E7">
              <w:t>Aveskamp</w:t>
            </w:r>
            <w:proofErr w:type="spellEnd"/>
            <w:r w:rsidRPr="00B965E7">
              <w:t xml:space="preserve">, Gruyter &amp; </w:t>
            </w:r>
            <w:proofErr w:type="spellStart"/>
            <w:r w:rsidRPr="00B965E7">
              <w:t>Verkley</w:t>
            </w:r>
            <w:proofErr w:type="spellEnd"/>
          </w:p>
          <w:p w14:paraId="755037EF" w14:textId="77777777" w:rsidR="00BC2F05" w:rsidRDefault="00772FB6" w:rsidP="00976665">
            <w:pPr>
              <w:pStyle w:val="TableText"/>
              <w:rPr>
                <w:color w:val="000000" w:themeColor="text1"/>
                <w:lang w:val="pt-BR"/>
              </w:rPr>
            </w:pPr>
            <w:r>
              <w:t xml:space="preserve">Synonyms: </w:t>
            </w:r>
            <w:r>
              <w:rPr>
                <w:i/>
                <w:color w:val="000000" w:themeColor="text1"/>
                <w:lang w:val="pt-BR"/>
              </w:rPr>
              <w:t xml:space="preserve">Epicoccum sorghinum </w:t>
            </w:r>
            <w:r w:rsidRPr="00B965E7">
              <w:t>(</w:t>
            </w:r>
            <w:proofErr w:type="spellStart"/>
            <w:r w:rsidRPr="00B965E7">
              <w:t>Sacc</w:t>
            </w:r>
            <w:proofErr w:type="spellEnd"/>
            <w:r w:rsidRPr="00B965E7">
              <w:t xml:space="preserve">.) </w:t>
            </w:r>
            <w:proofErr w:type="spellStart"/>
            <w:r w:rsidRPr="00B965E7">
              <w:t>Aveskamp</w:t>
            </w:r>
            <w:proofErr w:type="spellEnd"/>
            <w:r w:rsidRPr="00B965E7">
              <w:t xml:space="preserve">, Gruyter &amp; </w:t>
            </w:r>
            <w:proofErr w:type="spellStart"/>
            <w:r w:rsidRPr="00B965E7">
              <w:t>Verkley</w:t>
            </w:r>
            <w:proofErr w:type="spellEnd"/>
            <w:r>
              <w:t xml:space="preserve">, </w:t>
            </w:r>
            <w:proofErr w:type="spellStart"/>
            <w:r w:rsidRPr="00B965E7">
              <w:rPr>
                <w:i/>
                <w:iCs/>
              </w:rPr>
              <w:t>Phoma</w:t>
            </w:r>
            <w:proofErr w:type="spellEnd"/>
            <w:r w:rsidRPr="00B965E7">
              <w:rPr>
                <w:i/>
                <w:iCs/>
              </w:rPr>
              <w:t xml:space="preserve"> </w:t>
            </w:r>
            <w:proofErr w:type="spellStart"/>
            <w:r w:rsidRPr="00B965E7">
              <w:rPr>
                <w:i/>
                <w:iCs/>
              </w:rPr>
              <w:t>sorghina</w:t>
            </w:r>
            <w:proofErr w:type="spellEnd"/>
            <w:r>
              <w:rPr>
                <w:i/>
                <w:iCs/>
              </w:rPr>
              <w:t xml:space="preserve"> </w:t>
            </w:r>
            <w:r w:rsidRPr="00B965E7">
              <w:t>(</w:t>
            </w:r>
            <w:proofErr w:type="spellStart"/>
            <w:r>
              <w:t>Sacc</w:t>
            </w:r>
            <w:proofErr w:type="spellEnd"/>
            <w:r>
              <w:t>.</w:t>
            </w:r>
            <w:r w:rsidRPr="00B965E7">
              <w:t xml:space="preserve">) </w:t>
            </w:r>
            <w:proofErr w:type="spellStart"/>
            <w:r w:rsidRPr="00B965E7">
              <w:t>Boerema</w:t>
            </w:r>
            <w:proofErr w:type="spellEnd"/>
            <w:r>
              <w:t xml:space="preserve">, </w:t>
            </w:r>
            <w:proofErr w:type="spellStart"/>
            <w:r>
              <w:t>Dorenb</w:t>
            </w:r>
            <w:proofErr w:type="spellEnd"/>
            <w:r>
              <w:t xml:space="preserve">, &amp; </w:t>
            </w:r>
            <w:proofErr w:type="spellStart"/>
            <w:r>
              <w:t>Kesteren</w:t>
            </w:r>
            <w:proofErr w:type="spellEnd"/>
          </w:p>
          <w:p w14:paraId="217EBA32" w14:textId="77777777" w:rsidR="00BC2F05" w:rsidRPr="008D71E6" w:rsidRDefault="00772FB6" w:rsidP="00976665">
            <w:pPr>
              <w:pStyle w:val="TableText"/>
            </w:pPr>
            <w:r>
              <w:rPr>
                <w:color w:val="000000" w:themeColor="text1"/>
                <w:lang w:val="pt-BR"/>
              </w:rPr>
              <w:t>[Pleosporales: Didymellaceae]</w:t>
            </w:r>
          </w:p>
        </w:tc>
        <w:tc>
          <w:tcPr>
            <w:tcW w:w="450" w:type="pct"/>
            <w:shd w:val="clear" w:color="auto" w:fill="auto"/>
          </w:tcPr>
          <w:p w14:paraId="15B9D912" w14:textId="77777777" w:rsidR="00BC2F05" w:rsidRPr="00BD681D" w:rsidRDefault="00772FB6" w:rsidP="00976665">
            <w:pPr>
              <w:pStyle w:val="TableText"/>
              <w:rPr>
                <w:lang w:val="pt-BR"/>
              </w:rPr>
            </w:pPr>
            <w:r>
              <w:rPr>
                <w:lang w:val="pt-BR"/>
              </w:rPr>
              <w:t xml:space="preserve">Yes </w:t>
            </w:r>
            <w:r>
              <w:rPr>
                <w:noProof/>
                <w:lang w:val="pt-BR"/>
              </w:rPr>
              <w:t>(Taguiam et al. 2020b)</w:t>
            </w:r>
          </w:p>
        </w:tc>
        <w:tc>
          <w:tcPr>
            <w:tcW w:w="499" w:type="pct"/>
            <w:shd w:val="clear" w:color="auto" w:fill="auto"/>
          </w:tcPr>
          <w:p w14:paraId="15C95744" w14:textId="77777777" w:rsidR="00BC2F05" w:rsidRPr="00BD681D" w:rsidRDefault="00772FB6" w:rsidP="00976665">
            <w:pPr>
              <w:rPr>
                <w:szCs w:val="16"/>
              </w:rPr>
            </w:pPr>
            <w:r w:rsidRPr="00581B88">
              <w:rPr>
                <w:sz w:val="18"/>
              </w:rPr>
              <w:t>Yes</w:t>
            </w:r>
            <w:r>
              <w:rPr>
                <w:sz w:val="18"/>
              </w:rPr>
              <w:t xml:space="preserve">. NSW, NT, SA, Qld </w:t>
            </w:r>
            <w:r>
              <w:rPr>
                <w:noProof/>
                <w:sz w:val="18"/>
              </w:rPr>
              <w:t>(APPD 2022)</w:t>
            </w:r>
          </w:p>
        </w:tc>
        <w:tc>
          <w:tcPr>
            <w:tcW w:w="645" w:type="pct"/>
            <w:shd w:val="clear" w:color="auto" w:fill="auto"/>
          </w:tcPr>
          <w:p w14:paraId="0901DF9F" w14:textId="77777777" w:rsidR="00BC2F05" w:rsidRDefault="00772FB6" w:rsidP="00976665">
            <w:pPr>
              <w:pStyle w:val="TableText"/>
            </w:pPr>
            <w:r>
              <w:t>Assessment not required</w:t>
            </w:r>
          </w:p>
          <w:p w14:paraId="376952C1" w14:textId="77777777" w:rsidR="00BD336B" w:rsidRPr="00BD336B" w:rsidRDefault="00BD336B" w:rsidP="00BD336B"/>
          <w:p w14:paraId="1D2F2CEB" w14:textId="77777777" w:rsidR="00BD336B" w:rsidRPr="00BD336B" w:rsidRDefault="00BD336B" w:rsidP="00BD336B"/>
          <w:p w14:paraId="2BED8C73" w14:textId="77777777" w:rsidR="00BD336B" w:rsidRPr="00BD336B" w:rsidRDefault="00BD336B" w:rsidP="00BD336B"/>
          <w:p w14:paraId="3E1A8B8E" w14:textId="77777777" w:rsidR="00BD336B" w:rsidRPr="00BD336B" w:rsidRDefault="00BD336B" w:rsidP="00BD336B"/>
          <w:p w14:paraId="6825895E" w14:textId="5331F1EA" w:rsidR="00BD336B" w:rsidRPr="00BD336B" w:rsidRDefault="00BD336B" w:rsidP="00BD336B"/>
        </w:tc>
        <w:tc>
          <w:tcPr>
            <w:tcW w:w="706" w:type="pct"/>
          </w:tcPr>
          <w:p w14:paraId="0313C7CC" w14:textId="77777777" w:rsidR="00BC2F05" w:rsidRDefault="00772FB6" w:rsidP="00976665">
            <w:pPr>
              <w:pStyle w:val="TableText"/>
            </w:pPr>
            <w:r>
              <w:t>Assessment not required</w:t>
            </w:r>
          </w:p>
        </w:tc>
        <w:tc>
          <w:tcPr>
            <w:tcW w:w="700" w:type="pct"/>
            <w:shd w:val="clear" w:color="auto" w:fill="auto"/>
          </w:tcPr>
          <w:p w14:paraId="28E49F1F" w14:textId="77777777" w:rsidR="00BC2F05" w:rsidRPr="00BD681D" w:rsidRDefault="00772FB6" w:rsidP="00976665">
            <w:pPr>
              <w:pStyle w:val="TableText"/>
            </w:pPr>
            <w:r>
              <w:t>Assessment not required</w:t>
            </w:r>
          </w:p>
        </w:tc>
        <w:tc>
          <w:tcPr>
            <w:tcW w:w="701" w:type="pct"/>
            <w:shd w:val="clear" w:color="auto" w:fill="auto"/>
          </w:tcPr>
          <w:p w14:paraId="65B94313" w14:textId="77777777" w:rsidR="00BC2F05" w:rsidRPr="00BD681D" w:rsidRDefault="00772FB6" w:rsidP="00976665">
            <w:pPr>
              <w:pStyle w:val="TableText"/>
            </w:pPr>
            <w:r>
              <w:t>Assessment not required</w:t>
            </w:r>
          </w:p>
        </w:tc>
        <w:tc>
          <w:tcPr>
            <w:tcW w:w="500" w:type="pct"/>
            <w:gridSpan w:val="2"/>
            <w:shd w:val="clear" w:color="auto" w:fill="auto"/>
          </w:tcPr>
          <w:p w14:paraId="0F4F2671" w14:textId="77777777" w:rsidR="00BC2F05" w:rsidRPr="00BD681D" w:rsidRDefault="00772FB6" w:rsidP="00976665">
            <w:pPr>
              <w:pStyle w:val="TableText"/>
            </w:pPr>
            <w:r>
              <w:t>No</w:t>
            </w:r>
          </w:p>
        </w:tc>
      </w:tr>
      <w:tr w:rsidR="00C80041" w14:paraId="576C83CE" w14:textId="77777777" w:rsidTr="003754F5">
        <w:trPr>
          <w:trHeight w:val="75"/>
          <w:jc w:val="center"/>
        </w:trPr>
        <w:tc>
          <w:tcPr>
            <w:tcW w:w="799" w:type="pct"/>
            <w:shd w:val="clear" w:color="auto" w:fill="auto"/>
          </w:tcPr>
          <w:p w14:paraId="2B2EE52E" w14:textId="77777777" w:rsidR="00BC2F05" w:rsidRDefault="00772FB6" w:rsidP="00976665">
            <w:pPr>
              <w:pStyle w:val="TableText"/>
              <w:rPr>
                <w:color w:val="000000" w:themeColor="text1"/>
                <w:lang w:val="pt-BR"/>
              </w:rPr>
            </w:pPr>
            <w:bookmarkStart w:id="249" w:name="_Hlk86137489"/>
            <w:r w:rsidRPr="00173E88">
              <w:rPr>
                <w:i/>
                <w:iCs/>
              </w:rPr>
              <w:lastRenderedPageBreak/>
              <w:t xml:space="preserve">Rhizoctonia </w:t>
            </w:r>
            <w:proofErr w:type="spellStart"/>
            <w:r w:rsidRPr="00173E88">
              <w:rPr>
                <w:i/>
                <w:iCs/>
              </w:rPr>
              <w:t>solani</w:t>
            </w:r>
            <w:proofErr w:type="spellEnd"/>
            <w:r w:rsidRPr="00173E88">
              <w:rPr>
                <w:i/>
                <w:iCs/>
              </w:rPr>
              <w:t xml:space="preserve"> </w:t>
            </w:r>
            <w:r>
              <w:t xml:space="preserve">J.G </w:t>
            </w:r>
            <w:proofErr w:type="spellStart"/>
            <w:r>
              <w:t>Kühn</w:t>
            </w:r>
            <w:proofErr w:type="spellEnd"/>
            <w:r w:rsidRPr="002D5010">
              <w:rPr>
                <w:i/>
                <w:color w:val="000000" w:themeColor="text1"/>
                <w:lang w:val="pt-BR"/>
              </w:rPr>
              <w:t xml:space="preserve"> </w:t>
            </w:r>
          </w:p>
          <w:p w14:paraId="411AD9F9" w14:textId="77777777" w:rsidR="00BC2F05" w:rsidRPr="00B106EF" w:rsidRDefault="00772FB6" w:rsidP="00976665">
            <w:pPr>
              <w:pStyle w:val="TableText"/>
              <w:rPr>
                <w:color w:val="000000" w:themeColor="text1"/>
              </w:rPr>
            </w:pPr>
            <w:r>
              <w:t xml:space="preserve">Synonym: </w:t>
            </w:r>
            <w:r w:rsidRPr="002D5010">
              <w:rPr>
                <w:i/>
                <w:color w:val="000000" w:themeColor="text1"/>
                <w:lang w:val="pt-BR"/>
              </w:rPr>
              <w:t>Thanatephorus cucumeris</w:t>
            </w:r>
            <w:r>
              <w:t xml:space="preserve"> (A.B Frank) Donk</w:t>
            </w:r>
          </w:p>
          <w:p w14:paraId="3E28EB24" w14:textId="77777777" w:rsidR="00BC2F05" w:rsidRPr="00E53740" w:rsidRDefault="00772FB6" w:rsidP="00976665">
            <w:pPr>
              <w:pStyle w:val="TableText"/>
            </w:pPr>
            <w:r>
              <w:rPr>
                <w:color w:val="000000" w:themeColor="text1"/>
                <w:lang w:val="pt-BR"/>
              </w:rPr>
              <w:t>[</w:t>
            </w:r>
            <w:proofErr w:type="spellStart"/>
            <w:r>
              <w:t>Ceratobasidiales</w:t>
            </w:r>
            <w:proofErr w:type="spellEnd"/>
            <w:r>
              <w:t xml:space="preserve">: </w:t>
            </w:r>
            <w:proofErr w:type="spellStart"/>
            <w:r>
              <w:t>Ceratobasidiaceae</w:t>
            </w:r>
            <w:proofErr w:type="spellEnd"/>
            <w:r>
              <w:rPr>
                <w:color w:val="000000" w:themeColor="text1"/>
                <w:lang w:val="pt-BR"/>
              </w:rPr>
              <w:t>]</w:t>
            </w:r>
          </w:p>
          <w:p w14:paraId="42D19B12" w14:textId="77777777" w:rsidR="00BC2F05" w:rsidRPr="00E53740" w:rsidRDefault="00772FB6" w:rsidP="00976665">
            <w:pPr>
              <w:pStyle w:val="TableText"/>
              <w:rPr>
                <w:color w:val="000000" w:themeColor="text1"/>
                <w:lang w:val="pt-BR"/>
              </w:rPr>
            </w:pPr>
            <w:r>
              <w:rPr>
                <w:color w:val="000000" w:themeColor="text1"/>
                <w:lang w:val="pt-BR"/>
              </w:rPr>
              <w:t>Rhizoctonia bud rot</w:t>
            </w:r>
          </w:p>
        </w:tc>
        <w:tc>
          <w:tcPr>
            <w:tcW w:w="450" w:type="pct"/>
            <w:shd w:val="clear" w:color="auto" w:fill="auto"/>
          </w:tcPr>
          <w:p w14:paraId="7E36D6F4" w14:textId="77777777" w:rsidR="00BC2F05" w:rsidRPr="00BD681D" w:rsidRDefault="00772FB6" w:rsidP="00976665">
            <w:pPr>
              <w:pStyle w:val="TableText"/>
              <w:rPr>
                <w:lang w:val="pt-BR"/>
              </w:rPr>
            </w:pPr>
            <w:r>
              <w:rPr>
                <w:lang w:val="pt-BR"/>
              </w:rPr>
              <w:t xml:space="preserve">Yes </w:t>
            </w:r>
            <w:r>
              <w:rPr>
                <w:noProof/>
                <w:lang w:val="pt-BR"/>
              </w:rPr>
              <w:t>(CABI 2022)</w:t>
            </w:r>
          </w:p>
        </w:tc>
        <w:tc>
          <w:tcPr>
            <w:tcW w:w="499" w:type="pct"/>
            <w:shd w:val="clear" w:color="auto" w:fill="auto"/>
          </w:tcPr>
          <w:p w14:paraId="18E1518B" w14:textId="77777777" w:rsidR="00BC2F05" w:rsidRPr="00BD681D" w:rsidRDefault="00772FB6" w:rsidP="00976665">
            <w:pPr>
              <w:pStyle w:val="TableText"/>
              <w:rPr>
                <w:szCs w:val="16"/>
              </w:rPr>
            </w:pPr>
            <w:r>
              <w:t xml:space="preserve">Yes. NSW, NT, Qld, SA, Tas., Vic., WA </w:t>
            </w:r>
            <w:r>
              <w:rPr>
                <w:noProof/>
                <w:szCs w:val="16"/>
              </w:rPr>
              <w:t>(APPD 2022)</w:t>
            </w:r>
          </w:p>
        </w:tc>
        <w:tc>
          <w:tcPr>
            <w:tcW w:w="645" w:type="pct"/>
            <w:shd w:val="clear" w:color="auto" w:fill="auto"/>
          </w:tcPr>
          <w:p w14:paraId="17020190" w14:textId="77777777" w:rsidR="00BC2F05" w:rsidRPr="00BD681D" w:rsidRDefault="00772FB6" w:rsidP="00976665">
            <w:pPr>
              <w:pStyle w:val="TableText"/>
            </w:pPr>
            <w:r>
              <w:t>Assessment not required</w:t>
            </w:r>
          </w:p>
        </w:tc>
        <w:tc>
          <w:tcPr>
            <w:tcW w:w="706" w:type="pct"/>
          </w:tcPr>
          <w:p w14:paraId="4302B067" w14:textId="77777777" w:rsidR="00BC2F05" w:rsidRDefault="00772FB6" w:rsidP="00976665">
            <w:pPr>
              <w:pStyle w:val="TableText"/>
            </w:pPr>
            <w:r>
              <w:t>Assessment not required</w:t>
            </w:r>
          </w:p>
        </w:tc>
        <w:tc>
          <w:tcPr>
            <w:tcW w:w="700" w:type="pct"/>
            <w:shd w:val="clear" w:color="auto" w:fill="auto"/>
          </w:tcPr>
          <w:p w14:paraId="59363702" w14:textId="77777777" w:rsidR="00BC2F05" w:rsidRPr="00BD681D" w:rsidRDefault="00772FB6" w:rsidP="00976665">
            <w:pPr>
              <w:pStyle w:val="TableText"/>
            </w:pPr>
            <w:r>
              <w:t>Assessment not required</w:t>
            </w:r>
          </w:p>
        </w:tc>
        <w:tc>
          <w:tcPr>
            <w:tcW w:w="701" w:type="pct"/>
            <w:shd w:val="clear" w:color="auto" w:fill="auto"/>
          </w:tcPr>
          <w:p w14:paraId="0FE92E88" w14:textId="77777777" w:rsidR="00BC2F05" w:rsidRPr="00BD681D" w:rsidRDefault="00772FB6" w:rsidP="00976665">
            <w:pPr>
              <w:pStyle w:val="TableText"/>
            </w:pPr>
            <w:r>
              <w:t>Assessment not required</w:t>
            </w:r>
          </w:p>
        </w:tc>
        <w:tc>
          <w:tcPr>
            <w:tcW w:w="500" w:type="pct"/>
            <w:gridSpan w:val="2"/>
            <w:shd w:val="clear" w:color="auto" w:fill="auto"/>
          </w:tcPr>
          <w:p w14:paraId="7FAAD2F8" w14:textId="77777777" w:rsidR="00BC2F05" w:rsidRPr="00BD681D" w:rsidRDefault="00772FB6" w:rsidP="00976665">
            <w:pPr>
              <w:pStyle w:val="TableText"/>
            </w:pPr>
            <w:r>
              <w:t>No</w:t>
            </w:r>
          </w:p>
        </w:tc>
      </w:tr>
      <w:tr w:rsidR="00C80041" w14:paraId="70C92BB5" w14:textId="77777777" w:rsidTr="003754F5">
        <w:trPr>
          <w:trHeight w:val="75"/>
          <w:jc w:val="center"/>
        </w:trPr>
        <w:tc>
          <w:tcPr>
            <w:tcW w:w="799" w:type="pct"/>
            <w:shd w:val="clear" w:color="auto" w:fill="auto"/>
          </w:tcPr>
          <w:p w14:paraId="79095EA8" w14:textId="77777777" w:rsidR="00BC2F05" w:rsidRPr="00C46AD0" w:rsidRDefault="00772FB6" w:rsidP="00976665">
            <w:pPr>
              <w:pStyle w:val="TableText"/>
              <w:rPr>
                <w:iCs/>
                <w:color w:val="000000" w:themeColor="text1"/>
                <w:lang w:val="pt-BR"/>
              </w:rPr>
            </w:pPr>
            <w:r>
              <w:rPr>
                <w:i/>
                <w:color w:val="000000" w:themeColor="text1"/>
                <w:lang w:val="pt-BR"/>
              </w:rPr>
              <w:t xml:space="preserve">Thielaviopsis paradoxa </w:t>
            </w:r>
            <w:r>
              <w:rPr>
                <w:iCs/>
                <w:color w:val="000000" w:themeColor="text1"/>
                <w:lang w:val="pt-BR"/>
              </w:rPr>
              <w:t xml:space="preserve">(De Seynes) </w:t>
            </w:r>
            <w:r w:rsidRPr="009C5A2F">
              <w:rPr>
                <w:iCs/>
                <w:color w:val="000000" w:themeColor="text1"/>
                <w:lang w:val="pt-BR"/>
              </w:rPr>
              <w:t>Höhn</w:t>
            </w:r>
          </w:p>
          <w:p w14:paraId="778157A7" w14:textId="77777777" w:rsidR="00BC2F05" w:rsidRPr="006C5743" w:rsidRDefault="00772FB6" w:rsidP="00976665">
            <w:pPr>
              <w:pStyle w:val="TableText"/>
              <w:rPr>
                <w:color w:val="000000" w:themeColor="text1"/>
                <w:lang w:val="pt-BR"/>
              </w:rPr>
            </w:pPr>
            <w:r>
              <w:rPr>
                <w:iCs/>
                <w:color w:val="000000" w:themeColor="text1"/>
                <w:lang w:val="pt-BR"/>
              </w:rPr>
              <w:t xml:space="preserve">Synonym: </w:t>
            </w:r>
            <w:r w:rsidRPr="00525567">
              <w:rPr>
                <w:i/>
                <w:color w:val="000000" w:themeColor="text1"/>
                <w:lang w:val="pt-BR"/>
              </w:rPr>
              <w:t>Ceratocystis paradoxa</w:t>
            </w:r>
            <w:r>
              <w:rPr>
                <w:i/>
                <w:color w:val="000000" w:themeColor="text1"/>
                <w:lang w:val="pt-BR"/>
              </w:rPr>
              <w:t xml:space="preserve"> </w:t>
            </w:r>
            <w:r>
              <w:rPr>
                <w:color w:val="000000" w:themeColor="text1"/>
                <w:lang w:val="pt-BR"/>
              </w:rPr>
              <w:t xml:space="preserve">(De Seynes) C. Moreau </w:t>
            </w:r>
          </w:p>
          <w:p w14:paraId="380C8EFD" w14:textId="77777777" w:rsidR="00BC2F05" w:rsidRDefault="00772FB6" w:rsidP="00976665">
            <w:pPr>
              <w:pStyle w:val="TableText"/>
              <w:rPr>
                <w:color w:val="000000" w:themeColor="text1"/>
                <w:lang w:val="pt-BR"/>
              </w:rPr>
            </w:pPr>
            <w:r>
              <w:rPr>
                <w:color w:val="000000" w:themeColor="text1"/>
                <w:lang w:val="pt-BR"/>
              </w:rPr>
              <w:t>[Microascales:</w:t>
            </w:r>
          </w:p>
          <w:p w14:paraId="54D65A59" w14:textId="77777777" w:rsidR="00BC2F05" w:rsidRPr="00E53740" w:rsidRDefault="00772FB6" w:rsidP="00976665">
            <w:pPr>
              <w:pStyle w:val="TableText"/>
            </w:pPr>
            <w:r>
              <w:rPr>
                <w:color w:val="000000" w:themeColor="text1"/>
                <w:lang w:val="pt-BR"/>
              </w:rPr>
              <w:t>Ceratocystidaceae]</w:t>
            </w:r>
          </w:p>
          <w:p w14:paraId="3E54EB63" w14:textId="77777777" w:rsidR="00BC2F05" w:rsidRPr="00E53740" w:rsidRDefault="00772FB6" w:rsidP="00976665">
            <w:pPr>
              <w:pStyle w:val="TableText"/>
              <w:rPr>
                <w:color w:val="000000" w:themeColor="text1"/>
                <w:lang w:val="pt-BR"/>
              </w:rPr>
            </w:pPr>
            <w:r>
              <w:rPr>
                <w:color w:val="000000" w:themeColor="text1"/>
                <w:lang w:val="pt-BR"/>
              </w:rPr>
              <w:t>Black rot of pineapple</w:t>
            </w:r>
          </w:p>
        </w:tc>
        <w:tc>
          <w:tcPr>
            <w:tcW w:w="450" w:type="pct"/>
            <w:shd w:val="clear" w:color="auto" w:fill="auto"/>
          </w:tcPr>
          <w:p w14:paraId="5AD713BF" w14:textId="77777777" w:rsidR="00BC2F05" w:rsidRPr="00BD681D" w:rsidRDefault="00772FB6" w:rsidP="00976665">
            <w:pPr>
              <w:pStyle w:val="TableText"/>
              <w:rPr>
                <w:lang w:val="pt-BR"/>
              </w:rPr>
            </w:pPr>
            <w:r>
              <w:rPr>
                <w:lang w:val="pt-BR"/>
              </w:rPr>
              <w:t xml:space="preserve">Yes </w:t>
            </w:r>
            <w:r>
              <w:rPr>
                <w:noProof/>
                <w:lang w:val="pt-BR"/>
              </w:rPr>
              <w:t>(CABI EPPO 1987; Pascual, Tepora &amp; Tumolva 2016)</w:t>
            </w:r>
          </w:p>
        </w:tc>
        <w:tc>
          <w:tcPr>
            <w:tcW w:w="499" w:type="pct"/>
            <w:shd w:val="clear" w:color="auto" w:fill="auto"/>
          </w:tcPr>
          <w:p w14:paraId="081D7DFA" w14:textId="77777777" w:rsidR="00BC2F05" w:rsidRPr="00BD681D" w:rsidRDefault="00772FB6" w:rsidP="00976665">
            <w:pPr>
              <w:pStyle w:val="TableText"/>
              <w:rPr>
                <w:szCs w:val="16"/>
              </w:rPr>
            </w:pPr>
            <w:r>
              <w:rPr>
                <w:szCs w:val="16"/>
              </w:rPr>
              <w:t xml:space="preserve">Yes. Qld, NSW, WA </w:t>
            </w:r>
            <w:r>
              <w:rPr>
                <w:noProof/>
                <w:szCs w:val="16"/>
              </w:rPr>
              <w:t>(APPD 2022)</w:t>
            </w:r>
          </w:p>
        </w:tc>
        <w:tc>
          <w:tcPr>
            <w:tcW w:w="645" w:type="pct"/>
            <w:shd w:val="clear" w:color="auto" w:fill="auto"/>
          </w:tcPr>
          <w:p w14:paraId="6E768F66" w14:textId="77777777" w:rsidR="00BC2F05" w:rsidRPr="00BD681D" w:rsidRDefault="00772FB6" w:rsidP="00976665">
            <w:pPr>
              <w:pStyle w:val="TableText"/>
            </w:pPr>
            <w:r w:rsidRPr="00FF241B">
              <w:t>Assessment not required</w:t>
            </w:r>
          </w:p>
        </w:tc>
        <w:tc>
          <w:tcPr>
            <w:tcW w:w="706" w:type="pct"/>
          </w:tcPr>
          <w:p w14:paraId="55682301" w14:textId="77777777" w:rsidR="00BC2F05" w:rsidRDefault="00772FB6" w:rsidP="00976665">
            <w:pPr>
              <w:pStyle w:val="TableText"/>
            </w:pPr>
            <w:r w:rsidRPr="00FF241B">
              <w:t>Assessment not required</w:t>
            </w:r>
          </w:p>
        </w:tc>
        <w:tc>
          <w:tcPr>
            <w:tcW w:w="700" w:type="pct"/>
            <w:shd w:val="clear" w:color="auto" w:fill="auto"/>
          </w:tcPr>
          <w:p w14:paraId="1713CD62" w14:textId="77777777" w:rsidR="00BC2F05" w:rsidRPr="00BD681D" w:rsidRDefault="00772FB6" w:rsidP="00976665">
            <w:pPr>
              <w:pStyle w:val="TableText"/>
            </w:pPr>
            <w:r w:rsidRPr="00FF241B">
              <w:t>Assessment not required</w:t>
            </w:r>
          </w:p>
        </w:tc>
        <w:tc>
          <w:tcPr>
            <w:tcW w:w="701" w:type="pct"/>
            <w:shd w:val="clear" w:color="auto" w:fill="auto"/>
          </w:tcPr>
          <w:p w14:paraId="6DBAF148" w14:textId="77777777" w:rsidR="00BC2F05" w:rsidRPr="00BD681D" w:rsidRDefault="00772FB6" w:rsidP="00976665">
            <w:pPr>
              <w:pStyle w:val="TableText"/>
            </w:pPr>
            <w:r w:rsidRPr="00FF241B">
              <w:t>Assessment not required</w:t>
            </w:r>
          </w:p>
        </w:tc>
        <w:tc>
          <w:tcPr>
            <w:tcW w:w="500" w:type="pct"/>
            <w:gridSpan w:val="2"/>
            <w:shd w:val="clear" w:color="auto" w:fill="auto"/>
          </w:tcPr>
          <w:p w14:paraId="37C73857" w14:textId="77777777" w:rsidR="00BC2F05" w:rsidRPr="00BD681D" w:rsidRDefault="00772FB6" w:rsidP="00976665">
            <w:pPr>
              <w:pStyle w:val="TableText"/>
            </w:pPr>
            <w:r>
              <w:t>No</w:t>
            </w:r>
          </w:p>
        </w:tc>
      </w:tr>
      <w:tr w:rsidR="00C80041" w14:paraId="51DBEF87" w14:textId="77777777" w:rsidTr="003754F5">
        <w:trPr>
          <w:trHeight w:val="75"/>
          <w:jc w:val="center"/>
        </w:trPr>
        <w:tc>
          <w:tcPr>
            <w:tcW w:w="799" w:type="pct"/>
            <w:tcBorders>
              <w:bottom w:val="single" w:sz="4" w:space="0" w:color="BFBFBF" w:themeColor="background1" w:themeShade="BF"/>
            </w:tcBorders>
            <w:shd w:val="clear" w:color="auto" w:fill="auto"/>
          </w:tcPr>
          <w:p w14:paraId="709EB13E" w14:textId="77777777" w:rsidR="00BC2F05" w:rsidRDefault="00772FB6" w:rsidP="00976665">
            <w:pPr>
              <w:pStyle w:val="TableText"/>
              <w:rPr>
                <w:i/>
                <w:color w:val="000000" w:themeColor="text1"/>
                <w:lang w:val="pt-BR"/>
              </w:rPr>
            </w:pPr>
            <w:r>
              <w:rPr>
                <w:b/>
                <w:bCs/>
                <w:iCs/>
                <w:color w:val="000000" w:themeColor="text1"/>
                <w:lang w:val="pt-BR"/>
              </w:rPr>
              <w:t>VIRUS</w:t>
            </w:r>
          </w:p>
        </w:tc>
        <w:tc>
          <w:tcPr>
            <w:tcW w:w="450" w:type="pct"/>
            <w:tcBorders>
              <w:bottom w:val="single" w:sz="4" w:space="0" w:color="BFBFBF" w:themeColor="background1" w:themeShade="BF"/>
            </w:tcBorders>
            <w:shd w:val="clear" w:color="auto" w:fill="auto"/>
          </w:tcPr>
          <w:p w14:paraId="13028658" w14:textId="77777777" w:rsidR="00BC2F05" w:rsidRDefault="00BC2F05" w:rsidP="00976665">
            <w:pPr>
              <w:pStyle w:val="TableText"/>
              <w:rPr>
                <w:lang w:val="pt-BR"/>
              </w:rPr>
            </w:pPr>
          </w:p>
        </w:tc>
        <w:tc>
          <w:tcPr>
            <w:tcW w:w="499" w:type="pct"/>
            <w:tcBorders>
              <w:bottom w:val="single" w:sz="4" w:space="0" w:color="BFBFBF" w:themeColor="background1" w:themeShade="BF"/>
            </w:tcBorders>
            <w:shd w:val="clear" w:color="auto" w:fill="auto"/>
          </w:tcPr>
          <w:p w14:paraId="62E8AA52" w14:textId="77777777" w:rsidR="00BC2F05" w:rsidRDefault="00BC2F05" w:rsidP="00976665">
            <w:pPr>
              <w:pStyle w:val="TableText"/>
              <w:rPr>
                <w:szCs w:val="16"/>
              </w:rPr>
            </w:pPr>
          </w:p>
        </w:tc>
        <w:tc>
          <w:tcPr>
            <w:tcW w:w="645" w:type="pct"/>
            <w:tcBorders>
              <w:bottom w:val="single" w:sz="4" w:space="0" w:color="BFBFBF" w:themeColor="background1" w:themeShade="BF"/>
            </w:tcBorders>
            <w:shd w:val="clear" w:color="auto" w:fill="auto"/>
          </w:tcPr>
          <w:p w14:paraId="12DAE927" w14:textId="77777777" w:rsidR="00BC2F05" w:rsidRDefault="00BC2F05" w:rsidP="00976665">
            <w:pPr>
              <w:pStyle w:val="TableText"/>
            </w:pPr>
          </w:p>
        </w:tc>
        <w:tc>
          <w:tcPr>
            <w:tcW w:w="706" w:type="pct"/>
            <w:tcBorders>
              <w:bottom w:val="single" w:sz="4" w:space="0" w:color="BFBFBF" w:themeColor="background1" w:themeShade="BF"/>
            </w:tcBorders>
          </w:tcPr>
          <w:p w14:paraId="732F3D14" w14:textId="77777777" w:rsidR="00BC2F05" w:rsidRDefault="00BC2F05" w:rsidP="00976665">
            <w:pPr>
              <w:pStyle w:val="TableText"/>
            </w:pPr>
          </w:p>
        </w:tc>
        <w:tc>
          <w:tcPr>
            <w:tcW w:w="700" w:type="pct"/>
            <w:tcBorders>
              <w:bottom w:val="single" w:sz="4" w:space="0" w:color="BFBFBF" w:themeColor="background1" w:themeShade="BF"/>
            </w:tcBorders>
            <w:shd w:val="clear" w:color="auto" w:fill="auto"/>
          </w:tcPr>
          <w:p w14:paraId="76472624" w14:textId="77777777" w:rsidR="00BC2F05" w:rsidRDefault="00BC2F05" w:rsidP="00976665">
            <w:pPr>
              <w:pStyle w:val="TableText"/>
            </w:pPr>
          </w:p>
        </w:tc>
        <w:tc>
          <w:tcPr>
            <w:tcW w:w="701" w:type="pct"/>
            <w:tcBorders>
              <w:bottom w:val="single" w:sz="4" w:space="0" w:color="BFBFBF" w:themeColor="background1" w:themeShade="BF"/>
            </w:tcBorders>
            <w:shd w:val="clear" w:color="auto" w:fill="auto"/>
          </w:tcPr>
          <w:p w14:paraId="228F3947" w14:textId="77777777" w:rsidR="00BC2F05" w:rsidRDefault="00BC2F05" w:rsidP="00976665">
            <w:pPr>
              <w:pStyle w:val="TableText"/>
            </w:pPr>
          </w:p>
        </w:tc>
        <w:tc>
          <w:tcPr>
            <w:tcW w:w="500" w:type="pct"/>
            <w:gridSpan w:val="2"/>
            <w:tcBorders>
              <w:bottom w:val="single" w:sz="4" w:space="0" w:color="BFBFBF" w:themeColor="background1" w:themeShade="BF"/>
            </w:tcBorders>
            <w:shd w:val="clear" w:color="auto" w:fill="auto"/>
          </w:tcPr>
          <w:p w14:paraId="6B95188E" w14:textId="77777777" w:rsidR="00BC2F05" w:rsidRDefault="00BC2F05" w:rsidP="00976665">
            <w:pPr>
              <w:pStyle w:val="TableText"/>
              <w:ind w:left="720" w:hanging="720"/>
            </w:pPr>
          </w:p>
        </w:tc>
      </w:tr>
      <w:tr w:rsidR="00C80041" w14:paraId="4922FCC6" w14:textId="77777777" w:rsidTr="003754F5">
        <w:trPr>
          <w:trHeight w:val="75"/>
          <w:jc w:val="center"/>
        </w:trPr>
        <w:tc>
          <w:tcPr>
            <w:tcW w:w="799" w:type="pct"/>
            <w:tcBorders>
              <w:bottom w:val="single" w:sz="4" w:space="0" w:color="BFBFBF" w:themeColor="background1" w:themeShade="BF"/>
            </w:tcBorders>
            <w:shd w:val="clear" w:color="auto" w:fill="auto"/>
          </w:tcPr>
          <w:p w14:paraId="7D80F644" w14:textId="77777777" w:rsidR="00BC2F05" w:rsidRPr="00330A6D" w:rsidRDefault="00772FB6" w:rsidP="00976665">
            <w:pPr>
              <w:pStyle w:val="TableText"/>
              <w:rPr>
                <w:i/>
                <w:color w:val="63B1E5"/>
                <w:lang w:val="pt-BR"/>
              </w:rPr>
            </w:pPr>
            <w:r>
              <w:rPr>
                <w:i/>
                <w:color w:val="000000" w:themeColor="text1"/>
                <w:lang w:val="pt-BR"/>
              </w:rPr>
              <w:t>Cactus Virus X</w:t>
            </w:r>
          </w:p>
          <w:p w14:paraId="577481F1" w14:textId="77777777" w:rsidR="00BC2F05" w:rsidRPr="00350C36" w:rsidRDefault="00772FB6" w:rsidP="00976665">
            <w:pPr>
              <w:pStyle w:val="TableText"/>
              <w:rPr>
                <w:iCs/>
                <w:color w:val="000000" w:themeColor="text1"/>
                <w:sz w:val="22"/>
                <w:lang w:val="pt-BR"/>
              </w:rPr>
            </w:pPr>
            <w:r>
              <w:rPr>
                <w:iCs/>
                <w:color w:val="000000" w:themeColor="text1"/>
                <w:lang w:val="pt-BR"/>
              </w:rPr>
              <w:t>(CVX)</w:t>
            </w:r>
          </w:p>
          <w:p w14:paraId="2BA9E27A" w14:textId="77777777" w:rsidR="00BC2F05" w:rsidRPr="00330A6D" w:rsidRDefault="00772FB6" w:rsidP="00976665">
            <w:pPr>
              <w:pStyle w:val="TableText"/>
              <w:rPr>
                <w:color w:val="63B1E5"/>
              </w:rPr>
            </w:pPr>
            <w:r>
              <w:rPr>
                <w:color w:val="000000" w:themeColor="text1"/>
                <w:lang w:val="pt-BR"/>
              </w:rPr>
              <w:t>[Potexvirus]</w:t>
            </w:r>
          </w:p>
          <w:p w14:paraId="2F6239B0" w14:textId="77777777" w:rsidR="00BC2F05" w:rsidRPr="000428DB" w:rsidRDefault="00BC2F05" w:rsidP="00976665">
            <w:pPr>
              <w:pStyle w:val="TableText"/>
              <w:rPr>
                <w:i/>
                <w:color w:val="000000" w:themeColor="text1"/>
                <w:lang w:val="pt-BR"/>
              </w:rPr>
            </w:pPr>
          </w:p>
        </w:tc>
        <w:tc>
          <w:tcPr>
            <w:tcW w:w="450" w:type="pct"/>
            <w:tcBorders>
              <w:bottom w:val="single" w:sz="4" w:space="0" w:color="BFBFBF" w:themeColor="background1" w:themeShade="BF"/>
            </w:tcBorders>
            <w:shd w:val="clear" w:color="auto" w:fill="auto"/>
          </w:tcPr>
          <w:p w14:paraId="664BE6D5" w14:textId="77777777" w:rsidR="00BC2F05" w:rsidRPr="00BD681D" w:rsidRDefault="00772FB6" w:rsidP="00976665">
            <w:pPr>
              <w:pStyle w:val="TableText"/>
              <w:rPr>
                <w:lang w:val="pt-BR"/>
              </w:rPr>
            </w:pPr>
            <w:r>
              <w:rPr>
                <w:lang w:val="pt-BR"/>
              </w:rPr>
              <w:t xml:space="preserve">Yes </w:t>
            </w:r>
            <w:r>
              <w:rPr>
                <w:noProof/>
                <w:lang w:val="pt-BR"/>
              </w:rPr>
              <w:t>(Pascual, Tepora &amp; Tumolva 2016)</w:t>
            </w:r>
          </w:p>
        </w:tc>
        <w:tc>
          <w:tcPr>
            <w:tcW w:w="499" w:type="pct"/>
            <w:tcBorders>
              <w:bottom w:val="single" w:sz="4" w:space="0" w:color="BFBFBF" w:themeColor="background1" w:themeShade="BF"/>
            </w:tcBorders>
            <w:shd w:val="clear" w:color="auto" w:fill="auto"/>
          </w:tcPr>
          <w:p w14:paraId="08E367AD" w14:textId="77777777" w:rsidR="00BC2F05" w:rsidRPr="00BD681D" w:rsidRDefault="00772FB6" w:rsidP="00976665">
            <w:pPr>
              <w:pStyle w:val="TableText"/>
              <w:rPr>
                <w:szCs w:val="16"/>
              </w:rPr>
            </w:pPr>
            <w:r>
              <w:rPr>
                <w:szCs w:val="16"/>
              </w:rPr>
              <w:t xml:space="preserve">Yes. Vic, WA </w:t>
            </w:r>
            <w:r>
              <w:rPr>
                <w:noProof/>
                <w:szCs w:val="16"/>
              </w:rPr>
              <w:t>(PHA 2020)</w:t>
            </w:r>
          </w:p>
        </w:tc>
        <w:tc>
          <w:tcPr>
            <w:tcW w:w="645" w:type="pct"/>
            <w:tcBorders>
              <w:bottom w:val="single" w:sz="4" w:space="0" w:color="BFBFBF" w:themeColor="background1" w:themeShade="BF"/>
            </w:tcBorders>
            <w:shd w:val="clear" w:color="auto" w:fill="auto"/>
          </w:tcPr>
          <w:p w14:paraId="170D19B6" w14:textId="77777777" w:rsidR="00BC2F05" w:rsidRPr="00BD681D" w:rsidRDefault="00772FB6" w:rsidP="00976665">
            <w:pPr>
              <w:pStyle w:val="TableText"/>
            </w:pPr>
            <w:r>
              <w:t xml:space="preserve">Assessment not required </w:t>
            </w:r>
          </w:p>
        </w:tc>
        <w:tc>
          <w:tcPr>
            <w:tcW w:w="706" w:type="pct"/>
            <w:tcBorders>
              <w:bottom w:val="single" w:sz="4" w:space="0" w:color="BFBFBF" w:themeColor="background1" w:themeShade="BF"/>
            </w:tcBorders>
            <w:shd w:val="clear" w:color="auto" w:fill="auto"/>
          </w:tcPr>
          <w:p w14:paraId="6CA027FE" w14:textId="77777777" w:rsidR="00BC2F05" w:rsidRDefault="00772FB6" w:rsidP="00976665">
            <w:pPr>
              <w:pStyle w:val="TableText"/>
            </w:pPr>
            <w:r>
              <w:t xml:space="preserve">Assessment not required </w:t>
            </w:r>
          </w:p>
        </w:tc>
        <w:tc>
          <w:tcPr>
            <w:tcW w:w="700" w:type="pct"/>
            <w:tcBorders>
              <w:bottom w:val="single" w:sz="4" w:space="0" w:color="BFBFBF" w:themeColor="background1" w:themeShade="BF"/>
            </w:tcBorders>
            <w:shd w:val="clear" w:color="auto" w:fill="auto"/>
          </w:tcPr>
          <w:p w14:paraId="572B230C" w14:textId="77777777" w:rsidR="00BC2F05" w:rsidRPr="00BD681D" w:rsidRDefault="00772FB6" w:rsidP="00976665">
            <w:pPr>
              <w:pStyle w:val="TableText"/>
            </w:pPr>
            <w:r>
              <w:t>Assessment not required</w:t>
            </w:r>
          </w:p>
        </w:tc>
        <w:tc>
          <w:tcPr>
            <w:tcW w:w="701" w:type="pct"/>
            <w:tcBorders>
              <w:bottom w:val="single" w:sz="4" w:space="0" w:color="BFBFBF" w:themeColor="background1" w:themeShade="BF"/>
            </w:tcBorders>
            <w:shd w:val="clear" w:color="auto" w:fill="auto"/>
          </w:tcPr>
          <w:p w14:paraId="2CEC733B" w14:textId="77777777" w:rsidR="00BC2F05" w:rsidRPr="00BD681D" w:rsidRDefault="00772FB6" w:rsidP="00976665">
            <w:pPr>
              <w:pStyle w:val="TableText"/>
            </w:pPr>
            <w:r>
              <w:t>Assessment not required</w:t>
            </w:r>
          </w:p>
        </w:tc>
        <w:tc>
          <w:tcPr>
            <w:tcW w:w="500" w:type="pct"/>
            <w:gridSpan w:val="2"/>
            <w:tcBorders>
              <w:bottom w:val="single" w:sz="4" w:space="0" w:color="BFBFBF" w:themeColor="background1" w:themeShade="BF"/>
            </w:tcBorders>
            <w:shd w:val="clear" w:color="auto" w:fill="auto"/>
          </w:tcPr>
          <w:p w14:paraId="060D592E" w14:textId="77777777" w:rsidR="00BC2F05" w:rsidRPr="00BD681D" w:rsidRDefault="00772FB6" w:rsidP="00976665">
            <w:pPr>
              <w:pStyle w:val="TableText"/>
              <w:ind w:left="720" w:hanging="720"/>
            </w:pPr>
            <w:r>
              <w:t>No</w:t>
            </w:r>
          </w:p>
        </w:tc>
      </w:tr>
      <w:tr w:rsidR="00C80041" w14:paraId="0B6340D3" w14:textId="77777777" w:rsidTr="00976665">
        <w:tblPrEx>
          <w:shd w:val="clear" w:color="auto" w:fill="FFFFFF" w:themeFill="background1"/>
        </w:tblPrEx>
        <w:trPr>
          <w:gridAfter w:val="1"/>
          <w:wAfter w:w="16" w:type="dxa"/>
          <w:cantSplit/>
          <w:trHeight w:val="75"/>
          <w:jc w:val="center"/>
        </w:trPr>
        <w:tc>
          <w:tcPr>
            <w:tcW w:w="4984" w:type="pct"/>
            <w:gridSpan w:val="8"/>
            <w:tcBorders>
              <w:bottom w:val="nil"/>
            </w:tcBorders>
            <w:shd w:val="clear" w:color="auto" w:fill="FFFFFF" w:themeFill="background1"/>
          </w:tcPr>
          <w:p w14:paraId="5E480135" w14:textId="77777777" w:rsidR="00BC2F05" w:rsidRPr="00B335A6" w:rsidRDefault="00772FB6" w:rsidP="00976665">
            <w:pPr>
              <w:pStyle w:val="TableText"/>
              <w:keepNext/>
              <w:keepLines/>
              <w:rPr>
                <w:vertAlign w:val="superscript"/>
              </w:rPr>
            </w:pPr>
            <w:r w:rsidRPr="00B335A6">
              <w:t>Hemiptera [</w:t>
            </w:r>
            <w:proofErr w:type="spellStart"/>
            <w:r w:rsidRPr="00B335A6">
              <w:t>Coccidae</w:t>
            </w:r>
            <w:proofErr w:type="spellEnd"/>
            <w:r w:rsidRPr="00B335A6">
              <w:t>]</w:t>
            </w:r>
          </w:p>
        </w:tc>
      </w:tr>
      <w:tr w:rsidR="00C80041" w14:paraId="03F53FA4" w14:textId="77777777" w:rsidTr="00976665">
        <w:tblPrEx>
          <w:shd w:val="clear" w:color="auto" w:fill="FFFFFF" w:themeFill="background1"/>
        </w:tblPrEx>
        <w:trPr>
          <w:gridAfter w:val="1"/>
          <w:wAfter w:w="16" w:type="dxa"/>
          <w:cantSplit/>
          <w:trHeight w:val="75"/>
          <w:jc w:val="center"/>
        </w:trPr>
        <w:tc>
          <w:tcPr>
            <w:tcW w:w="4984" w:type="pct"/>
            <w:gridSpan w:val="8"/>
            <w:tcBorders>
              <w:top w:val="nil"/>
              <w:bottom w:val="single" w:sz="4" w:space="0" w:color="auto"/>
            </w:tcBorders>
            <w:shd w:val="clear" w:color="auto" w:fill="FFFFFF" w:themeFill="background1"/>
          </w:tcPr>
          <w:p w14:paraId="79BA87B6" w14:textId="77777777" w:rsidR="00BC2F05" w:rsidRPr="00B335A6" w:rsidRDefault="00772FB6" w:rsidP="00976665">
            <w:pPr>
              <w:pStyle w:val="TableText"/>
            </w:pPr>
            <w:bookmarkStart w:id="250" w:name="_Hlk103840961"/>
            <w:r w:rsidRPr="00B335A6">
              <w:t xml:space="preserve">No </w:t>
            </w:r>
            <w:r>
              <w:t xml:space="preserve">quarantine </w:t>
            </w:r>
            <w:r w:rsidRPr="00B335A6">
              <w:t xml:space="preserve">soft scale species associated with commercially produced </w:t>
            </w:r>
            <w:r>
              <w:t xml:space="preserve">dragon fruit </w:t>
            </w:r>
            <w:r w:rsidRPr="00B335A6">
              <w:t xml:space="preserve">were identified by </w:t>
            </w:r>
            <w:r>
              <w:t>the Philippines</w:t>
            </w:r>
            <w:r w:rsidRPr="00B335A6">
              <w:rPr>
                <w:color w:val="FF0000"/>
              </w:rPr>
              <w:t xml:space="preserve"> </w:t>
            </w:r>
            <w:r w:rsidRPr="00B335A6">
              <w:t xml:space="preserve">in their Technical Market Access Submission. Application of the </w:t>
            </w:r>
            <w:r w:rsidRPr="00B335A6">
              <w:rPr>
                <w:i/>
              </w:rPr>
              <w:t xml:space="preserve">Final group pest risk analysis for soft and hard scale insects on fresh fruit, vegetable, </w:t>
            </w:r>
            <w:proofErr w:type="gramStart"/>
            <w:r w:rsidRPr="00B335A6">
              <w:rPr>
                <w:i/>
              </w:rPr>
              <w:t>cut-flower</w:t>
            </w:r>
            <w:proofErr w:type="gramEnd"/>
            <w:r w:rsidRPr="00B335A6">
              <w:rPr>
                <w:i/>
              </w:rPr>
              <w:t xml:space="preserve"> and foliage imports </w:t>
            </w:r>
            <w:r w:rsidRPr="00B335A6">
              <w:rPr>
                <w:iCs/>
                <w:noProof/>
              </w:rPr>
              <w:t>(DAWE 2021)</w:t>
            </w:r>
            <w:r w:rsidRPr="00B335A6">
              <w:t xml:space="preserve"> did not identify any </w:t>
            </w:r>
            <w:r>
              <w:t xml:space="preserve">quarantine </w:t>
            </w:r>
            <w:r w:rsidRPr="00B335A6">
              <w:t xml:space="preserve">soft scales that are associated with the </w:t>
            </w:r>
            <w:r>
              <w:t>dragon fruit</w:t>
            </w:r>
            <w:r w:rsidRPr="00B335A6">
              <w:rPr>
                <w:color w:val="FF0000"/>
              </w:rPr>
              <w:t xml:space="preserve"> </w:t>
            </w:r>
            <w:r w:rsidRPr="00B335A6">
              <w:t xml:space="preserve">export pathway from </w:t>
            </w:r>
            <w:r>
              <w:t>the Philippines</w:t>
            </w:r>
            <w:r w:rsidRPr="00B335A6">
              <w:t xml:space="preserve">. A further literature search found no </w:t>
            </w:r>
            <w:r>
              <w:t xml:space="preserve">quarantine </w:t>
            </w:r>
            <w:r w:rsidRPr="00B335A6">
              <w:t xml:space="preserve">soft scale species that are likely to be </w:t>
            </w:r>
            <w:r>
              <w:t>associated with</w:t>
            </w:r>
            <w:r w:rsidRPr="00B335A6">
              <w:t xml:space="preserve"> the </w:t>
            </w:r>
            <w:r>
              <w:t>dragon fruit</w:t>
            </w:r>
            <w:r w:rsidRPr="00B335A6">
              <w:rPr>
                <w:color w:val="FF0000"/>
              </w:rPr>
              <w:t xml:space="preserve"> </w:t>
            </w:r>
            <w:r w:rsidRPr="00B335A6">
              <w:t xml:space="preserve">export pathway from </w:t>
            </w:r>
            <w:r>
              <w:t>the Philippines</w:t>
            </w:r>
            <w:r w:rsidRPr="00B335A6">
              <w:t>.</w:t>
            </w:r>
          </w:p>
        </w:tc>
      </w:tr>
      <w:tr w:rsidR="00C80041" w14:paraId="2BC231EF" w14:textId="77777777" w:rsidTr="00976665">
        <w:tblPrEx>
          <w:shd w:val="clear" w:color="auto" w:fill="FFFFFF" w:themeFill="background1"/>
        </w:tblPrEx>
        <w:trPr>
          <w:gridAfter w:val="1"/>
          <w:wAfter w:w="16" w:type="dxa"/>
          <w:cantSplit/>
          <w:trHeight w:val="75"/>
          <w:jc w:val="center"/>
        </w:trPr>
        <w:tc>
          <w:tcPr>
            <w:tcW w:w="4984" w:type="pct"/>
            <w:gridSpan w:val="8"/>
            <w:tcBorders>
              <w:bottom w:val="nil"/>
            </w:tcBorders>
            <w:shd w:val="clear" w:color="auto" w:fill="FFFFFF" w:themeFill="background1"/>
          </w:tcPr>
          <w:p w14:paraId="7297270E" w14:textId="77777777" w:rsidR="00BC2F05" w:rsidRPr="00B335A6" w:rsidRDefault="00772FB6" w:rsidP="00976665">
            <w:pPr>
              <w:pStyle w:val="TableText"/>
              <w:keepNext/>
              <w:keepLines/>
              <w:rPr>
                <w:vertAlign w:val="superscript"/>
              </w:rPr>
            </w:pPr>
            <w:r w:rsidRPr="00B335A6">
              <w:lastRenderedPageBreak/>
              <w:t>Hemiptera [</w:t>
            </w:r>
            <w:proofErr w:type="spellStart"/>
            <w:r w:rsidRPr="00B335A6">
              <w:t>Diaspidiae</w:t>
            </w:r>
            <w:proofErr w:type="spellEnd"/>
            <w:r w:rsidRPr="00B335A6">
              <w:t>]</w:t>
            </w:r>
          </w:p>
        </w:tc>
      </w:tr>
      <w:tr w:rsidR="00C80041" w14:paraId="799F3580" w14:textId="77777777" w:rsidTr="00976665">
        <w:tblPrEx>
          <w:shd w:val="clear" w:color="auto" w:fill="FFFFFF" w:themeFill="background1"/>
        </w:tblPrEx>
        <w:trPr>
          <w:gridAfter w:val="1"/>
          <w:wAfter w:w="16" w:type="dxa"/>
          <w:cantSplit/>
          <w:trHeight w:val="75"/>
          <w:jc w:val="center"/>
        </w:trPr>
        <w:tc>
          <w:tcPr>
            <w:tcW w:w="4984" w:type="pct"/>
            <w:gridSpan w:val="8"/>
            <w:tcBorders>
              <w:top w:val="nil"/>
              <w:bottom w:val="single" w:sz="4" w:space="0" w:color="auto"/>
            </w:tcBorders>
            <w:shd w:val="clear" w:color="auto" w:fill="FFFFFF" w:themeFill="background1"/>
          </w:tcPr>
          <w:p w14:paraId="54025C63" w14:textId="77777777" w:rsidR="00BC2F05" w:rsidRPr="00B335A6" w:rsidRDefault="00772FB6" w:rsidP="00976665">
            <w:pPr>
              <w:pStyle w:val="TableText"/>
            </w:pPr>
            <w:r w:rsidRPr="00B335A6">
              <w:t xml:space="preserve">No </w:t>
            </w:r>
            <w:r>
              <w:t xml:space="preserve">quarantine </w:t>
            </w:r>
            <w:r w:rsidRPr="00B335A6">
              <w:t xml:space="preserve">hard scale species associated with commercially produced </w:t>
            </w:r>
            <w:r>
              <w:t>dragon fruit</w:t>
            </w:r>
            <w:r w:rsidRPr="00B335A6">
              <w:t xml:space="preserve"> were identified by </w:t>
            </w:r>
            <w:r>
              <w:t>the Philippines</w:t>
            </w:r>
            <w:r w:rsidRPr="00B335A6">
              <w:rPr>
                <w:color w:val="FF0000"/>
              </w:rPr>
              <w:t xml:space="preserve"> </w:t>
            </w:r>
            <w:r w:rsidRPr="00B335A6">
              <w:t xml:space="preserve">in their Technical Market Access Submission. Application of the </w:t>
            </w:r>
            <w:r w:rsidRPr="00B335A6">
              <w:rPr>
                <w:i/>
              </w:rPr>
              <w:t xml:space="preserve">Final group pest risk analysis for soft and hard scale insects on fresh fruit, vegetable, </w:t>
            </w:r>
            <w:proofErr w:type="gramStart"/>
            <w:r w:rsidRPr="00B335A6">
              <w:rPr>
                <w:i/>
              </w:rPr>
              <w:t>cut-flower</w:t>
            </w:r>
            <w:proofErr w:type="gramEnd"/>
            <w:r w:rsidRPr="00B335A6">
              <w:rPr>
                <w:i/>
              </w:rPr>
              <w:t xml:space="preserve"> and foliage imports </w:t>
            </w:r>
            <w:r w:rsidRPr="00B335A6">
              <w:rPr>
                <w:iCs/>
                <w:noProof/>
              </w:rPr>
              <w:t>(DAWE 2021)</w:t>
            </w:r>
            <w:r w:rsidRPr="00B335A6">
              <w:t xml:space="preserve"> identif</w:t>
            </w:r>
            <w:r>
              <w:t>ied one</w:t>
            </w:r>
            <w:r w:rsidRPr="00B335A6">
              <w:t xml:space="preserve"> </w:t>
            </w:r>
            <w:r>
              <w:t xml:space="preserve">regional quarantine </w:t>
            </w:r>
            <w:r w:rsidRPr="00B335A6">
              <w:t>hard scale</w:t>
            </w:r>
            <w:r>
              <w:t xml:space="preserve">, </w:t>
            </w:r>
            <w:r w:rsidRPr="00F214B0">
              <w:rPr>
                <w:i/>
                <w:lang w:val="pt-BR"/>
              </w:rPr>
              <w:t>Diaspis</w:t>
            </w:r>
            <w:r>
              <w:rPr>
                <w:i/>
                <w:lang w:val="pt-BR"/>
              </w:rPr>
              <w:t> </w:t>
            </w:r>
            <w:r w:rsidRPr="00F214B0">
              <w:rPr>
                <w:i/>
                <w:lang w:val="pt-BR"/>
              </w:rPr>
              <w:t>boisduvalli</w:t>
            </w:r>
            <w:r>
              <w:rPr>
                <w:i/>
                <w:lang w:val="pt-BR"/>
              </w:rPr>
              <w:t>,</w:t>
            </w:r>
            <w:r>
              <w:t xml:space="preserve"> </w:t>
            </w:r>
            <w:r w:rsidRPr="00B335A6">
              <w:t xml:space="preserve">associated with the </w:t>
            </w:r>
            <w:r>
              <w:t>dragon fruit</w:t>
            </w:r>
            <w:r w:rsidRPr="00B335A6">
              <w:rPr>
                <w:color w:val="FF0000"/>
              </w:rPr>
              <w:t xml:space="preserve"> </w:t>
            </w:r>
            <w:r w:rsidRPr="00B335A6">
              <w:t xml:space="preserve">export pathway from </w:t>
            </w:r>
            <w:r>
              <w:t>the Philippines. However, further evidence confirmed this pest is not under official control and is considered a non-quarantine pest</w:t>
            </w:r>
            <w:r w:rsidRPr="00B335A6">
              <w:t xml:space="preserve">. A further literature search found no </w:t>
            </w:r>
            <w:r>
              <w:t xml:space="preserve">quarantine </w:t>
            </w:r>
            <w:r w:rsidRPr="00B335A6">
              <w:t xml:space="preserve">hard scale species that are likely to be </w:t>
            </w:r>
            <w:r>
              <w:t>associated with</w:t>
            </w:r>
            <w:r w:rsidRPr="00B335A6">
              <w:t xml:space="preserve"> the </w:t>
            </w:r>
            <w:r>
              <w:t>dragon fruit</w:t>
            </w:r>
            <w:r w:rsidRPr="00B335A6">
              <w:rPr>
                <w:color w:val="FF0000"/>
              </w:rPr>
              <w:t xml:space="preserve"> </w:t>
            </w:r>
            <w:r w:rsidRPr="00B335A6">
              <w:t xml:space="preserve">export pathway from </w:t>
            </w:r>
            <w:r>
              <w:t>the Philippines</w:t>
            </w:r>
            <w:r w:rsidRPr="00B335A6">
              <w:t>.</w:t>
            </w:r>
          </w:p>
        </w:tc>
      </w:tr>
      <w:bookmarkEnd w:id="249"/>
      <w:bookmarkEnd w:id="250"/>
    </w:tbl>
    <w:p w14:paraId="6BD47326" w14:textId="77777777" w:rsidR="00BC2F05" w:rsidRPr="004247BF" w:rsidRDefault="00BC2F05" w:rsidP="00867DCE">
      <w:pPr>
        <w:sectPr w:rsidR="00BC2F05" w:rsidRPr="004247BF" w:rsidSect="00976665">
          <w:headerReference w:type="default" r:id="rId93"/>
          <w:footerReference w:type="default" r:id="rId94"/>
          <w:pgSz w:w="16838" w:h="11906" w:orient="landscape" w:code="9"/>
          <w:pgMar w:top="1440" w:right="1361" w:bottom="1361" w:left="1440" w:header="1474" w:footer="851" w:gutter="567"/>
          <w:cols w:space="708"/>
          <w:docGrid w:linePitch="360"/>
        </w:sectPr>
      </w:pPr>
    </w:p>
    <w:p w14:paraId="50525830" w14:textId="77777777" w:rsidR="00BC2F05" w:rsidRDefault="00772FB6" w:rsidP="00DF1385">
      <w:pPr>
        <w:pStyle w:val="Heading2"/>
        <w:numPr>
          <w:ilvl w:val="0"/>
          <w:numId w:val="0"/>
        </w:numPr>
        <w:ind w:left="794" w:hanging="794"/>
      </w:pPr>
      <w:bookmarkStart w:id="251" w:name="_Toc119493117"/>
      <w:r>
        <w:lastRenderedPageBreak/>
        <w:t xml:space="preserve">Glossary, </w:t>
      </w:r>
      <w:proofErr w:type="gramStart"/>
      <w:r>
        <w:t>acronyms</w:t>
      </w:r>
      <w:proofErr w:type="gramEnd"/>
      <w:r>
        <w:t xml:space="preserve"> and abbreviations</w:t>
      </w:r>
      <w:bookmarkEnd w:id="251"/>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C80041" w14:paraId="74AE59B8" w14:textId="77777777" w:rsidTr="00976665">
        <w:trPr>
          <w:cantSplit/>
          <w:tblHeader/>
        </w:trPr>
        <w:tc>
          <w:tcPr>
            <w:tcW w:w="1509" w:type="pct"/>
            <w:tcBorders>
              <w:top w:val="single" w:sz="4" w:space="0" w:color="auto"/>
              <w:bottom w:val="single" w:sz="4" w:space="0" w:color="auto"/>
            </w:tcBorders>
          </w:tcPr>
          <w:p w14:paraId="020E0C1F" w14:textId="77777777" w:rsidR="00BC2F05" w:rsidRPr="00A11F8D" w:rsidRDefault="00772FB6" w:rsidP="00976665">
            <w:pPr>
              <w:pStyle w:val="TableHeading"/>
            </w:pPr>
            <w:r w:rsidRPr="00A11F8D">
              <w:t>Term or abbreviation</w:t>
            </w:r>
          </w:p>
        </w:tc>
        <w:tc>
          <w:tcPr>
            <w:tcW w:w="3491" w:type="pct"/>
            <w:tcBorders>
              <w:top w:val="single" w:sz="4" w:space="0" w:color="auto"/>
              <w:bottom w:val="single" w:sz="4" w:space="0" w:color="auto"/>
            </w:tcBorders>
          </w:tcPr>
          <w:p w14:paraId="6FF3BD34" w14:textId="77777777" w:rsidR="00BC2F05" w:rsidRPr="00A11F8D" w:rsidRDefault="00772FB6" w:rsidP="00976665">
            <w:pPr>
              <w:pStyle w:val="TableHeading"/>
            </w:pPr>
            <w:r w:rsidRPr="00A11F8D">
              <w:t>Definition</w:t>
            </w:r>
          </w:p>
        </w:tc>
      </w:tr>
      <w:tr w:rsidR="00C80041" w14:paraId="6D95D4FF" w14:textId="77777777" w:rsidTr="00976665">
        <w:tc>
          <w:tcPr>
            <w:tcW w:w="1509" w:type="pct"/>
            <w:tcBorders>
              <w:top w:val="single" w:sz="4" w:space="0" w:color="auto"/>
            </w:tcBorders>
          </w:tcPr>
          <w:p w14:paraId="5FB4D2EA" w14:textId="77777777" w:rsidR="00BC2F05" w:rsidRPr="00A11F8D" w:rsidRDefault="00772FB6" w:rsidP="00976665">
            <w:pPr>
              <w:pStyle w:val="TableText"/>
            </w:pPr>
            <w:r>
              <w:t>ACT</w:t>
            </w:r>
          </w:p>
        </w:tc>
        <w:tc>
          <w:tcPr>
            <w:tcW w:w="3491" w:type="pct"/>
            <w:tcBorders>
              <w:top w:val="single" w:sz="4" w:space="0" w:color="auto"/>
            </w:tcBorders>
          </w:tcPr>
          <w:p w14:paraId="370C4A94" w14:textId="77777777" w:rsidR="00BC2F05" w:rsidRPr="00A11F8D" w:rsidRDefault="00772FB6" w:rsidP="00976665">
            <w:pPr>
              <w:pStyle w:val="TableText"/>
            </w:pPr>
            <w:r>
              <w:t>Australian Capital Territory</w:t>
            </w:r>
          </w:p>
        </w:tc>
      </w:tr>
      <w:tr w:rsidR="00C80041" w14:paraId="5C659BBC" w14:textId="77777777" w:rsidTr="00976665">
        <w:tc>
          <w:tcPr>
            <w:tcW w:w="1509" w:type="pct"/>
          </w:tcPr>
          <w:p w14:paraId="2819348C" w14:textId="77777777" w:rsidR="00BC2F05" w:rsidRPr="00A11F8D" w:rsidRDefault="00772FB6" w:rsidP="00976665">
            <w:pPr>
              <w:pStyle w:val="TableText"/>
            </w:pPr>
            <w:r w:rsidRPr="00A11F8D">
              <w:t>Additional declaration</w:t>
            </w:r>
          </w:p>
        </w:tc>
        <w:tc>
          <w:tcPr>
            <w:tcW w:w="3491" w:type="pct"/>
          </w:tcPr>
          <w:p w14:paraId="6A01A6B7" w14:textId="77777777" w:rsidR="00BC2F05" w:rsidRPr="00A11F8D" w:rsidRDefault="00772FB6" w:rsidP="00976665">
            <w:pPr>
              <w:pStyle w:val="TableText"/>
            </w:pPr>
            <w:r w:rsidRPr="00A11F8D">
              <w:t>A st</w:t>
            </w:r>
            <w:r>
              <w:t>a</w:t>
            </w:r>
            <w:r w:rsidRPr="00A11F8D">
              <w:t>tement that is required by an importing country to be entered on a phytosanitary certificate and which provides specific additional information on a consignment in relation to regulated pests</w:t>
            </w:r>
            <w:r>
              <w:t xml:space="preserve"> </w:t>
            </w:r>
            <w:r>
              <w:rPr>
                <w:noProof/>
              </w:rPr>
              <w:t>(FAO 2022)</w:t>
            </w:r>
            <w:r w:rsidRPr="00A11F8D">
              <w:t>.</w:t>
            </w:r>
          </w:p>
        </w:tc>
      </w:tr>
      <w:tr w:rsidR="00C80041" w14:paraId="5E223546" w14:textId="77777777" w:rsidTr="00976665">
        <w:tc>
          <w:tcPr>
            <w:tcW w:w="1509" w:type="pct"/>
          </w:tcPr>
          <w:p w14:paraId="411472A8" w14:textId="77777777" w:rsidR="00BC2F05" w:rsidRPr="00A11F8D" w:rsidRDefault="00772FB6" w:rsidP="00976665">
            <w:pPr>
              <w:pStyle w:val="TableText"/>
            </w:pPr>
            <w:r w:rsidRPr="00A11F8D">
              <w:t>Appropriate level of protection (ALOP)</w:t>
            </w:r>
          </w:p>
        </w:tc>
        <w:tc>
          <w:tcPr>
            <w:tcW w:w="3491" w:type="pct"/>
          </w:tcPr>
          <w:p w14:paraId="487F7E6F" w14:textId="77777777" w:rsidR="00BC2F05" w:rsidRPr="00A11F8D" w:rsidRDefault="00772FB6" w:rsidP="00976665">
            <w:pPr>
              <w:pStyle w:val="TableText"/>
            </w:pPr>
            <w:r w:rsidRPr="00A11F8D">
              <w:t>The level of protection deemed appropriate by the Member establishing a sanitary or phytosanitary measure to protect human, animal or plant life or health within its territory</w:t>
            </w:r>
            <w:r>
              <w:t xml:space="preserve"> </w:t>
            </w:r>
            <w:r>
              <w:rPr>
                <w:noProof/>
              </w:rPr>
              <w:t>(WTO 1995)</w:t>
            </w:r>
            <w:r w:rsidRPr="00A11F8D">
              <w:t>.</w:t>
            </w:r>
          </w:p>
        </w:tc>
      </w:tr>
      <w:tr w:rsidR="00C80041" w14:paraId="39E1738C" w14:textId="77777777" w:rsidTr="00976665">
        <w:tc>
          <w:tcPr>
            <w:tcW w:w="1509" w:type="pct"/>
          </w:tcPr>
          <w:p w14:paraId="6162AD2C" w14:textId="77777777" w:rsidR="00BC2F05" w:rsidRPr="00A11F8D" w:rsidRDefault="00772FB6" w:rsidP="00976665">
            <w:pPr>
              <w:pStyle w:val="TableText"/>
            </w:pPr>
            <w:r>
              <w:t>Appropriate level of protection (ALOP) for Australia</w:t>
            </w:r>
          </w:p>
        </w:tc>
        <w:tc>
          <w:tcPr>
            <w:tcW w:w="3491" w:type="pct"/>
          </w:tcPr>
          <w:p w14:paraId="219A5CA9" w14:textId="77777777" w:rsidR="00BC2F05" w:rsidRPr="00A11F8D" w:rsidRDefault="00772FB6" w:rsidP="00976665">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C80041" w14:paraId="58CE83C8" w14:textId="77777777" w:rsidTr="00976665">
        <w:tc>
          <w:tcPr>
            <w:tcW w:w="1509" w:type="pct"/>
          </w:tcPr>
          <w:p w14:paraId="191A8586" w14:textId="77777777" w:rsidR="00BC2F05" w:rsidRPr="00A11F8D" w:rsidRDefault="00772FB6" w:rsidP="00976665">
            <w:pPr>
              <w:pStyle w:val="TableText"/>
            </w:pPr>
            <w:r w:rsidRPr="00A11F8D">
              <w:t>Area</w:t>
            </w:r>
          </w:p>
        </w:tc>
        <w:tc>
          <w:tcPr>
            <w:tcW w:w="3491" w:type="pct"/>
          </w:tcPr>
          <w:p w14:paraId="298119FB" w14:textId="77777777" w:rsidR="00BC2F05" w:rsidRPr="00A11F8D" w:rsidRDefault="00772FB6" w:rsidP="00976665">
            <w:pPr>
              <w:pStyle w:val="TableText"/>
            </w:pPr>
            <w:r w:rsidRPr="00A11F8D">
              <w:t>An officially defined country, part of a country or all or parts of several countrie</w:t>
            </w:r>
            <w:r>
              <w:t xml:space="preserve">s </w:t>
            </w:r>
            <w:r>
              <w:rPr>
                <w:noProof/>
              </w:rPr>
              <w:t>(FAO 2022)</w:t>
            </w:r>
            <w:r w:rsidRPr="00A11F8D">
              <w:t>.</w:t>
            </w:r>
          </w:p>
        </w:tc>
      </w:tr>
      <w:tr w:rsidR="00C80041" w14:paraId="35C2316A" w14:textId="77777777" w:rsidTr="00976665">
        <w:tc>
          <w:tcPr>
            <w:tcW w:w="1509" w:type="pct"/>
          </w:tcPr>
          <w:p w14:paraId="05A26215" w14:textId="77777777" w:rsidR="00BC2F05" w:rsidRPr="00A11F8D" w:rsidRDefault="00772FB6" w:rsidP="00976665">
            <w:pPr>
              <w:pStyle w:val="TableText"/>
            </w:pPr>
            <w:r w:rsidRPr="00A11F8D">
              <w:t>Area of low pest prevalence</w:t>
            </w:r>
          </w:p>
        </w:tc>
        <w:tc>
          <w:tcPr>
            <w:tcW w:w="3491" w:type="pct"/>
          </w:tcPr>
          <w:p w14:paraId="41996B9D" w14:textId="77777777" w:rsidR="00BC2F05" w:rsidRPr="00A11F8D" w:rsidRDefault="00772FB6" w:rsidP="00976665">
            <w:pPr>
              <w:pStyle w:val="TableText"/>
            </w:pPr>
            <w:r w:rsidRPr="00A11F8D">
              <w:t xml:space="preserve">An area, whether all of a country, part of a country, or all parts of several countries, as identified by the competent authorities, in which a specific pest occurs at low </w:t>
            </w:r>
            <w:proofErr w:type="gramStart"/>
            <w:r w:rsidRPr="00A11F8D">
              <w:t>levels</w:t>
            </w:r>
            <w:proofErr w:type="gramEnd"/>
            <w:r w:rsidRPr="00A11F8D">
              <w:t xml:space="preserve"> and which is subject to effective surveillance, control or eradication measures</w:t>
            </w:r>
            <w:r>
              <w:t xml:space="preserve"> </w:t>
            </w:r>
            <w:r>
              <w:rPr>
                <w:noProof/>
              </w:rPr>
              <w:t>(FAO 2022)</w:t>
            </w:r>
            <w:r w:rsidRPr="00A11F8D">
              <w:t>.</w:t>
            </w:r>
          </w:p>
        </w:tc>
      </w:tr>
      <w:tr w:rsidR="00C80041" w14:paraId="4DF703D7" w14:textId="77777777" w:rsidTr="00976665">
        <w:tc>
          <w:tcPr>
            <w:tcW w:w="1509" w:type="pct"/>
          </w:tcPr>
          <w:p w14:paraId="75EE7F01" w14:textId="77777777" w:rsidR="00BC2F05" w:rsidRPr="00A11F8D" w:rsidRDefault="00772FB6" w:rsidP="00976665">
            <w:pPr>
              <w:pStyle w:val="TableText"/>
            </w:pPr>
            <w:r>
              <w:t>Areole</w:t>
            </w:r>
          </w:p>
        </w:tc>
        <w:tc>
          <w:tcPr>
            <w:tcW w:w="3491" w:type="pct"/>
          </w:tcPr>
          <w:p w14:paraId="598B3ED9" w14:textId="77777777" w:rsidR="00BC2F05" w:rsidRPr="00A11F8D" w:rsidRDefault="00772FB6" w:rsidP="00976665">
            <w:pPr>
              <w:pStyle w:val="TableText"/>
            </w:pPr>
            <w:r>
              <w:t xml:space="preserve">A modified axillary bud on a cactus from which spines grow </w:t>
            </w:r>
            <w:r>
              <w:rPr>
                <w:noProof/>
              </w:rPr>
              <w:t>(Altesor &amp; Ezcurra 2003)</w:t>
            </w:r>
            <w:r>
              <w:t xml:space="preserve">.The flowers (and subsequent fruit) of </w:t>
            </w:r>
            <w:r w:rsidRPr="00CC20BC">
              <w:rPr>
                <w:i/>
                <w:iCs/>
              </w:rPr>
              <w:t>Selenicereus</w:t>
            </w:r>
            <w:r>
              <w:t xml:space="preserve"> species (dragon fruit included within the scope of this risk analysis) grow from the areoles </w:t>
            </w:r>
            <w:r>
              <w:rPr>
                <w:noProof/>
              </w:rPr>
              <w:t>(Jiang et al. 2012)</w:t>
            </w:r>
            <w:r>
              <w:t>.</w:t>
            </w:r>
          </w:p>
        </w:tc>
      </w:tr>
      <w:tr w:rsidR="00C80041" w14:paraId="246C6750" w14:textId="77777777" w:rsidTr="00976665">
        <w:tc>
          <w:tcPr>
            <w:tcW w:w="1509" w:type="pct"/>
          </w:tcPr>
          <w:p w14:paraId="185B365C" w14:textId="77777777" w:rsidR="00BC2F05" w:rsidRPr="00A11F8D" w:rsidRDefault="00772FB6" w:rsidP="00976665">
            <w:pPr>
              <w:pStyle w:val="TableText"/>
            </w:pPr>
            <w:r w:rsidRPr="00A11F8D">
              <w:t>Arthropod</w:t>
            </w:r>
          </w:p>
        </w:tc>
        <w:tc>
          <w:tcPr>
            <w:tcW w:w="3491" w:type="pct"/>
          </w:tcPr>
          <w:p w14:paraId="7E41266F" w14:textId="77777777" w:rsidR="00BC2F05" w:rsidRPr="00A11F8D" w:rsidRDefault="00772FB6" w:rsidP="00976665">
            <w:pPr>
              <w:pStyle w:val="TableText"/>
            </w:pPr>
            <w:r w:rsidRPr="00A11F8D">
              <w:t xml:space="preserve">The largest phylum of animals, including the insects, </w:t>
            </w:r>
            <w:proofErr w:type="gramStart"/>
            <w:r w:rsidRPr="00A11F8D">
              <w:t>arachnids</w:t>
            </w:r>
            <w:proofErr w:type="gramEnd"/>
            <w:r w:rsidRPr="00A11F8D">
              <w:t xml:space="preserve"> and crustaceans.</w:t>
            </w:r>
          </w:p>
        </w:tc>
      </w:tr>
      <w:tr w:rsidR="00C80041" w14:paraId="41CF5D72" w14:textId="77777777" w:rsidTr="00976665">
        <w:tc>
          <w:tcPr>
            <w:tcW w:w="1509" w:type="pct"/>
          </w:tcPr>
          <w:p w14:paraId="6DC42C9F" w14:textId="77777777" w:rsidR="00BC2F05" w:rsidRPr="00A11F8D" w:rsidRDefault="00772FB6" w:rsidP="00976665">
            <w:pPr>
              <w:pStyle w:val="TableText"/>
            </w:pPr>
            <w:r w:rsidRPr="00A11F8D">
              <w:t>Asexual reproduction</w:t>
            </w:r>
          </w:p>
        </w:tc>
        <w:tc>
          <w:tcPr>
            <w:tcW w:w="3491" w:type="pct"/>
          </w:tcPr>
          <w:p w14:paraId="19F0B152" w14:textId="77777777" w:rsidR="00BC2F05" w:rsidRPr="00A11F8D" w:rsidRDefault="00772FB6" w:rsidP="00976665">
            <w:pPr>
              <w:pStyle w:val="TableText"/>
            </w:pPr>
            <w:r w:rsidRPr="00A11F8D">
              <w:t xml:space="preserve">The development of </w:t>
            </w:r>
            <w:r>
              <w:t xml:space="preserve">a </w:t>
            </w:r>
            <w:r w:rsidRPr="00A11F8D">
              <w:t>new individual from a single cell or group of cells in the absence of meiosis.</w:t>
            </w:r>
          </w:p>
        </w:tc>
      </w:tr>
      <w:tr w:rsidR="00C80041" w14:paraId="439B02D6" w14:textId="77777777" w:rsidTr="00976665">
        <w:tc>
          <w:tcPr>
            <w:tcW w:w="1509" w:type="pct"/>
          </w:tcPr>
          <w:p w14:paraId="4B40C344" w14:textId="77777777" w:rsidR="00BC2F05" w:rsidRPr="00A11F8D" w:rsidRDefault="00772FB6" w:rsidP="00976665">
            <w:pPr>
              <w:pStyle w:val="TableText"/>
            </w:pPr>
            <w:r>
              <w:rPr>
                <w:color w:val="000000" w:themeColor="text1"/>
              </w:rPr>
              <w:t>Australian territory</w:t>
            </w:r>
          </w:p>
        </w:tc>
        <w:tc>
          <w:tcPr>
            <w:tcW w:w="3491" w:type="pct"/>
          </w:tcPr>
          <w:p w14:paraId="0E8FF447" w14:textId="77777777" w:rsidR="00BC2F05" w:rsidRPr="00A11F8D" w:rsidRDefault="00772FB6" w:rsidP="00976665">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 and any external Territory to which that provision extends.</w:t>
            </w:r>
          </w:p>
        </w:tc>
      </w:tr>
      <w:tr w:rsidR="00C80041" w14:paraId="5F7CB06D" w14:textId="77777777" w:rsidTr="00976665">
        <w:tc>
          <w:tcPr>
            <w:tcW w:w="1509" w:type="pct"/>
          </w:tcPr>
          <w:p w14:paraId="2CC8AAAE" w14:textId="77777777" w:rsidR="00BC2F05" w:rsidRPr="00A11F8D" w:rsidRDefault="00772FB6" w:rsidP="00976665">
            <w:pPr>
              <w:pStyle w:val="TableText"/>
            </w:pPr>
            <w:r>
              <w:t>BA</w:t>
            </w:r>
          </w:p>
        </w:tc>
        <w:tc>
          <w:tcPr>
            <w:tcW w:w="3491" w:type="pct"/>
          </w:tcPr>
          <w:p w14:paraId="29488E02" w14:textId="77777777" w:rsidR="00BC2F05" w:rsidRPr="00A11F8D" w:rsidRDefault="00772FB6" w:rsidP="00976665">
            <w:pPr>
              <w:pStyle w:val="TableText"/>
            </w:pPr>
            <w:r>
              <w:t>Biosecurity Advice</w:t>
            </w:r>
          </w:p>
        </w:tc>
      </w:tr>
      <w:tr w:rsidR="00C80041" w14:paraId="05E04E4E" w14:textId="77777777" w:rsidTr="00976665">
        <w:tc>
          <w:tcPr>
            <w:tcW w:w="1509" w:type="pct"/>
          </w:tcPr>
          <w:p w14:paraId="4D892D4C" w14:textId="77777777" w:rsidR="00BC2F05" w:rsidRDefault="00772FB6" w:rsidP="00976665">
            <w:pPr>
              <w:pStyle w:val="TableText"/>
            </w:pPr>
            <w:r>
              <w:t>BICON</w:t>
            </w:r>
          </w:p>
        </w:tc>
        <w:tc>
          <w:tcPr>
            <w:tcW w:w="3491" w:type="pct"/>
          </w:tcPr>
          <w:p w14:paraId="229BA570" w14:textId="77777777" w:rsidR="00BC2F05" w:rsidRDefault="00772FB6" w:rsidP="00976665">
            <w:pPr>
              <w:pStyle w:val="TableText"/>
            </w:pPr>
            <w:r>
              <w:t>Australia's Biosecurity Import Conditions system</w:t>
            </w:r>
          </w:p>
          <w:p w14:paraId="48267195" w14:textId="2E08B851" w:rsidR="00BC2F05" w:rsidRDefault="002A7046" w:rsidP="00976665">
            <w:pPr>
              <w:pStyle w:val="TableText"/>
            </w:pPr>
            <w:hyperlink r:id="rId95" w:history="1">
              <w:r w:rsidRPr="00BB6054">
                <w:rPr>
                  <w:rStyle w:val="Hyperlink"/>
                </w:rPr>
                <w:t>bicon.agriculture.gov.au/BiconWeb4.0</w:t>
              </w:r>
            </w:hyperlink>
          </w:p>
        </w:tc>
      </w:tr>
      <w:tr w:rsidR="00C80041" w14:paraId="2EF0F6C2" w14:textId="77777777" w:rsidTr="00976665">
        <w:tc>
          <w:tcPr>
            <w:tcW w:w="1509" w:type="pct"/>
          </w:tcPr>
          <w:p w14:paraId="0928AC67" w14:textId="77777777" w:rsidR="00BC2F05" w:rsidRPr="00A11F8D" w:rsidRDefault="00772FB6" w:rsidP="00976665">
            <w:pPr>
              <w:pStyle w:val="TableText"/>
            </w:pPr>
            <w:r w:rsidRPr="00A11F8D">
              <w:t>Biosecurity</w:t>
            </w:r>
          </w:p>
        </w:tc>
        <w:tc>
          <w:tcPr>
            <w:tcW w:w="3491" w:type="pct"/>
          </w:tcPr>
          <w:p w14:paraId="786AA961" w14:textId="77777777" w:rsidR="00BC2F05" w:rsidRPr="00A11F8D" w:rsidRDefault="00772FB6" w:rsidP="00976665">
            <w:pPr>
              <w:pStyle w:val="TableText"/>
            </w:pPr>
            <w:r w:rsidRPr="00A11F8D">
              <w:t>The prevention of the entry, establishment or spread of unwanted pests and infectious disease agents to protect human, animal or plant health or life, and the environment.</w:t>
            </w:r>
          </w:p>
        </w:tc>
      </w:tr>
      <w:tr w:rsidR="00C80041" w14:paraId="18F0C640" w14:textId="77777777" w:rsidTr="00976665">
        <w:tc>
          <w:tcPr>
            <w:tcW w:w="1509" w:type="pct"/>
          </w:tcPr>
          <w:p w14:paraId="6D374884" w14:textId="77777777" w:rsidR="00BC2F05" w:rsidRDefault="00772FB6" w:rsidP="00976665">
            <w:pPr>
              <w:pStyle w:val="TableText"/>
            </w:pPr>
            <w:r>
              <w:t>Biosecurity import risk analysis (BIRA)</w:t>
            </w:r>
          </w:p>
        </w:tc>
        <w:tc>
          <w:tcPr>
            <w:tcW w:w="3491" w:type="pct"/>
          </w:tcPr>
          <w:p w14:paraId="7CE5DA33" w14:textId="77777777" w:rsidR="00BC2F05" w:rsidRDefault="00772FB6" w:rsidP="00976665">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C80041" w14:paraId="53760289" w14:textId="77777777" w:rsidTr="00976665">
        <w:tc>
          <w:tcPr>
            <w:tcW w:w="1509" w:type="pct"/>
          </w:tcPr>
          <w:p w14:paraId="67F23221" w14:textId="77777777" w:rsidR="00BC2F05" w:rsidRDefault="00772FB6" w:rsidP="00976665">
            <w:pPr>
              <w:pStyle w:val="TableText"/>
            </w:pPr>
            <w:r>
              <w:t>Biosecurity measures</w:t>
            </w:r>
          </w:p>
        </w:tc>
        <w:tc>
          <w:tcPr>
            <w:tcW w:w="3491" w:type="pct"/>
          </w:tcPr>
          <w:p w14:paraId="517A149F" w14:textId="77777777" w:rsidR="00BC2F05" w:rsidRDefault="00772FB6" w:rsidP="00976665">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C80041" w14:paraId="5F881182" w14:textId="77777777" w:rsidTr="00976665">
        <w:tc>
          <w:tcPr>
            <w:tcW w:w="1509" w:type="pct"/>
          </w:tcPr>
          <w:p w14:paraId="714C1563" w14:textId="77777777" w:rsidR="00BC2F05" w:rsidRPr="00A11F8D" w:rsidRDefault="00772FB6" w:rsidP="00976665">
            <w:pPr>
              <w:pStyle w:val="TableText"/>
            </w:pPr>
            <w:r>
              <w:t>Biosecurity risk</w:t>
            </w:r>
          </w:p>
        </w:tc>
        <w:tc>
          <w:tcPr>
            <w:tcW w:w="3491" w:type="pct"/>
          </w:tcPr>
          <w:p w14:paraId="0EDD6C15" w14:textId="77777777" w:rsidR="00BC2F05" w:rsidRPr="00A11F8D" w:rsidRDefault="00772FB6" w:rsidP="00976665">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w:t>
            </w:r>
            <w:proofErr w:type="gramStart"/>
            <w:r>
              <w:t>establishing</w:t>
            </w:r>
            <w:proofErr w:type="gramEnd"/>
            <w:r>
              <w:t xml:space="preserve"> or spreading in Australian territory, and the potential for the disease or pest causing harm to human, animal or plant health, the environment, economic or community activities. </w:t>
            </w:r>
          </w:p>
        </w:tc>
      </w:tr>
      <w:tr w:rsidR="00C80041" w14:paraId="0F44B366" w14:textId="77777777" w:rsidTr="00976665">
        <w:tc>
          <w:tcPr>
            <w:tcW w:w="1509" w:type="pct"/>
          </w:tcPr>
          <w:p w14:paraId="021484B1" w14:textId="77777777" w:rsidR="00BC2F05" w:rsidRDefault="00772FB6" w:rsidP="00976665">
            <w:pPr>
              <w:pStyle w:val="TableText"/>
            </w:pPr>
            <w:r>
              <w:lastRenderedPageBreak/>
              <w:t>Bract</w:t>
            </w:r>
          </w:p>
        </w:tc>
        <w:tc>
          <w:tcPr>
            <w:tcW w:w="3491" w:type="pct"/>
          </w:tcPr>
          <w:p w14:paraId="68333352" w14:textId="77777777" w:rsidR="00BC2F05" w:rsidRDefault="00772FB6" w:rsidP="00976665">
            <w:pPr>
              <w:pStyle w:val="TableText"/>
            </w:pPr>
            <w:r>
              <w:t>A modified or specialised leaf associated with the reproductive part of the plant, often the flower or fruit. In dragon fruit the bracts are part of the fruit skin and not connected to the stem.</w:t>
            </w:r>
          </w:p>
        </w:tc>
      </w:tr>
      <w:tr w:rsidR="00C80041" w14:paraId="36D6FCE7" w14:textId="77777777" w:rsidTr="00976665">
        <w:tc>
          <w:tcPr>
            <w:tcW w:w="1509" w:type="pct"/>
          </w:tcPr>
          <w:p w14:paraId="59A31C08" w14:textId="77777777" w:rsidR="00BC2F05" w:rsidRPr="00A11F8D" w:rsidRDefault="00772FB6" w:rsidP="00976665">
            <w:pPr>
              <w:pStyle w:val="TableText"/>
            </w:pPr>
            <w:r w:rsidRPr="00A11F8D">
              <w:t>Consignment</w:t>
            </w:r>
          </w:p>
        </w:tc>
        <w:tc>
          <w:tcPr>
            <w:tcW w:w="3491" w:type="pct"/>
          </w:tcPr>
          <w:p w14:paraId="61773FC9" w14:textId="77777777" w:rsidR="00BC2F05" w:rsidRPr="00A11F8D" w:rsidRDefault="00772FB6" w:rsidP="00976665">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Pr>
                <w:noProof/>
              </w:rPr>
              <w:t>(FAO 2022)</w:t>
            </w:r>
            <w:r w:rsidRPr="00A11F8D">
              <w:t>.</w:t>
            </w:r>
          </w:p>
        </w:tc>
      </w:tr>
      <w:tr w:rsidR="00C80041" w14:paraId="78ED9077" w14:textId="77777777" w:rsidTr="00976665">
        <w:tc>
          <w:tcPr>
            <w:tcW w:w="1509" w:type="pct"/>
          </w:tcPr>
          <w:p w14:paraId="70B0FF8F" w14:textId="77777777" w:rsidR="00BC2F05" w:rsidRPr="00A11F8D" w:rsidRDefault="00772FB6" w:rsidP="00976665">
            <w:pPr>
              <w:pStyle w:val="TableText"/>
            </w:pPr>
            <w:r w:rsidRPr="00A11F8D">
              <w:t>Control (of a pest)</w:t>
            </w:r>
          </w:p>
        </w:tc>
        <w:tc>
          <w:tcPr>
            <w:tcW w:w="3491" w:type="pct"/>
          </w:tcPr>
          <w:p w14:paraId="51490264" w14:textId="77777777" w:rsidR="00BC2F05" w:rsidRPr="00A11F8D" w:rsidRDefault="00772FB6" w:rsidP="00976665">
            <w:pPr>
              <w:pStyle w:val="TableText"/>
            </w:pPr>
            <w:r w:rsidRPr="00A11F8D">
              <w:t xml:space="preserve">Suppression, </w:t>
            </w:r>
            <w:proofErr w:type="gramStart"/>
            <w:r w:rsidRPr="00A11F8D">
              <w:t>containment</w:t>
            </w:r>
            <w:proofErr w:type="gramEnd"/>
            <w:r w:rsidRPr="00A11F8D">
              <w:t xml:space="preserve"> or eradication of a pest population</w:t>
            </w:r>
            <w:r>
              <w:t xml:space="preserve"> </w:t>
            </w:r>
            <w:r>
              <w:rPr>
                <w:noProof/>
              </w:rPr>
              <w:t>(FAO 2022)</w:t>
            </w:r>
            <w:r w:rsidRPr="00A11F8D">
              <w:t>.</w:t>
            </w:r>
          </w:p>
        </w:tc>
      </w:tr>
      <w:tr w:rsidR="00C80041" w14:paraId="301AA4FE" w14:textId="77777777" w:rsidTr="00976665">
        <w:tc>
          <w:tcPr>
            <w:tcW w:w="1509" w:type="pct"/>
          </w:tcPr>
          <w:p w14:paraId="4CCC12C6" w14:textId="77777777" w:rsidR="00BC2F05" w:rsidRPr="00A11F8D" w:rsidRDefault="00772FB6" w:rsidP="00976665">
            <w:pPr>
              <w:pStyle w:val="TableText"/>
            </w:pPr>
            <w:r w:rsidRPr="00A11F8D">
              <w:t>Crawler</w:t>
            </w:r>
          </w:p>
        </w:tc>
        <w:tc>
          <w:tcPr>
            <w:tcW w:w="3491" w:type="pct"/>
          </w:tcPr>
          <w:p w14:paraId="4BF92559" w14:textId="77777777" w:rsidR="00BC2F05" w:rsidRPr="00A11F8D" w:rsidRDefault="00772FB6" w:rsidP="00976665">
            <w:pPr>
              <w:pStyle w:val="TableText"/>
            </w:pPr>
            <w:r w:rsidRPr="00A11F8D">
              <w:t xml:space="preserve">Intermediate mobile nymph stage of certain </w:t>
            </w:r>
            <w:r>
              <w:t>a</w:t>
            </w:r>
            <w:r w:rsidRPr="00A11F8D">
              <w:t>rthropods.</w:t>
            </w:r>
          </w:p>
        </w:tc>
      </w:tr>
      <w:tr w:rsidR="00C80041" w14:paraId="2414BBCD" w14:textId="77777777" w:rsidTr="00976665">
        <w:tc>
          <w:tcPr>
            <w:tcW w:w="1509" w:type="pct"/>
          </w:tcPr>
          <w:p w14:paraId="09388010" w14:textId="77777777" w:rsidR="00BC2F05" w:rsidRPr="00A11F8D" w:rsidRDefault="00772FB6" w:rsidP="00976665">
            <w:pPr>
              <w:pStyle w:val="TableText"/>
            </w:pPr>
            <w:r>
              <w:t>The Philippines DA</w:t>
            </w:r>
          </w:p>
        </w:tc>
        <w:tc>
          <w:tcPr>
            <w:tcW w:w="3491" w:type="pct"/>
          </w:tcPr>
          <w:p w14:paraId="5795ACD8" w14:textId="77777777" w:rsidR="00BC2F05" w:rsidRPr="00A11F8D" w:rsidRDefault="00772FB6" w:rsidP="00976665">
            <w:pPr>
              <w:pStyle w:val="TableText"/>
            </w:pPr>
            <w:r w:rsidRPr="001441C3">
              <w:t>Republic of the Philippines</w:t>
            </w:r>
            <w:r>
              <w:t>, Department of Agriculture</w:t>
            </w:r>
          </w:p>
        </w:tc>
      </w:tr>
      <w:tr w:rsidR="00C80041" w14:paraId="525ECD6B" w14:textId="77777777" w:rsidTr="00976665">
        <w:tc>
          <w:tcPr>
            <w:tcW w:w="1509" w:type="pct"/>
          </w:tcPr>
          <w:p w14:paraId="4A757F70" w14:textId="77777777" w:rsidR="00BC2F05" w:rsidRPr="00A11F8D" w:rsidRDefault="00772FB6" w:rsidP="00976665">
            <w:pPr>
              <w:pStyle w:val="TableText"/>
            </w:pPr>
            <w:r w:rsidRPr="00A11F8D">
              <w:t>Endangered area</w:t>
            </w:r>
          </w:p>
        </w:tc>
        <w:tc>
          <w:tcPr>
            <w:tcW w:w="3491" w:type="pct"/>
          </w:tcPr>
          <w:p w14:paraId="18A6CEF8" w14:textId="77777777" w:rsidR="00BC2F05" w:rsidRPr="00A11F8D" w:rsidRDefault="00772FB6" w:rsidP="00976665">
            <w:pPr>
              <w:pStyle w:val="TableText"/>
            </w:pPr>
            <w:r w:rsidRPr="00A11F8D">
              <w:t>An area where ecological factors favour the establishment of a pest whose presence in the area will result in economically important loss</w:t>
            </w:r>
            <w:r>
              <w:t xml:space="preserve"> </w:t>
            </w:r>
            <w:r>
              <w:rPr>
                <w:noProof/>
              </w:rPr>
              <w:t>(FAO 2022)</w:t>
            </w:r>
            <w:r w:rsidRPr="00A11F8D">
              <w:t>.</w:t>
            </w:r>
          </w:p>
        </w:tc>
      </w:tr>
      <w:tr w:rsidR="00C80041" w14:paraId="397EE368" w14:textId="77777777" w:rsidTr="00976665">
        <w:tc>
          <w:tcPr>
            <w:tcW w:w="1509" w:type="pct"/>
          </w:tcPr>
          <w:p w14:paraId="19FB6D19" w14:textId="77777777" w:rsidR="00BC2F05" w:rsidRPr="00A11F8D" w:rsidRDefault="00772FB6" w:rsidP="00976665">
            <w:pPr>
              <w:pStyle w:val="TableText"/>
            </w:pPr>
            <w:r w:rsidRPr="00A11F8D">
              <w:t>Endemic</w:t>
            </w:r>
          </w:p>
        </w:tc>
        <w:tc>
          <w:tcPr>
            <w:tcW w:w="3491" w:type="pct"/>
          </w:tcPr>
          <w:p w14:paraId="5D9508C9" w14:textId="77777777" w:rsidR="00BC2F05" w:rsidRPr="00A11F8D" w:rsidRDefault="00772FB6" w:rsidP="00976665">
            <w:pPr>
              <w:pStyle w:val="TableText"/>
            </w:pPr>
            <w:r w:rsidRPr="00A11F8D">
              <w:t xml:space="preserve">Belonging to, native to, or prevalent in a particular geography, </w:t>
            </w:r>
            <w:proofErr w:type="gramStart"/>
            <w:r w:rsidRPr="00A11F8D">
              <w:t>area</w:t>
            </w:r>
            <w:proofErr w:type="gramEnd"/>
            <w:r w:rsidRPr="00A11F8D">
              <w:t xml:space="preserve"> or environment.</w:t>
            </w:r>
          </w:p>
        </w:tc>
      </w:tr>
      <w:tr w:rsidR="00C80041" w14:paraId="2ACA26CB" w14:textId="77777777" w:rsidTr="00976665">
        <w:tc>
          <w:tcPr>
            <w:tcW w:w="1509" w:type="pct"/>
          </w:tcPr>
          <w:p w14:paraId="53E6E532" w14:textId="77777777" w:rsidR="00BC2F05" w:rsidRPr="00A11F8D" w:rsidRDefault="00772FB6" w:rsidP="00976665">
            <w:pPr>
              <w:pStyle w:val="TableText"/>
            </w:pPr>
            <w:r w:rsidRPr="00A11F8D">
              <w:t>Entry (of a pest)</w:t>
            </w:r>
          </w:p>
        </w:tc>
        <w:tc>
          <w:tcPr>
            <w:tcW w:w="3491" w:type="pct"/>
          </w:tcPr>
          <w:p w14:paraId="5BF395E4" w14:textId="77777777" w:rsidR="00BC2F05" w:rsidRPr="00A11F8D" w:rsidRDefault="00772FB6" w:rsidP="00976665">
            <w:pPr>
              <w:pStyle w:val="TableText"/>
            </w:pPr>
            <w:r w:rsidRPr="00A11F8D">
              <w:t>Movement of a pest into an area where it is not yet present, or present but not widely distributed and being officially controlled</w:t>
            </w:r>
            <w:r>
              <w:t xml:space="preserve"> </w:t>
            </w:r>
            <w:r>
              <w:rPr>
                <w:noProof/>
              </w:rPr>
              <w:t>(FAO 2022)</w:t>
            </w:r>
            <w:r w:rsidRPr="00A11F8D">
              <w:t>.</w:t>
            </w:r>
          </w:p>
        </w:tc>
      </w:tr>
      <w:tr w:rsidR="00C80041" w14:paraId="5AF742FB" w14:textId="77777777" w:rsidTr="00976665">
        <w:tc>
          <w:tcPr>
            <w:tcW w:w="1509" w:type="pct"/>
          </w:tcPr>
          <w:p w14:paraId="283F00DB" w14:textId="77777777" w:rsidR="00BC2F05" w:rsidRPr="00A11F8D" w:rsidRDefault="00772FB6" w:rsidP="00976665">
            <w:pPr>
              <w:pStyle w:val="TableText"/>
            </w:pPr>
            <w:r>
              <w:t>EP</w:t>
            </w:r>
          </w:p>
        </w:tc>
        <w:tc>
          <w:tcPr>
            <w:tcW w:w="3491" w:type="pct"/>
          </w:tcPr>
          <w:p w14:paraId="14109380" w14:textId="77777777" w:rsidR="00BC2F05" w:rsidRPr="00A11F8D" w:rsidRDefault="00772FB6" w:rsidP="00976665">
            <w:pPr>
              <w:pStyle w:val="TableText"/>
            </w:pPr>
            <w:r>
              <w:t>Existing policy. This denotes that a pest species has previously been assessed in another policy published by the department.</w:t>
            </w:r>
          </w:p>
        </w:tc>
      </w:tr>
      <w:tr w:rsidR="00C80041" w14:paraId="2439E843" w14:textId="77777777" w:rsidTr="00976665">
        <w:tc>
          <w:tcPr>
            <w:tcW w:w="1509" w:type="pct"/>
          </w:tcPr>
          <w:p w14:paraId="5AD17AD6" w14:textId="77777777" w:rsidR="00BC2F05" w:rsidRPr="00A11F8D" w:rsidRDefault="00772FB6" w:rsidP="00976665">
            <w:pPr>
              <w:pStyle w:val="TableText"/>
            </w:pPr>
            <w:r w:rsidRPr="00A11F8D">
              <w:t>Establishment (of a pest)</w:t>
            </w:r>
          </w:p>
        </w:tc>
        <w:tc>
          <w:tcPr>
            <w:tcW w:w="3491" w:type="pct"/>
          </w:tcPr>
          <w:p w14:paraId="316253E9" w14:textId="77777777" w:rsidR="00BC2F05" w:rsidRPr="00A11F8D" w:rsidRDefault="00772FB6" w:rsidP="00976665">
            <w:pPr>
              <w:pStyle w:val="TableText"/>
            </w:pPr>
            <w:r w:rsidRPr="00A11F8D">
              <w:t>Perpetuation, for the foreseeable future, of a pest within an area after entry</w:t>
            </w:r>
            <w:r>
              <w:t xml:space="preserve"> </w:t>
            </w:r>
            <w:r>
              <w:rPr>
                <w:noProof/>
              </w:rPr>
              <w:t>(FAO 2022)</w:t>
            </w:r>
            <w:r w:rsidRPr="00A11F8D">
              <w:t>.</w:t>
            </w:r>
          </w:p>
        </w:tc>
      </w:tr>
      <w:tr w:rsidR="00C80041" w14:paraId="24AA3C4E" w14:textId="77777777" w:rsidTr="00976665">
        <w:tc>
          <w:tcPr>
            <w:tcW w:w="1509" w:type="pct"/>
          </w:tcPr>
          <w:p w14:paraId="5C902B47" w14:textId="77777777" w:rsidR="00BC2F05" w:rsidRPr="00A11F8D" w:rsidRDefault="00772FB6" w:rsidP="00976665">
            <w:pPr>
              <w:pStyle w:val="TableText"/>
            </w:pPr>
            <w:r>
              <w:t>FAO</w:t>
            </w:r>
          </w:p>
        </w:tc>
        <w:tc>
          <w:tcPr>
            <w:tcW w:w="3491" w:type="pct"/>
          </w:tcPr>
          <w:p w14:paraId="21D933F0" w14:textId="77777777" w:rsidR="00BC2F05" w:rsidRPr="00A11F8D" w:rsidRDefault="00772FB6" w:rsidP="00976665">
            <w:pPr>
              <w:pStyle w:val="TableText"/>
            </w:pPr>
            <w:r>
              <w:t>Food and Agriculture Organization of the United Nations</w:t>
            </w:r>
          </w:p>
        </w:tc>
      </w:tr>
      <w:tr w:rsidR="00C80041" w14:paraId="3FBF80B7" w14:textId="77777777" w:rsidTr="00976665">
        <w:tc>
          <w:tcPr>
            <w:tcW w:w="1509" w:type="pct"/>
          </w:tcPr>
          <w:p w14:paraId="31D84611" w14:textId="77777777" w:rsidR="00BC2F05" w:rsidRPr="00A11F8D" w:rsidRDefault="00772FB6" w:rsidP="00976665">
            <w:pPr>
              <w:pStyle w:val="TableText"/>
            </w:pPr>
            <w:r w:rsidRPr="00A11F8D">
              <w:t>Fresh</w:t>
            </w:r>
          </w:p>
        </w:tc>
        <w:tc>
          <w:tcPr>
            <w:tcW w:w="3491" w:type="pct"/>
          </w:tcPr>
          <w:p w14:paraId="5104C9D3" w14:textId="77777777" w:rsidR="00BC2F05" w:rsidRPr="00A11F8D" w:rsidRDefault="00772FB6" w:rsidP="00976665">
            <w:pPr>
              <w:pStyle w:val="TableText"/>
            </w:pPr>
            <w:r w:rsidRPr="00A11F8D">
              <w:t xml:space="preserve">Living; not dried, </w:t>
            </w:r>
            <w:proofErr w:type="gramStart"/>
            <w:r w:rsidRPr="00A11F8D">
              <w:t>deep-frozen</w:t>
            </w:r>
            <w:proofErr w:type="gramEnd"/>
            <w:r w:rsidRPr="00A11F8D">
              <w:t xml:space="preserve"> or otherwise conserved</w:t>
            </w:r>
            <w:r>
              <w:t xml:space="preserve"> </w:t>
            </w:r>
            <w:r>
              <w:rPr>
                <w:noProof/>
              </w:rPr>
              <w:t>(FAO 2022)</w:t>
            </w:r>
            <w:r w:rsidRPr="00A11F8D">
              <w:t>.</w:t>
            </w:r>
          </w:p>
        </w:tc>
      </w:tr>
      <w:tr w:rsidR="00C80041" w14:paraId="13A097C8" w14:textId="77777777" w:rsidTr="00976665">
        <w:tc>
          <w:tcPr>
            <w:tcW w:w="1509" w:type="pct"/>
          </w:tcPr>
          <w:p w14:paraId="30B9B6E3" w14:textId="77777777" w:rsidR="00BC2F05" w:rsidRPr="00A11F8D" w:rsidRDefault="00772FB6" w:rsidP="00976665">
            <w:pPr>
              <w:pStyle w:val="TableText"/>
            </w:pPr>
            <w:r>
              <w:t>FSANZ</w:t>
            </w:r>
          </w:p>
        </w:tc>
        <w:tc>
          <w:tcPr>
            <w:tcW w:w="3491" w:type="pct"/>
          </w:tcPr>
          <w:p w14:paraId="5FA9E41A" w14:textId="1C4B99DF" w:rsidR="00BC2F05" w:rsidRPr="00A11F8D" w:rsidRDefault="002A7046" w:rsidP="00976665">
            <w:pPr>
              <w:pStyle w:val="TableText"/>
            </w:pPr>
            <w:r>
              <w:t>Food Standards Australia New Zealand (</w:t>
            </w:r>
            <w:hyperlink r:id="rId96" w:history="1">
              <w:r w:rsidRPr="008F0E93">
                <w:rPr>
                  <w:rStyle w:val="Hyperlink"/>
                </w:rPr>
                <w:t>foodstandards.gov.au/Pages/default.aspx</w:t>
              </w:r>
            </w:hyperlink>
            <w:r>
              <w:t>) and the Australia New Zealand Food Standards Code (</w:t>
            </w:r>
            <w:hyperlink r:id="rId97" w:history="1">
              <w:r w:rsidRPr="00A14967">
                <w:rPr>
                  <w:rStyle w:val="Hyperlink"/>
                </w:rPr>
                <w:t>foodstandards.gov.au/code/Pages/default.aspx</w:t>
              </w:r>
            </w:hyperlink>
            <w:r>
              <w:t>)</w:t>
            </w:r>
          </w:p>
        </w:tc>
      </w:tr>
      <w:tr w:rsidR="00C80041" w14:paraId="426EF031" w14:textId="77777777" w:rsidTr="00976665">
        <w:tc>
          <w:tcPr>
            <w:tcW w:w="1509" w:type="pct"/>
          </w:tcPr>
          <w:p w14:paraId="12EBA16F" w14:textId="77777777" w:rsidR="00BC2F05" w:rsidRPr="00A11F8D" w:rsidRDefault="00772FB6" w:rsidP="00976665">
            <w:pPr>
              <w:pStyle w:val="TableText"/>
            </w:pPr>
            <w:r w:rsidRPr="00A11F8D">
              <w:t>Fumigation</w:t>
            </w:r>
          </w:p>
        </w:tc>
        <w:tc>
          <w:tcPr>
            <w:tcW w:w="3491" w:type="pct"/>
          </w:tcPr>
          <w:p w14:paraId="749CE7A1" w14:textId="77777777" w:rsidR="00BC2F05" w:rsidRPr="00A11F8D" w:rsidRDefault="00772FB6" w:rsidP="00976665">
            <w:pPr>
              <w:pStyle w:val="TableText"/>
            </w:pPr>
            <w:r w:rsidRPr="00A11F8D">
              <w:t>A method of pest control that completely fills an area with gaseous pesticides to suffocate or poison the pests within.</w:t>
            </w:r>
          </w:p>
        </w:tc>
      </w:tr>
      <w:tr w:rsidR="00C80041" w14:paraId="17F6C3A5" w14:textId="77777777" w:rsidTr="00976665">
        <w:tc>
          <w:tcPr>
            <w:tcW w:w="1509" w:type="pct"/>
          </w:tcPr>
          <w:p w14:paraId="35016670" w14:textId="77777777" w:rsidR="00BC2F05" w:rsidRPr="00A11F8D" w:rsidRDefault="00772FB6" w:rsidP="00976665">
            <w:pPr>
              <w:pStyle w:val="TableText"/>
            </w:pPr>
            <w:r w:rsidRPr="00A11F8D">
              <w:t>Genus</w:t>
            </w:r>
          </w:p>
        </w:tc>
        <w:tc>
          <w:tcPr>
            <w:tcW w:w="3491" w:type="pct"/>
          </w:tcPr>
          <w:p w14:paraId="11C399FA" w14:textId="77777777" w:rsidR="00BC2F05" w:rsidRPr="00A11F8D" w:rsidRDefault="00772FB6" w:rsidP="00976665">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C80041" w14:paraId="0E6083EC" w14:textId="77777777" w:rsidTr="00976665">
        <w:tc>
          <w:tcPr>
            <w:tcW w:w="1509" w:type="pct"/>
          </w:tcPr>
          <w:p w14:paraId="70BC50C7" w14:textId="77777777" w:rsidR="00BC2F05" w:rsidRPr="00A11F8D" w:rsidRDefault="00772FB6" w:rsidP="00976665">
            <w:pPr>
              <w:pStyle w:val="TableText"/>
            </w:pPr>
            <w:r>
              <w:t>Goods</w:t>
            </w:r>
          </w:p>
        </w:tc>
        <w:tc>
          <w:tcPr>
            <w:tcW w:w="3491" w:type="pct"/>
          </w:tcPr>
          <w:p w14:paraId="0373D935" w14:textId="77777777" w:rsidR="00BC2F05" w:rsidRPr="00A11F8D" w:rsidRDefault="00772FB6" w:rsidP="00976665">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w:t>
            </w:r>
            <w:proofErr w:type="gramStart"/>
            <w:r>
              <w:t>substance</w:t>
            </w:r>
            <w:proofErr w:type="gramEnd"/>
            <w:r>
              <w:t xml:space="preserve"> or thing (including, but not limited to, any kind of moveable property).</w:t>
            </w:r>
          </w:p>
        </w:tc>
      </w:tr>
      <w:tr w:rsidR="00C80041" w14:paraId="56D54FD4" w14:textId="77777777" w:rsidTr="00976665">
        <w:tc>
          <w:tcPr>
            <w:tcW w:w="1509" w:type="pct"/>
          </w:tcPr>
          <w:p w14:paraId="27B1BB05" w14:textId="77777777" w:rsidR="00BC2F05" w:rsidRDefault="00772FB6" w:rsidP="00976665">
            <w:pPr>
              <w:pStyle w:val="TableText"/>
            </w:pPr>
            <w:r>
              <w:t>GP</w:t>
            </w:r>
          </w:p>
        </w:tc>
        <w:tc>
          <w:tcPr>
            <w:tcW w:w="3491" w:type="pct"/>
          </w:tcPr>
          <w:p w14:paraId="686070D3" w14:textId="77777777" w:rsidR="00BC2F05" w:rsidRDefault="00772FB6" w:rsidP="00976665">
            <w:pPr>
              <w:pStyle w:val="TableText"/>
            </w:pPr>
            <w:r>
              <w:t xml:space="preserve">Group policy. </w:t>
            </w:r>
            <w:r w:rsidRPr="00945121">
              <w:t xml:space="preserve">This refers to the </w:t>
            </w:r>
            <w:r w:rsidRPr="00945121">
              <w:rPr>
                <w:i/>
                <w:color w:val="000000" w:themeColor="text1"/>
              </w:rPr>
              <w:t xml:space="preserve">Final group pest risk analysis for thrips and </w:t>
            </w:r>
            <w:proofErr w:type="spellStart"/>
            <w:r w:rsidRPr="00945121">
              <w:rPr>
                <w:i/>
                <w:color w:val="000000" w:themeColor="text1"/>
              </w:rPr>
              <w:t>orthotospoviruses</w:t>
            </w:r>
            <w:proofErr w:type="spellEnd"/>
            <w:r w:rsidRPr="00945121">
              <w:rPr>
                <w:i/>
                <w:color w:val="000000" w:themeColor="text1"/>
              </w:rPr>
              <w:t xml:space="preserve"> on fresh fruit, vegetable, cut-flower and foliage imports</w:t>
            </w:r>
            <w:r w:rsidRPr="00945121">
              <w:rPr>
                <w:color w:val="000000" w:themeColor="text1"/>
              </w:rPr>
              <w:t xml:space="preserve"> (thrips Group PRA) </w:t>
            </w:r>
            <w:r>
              <w:rPr>
                <w:noProof/>
                <w:color w:val="000000" w:themeColor="text1"/>
              </w:rPr>
              <w:t>(DAWR 2017a)</w:t>
            </w:r>
            <w:r w:rsidRPr="00945121">
              <w:rPr>
                <w:color w:val="000000" w:themeColor="text1"/>
              </w:rPr>
              <w:t>,</w:t>
            </w:r>
            <w:r w:rsidRPr="00945121">
              <w:t xml:space="preserve"> the </w:t>
            </w:r>
            <w:r w:rsidRPr="00945121">
              <w:rPr>
                <w:i/>
              </w:rPr>
              <w:t>Final group pest risk analysis for mealybugs and the viruses they transmit on fresh fruit, vegetable, cut-flower and foliage imports</w:t>
            </w:r>
            <w:r w:rsidRPr="00543EB3">
              <w:rPr>
                <w:iCs/>
              </w:rPr>
              <w:t xml:space="preserve"> </w:t>
            </w:r>
            <w:r>
              <w:rPr>
                <w:iCs/>
              </w:rPr>
              <w:t xml:space="preserve">(mealybugs Group PRA) </w:t>
            </w:r>
            <w:r>
              <w:rPr>
                <w:iCs/>
                <w:noProof/>
              </w:rPr>
              <w:t>(DAWR 2019)</w:t>
            </w:r>
            <w:r w:rsidRPr="00543EB3">
              <w:rPr>
                <w:iCs/>
              </w:rPr>
              <w:t xml:space="preserve"> </w:t>
            </w:r>
            <w:r w:rsidRPr="00945121">
              <w:t xml:space="preserve">and the </w:t>
            </w:r>
            <w:r w:rsidRPr="00945121">
              <w:rPr>
                <w:i/>
                <w:iCs/>
              </w:rPr>
              <w:t>Final group pest risk analysis for soft and hard scale insects on fresh fruit, vegetable, cut-flower and foliage imports</w:t>
            </w:r>
            <w:r>
              <w:rPr>
                <w:i/>
                <w:iCs/>
              </w:rPr>
              <w:t xml:space="preserve"> </w:t>
            </w:r>
            <w:r>
              <w:t>(scales Group PRA)</w:t>
            </w:r>
            <w:r>
              <w:rPr>
                <w:i/>
                <w:iCs/>
              </w:rPr>
              <w:t xml:space="preserve"> </w:t>
            </w:r>
            <w:r>
              <w:rPr>
                <w:noProof/>
              </w:rPr>
              <w:t>(DAWE 2021)</w:t>
            </w:r>
            <w:r w:rsidRPr="00945121">
              <w:t>.</w:t>
            </w:r>
          </w:p>
        </w:tc>
      </w:tr>
      <w:tr w:rsidR="00C80041" w14:paraId="1B53F084" w14:textId="77777777" w:rsidTr="00976665">
        <w:tc>
          <w:tcPr>
            <w:tcW w:w="1509" w:type="pct"/>
          </w:tcPr>
          <w:p w14:paraId="5064578C" w14:textId="77777777" w:rsidR="00BC2F05" w:rsidRDefault="00772FB6" w:rsidP="00976665">
            <w:pPr>
              <w:pStyle w:val="TableText"/>
            </w:pPr>
            <w:r>
              <w:t>Group PRA</w:t>
            </w:r>
          </w:p>
        </w:tc>
        <w:tc>
          <w:tcPr>
            <w:tcW w:w="3491" w:type="pct"/>
          </w:tcPr>
          <w:p w14:paraId="347F8667" w14:textId="77777777" w:rsidR="00BC2F05" w:rsidRDefault="00772FB6" w:rsidP="00976665">
            <w:pPr>
              <w:pStyle w:val="TableText"/>
            </w:pPr>
            <w:r>
              <w:t xml:space="preserve">Group Pest Risk Analysis. A risk analysis that has been conducted for a group of organisms that share common biological characteristics as outlined by </w:t>
            </w:r>
            <w:r w:rsidRPr="00E809BC">
              <w:t>ISPM</w:t>
            </w:r>
            <w:r>
              <w:t> </w:t>
            </w:r>
            <w:r w:rsidRPr="00E809BC">
              <w:t xml:space="preserve">2: </w:t>
            </w:r>
            <w:r w:rsidRPr="00E809BC">
              <w:rPr>
                <w:i/>
                <w:iCs/>
              </w:rPr>
              <w:t>Framework for Pest Risk Analysis</w:t>
            </w:r>
            <w:r w:rsidRPr="00E809BC">
              <w:t xml:space="preserve"> </w:t>
            </w:r>
            <w:r>
              <w:rPr>
                <w:noProof/>
              </w:rPr>
              <w:t>(FAO 2019a)</w:t>
            </w:r>
            <w:r>
              <w:t>.</w:t>
            </w:r>
          </w:p>
        </w:tc>
      </w:tr>
      <w:tr w:rsidR="00C80041" w14:paraId="328E6DB7" w14:textId="77777777" w:rsidTr="00976665">
        <w:tc>
          <w:tcPr>
            <w:tcW w:w="1509" w:type="pct"/>
          </w:tcPr>
          <w:p w14:paraId="7E3EBC49" w14:textId="77777777" w:rsidR="00BC2F05" w:rsidRPr="00A11F8D" w:rsidRDefault="00772FB6" w:rsidP="00976665">
            <w:pPr>
              <w:pStyle w:val="TableText"/>
            </w:pPr>
            <w:r w:rsidRPr="00A11F8D">
              <w:t>Host</w:t>
            </w:r>
          </w:p>
        </w:tc>
        <w:tc>
          <w:tcPr>
            <w:tcW w:w="3491" w:type="pct"/>
          </w:tcPr>
          <w:p w14:paraId="47CA2F89" w14:textId="77777777" w:rsidR="00BC2F05" w:rsidRPr="00A11F8D" w:rsidRDefault="00772FB6" w:rsidP="00976665">
            <w:pPr>
              <w:pStyle w:val="TableText"/>
            </w:pPr>
            <w:r w:rsidRPr="00A11F8D">
              <w:t>An organism that harbours a parasite, mutual partner, or commensal partner, typically providing nourishment and shelter.</w:t>
            </w:r>
          </w:p>
        </w:tc>
      </w:tr>
      <w:tr w:rsidR="00C80041" w14:paraId="5B368FFE" w14:textId="77777777" w:rsidTr="00976665">
        <w:tc>
          <w:tcPr>
            <w:tcW w:w="1509" w:type="pct"/>
          </w:tcPr>
          <w:p w14:paraId="1D13E23F" w14:textId="77777777" w:rsidR="00BC2F05" w:rsidRPr="00A11F8D" w:rsidRDefault="00772FB6" w:rsidP="00976665">
            <w:pPr>
              <w:pStyle w:val="TableText"/>
            </w:pPr>
            <w:r w:rsidRPr="00A11F8D">
              <w:t>Host range</w:t>
            </w:r>
          </w:p>
        </w:tc>
        <w:tc>
          <w:tcPr>
            <w:tcW w:w="3491" w:type="pct"/>
          </w:tcPr>
          <w:p w14:paraId="1EDB396B" w14:textId="77777777" w:rsidR="00BC2F05" w:rsidRPr="00A11F8D" w:rsidRDefault="00772FB6" w:rsidP="00976665">
            <w:pPr>
              <w:pStyle w:val="TableText"/>
            </w:pPr>
            <w:r w:rsidRPr="00A11F8D">
              <w:t>Species capable, under natural conditions, of sustaining a specific pest or other organism</w:t>
            </w:r>
            <w:r>
              <w:t xml:space="preserve"> </w:t>
            </w:r>
            <w:r>
              <w:rPr>
                <w:noProof/>
              </w:rPr>
              <w:t>(FAO 2022)</w:t>
            </w:r>
            <w:r w:rsidRPr="00A11F8D">
              <w:t>.</w:t>
            </w:r>
          </w:p>
        </w:tc>
      </w:tr>
      <w:tr w:rsidR="00C80041" w14:paraId="04121D46" w14:textId="77777777" w:rsidTr="00976665">
        <w:tc>
          <w:tcPr>
            <w:tcW w:w="1509" w:type="pct"/>
          </w:tcPr>
          <w:p w14:paraId="573EE01C" w14:textId="77777777" w:rsidR="00BC2F05" w:rsidRPr="00A11F8D" w:rsidRDefault="00772FB6" w:rsidP="00976665">
            <w:pPr>
              <w:pStyle w:val="TableText"/>
            </w:pPr>
            <w:r w:rsidRPr="00A11F8D">
              <w:t>Import permit</w:t>
            </w:r>
          </w:p>
        </w:tc>
        <w:tc>
          <w:tcPr>
            <w:tcW w:w="3491" w:type="pct"/>
          </w:tcPr>
          <w:p w14:paraId="22286E09" w14:textId="77777777" w:rsidR="00BC2F05" w:rsidRPr="00A11F8D" w:rsidRDefault="00772FB6" w:rsidP="00976665">
            <w:pPr>
              <w:pStyle w:val="TableText"/>
            </w:pPr>
            <w:r w:rsidRPr="00A11F8D">
              <w:t>Official document authorising importation of a commodity in accordance with specified phytosanitary import requirements</w:t>
            </w:r>
            <w:r>
              <w:t xml:space="preserve"> </w:t>
            </w:r>
            <w:r>
              <w:rPr>
                <w:noProof/>
              </w:rPr>
              <w:t>(FAO 2022)</w:t>
            </w:r>
            <w:r w:rsidRPr="00A11F8D">
              <w:t>.</w:t>
            </w:r>
          </w:p>
        </w:tc>
      </w:tr>
      <w:tr w:rsidR="00C80041" w14:paraId="43A0691C" w14:textId="77777777" w:rsidTr="00976665">
        <w:tc>
          <w:tcPr>
            <w:tcW w:w="1509" w:type="pct"/>
          </w:tcPr>
          <w:p w14:paraId="45F9BD47" w14:textId="77777777" w:rsidR="00BC2F05" w:rsidRPr="00A11F8D" w:rsidRDefault="00772FB6" w:rsidP="00976665">
            <w:pPr>
              <w:pStyle w:val="TableText"/>
            </w:pPr>
            <w:r w:rsidRPr="00A11F8D">
              <w:lastRenderedPageBreak/>
              <w:t>Infection</w:t>
            </w:r>
          </w:p>
        </w:tc>
        <w:tc>
          <w:tcPr>
            <w:tcW w:w="3491" w:type="pct"/>
          </w:tcPr>
          <w:p w14:paraId="18DF2523" w14:textId="77777777" w:rsidR="00BC2F05" w:rsidRPr="00A11F8D" w:rsidRDefault="00772FB6" w:rsidP="00976665">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C80041" w14:paraId="07BD3394" w14:textId="77777777" w:rsidTr="00976665">
        <w:tc>
          <w:tcPr>
            <w:tcW w:w="1509" w:type="pct"/>
          </w:tcPr>
          <w:p w14:paraId="7BED3641" w14:textId="77777777" w:rsidR="00BC2F05" w:rsidRPr="00A11F8D" w:rsidRDefault="00772FB6" w:rsidP="00976665">
            <w:pPr>
              <w:pStyle w:val="TableText"/>
            </w:pPr>
            <w:r w:rsidRPr="00A11F8D">
              <w:t>Infestation (of a commodity)</w:t>
            </w:r>
          </w:p>
        </w:tc>
        <w:tc>
          <w:tcPr>
            <w:tcW w:w="3491" w:type="pct"/>
          </w:tcPr>
          <w:p w14:paraId="564748B5" w14:textId="77777777" w:rsidR="00BC2F05" w:rsidRPr="00A11F8D" w:rsidRDefault="00772FB6" w:rsidP="00976665">
            <w:pPr>
              <w:pStyle w:val="TableText"/>
            </w:pPr>
            <w:r w:rsidRPr="00A11F8D">
              <w:t>Presence in a commodity of a living pest of the plant or plant product concerned. Infestation includes infection</w:t>
            </w:r>
            <w:r>
              <w:t xml:space="preserve"> </w:t>
            </w:r>
            <w:r>
              <w:rPr>
                <w:noProof/>
              </w:rPr>
              <w:t>(FAO 2022)</w:t>
            </w:r>
            <w:r w:rsidRPr="00A11F8D">
              <w:t>.</w:t>
            </w:r>
          </w:p>
        </w:tc>
      </w:tr>
      <w:tr w:rsidR="00C80041" w14:paraId="26F0D43C" w14:textId="77777777" w:rsidTr="00976665">
        <w:tc>
          <w:tcPr>
            <w:tcW w:w="1509" w:type="pct"/>
          </w:tcPr>
          <w:p w14:paraId="007076DB" w14:textId="77777777" w:rsidR="00BC2F05" w:rsidRPr="00A11F8D" w:rsidRDefault="00772FB6" w:rsidP="00976665">
            <w:pPr>
              <w:pStyle w:val="TableText"/>
            </w:pPr>
            <w:r w:rsidRPr="00A11F8D">
              <w:t>Inspection</w:t>
            </w:r>
          </w:p>
        </w:tc>
        <w:tc>
          <w:tcPr>
            <w:tcW w:w="3491" w:type="pct"/>
          </w:tcPr>
          <w:p w14:paraId="758C6AF9" w14:textId="77777777" w:rsidR="00BC2F05" w:rsidRPr="00A11F8D" w:rsidRDefault="00772FB6" w:rsidP="00976665">
            <w:pPr>
              <w:pStyle w:val="TableText"/>
            </w:pPr>
            <w:r w:rsidRPr="00A11F8D">
              <w:t>Official visual examination of plants, plant products or other regulated articles to determine if pests are present or to determine compliance with phytosanitary regulations</w:t>
            </w:r>
            <w:r>
              <w:t xml:space="preserve"> </w:t>
            </w:r>
            <w:r>
              <w:rPr>
                <w:noProof/>
              </w:rPr>
              <w:t>(FAO 2022)</w:t>
            </w:r>
            <w:r w:rsidRPr="00A11F8D">
              <w:t>.</w:t>
            </w:r>
          </w:p>
        </w:tc>
      </w:tr>
      <w:tr w:rsidR="00C80041" w14:paraId="665EA852" w14:textId="77777777" w:rsidTr="00976665">
        <w:tc>
          <w:tcPr>
            <w:tcW w:w="1509" w:type="pct"/>
          </w:tcPr>
          <w:p w14:paraId="000AD7E5" w14:textId="77777777" w:rsidR="00BC2F05" w:rsidRPr="00A11F8D" w:rsidRDefault="00772FB6" w:rsidP="00976665">
            <w:pPr>
              <w:pStyle w:val="TableText"/>
            </w:pPr>
            <w:r w:rsidRPr="00A11F8D">
              <w:t>Intended use</w:t>
            </w:r>
          </w:p>
        </w:tc>
        <w:tc>
          <w:tcPr>
            <w:tcW w:w="3491" w:type="pct"/>
          </w:tcPr>
          <w:p w14:paraId="3B09145B" w14:textId="77777777" w:rsidR="00BC2F05" w:rsidRPr="00A11F8D" w:rsidRDefault="00772FB6" w:rsidP="00976665">
            <w:pPr>
              <w:pStyle w:val="TableText"/>
            </w:pPr>
            <w:r w:rsidRPr="00A11F8D">
              <w:t xml:space="preserve">Declared purpose for which plants, plant products, or other regulated articles are imported, </w:t>
            </w:r>
            <w:proofErr w:type="gramStart"/>
            <w:r w:rsidRPr="00A11F8D">
              <w:t>produced</w:t>
            </w:r>
            <w:proofErr w:type="gramEnd"/>
            <w:r w:rsidRPr="00A11F8D">
              <w:t xml:space="preserve"> or used</w:t>
            </w:r>
            <w:r>
              <w:t xml:space="preserve"> </w:t>
            </w:r>
            <w:r>
              <w:rPr>
                <w:noProof/>
              </w:rPr>
              <w:t>(FAO 2022)</w:t>
            </w:r>
            <w:r w:rsidRPr="00A11F8D">
              <w:t>.</w:t>
            </w:r>
          </w:p>
        </w:tc>
      </w:tr>
      <w:tr w:rsidR="00C80041" w14:paraId="4E9535AF" w14:textId="77777777" w:rsidTr="00976665">
        <w:tc>
          <w:tcPr>
            <w:tcW w:w="1509" w:type="pct"/>
          </w:tcPr>
          <w:p w14:paraId="586C4148" w14:textId="77777777" w:rsidR="00BC2F05" w:rsidRPr="00A11F8D" w:rsidRDefault="00772FB6" w:rsidP="00976665">
            <w:pPr>
              <w:pStyle w:val="TableText"/>
            </w:pPr>
            <w:r w:rsidRPr="00A11F8D">
              <w:t>Interception (of a pest)</w:t>
            </w:r>
          </w:p>
        </w:tc>
        <w:tc>
          <w:tcPr>
            <w:tcW w:w="3491" w:type="pct"/>
          </w:tcPr>
          <w:p w14:paraId="4C114BC9" w14:textId="77777777" w:rsidR="00BC2F05" w:rsidRPr="00A11F8D" w:rsidRDefault="00772FB6" w:rsidP="00976665">
            <w:pPr>
              <w:pStyle w:val="TableText"/>
            </w:pPr>
            <w:r w:rsidRPr="00A11F8D">
              <w:t>The detection of a pest during inspection or testing of an imported consignment</w:t>
            </w:r>
            <w:r>
              <w:t xml:space="preserve"> </w:t>
            </w:r>
            <w:r>
              <w:rPr>
                <w:noProof/>
              </w:rPr>
              <w:t>(FAO 2022)</w:t>
            </w:r>
            <w:r w:rsidRPr="00A11F8D">
              <w:t>.</w:t>
            </w:r>
          </w:p>
        </w:tc>
      </w:tr>
      <w:tr w:rsidR="00C80041" w14:paraId="6D6A1D04" w14:textId="77777777" w:rsidTr="00976665">
        <w:tc>
          <w:tcPr>
            <w:tcW w:w="1509" w:type="pct"/>
          </w:tcPr>
          <w:p w14:paraId="4D396858" w14:textId="77777777" w:rsidR="00BC2F05" w:rsidRPr="00A11F8D" w:rsidRDefault="00772FB6" w:rsidP="00976665">
            <w:pPr>
              <w:pStyle w:val="TableText"/>
            </w:pPr>
            <w:r>
              <w:t>International Plant Protection Convention (IPPC)</w:t>
            </w:r>
          </w:p>
        </w:tc>
        <w:tc>
          <w:tcPr>
            <w:tcW w:w="3491" w:type="pct"/>
          </w:tcPr>
          <w:p w14:paraId="2E64D5C8" w14:textId="77777777" w:rsidR="00BC2F05" w:rsidRPr="00A11F8D" w:rsidRDefault="00772FB6" w:rsidP="00976665">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C80041" w14:paraId="79C037FD" w14:textId="77777777" w:rsidTr="00976665">
        <w:tc>
          <w:tcPr>
            <w:tcW w:w="1509" w:type="pct"/>
          </w:tcPr>
          <w:p w14:paraId="1AE8079C" w14:textId="77777777" w:rsidR="00BC2F05" w:rsidRPr="00A11F8D" w:rsidRDefault="00772FB6" w:rsidP="00976665">
            <w:pPr>
              <w:pStyle w:val="TableText"/>
            </w:pPr>
            <w:r w:rsidRPr="00A11F8D">
              <w:t>International Standard for Phytosanitary Measures (ISPM)</w:t>
            </w:r>
          </w:p>
        </w:tc>
        <w:tc>
          <w:tcPr>
            <w:tcW w:w="3491" w:type="pct"/>
          </w:tcPr>
          <w:p w14:paraId="5278A78A" w14:textId="77777777" w:rsidR="00BC2F05" w:rsidRPr="00A11F8D" w:rsidRDefault="00772FB6" w:rsidP="00976665">
            <w:pPr>
              <w:pStyle w:val="TableText"/>
            </w:pPr>
            <w:r w:rsidRPr="00A11F8D">
              <w:t xml:space="preserve">An international standard adopted by the Conference of the Food and Agriculture Organization, the Interim Commission on Phytosanitary </w:t>
            </w:r>
            <w:proofErr w:type="gramStart"/>
            <w:r w:rsidRPr="00A11F8D">
              <w:t>Measures</w:t>
            </w:r>
            <w:proofErr w:type="gramEnd"/>
            <w:r w:rsidRPr="00A11F8D">
              <w:t xml:space="preserve"> or the Commission on Phytosanitary Mea</w:t>
            </w:r>
            <w:r>
              <w:t>sures, established under the IPP</w:t>
            </w:r>
            <w:r w:rsidRPr="00A11F8D">
              <w:t>C</w:t>
            </w:r>
            <w:r>
              <w:t xml:space="preserve"> </w:t>
            </w:r>
            <w:r>
              <w:rPr>
                <w:noProof/>
              </w:rPr>
              <w:t>(FAO 2022)</w:t>
            </w:r>
            <w:r w:rsidRPr="00A11F8D">
              <w:t>.</w:t>
            </w:r>
          </w:p>
        </w:tc>
      </w:tr>
      <w:tr w:rsidR="00C80041" w14:paraId="6AF79FEB" w14:textId="77777777" w:rsidTr="00976665">
        <w:tc>
          <w:tcPr>
            <w:tcW w:w="1509" w:type="pct"/>
          </w:tcPr>
          <w:p w14:paraId="5E30E376" w14:textId="77777777" w:rsidR="00BC2F05" w:rsidRPr="00A11F8D" w:rsidRDefault="00772FB6" w:rsidP="00976665">
            <w:pPr>
              <w:pStyle w:val="TableText"/>
            </w:pPr>
            <w:r w:rsidRPr="00A11F8D">
              <w:t>Introduction (of a pest)</w:t>
            </w:r>
          </w:p>
        </w:tc>
        <w:tc>
          <w:tcPr>
            <w:tcW w:w="3491" w:type="pct"/>
          </w:tcPr>
          <w:p w14:paraId="14931E21" w14:textId="77777777" w:rsidR="00BC2F05" w:rsidRPr="00A11F8D" w:rsidRDefault="00772FB6" w:rsidP="00976665">
            <w:pPr>
              <w:pStyle w:val="TableText"/>
            </w:pPr>
            <w:r w:rsidRPr="00A11F8D">
              <w:t>The entry of a pest resulting in its establishment</w:t>
            </w:r>
            <w:r>
              <w:t xml:space="preserve"> </w:t>
            </w:r>
            <w:r>
              <w:rPr>
                <w:noProof/>
              </w:rPr>
              <w:t>(FAO 2022)</w:t>
            </w:r>
            <w:r w:rsidRPr="00A11F8D">
              <w:t>.</w:t>
            </w:r>
          </w:p>
        </w:tc>
      </w:tr>
      <w:tr w:rsidR="00C80041" w14:paraId="5D715426" w14:textId="77777777" w:rsidTr="00976665">
        <w:tc>
          <w:tcPr>
            <w:tcW w:w="1509" w:type="pct"/>
          </w:tcPr>
          <w:p w14:paraId="38BEE299" w14:textId="77777777" w:rsidR="00BC2F05" w:rsidRPr="00A11F8D" w:rsidRDefault="00772FB6" w:rsidP="00976665">
            <w:pPr>
              <w:pStyle w:val="TableText"/>
            </w:pPr>
            <w:r w:rsidRPr="00A11F8D">
              <w:t>Larva</w:t>
            </w:r>
          </w:p>
        </w:tc>
        <w:tc>
          <w:tcPr>
            <w:tcW w:w="3491" w:type="pct"/>
          </w:tcPr>
          <w:p w14:paraId="0E07D489" w14:textId="77777777" w:rsidR="00BC2F05" w:rsidRPr="00A11F8D" w:rsidRDefault="00772FB6" w:rsidP="00976665">
            <w:pPr>
              <w:pStyle w:val="TableText"/>
            </w:pPr>
            <w:r w:rsidRPr="00A11F8D">
              <w:t>A juvenile form of animal with indirect development, undergoing metamorphosis (for example, insects or amphibians).</w:t>
            </w:r>
          </w:p>
        </w:tc>
      </w:tr>
      <w:tr w:rsidR="00C80041" w14:paraId="4FE51867" w14:textId="77777777" w:rsidTr="00976665">
        <w:trPr>
          <w:cantSplit/>
        </w:trPr>
        <w:tc>
          <w:tcPr>
            <w:tcW w:w="1509" w:type="pct"/>
          </w:tcPr>
          <w:p w14:paraId="5FB6217A" w14:textId="77777777" w:rsidR="00BC2F05" w:rsidRPr="00A11F8D" w:rsidRDefault="00772FB6" w:rsidP="00976665">
            <w:pPr>
              <w:pStyle w:val="TableText"/>
            </w:pPr>
            <w:r w:rsidRPr="00A11F8D">
              <w:t>Lot</w:t>
            </w:r>
          </w:p>
        </w:tc>
        <w:tc>
          <w:tcPr>
            <w:tcW w:w="3491" w:type="pct"/>
          </w:tcPr>
          <w:p w14:paraId="692F1FD5" w14:textId="77777777" w:rsidR="00BC2F05" w:rsidRPr="00A11F8D" w:rsidRDefault="00772FB6" w:rsidP="00976665">
            <w:pPr>
              <w:pStyle w:val="TableText"/>
            </w:pPr>
            <w:proofErr w:type="gramStart"/>
            <w:r w:rsidRPr="00A11F8D">
              <w:t>A number of</w:t>
            </w:r>
            <w:proofErr w:type="gramEnd"/>
            <w:r w:rsidRPr="00A11F8D">
              <w:t xml:space="preserve"> units of a single commodity, identifiable by its homogeneity of composition, origin et cetera, forming part of a consignment</w:t>
            </w:r>
            <w:r>
              <w:t xml:space="preserve"> </w:t>
            </w:r>
            <w:r>
              <w:rPr>
                <w:noProof/>
              </w:rPr>
              <w:t>(FAO 2022)</w:t>
            </w:r>
            <w:r w:rsidRPr="00A11F8D">
              <w:t>. Within this report a ‘lot’ refers to a quantity of fruit of a single variety, harvested from a single production site during a single pick and packed at one time.</w:t>
            </w:r>
          </w:p>
        </w:tc>
      </w:tr>
      <w:tr w:rsidR="00C80041" w14:paraId="029DD07F" w14:textId="77777777" w:rsidTr="00976665">
        <w:tc>
          <w:tcPr>
            <w:tcW w:w="1509" w:type="pct"/>
          </w:tcPr>
          <w:p w14:paraId="22E60215" w14:textId="77777777" w:rsidR="00BC2F05" w:rsidRPr="00A11F8D" w:rsidRDefault="00772FB6" w:rsidP="00976665">
            <w:pPr>
              <w:pStyle w:val="TableText"/>
            </w:pPr>
            <w:r w:rsidRPr="00A11F8D">
              <w:t>Mature fruit</w:t>
            </w:r>
          </w:p>
        </w:tc>
        <w:tc>
          <w:tcPr>
            <w:tcW w:w="3491" w:type="pct"/>
          </w:tcPr>
          <w:p w14:paraId="6CEAB139" w14:textId="77777777" w:rsidR="00BC2F05" w:rsidRPr="00A11F8D" w:rsidRDefault="00772FB6" w:rsidP="00976665">
            <w:pPr>
              <w:pStyle w:val="TableText"/>
            </w:pPr>
            <w:r w:rsidRPr="00A11F8D">
              <w:t xml:space="preserve">Commercial maturity is the start of the ripening process. The ripening process will then continue and provide a product that is </w:t>
            </w:r>
            <w:r>
              <w:t xml:space="preserve">acceptable to </w:t>
            </w:r>
            <w:r w:rsidRPr="00A11F8D">
              <w:t>consumer</w:t>
            </w:r>
            <w:r>
              <w:t>s</w:t>
            </w:r>
            <w:r w:rsidRPr="00A11F8D">
              <w:t>. Maturity assessments include colour, starch, index, soluble solids content, flesh firmness, acidity, and ethylene production rate.</w:t>
            </w:r>
          </w:p>
        </w:tc>
      </w:tr>
      <w:tr w:rsidR="00C80041" w14:paraId="4E788E28" w14:textId="77777777" w:rsidTr="00976665">
        <w:tc>
          <w:tcPr>
            <w:tcW w:w="1509" w:type="pct"/>
          </w:tcPr>
          <w:p w14:paraId="7B54441E" w14:textId="77777777" w:rsidR="00BC2F05" w:rsidRPr="00A11F8D" w:rsidRDefault="00772FB6" w:rsidP="00976665">
            <w:pPr>
              <w:pStyle w:val="TableText"/>
            </w:pPr>
            <w:r w:rsidRPr="00A11F8D">
              <w:t>National Plant Protection Organization (NPPO)</w:t>
            </w:r>
          </w:p>
        </w:tc>
        <w:tc>
          <w:tcPr>
            <w:tcW w:w="3491" w:type="pct"/>
          </w:tcPr>
          <w:p w14:paraId="6AC624A4" w14:textId="77777777" w:rsidR="00BC2F05" w:rsidRPr="00A11F8D" w:rsidRDefault="00772FB6" w:rsidP="00976665">
            <w:pPr>
              <w:pStyle w:val="TableText"/>
            </w:pPr>
            <w:r w:rsidRPr="00A11F8D">
              <w:t>Official service established by a government to discharge the functions specified by the IPPC</w:t>
            </w:r>
            <w:r>
              <w:t xml:space="preserve"> </w:t>
            </w:r>
            <w:r>
              <w:rPr>
                <w:noProof/>
              </w:rPr>
              <w:t>(FAO 2022)</w:t>
            </w:r>
            <w:r w:rsidRPr="00A11F8D">
              <w:t>.</w:t>
            </w:r>
          </w:p>
        </w:tc>
      </w:tr>
      <w:tr w:rsidR="00C80041" w14:paraId="51C8070D" w14:textId="77777777" w:rsidTr="00976665">
        <w:tc>
          <w:tcPr>
            <w:tcW w:w="1509" w:type="pct"/>
          </w:tcPr>
          <w:p w14:paraId="01F261A3" w14:textId="77777777" w:rsidR="00BC2F05" w:rsidRPr="00A11F8D" w:rsidRDefault="00772FB6" w:rsidP="00976665">
            <w:pPr>
              <w:pStyle w:val="TableText"/>
            </w:pPr>
            <w:r>
              <w:t>NSW</w:t>
            </w:r>
          </w:p>
        </w:tc>
        <w:tc>
          <w:tcPr>
            <w:tcW w:w="3491" w:type="pct"/>
          </w:tcPr>
          <w:p w14:paraId="4A985A2B" w14:textId="77777777" w:rsidR="00BC2F05" w:rsidRPr="00A11F8D" w:rsidRDefault="00772FB6" w:rsidP="00976665">
            <w:pPr>
              <w:pStyle w:val="TableText"/>
            </w:pPr>
            <w:r>
              <w:t>The state of New South Wales in Australia.</w:t>
            </w:r>
          </w:p>
        </w:tc>
      </w:tr>
      <w:tr w:rsidR="00C80041" w14:paraId="01F4754D" w14:textId="77777777" w:rsidTr="00976665">
        <w:tc>
          <w:tcPr>
            <w:tcW w:w="1509" w:type="pct"/>
          </w:tcPr>
          <w:p w14:paraId="01C36FFE" w14:textId="77777777" w:rsidR="00BC2F05" w:rsidRDefault="00772FB6" w:rsidP="00976665">
            <w:pPr>
              <w:pStyle w:val="TableText"/>
            </w:pPr>
            <w:r>
              <w:t>NT</w:t>
            </w:r>
          </w:p>
        </w:tc>
        <w:tc>
          <w:tcPr>
            <w:tcW w:w="3491" w:type="pct"/>
          </w:tcPr>
          <w:p w14:paraId="41AC16D3" w14:textId="77777777" w:rsidR="00BC2F05" w:rsidRDefault="00772FB6" w:rsidP="00976665">
            <w:pPr>
              <w:pStyle w:val="TableText"/>
            </w:pPr>
            <w:r>
              <w:t>The Northern Territory of Australia.</w:t>
            </w:r>
          </w:p>
        </w:tc>
      </w:tr>
      <w:tr w:rsidR="00C80041" w14:paraId="780C0C40" w14:textId="77777777" w:rsidTr="00976665">
        <w:tc>
          <w:tcPr>
            <w:tcW w:w="1509" w:type="pct"/>
          </w:tcPr>
          <w:p w14:paraId="1A44AA85" w14:textId="77777777" w:rsidR="00BC2F05" w:rsidRPr="00A11F8D" w:rsidRDefault="00772FB6" w:rsidP="00976665">
            <w:pPr>
              <w:pStyle w:val="TableText"/>
            </w:pPr>
            <w:r w:rsidRPr="00A11F8D">
              <w:t>Nymph</w:t>
            </w:r>
          </w:p>
        </w:tc>
        <w:tc>
          <w:tcPr>
            <w:tcW w:w="3491" w:type="pct"/>
          </w:tcPr>
          <w:p w14:paraId="574E75DA" w14:textId="77777777" w:rsidR="00BC2F05" w:rsidRPr="00A11F8D" w:rsidRDefault="00772FB6" w:rsidP="00976665">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C80041" w14:paraId="0A4C427B" w14:textId="77777777" w:rsidTr="00976665">
        <w:tc>
          <w:tcPr>
            <w:tcW w:w="1509" w:type="pct"/>
          </w:tcPr>
          <w:p w14:paraId="013EEE36" w14:textId="77777777" w:rsidR="00BC2F05" w:rsidRPr="00A11F8D" w:rsidRDefault="00772FB6" w:rsidP="00976665">
            <w:pPr>
              <w:pStyle w:val="TableText"/>
            </w:pPr>
            <w:r w:rsidRPr="00A11F8D">
              <w:t>Official control</w:t>
            </w:r>
          </w:p>
        </w:tc>
        <w:tc>
          <w:tcPr>
            <w:tcW w:w="3491" w:type="pct"/>
          </w:tcPr>
          <w:p w14:paraId="664543F0" w14:textId="77777777" w:rsidR="00BC2F05" w:rsidRPr="00A11F8D" w:rsidRDefault="00772FB6" w:rsidP="00976665">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t xml:space="preserve"> </w:t>
            </w:r>
            <w:r>
              <w:rPr>
                <w:noProof/>
              </w:rPr>
              <w:t>(FAO 2022)</w:t>
            </w:r>
            <w:r w:rsidRPr="00A11F8D">
              <w:t>.</w:t>
            </w:r>
          </w:p>
        </w:tc>
      </w:tr>
      <w:tr w:rsidR="00C80041" w14:paraId="4F045C96" w14:textId="77777777" w:rsidTr="00976665">
        <w:tc>
          <w:tcPr>
            <w:tcW w:w="1509" w:type="pct"/>
          </w:tcPr>
          <w:p w14:paraId="2A9F2407" w14:textId="77777777" w:rsidR="00BC2F05" w:rsidRPr="00A11F8D" w:rsidRDefault="00772FB6" w:rsidP="00976665">
            <w:pPr>
              <w:pStyle w:val="TableText"/>
            </w:pPr>
            <w:r w:rsidRPr="00A11F8D">
              <w:t>Pathogen</w:t>
            </w:r>
          </w:p>
        </w:tc>
        <w:tc>
          <w:tcPr>
            <w:tcW w:w="3491" w:type="pct"/>
          </w:tcPr>
          <w:p w14:paraId="3635F4FD" w14:textId="77777777" w:rsidR="00BC2F05" w:rsidRPr="00A11F8D" w:rsidRDefault="00772FB6" w:rsidP="00976665">
            <w:pPr>
              <w:pStyle w:val="TableText"/>
            </w:pPr>
            <w:r w:rsidRPr="00A11F8D">
              <w:t>A biological agent that can cause disease to its host.</w:t>
            </w:r>
          </w:p>
        </w:tc>
      </w:tr>
      <w:tr w:rsidR="00C80041" w14:paraId="6A269423" w14:textId="77777777" w:rsidTr="00976665">
        <w:tc>
          <w:tcPr>
            <w:tcW w:w="1509" w:type="pct"/>
          </w:tcPr>
          <w:p w14:paraId="7560B5B0" w14:textId="77777777" w:rsidR="00BC2F05" w:rsidRPr="00A11F8D" w:rsidRDefault="00772FB6" w:rsidP="00976665">
            <w:pPr>
              <w:pStyle w:val="TableText"/>
            </w:pPr>
            <w:r w:rsidRPr="00A11F8D">
              <w:t>Pathway</w:t>
            </w:r>
          </w:p>
        </w:tc>
        <w:tc>
          <w:tcPr>
            <w:tcW w:w="3491" w:type="pct"/>
          </w:tcPr>
          <w:p w14:paraId="1A2720EB" w14:textId="77777777" w:rsidR="00BC2F05" w:rsidRPr="00A11F8D" w:rsidRDefault="00772FB6" w:rsidP="00976665">
            <w:pPr>
              <w:pStyle w:val="TableText"/>
            </w:pPr>
            <w:r w:rsidRPr="00A11F8D">
              <w:t>Any means that allows the entry or spread of a pest</w:t>
            </w:r>
            <w:r>
              <w:t xml:space="preserve"> </w:t>
            </w:r>
            <w:r>
              <w:rPr>
                <w:noProof/>
              </w:rPr>
              <w:t>(FAO 2022)</w:t>
            </w:r>
            <w:r w:rsidRPr="00A11F8D">
              <w:t>.</w:t>
            </w:r>
          </w:p>
        </w:tc>
      </w:tr>
      <w:tr w:rsidR="00C80041" w14:paraId="3B3952FB" w14:textId="77777777" w:rsidTr="00976665">
        <w:tc>
          <w:tcPr>
            <w:tcW w:w="1509" w:type="pct"/>
          </w:tcPr>
          <w:p w14:paraId="650DE877" w14:textId="77777777" w:rsidR="00BC2F05" w:rsidRPr="00A11F8D" w:rsidRDefault="00772FB6" w:rsidP="00976665">
            <w:pPr>
              <w:pStyle w:val="TableText"/>
            </w:pPr>
            <w:r w:rsidRPr="00A11F8D">
              <w:t>Pest</w:t>
            </w:r>
          </w:p>
        </w:tc>
        <w:tc>
          <w:tcPr>
            <w:tcW w:w="3491" w:type="pct"/>
          </w:tcPr>
          <w:p w14:paraId="619C10B1" w14:textId="77777777" w:rsidR="00BC2F05" w:rsidRPr="00A11F8D" w:rsidRDefault="00772FB6" w:rsidP="00976665">
            <w:pPr>
              <w:pStyle w:val="TableText"/>
            </w:pPr>
            <w:r w:rsidRPr="00A11F8D">
              <w:t>Any species, strain or biotype of plant, animal, or pathogenic agent injurious to plants or plant products</w:t>
            </w:r>
            <w:r>
              <w:t xml:space="preserve"> </w:t>
            </w:r>
            <w:r>
              <w:rPr>
                <w:noProof/>
              </w:rPr>
              <w:t>(FAO 2022)</w:t>
            </w:r>
            <w:r w:rsidRPr="00A11F8D">
              <w:t>.</w:t>
            </w:r>
          </w:p>
        </w:tc>
      </w:tr>
      <w:tr w:rsidR="00C80041" w14:paraId="0730FA98" w14:textId="77777777" w:rsidTr="00976665">
        <w:tc>
          <w:tcPr>
            <w:tcW w:w="1509" w:type="pct"/>
          </w:tcPr>
          <w:p w14:paraId="21314A9E" w14:textId="77777777" w:rsidR="00BC2F05" w:rsidRPr="00A11F8D" w:rsidRDefault="00772FB6" w:rsidP="00976665">
            <w:pPr>
              <w:pStyle w:val="TableText"/>
            </w:pPr>
            <w:r w:rsidRPr="00A11F8D">
              <w:t>Pest categorisation</w:t>
            </w:r>
          </w:p>
        </w:tc>
        <w:tc>
          <w:tcPr>
            <w:tcW w:w="3491" w:type="pct"/>
          </w:tcPr>
          <w:p w14:paraId="7B08444B" w14:textId="77777777" w:rsidR="00BC2F05" w:rsidRPr="00A11F8D" w:rsidRDefault="00772FB6" w:rsidP="00976665">
            <w:pPr>
              <w:pStyle w:val="TableText"/>
            </w:pPr>
            <w:r w:rsidRPr="00A11F8D">
              <w:t>The process for determining whether a pest has or has not the characteristics of a quarantine pest or those of a regulated non-quarantine pest</w:t>
            </w:r>
            <w:r>
              <w:t xml:space="preserve"> </w:t>
            </w:r>
            <w:r>
              <w:rPr>
                <w:noProof/>
              </w:rPr>
              <w:t>(FAO 2022)</w:t>
            </w:r>
            <w:r w:rsidRPr="00A11F8D">
              <w:t>.</w:t>
            </w:r>
          </w:p>
        </w:tc>
      </w:tr>
      <w:tr w:rsidR="00C80041" w14:paraId="1D316D7A" w14:textId="77777777" w:rsidTr="00976665">
        <w:tc>
          <w:tcPr>
            <w:tcW w:w="1509" w:type="pct"/>
          </w:tcPr>
          <w:p w14:paraId="7D0A4ABE" w14:textId="77777777" w:rsidR="00BC2F05" w:rsidRPr="00A11F8D" w:rsidRDefault="00772FB6" w:rsidP="00976665">
            <w:pPr>
              <w:pStyle w:val="TableText"/>
            </w:pPr>
            <w:r w:rsidRPr="00A11F8D">
              <w:lastRenderedPageBreak/>
              <w:t>Pest free area (PFA)</w:t>
            </w:r>
          </w:p>
        </w:tc>
        <w:tc>
          <w:tcPr>
            <w:tcW w:w="3491" w:type="pct"/>
          </w:tcPr>
          <w:p w14:paraId="0EE25DB4" w14:textId="77777777" w:rsidR="00BC2F05" w:rsidRPr="00A11F8D" w:rsidRDefault="00772FB6" w:rsidP="00976665">
            <w:pPr>
              <w:pStyle w:val="TableText"/>
            </w:pPr>
            <w:r w:rsidRPr="00A11F8D">
              <w:t>An area in which a specific pest does not occur as demonstrated by scientific evidence and in which, where appropriate, this condition is being officially maintained</w:t>
            </w:r>
            <w:r>
              <w:t xml:space="preserve"> </w:t>
            </w:r>
            <w:r>
              <w:rPr>
                <w:noProof/>
              </w:rPr>
              <w:t>(FAO 2022)</w:t>
            </w:r>
            <w:r w:rsidRPr="00A11F8D">
              <w:t>.</w:t>
            </w:r>
          </w:p>
        </w:tc>
      </w:tr>
      <w:tr w:rsidR="00C80041" w14:paraId="28D0E23A" w14:textId="77777777" w:rsidTr="00976665">
        <w:tc>
          <w:tcPr>
            <w:tcW w:w="1509" w:type="pct"/>
          </w:tcPr>
          <w:p w14:paraId="0C41A5CF" w14:textId="77777777" w:rsidR="00BC2F05" w:rsidRPr="00A11F8D" w:rsidRDefault="00772FB6" w:rsidP="00976665">
            <w:pPr>
              <w:pStyle w:val="TableText"/>
            </w:pPr>
            <w:r w:rsidRPr="00A11F8D">
              <w:t>Pest free place of production</w:t>
            </w:r>
            <w:r>
              <w:t xml:space="preserve"> (PFPP)</w:t>
            </w:r>
          </w:p>
        </w:tc>
        <w:tc>
          <w:tcPr>
            <w:tcW w:w="3491" w:type="pct"/>
          </w:tcPr>
          <w:p w14:paraId="4D82AA6C" w14:textId="77777777" w:rsidR="00BC2F05" w:rsidRPr="00A11F8D" w:rsidRDefault="00772FB6" w:rsidP="00976665">
            <w:pPr>
              <w:pStyle w:val="TableText"/>
            </w:pPr>
            <w:r w:rsidRPr="00A11F8D">
              <w:t>Place of production in which a specific pest does not occur as demonstrated by scientific evidence and in which, where appropriate, this condition is being officially maintained for a defined period</w:t>
            </w:r>
            <w:r>
              <w:t xml:space="preserve"> </w:t>
            </w:r>
            <w:r>
              <w:rPr>
                <w:noProof/>
              </w:rPr>
              <w:t>(FAO 2022)</w:t>
            </w:r>
            <w:r w:rsidRPr="00A11F8D">
              <w:t>.</w:t>
            </w:r>
          </w:p>
        </w:tc>
      </w:tr>
      <w:tr w:rsidR="00C80041" w14:paraId="00ADD9C8" w14:textId="77777777" w:rsidTr="00976665">
        <w:tc>
          <w:tcPr>
            <w:tcW w:w="1509" w:type="pct"/>
          </w:tcPr>
          <w:p w14:paraId="7083A19C" w14:textId="77777777" w:rsidR="00BC2F05" w:rsidRPr="00A11F8D" w:rsidRDefault="00772FB6" w:rsidP="00976665">
            <w:pPr>
              <w:pStyle w:val="TableText"/>
            </w:pPr>
            <w:r w:rsidRPr="00A11F8D">
              <w:t>Pest free production site</w:t>
            </w:r>
            <w:r>
              <w:t xml:space="preserve"> (PFPS)</w:t>
            </w:r>
          </w:p>
        </w:tc>
        <w:tc>
          <w:tcPr>
            <w:tcW w:w="3491" w:type="pct"/>
          </w:tcPr>
          <w:p w14:paraId="04DBD603" w14:textId="77777777" w:rsidR="00BC2F05" w:rsidRPr="00A11F8D" w:rsidRDefault="00772FB6" w:rsidP="00976665">
            <w:pPr>
              <w:pStyle w:val="TableText"/>
            </w:pPr>
            <w:r>
              <w:t>A production site in which a specific pest is absent, as demonstrated by scientific evidence, and in which, where appropriate, this condition is being officially maintained for a defined period</w:t>
            </w:r>
            <w:r w:rsidRPr="00A11F8D">
              <w:t xml:space="preserve"> </w:t>
            </w:r>
            <w:r>
              <w:rPr>
                <w:noProof/>
              </w:rPr>
              <w:t>(FAO 2022)</w:t>
            </w:r>
            <w:r>
              <w:t>.</w:t>
            </w:r>
          </w:p>
        </w:tc>
      </w:tr>
      <w:tr w:rsidR="00C80041" w14:paraId="08B9E8BD" w14:textId="77777777" w:rsidTr="00976665">
        <w:tc>
          <w:tcPr>
            <w:tcW w:w="1509" w:type="pct"/>
          </w:tcPr>
          <w:p w14:paraId="288872F9" w14:textId="77777777" w:rsidR="00BC2F05" w:rsidRPr="00A11F8D" w:rsidRDefault="00772FB6" w:rsidP="00976665">
            <w:pPr>
              <w:pStyle w:val="TableText"/>
            </w:pPr>
            <w:r w:rsidRPr="00A11F8D">
              <w:t>Pest risk analysis (PRA)</w:t>
            </w:r>
          </w:p>
        </w:tc>
        <w:tc>
          <w:tcPr>
            <w:tcW w:w="3491" w:type="pct"/>
          </w:tcPr>
          <w:p w14:paraId="15AF7F78" w14:textId="77777777" w:rsidR="00BC2F05" w:rsidRPr="00A11F8D" w:rsidRDefault="00772FB6" w:rsidP="00976665">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Pr>
                <w:noProof/>
              </w:rPr>
              <w:t>(FAO 2022)</w:t>
            </w:r>
            <w:r w:rsidRPr="00A11F8D">
              <w:t>.</w:t>
            </w:r>
          </w:p>
        </w:tc>
      </w:tr>
      <w:tr w:rsidR="00C80041" w14:paraId="506F2B40" w14:textId="77777777" w:rsidTr="00976665">
        <w:tc>
          <w:tcPr>
            <w:tcW w:w="1509" w:type="pct"/>
          </w:tcPr>
          <w:p w14:paraId="5F225717" w14:textId="77777777" w:rsidR="00BC2F05" w:rsidRPr="00A11F8D" w:rsidRDefault="00772FB6" w:rsidP="00976665">
            <w:pPr>
              <w:pStyle w:val="TableText"/>
            </w:pPr>
            <w:r w:rsidRPr="00A11F8D">
              <w:t>Pest risk assessment (for quarantine pests)</w:t>
            </w:r>
          </w:p>
        </w:tc>
        <w:tc>
          <w:tcPr>
            <w:tcW w:w="3491" w:type="pct"/>
          </w:tcPr>
          <w:p w14:paraId="4373E6EF" w14:textId="77777777" w:rsidR="00BC2F05" w:rsidRPr="00A11F8D" w:rsidRDefault="00772FB6" w:rsidP="00976665">
            <w:pPr>
              <w:pStyle w:val="TableText"/>
            </w:pPr>
            <w:r w:rsidRPr="00A11F8D">
              <w:t>Evaluation of the probability of the introduction and spread of a pest and of the magnitude of the associated potential economic consequences</w:t>
            </w:r>
            <w:r>
              <w:t xml:space="preserve"> </w:t>
            </w:r>
            <w:r>
              <w:rPr>
                <w:noProof/>
              </w:rPr>
              <w:t>(FAO 2022)</w:t>
            </w:r>
            <w:r w:rsidRPr="00A11F8D">
              <w:t>.</w:t>
            </w:r>
          </w:p>
        </w:tc>
      </w:tr>
      <w:tr w:rsidR="00C80041" w14:paraId="2A6012A0" w14:textId="77777777" w:rsidTr="00976665">
        <w:tc>
          <w:tcPr>
            <w:tcW w:w="1509" w:type="pct"/>
          </w:tcPr>
          <w:p w14:paraId="53DB1A94" w14:textId="77777777" w:rsidR="00BC2F05" w:rsidRPr="00A11F8D" w:rsidRDefault="00772FB6" w:rsidP="00976665">
            <w:pPr>
              <w:pStyle w:val="TableText"/>
            </w:pPr>
            <w:r w:rsidRPr="00A11F8D">
              <w:t>Pest risk assessment (for regulated non-quarantine pests)</w:t>
            </w:r>
          </w:p>
        </w:tc>
        <w:tc>
          <w:tcPr>
            <w:tcW w:w="3491" w:type="pct"/>
          </w:tcPr>
          <w:p w14:paraId="179781ED" w14:textId="77777777" w:rsidR="00BC2F05" w:rsidRPr="00A11F8D" w:rsidRDefault="00772FB6" w:rsidP="00976665">
            <w:pPr>
              <w:pStyle w:val="TableText"/>
            </w:pPr>
            <w:r w:rsidRPr="00A11F8D">
              <w:t>Evaluation of the probability that a pest in pla</w:t>
            </w:r>
            <w:r>
              <w:t>nts for planting affects the intend</w:t>
            </w:r>
            <w:r w:rsidRPr="00A11F8D">
              <w:t>ed use of those plants with an economically unacceptable impact</w:t>
            </w:r>
            <w:r>
              <w:t xml:space="preserve"> </w:t>
            </w:r>
            <w:r>
              <w:rPr>
                <w:noProof/>
              </w:rPr>
              <w:t>(FAO 2022)</w:t>
            </w:r>
            <w:r w:rsidRPr="00A11F8D">
              <w:t>.</w:t>
            </w:r>
          </w:p>
        </w:tc>
      </w:tr>
      <w:tr w:rsidR="00C80041" w14:paraId="3D895533" w14:textId="77777777" w:rsidTr="00976665">
        <w:tc>
          <w:tcPr>
            <w:tcW w:w="1509" w:type="pct"/>
          </w:tcPr>
          <w:p w14:paraId="42B76070" w14:textId="77777777" w:rsidR="00BC2F05" w:rsidRPr="00A11F8D" w:rsidRDefault="00772FB6" w:rsidP="00976665">
            <w:pPr>
              <w:pStyle w:val="TableText"/>
            </w:pPr>
            <w:r w:rsidRPr="00A11F8D">
              <w:t>Pest risk management (for quarantine pests)</w:t>
            </w:r>
          </w:p>
        </w:tc>
        <w:tc>
          <w:tcPr>
            <w:tcW w:w="3491" w:type="pct"/>
          </w:tcPr>
          <w:p w14:paraId="0FFB7A23" w14:textId="77777777" w:rsidR="00BC2F05" w:rsidRPr="00A11F8D" w:rsidRDefault="00772FB6" w:rsidP="00976665">
            <w:pPr>
              <w:pStyle w:val="TableText"/>
            </w:pPr>
            <w:r w:rsidRPr="00A11F8D">
              <w:t>Evaluation and selection of options to reduce the risk of introduction and spread of a pest</w:t>
            </w:r>
            <w:r>
              <w:t xml:space="preserve"> </w:t>
            </w:r>
            <w:r>
              <w:rPr>
                <w:noProof/>
              </w:rPr>
              <w:t>(FAO 2022)</w:t>
            </w:r>
            <w:r w:rsidRPr="00A11F8D">
              <w:t>.</w:t>
            </w:r>
          </w:p>
        </w:tc>
      </w:tr>
      <w:tr w:rsidR="00C80041" w14:paraId="342FF696" w14:textId="77777777" w:rsidTr="00976665">
        <w:tc>
          <w:tcPr>
            <w:tcW w:w="1509" w:type="pct"/>
          </w:tcPr>
          <w:p w14:paraId="5896601D" w14:textId="77777777" w:rsidR="00BC2F05" w:rsidRPr="00A11F8D" w:rsidRDefault="00772FB6" w:rsidP="00976665">
            <w:pPr>
              <w:pStyle w:val="TableText"/>
            </w:pPr>
            <w:r w:rsidRPr="00A11F8D">
              <w:t>Pest risk management (for regulated non-quarantine pests)</w:t>
            </w:r>
          </w:p>
        </w:tc>
        <w:tc>
          <w:tcPr>
            <w:tcW w:w="3491" w:type="pct"/>
          </w:tcPr>
          <w:p w14:paraId="1BF22988" w14:textId="77777777" w:rsidR="00BC2F05" w:rsidRPr="00A11F8D" w:rsidRDefault="00772FB6" w:rsidP="00976665">
            <w:pPr>
              <w:pStyle w:val="TableText"/>
            </w:pPr>
            <w:r w:rsidRPr="00A11F8D">
              <w:t>Evaluation and selection of options to reduce the risk that a pest in plants for planting causes an economically unacceptable impact on the intended use of those plants</w:t>
            </w:r>
            <w:r>
              <w:t xml:space="preserve"> </w:t>
            </w:r>
            <w:r>
              <w:rPr>
                <w:noProof/>
              </w:rPr>
              <w:t>(FAO 2022)</w:t>
            </w:r>
            <w:r w:rsidRPr="00A11F8D">
              <w:t>.</w:t>
            </w:r>
          </w:p>
        </w:tc>
      </w:tr>
      <w:tr w:rsidR="00C80041" w14:paraId="527DE417" w14:textId="77777777" w:rsidTr="00976665">
        <w:tc>
          <w:tcPr>
            <w:tcW w:w="1509" w:type="pct"/>
          </w:tcPr>
          <w:p w14:paraId="2F13AA77" w14:textId="77777777" w:rsidR="00BC2F05" w:rsidRPr="00A11F8D" w:rsidRDefault="00772FB6" w:rsidP="00976665">
            <w:pPr>
              <w:pStyle w:val="TableText"/>
            </w:pPr>
            <w:r w:rsidRPr="00A11F8D">
              <w:t>Pest status (in an area)</w:t>
            </w:r>
          </w:p>
        </w:tc>
        <w:tc>
          <w:tcPr>
            <w:tcW w:w="3491" w:type="pct"/>
          </w:tcPr>
          <w:p w14:paraId="207F6622" w14:textId="77777777" w:rsidR="00BC2F05" w:rsidRPr="00A11F8D" w:rsidRDefault="00772FB6" w:rsidP="00976665">
            <w:pPr>
              <w:pStyle w:val="TableText"/>
            </w:pPr>
            <w:r w:rsidRPr="00A11F8D">
              <w:t xml:space="preserve">Presence or absence, at the present time, of a pest in an area, including where appropriate its distribution, as officially determined using expert judgement </w:t>
            </w:r>
            <w:proofErr w:type="gramStart"/>
            <w:r w:rsidRPr="00A11F8D">
              <w:t>on the basis of</w:t>
            </w:r>
            <w:proofErr w:type="gramEnd"/>
            <w:r w:rsidRPr="00A11F8D">
              <w:t xml:space="preserve"> current and historical pest records and other information</w:t>
            </w:r>
            <w:r>
              <w:t xml:space="preserve"> </w:t>
            </w:r>
            <w:r>
              <w:rPr>
                <w:noProof/>
              </w:rPr>
              <w:t>(FAO 2022)</w:t>
            </w:r>
            <w:r w:rsidRPr="00A11F8D">
              <w:t>.</w:t>
            </w:r>
          </w:p>
        </w:tc>
      </w:tr>
      <w:tr w:rsidR="00C80041" w14:paraId="02630886" w14:textId="77777777" w:rsidTr="00976665">
        <w:tc>
          <w:tcPr>
            <w:tcW w:w="1509" w:type="pct"/>
          </w:tcPr>
          <w:p w14:paraId="42A439F8" w14:textId="77777777" w:rsidR="00BC2F05" w:rsidRPr="00A11F8D" w:rsidRDefault="00772FB6" w:rsidP="00976665">
            <w:pPr>
              <w:pStyle w:val="TableText"/>
            </w:pPr>
            <w:r w:rsidRPr="00A11F8D">
              <w:t>Phytosanitary certificate</w:t>
            </w:r>
          </w:p>
        </w:tc>
        <w:tc>
          <w:tcPr>
            <w:tcW w:w="3491" w:type="pct"/>
          </w:tcPr>
          <w:p w14:paraId="3150C359" w14:textId="77777777" w:rsidR="00BC2F05" w:rsidRPr="00A11F8D" w:rsidRDefault="00772FB6" w:rsidP="00976665">
            <w:pPr>
              <w:pStyle w:val="TableText"/>
            </w:pPr>
            <w:r w:rsidRPr="00A11F8D">
              <w:t>An official paper document or its official electronic equivalent, consistent with the model of certificates of the IPPC, attesting that a consignment meets phytosanitary import requirements</w:t>
            </w:r>
            <w:r>
              <w:t xml:space="preserve"> </w:t>
            </w:r>
            <w:r>
              <w:rPr>
                <w:noProof/>
              </w:rPr>
              <w:t>(FAO 2022)</w:t>
            </w:r>
            <w:r w:rsidRPr="00A11F8D">
              <w:t>.</w:t>
            </w:r>
          </w:p>
        </w:tc>
      </w:tr>
      <w:tr w:rsidR="00C80041" w14:paraId="74587A1C" w14:textId="77777777" w:rsidTr="00976665">
        <w:tc>
          <w:tcPr>
            <w:tcW w:w="1509" w:type="pct"/>
          </w:tcPr>
          <w:p w14:paraId="2C4AB254" w14:textId="77777777" w:rsidR="00BC2F05" w:rsidRPr="00A11F8D" w:rsidRDefault="00772FB6" w:rsidP="00976665">
            <w:pPr>
              <w:pStyle w:val="TableText"/>
            </w:pPr>
            <w:r w:rsidRPr="00A11F8D">
              <w:t>Phytosanitary certification</w:t>
            </w:r>
          </w:p>
        </w:tc>
        <w:tc>
          <w:tcPr>
            <w:tcW w:w="3491" w:type="pct"/>
          </w:tcPr>
          <w:p w14:paraId="48A81C74" w14:textId="77777777" w:rsidR="00BC2F05" w:rsidRPr="00A11F8D" w:rsidRDefault="00772FB6" w:rsidP="00976665">
            <w:pPr>
              <w:pStyle w:val="TableText"/>
            </w:pPr>
            <w:r w:rsidRPr="00A11F8D">
              <w:t>Use of phytosanitary procedures leading to the issue of a phytosanitary certificate</w:t>
            </w:r>
            <w:r>
              <w:t xml:space="preserve"> </w:t>
            </w:r>
            <w:r>
              <w:rPr>
                <w:noProof/>
              </w:rPr>
              <w:t>(FAO 2022)</w:t>
            </w:r>
            <w:r w:rsidRPr="00A11F8D">
              <w:t>.</w:t>
            </w:r>
          </w:p>
        </w:tc>
      </w:tr>
      <w:tr w:rsidR="00C80041" w14:paraId="43282C93" w14:textId="77777777" w:rsidTr="00976665">
        <w:tc>
          <w:tcPr>
            <w:tcW w:w="1509" w:type="pct"/>
          </w:tcPr>
          <w:p w14:paraId="01517A90" w14:textId="77777777" w:rsidR="00BC2F05" w:rsidRPr="00A11F8D" w:rsidRDefault="00772FB6" w:rsidP="00976665">
            <w:pPr>
              <w:pStyle w:val="TableText"/>
            </w:pPr>
            <w:r w:rsidRPr="00A11F8D">
              <w:t>Phytosanitary measure</w:t>
            </w:r>
          </w:p>
        </w:tc>
        <w:tc>
          <w:tcPr>
            <w:tcW w:w="3491" w:type="pct"/>
          </w:tcPr>
          <w:p w14:paraId="2DD7997D" w14:textId="77777777" w:rsidR="00BC2F05" w:rsidRPr="00A11F8D" w:rsidRDefault="00772FB6" w:rsidP="00976665">
            <w:pPr>
              <w:pStyle w:val="TableText"/>
            </w:pPr>
            <w:r>
              <w:t xml:space="preserve">Phytosanitary relates to the health of plants. </w:t>
            </w:r>
            <w:r w:rsidRPr="00A11F8D">
              <w:t>Any legislation, regulation or official procedure having the purpose to prevent the introduction and/or spread of quarantine pests, or to limit the economic impact of regulated non-quarantine pests</w:t>
            </w:r>
            <w:r>
              <w:t xml:space="preserve"> </w:t>
            </w:r>
            <w:r>
              <w:rPr>
                <w:noProof/>
              </w:rPr>
              <w:t>(FAO 2022)</w:t>
            </w:r>
            <w:r w:rsidRPr="00A11F8D">
              <w:t>.</w:t>
            </w:r>
            <w:r>
              <w:t xml:space="preserve"> In this risk analysis the term ‘phytosanitary measure’ and ‘risk management measure’ may be used interchangeably. </w:t>
            </w:r>
          </w:p>
        </w:tc>
      </w:tr>
      <w:tr w:rsidR="00C80041" w14:paraId="5F2FB349" w14:textId="77777777" w:rsidTr="00976665">
        <w:tc>
          <w:tcPr>
            <w:tcW w:w="1509" w:type="pct"/>
          </w:tcPr>
          <w:p w14:paraId="7742D269" w14:textId="77777777" w:rsidR="00BC2F05" w:rsidRPr="00A11F8D" w:rsidRDefault="00772FB6" w:rsidP="00976665">
            <w:pPr>
              <w:pStyle w:val="TableText"/>
            </w:pPr>
            <w:r w:rsidRPr="00A11F8D">
              <w:t>Phytosanitary procedure</w:t>
            </w:r>
          </w:p>
        </w:tc>
        <w:tc>
          <w:tcPr>
            <w:tcW w:w="3491" w:type="pct"/>
          </w:tcPr>
          <w:p w14:paraId="598F07EB" w14:textId="77777777" w:rsidR="00BC2F05" w:rsidRPr="00A11F8D" w:rsidRDefault="00772FB6" w:rsidP="00976665">
            <w:pPr>
              <w:pStyle w:val="TableText"/>
            </w:pPr>
            <w:r w:rsidRPr="00A11F8D">
              <w:t xml:space="preserve">Any official method for implementing phytosanitary measures including the performance of inspections, tests, </w:t>
            </w:r>
            <w:proofErr w:type="gramStart"/>
            <w:r w:rsidRPr="00A11F8D">
              <w:t>surveillance</w:t>
            </w:r>
            <w:proofErr w:type="gramEnd"/>
            <w:r w:rsidRPr="00A11F8D">
              <w:t xml:space="preserve"> or treatments in connection with regulated pests</w:t>
            </w:r>
            <w:r>
              <w:t xml:space="preserve"> </w:t>
            </w:r>
            <w:r>
              <w:rPr>
                <w:noProof/>
              </w:rPr>
              <w:t>(FAO 2022)</w:t>
            </w:r>
            <w:r w:rsidRPr="00A11F8D">
              <w:t>.</w:t>
            </w:r>
          </w:p>
        </w:tc>
      </w:tr>
      <w:tr w:rsidR="00C80041" w14:paraId="2477F71C" w14:textId="77777777" w:rsidTr="00976665">
        <w:tc>
          <w:tcPr>
            <w:tcW w:w="1509" w:type="pct"/>
          </w:tcPr>
          <w:p w14:paraId="43FDED75" w14:textId="77777777" w:rsidR="00BC2F05" w:rsidRPr="00A11F8D" w:rsidRDefault="00772FB6" w:rsidP="00976665">
            <w:pPr>
              <w:pStyle w:val="TableText"/>
            </w:pPr>
            <w:r w:rsidRPr="00A11F8D">
              <w:t>Phytosanitary regulation</w:t>
            </w:r>
          </w:p>
        </w:tc>
        <w:tc>
          <w:tcPr>
            <w:tcW w:w="3491" w:type="pct"/>
          </w:tcPr>
          <w:p w14:paraId="7F8B7798" w14:textId="77777777" w:rsidR="00BC2F05" w:rsidRPr="00A11F8D" w:rsidRDefault="00772FB6" w:rsidP="00976665">
            <w:pPr>
              <w:pStyle w:val="TableText"/>
            </w:pPr>
            <w:r w:rsidRPr="00A11F8D">
              <w:t>Official rule to prevent the introduction and/or spread of quarantine pests, or to limit the economic impact of regulated non-quarantine pests, including establishment of procedures for phytosanitary certification</w:t>
            </w:r>
            <w:r>
              <w:t xml:space="preserve"> </w:t>
            </w:r>
            <w:r>
              <w:rPr>
                <w:noProof/>
              </w:rPr>
              <w:t>(FAO 2022)</w:t>
            </w:r>
            <w:r w:rsidRPr="00A11F8D">
              <w:t>.</w:t>
            </w:r>
          </w:p>
        </w:tc>
      </w:tr>
      <w:tr w:rsidR="00C80041" w14:paraId="6B6A5917" w14:textId="77777777" w:rsidTr="00976665">
        <w:tc>
          <w:tcPr>
            <w:tcW w:w="1509" w:type="pct"/>
          </w:tcPr>
          <w:p w14:paraId="294FAE70" w14:textId="77777777" w:rsidR="00BC2F05" w:rsidRPr="00A11F8D" w:rsidRDefault="00772FB6" w:rsidP="00976665">
            <w:pPr>
              <w:pStyle w:val="TableText"/>
            </w:pPr>
            <w:r w:rsidRPr="00A11F8D">
              <w:t>Polyphagous</w:t>
            </w:r>
          </w:p>
        </w:tc>
        <w:tc>
          <w:tcPr>
            <w:tcW w:w="3491" w:type="pct"/>
          </w:tcPr>
          <w:p w14:paraId="70E3BA2E" w14:textId="77777777" w:rsidR="00BC2F05" w:rsidRPr="00A11F8D" w:rsidRDefault="00772FB6" w:rsidP="00976665">
            <w:pPr>
              <w:pStyle w:val="TableText"/>
            </w:pPr>
            <w:r w:rsidRPr="00A11F8D">
              <w:t>Feeding on a relatively large number of hosts from different plant family and/or genera.</w:t>
            </w:r>
          </w:p>
        </w:tc>
      </w:tr>
      <w:tr w:rsidR="00C80041" w14:paraId="64AAF73B" w14:textId="77777777" w:rsidTr="00976665">
        <w:tc>
          <w:tcPr>
            <w:tcW w:w="1509" w:type="pct"/>
          </w:tcPr>
          <w:p w14:paraId="69E8B439" w14:textId="77777777" w:rsidR="00BC2F05" w:rsidRPr="00A11F8D" w:rsidRDefault="00772FB6" w:rsidP="00976665">
            <w:pPr>
              <w:pStyle w:val="TableText"/>
            </w:pPr>
            <w:r w:rsidRPr="00A11F8D">
              <w:t>PRA area</w:t>
            </w:r>
          </w:p>
        </w:tc>
        <w:tc>
          <w:tcPr>
            <w:tcW w:w="3491" w:type="pct"/>
          </w:tcPr>
          <w:p w14:paraId="1F56EC10" w14:textId="77777777" w:rsidR="00BC2F05" w:rsidRPr="00A11F8D" w:rsidRDefault="00772FB6" w:rsidP="00976665">
            <w:pPr>
              <w:pStyle w:val="TableText"/>
            </w:pPr>
            <w:r w:rsidRPr="00A11F8D">
              <w:t>Area in relation to which a pest risk analysis is conducted</w:t>
            </w:r>
            <w:r>
              <w:t xml:space="preserve"> </w:t>
            </w:r>
            <w:r>
              <w:rPr>
                <w:noProof/>
              </w:rPr>
              <w:t>(FAO 2022)</w:t>
            </w:r>
            <w:r w:rsidRPr="00A11F8D">
              <w:t>.</w:t>
            </w:r>
          </w:p>
        </w:tc>
      </w:tr>
      <w:tr w:rsidR="00C80041" w14:paraId="5E2D21E6" w14:textId="77777777" w:rsidTr="00976665">
        <w:tc>
          <w:tcPr>
            <w:tcW w:w="1509" w:type="pct"/>
          </w:tcPr>
          <w:p w14:paraId="0DDB6EF9" w14:textId="77777777" w:rsidR="00BC2F05" w:rsidRPr="00A11F8D" w:rsidRDefault="00772FB6" w:rsidP="00976665">
            <w:pPr>
              <w:pStyle w:val="TableText"/>
            </w:pPr>
            <w:r w:rsidRPr="00A11F8D">
              <w:t>Production site</w:t>
            </w:r>
          </w:p>
        </w:tc>
        <w:tc>
          <w:tcPr>
            <w:tcW w:w="3491" w:type="pct"/>
          </w:tcPr>
          <w:p w14:paraId="363D0672" w14:textId="77777777" w:rsidR="00BC2F05" w:rsidRPr="00A11F8D" w:rsidRDefault="00772FB6" w:rsidP="00976665">
            <w:pPr>
              <w:pStyle w:val="TableText"/>
            </w:pPr>
            <w:r w:rsidRPr="00A11F8D">
              <w:t xml:space="preserve">In this report, a production site is a continuous planting of </w:t>
            </w:r>
            <w:r>
              <w:t xml:space="preserve">dragon fruit plants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C80041" w14:paraId="60F80271" w14:textId="77777777" w:rsidTr="00976665">
        <w:tc>
          <w:tcPr>
            <w:tcW w:w="1509" w:type="pct"/>
          </w:tcPr>
          <w:p w14:paraId="047A5045" w14:textId="77777777" w:rsidR="00BC2F05" w:rsidRPr="00A11F8D" w:rsidRDefault="00772FB6" w:rsidP="00976665">
            <w:pPr>
              <w:pStyle w:val="TableText"/>
            </w:pPr>
            <w:r>
              <w:t>Qld</w:t>
            </w:r>
          </w:p>
        </w:tc>
        <w:tc>
          <w:tcPr>
            <w:tcW w:w="3491" w:type="pct"/>
          </w:tcPr>
          <w:p w14:paraId="63662721" w14:textId="77777777" w:rsidR="00BC2F05" w:rsidRPr="00A11F8D" w:rsidRDefault="00772FB6" w:rsidP="00976665">
            <w:pPr>
              <w:pStyle w:val="TableText"/>
            </w:pPr>
            <w:r>
              <w:t>The state of Queensland in Australia.</w:t>
            </w:r>
          </w:p>
        </w:tc>
      </w:tr>
      <w:tr w:rsidR="00C80041" w14:paraId="53CB3D2B" w14:textId="77777777" w:rsidTr="00976665">
        <w:tc>
          <w:tcPr>
            <w:tcW w:w="1509" w:type="pct"/>
          </w:tcPr>
          <w:p w14:paraId="258280A5" w14:textId="77777777" w:rsidR="00BC2F05" w:rsidRPr="00A11F8D" w:rsidRDefault="00772FB6" w:rsidP="00976665">
            <w:pPr>
              <w:pStyle w:val="TableText"/>
            </w:pPr>
            <w:r w:rsidRPr="00A11F8D">
              <w:lastRenderedPageBreak/>
              <w:t>Quarantine</w:t>
            </w:r>
          </w:p>
        </w:tc>
        <w:tc>
          <w:tcPr>
            <w:tcW w:w="3491" w:type="pct"/>
          </w:tcPr>
          <w:p w14:paraId="1A8DFA62" w14:textId="77777777" w:rsidR="00BC2F05" w:rsidRPr="00A11F8D" w:rsidRDefault="00772FB6" w:rsidP="00976665">
            <w:pPr>
              <w:pStyle w:val="TableText"/>
            </w:pPr>
            <w:r w:rsidRPr="00A11F8D">
              <w:t>Official confinement of regulated articles for observation and research or for further inspection, testing or treatment</w:t>
            </w:r>
            <w:r>
              <w:t xml:space="preserve"> </w:t>
            </w:r>
            <w:r>
              <w:rPr>
                <w:noProof/>
              </w:rPr>
              <w:t>(FAO 2022)</w:t>
            </w:r>
            <w:r w:rsidRPr="00A11F8D">
              <w:t>.</w:t>
            </w:r>
          </w:p>
        </w:tc>
      </w:tr>
      <w:tr w:rsidR="00C80041" w14:paraId="4E4ABAE4" w14:textId="77777777" w:rsidTr="00976665">
        <w:tc>
          <w:tcPr>
            <w:tcW w:w="1509" w:type="pct"/>
          </w:tcPr>
          <w:p w14:paraId="36F683F9" w14:textId="77777777" w:rsidR="00BC2F05" w:rsidRPr="00A11F8D" w:rsidRDefault="00772FB6" w:rsidP="00976665">
            <w:pPr>
              <w:pStyle w:val="TableText"/>
            </w:pPr>
            <w:r w:rsidRPr="00A11F8D">
              <w:t>Quarantine pest</w:t>
            </w:r>
          </w:p>
        </w:tc>
        <w:tc>
          <w:tcPr>
            <w:tcW w:w="3491" w:type="pct"/>
          </w:tcPr>
          <w:p w14:paraId="2A31A9C5" w14:textId="77777777" w:rsidR="00BC2F05" w:rsidRPr="00A11F8D" w:rsidRDefault="00772FB6" w:rsidP="00976665">
            <w:pPr>
              <w:pStyle w:val="TableText"/>
            </w:pPr>
            <w:r w:rsidRPr="00A11F8D">
              <w:t>A pest of potential economic importance to the area endangered thereby and not yet present there, or present but not widely distributed and being officially controlled</w:t>
            </w:r>
            <w:r>
              <w:t xml:space="preserve"> </w:t>
            </w:r>
            <w:r>
              <w:rPr>
                <w:noProof/>
              </w:rPr>
              <w:t>(FAO 2022)</w:t>
            </w:r>
            <w:r w:rsidRPr="00A11F8D">
              <w:t>.</w:t>
            </w:r>
          </w:p>
        </w:tc>
      </w:tr>
      <w:tr w:rsidR="00C80041" w14:paraId="65F087E1" w14:textId="77777777" w:rsidTr="00976665">
        <w:tc>
          <w:tcPr>
            <w:tcW w:w="1509" w:type="pct"/>
          </w:tcPr>
          <w:p w14:paraId="23F08BE1" w14:textId="77777777" w:rsidR="00BC2F05" w:rsidRPr="00A11F8D" w:rsidRDefault="00772FB6" w:rsidP="00976665">
            <w:pPr>
              <w:pStyle w:val="TableText"/>
            </w:pPr>
            <w:r w:rsidRPr="00A11F8D">
              <w:t>Regulated article</w:t>
            </w:r>
            <w:r>
              <w:t xml:space="preserve"> (RA)</w:t>
            </w:r>
          </w:p>
        </w:tc>
        <w:tc>
          <w:tcPr>
            <w:tcW w:w="3491" w:type="pct"/>
          </w:tcPr>
          <w:p w14:paraId="5E33026A" w14:textId="77777777" w:rsidR="00BC2F05" w:rsidRPr="00A11F8D" w:rsidRDefault="00772FB6" w:rsidP="00976665">
            <w:pPr>
              <w:pStyle w:val="TableText"/>
            </w:pPr>
            <w:r w:rsidRPr="00A11F8D">
              <w:t xml:space="preserve">Any plant, plant product, storage place, packaging, conveyance, container, soil and any other organism, </w:t>
            </w:r>
            <w:proofErr w:type="gramStart"/>
            <w:r w:rsidRPr="00A11F8D">
              <w:t>object</w:t>
            </w:r>
            <w:proofErr w:type="gramEnd"/>
            <w:r w:rsidRPr="00A11F8D">
              <w:t xml:space="preserve"> or material capable of harbouring or spreading pests, deemed to require phytosanitary measures, particularly where international transportation is involved</w:t>
            </w:r>
            <w:r>
              <w:t xml:space="preserve"> </w:t>
            </w:r>
            <w:r>
              <w:rPr>
                <w:noProof/>
              </w:rPr>
              <w:t>(FAO 2022)</w:t>
            </w:r>
            <w:r w:rsidRPr="00A11F8D">
              <w:t>.</w:t>
            </w:r>
          </w:p>
        </w:tc>
      </w:tr>
      <w:tr w:rsidR="00C80041" w14:paraId="6B7162C9" w14:textId="77777777" w:rsidTr="00976665">
        <w:tc>
          <w:tcPr>
            <w:tcW w:w="1509" w:type="pct"/>
          </w:tcPr>
          <w:p w14:paraId="5799A7BE" w14:textId="77777777" w:rsidR="00BC2F05" w:rsidRPr="00A11F8D" w:rsidRDefault="00772FB6" w:rsidP="00976665">
            <w:pPr>
              <w:pStyle w:val="TableText"/>
            </w:pPr>
            <w:r w:rsidRPr="00A11F8D">
              <w:t>Regulated non-quarantine pest</w:t>
            </w:r>
          </w:p>
        </w:tc>
        <w:tc>
          <w:tcPr>
            <w:tcW w:w="3491" w:type="pct"/>
          </w:tcPr>
          <w:p w14:paraId="3CC4F82B" w14:textId="77777777" w:rsidR="00BC2F05" w:rsidRPr="00A11F8D" w:rsidRDefault="00772FB6" w:rsidP="00976665">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t xml:space="preserve"> </w:t>
            </w:r>
            <w:r>
              <w:rPr>
                <w:noProof/>
              </w:rPr>
              <w:t>(FAO 2022)</w:t>
            </w:r>
            <w:r w:rsidRPr="00A11F8D">
              <w:t>.</w:t>
            </w:r>
          </w:p>
        </w:tc>
      </w:tr>
      <w:tr w:rsidR="00C80041" w14:paraId="69AE6B06" w14:textId="77777777" w:rsidTr="00976665">
        <w:tc>
          <w:tcPr>
            <w:tcW w:w="1509" w:type="pct"/>
          </w:tcPr>
          <w:p w14:paraId="77E798B3" w14:textId="77777777" w:rsidR="00BC2F05" w:rsidRPr="00A11F8D" w:rsidRDefault="00772FB6" w:rsidP="00976665">
            <w:pPr>
              <w:pStyle w:val="TableText"/>
            </w:pPr>
            <w:r w:rsidRPr="00A11F8D">
              <w:t>Regulated pest</w:t>
            </w:r>
          </w:p>
        </w:tc>
        <w:tc>
          <w:tcPr>
            <w:tcW w:w="3491" w:type="pct"/>
          </w:tcPr>
          <w:p w14:paraId="0ADA0996" w14:textId="77777777" w:rsidR="00BC2F05" w:rsidRPr="00A11F8D" w:rsidRDefault="00772FB6" w:rsidP="00976665">
            <w:pPr>
              <w:pStyle w:val="TableText"/>
            </w:pPr>
            <w:r w:rsidRPr="00A11F8D">
              <w:t>A quarantine pest or a regulated non-quarantine pest</w:t>
            </w:r>
            <w:r>
              <w:t xml:space="preserve"> </w:t>
            </w:r>
            <w:r>
              <w:rPr>
                <w:noProof/>
              </w:rPr>
              <w:t>(FAO 2022)</w:t>
            </w:r>
            <w:r w:rsidRPr="00A11F8D">
              <w:t>.</w:t>
            </w:r>
          </w:p>
        </w:tc>
      </w:tr>
      <w:tr w:rsidR="00C80041" w14:paraId="353604F4" w14:textId="77777777" w:rsidTr="00976665">
        <w:tc>
          <w:tcPr>
            <w:tcW w:w="1509" w:type="pct"/>
          </w:tcPr>
          <w:p w14:paraId="634CB379" w14:textId="77777777" w:rsidR="00BC2F05" w:rsidRPr="00A11F8D" w:rsidRDefault="00772FB6" w:rsidP="00976665">
            <w:pPr>
              <w:pStyle w:val="TableText"/>
            </w:pPr>
            <w:r w:rsidRPr="00A11F8D">
              <w:t>Restricted risk</w:t>
            </w:r>
          </w:p>
        </w:tc>
        <w:tc>
          <w:tcPr>
            <w:tcW w:w="3491" w:type="pct"/>
          </w:tcPr>
          <w:p w14:paraId="108E112F" w14:textId="77777777" w:rsidR="00BC2F05" w:rsidRPr="00A11F8D" w:rsidRDefault="00772FB6" w:rsidP="00976665">
            <w:pPr>
              <w:pStyle w:val="TableText"/>
            </w:pPr>
            <w:r>
              <w:t>Restricted risk is the r</w:t>
            </w:r>
            <w:r w:rsidRPr="00A11F8D">
              <w:t>isk estimate w</w:t>
            </w:r>
            <w:r>
              <w:t>hen risk management measures are applied</w:t>
            </w:r>
            <w:r w:rsidRPr="00A11F8D">
              <w:t>.</w:t>
            </w:r>
          </w:p>
        </w:tc>
      </w:tr>
      <w:tr w:rsidR="00C80041" w14:paraId="1F863218" w14:textId="77777777" w:rsidTr="00976665">
        <w:tc>
          <w:tcPr>
            <w:tcW w:w="1509" w:type="pct"/>
          </w:tcPr>
          <w:p w14:paraId="7468C60D" w14:textId="77777777" w:rsidR="00BC2F05" w:rsidRPr="00A11F8D" w:rsidRDefault="00772FB6" w:rsidP="00976665">
            <w:pPr>
              <w:pStyle w:val="TableText"/>
            </w:pPr>
            <w:r>
              <w:t>Risk analysis</w:t>
            </w:r>
          </w:p>
        </w:tc>
        <w:tc>
          <w:tcPr>
            <w:tcW w:w="3491" w:type="pct"/>
          </w:tcPr>
          <w:p w14:paraId="7282D083" w14:textId="77777777" w:rsidR="00BC2F05" w:rsidRPr="00A11F8D" w:rsidRDefault="00772FB6" w:rsidP="00976665">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C80041" w14:paraId="547B776A" w14:textId="77777777" w:rsidTr="00976665">
        <w:tc>
          <w:tcPr>
            <w:tcW w:w="1509" w:type="pct"/>
          </w:tcPr>
          <w:p w14:paraId="7A3C89F9" w14:textId="77777777" w:rsidR="00BC2F05" w:rsidRDefault="00772FB6" w:rsidP="00976665">
            <w:pPr>
              <w:pStyle w:val="TableText"/>
            </w:pPr>
            <w:r>
              <w:t>Risk management measure</w:t>
            </w:r>
          </w:p>
        </w:tc>
        <w:tc>
          <w:tcPr>
            <w:tcW w:w="3491" w:type="pct"/>
          </w:tcPr>
          <w:p w14:paraId="7F860BB1" w14:textId="77777777" w:rsidR="00BC2F05" w:rsidRDefault="00772FB6" w:rsidP="00976665">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C80041" w14:paraId="147222E5" w14:textId="77777777" w:rsidTr="00976665">
        <w:tc>
          <w:tcPr>
            <w:tcW w:w="1509" w:type="pct"/>
          </w:tcPr>
          <w:p w14:paraId="1FA10FED" w14:textId="77777777" w:rsidR="00BC2F05" w:rsidRDefault="00772FB6" w:rsidP="00976665">
            <w:pPr>
              <w:pStyle w:val="TableText"/>
            </w:pPr>
            <w:r>
              <w:t>SA</w:t>
            </w:r>
          </w:p>
        </w:tc>
        <w:tc>
          <w:tcPr>
            <w:tcW w:w="3491" w:type="pct"/>
          </w:tcPr>
          <w:p w14:paraId="00ECB897" w14:textId="77777777" w:rsidR="00BC2F05" w:rsidRDefault="00772FB6" w:rsidP="00976665">
            <w:pPr>
              <w:pStyle w:val="TableText"/>
            </w:pPr>
            <w:r>
              <w:t>The state of South Australia.</w:t>
            </w:r>
          </w:p>
        </w:tc>
      </w:tr>
      <w:tr w:rsidR="00C80041" w14:paraId="574343F9" w14:textId="77777777" w:rsidTr="00976665">
        <w:tc>
          <w:tcPr>
            <w:tcW w:w="1509" w:type="pct"/>
          </w:tcPr>
          <w:p w14:paraId="79B15AD8" w14:textId="77777777" w:rsidR="00BC2F05" w:rsidRPr="00A11F8D" w:rsidRDefault="00772FB6" w:rsidP="00976665">
            <w:pPr>
              <w:pStyle w:val="TableText"/>
            </w:pPr>
            <w:r w:rsidRPr="00A11F8D">
              <w:t>Spread (of a pest)</w:t>
            </w:r>
          </w:p>
        </w:tc>
        <w:tc>
          <w:tcPr>
            <w:tcW w:w="3491" w:type="pct"/>
          </w:tcPr>
          <w:p w14:paraId="23F709E4" w14:textId="77777777" w:rsidR="00BC2F05" w:rsidRPr="00A11F8D" w:rsidRDefault="00772FB6" w:rsidP="00976665">
            <w:pPr>
              <w:pStyle w:val="TableText"/>
            </w:pPr>
            <w:r w:rsidRPr="00A11F8D">
              <w:t>Expansion of the geographical distribution of a pest within an area</w:t>
            </w:r>
            <w:r>
              <w:t xml:space="preserve"> </w:t>
            </w:r>
            <w:r>
              <w:rPr>
                <w:noProof/>
              </w:rPr>
              <w:t>(FAO 2022)</w:t>
            </w:r>
            <w:r w:rsidRPr="00A11F8D">
              <w:t>.</w:t>
            </w:r>
          </w:p>
        </w:tc>
      </w:tr>
      <w:tr w:rsidR="00C80041" w14:paraId="5D547487" w14:textId="77777777" w:rsidTr="00976665">
        <w:tc>
          <w:tcPr>
            <w:tcW w:w="1509" w:type="pct"/>
          </w:tcPr>
          <w:p w14:paraId="4A93809F" w14:textId="77777777" w:rsidR="00BC2F05" w:rsidRPr="00A11F8D" w:rsidRDefault="00772FB6" w:rsidP="00976665">
            <w:pPr>
              <w:pStyle w:val="TableText"/>
            </w:pPr>
            <w:r w:rsidRPr="00A11F8D">
              <w:t>SPS Agreement</w:t>
            </w:r>
          </w:p>
        </w:tc>
        <w:tc>
          <w:tcPr>
            <w:tcW w:w="3491" w:type="pct"/>
          </w:tcPr>
          <w:p w14:paraId="17BA3373" w14:textId="77777777" w:rsidR="00BC2F05" w:rsidRPr="00A11F8D" w:rsidRDefault="00772FB6" w:rsidP="00976665">
            <w:pPr>
              <w:pStyle w:val="TableText"/>
            </w:pPr>
            <w:r w:rsidRPr="00A11F8D">
              <w:t>WTO Agreement on the Application of Sanitary and Phytosanitary Measures.</w:t>
            </w:r>
          </w:p>
        </w:tc>
      </w:tr>
      <w:tr w:rsidR="00C80041" w14:paraId="5CEE1E34" w14:textId="77777777" w:rsidTr="00976665">
        <w:tc>
          <w:tcPr>
            <w:tcW w:w="1509" w:type="pct"/>
          </w:tcPr>
          <w:p w14:paraId="0C075043" w14:textId="77777777" w:rsidR="00BC2F05" w:rsidRPr="00A11F8D" w:rsidRDefault="00772FB6" w:rsidP="00976665">
            <w:pPr>
              <w:pStyle w:val="TableText"/>
            </w:pPr>
            <w:r w:rsidRPr="00A11F8D">
              <w:t>Stakeholders</w:t>
            </w:r>
          </w:p>
        </w:tc>
        <w:tc>
          <w:tcPr>
            <w:tcW w:w="3491" w:type="pct"/>
          </w:tcPr>
          <w:p w14:paraId="0F9EDF6D" w14:textId="77777777" w:rsidR="00BC2F05" w:rsidRPr="00A11F8D" w:rsidRDefault="00772FB6" w:rsidP="00976665">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C80041" w14:paraId="160F210B" w14:textId="77777777" w:rsidTr="00976665">
        <w:tc>
          <w:tcPr>
            <w:tcW w:w="1509" w:type="pct"/>
          </w:tcPr>
          <w:p w14:paraId="3609A747" w14:textId="77777777" w:rsidR="00BC2F05" w:rsidRPr="00A11F8D" w:rsidRDefault="00772FB6" w:rsidP="00976665">
            <w:pPr>
              <w:pStyle w:val="TableText"/>
            </w:pPr>
            <w:r w:rsidRPr="00A11F8D">
              <w:t>Surveillance</w:t>
            </w:r>
          </w:p>
        </w:tc>
        <w:tc>
          <w:tcPr>
            <w:tcW w:w="3491" w:type="pct"/>
          </w:tcPr>
          <w:p w14:paraId="2B632855" w14:textId="77777777" w:rsidR="00BC2F05" w:rsidRPr="00A11F8D" w:rsidRDefault="00772FB6" w:rsidP="00976665">
            <w:pPr>
              <w:pStyle w:val="TableText"/>
            </w:pPr>
            <w:r w:rsidRPr="00A11F8D">
              <w:t>An official process which collects and records data on pest occurrence or absence by surveying, monitoring or other procedures</w:t>
            </w:r>
            <w:r>
              <w:t xml:space="preserve"> </w:t>
            </w:r>
            <w:r>
              <w:rPr>
                <w:noProof/>
              </w:rPr>
              <w:t>(FAO 2022)</w:t>
            </w:r>
            <w:r w:rsidRPr="00A11F8D">
              <w:t>.</w:t>
            </w:r>
          </w:p>
        </w:tc>
      </w:tr>
      <w:tr w:rsidR="00C80041" w14:paraId="6C5E4B7A" w14:textId="77777777" w:rsidTr="00976665">
        <w:tc>
          <w:tcPr>
            <w:tcW w:w="1509" w:type="pct"/>
          </w:tcPr>
          <w:p w14:paraId="5D736681" w14:textId="77777777" w:rsidR="00BC2F05" w:rsidRPr="00A11F8D" w:rsidRDefault="00772FB6" w:rsidP="00976665">
            <w:pPr>
              <w:pStyle w:val="TableText"/>
            </w:pPr>
            <w:r w:rsidRPr="00A11F8D">
              <w:t>Systems approach(es)</w:t>
            </w:r>
          </w:p>
        </w:tc>
        <w:tc>
          <w:tcPr>
            <w:tcW w:w="3491" w:type="pct"/>
          </w:tcPr>
          <w:p w14:paraId="2F3055F4" w14:textId="77777777" w:rsidR="00BC2F05" w:rsidRPr="00A11F8D" w:rsidRDefault="00772FB6" w:rsidP="00976665">
            <w:pPr>
              <w:pStyle w:val="TableText"/>
            </w:pPr>
            <w:r w:rsidRPr="00A11F8D">
              <w:t xml:space="preserve">The integration of different risk management measures, at least </w:t>
            </w:r>
            <w:r>
              <w:t>2</w:t>
            </w:r>
            <w:r w:rsidRPr="00A11F8D">
              <w:t xml:space="preserve"> of which act independently, and which cumulatively achieve the appropriate level of protection against regulated pests.</w:t>
            </w:r>
          </w:p>
        </w:tc>
      </w:tr>
      <w:tr w:rsidR="00C80041" w14:paraId="19638CD2" w14:textId="77777777" w:rsidTr="00976665">
        <w:tc>
          <w:tcPr>
            <w:tcW w:w="1509" w:type="pct"/>
          </w:tcPr>
          <w:p w14:paraId="78827F5A" w14:textId="77777777" w:rsidR="00BC2F05" w:rsidRPr="00A11F8D" w:rsidRDefault="00772FB6" w:rsidP="00976665">
            <w:pPr>
              <w:pStyle w:val="TableText"/>
            </w:pPr>
            <w:r>
              <w:t>Tas.</w:t>
            </w:r>
          </w:p>
        </w:tc>
        <w:tc>
          <w:tcPr>
            <w:tcW w:w="3491" w:type="pct"/>
          </w:tcPr>
          <w:p w14:paraId="415C9F99" w14:textId="77777777" w:rsidR="00BC2F05" w:rsidRPr="00A11F8D" w:rsidRDefault="00772FB6" w:rsidP="00976665">
            <w:pPr>
              <w:pStyle w:val="TableText"/>
            </w:pPr>
            <w:r>
              <w:t>The state of Tasmania in Australia.</w:t>
            </w:r>
          </w:p>
        </w:tc>
      </w:tr>
      <w:tr w:rsidR="00C80041" w14:paraId="5EE4B0AD" w14:textId="77777777" w:rsidTr="00976665">
        <w:tc>
          <w:tcPr>
            <w:tcW w:w="1509" w:type="pct"/>
          </w:tcPr>
          <w:p w14:paraId="1B1E1EC5" w14:textId="77777777" w:rsidR="00BC2F05" w:rsidRPr="00A11F8D" w:rsidRDefault="00772FB6" w:rsidP="00976665">
            <w:pPr>
              <w:pStyle w:val="TableText"/>
            </w:pPr>
            <w:r w:rsidRPr="00A11F8D">
              <w:t>Trash</w:t>
            </w:r>
          </w:p>
        </w:tc>
        <w:tc>
          <w:tcPr>
            <w:tcW w:w="3491" w:type="pct"/>
          </w:tcPr>
          <w:p w14:paraId="6D8F342B" w14:textId="77777777" w:rsidR="00BC2F05" w:rsidRDefault="00772FB6" w:rsidP="00976665">
            <w:pPr>
              <w:pStyle w:val="TableText"/>
            </w:pPr>
            <w:r w:rsidRPr="00A11F8D">
              <w:t xml:space="preserve">Soil, splinters, twigs, leaves and other plant material, other than fruit </w:t>
            </w:r>
            <w:r>
              <w:t>as defined in the scope of this risk analysis</w:t>
            </w:r>
            <w:r w:rsidRPr="00A11F8D">
              <w:t>.</w:t>
            </w:r>
          </w:p>
          <w:p w14:paraId="29D15633" w14:textId="77777777" w:rsidR="00BC2F05" w:rsidRPr="00A11F8D" w:rsidRDefault="00772FB6" w:rsidP="00976665">
            <w:pPr>
              <w:pStyle w:val="TableText"/>
            </w:pPr>
            <w:r>
              <w:t>For example, stem and leaf material, seeds, soil, animal matter/parts or other extraneous material</w:t>
            </w:r>
          </w:p>
        </w:tc>
      </w:tr>
      <w:tr w:rsidR="00C80041" w14:paraId="0AC779CF" w14:textId="77777777" w:rsidTr="00976665">
        <w:tc>
          <w:tcPr>
            <w:tcW w:w="1509" w:type="pct"/>
          </w:tcPr>
          <w:p w14:paraId="065AC800" w14:textId="77777777" w:rsidR="00BC2F05" w:rsidRPr="00A11F8D" w:rsidRDefault="00772FB6" w:rsidP="00976665">
            <w:pPr>
              <w:pStyle w:val="TableText"/>
            </w:pPr>
            <w:r w:rsidRPr="00A11F8D">
              <w:t>Treatment</w:t>
            </w:r>
          </w:p>
        </w:tc>
        <w:tc>
          <w:tcPr>
            <w:tcW w:w="3491" w:type="pct"/>
          </w:tcPr>
          <w:p w14:paraId="63B751BC" w14:textId="77777777" w:rsidR="00BC2F05" w:rsidRPr="00A11F8D" w:rsidRDefault="00772FB6" w:rsidP="00976665">
            <w:pPr>
              <w:pStyle w:val="TableText"/>
            </w:pPr>
            <w:r w:rsidRPr="00A11F8D">
              <w:t xml:space="preserve">Official procedure for the killing, </w:t>
            </w:r>
            <w:proofErr w:type="gramStart"/>
            <w:r w:rsidRPr="00A11F8D">
              <w:t>inactivation</w:t>
            </w:r>
            <w:proofErr w:type="gramEnd"/>
            <w:r w:rsidRPr="00A11F8D">
              <w:t xml:space="preserve"> or removal of pests, or for rendering pests infertile or for devitalisation</w:t>
            </w:r>
            <w:r>
              <w:t xml:space="preserve"> </w:t>
            </w:r>
            <w:r>
              <w:rPr>
                <w:noProof/>
              </w:rPr>
              <w:t>(FAO 2022)</w:t>
            </w:r>
            <w:r w:rsidRPr="00A11F8D">
              <w:t>.</w:t>
            </w:r>
          </w:p>
        </w:tc>
      </w:tr>
      <w:tr w:rsidR="00C80041" w14:paraId="0D66B555" w14:textId="77777777" w:rsidTr="00976665">
        <w:tc>
          <w:tcPr>
            <w:tcW w:w="1509" w:type="pct"/>
          </w:tcPr>
          <w:p w14:paraId="2198ABE1" w14:textId="77777777" w:rsidR="00BC2F05" w:rsidRPr="00A11F8D" w:rsidRDefault="00772FB6" w:rsidP="00976665">
            <w:pPr>
              <w:pStyle w:val="TableText"/>
            </w:pPr>
            <w:r w:rsidRPr="00A11F8D">
              <w:t>Unrestricted risk</w:t>
            </w:r>
          </w:p>
        </w:tc>
        <w:tc>
          <w:tcPr>
            <w:tcW w:w="3491" w:type="pct"/>
          </w:tcPr>
          <w:p w14:paraId="79069A9F" w14:textId="77777777" w:rsidR="00BC2F05" w:rsidRPr="00A11F8D" w:rsidRDefault="00772FB6" w:rsidP="00976665">
            <w:pPr>
              <w:pStyle w:val="TableText"/>
            </w:pPr>
            <w:r w:rsidRPr="00A11F8D">
              <w:t xml:space="preserve">Unrestricted risk estimates apply in the absence of risk </w:t>
            </w:r>
            <w:r>
              <w:t>management</w:t>
            </w:r>
            <w:r w:rsidRPr="00A11F8D">
              <w:t xml:space="preserve"> measures.</w:t>
            </w:r>
          </w:p>
        </w:tc>
      </w:tr>
      <w:tr w:rsidR="00C80041" w14:paraId="3485EE4D" w14:textId="77777777" w:rsidTr="00976665">
        <w:tc>
          <w:tcPr>
            <w:tcW w:w="1509" w:type="pct"/>
          </w:tcPr>
          <w:p w14:paraId="38474330" w14:textId="77777777" w:rsidR="00BC2F05" w:rsidRPr="00A11F8D" w:rsidRDefault="00772FB6" w:rsidP="00976665">
            <w:pPr>
              <w:pStyle w:val="TableText"/>
            </w:pPr>
            <w:r w:rsidRPr="00A11F8D">
              <w:t>Vector</w:t>
            </w:r>
          </w:p>
        </w:tc>
        <w:tc>
          <w:tcPr>
            <w:tcW w:w="3491" w:type="pct"/>
          </w:tcPr>
          <w:p w14:paraId="20E962F4" w14:textId="77777777" w:rsidR="00BC2F05" w:rsidRPr="00A11F8D" w:rsidRDefault="00772FB6" w:rsidP="00976665">
            <w:pPr>
              <w:pStyle w:val="TableText"/>
            </w:pPr>
            <w:r>
              <w:t>In this report, a vector is a</w:t>
            </w:r>
            <w:r w:rsidRPr="00A11F8D">
              <w:t xml:space="preserve">n organism that </w:t>
            </w:r>
            <w:r>
              <w:t>is capable of harbouring and spreading a pest from one host to another.</w:t>
            </w:r>
          </w:p>
        </w:tc>
      </w:tr>
      <w:tr w:rsidR="00C80041" w14:paraId="356FADFC" w14:textId="77777777" w:rsidTr="00976665">
        <w:tc>
          <w:tcPr>
            <w:tcW w:w="1509" w:type="pct"/>
          </w:tcPr>
          <w:p w14:paraId="1113DAA4" w14:textId="77777777" w:rsidR="00BC2F05" w:rsidRPr="00A11F8D" w:rsidRDefault="00772FB6" w:rsidP="00976665">
            <w:pPr>
              <w:pStyle w:val="TableText"/>
            </w:pPr>
            <w:r w:rsidRPr="00A11F8D">
              <w:t>Viable</w:t>
            </w:r>
          </w:p>
        </w:tc>
        <w:tc>
          <w:tcPr>
            <w:tcW w:w="3491" w:type="pct"/>
          </w:tcPr>
          <w:p w14:paraId="41B770D0" w14:textId="77777777" w:rsidR="00BC2F05" w:rsidRPr="00A11F8D" w:rsidRDefault="00772FB6" w:rsidP="00976665">
            <w:pPr>
              <w:pStyle w:val="TableText"/>
            </w:pPr>
            <w:r w:rsidRPr="00A11F8D">
              <w:t>Alive, able to germinate or capable of growth</w:t>
            </w:r>
            <w:r>
              <w:t xml:space="preserve"> and/or development</w:t>
            </w:r>
            <w:r w:rsidRPr="00A11F8D">
              <w:t>.</w:t>
            </w:r>
          </w:p>
        </w:tc>
      </w:tr>
      <w:tr w:rsidR="00C80041" w14:paraId="38763A8A" w14:textId="77777777" w:rsidTr="00976665">
        <w:tc>
          <w:tcPr>
            <w:tcW w:w="1509" w:type="pct"/>
          </w:tcPr>
          <w:p w14:paraId="18726EE5" w14:textId="77777777" w:rsidR="00BC2F05" w:rsidRPr="00A11F8D" w:rsidRDefault="00772FB6" w:rsidP="00976665">
            <w:pPr>
              <w:pStyle w:val="TableText"/>
            </w:pPr>
            <w:r>
              <w:t>Vic.</w:t>
            </w:r>
          </w:p>
        </w:tc>
        <w:tc>
          <w:tcPr>
            <w:tcW w:w="3491" w:type="pct"/>
          </w:tcPr>
          <w:p w14:paraId="79151291" w14:textId="77777777" w:rsidR="00BC2F05" w:rsidRPr="00A11F8D" w:rsidRDefault="00772FB6" w:rsidP="00976665">
            <w:pPr>
              <w:pStyle w:val="TableText"/>
            </w:pPr>
            <w:r>
              <w:t>The state of Victoria in Australia.</w:t>
            </w:r>
          </w:p>
        </w:tc>
      </w:tr>
      <w:tr w:rsidR="00C80041" w14:paraId="4EE289E7" w14:textId="77777777" w:rsidTr="00976665">
        <w:tc>
          <w:tcPr>
            <w:tcW w:w="1509" w:type="pct"/>
          </w:tcPr>
          <w:p w14:paraId="2AB08F55" w14:textId="77777777" w:rsidR="00BC2F05" w:rsidRDefault="00772FB6" w:rsidP="00976665">
            <w:pPr>
              <w:pStyle w:val="TableText"/>
            </w:pPr>
            <w:r>
              <w:t>WA</w:t>
            </w:r>
          </w:p>
        </w:tc>
        <w:tc>
          <w:tcPr>
            <w:tcW w:w="3491" w:type="pct"/>
          </w:tcPr>
          <w:p w14:paraId="5277897E" w14:textId="77777777" w:rsidR="00BC2F05" w:rsidRDefault="00772FB6" w:rsidP="00976665">
            <w:pPr>
              <w:pStyle w:val="TableText"/>
            </w:pPr>
            <w:r>
              <w:t>The state of Western Australia.</w:t>
            </w:r>
          </w:p>
        </w:tc>
      </w:tr>
      <w:tr w:rsidR="00C80041" w14:paraId="4B723FCF" w14:textId="77777777" w:rsidTr="00976665">
        <w:tc>
          <w:tcPr>
            <w:tcW w:w="1509" w:type="pct"/>
          </w:tcPr>
          <w:p w14:paraId="63D148AB" w14:textId="77777777" w:rsidR="00BC2F05" w:rsidRDefault="00772FB6" w:rsidP="00976665">
            <w:pPr>
              <w:pStyle w:val="TableText"/>
            </w:pPr>
            <w:r>
              <w:lastRenderedPageBreak/>
              <w:t>WTO</w:t>
            </w:r>
          </w:p>
        </w:tc>
        <w:tc>
          <w:tcPr>
            <w:tcW w:w="3491" w:type="pct"/>
          </w:tcPr>
          <w:p w14:paraId="6EDDBB95" w14:textId="77777777" w:rsidR="00BC2F05" w:rsidRDefault="00772FB6" w:rsidP="00976665">
            <w:pPr>
              <w:pStyle w:val="TableText"/>
            </w:pPr>
            <w:r>
              <w:t>World Trade Organization</w:t>
            </w:r>
          </w:p>
        </w:tc>
      </w:tr>
    </w:tbl>
    <w:p w14:paraId="7906CBA0" w14:textId="77777777" w:rsidR="00BC2F05" w:rsidRDefault="00BC2F05" w:rsidP="00DF1385">
      <w:pPr>
        <w:sectPr w:rsidR="00BC2F05" w:rsidSect="00976665">
          <w:headerReference w:type="default" r:id="rId98"/>
          <w:footerReference w:type="default" r:id="rId99"/>
          <w:pgSz w:w="11906" w:h="16838"/>
          <w:pgMar w:top="1418" w:right="1418" w:bottom="1418" w:left="1418" w:header="567" w:footer="851" w:gutter="0"/>
          <w:cols w:space="708"/>
          <w:docGrid w:linePitch="360"/>
        </w:sectPr>
      </w:pPr>
    </w:p>
    <w:p w14:paraId="14BEBAC1" w14:textId="77777777" w:rsidR="00BC2F05" w:rsidRPr="00583C61" w:rsidRDefault="00772FB6" w:rsidP="00976665">
      <w:pPr>
        <w:rPr>
          <w:b/>
          <w:bCs/>
        </w:rPr>
      </w:pPr>
      <w:r w:rsidRPr="00583C61">
        <w:rPr>
          <w:b/>
          <w:bCs/>
        </w:rPr>
        <w:lastRenderedPageBreak/>
        <w:t>References</w:t>
      </w:r>
    </w:p>
    <w:p w14:paraId="740F3AE1" w14:textId="4B50A237" w:rsidR="00BC2F05" w:rsidRPr="00451FDB" w:rsidRDefault="00772FB6" w:rsidP="00B33061">
      <w:pPr>
        <w:pStyle w:val="EndNoteBibliography"/>
        <w:spacing w:after="120"/>
      </w:pPr>
      <w:r w:rsidRPr="00451FDB">
        <w:t xml:space="preserve">ABRS 2022, ‘Australian Faunal Directory’, Australian Biological Resources Study (ABRS), Canberra, Australia, available at </w:t>
      </w:r>
      <w:hyperlink r:id="rId100" w:history="1">
        <w:r w:rsidR="00A74525" w:rsidRPr="00743CC0">
          <w:rPr>
            <w:rStyle w:val="Hyperlink"/>
          </w:rPr>
          <w:t>https://biodiversity.org.au/afd/home</w:t>
        </w:r>
      </w:hyperlink>
      <w:r w:rsidRPr="00451FDB">
        <w:t>, accessed 2022.</w:t>
      </w:r>
    </w:p>
    <w:p w14:paraId="0752AF7F" w14:textId="3447F4E7" w:rsidR="00BC2F05" w:rsidRPr="00451FDB" w:rsidRDefault="00772FB6" w:rsidP="00B33061">
      <w:pPr>
        <w:pStyle w:val="EndNoteBibliography"/>
        <w:spacing w:after="120"/>
      </w:pPr>
      <w:r w:rsidRPr="00451FDB">
        <w:t>Acabal, BD, Jr, Dalisay, TU, Groenwald, JZ, Crous, PW &amp; Cumagun, CJR 2019, ‘</w:t>
      </w:r>
      <w:r w:rsidRPr="00451FDB">
        <w:rPr>
          <w:i/>
        </w:rPr>
        <w:t>Athelia rolfsii</w:t>
      </w:r>
      <w:r w:rsidRPr="00451FDB">
        <w:t xml:space="preserve"> (=</w:t>
      </w:r>
      <w:r w:rsidRPr="00451FDB">
        <w:rPr>
          <w:i/>
        </w:rPr>
        <w:t>Sclerotium rolfsii</w:t>
      </w:r>
      <w:r w:rsidRPr="00451FDB">
        <w:t xml:space="preserve">) infects banana in the Philippines’, </w:t>
      </w:r>
      <w:r w:rsidRPr="00451FDB">
        <w:rPr>
          <w:i/>
        </w:rPr>
        <w:t>Australasian Plant Disease Notes</w:t>
      </w:r>
      <w:r w:rsidRPr="00451FDB">
        <w:t xml:space="preserve">, vol. 14, 10, </w:t>
      </w:r>
      <w:hyperlink r:id="rId101" w:history="1">
        <w:r w:rsidR="00A74525" w:rsidRPr="00743CC0">
          <w:rPr>
            <w:rStyle w:val="Hyperlink"/>
          </w:rPr>
          <w:t>https://doi.org/10.1007/s13314-019-0341-x</w:t>
        </w:r>
      </w:hyperlink>
      <w:r w:rsidRPr="00451FDB">
        <w:t>.</w:t>
      </w:r>
      <w:r w:rsidR="00A74525">
        <w:t xml:space="preserve"> </w:t>
      </w:r>
    </w:p>
    <w:p w14:paraId="0A234207" w14:textId="77777777" w:rsidR="00BC2F05" w:rsidRPr="00451FDB" w:rsidRDefault="00772FB6" w:rsidP="00B33061">
      <w:pPr>
        <w:pStyle w:val="EndNoteBibliography"/>
        <w:spacing w:after="120"/>
      </w:pPr>
      <w:r w:rsidRPr="00451FDB">
        <w:t xml:space="preserve">Aguilar, CH, Lasalita-Zapico, F, Namocatcat, J, Fortich, A &amp; Bojadores, RM 2014, ‘Farmers' perceptions about banana insect pests and integrated pest management (IPM) systems in SocSarGen, Mindanao, Philippines’, </w:t>
      </w:r>
      <w:r w:rsidRPr="00451FDB">
        <w:rPr>
          <w:i/>
        </w:rPr>
        <w:t>IPCBEE</w:t>
      </w:r>
      <w:r w:rsidRPr="00451FDB">
        <w:t>, vol. 63, no. 5, pp. 22-7.</w:t>
      </w:r>
    </w:p>
    <w:p w14:paraId="05A8C470" w14:textId="7E81AB42" w:rsidR="00BC2F05" w:rsidRPr="00451FDB" w:rsidRDefault="00772FB6" w:rsidP="00B33061">
      <w:pPr>
        <w:pStyle w:val="EndNoteBibliography"/>
        <w:spacing w:after="120"/>
      </w:pPr>
      <w:r w:rsidRPr="00451FDB">
        <w:t xml:space="preserve">ALA 2022, ‘Atlas of Living Australia (ALA)’, Commonwealth Scientific and Industrial Research Organisation (CSIRO), Canberra, Australia, available at </w:t>
      </w:r>
      <w:hyperlink r:id="rId102" w:history="1">
        <w:r w:rsidR="00A74525" w:rsidRPr="00743CC0">
          <w:rPr>
            <w:rStyle w:val="Hyperlink"/>
          </w:rPr>
          <w:t>www.ala.org.au</w:t>
        </w:r>
      </w:hyperlink>
      <w:r w:rsidRPr="00451FDB">
        <w:t>, accessed 2022.</w:t>
      </w:r>
    </w:p>
    <w:p w14:paraId="3684B183" w14:textId="77777777" w:rsidR="00BC2F05" w:rsidRPr="00451FDB" w:rsidRDefault="00772FB6" w:rsidP="00B33061">
      <w:pPr>
        <w:pStyle w:val="EndNoteBibliography"/>
        <w:spacing w:after="120"/>
      </w:pPr>
      <w:r w:rsidRPr="00451FDB">
        <w:t>Alberto, RT &amp; Otanes, AT 2016, ‘Morphological and molecular identification and fungicide sensitivity assay of pathogens attacking guyabano (</w:t>
      </w:r>
      <w:r w:rsidRPr="00451FDB">
        <w:rPr>
          <w:i/>
        </w:rPr>
        <w:t>Annona muricata</w:t>
      </w:r>
      <w:r w:rsidRPr="00451FDB">
        <w:t xml:space="preserve">) in Philippines’, </w:t>
      </w:r>
      <w:r w:rsidRPr="00451FDB">
        <w:rPr>
          <w:i/>
        </w:rPr>
        <w:t>Plant Pathology &amp; Quarantine</w:t>
      </w:r>
      <w:r w:rsidRPr="00451FDB">
        <w:t>, vol. 6, no. 1, pp. 60-79.</w:t>
      </w:r>
    </w:p>
    <w:p w14:paraId="1B9ACA9B" w14:textId="77777777" w:rsidR="00BC2F05" w:rsidRPr="00451FDB" w:rsidRDefault="00772FB6" w:rsidP="00B33061">
      <w:pPr>
        <w:pStyle w:val="EndNoteBibliography"/>
        <w:spacing w:after="120"/>
      </w:pPr>
      <w:r w:rsidRPr="00451FDB">
        <w:t xml:space="preserve">Allwood, AJ, Chinajariyawong, A, Kritsaneepaiboon, S, Drew, RAI, Hamacek, EL, Hancock, DL, Hengsawad, C, Jipanin, JC, Jirasurat, M, Kong Krong, C, Leong, CTS &amp; Vijaysegaran, S 1999, ‘Host plant records for fruit flies (Diptera: Tephritidae) in Southeast Asia’, </w:t>
      </w:r>
      <w:r w:rsidRPr="00451FDB">
        <w:rPr>
          <w:i/>
        </w:rPr>
        <w:t>Raffles Bulletin of Zoology</w:t>
      </w:r>
      <w:r w:rsidRPr="00451FDB">
        <w:t>, vol. Supplement No 7, pp. 1-92.</w:t>
      </w:r>
    </w:p>
    <w:p w14:paraId="1C5B51E3" w14:textId="77777777" w:rsidR="00BC2F05" w:rsidRPr="00451FDB" w:rsidRDefault="00772FB6" w:rsidP="00B33061">
      <w:pPr>
        <w:pStyle w:val="EndNoteBibliography"/>
        <w:spacing w:after="120"/>
      </w:pPr>
      <w:r w:rsidRPr="00451FDB">
        <w:t xml:space="preserve">Altesor, A &amp; Ezcurra, E 2003, ‘Functional morphology and evolution of stem succulence in cacti’, </w:t>
      </w:r>
      <w:r w:rsidRPr="00451FDB">
        <w:rPr>
          <w:i/>
        </w:rPr>
        <w:t>Journal of Arid Environments</w:t>
      </w:r>
      <w:r w:rsidRPr="00451FDB">
        <w:t>, vol. 53, pp. 557-67.</w:t>
      </w:r>
    </w:p>
    <w:p w14:paraId="76612011" w14:textId="77777777" w:rsidR="00BC2F05" w:rsidRPr="00451FDB" w:rsidRDefault="00772FB6" w:rsidP="00B33061">
      <w:pPr>
        <w:pStyle w:val="EndNoteBibliography"/>
        <w:spacing w:after="120"/>
      </w:pPr>
      <w:r w:rsidRPr="00451FDB">
        <w:t xml:space="preserve">Alvindia, DG, Kobayashi, T &amp; Tanda, S 2002, ‘Identification of fungi isolated from non-chemical banana fruits and farms in the Philippines’, </w:t>
      </w:r>
      <w:r w:rsidRPr="00451FDB">
        <w:rPr>
          <w:i/>
        </w:rPr>
        <w:t>Journal of Agricultural Science, Tokyo University of Agriculture</w:t>
      </w:r>
      <w:r w:rsidRPr="00451FDB">
        <w:t>, vol. 47, no. 2, pp. 78-97.</w:t>
      </w:r>
    </w:p>
    <w:p w14:paraId="07182BA2" w14:textId="77777777" w:rsidR="00BC2F05" w:rsidRPr="00451FDB" w:rsidRDefault="00772FB6" w:rsidP="00B33061">
      <w:pPr>
        <w:pStyle w:val="EndNoteBibliography"/>
        <w:spacing w:after="120"/>
      </w:pPr>
      <w:r w:rsidRPr="00451FDB">
        <w:t xml:space="preserve">Amalin, DM, Vasquez, EA &amp; Vander Zaag, P 1991, ‘Note: arthropods of sweet potato in the Philippines’, </w:t>
      </w:r>
      <w:r w:rsidRPr="00451FDB">
        <w:rPr>
          <w:i/>
        </w:rPr>
        <w:t>The Philippine Agriculturalist</w:t>
      </w:r>
      <w:r w:rsidRPr="00451FDB">
        <w:t>, vol. 74, no. 1, pp. 39-50.</w:t>
      </w:r>
    </w:p>
    <w:p w14:paraId="454E9847" w14:textId="77777777" w:rsidR="00BC2F05" w:rsidRPr="00451FDB" w:rsidRDefault="00772FB6" w:rsidP="00B33061">
      <w:pPr>
        <w:pStyle w:val="EndNoteBibliography"/>
        <w:spacing w:after="120"/>
      </w:pPr>
      <w:r w:rsidRPr="00451FDB">
        <w:t xml:space="preserve">Angelito, FI 1984, ‘Survey of the seed-borne fungi of common weed species in CLSU’, </w:t>
      </w:r>
      <w:r w:rsidRPr="00451FDB">
        <w:rPr>
          <w:i/>
        </w:rPr>
        <w:t>CLSU Scientific Journal</w:t>
      </w:r>
      <w:r w:rsidRPr="00451FDB">
        <w:t>, vol. 5, no. 2, p. 21.</w:t>
      </w:r>
    </w:p>
    <w:p w14:paraId="7334BEFF" w14:textId="25BD051B" w:rsidR="00BC2F05" w:rsidRPr="00451FDB" w:rsidRDefault="00772FB6" w:rsidP="00B33061">
      <w:pPr>
        <w:pStyle w:val="EndNoteBibliography"/>
        <w:spacing w:after="120"/>
      </w:pPr>
      <w:r w:rsidRPr="00451FDB">
        <w:t xml:space="preserve">AntWeb 2022, ‘Ants of the World’, California Academy of Sciences, v8.75.6, available at </w:t>
      </w:r>
      <w:hyperlink r:id="rId103" w:history="1">
        <w:r w:rsidR="00A74525" w:rsidRPr="00743CC0">
          <w:rPr>
            <w:rStyle w:val="Hyperlink"/>
          </w:rPr>
          <w:t>https://www.antweb.org/</w:t>
        </w:r>
      </w:hyperlink>
      <w:r w:rsidRPr="00451FDB">
        <w:t>, accessed 2022.</w:t>
      </w:r>
    </w:p>
    <w:p w14:paraId="4990295B" w14:textId="22C4057F" w:rsidR="00BC2F05" w:rsidRPr="00451FDB" w:rsidRDefault="00772FB6" w:rsidP="00B33061">
      <w:pPr>
        <w:pStyle w:val="EndNoteBibliography"/>
        <w:spacing w:after="120"/>
      </w:pPr>
      <w:r w:rsidRPr="00451FDB">
        <w:t xml:space="preserve">APPD 2022, ‘Australian Plant Pest Database, online database’, available at </w:t>
      </w:r>
      <w:hyperlink r:id="rId104" w:history="1">
        <w:r w:rsidR="00A74525" w:rsidRPr="00743CC0">
          <w:rPr>
            <w:rStyle w:val="Hyperlink"/>
          </w:rPr>
          <w:t>https://www.appd.net.au/</w:t>
        </w:r>
      </w:hyperlink>
      <w:r w:rsidRPr="00451FDB">
        <w:t>, accessed 2022.</w:t>
      </w:r>
    </w:p>
    <w:p w14:paraId="3A8F777A" w14:textId="7027AC6C" w:rsidR="00BC2F05" w:rsidRPr="00451FDB" w:rsidRDefault="00772FB6" w:rsidP="00B33061">
      <w:pPr>
        <w:pStyle w:val="EndNoteBibliography"/>
        <w:spacing w:after="120"/>
      </w:pPr>
      <w:r w:rsidRPr="00451FDB">
        <w:t xml:space="preserve">AQIS 1999, </w:t>
      </w:r>
      <w:r w:rsidRPr="00451FDB">
        <w:rPr>
          <w:i/>
        </w:rPr>
        <w:t>Final import risk analysis on the proposal to change the treatment for mango (Mangifera indica L.) fruit from the Republic of the Philippines</w:t>
      </w:r>
      <w:r w:rsidRPr="00451FDB">
        <w:t xml:space="preserve">, Australian Quarantine and Inspection Service, Canberra, available at </w:t>
      </w:r>
      <w:hyperlink r:id="rId105" w:history="1">
        <w:r w:rsidR="00A74525" w:rsidRPr="00743CC0">
          <w:rPr>
            <w:rStyle w:val="Hyperlink"/>
          </w:rPr>
          <w:t>https://www.agriculture.gov.au/biosecurity-trade/policy/risk-analysis/plant/mangoes-phillippines</w:t>
        </w:r>
      </w:hyperlink>
      <w:r w:rsidRPr="00451FDB">
        <w:t>.</w:t>
      </w:r>
    </w:p>
    <w:p w14:paraId="2CE760FB" w14:textId="77777777" w:rsidR="00BC2F05" w:rsidRPr="00451FDB" w:rsidRDefault="00772FB6" w:rsidP="00B33061">
      <w:pPr>
        <w:pStyle w:val="EndNoteBibliography"/>
        <w:spacing w:after="120"/>
      </w:pPr>
      <w:r w:rsidRPr="00451FDB">
        <w:t xml:space="preserve">Ash, A, Gleeson, T, Cui, H, Hall, M, Heyhoe, E, Higgins, A, Hopwood, G, MaclLeod, N, Paini, D, Pant, H, Poulton, P, Prestwidge, D, Webster, T &amp; Wilson, P 2014, </w:t>
      </w:r>
      <w:r w:rsidRPr="00451FDB">
        <w:rPr>
          <w:i/>
        </w:rPr>
        <w:t>Northern Australia: food and fibre supply chains study – appendixes</w:t>
      </w:r>
      <w:r w:rsidRPr="00451FDB">
        <w:t>, CSIRO &amp; ABARES, Australia.</w:t>
      </w:r>
    </w:p>
    <w:p w14:paraId="438058F9" w14:textId="77777777" w:rsidR="00BC2F05" w:rsidRPr="00451FDB" w:rsidRDefault="00772FB6" w:rsidP="00B33061">
      <w:pPr>
        <w:pStyle w:val="EndNoteBibliography"/>
        <w:spacing w:after="120"/>
      </w:pPr>
      <w:r w:rsidRPr="00451FDB">
        <w:t xml:space="preserve">Bateman, MA 1972, ‘The ecology of fruit flies’, </w:t>
      </w:r>
      <w:r w:rsidRPr="00451FDB">
        <w:rPr>
          <w:i/>
        </w:rPr>
        <w:t>Annual Review of Entomology</w:t>
      </w:r>
      <w:r w:rsidRPr="00451FDB">
        <w:t>, vol. 17, pp. 493-518.</w:t>
      </w:r>
    </w:p>
    <w:p w14:paraId="2DE20F7E" w14:textId="2BA8BC50" w:rsidR="00BC2F05" w:rsidRPr="00451FDB" w:rsidRDefault="00772FB6" w:rsidP="00B33061">
      <w:pPr>
        <w:pStyle w:val="EndNoteBibliography"/>
        <w:spacing w:after="120"/>
      </w:pPr>
      <w:r w:rsidRPr="00451FDB">
        <w:t xml:space="preserve">Biosecurity Australia 2002, </w:t>
      </w:r>
      <w:r w:rsidRPr="00451FDB">
        <w:rPr>
          <w:i/>
        </w:rPr>
        <w:t>Import risk analysis (IRA) for the importation of fresh pineapple fruit</w:t>
      </w:r>
      <w:r w:rsidRPr="00451FDB">
        <w:t xml:space="preserve">, Biosecurity Australia, Department of Agriculture, Fisheries and Forestry, Canberra, available at </w:t>
      </w:r>
      <w:hyperlink r:id="rId106" w:history="1">
        <w:r w:rsidR="00A74525" w:rsidRPr="00743CC0">
          <w:rPr>
            <w:rStyle w:val="Hyperlink"/>
          </w:rPr>
          <w:t>https://www.agriculture.gov.au/biosecurity-trade/policy/risk-analysis/plant/pineapples</w:t>
        </w:r>
      </w:hyperlink>
      <w:r w:rsidR="00A74525">
        <w:t xml:space="preserve"> </w:t>
      </w:r>
      <w:r w:rsidRPr="00451FDB">
        <w:t>(doc 856 kb).</w:t>
      </w:r>
    </w:p>
    <w:p w14:paraId="54790FBE" w14:textId="32DDA959" w:rsidR="00BC2F05" w:rsidRPr="00451FDB" w:rsidRDefault="00772FB6" w:rsidP="00B33061">
      <w:pPr>
        <w:pStyle w:val="EndNoteBibliography"/>
        <w:spacing w:after="120"/>
      </w:pPr>
      <w:r w:rsidRPr="00451FDB">
        <w:t xml:space="preserve">-- -- 2008, </w:t>
      </w:r>
      <w:r w:rsidRPr="00451FDB">
        <w:rPr>
          <w:i/>
        </w:rPr>
        <w:t>Final import risk analysis report for the importation of Cavendish bananas from the Philippines. Part A, B and C</w:t>
      </w:r>
      <w:r w:rsidRPr="00451FDB">
        <w:t xml:space="preserve">, Biosecurity Australia, Department of Agriculture, Fisheries and </w:t>
      </w:r>
      <w:r w:rsidRPr="00451FDB">
        <w:lastRenderedPageBreak/>
        <w:t xml:space="preserve">Forestry, Canberra, available at </w:t>
      </w:r>
      <w:hyperlink r:id="rId107" w:history="1">
        <w:r w:rsidR="00A74525" w:rsidRPr="00743CC0">
          <w:rPr>
            <w:rStyle w:val="Hyperlink"/>
          </w:rPr>
          <w:t>https://www.agriculture.gov.au/biosecurity-trade/policy/risk-analysis/plant/banana-philippines</w:t>
        </w:r>
      </w:hyperlink>
      <w:r w:rsidRPr="00451FDB">
        <w:t>.</w:t>
      </w:r>
    </w:p>
    <w:p w14:paraId="435DC3FD" w14:textId="583E0DCD" w:rsidR="00BC2F05" w:rsidRPr="00451FDB" w:rsidRDefault="00772FB6" w:rsidP="00B33061">
      <w:pPr>
        <w:pStyle w:val="EndNoteBibliography"/>
        <w:spacing w:after="120"/>
      </w:pPr>
      <w:r w:rsidRPr="00451FDB">
        <w:t xml:space="preserve">Blackman, RL &amp; Eastop, VF 2018, </w:t>
      </w:r>
      <w:r w:rsidRPr="00451FDB">
        <w:rPr>
          <w:i/>
        </w:rPr>
        <w:t>Aphids on the world's plants</w:t>
      </w:r>
      <w:r w:rsidRPr="00451FDB">
        <w:t xml:space="preserve">, </w:t>
      </w:r>
      <w:hyperlink r:id="rId108" w:history="1">
        <w:r w:rsidR="00A74525" w:rsidRPr="00743CC0">
          <w:rPr>
            <w:rStyle w:val="Hyperlink"/>
          </w:rPr>
          <w:t>http://www.aphidsonworldsplants.info/</w:t>
        </w:r>
      </w:hyperlink>
      <w:r w:rsidRPr="00451FDB">
        <w:t>.</w:t>
      </w:r>
    </w:p>
    <w:p w14:paraId="7F34A430" w14:textId="77777777" w:rsidR="00BC2F05" w:rsidRPr="00451FDB" w:rsidRDefault="00772FB6" w:rsidP="00B33061">
      <w:pPr>
        <w:pStyle w:val="EndNoteBibliography"/>
        <w:spacing w:after="120"/>
      </w:pPr>
      <w:r w:rsidRPr="00451FDB">
        <w:t xml:space="preserve">BPI 2022, </w:t>
      </w:r>
      <w:r w:rsidRPr="00451FDB">
        <w:rPr>
          <w:i/>
        </w:rPr>
        <w:t>Response to request for technical information</w:t>
      </w:r>
      <w:r w:rsidRPr="00451FDB">
        <w:t>, Department of Agriculture Bureau of Plant Industry (BPI), The Philippines.</w:t>
      </w:r>
    </w:p>
    <w:p w14:paraId="218BB921" w14:textId="6A113F23" w:rsidR="00BC2F05" w:rsidRPr="00451FDB" w:rsidRDefault="00772FB6" w:rsidP="00B33061">
      <w:pPr>
        <w:pStyle w:val="EndNoteBibliography"/>
        <w:spacing w:after="120"/>
      </w:pPr>
      <w:r w:rsidRPr="00451FDB">
        <w:t xml:space="preserve">Business Queensland 2019, ‘Giant African snail’, </w:t>
      </w:r>
      <w:r w:rsidRPr="00451FDB">
        <w:rPr>
          <w:i/>
        </w:rPr>
        <w:t>Priority plant pests and diseases</w:t>
      </w:r>
      <w:r w:rsidRPr="00451FDB">
        <w:t xml:space="preserve">, Queensland State Government, available at </w:t>
      </w:r>
      <w:hyperlink r:id="rId109" w:history="1">
        <w:r w:rsidR="00A74525" w:rsidRPr="00743CC0">
          <w:rPr>
            <w:rStyle w:val="Hyperlink"/>
          </w:rPr>
          <w:t>https://www.business.qld.gov.au/industries/farms-fishing-forestry/agriculture/crop-growing/priority-pest-disease/giant-african-snail</w:t>
        </w:r>
      </w:hyperlink>
      <w:r w:rsidRPr="00451FDB">
        <w:t>.</w:t>
      </w:r>
    </w:p>
    <w:p w14:paraId="0849EBDA" w14:textId="76869EE0" w:rsidR="00BC2F05" w:rsidRPr="00451FDB" w:rsidRDefault="00772FB6" w:rsidP="00B33061">
      <w:pPr>
        <w:pStyle w:val="EndNoteBibliography"/>
        <w:spacing w:after="120"/>
      </w:pPr>
      <w:r w:rsidRPr="00451FDB">
        <w:t xml:space="preserve">CABI 1986, </w:t>
      </w:r>
      <w:r w:rsidRPr="00451FDB">
        <w:rPr>
          <w:i/>
        </w:rPr>
        <w:t>Commonwealth Mycological Institute, distribution maps of plant diseases, map no. 206: Pythium irregulare (Buisman)</w:t>
      </w:r>
      <w:r w:rsidRPr="00451FDB">
        <w:t xml:space="preserve">, CAB Abstracts plus, available at </w:t>
      </w:r>
      <w:hyperlink r:id="rId110" w:history="1">
        <w:r w:rsidR="00A74525" w:rsidRPr="00743CC0">
          <w:rPr>
            <w:rStyle w:val="Hyperlink"/>
          </w:rPr>
          <w:t>http://cababstractsplus.org</w:t>
        </w:r>
      </w:hyperlink>
      <w:r w:rsidRPr="00451FDB">
        <w:t>.</w:t>
      </w:r>
    </w:p>
    <w:p w14:paraId="16E9BAE7" w14:textId="0C91A390" w:rsidR="00BC2F05" w:rsidRPr="00451FDB" w:rsidRDefault="00772FB6" w:rsidP="00B33061">
      <w:pPr>
        <w:pStyle w:val="EndNoteBibliography"/>
        <w:spacing w:after="120"/>
      </w:pPr>
      <w:r w:rsidRPr="00451FDB">
        <w:t xml:space="preserve">-- -- 2005, </w:t>
      </w:r>
      <w:r w:rsidRPr="00451FDB">
        <w:rPr>
          <w:i/>
        </w:rPr>
        <w:t>Crop protection compendium</w:t>
      </w:r>
      <w:r w:rsidRPr="00451FDB">
        <w:t xml:space="preserve">, CAB International, available at </w:t>
      </w:r>
      <w:hyperlink r:id="rId111" w:history="1">
        <w:r w:rsidR="00A74525" w:rsidRPr="00743CC0">
          <w:rPr>
            <w:rStyle w:val="Hyperlink"/>
          </w:rPr>
          <w:t>http://www.cabicompendium.org/cpc/home.asp</w:t>
        </w:r>
      </w:hyperlink>
      <w:r w:rsidRPr="00451FDB">
        <w:t>.</w:t>
      </w:r>
    </w:p>
    <w:p w14:paraId="1FB3E5F2" w14:textId="6B65773C" w:rsidR="00BC2F05" w:rsidRPr="00451FDB" w:rsidRDefault="00772FB6" w:rsidP="00B33061">
      <w:pPr>
        <w:pStyle w:val="EndNoteBibliography"/>
        <w:spacing w:after="120"/>
      </w:pPr>
      <w:r w:rsidRPr="00451FDB">
        <w:t xml:space="preserve">-- -- 2019, ‘Invasive Species Compendium’, CAB International, Wallingford, UK, available at </w:t>
      </w:r>
      <w:hyperlink r:id="rId112" w:history="1">
        <w:r w:rsidR="00A74525" w:rsidRPr="00743CC0">
          <w:rPr>
            <w:rStyle w:val="Hyperlink"/>
          </w:rPr>
          <w:t>http://www.cabi.org/isc</w:t>
        </w:r>
      </w:hyperlink>
      <w:r w:rsidRPr="00451FDB">
        <w:t>, accessed 2019.</w:t>
      </w:r>
    </w:p>
    <w:p w14:paraId="538926F7" w14:textId="0F5D8884" w:rsidR="00BC2F05" w:rsidRPr="00451FDB" w:rsidRDefault="00772FB6" w:rsidP="00B33061">
      <w:pPr>
        <w:pStyle w:val="EndNoteBibliography"/>
        <w:spacing w:after="120"/>
      </w:pPr>
      <w:r w:rsidRPr="00451FDB">
        <w:t xml:space="preserve">-- -- 2021, ‘Crop Protection Compendium’, CAB International, Wallingford, UK, available at </w:t>
      </w:r>
      <w:hyperlink r:id="rId113" w:history="1">
        <w:r w:rsidR="00A74525" w:rsidRPr="00743CC0">
          <w:rPr>
            <w:rStyle w:val="Hyperlink"/>
          </w:rPr>
          <w:t>http://www.cabi.org/cpc/</w:t>
        </w:r>
      </w:hyperlink>
      <w:r w:rsidRPr="00451FDB">
        <w:t>, accessed 2021.</w:t>
      </w:r>
    </w:p>
    <w:p w14:paraId="4FA8B875" w14:textId="16E66843" w:rsidR="00BC2F05" w:rsidRPr="00451FDB" w:rsidRDefault="00772FB6" w:rsidP="00B33061">
      <w:pPr>
        <w:pStyle w:val="EndNoteBibliography"/>
        <w:spacing w:after="120"/>
      </w:pPr>
      <w:r w:rsidRPr="00451FDB">
        <w:t xml:space="preserve">-- -- 2022, ‘Crop Protection Compendium’, CAB International, Wallingford, UK, available at </w:t>
      </w:r>
      <w:hyperlink r:id="rId114" w:history="1">
        <w:r w:rsidR="00A74525" w:rsidRPr="00743CC0">
          <w:rPr>
            <w:rStyle w:val="Hyperlink"/>
          </w:rPr>
          <w:t>http://www.cabi.org/cpc/</w:t>
        </w:r>
      </w:hyperlink>
      <w:r w:rsidRPr="00451FDB">
        <w:t>, accessed 2022.</w:t>
      </w:r>
    </w:p>
    <w:p w14:paraId="16B93B78" w14:textId="55769364" w:rsidR="00BC2F05" w:rsidRPr="00451FDB" w:rsidRDefault="00772FB6" w:rsidP="00B33061">
      <w:pPr>
        <w:pStyle w:val="EndNoteBibliography"/>
        <w:spacing w:after="120"/>
      </w:pPr>
      <w:r w:rsidRPr="00451FDB">
        <w:t xml:space="preserve">CABI EPPO 1987, </w:t>
      </w:r>
      <w:r w:rsidRPr="00451FDB">
        <w:rPr>
          <w:i/>
        </w:rPr>
        <w:t>Commonwealth Institute of Entomology, distribution maps of plant diseases, map no. 142: Ceratocystis paradoxa (Dade) C. Moreau</w:t>
      </w:r>
      <w:r w:rsidRPr="00451FDB">
        <w:t xml:space="preserve">, available at </w:t>
      </w:r>
      <w:hyperlink r:id="rId115" w:history="1">
        <w:r w:rsidR="00A74525" w:rsidRPr="00743CC0">
          <w:rPr>
            <w:rStyle w:val="Hyperlink"/>
          </w:rPr>
          <w:t>http://www.cabi.org/dmpd/FullTextPDF/2004/20046500142.pdf</w:t>
        </w:r>
      </w:hyperlink>
      <w:r w:rsidRPr="00451FDB">
        <w:t xml:space="preserve"> (pdf 104 kb).</w:t>
      </w:r>
    </w:p>
    <w:p w14:paraId="5B2B31B3" w14:textId="327AF42F" w:rsidR="00BC2F05" w:rsidRPr="00451FDB" w:rsidRDefault="00772FB6" w:rsidP="00B33061">
      <w:pPr>
        <w:pStyle w:val="EndNoteBibliography"/>
        <w:spacing w:after="120"/>
      </w:pPr>
      <w:r w:rsidRPr="00451FDB">
        <w:t xml:space="preserve">-- -- 2020, </w:t>
      </w:r>
      <w:r w:rsidRPr="00451FDB">
        <w:rPr>
          <w:i/>
        </w:rPr>
        <w:t>Data Sheets on Quarantine Pests: Erwinia chrysanthemi</w:t>
      </w:r>
      <w:r w:rsidRPr="00451FDB">
        <w:t>, EPPO Global Database, European and Mediterranean Plant Protection Organization</w:t>
      </w:r>
      <w:r>
        <w:t xml:space="preserve"> </w:t>
      </w:r>
      <w:r w:rsidRPr="00451FDB">
        <w:t xml:space="preserve">available at </w:t>
      </w:r>
      <w:hyperlink r:id="rId116" w:history="1">
        <w:r w:rsidR="00A74525" w:rsidRPr="00743CC0">
          <w:rPr>
            <w:rStyle w:val="Hyperlink"/>
          </w:rPr>
          <w:t>https://gd.eppo.int/taxon/ERWICH/documents</w:t>
        </w:r>
      </w:hyperlink>
      <w:r w:rsidRPr="00451FDB">
        <w:t>.</w:t>
      </w:r>
    </w:p>
    <w:p w14:paraId="231E8854" w14:textId="77777777" w:rsidR="00BC2F05" w:rsidRPr="00451FDB" w:rsidRDefault="00772FB6" w:rsidP="00B33061">
      <w:pPr>
        <w:pStyle w:val="EndNoteBibliography"/>
        <w:spacing w:after="120"/>
      </w:pPr>
      <w:r w:rsidRPr="00451FDB">
        <w:t xml:space="preserve">Calilung, VJ 1976, ‘New records and additional notes on Philippine aphids (Aphidoidea: Homoptera)’, </w:t>
      </w:r>
      <w:r w:rsidRPr="00451FDB">
        <w:rPr>
          <w:i/>
        </w:rPr>
        <w:t>Philippine Agriculturist</w:t>
      </w:r>
      <w:r w:rsidRPr="00451FDB">
        <w:t>, vol. 60, pp. 147-73.</w:t>
      </w:r>
    </w:p>
    <w:p w14:paraId="6560D25C" w14:textId="77777777" w:rsidR="00BC2F05" w:rsidRPr="00451FDB" w:rsidRDefault="00772FB6" w:rsidP="00B33061">
      <w:pPr>
        <w:pStyle w:val="EndNoteBibliography"/>
        <w:spacing w:after="120"/>
      </w:pPr>
      <w:r w:rsidRPr="00451FDB">
        <w:t xml:space="preserve">Cantrell, BK, Chadwick, B &amp; Cahill, A 2002, </w:t>
      </w:r>
      <w:r w:rsidRPr="00451FDB">
        <w:rPr>
          <w:i/>
        </w:rPr>
        <w:t>Fruit fly fighters: eradication of the papaya fruit fly</w:t>
      </w:r>
      <w:r w:rsidRPr="00451FDB">
        <w:t>, CSIRO Publishing, Collingwood.</w:t>
      </w:r>
    </w:p>
    <w:p w14:paraId="4E72F713" w14:textId="5CB6B58F" w:rsidR="00BC2F05" w:rsidRPr="00451FDB" w:rsidRDefault="00772FB6" w:rsidP="00B33061">
      <w:pPr>
        <w:pStyle w:val="EndNoteBibliography"/>
        <w:spacing w:after="120"/>
      </w:pPr>
      <w:r w:rsidRPr="00451FDB">
        <w:t xml:space="preserve">Carrillo, D, Duncan, R &amp; Peña, JE 2021, </w:t>
      </w:r>
      <w:r w:rsidRPr="00451FDB">
        <w:rPr>
          <w:i/>
        </w:rPr>
        <w:t>Pitaya (dragon fruit) (Hylocereus undatus) pests and beneficial insects</w:t>
      </w:r>
      <w:r w:rsidRPr="00451FDB">
        <w:t xml:space="preserve">, ENY-2050, University of Florida IFAS Extension, available at </w:t>
      </w:r>
      <w:hyperlink r:id="rId117" w:history="1">
        <w:r w:rsidR="00A74525" w:rsidRPr="00743CC0">
          <w:rPr>
            <w:rStyle w:val="Hyperlink"/>
          </w:rPr>
          <w:t>https://edis.ifas.ufl.edu/publication/IN1292</w:t>
        </w:r>
      </w:hyperlink>
      <w:r w:rsidRPr="00451FDB">
        <w:t>.</w:t>
      </w:r>
    </w:p>
    <w:p w14:paraId="2B7D8412" w14:textId="77777777" w:rsidR="00BC2F05" w:rsidRPr="00451FDB" w:rsidRDefault="00772FB6" w:rsidP="00B33061">
      <w:pPr>
        <w:pStyle w:val="EndNoteBibliography"/>
        <w:spacing w:after="120"/>
      </w:pPr>
      <w:r w:rsidRPr="00451FDB">
        <w:t xml:space="preserve">Christenson, LD &amp; Foote, RH 1960, ‘Biology of fruit flies’, </w:t>
      </w:r>
      <w:r w:rsidRPr="00451FDB">
        <w:rPr>
          <w:i/>
        </w:rPr>
        <w:t>Annual Review of Entomology</w:t>
      </w:r>
      <w:r w:rsidRPr="00451FDB">
        <w:t>, vol. 5, pp. 171-92.</w:t>
      </w:r>
    </w:p>
    <w:p w14:paraId="09407D29" w14:textId="77777777" w:rsidR="00BC2F05" w:rsidRPr="00451FDB" w:rsidRDefault="00772FB6" w:rsidP="00B33061">
      <w:pPr>
        <w:pStyle w:val="EndNoteBibliography"/>
        <w:spacing w:after="120"/>
      </w:pPr>
      <w:r w:rsidRPr="00451FDB">
        <w:t xml:space="preserve">Clark, CA &amp; Hoy, MW 1994, ‘Isolation of </w:t>
      </w:r>
      <w:r w:rsidRPr="00451FDB">
        <w:rPr>
          <w:i/>
        </w:rPr>
        <w:t xml:space="preserve">Fusarium lateritium </w:t>
      </w:r>
      <w:r w:rsidRPr="00451FDB">
        <w:t xml:space="preserve">from sweet potato seed’, </w:t>
      </w:r>
      <w:r w:rsidRPr="00451FDB">
        <w:rPr>
          <w:i/>
        </w:rPr>
        <w:t>Plant Disease</w:t>
      </w:r>
      <w:r w:rsidRPr="00451FDB">
        <w:t>, vol. 78, pp. 585-7.</w:t>
      </w:r>
    </w:p>
    <w:p w14:paraId="0A0E407A" w14:textId="77777777" w:rsidR="00BC2F05" w:rsidRPr="00451FDB" w:rsidRDefault="00772FB6" w:rsidP="00B33061">
      <w:pPr>
        <w:pStyle w:val="EndNoteBibliography"/>
        <w:spacing w:after="120"/>
      </w:pPr>
      <w:r w:rsidRPr="00451FDB">
        <w:t>Clarke, AR, Armstrong, KF, Carmichael, AE, Milne, JR, Raghu, S, Roderick, GK &amp; Yeates, DK 2005, ‘Invasive phytophagous pests arising through a recent tropical evolutionary radiation: the</w:t>
      </w:r>
      <w:r w:rsidRPr="00451FDB">
        <w:rPr>
          <w:i/>
        </w:rPr>
        <w:t xml:space="preserve"> Bactrocera dorsalis</w:t>
      </w:r>
      <w:r w:rsidRPr="00451FDB">
        <w:t xml:space="preserve"> complex of fruit flies’, </w:t>
      </w:r>
      <w:r w:rsidRPr="00451FDB">
        <w:rPr>
          <w:i/>
        </w:rPr>
        <w:t>Annual Review of Entomology</w:t>
      </w:r>
      <w:r w:rsidRPr="00451FDB">
        <w:t>, vol. 50, pp. 293-319.</w:t>
      </w:r>
    </w:p>
    <w:p w14:paraId="5FCC2CBC" w14:textId="43D2BFE3" w:rsidR="00BC2F05" w:rsidRPr="00451FDB" w:rsidRDefault="00772FB6" w:rsidP="00B33061">
      <w:pPr>
        <w:pStyle w:val="EndNoteBibliography"/>
        <w:spacing w:after="120"/>
      </w:pPr>
      <w:r w:rsidRPr="00451FDB">
        <w:t xml:space="preserve">Climate-data.org 2022, ‘Climate-data.org - climate data for cities worldwide’, AM Online Projects, available at </w:t>
      </w:r>
      <w:hyperlink r:id="rId118" w:history="1">
        <w:r w:rsidR="00A74525" w:rsidRPr="00743CC0">
          <w:rPr>
            <w:rStyle w:val="Hyperlink"/>
          </w:rPr>
          <w:t>https://en.climate-data.org/</w:t>
        </w:r>
      </w:hyperlink>
      <w:r w:rsidRPr="00451FDB">
        <w:t>, accessed 2022</w:t>
      </w:r>
      <w:r w:rsidR="00B33061">
        <w:t>.</w:t>
      </w:r>
    </w:p>
    <w:p w14:paraId="36DD0CC7" w14:textId="77777777" w:rsidR="00BC2F05" w:rsidRPr="00451FDB" w:rsidRDefault="00772FB6" w:rsidP="00B33061">
      <w:pPr>
        <w:pStyle w:val="EndNoteBibliography"/>
        <w:spacing w:after="120"/>
      </w:pPr>
      <w:r w:rsidRPr="00451FDB">
        <w:t xml:space="preserve">Cottyn, B, Debode, J, Regalado, E, Mew, TW &amp; Swings, J 2009, ‘Phenotypic and genetic diversity of rice seed-associated bacteria and their role in pathogenicity and biological control’, </w:t>
      </w:r>
      <w:r w:rsidRPr="00451FDB">
        <w:rPr>
          <w:i/>
        </w:rPr>
        <w:t>Journal of Applied Microbiology</w:t>
      </w:r>
      <w:r w:rsidRPr="00451FDB">
        <w:t>, vol. 107, pp. 885-97.</w:t>
      </w:r>
    </w:p>
    <w:p w14:paraId="593FF805" w14:textId="77777777" w:rsidR="00BC2F05" w:rsidRPr="00451FDB" w:rsidRDefault="00772FB6" w:rsidP="00B33061">
      <w:pPr>
        <w:pStyle w:val="EndNoteBibliography"/>
        <w:spacing w:after="120"/>
      </w:pPr>
      <w:r w:rsidRPr="00451FDB">
        <w:lastRenderedPageBreak/>
        <w:t xml:space="preserve">Cumagun, CJR, Arcillas, E &amp; Gergon, E 2011, ‘UP-PCR analysis of the seedborne pathogen </w:t>
      </w:r>
      <w:r w:rsidRPr="00451FDB">
        <w:rPr>
          <w:i/>
        </w:rPr>
        <w:t>Fusarium fujikuroi</w:t>
      </w:r>
      <w:r w:rsidRPr="00451FDB">
        <w:t xml:space="preserve"> causing bakanae disease in rice’, </w:t>
      </w:r>
      <w:r w:rsidRPr="00451FDB">
        <w:rPr>
          <w:i/>
        </w:rPr>
        <w:t>International Journal of Agricultural &amp; Biology</w:t>
      </w:r>
      <w:r w:rsidRPr="00451FDB">
        <w:t>, vol. 13, pp. 1029-32.</w:t>
      </w:r>
    </w:p>
    <w:p w14:paraId="061ACDD5" w14:textId="77777777" w:rsidR="00BC2F05" w:rsidRPr="00451FDB" w:rsidRDefault="00772FB6" w:rsidP="00B33061">
      <w:pPr>
        <w:pStyle w:val="EndNoteBibliography"/>
        <w:spacing w:after="120"/>
      </w:pPr>
      <w:r w:rsidRPr="00451FDB">
        <w:t>Daengsubha, W &amp; Quimio, AJ 1981, ‘Vegetable soft rot bacteria in the Philippines’, paper presented at The Second Southeast Asian Symposium on Plant Diseases in the Tropics, Bangkok, Thailand, 20-26 October.</w:t>
      </w:r>
    </w:p>
    <w:p w14:paraId="4D571B13" w14:textId="51AAA53C" w:rsidR="00BC2F05" w:rsidRPr="00451FDB" w:rsidRDefault="00772FB6" w:rsidP="00B33061">
      <w:pPr>
        <w:pStyle w:val="EndNoteBibliography"/>
        <w:spacing w:after="120"/>
      </w:pPr>
      <w:r w:rsidRPr="00451FDB">
        <w:t xml:space="preserve">DAFF 2004, </w:t>
      </w:r>
      <w:r w:rsidRPr="00451FDB">
        <w:rPr>
          <w:i/>
        </w:rPr>
        <w:t>Longan and lychee fruit from the People's Republic of China and Thailand: Final import risk analysis report - Part A and Part B</w:t>
      </w:r>
      <w:r w:rsidRPr="00451FDB">
        <w:t xml:space="preserve">, Department of Agriculture, Fisheries and Forestry, Canberra, available at </w:t>
      </w:r>
      <w:hyperlink r:id="rId119" w:history="1">
        <w:r w:rsidR="00A74525" w:rsidRPr="00743CC0">
          <w:rPr>
            <w:rStyle w:val="Hyperlink"/>
          </w:rPr>
          <w:t>https://www.agriculture.gov.au/biosecurity-trade/policy/risk-analysis/plant/longans-lychees-chinathailand</w:t>
        </w:r>
      </w:hyperlink>
      <w:r w:rsidRPr="00451FDB">
        <w:t>.</w:t>
      </w:r>
    </w:p>
    <w:p w14:paraId="21B698AC" w14:textId="0E75F67F" w:rsidR="00BC2F05" w:rsidRPr="00451FDB" w:rsidRDefault="00772FB6" w:rsidP="00B33061">
      <w:pPr>
        <w:pStyle w:val="EndNoteBibliography"/>
        <w:spacing w:after="120"/>
      </w:pPr>
      <w:r w:rsidRPr="00451FDB">
        <w:t xml:space="preserve">DAWE 2021, </w:t>
      </w:r>
      <w:r w:rsidRPr="00451FDB">
        <w:rPr>
          <w:i/>
        </w:rPr>
        <w:t>Final group pest risk analysis for soft and hard scale insects on fresh fruit, vegetable, cut-flower and foliage imports</w:t>
      </w:r>
      <w:r w:rsidRPr="00451FDB">
        <w:t xml:space="preserve">, Department of Agriculture, Water and the Environment, Canberra, available at </w:t>
      </w:r>
      <w:hyperlink r:id="rId120" w:history="1">
        <w:r w:rsidR="00A74525" w:rsidRPr="00743CC0">
          <w:rPr>
            <w:rStyle w:val="Hyperlink"/>
          </w:rPr>
          <w:t>https://www.agriculture.gov.au/biosecurity-trade/policy/risk-analysis/group-pest-risk-analyses/scales</w:t>
        </w:r>
      </w:hyperlink>
      <w:r w:rsidRPr="00451FDB">
        <w:t>.</w:t>
      </w:r>
    </w:p>
    <w:p w14:paraId="750BC01E" w14:textId="200D542E" w:rsidR="00BC2F05" w:rsidRPr="00451FDB" w:rsidRDefault="00772FB6" w:rsidP="00B33061">
      <w:pPr>
        <w:pStyle w:val="EndNoteBibliography"/>
        <w:spacing w:after="120"/>
      </w:pPr>
      <w:r w:rsidRPr="00451FDB">
        <w:t xml:space="preserve">-- -- 2022, ‘Biosecurity Import Conditions system (BICON)’, Australian Government Department of Agriculture, Water and the Environment (DAWE), Canberra, Australia, available at </w:t>
      </w:r>
      <w:hyperlink r:id="rId121" w:history="1">
        <w:r w:rsidR="00A74525" w:rsidRPr="00743CC0">
          <w:rPr>
            <w:rStyle w:val="Hyperlink"/>
          </w:rPr>
          <w:t>https://www.agriculture.gov.au/biosecurity-trade/import/online-services/bicon</w:t>
        </w:r>
      </w:hyperlink>
      <w:r w:rsidRPr="00451FDB">
        <w:t>, accessed 2022.</w:t>
      </w:r>
    </w:p>
    <w:p w14:paraId="5ED64398" w14:textId="5563D6E9" w:rsidR="00BC2F05" w:rsidRPr="00451FDB" w:rsidRDefault="00772FB6" w:rsidP="00B33061">
      <w:pPr>
        <w:pStyle w:val="EndNoteBibliography"/>
        <w:spacing w:after="120"/>
      </w:pPr>
      <w:r w:rsidRPr="00451FDB">
        <w:t xml:space="preserve">DAWR 2017a, </w:t>
      </w:r>
      <w:r w:rsidRPr="00451FDB">
        <w:rPr>
          <w:i/>
        </w:rPr>
        <w:t>Final group pest risk analysis for thrips and orthotospoviruses on fresh fruit, vegetable, cut-flower and foliage imports</w:t>
      </w:r>
      <w:r w:rsidRPr="00451FDB">
        <w:t xml:space="preserve">, Department of Agriculture and Water Resources, Canberra, available at </w:t>
      </w:r>
      <w:hyperlink r:id="rId122" w:history="1">
        <w:r w:rsidR="00A74525" w:rsidRPr="00743CC0">
          <w:rPr>
            <w:rStyle w:val="Hyperlink"/>
          </w:rPr>
          <w:t>https://www.agriculture.gov.au/biosecurity-trade/policy/risk-analysis/group-pest-risk-analyses/group-pra-thrips-orthotospoviruses/final-report</w:t>
        </w:r>
      </w:hyperlink>
      <w:r w:rsidRPr="00451FDB">
        <w:t>.</w:t>
      </w:r>
    </w:p>
    <w:p w14:paraId="5CEC126E" w14:textId="2D45CEDB" w:rsidR="00BC2F05" w:rsidRPr="00451FDB" w:rsidRDefault="00772FB6" w:rsidP="00B33061">
      <w:pPr>
        <w:pStyle w:val="EndNoteBibliography"/>
        <w:spacing w:after="120"/>
      </w:pPr>
      <w:r w:rsidRPr="00451FDB">
        <w:t xml:space="preserve">-- -- 2017b, </w:t>
      </w:r>
      <w:r w:rsidRPr="00451FDB">
        <w:rPr>
          <w:i/>
        </w:rPr>
        <w:t>Final report for the review of biosecurity import requirements for fresh dragon fruit from Vietnam</w:t>
      </w:r>
      <w:r w:rsidRPr="00451FDB">
        <w:t xml:space="preserve">, Department of Agriculture and Water Resources, Canberra, Australia, available at </w:t>
      </w:r>
      <w:hyperlink r:id="rId123" w:history="1">
        <w:r w:rsidR="00A74525" w:rsidRPr="00743CC0">
          <w:rPr>
            <w:rStyle w:val="Hyperlink"/>
          </w:rPr>
          <w:t>https://www.agriculture.gov.au/biosecurity-trade/policy/risk-analysis/plant/dragon-fruit-from-vietnam/final-report</w:t>
        </w:r>
      </w:hyperlink>
      <w:r w:rsidRPr="00451FDB">
        <w:t xml:space="preserve"> (pdf 2.6 mb).</w:t>
      </w:r>
    </w:p>
    <w:p w14:paraId="678BFB99" w14:textId="4399F213" w:rsidR="00BC2F05" w:rsidRPr="00451FDB" w:rsidRDefault="00772FB6" w:rsidP="00B33061">
      <w:pPr>
        <w:pStyle w:val="EndNoteBibliography"/>
        <w:spacing w:after="120"/>
      </w:pPr>
      <w:r w:rsidRPr="00451FDB">
        <w:t xml:space="preserve">-- -- 2018, </w:t>
      </w:r>
      <w:r w:rsidRPr="00451FDB">
        <w:rPr>
          <w:i/>
        </w:rPr>
        <w:t>Final report for the review of biosecurity import requirements for fresh dragon fruit from Indonesia</w:t>
      </w:r>
      <w:r w:rsidRPr="00451FDB">
        <w:t xml:space="preserve">, Department of Agriculture and Water Resources, Canberra, Australia, available at </w:t>
      </w:r>
      <w:hyperlink r:id="rId124" w:history="1">
        <w:r w:rsidR="00A74525" w:rsidRPr="00743CC0">
          <w:rPr>
            <w:rStyle w:val="Hyperlink"/>
          </w:rPr>
          <w:t>https://www.agriculture.gov.au/biosecurity-trade/policy/risk-analysis/plant/dragon-fruit-indonesia</w:t>
        </w:r>
      </w:hyperlink>
      <w:r w:rsidRPr="00451FDB">
        <w:t>.</w:t>
      </w:r>
    </w:p>
    <w:p w14:paraId="003FFD2B" w14:textId="79089903" w:rsidR="00BC2F05" w:rsidRPr="00451FDB" w:rsidRDefault="00772FB6" w:rsidP="00B33061">
      <w:pPr>
        <w:pStyle w:val="EndNoteBibliography"/>
        <w:spacing w:after="120"/>
      </w:pPr>
      <w:r w:rsidRPr="00451FDB">
        <w:t xml:space="preserve">-- -- 2019, </w:t>
      </w:r>
      <w:r w:rsidRPr="00451FDB">
        <w:rPr>
          <w:i/>
        </w:rPr>
        <w:t>Final group pest risk analysis for mealybugs and the viruses they transmit on fresh fruit, vegetable, cut-flower and foliage imports</w:t>
      </w:r>
      <w:r w:rsidRPr="00451FDB">
        <w:t xml:space="preserve">, Department of Agriculture and Water Resources, Canberra, available at </w:t>
      </w:r>
      <w:hyperlink r:id="rId125" w:history="1">
        <w:r w:rsidR="008C6537" w:rsidRPr="00743CC0">
          <w:rPr>
            <w:rStyle w:val="Hyperlink"/>
          </w:rPr>
          <w:t>https://www.agriculture.gov.au/biosecurity-trade/policy/risk-analysis/group-pest-risk-analyses/mealybugs/final-report</w:t>
        </w:r>
      </w:hyperlink>
      <w:r w:rsidRPr="00451FDB">
        <w:t>.</w:t>
      </w:r>
    </w:p>
    <w:p w14:paraId="31E01345" w14:textId="77777777" w:rsidR="00BC2F05" w:rsidRPr="00451FDB" w:rsidRDefault="00772FB6" w:rsidP="00B33061">
      <w:pPr>
        <w:pStyle w:val="EndNoteBibliography"/>
        <w:spacing w:after="120"/>
      </w:pPr>
      <w:r w:rsidRPr="00451FDB">
        <w:t>de Luna, LZ, Watson, AK &amp; Paulitz, TC 2002, ‘Reaction of rice (</w:t>
      </w:r>
      <w:r w:rsidRPr="00451FDB">
        <w:rPr>
          <w:i/>
        </w:rPr>
        <w:t>Oryza sativa</w:t>
      </w:r>
      <w:r w:rsidRPr="00451FDB">
        <w:t xml:space="preserve">) cultivars to penetration and infection by </w:t>
      </w:r>
      <w:r w:rsidRPr="00451FDB">
        <w:rPr>
          <w:i/>
        </w:rPr>
        <w:t>Curvularia tuberculata</w:t>
      </w:r>
      <w:r w:rsidRPr="00451FDB">
        <w:t xml:space="preserve"> and </w:t>
      </w:r>
      <w:r w:rsidRPr="00451FDB">
        <w:rPr>
          <w:i/>
        </w:rPr>
        <w:t>C. oryzae</w:t>
      </w:r>
      <w:r w:rsidRPr="00451FDB">
        <w:t xml:space="preserve">’, </w:t>
      </w:r>
      <w:r w:rsidRPr="00451FDB">
        <w:rPr>
          <w:i/>
        </w:rPr>
        <w:t>Plant Disease</w:t>
      </w:r>
      <w:r w:rsidRPr="00451FDB">
        <w:t>, vol. 86, no. 5, pp. 470-6.</w:t>
      </w:r>
    </w:p>
    <w:p w14:paraId="7C4FFDD4" w14:textId="77777777" w:rsidR="00BC2F05" w:rsidRPr="00451FDB" w:rsidRDefault="00772FB6" w:rsidP="00B33061">
      <w:pPr>
        <w:pStyle w:val="EndNoteBibliography"/>
        <w:spacing w:after="120"/>
      </w:pPr>
      <w:r w:rsidRPr="00451FDB">
        <w:t xml:space="preserve">De Meyer, M, Delatte, H, Mwatawala, M, Quilici, S, Vayssieres, JF &amp; Virgilio, M 2015, ‘A review of the current knowledge on </w:t>
      </w:r>
      <w:r w:rsidRPr="00451FDB">
        <w:rPr>
          <w:i/>
        </w:rPr>
        <w:t xml:space="preserve">Zeugodacus cucurbitae </w:t>
      </w:r>
      <w:r w:rsidRPr="00451FDB">
        <w:t xml:space="preserve">(Coquillett) (Diptera, Tephritidae) in Africa, with a list of species included in </w:t>
      </w:r>
      <w:r w:rsidRPr="00451FDB">
        <w:rPr>
          <w:i/>
        </w:rPr>
        <w:t>Zeugodacus</w:t>
      </w:r>
      <w:r w:rsidRPr="00451FDB">
        <w:t xml:space="preserve">’, </w:t>
      </w:r>
      <w:r w:rsidRPr="00451FDB">
        <w:rPr>
          <w:i/>
        </w:rPr>
        <w:t>ZooKeys</w:t>
      </w:r>
      <w:r w:rsidRPr="00451FDB">
        <w:t>, vol. 540, pp. 539-57.</w:t>
      </w:r>
    </w:p>
    <w:p w14:paraId="23C9AC59" w14:textId="77777777" w:rsidR="00BC2F05" w:rsidRPr="00451FDB" w:rsidRDefault="00772FB6" w:rsidP="00B33061">
      <w:pPr>
        <w:pStyle w:val="EndNoteBibliography"/>
        <w:spacing w:after="120"/>
      </w:pPr>
      <w:r w:rsidRPr="00451FDB">
        <w:t xml:space="preserve">Dela Cueva, FM, Laurel, NR, Dalisay, TU &amp; Sison, MLJ 2021, ‘Identification and characterisation of </w:t>
      </w:r>
      <w:r w:rsidRPr="00451FDB">
        <w:rPr>
          <w:i/>
        </w:rPr>
        <w:t>Colletotrichum fructicola</w:t>
      </w:r>
      <w:r w:rsidRPr="00451FDB">
        <w:t xml:space="preserve">, </w:t>
      </w:r>
      <w:r w:rsidRPr="00451FDB">
        <w:rPr>
          <w:i/>
        </w:rPr>
        <w:t>C. tropicale</w:t>
      </w:r>
      <w:r w:rsidRPr="00451FDB">
        <w:t xml:space="preserve"> and </w:t>
      </w:r>
      <w:r w:rsidRPr="00451FDB">
        <w:rPr>
          <w:i/>
        </w:rPr>
        <w:t>C. theobromicola</w:t>
      </w:r>
      <w:r w:rsidRPr="00451FDB">
        <w:t xml:space="preserve"> causing mango anthracnose in the Philippines’, </w:t>
      </w:r>
      <w:r w:rsidRPr="00451FDB">
        <w:rPr>
          <w:i/>
        </w:rPr>
        <w:t>Archives of Phytopathology and Plant Protection</w:t>
      </w:r>
      <w:r w:rsidRPr="00451FDB">
        <w:t>, vol. 54, no. 19-20, pp. 1989-2006.</w:t>
      </w:r>
    </w:p>
    <w:p w14:paraId="0AE58F67" w14:textId="77777777" w:rsidR="00BC2F05" w:rsidRPr="00451FDB" w:rsidRDefault="00772FB6" w:rsidP="00B33061">
      <w:pPr>
        <w:pStyle w:val="EndNoteBibliography"/>
        <w:spacing w:after="120"/>
      </w:pPr>
      <w:r w:rsidRPr="00451FDB">
        <w:t xml:space="preserve">Department of Agriculture 2020, </w:t>
      </w:r>
      <w:r w:rsidRPr="00451FDB">
        <w:rPr>
          <w:i/>
        </w:rPr>
        <w:t xml:space="preserve">Technical submission on dragon fruit/pitaya/pithaya: Hylocereus </w:t>
      </w:r>
      <w:r w:rsidRPr="008C6537">
        <w:rPr>
          <w:iCs/>
        </w:rPr>
        <w:t>spp</w:t>
      </w:r>
      <w:r w:rsidRPr="00451FDB">
        <w:rPr>
          <w:i/>
        </w:rPr>
        <w:t>.</w:t>
      </w:r>
      <w:r w:rsidRPr="00451FDB">
        <w:t>, Department of Agriculture of the Philippines, Bureau of Plant Industry, Manila, the Philippines.</w:t>
      </w:r>
    </w:p>
    <w:p w14:paraId="23BB1752" w14:textId="77777777" w:rsidR="00BC2F05" w:rsidRPr="00451FDB" w:rsidRDefault="00772FB6" w:rsidP="00B33061">
      <w:pPr>
        <w:pStyle w:val="EndNoteBibliography"/>
        <w:spacing w:after="120"/>
      </w:pPr>
      <w:r w:rsidRPr="00451FDB">
        <w:lastRenderedPageBreak/>
        <w:t xml:space="preserve">Department of Trade &amp; Industry‚ Philippines 2013, </w:t>
      </w:r>
      <w:r w:rsidRPr="00451FDB">
        <w:rPr>
          <w:i/>
        </w:rPr>
        <w:t>Fresh fruits – dragon fruit (pitahayas) – classification and grading</w:t>
      </w:r>
      <w:r w:rsidRPr="00451FDB">
        <w:t>, Philippine National Standard, PNS/BAFPS 115:2013 ICS 67.080.10, Bureau of Product Standards, The Philippines.</w:t>
      </w:r>
    </w:p>
    <w:p w14:paraId="5B7A6168" w14:textId="77777777" w:rsidR="00BC2F05" w:rsidRPr="00451FDB" w:rsidRDefault="00772FB6" w:rsidP="00B33061">
      <w:pPr>
        <w:pStyle w:val="EndNoteBibliography"/>
        <w:spacing w:after="120"/>
      </w:pPr>
      <w:r w:rsidRPr="00451FDB">
        <w:t xml:space="preserve">Dhillon, MK, Singh, R, Naresh, JS &amp; Sharma, HC 2005, ‘The melon fruit fly, </w:t>
      </w:r>
      <w:r w:rsidRPr="00451FDB">
        <w:rPr>
          <w:i/>
        </w:rPr>
        <w:t>Bactrocera cucurbitae</w:t>
      </w:r>
      <w:r w:rsidRPr="00451FDB">
        <w:t xml:space="preserve">: a review of its biology and management’, </w:t>
      </w:r>
      <w:r w:rsidRPr="00451FDB">
        <w:rPr>
          <w:i/>
        </w:rPr>
        <w:t>Journal of Insect Science</w:t>
      </w:r>
      <w:r w:rsidRPr="00451FDB">
        <w:t>, vol. 5, no. 40, pp. 1-16.</w:t>
      </w:r>
    </w:p>
    <w:p w14:paraId="00F7AA9A" w14:textId="77777777" w:rsidR="00BC2F05" w:rsidRPr="00451FDB" w:rsidRDefault="00772FB6" w:rsidP="00B33061">
      <w:pPr>
        <w:pStyle w:val="EndNoteBibliography"/>
        <w:spacing w:after="120"/>
      </w:pPr>
      <w:r w:rsidRPr="00451FDB">
        <w:t xml:space="preserve">Diamante, JC 1986, </w:t>
      </w:r>
      <w:r w:rsidRPr="00451FDB">
        <w:rPr>
          <w:i/>
        </w:rPr>
        <w:t>Screening of microorganisms for improved saccharogenic and proteolytic activities on root crop-based soy sauce</w:t>
      </w:r>
      <w:r w:rsidRPr="00451FDB">
        <w:t>, Visayas State College of Agriculture, Pangasugan, Baybay City, Leyte, the Philippines.</w:t>
      </w:r>
    </w:p>
    <w:p w14:paraId="385884ED" w14:textId="77777777" w:rsidR="00BC2F05" w:rsidRPr="00451FDB" w:rsidRDefault="00772FB6" w:rsidP="00B33061">
      <w:pPr>
        <w:pStyle w:val="EndNoteBibliography"/>
        <w:spacing w:after="120"/>
      </w:pPr>
      <w:r w:rsidRPr="00451FDB">
        <w:t xml:space="preserve">Điểu, LT &amp; Huỳnh, NV 2009, ‘Điều tra thành phần loài sâu hại, thiên địch và ruồi đục trái trên cây thanh long tại tỉnh Long An’ (Investigating the composition of pests, natural enemies and fruit flies on dragon fruit trees in Long An province), </w:t>
      </w:r>
      <w:r w:rsidRPr="00451FDB">
        <w:rPr>
          <w:i/>
        </w:rPr>
        <w:t>Tạp chí Khoa học</w:t>
      </w:r>
      <w:r w:rsidRPr="00451FDB">
        <w:t xml:space="preserve">, vol. 11, pp. 1-10. </w:t>
      </w:r>
    </w:p>
    <w:p w14:paraId="36F04DAB" w14:textId="76828467" w:rsidR="00BC2F05" w:rsidRPr="00451FDB" w:rsidRDefault="00772FB6" w:rsidP="00B33061">
      <w:pPr>
        <w:pStyle w:val="EndNoteBibliography"/>
        <w:spacing w:after="120"/>
      </w:pPr>
      <w:r w:rsidRPr="00451FDB">
        <w:t>Dimayacyac, DA &amp; Balendres, MA 2021, ‘</w:t>
      </w:r>
      <w:r w:rsidRPr="00451FDB">
        <w:rPr>
          <w:i/>
        </w:rPr>
        <w:t xml:space="preserve">Commelina benghalensis </w:t>
      </w:r>
      <w:r w:rsidRPr="00451FDB">
        <w:t xml:space="preserve">harbors </w:t>
      </w:r>
      <w:r w:rsidRPr="00451FDB">
        <w:rPr>
          <w:i/>
        </w:rPr>
        <w:t>Corynespora cassiicola</w:t>
      </w:r>
      <w:r w:rsidRPr="00451FDB">
        <w:t xml:space="preserve">, the tomato target spot pathogen’, </w:t>
      </w:r>
      <w:r w:rsidRPr="00451FDB">
        <w:rPr>
          <w:i/>
        </w:rPr>
        <w:t>International Journal of Pest Management</w:t>
      </w:r>
      <w:r w:rsidRPr="00451FDB">
        <w:t xml:space="preserve">, </w:t>
      </w:r>
      <w:hyperlink r:id="rId126" w:history="1">
        <w:r w:rsidR="008C6537" w:rsidRPr="00743CC0">
          <w:rPr>
            <w:rStyle w:val="Hyperlink"/>
          </w:rPr>
          <w:t>https://doi.org/10.1080/09670874.2021.1980246</w:t>
        </w:r>
      </w:hyperlink>
      <w:r w:rsidRPr="00451FDB">
        <w:t xml:space="preserve"> [epub ahead of print], accessed 29 October 2021. pp. 1-7.</w:t>
      </w:r>
    </w:p>
    <w:p w14:paraId="3BE068B2" w14:textId="77777777" w:rsidR="00BC2F05" w:rsidRPr="00451FDB" w:rsidRDefault="00772FB6" w:rsidP="00B33061">
      <w:pPr>
        <w:pStyle w:val="EndNoteBibliography"/>
        <w:spacing w:after="120"/>
      </w:pPr>
      <w:r w:rsidRPr="00451FDB">
        <w:t>Doan, TT, Nguyen, TK, Vo, TKL, Nguyen, TL, Cao, CC, Tran, TTA &amp; Nguyen, HHT 2016, ‘Phytosanitary irradiation of the mealybugs,</w:t>
      </w:r>
      <w:r w:rsidRPr="00451FDB">
        <w:rPr>
          <w:i/>
        </w:rPr>
        <w:t xml:space="preserve"> Dysmicoccus neobrevipes, Planococcus lilacinus</w:t>
      </w:r>
      <w:r w:rsidRPr="00451FDB">
        <w:t>, and</w:t>
      </w:r>
      <w:r w:rsidRPr="00451FDB">
        <w:rPr>
          <w:i/>
        </w:rPr>
        <w:t xml:space="preserve"> Planococcus minor </w:t>
      </w:r>
      <w:r w:rsidRPr="00451FDB">
        <w:t xml:space="preserve">(Hemiptera: Pseudococcidae), infesting dragon fruit in Vietnam’, </w:t>
      </w:r>
      <w:r w:rsidRPr="00451FDB">
        <w:rPr>
          <w:i/>
        </w:rPr>
        <w:t>Florida Entomologist</w:t>
      </w:r>
      <w:r w:rsidRPr="00451FDB">
        <w:t>, vol. 99, pp. 159-65.</w:t>
      </w:r>
    </w:p>
    <w:p w14:paraId="2B1D4AC2" w14:textId="10FA5EB4" w:rsidR="00BC2F05" w:rsidRPr="00451FDB" w:rsidRDefault="00772FB6" w:rsidP="00B33061">
      <w:pPr>
        <w:pStyle w:val="EndNoteBibliography"/>
        <w:spacing w:after="120"/>
      </w:pPr>
      <w:r w:rsidRPr="00451FDB">
        <w:t xml:space="preserve">DPIR 2018, ‘Northern Territory 2018 Plant Quarantine Manual’, Northern Territory Government Department of Primary Industry and Resources (DPIR), Darwin, Australia, available at </w:t>
      </w:r>
      <w:hyperlink r:id="rId127" w:history="1">
        <w:r w:rsidR="008C6537" w:rsidRPr="00743CC0">
          <w:rPr>
            <w:rStyle w:val="Hyperlink"/>
          </w:rPr>
          <w:t>https://nt.gov.au/industry/agriculture/food-crops-plants-and-quarantine/plants-and-quarantine</w:t>
        </w:r>
      </w:hyperlink>
      <w:r w:rsidRPr="00451FDB">
        <w:t>.</w:t>
      </w:r>
    </w:p>
    <w:p w14:paraId="1DC9C301" w14:textId="77777777" w:rsidR="00BC2F05" w:rsidRPr="00451FDB" w:rsidRDefault="00772FB6" w:rsidP="00B33061">
      <w:pPr>
        <w:pStyle w:val="EndNoteBibliography"/>
        <w:spacing w:after="120"/>
      </w:pPr>
      <w:r w:rsidRPr="00451FDB">
        <w:t xml:space="preserve">Duyck, PF, Sterlin, JF &amp; Quilici, S 2004, ‘Survival and development of different life stages of </w:t>
      </w:r>
      <w:r w:rsidRPr="00451FDB">
        <w:rPr>
          <w:i/>
        </w:rPr>
        <w:t xml:space="preserve">Bactrocera zonata </w:t>
      </w:r>
      <w:r w:rsidRPr="00451FDB">
        <w:t xml:space="preserve">(Diptera: Tephritidae) reared at five constant temperatures compared to other fruit fly species’, </w:t>
      </w:r>
      <w:r w:rsidRPr="00451FDB">
        <w:rPr>
          <w:i/>
        </w:rPr>
        <w:t>Bulletin of Entomological Research</w:t>
      </w:r>
      <w:r w:rsidRPr="00451FDB">
        <w:t>, vol. 94, pp. 89-93.</w:t>
      </w:r>
    </w:p>
    <w:p w14:paraId="604ABEA0" w14:textId="77777777" w:rsidR="00BC2F05" w:rsidRPr="00451FDB" w:rsidRDefault="00772FB6" w:rsidP="00B33061">
      <w:pPr>
        <w:pStyle w:val="EndNoteBibliography"/>
        <w:spacing w:after="120"/>
      </w:pPr>
      <w:r w:rsidRPr="00451FDB">
        <w:t xml:space="preserve">Ebarvia, ML, dela Cruz, JA &amp; dela Cruz, TEE 2017, ‘P71: molecular identification and aflatoxin screening of </w:t>
      </w:r>
      <w:r w:rsidRPr="00451FDB">
        <w:rPr>
          <w:i/>
        </w:rPr>
        <w:t>Aspergillus</w:t>
      </w:r>
      <w:r w:rsidRPr="00451FDB">
        <w:t xml:space="preserve"> isolated from Philippine dried fish products’, paper presented at 3rd IMEKOFOODS Metrology Promoting Harmonization &amp; Standardization in Food &amp; Nutrition, Thessaloniki, Greece, 1-4 October.</w:t>
      </w:r>
    </w:p>
    <w:p w14:paraId="2E7FE1FC" w14:textId="77777777" w:rsidR="00BC2F05" w:rsidRPr="00451FDB" w:rsidRDefault="00772FB6" w:rsidP="00B33061">
      <w:pPr>
        <w:pStyle w:val="EndNoteBibliography"/>
        <w:spacing w:after="120"/>
      </w:pPr>
      <w:r w:rsidRPr="00451FDB">
        <w:t xml:space="preserve">Elmer, WH, Summerell, BA, Burgess, LW &amp; Nigh, EL, Jr 1999, ‘Vegetative compatibility groups in </w:t>
      </w:r>
      <w:r w:rsidRPr="00451FDB">
        <w:rPr>
          <w:i/>
        </w:rPr>
        <w:t>Fusarium proliferatum</w:t>
      </w:r>
      <w:r w:rsidRPr="00451FDB">
        <w:t xml:space="preserve"> from asparagus in Australia’, </w:t>
      </w:r>
      <w:r w:rsidRPr="00451FDB">
        <w:rPr>
          <w:i/>
        </w:rPr>
        <w:t>Mycologia</w:t>
      </w:r>
      <w:r w:rsidRPr="00451FDB">
        <w:t>, vol. 91, no. 4, pp. 650-4.</w:t>
      </w:r>
    </w:p>
    <w:p w14:paraId="7B0D3C90" w14:textId="1A8A3125" w:rsidR="00BC2F05" w:rsidRPr="00451FDB" w:rsidRDefault="00772FB6" w:rsidP="00B33061">
      <w:pPr>
        <w:pStyle w:val="EndNoteBibliography"/>
        <w:spacing w:after="120"/>
      </w:pPr>
      <w:r w:rsidRPr="00451FDB">
        <w:t xml:space="preserve">EPPO 2022, ‘EPPO Global Database’, European and Mediterranean Plant Protection Organization (EPPO), available at </w:t>
      </w:r>
      <w:hyperlink r:id="rId128" w:history="1">
        <w:r w:rsidR="008C6537" w:rsidRPr="00743CC0">
          <w:rPr>
            <w:rStyle w:val="Hyperlink"/>
          </w:rPr>
          <w:t>https://gd.eppo.int/</w:t>
        </w:r>
      </w:hyperlink>
      <w:r w:rsidRPr="00451FDB">
        <w:t>, accessed 2022.</w:t>
      </w:r>
    </w:p>
    <w:p w14:paraId="45D94D1C" w14:textId="77777777" w:rsidR="00BC2F05" w:rsidRPr="00451FDB" w:rsidRDefault="00772FB6" w:rsidP="00B33061">
      <w:pPr>
        <w:pStyle w:val="EndNoteBibliography"/>
        <w:spacing w:after="120"/>
      </w:pPr>
      <w:r w:rsidRPr="00451FDB">
        <w:t>Estigoy, JH &amp; Estigoy, MAS 2015, ‘Population dynamics of insects associated with dragon fruit (</w:t>
      </w:r>
      <w:r w:rsidRPr="00451FDB">
        <w:rPr>
          <w:i/>
        </w:rPr>
        <w:t>Hylocereus</w:t>
      </w:r>
      <w:r w:rsidRPr="00451FDB">
        <w:t xml:space="preserve"> sp.)’, </w:t>
      </w:r>
      <w:r w:rsidRPr="00451FDB">
        <w:rPr>
          <w:i/>
        </w:rPr>
        <w:t>Journal of Agricultural Technology</w:t>
      </w:r>
      <w:r w:rsidRPr="00451FDB">
        <w:t>, vol. 11, pp. 1-18.</w:t>
      </w:r>
    </w:p>
    <w:p w14:paraId="3C6FFB1F" w14:textId="3F58626D" w:rsidR="00BC2F05" w:rsidRPr="00451FDB" w:rsidRDefault="00772FB6" w:rsidP="00B33061">
      <w:pPr>
        <w:pStyle w:val="EndNoteBibliography"/>
        <w:spacing w:after="120"/>
      </w:pPr>
      <w:r w:rsidRPr="00451FDB">
        <w:t xml:space="preserve">Eusebio, JE &amp; Alaban, CS 2018, </w:t>
      </w:r>
      <w:r w:rsidRPr="00451FDB">
        <w:rPr>
          <w:i/>
        </w:rPr>
        <w:t>Current status of dragon fruit and its prospects in the Philippines</w:t>
      </w:r>
      <w:r w:rsidRPr="00451FDB">
        <w:t xml:space="preserve">, Food &amp; Fertilizer Technology Center Agricultural Policy Platform (FFTC-AP), available at </w:t>
      </w:r>
      <w:hyperlink r:id="rId129" w:history="1">
        <w:r w:rsidR="008C6537" w:rsidRPr="00743CC0">
          <w:rPr>
            <w:rStyle w:val="Hyperlink"/>
          </w:rPr>
          <w:t>http://ap.fftc.agnet.org/index.php</w:t>
        </w:r>
      </w:hyperlink>
      <w:r w:rsidRPr="00451FDB">
        <w:t>.</w:t>
      </w:r>
    </w:p>
    <w:p w14:paraId="2F01A6D6" w14:textId="6AFFED6E" w:rsidR="00BC2F05" w:rsidRPr="00451FDB" w:rsidRDefault="00772FB6" w:rsidP="00B33061">
      <w:pPr>
        <w:pStyle w:val="EndNoteBibliography"/>
        <w:spacing w:after="120"/>
      </w:pPr>
      <w:r w:rsidRPr="00451FDB">
        <w:t xml:space="preserve">Evallo, E, Taguiam, JD, Bengoa, J, Maghirang, R &amp; Balendres, MA 2022, ‘First report of </w:t>
      </w:r>
      <w:r w:rsidRPr="00451FDB">
        <w:rPr>
          <w:i/>
        </w:rPr>
        <w:t>Colletotrichum tropicale</w:t>
      </w:r>
      <w:r w:rsidRPr="00451FDB">
        <w:t xml:space="preserve"> on dragon fruit and the response of three </w:t>
      </w:r>
      <w:r w:rsidRPr="00451FDB">
        <w:rPr>
          <w:i/>
        </w:rPr>
        <w:t>Selenicereus</w:t>
      </w:r>
      <w:r w:rsidRPr="00451FDB">
        <w:t xml:space="preserve"> species to anthrocnose’, </w:t>
      </w:r>
      <w:r w:rsidRPr="00451FDB">
        <w:rPr>
          <w:i/>
        </w:rPr>
        <w:t>International Journal of Pest Management</w:t>
      </w:r>
      <w:r w:rsidRPr="00451FDB">
        <w:t xml:space="preserve">, </w:t>
      </w:r>
      <w:hyperlink r:id="rId130" w:history="1">
        <w:r w:rsidR="008C6537" w:rsidRPr="00743CC0">
          <w:rPr>
            <w:rStyle w:val="Hyperlink"/>
          </w:rPr>
          <w:t>https://doi.org/10.1080/09670874.2022.2027551</w:t>
        </w:r>
      </w:hyperlink>
      <w:r w:rsidR="008C6537">
        <w:t xml:space="preserve"> </w:t>
      </w:r>
      <w:r w:rsidRPr="00451FDB">
        <w:t>[epub ahead of print], accessed 4 February 2022.</w:t>
      </w:r>
    </w:p>
    <w:p w14:paraId="6D6A19A9" w14:textId="7B7C2F6E" w:rsidR="00BC2F05" w:rsidRPr="00451FDB" w:rsidRDefault="00772FB6" w:rsidP="00B33061">
      <w:pPr>
        <w:pStyle w:val="EndNoteBibliography"/>
        <w:spacing w:after="120"/>
      </w:pPr>
      <w:r w:rsidRPr="00451FDB">
        <w:t xml:space="preserve">FAO 2016a, </w:t>
      </w:r>
      <w:r w:rsidRPr="00451FDB">
        <w:rPr>
          <w:i/>
        </w:rPr>
        <w:t>International Standards for Phytosanitary Measures (ISPM) no. 10: Requirements for the establishment of pest free places of production and pest free production sites</w:t>
      </w:r>
      <w:r w:rsidRPr="00451FDB">
        <w:t xml:space="preserve">, Secretariat of the International Plant Protection Convention, Food and Agriculture Organization of the United </w:t>
      </w:r>
      <w:r w:rsidRPr="00451FDB">
        <w:lastRenderedPageBreak/>
        <w:t xml:space="preserve">Nations, Rome, Italy, available at </w:t>
      </w:r>
      <w:hyperlink r:id="rId131" w:history="1">
        <w:r w:rsidR="008C6537" w:rsidRPr="00743CC0">
          <w:rPr>
            <w:rStyle w:val="Hyperlink"/>
          </w:rPr>
          <w:t>https://www.ippc.int/en/core-activities/standards-setting/ispms/</w:t>
        </w:r>
      </w:hyperlink>
      <w:r w:rsidRPr="00451FDB">
        <w:t>.</w:t>
      </w:r>
    </w:p>
    <w:p w14:paraId="1A6751E5" w14:textId="1180D499" w:rsidR="00BC2F05" w:rsidRPr="00451FDB" w:rsidRDefault="00772FB6" w:rsidP="00B33061">
      <w:pPr>
        <w:pStyle w:val="EndNoteBibliography"/>
        <w:spacing w:after="120"/>
      </w:pPr>
      <w:r w:rsidRPr="00451FDB">
        <w:t xml:space="preserve">-- -- 2016b, </w:t>
      </w:r>
      <w:r w:rsidRPr="00451FDB">
        <w:rPr>
          <w:i/>
        </w:rPr>
        <w:t>International Standards for Phytosanitary Measures (ISPM) no. 31: Methodologies for sampling of consignments</w:t>
      </w:r>
      <w:r w:rsidRPr="00451FDB">
        <w:t xml:space="preserve">, Secretariat of the International Plant Protection Convention, Food and Agriculture Organization of the United Nations, Rome, Italy, available at </w:t>
      </w:r>
      <w:hyperlink r:id="rId132" w:history="1">
        <w:r w:rsidR="008C6537" w:rsidRPr="00743CC0">
          <w:rPr>
            <w:rStyle w:val="Hyperlink"/>
          </w:rPr>
          <w:t>https://www.ippc.int/en/core-activities/standards-setting/ispms/</w:t>
        </w:r>
      </w:hyperlink>
      <w:r w:rsidRPr="00451FDB">
        <w:t>.</w:t>
      </w:r>
    </w:p>
    <w:p w14:paraId="08BD8E71" w14:textId="50B93775" w:rsidR="00BC2F05" w:rsidRPr="00451FDB" w:rsidRDefault="00772FB6" w:rsidP="00B33061">
      <w:pPr>
        <w:pStyle w:val="EndNoteBibliography"/>
        <w:spacing w:after="120"/>
      </w:pPr>
      <w:r w:rsidRPr="00451FDB">
        <w:t xml:space="preserve">-- -- 2017, </w:t>
      </w:r>
      <w:r w:rsidRPr="00451FDB">
        <w:rPr>
          <w:i/>
        </w:rPr>
        <w:t>International Standards for Phytosanitary Measures (ISPM) no. 4: Requirements for the establishment of pest free areas</w:t>
      </w:r>
      <w:r w:rsidRPr="00451FDB">
        <w:t xml:space="preserve">, Secretariat of the International Plant Protection Convention, Food and Agriculture Organization of the United Nations, Rome, Italy, available at </w:t>
      </w:r>
      <w:hyperlink r:id="rId133" w:history="1">
        <w:r w:rsidR="008C6537" w:rsidRPr="00743CC0">
          <w:rPr>
            <w:rStyle w:val="Hyperlink"/>
          </w:rPr>
          <w:t>https://www.ippc.int/en/core-activities/standards-setting/ispms/</w:t>
        </w:r>
      </w:hyperlink>
      <w:r w:rsidRPr="00451FDB">
        <w:t>.</w:t>
      </w:r>
    </w:p>
    <w:p w14:paraId="6B0E4D21" w14:textId="02648692" w:rsidR="00BC2F05" w:rsidRPr="00451FDB" w:rsidRDefault="00772FB6" w:rsidP="00B33061">
      <w:pPr>
        <w:pStyle w:val="EndNoteBibliography"/>
        <w:spacing w:after="120"/>
      </w:pPr>
      <w:r w:rsidRPr="00451FDB">
        <w:t xml:space="preserve">-- -- 2018, </w:t>
      </w:r>
      <w:r w:rsidRPr="00451FDB">
        <w:rPr>
          <w:i/>
        </w:rPr>
        <w:t>International Standards for Phytosanitary Measures (ISPM) no. 26: Establishment of pest free areas for fruit flies (Tephritidae)</w:t>
      </w:r>
      <w:r w:rsidRPr="00451FDB">
        <w:t xml:space="preserve">, Secretariat of the International Plant Protection Convention, Food and Agriculture Organization of the United Nations, Rome, Italy, available at </w:t>
      </w:r>
      <w:hyperlink r:id="rId134" w:history="1">
        <w:r w:rsidR="008C6537" w:rsidRPr="00743CC0">
          <w:rPr>
            <w:rStyle w:val="Hyperlink"/>
          </w:rPr>
          <w:t>https://www.ippc.int/en/core-activities/standards-setting/ispms/</w:t>
        </w:r>
      </w:hyperlink>
      <w:r w:rsidRPr="00451FDB">
        <w:t>.</w:t>
      </w:r>
    </w:p>
    <w:p w14:paraId="1EB1E127" w14:textId="531CD627" w:rsidR="00BC2F05" w:rsidRPr="00451FDB" w:rsidRDefault="00772FB6" w:rsidP="00B33061">
      <w:pPr>
        <w:pStyle w:val="EndNoteBibliography"/>
        <w:spacing w:after="120"/>
      </w:pPr>
      <w:r w:rsidRPr="00451FDB">
        <w:t xml:space="preserve">-- -- 2019a, </w:t>
      </w:r>
      <w:r w:rsidRPr="00451FDB">
        <w:rPr>
          <w:i/>
        </w:rPr>
        <w:t>International Standards for Phytosanitary Measures (ISPM) no. 2: Framework for pest risk analysis</w:t>
      </w:r>
      <w:r w:rsidRPr="00451FDB">
        <w:t xml:space="preserve">, Secretariat of the International Plant Protection Convention, Food and Agriculture Organization of the United Nations, Rome, Italy, available at </w:t>
      </w:r>
      <w:hyperlink r:id="rId135" w:history="1">
        <w:r w:rsidR="008C6537" w:rsidRPr="00743CC0">
          <w:rPr>
            <w:rStyle w:val="Hyperlink"/>
          </w:rPr>
          <w:t>https://www.ippc.int/en/core-activities/standards-setting/ispms/</w:t>
        </w:r>
      </w:hyperlink>
      <w:r w:rsidRPr="00451FDB">
        <w:t>.</w:t>
      </w:r>
    </w:p>
    <w:p w14:paraId="291759E1" w14:textId="460E9F13" w:rsidR="00BC2F05" w:rsidRPr="00451FDB" w:rsidRDefault="00772FB6" w:rsidP="00B33061">
      <w:pPr>
        <w:pStyle w:val="EndNoteBibliography"/>
        <w:spacing w:after="120"/>
      </w:pPr>
      <w:r w:rsidRPr="00451FDB">
        <w:t xml:space="preserve">-- -- 2019b, </w:t>
      </w:r>
      <w:r w:rsidRPr="00451FDB">
        <w:rPr>
          <w:i/>
        </w:rPr>
        <w:t>International Standards for Phytosanitary Measures (ISPM) no. 11: Pest risk analysis for quarantine pests</w:t>
      </w:r>
      <w:r w:rsidRPr="00451FDB">
        <w:t xml:space="preserve">, Secretariat of the International Plant Protection Convention, Food and Agriculture Organization (FAO) of the United Nations, Rome, Italy, available at </w:t>
      </w:r>
      <w:hyperlink r:id="rId136" w:history="1">
        <w:r w:rsidR="008C6537" w:rsidRPr="00743CC0">
          <w:rPr>
            <w:rStyle w:val="Hyperlink"/>
          </w:rPr>
          <w:t>https://www.ippc.int/en/core-activities/standards-setting/ispms/</w:t>
        </w:r>
      </w:hyperlink>
      <w:r w:rsidRPr="00451FDB">
        <w:t>.</w:t>
      </w:r>
    </w:p>
    <w:p w14:paraId="7FDFD5DD" w14:textId="7F559EF4" w:rsidR="00BC2F05" w:rsidRPr="00451FDB" w:rsidRDefault="00772FB6" w:rsidP="00B33061">
      <w:pPr>
        <w:pStyle w:val="EndNoteBibliography"/>
        <w:spacing w:after="120"/>
      </w:pPr>
      <w:r w:rsidRPr="00451FDB">
        <w:t xml:space="preserve">-- -- 2019c, </w:t>
      </w:r>
      <w:r w:rsidRPr="00451FDB">
        <w:rPr>
          <w:i/>
        </w:rPr>
        <w:t>International Standards for Phytosanitary Measures (ISPM) no. 18: Guidelines for the use of irradiation as a phytosanitary measure</w:t>
      </w:r>
      <w:r w:rsidRPr="00451FDB">
        <w:t xml:space="preserve">, Secretariat of the International Plant Protection Convention, Food and Agriculture Organization of the United Nations, Rome, Italy, available at </w:t>
      </w:r>
      <w:hyperlink r:id="rId137" w:history="1">
        <w:r w:rsidR="008C6537" w:rsidRPr="00743CC0">
          <w:rPr>
            <w:rStyle w:val="Hyperlink"/>
          </w:rPr>
          <w:t>https://www.ippc.int/en/core-activities/standards-setting/ispms/</w:t>
        </w:r>
      </w:hyperlink>
      <w:r w:rsidRPr="00451FDB">
        <w:t>.</w:t>
      </w:r>
    </w:p>
    <w:p w14:paraId="491C8A47" w14:textId="50AE652A" w:rsidR="00BC2F05" w:rsidRPr="00451FDB" w:rsidRDefault="00772FB6" w:rsidP="00B33061">
      <w:pPr>
        <w:pStyle w:val="EndNoteBibliography"/>
        <w:spacing w:after="120"/>
      </w:pPr>
      <w:r w:rsidRPr="00451FDB">
        <w:t xml:space="preserve">-- -- 2019d, </w:t>
      </w:r>
      <w:r w:rsidRPr="00451FDB">
        <w:rPr>
          <w:i/>
        </w:rPr>
        <w:t>International Standards for Phytosanitary Measures (ISPM) no. 23: Guidelines for inspection</w:t>
      </w:r>
      <w:r w:rsidRPr="00451FDB">
        <w:t xml:space="preserve">, Secretariat of the International Plant Protection Convention, Food and Agriculture Organization of the United Nations, Rome, Italy, available at </w:t>
      </w:r>
      <w:hyperlink r:id="rId138" w:history="1">
        <w:r w:rsidR="008C6537" w:rsidRPr="00743CC0">
          <w:rPr>
            <w:rStyle w:val="Hyperlink"/>
          </w:rPr>
          <w:t>https://www.ippc.int/en/core-activities/standards-setting/ispms/</w:t>
        </w:r>
      </w:hyperlink>
      <w:r w:rsidRPr="00451FDB">
        <w:t>.</w:t>
      </w:r>
    </w:p>
    <w:p w14:paraId="66F19D88" w14:textId="5207293B" w:rsidR="00BC2F05" w:rsidRPr="00451FDB" w:rsidRDefault="00772FB6" w:rsidP="00B33061">
      <w:pPr>
        <w:pStyle w:val="EndNoteBibliography"/>
        <w:spacing w:after="120"/>
      </w:pPr>
      <w:r w:rsidRPr="00451FDB">
        <w:t xml:space="preserve">-- -- 2021, </w:t>
      </w:r>
      <w:r w:rsidRPr="00451FDB">
        <w:rPr>
          <w:i/>
        </w:rPr>
        <w:t>International Standards for Phytosanitary Measures (ISPM) no. 28 Annex 07 (2009): Irradiation treatment for fruit flies of the family Tephritidae (generic)</w:t>
      </w:r>
      <w:r w:rsidRPr="00451FDB">
        <w:t xml:space="preserve">, Secretariat of the International Plant Protection Convention, Food and Agriculture Organization of the United Nations, Rome, Italy, available at </w:t>
      </w:r>
      <w:hyperlink r:id="rId139" w:history="1">
        <w:r w:rsidR="008C6537" w:rsidRPr="00743CC0">
          <w:rPr>
            <w:rStyle w:val="Hyperlink"/>
          </w:rPr>
          <w:t>https://www.ippc.int/en/core-activities/standards-setting/ispms/</w:t>
        </w:r>
      </w:hyperlink>
      <w:r w:rsidRPr="00451FDB">
        <w:t>.</w:t>
      </w:r>
    </w:p>
    <w:p w14:paraId="5E355F25" w14:textId="0BB6E261" w:rsidR="00BC2F05" w:rsidRPr="00451FDB" w:rsidRDefault="00772FB6" w:rsidP="00B33061">
      <w:pPr>
        <w:pStyle w:val="EndNoteBibliography"/>
        <w:spacing w:after="120"/>
      </w:pPr>
      <w:r w:rsidRPr="00451FDB">
        <w:t xml:space="preserve">-- -- 2022, </w:t>
      </w:r>
      <w:r w:rsidRPr="00451FDB">
        <w:rPr>
          <w:i/>
        </w:rPr>
        <w:t>International Standards for Phytosanitary Measures (ISPM) no. 5: Glossary of phytosanitary terms</w:t>
      </w:r>
      <w:r w:rsidRPr="00451FDB">
        <w:t xml:space="preserve">, Secretariat of the International Plant Protection Convention, Food and Agriculture Organization of the United Nations, Rome, Italy, available at </w:t>
      </w:r>
      <w:hyperlink r:id="rId140" w:history="1">
        <w:r w:rsidR="008C6537" w:rsidRPr="00743CC0">
          <w:rPr>
            <w:rStyle w:val="Hyperlink"/>
          </w:rPr>
          <w:t>https://www.ippc.int/en/core-activities/standards-setting/ispms/</w:t>
        </w:r>
      </w:hyperlink>
      <w:r w:rsidRPr="00451FDB">
        <w:t>.</w:t>
      </w:r>
    </w:p>
    <w:p w14:paraId="408FE822" w14:textId="64889891" w:rsidR="00BC2F05" w:rsidRPr="00451FDB" w:rsidRDefault="00772FB6" w:rsidP="00B33061">
      <w:pPr>
        <w:pStyle w:val="EndNoteBibliography"/>
        <w:spacing w:after="120"/>
      </w:pPr>
      <w:r w:rsidRPr="00451FDB">
        <w:t xml:space="preserve">Farr, DF &amp; Rossman, AY 2021, ‘Fungal Databases’, U.S. National Fungal Collections, ARS, USDA, available at </w:t>
      </w:r>
      <w:hyperlink r:id="rId141" w:history="1">
        <w:r w:rsidR="008C6537" w:rsidRPr="00743CC0">
          <w:rPr>
            <w:rStyle w:val="Hyperlink"/>
          </w:rPr>
          <w:t>https://nt.ars-grin.gov/fungaldatabases/</w:t>
        </w:r>
      </w:hyperlink>
      <w:r w:rsidRPr="00451FDB">
        <w:t>, accessed 2021.</w:t>
      </w:r>
    </w:p>
    <w:p w14:paraId="6BC92416" w14:textId="050EC429" w:rsidR="00BC2F05" w:rsidRPr="00451FDB" w:rsidRDefault="00772FB6" w:rsidP="00B33061">
      <w:pPr>
        <w:pStyle w:val="EndNoteBibliography"/>
        <w:spacing w:after="120"/>
      </w:pPr>
      <w:r w:rsidRPr="00451FDB">
        <w:t xml:space="preserve">FDACS 2017, ‘Fruit Fly Pests’, Florida Department of Agriculture and Consumer Services, USA, available at </w:t>
      </w:r>
      <w:hyperlink r:id="rId142" w:history="1">
        <w:r w:rsidR="008C6537" w:rsidRPr="00743CC0">
          <w:rPr>
            <w:rStyle w:val="Hyperlink"/>
          </w:rPr>
          <w:t>https://www.fdacs.gov/content/download/9756/file/FruitFlyPests.pdf</w:t>
        </w:r>
      </w:hyperlink>
      <w:r w:rsidRPr="00451FDB">
        <w:t xml:space="preserve"> (pdf 2.2 mb).</w:t>
      </w:r>
    </w:p>
    <w:p w14:paraId="1E7A41A0" w14:textId="77777777" w:rsidR="00BC2F05" w:rsidRPr="00451FDB" w:rsidRDefault="00772FB6" w:rsidP="00B33061">
      <w:pPr>
        <w:pStyle w:val="EndNoteBibliography"/>
        <w:spacing w:after="120"/>
      </w:pPr>
      <w:r w:rsidRPr="00451FDB">
        <w:t xml:space="preserve">Fisher, PJ, Petrini, O &amp; Sutton, BC 1993, ‘A comparative study of fungal endophytes in leaves, xylem and bark of Eucalyptus in Australia and England’, </w:t>
      </w:r>
      <w:r w:rsidRPr="00451FDB">
        <w:rPr>
          <w:i/>
        </w:rPr>
        <w:t>Sydowia</w:t>
      </w:r>
      <w:r w:rsidRPr="00451FDB">
        <w:t>, vol. 45, pp. 338-45.</w:t>
      </w:r>
    </w:p>
    <w:p w14:paraId="533464AD" w14:textId="77777777" w:rsidR="00BC2F05" w:rsidRPr="00451FDB" w:rsidRDefault="00772FB6" w:rsidP="00B33061">
      <w:pPr>
        <w:pStyle w:val="EndNoteBibliography"/>
        <w:spacing w:after="120"/>
      </w:pPr>
      <w:r w:rsidRPr="00451FDB">
        <w:lastRenderedPageBreak/>
        <w:t xml:space="preserve">Fletcher, BS 1989, ‘Life history strategies of Tephritid fruit flies’, in </w:t>
      </w:r>
      <w:r w:rsidRPr="00451FDB">
        <w:rPr>
          <w:i/>
        </w:rPr>
        <w:t>Fruit flies, their biology, natural enemies and control</w:t>
      </w:r>
      <w:r w:rsidRPr="00451FDB">
        <w:t>, vol. 3B, Robinson, AS &amp; Hooper, G (eds), Elsevier Science Publishers B.V., Amsterdam.</w:t>
      </w:r>
    </w:p>
    <w:p w14:paraId="1C071A9D" w14:textId="77777777" w:rsidR="00BC2F05" w:rsidRPr="00451FDB" w:rsidRDefault="00772FB6" w:rsidP="00B33061">
      <w:pPr>
        <w:pStyle w:val="EndNoteBibliography"/>
        <w:spacing w:after="120"/>
      </w:pPr>
      <w:r w:rsidRPr="00451FDB">
        <w:t xml:space="preserve">Follett, PA, Haynes, FEM &amp; Dominiak, BC 2021, ‘Host suitability index for polyphagous tephritid fruit flies’, </w:t>
      </w:r>
      <w:r w:rsidRPr="00451FDB">
        <w:rPr>
          <w:i/>
        </w:rPr>
        <w:t>Journal of Economic Entomology</w:t>
      </w:r>
      <w:r w:rsidRPr="00451FDB">
        <w:t>, vol. 114, no. 3, pp. 1021-34.</w:t>
      </w:r>
    </w:p>
    <w:p w14:paraId="5794C3BD" w14:textId="77777777" w:rsidR="00BC2F05" w:rsidRPr="00451FDB" w:rsidRDefault="00772FB6" w:rsidP="00B33061">
      <w:pPr>
        <w:pStyle w:val="EndNoteBibliography"/>
        <w:spacing w:after="120"/>
      </w:pPr>
      <w:r w:rsidRPr="00451FDB">
        <w:t>Foottit, RG, Maw, HEL, Pike, KS &amp; Mller, RH 2010, ‘The identity of</w:t>
      </w:r>
      <w:r w:rsidRPr="00451FDB">
        <w:rPr>
          <w:i/>
        </w:rPr>
        <w:t xml:space="preserve"> Pentalonia nigronervosa</w:t>
      </w:r>
      <w:r w:rsidRPr="00451FDB">
        <w:t xml:space="preserve"> Coquerel and </w:t>
      </w:r>
      <w:r w:rsidRPr="00451FDB">
        <w:rPr>
          <w:i/>
        </w:rPr>
        <w:t>P. caladi</w:t>
      </w:r>
      <w:r w:rsidRPr="00451FDB">
        <w:t xml:space="preserve">i van der Goot (Hemiptera: Aphididae) based on molecular and morphometric analysis’, </w:t>
      </w:r>
      <w:r w:rsidRPr="00451FDB">
        <w:rPr>
          <w:i/>
        </w:rPr>
        <w:t>Zootaxa</w:t>
      </w:r>
      <w:r w:rsidRPr="00451FDB">
        <w:t>, vol. 2358, pp. 25-38.</w:t>
      </w:r>
    </w:p>
    <w:p w14:paraId="0126072D" w14:textId="3C287343" w:rsidR="00BC2F05" w:rsidRPr="00451FDB" w:rsidRDefault="00772FB6" w:rsidP="00B33061">
      <w:pPr>
        <w:pStyle w:val="EndNoteBibliography"/>
        <w:spacing w:after="120"/>
      </w:pPr>
      <w:r w:rsidRPr="00451FDB">
        <w:t xml:space="preserve">FSANZ 2017, </w:t>
      </w:r>
      <w:r w:rsidRPr="00451FDB">
        <w:rPr>
          <w:i/>
        </w:rPr>
        <w:t>Australia New Zealand Food Standards Code: standard 1.5.3: irradiation of food</w:t>
      </w:r>
      <w:r w:rsidRPr="00451FDB">
        <w:t xml:space="preserve">, Food Standards Australia New Zealand (FSANZ), available at </w:t>
      </w:r>
      <w:hyperlink r:id="rId143" w:history="1">
        <w:r w:rsidR="008C6537" w:rsidRPr="00743CC0">
          <w:rPr>
            <w:rStyle w:val="Hyperlink"/>
          </w:rPr>
          <w:t>https://www.legislation.gov.au/Details/F2017C00053</w:t>
        </w:r>
      </w:hyperlink>
      <w:r w:rsidRPr="00451FDB">
        <w:t>.</w:t>
      </w:r>
    </w:p>
    <w:p w14:paraId="2AEDF0D6" w14:textId="21C6955E" w:rsidR="00BC2F05" w:rsidRPr="00451FDB" w:rsidRDefault="00772FB6" w:rsidP="00B33061">
      <w:pPr>
        <w:pStyle w:val="EndNoteBibliography"/>
        <w:spacing w:after="120"/>
      </w:pPr>
      <w:r w:rsidRPr="00451FDB">
        <w:t xml:space="preserve">-- -- 2021, </w:t>
      </w:r>
      <w:r w:rsidRPr="00451FDB">
        <w:rPr>
          <w:i/>
        </w:rPr>
        <w:t>Amendment No. 201 (Application A1193 – irradiation as a phytosanitary measure for all fresh fruit and vegetables) Variation</w:t>
      </w:r>
      <w:r w:rsidRPr="00451FDB">
        <w:t xml:space="preserve">, FSC 142, Commonwealth of Australia, available at </w:t>
      </w:r>
      <w:hyperlink r:id="rId144" w:history="1">
        <w:r w:rsidR="008C6537" w:rsidRPr="00743CC0">
          <w:rPr>
            <w:rStyle w:val="Hyperlink"/>
          </w:rPr>
          <w:t>https://www.foodstandards.gov.au/code/changes/gazette/Pages/Amendment%20No201.aspx</w:t>
        </w:r>
      </w:hyperlink>
      <w:r w:rsidRPr="00451FDB">
        <w:t>.</w:t>
      </w:r>
    </w:p>
    <w:p w14:paraId="053D1105" w14:textId="68CB0DC3" w:rsidR="00BC2F05" w:rsidRPr="00451FDB" w:rsidRDefault="00772FB6" w:rsidP="00B33061">
      <w:pPr>
        <w:pStyle w:val="EndNoteBibliography"/>
        <w:spacing w:after="120"/>
      </w:pPr>
      <w:r w:rsidRPr="00451FDB">
        <w:t xml:space="preserve">García Morales, M, Denno, BD, Miller, DR, Miller, GL, Ben-Dov, Y &amp; Hardy, NB 2022, ‘ScaleNet: A literature-based model of scale insect biology and systematics’, available at </w:t>
      </w:r>
      <w:hyperlink r:id="rId145" w:history="1">
        <w:r w:rsidR="008C6537" w:rsidRPr="00743CC0">
          <w:rPr>
            <w:rStyle w:val="Hyperlink"/>
          </w:rPr>
          <w:t>http://scalenet.info/</w:t>
        </w:r>
      </w:hyperlink>
      <w:r w:rsidRPr="00451FDB">
        <w:t>, accessed 2022.</w:t>
      </w:r>
    </w:p>
    <w:p w14:paraId="12C2B28A" w14:textId="7D2B315C" w:rsidR="00BC2F05" w:rsidRPr="00451FDB" w:rsidRDefault="00772FB6" w:rsidP="00B33061">
      <w:pPr>
        <w:pStyle w:val="EndNoteBibliography"/>
        <w:spacing w:after="120"/>
      </w:pPr>
      <w:r w:rsidRPr="00451FDB">
        <w:t xml:space="preserve">GBIF Secretariat 2022, ‘GBIF Network: Free and open access to biodiversity data’, Global Biodiversity Information Facility (GBIF), Copenhagen, Denmark, available at </w:t>
      </w:r>
      <w:hyperlink r:id="rId146" w:history="1">
        <w:r w:rsidR="008C6537" w:rsidRPr="00743CC0">
          <w:rPr>
            <w:rStyle w:val="Hyperlink"/>
          </w:rPr>
          <w:t>http://www.gbif.org/</w:t>
        </w:r>
      </w:hyperlink>
      <w:r w:rsidRPr="00451FDB">
        <w:t>, accessed 2022.</w:t>
      </w:r>
    </w:p>
    <w:p w14:paraId="52481F6D" w14:textId="30767038" w:rsidR="00BC2F05" w:rsidRPr="00451FDB" w:rsidRDefault="00772FB6" w:rsidP="00B33061">
      <w:pPr>
        <w:pStyle w:val="EndNoteBibliography"/>
        <w:spacing w:after="120"/>
      </w:pPr>
      <w:r w:rsidRPr="00451FDB">
        <w:t xml:space="preserve">Gerson, U &amp; Applebaum, S 2014, </w:t>
      </w:r>
      <w:r w:rsidRPr="00451FDB">
        <w:rPr>
          <w:i/>
        </w:rPr>
        <w:t>Bactrocera zonata (Saunders)</w:t>
      </w:r>
      <w:r w:rsidRPr="00451FDB">
        <w:t xml:space="preserve">, Plant pests of the Middle East, The Hebrew University of Jerusalem, Jerusalem, Israel, available at </w:t>
      </w:r>
      <w:hyperlink r:id="rId147" w:history="1">
        <w:r w:rsidR="008C6537" w:rsidRPr="00743CC0">
          <w:rPr>
            <w:rStyle w:val="Hyperlink"/>
          </w:rPr>
          <w:t>http://www.agri.huji.ac.il/mepests/pest/Bactrocera_zonata/</w:t>
        </w:r>
      </w:hyperlink>
      <w:r w:rsidRPr="00451FDB">
        <w:t>.</w:t>
      </w:r>
    </w:p>
    <w:p w14:paraId="33EA7F23" w14:textId="77777777" w:rsidR="00BC2F05" w:rsidRPr="00451FDB" w:rsidRDefault="00772FB6" w:rsidP="00B33061">
      <w:pPr>
        <w:pStyle w:val="EndNoteBibliography"/>
        <w:spacing w:after="120"/>
      </w:pPr>
      <w:r w:rsidRPr="00451FDB">
        <w:t xml:space="preserve">Gołdyn, B, Guayasamín, PR, Sanchez, KA &amp; Hepting, L 2016, ‘Notes on the distribution and invasion potential of </w:t>
      </w:r>
      <w:r w:rsidRPr="00451FDB">
        <w:rPr>
          <w:i/>
        </w:rPr>
        <w:t>Achatina fulica</w:t>
      </w:r>
      <w:r w:rsidRPr="00451FDB">
        <w:t xml:space="preserve"> Bowdich, 1822 (Gastropoda: Pulmonata: Achatinidae) in Ecuador’, </w:t>
      </w:r>
      <w:r w:rsidRPr="00451FDB">
        <w:rPr>
          <w:i/>
        </w:rPr>
        <w:t>Folia Malacologica</w:t>
      </w:r>
      <w:r w:rsidRPr="00451FDB">
        <w:t>, vol. 24, no. 2, pp. 85-90.</w:t>
      </w:r>
    </w:p>
    <w:p w14:paraId="461C3E7A" w14:textId="4077D00A" w:rsidR="00BC2F05" w:rsidRPr="00451FDB" w:rsidRDefault="00772FB6" w:rsidP="00B33061">
      <w:pPr>
        <w:pStyle w:val="EndNoteBibliography"/>
        <w:spacing w:after="120"/>
      </w:pPr>
      <w:r w:rsidRPr="00451FDB">
        <w:t xml:space="preserve">Government of Western Australia 2022, ‘Western Australia Organism List (WAOL)’, Department of Primary Industries and Regional Development, Perth, Western Australia, available at </w:t>
      </w:r>
      <w:hyperlink r:id="rId148" w:history="1">
        <w:r w:rsidR="008C6537" w:rsidRPr="00743CC0">
          <w:rPr>
            <w:rStyle w:val="Hyperlink"/>
          </w:rPr>
          <w:t>https://www.agric.wa.gov.au/bam/western-australian-organism-list-waol</w:t>
        </w:r>
      </w:hyperlink>
      <w:r w:rsidRPr="00451FDB">
        <w:t>, accessed 2022.</w:t>
      </w:r>
    </w:p>
    <w:p w14:paraId="4495A337" w14:textId="77777777" w:rsidR="00BC2F05" w:rsidRPr="00451FDB" w:rsidRDefault="00772FB6" w:rsidP="00B33061">
      <w:pPr>
        <w:pStyle w:val="EndNoteBibliography"/>
        <w:spacing w:after="120"/>
      </w:pPr>
      <w:r w:rsidRPr="00451FDB">
        <w:t xml:space="preserve">Guerrero, JJG, Dalisay, TU, Pangga, IB &amp; Organo, ND 2019, ‘Siderophores of fungi from Lipa clay loam soil, Philippines’, </w:t>
      </w:r>
      <w:r w:rsidRPr="00451FDB">
        <w:rPr>
          <w:i/>
        </w:rPr>
        <w:t>Philippine Journal of Systematic Biology</w:t>
      </w:r>
      <w:r w:rsidRPr="00451FDB">
        <w:t>, vol. 13, no. 1, pp. 71-84.</w:t>
      </w:r>
    </w:p>
    <w:p w14:paraId="3BA3471A" w14:textId="77777777" w:rsidR="00BC2F05" w:rsidRPr="00451FDB" w:rsidRDefault="00772FB6" w:rsidP="00B33061">
      <w:pPr>
        <w:pStyle w:val="EndNoteBibliography"/>
        <w:spacing w:after="120"/>
      </w:pPr>
      <w:r w:rsidRPr="00451FDB">
        <w:t xml:space="preserve">Hancock, DL, Hamacek, E, Lloyd, AC &amp; Elson-Harris, MM 2000, </w:t>
      </w:r>
      <w:r w:rsidRPr="00451FDB">
        <w:rPr>
          <w:i/>
        </w:rPr>
        <w:t>The distribution and host plants of fruit flies (Diptera: Tephritidae) in Australia</w:t>
      </w:r>
      <w:r w:rsidRPr="00451FDB">
        <w:t>, Department of Primary Industries, Brisbane.</w:t>
      </w:r>
    </w:p>
    <w:p w14:paraId="01EB8D49" w14:textId="77777777" w:rsidR="00BC2F05" w:rsidRPr="00451FDB" w:rsidRDefault="00772FB6" w:rsidP="00B33061">
      <w:pPr>
        <w:pStyle w:val="EndNoteBibliography"/>
        <w:spacing w:after="120"/>
      </w:pPr>
      <w:r w:rsidRPr="00451FDB">
        <w:t xml:space="preserve">Herradura, LE, Magnaye, LV, Alforque, MA, Lobres, MAA &amp; Kenyon, L 2003, ‘Transmission of </w:t>
      </w:r>
      <w:r w:rsidRPr="00451FDB">
        <w:rPr>
          <w:i/>
        </w:rPr>
        <w:t>Banana bract mosaic virus</w:t>
      </w:r>
      <w:r w:rsidRPr="00451FDB">
        <w:t xml:space="preserve"> by three aphid species in the Philippines’, </w:t>
      </w:r>
      <w:r w:rsidRPr="00451FDB">
        <w:rPr>
          <w:i/>
        </w:rPr>
        <w:t>Journal of Tropical Plant Pathology</w:t>
      </w:r>
      <w:r w:rsidRPr="00451FDB">
        <w:t>, vol. 39, pp. 58-64.</w:t>
      </w:r>
    </w:p>
    <w:p w14:paraId="4497DF05" w14:textId="77777777" w:rsidR="00BC2F05" w:rsidRPr="00451FDB" w:rsidRDefault="00772FB6" w:rsidP="00B33061">
      <w:pPr>
        <w:pStyle w:val="EndNoteBibliography"/>
        <w:spacing w:after="120"/>
      </w:pPr>
      <w:r w:rsidRPr="00451FDB">
        <w:t xml:space="preserve">Hicks, CB, Bloem, K, Pallipparambil, GR &amp; Hartzog, HM 2019, ‘Reported long-distance flight of the invasive oriental fruit fly and its trade implications’, in </w:t>
      </w:r>
      <w:r w:rsidRPr="00451FDB">
        <w:rPr>
          <w:i/>
        </w:rPr>
        <w:t>Area-wide management of fruit fly pests</w:t>
      </w:r>
      <w:r w:rsidRPr="00451FDB">
        <w:t>, CRC Press, Florida, USA.</w:t>
      </w:r>
    </w:p>
    <w:p w14:paraId="115390D3" w14:textId="77777777" w:rsidR="00BC2F05" w:rsidRPr="00451FDB" w:rsidRDefault="00772FB6" w:rsidP="00B33061">
      <w:pPr>
        <w:pStyle w:val="EndNoteBibliography"/>
        <w:spacing w:after="120"/>
      </w:pPr>
      <w:r w:rsidRPr="00451FDB">
        <w:t xml:space="preserve">Hien, NTT, Trang, VTT, Thanh, VV, Lien, HK, Thang, DĐ, Xuyen, LT &amp; Pereira, R 2020, ‘Fruit fly area-wide integrated pest management in dragon fruit in Binh Thuan Province, Viet Nam’, in </w:t>
      </w:r>
      <w:r w:rsidRPr="00451FDB">
        <w:rPr>
          <w:i/>
        </w:rPr>
        <w:t>Area-wide management of fruit fly pests</w:t>
      </w:r>
      <w:r w:rsidRPr="00451FDB">
        <w:t>, Pérez-Staples, D, Díaz-Fleischer, F, Montoya, P &amp; Vera, MT (eds), CRC Press, Boca Raton, FL, USA.</w:t>
      </w:r>
    </w:p>
    <w:p w14:paraId="4DE79624" w14:textId="77777777" w:rsidR="00BC2F05" w:rsidRPr="00451FDB" w:rsidRDefault="00772FB6" w:rsidP="00B33061">
      <w:pPr>
        <w:pStyle w:val="EndNoteBibliography"/>
        <w:spacing w:after="120"/>
      </w:pPr>
      <w:r w:rsidRPr="00451FDB">
        <w:t>Hieu, NT &amp; Hoa, NV 2015, ‘Management strategies of major Pitaya diseases in Vietnam’, paper presented at International Workshop on Improving Pitaya Production and Marketing, Fengshan, Kaohsiung, Taiwan, 7-9 September.</w:t>
      </w:r>
    </w:p>
    <w:p w14:paraId="4877B25A" w14:textId="77777777" w:rsidR="00BC2F05" w:rsidRPr="00451FDB" w:rsidRDefault="00772FB6" w:rsidP="00B33061">
      <w:pPr>
        <w:pStyle w:val="EndNoteBibliography"/>
        <w:spacing w:after="120"/>
      </w:pPr>
      <w:r w:rsidRPr="00451FDB">
        <w:lastRenderedPageBreak/>
        <w:t xml:space="preserve">Hipol, RM, Magtoto, LM, Tamang, SMA &amp; Damatac, AM, II 2014, ‘Antioxidant activities of fungal endophytes isolated from strawberry </w:t>
      </w:r>
      <w:r w:rsidRPr="00451FDB">
        <w:rPr>
          <w:i/>
        </w:rPr>
        <w:t>Fragaria</w:t>
      </w:r>
      <w:r w:rsidRPr="00451FDB">
        <w:t xml:space="preserve"> x </w:t>
      </w:r>
      <w:r w:rsidRPr="00451FDB">
        <w:rPr>
          <w:i/>
        </w:rPr>
        <w:t>ananassa</w:t>
      </w:r>
      <w:r w:rsidRPr="00451FDB">
        <w:t xml:space="preserve"> fruit’, </w:t>
      </w:r>
      <w:r w:rsidRPr="00451FDB">
        <w:rPr>
          <w:i/>
        </w:rPr>
        <w:t>Electronic Journal of Biology</w:t>
      </w:r>
      <w:r w:rsidRPr="00451FDB">
        <w:t>, vol. 10, no. 4, pp. 107-12.</w:t>
      </w:r>
    </w:p>
    <w:p w14:paraId="33020747" w14:textId="77777777" w:rsidR="00BC2F05" w:rsidRPr="00451FDB" w:rsidRDefault="00772FB6" w:rsidP="00B33061">
      <w:pPr>
        <w:pStyle w:val="EndNoteBibliography"/>
        <w:spacing w:after="120"/>
      </w:pPr>
      <w:r w:rsidRPr="00451FDB">
        <w:t xml:space="preserve">Hoa, NV, Hieu, NT, Hahn, TTM, Uyen, DTK &amp; Dien, LQ 2014, ‘Emerging infectious diseases and insect pests of dragon fruit, passionfruit, citrus, longan’, </w:t>
      </w:r>
      <w:r w:rsidRPr="00451FDB">
        <w:rPr>
          <w:i/>
        </w:rPr>
        <w:t>Workshop on Increasing Production and Market Access for Tropical Fruit in Southeast Asia, Southern Horticultural Research Institute (SOFRI), Long Dihn, Chau Thanh, Tien Giang, Viet Nam, 13-17 October 2014</w:t>
      </w:r>
      <w:r w:rsidRPr="00451FDB">
        <w:t>, pp. 63-76.</w:t>
      </w:r>
    </w:p>
    <w:p w14:paraId="6FDE0DCD" w14:textId="035F565C" w:rsidR="00BC2F05" w:rsidRPr="00451FDB" w:rsidRDefault="00772FB6" w:rsidP="00B33061">
      <w:pPr>
        <w:pStyle w:val="EndNoteBibliography"/>
        <w:spacing w:after="120"/>
      </w:pPr>
      <w:r w:rsidRPr="00451FDB">
        <w:t xml:space="preserve">Hollis, D &amp; Eastop, VF 2005, </w:t>
      </w:r>
      <w:r w:rsidRPr="00451FDB">
        <w:rPr>
          <w:i/>
        </w:rPr>
        <w:t>Hemiptera: Aphidoidea</w:t>
      </w:r>
      <w:r w:rsidRPr="00451FDB">
        <w:t xml:space="preserve">, Australian Faunal Directory, Australian Biological Resources Study, Canberra, available at </w:t>
      </w:r>
      <w:hyperlink r:id="rId149" w:history="1">
        <w:r w:rsidR="008C6537" w:rsidRPr="00743CC0">
          <w:rPr>
            <w:rStyle w:val="Hyperlink"/>
          </w:rPr>
          <w:t>http://environment.gov.au/biodiversity/abrs/online-resources/fauna/afd/taxa/aphidoidea</w:t>
        </w:r>
      </w:hyperlink>
      <w:r w:rsidR="008C6537">
        <w:t>.</w:t>
      </w:r>
    </w:p>
    <w:p w14:paraId="34C4579A" w14:textId="77777777" w:rsidR="00BC2F05" w:rsidRPr="00451FDB" w:rsidRDefault="00772FB6" w:rsidP="00B33061">
      <w:pPr>
        <w:pStyle w:val="EndNoteBibliography"/>
        <w:spacing w:after="120"/>
      </w:pPr>
      <w:r w:rsidRPr="00451FDB">
        <w:t xml:space="preserve">Horne, P 2002, </w:t>
      </w:r>
      <w:r w:rsidRPr="00451FDB">
        <w:rPr>
          <w:i/>
        </w:rPr>
        <w:t>Development of practical IPM for table grape production</w:t>
      </w:r>
      <w:r w:rsidRPr="00451FDB">
        <w:t>, FR00036, Horticulture Australia Limited, Sydney.</w:t>
      </w:r>
    </w:p>
    <w:p w14:paraId="6B617899" w14:textId="552D18DB" w:rsidR="00BC2F05" w:rsidRPr="00451FDB" w:rsidRDefault="00772FB6" w:rsidP="00B33061">
      <w:pPr>
        <w:pStyle w:val="EndNoteBibliography"/>
        <w:spacing w:after="120"/>
      </w:pPr>
      <w:r w:rsidRPr="00451FDB">
        <w:t xml:space="preserve">Horváth, E, Sipiczki, M, Csoma, H &amp; Miklós, I 2020, ‘Assaying the effect of yeasts on growth of fungi associated with disease’, </w:t>
      </w:r>
      <w:r w:rsidRPr="00451FDB">
        <w:rPr>
          <w:i/>
        </w:rPr>
        <w:t>BMC Microbiology</w:t>
      </w:r>
      <w:r w:rsidRPr="00451FDB">
        <w:t xml:space="preserve">, vol. 20, 320, </w:t>
      </w:r>
      <w:hyperlink r:id="rId150" w:history="1">
        <w:r w:rsidR="008C6537" w:rsidRPr="00743CC0">
          <w:rPr>
            <w:rStyle w:val="Hyperlink"/>
          </w:rPr>
          <w:t>https://doi.org/10.1186/s12866-020-01942-0</w:t>
        </w:r>
      </w:hyperlink>
      <w:r w:rsidRPr="00451FDB">
        <w:t>.</w:t>
      </w:r>
    </w:p>
    <w:p w14:paraId="155C74A1" w14:textId="77777777" w:rsidR="00BC2F05" w:rsidRPr="00451FDB" w:rsidRDefault="00772FB6" w:rsidP="00B33061">
      <w:pPr>
        <w:pStyle w:val="EndNoteBibliography"/>
        <w:spacing w:after="120"/>
      </w:pPr>
      <w:r w:rsidRPr="00451FDB">
        <w:t xml:space="preserve">Houbraken, J, Visagie, CM, Meijer, M, Frisvad, JC, Busby, PE, Pitt, JI, Seifert, KA, Louise-Seize, G, Demirel, R, Yilmaz, N, Jacobs, K, Christensen, M &amp; Samson, RA 2014, ‘A taxonomic and phylogenetic revision of </w:t>
      </w:r>
      <w:r w:rsidRPr="00451FDB">
        <w:rPr>
          <w:i/>
        </w:rPr>
        <w:t>Penicillium</w:t>
      </w:r>
      <w:r w:rsidRPr="00451FDB">
        <w:t xml:space="preserve"> section </w:t>
      </w:r>
      <w:r w:rsidRPr="00451FDB">
        <w:rPr>
          <w:i/>
        </w:rPr>
        <w:t>Aspergilloides</w:t>
      </w:r>
      <w:r w:rsidRPr="00451FDB">
        <w:t xml:space="preserve">’, </w:t>
      </w:r>
      <w:r w:rsidRPr="00451FDB">
        <w:rPr>
          <w:i/>
        </w:rPr>
        <w:t>Studies in Mycology</w:t>
      </w:r>
      <w:r w:rsidRPr="00451FDB">
        <w:t>, vol. 78, pp. 373-451.</w:t>
      </w:r>
    </w:p>
    <w:p w14:paraId="16F2FF76" w14:textId="77777777" w:rsidR="00BC2F05" w:rsidRPr="00451FDB" w:rsidRDefault="00772FB6" w:rsidP="00B33061">
      <w:pPr>
        <w:pStyle w:val="EndNoteBibliography"/>
        <w:spacing w:after="120"/>
      </w:pPr>
      <w:r w:rsidRPr="00451FDB">
        <w:t>Hu, J, Zhang, JL, Nardi, F &amp; Zhang, RL 2008, ‘Population genetic structure of the melon fly,</w:t>
      </w:r>
      <w:r w:rsidRPr="00451FDB">
        <w:rPr>
          <w:i/>
        </w:rPr>
        <w:t xml:space="preserve"> Bactrocera cucurbitae</w:t>
      </w:r>
      <w:r w:rsidRPr="00451FDB">
        <w:t xml:space="preserve"> (Diptera: Tephritidae), from China and Southeast Asia’, </w:t>
      </w:r>
      <w:r w:rsidRPr="00451FDB">
        <w:rPr>
          <w:i/>
        </w:rPr>
        <w:t>Genetica</w:t>
      </w:r>
      <w:r w:rsidRPr="00451FDB">
        <w:t>, vol. 134, pp. 319-24.</w:t>
      </w:r>
    </w:p>
    <w:p w14:paraId="033F0379" w14:textId="23F87AFC" w:rsidR="00BC2F05" w:rsidRPr="00451FDB" w:rsidRDefault="00772FB6" w:rsidP="00B33061">
      <w:pPr>
        <w:pStyle w:val="EndNoteBibliography"/>
        <w:spacing w:after="120"/>
      </w:pPr>
      <w:r w:rsidRPr="00451FDB">
        <w:t>Hu, M, Li, JL, Chen, R, Li, WJ, Feng, LW, Shi, L, Xue, Y, Feng, XY, Zhang, LH &amp; Zhou, JN 2018, ‘</w:t>
      </w:r>
      <w:r w:rsidRPr="00451FDB">
        <w:rPr>
          <w:i/>
        </w:rPr>
        <w:t>Dickeya zeae</w:t>
      </w:r>
      <w:r w:rsidRPr="00451FDB">
        <w:t xml:space="preserve"> strains isolated from rice, banana and clivia rot plants show great virulence differentials’, </w:t>
      </w:r>
      <w:r w:rsidRPr="00451FDB">
        <w:rPr>
          <w:i/>
        </w:rPr>
        <w:t>BMC Microbiology</w:t>
      </w:r>
      <w:r w:rsidRPr="00451FDB">
        <w:t xml:space="preserve">, vol. 18, no. 136, </w:t>
      </w:r>
      <w:hyperlink r:id="rId151" w:history="1">
        <w:r w:rsidR="008C6537" w:rsidRPr="00743CC0">
          <w:rPr>
            <w:rStyle w:val="Hyperlink"/>
          </w:rPr>
          <w:t>https://doi.org/10.1186/s12866-018-1300-y</w:t>
        </w:r>
      </w:hyperlink>
      <w:r w:rsidRPr="00451FDB">
        <w:t>.</w:t>
      </w:r>
    </w:p>
    <w:p w14:paraId="2374F5E0" w14:textId="77777777" w:rsidR="00BC2F05" w:rsidRPr="00451FDB" w:rsidRDefault="00772FB6" w:rsidP="00B33061">
      <w:pPr>
        <w:pStyle w:val="EndNoteBibliography"/>
        <w:spacing w:after="120"/>
      </w:pPr>
      <w:r w:rsidRPr="00451FDB">
        <w:t xml:space="preserve">Huang, Y, Gu, X, Peng, X, Tao, M, Peng, L, Chen, G &amp; Zhang, X 2020, ‘Effect of short-term low temperature on the growth, development, and reproduction of </w:t>
      </w:r>
      <w:r w:rsidRPr="00451FDB">
        <w:rPr>
          <w:i/>
        </w:rPr>
        <w:t>Bactrocera tau</w:t>
      </w:r>
      <w:r w:rsidRPr="00451FDB">
        <w:t xml:space="preserve"> (Diptera: Tephritidae) and </w:t>
      </w:r>
      <w:r w:rsidRPr="00451FDB">
        <w:rPr>
          <w:i/>
        </w:rPr>
        <w:t>Bactrocera cucurbitae</w:t>
      </w:r>
      <w:r w:rsidRPr="00451FDB">
        <w:t xml:space="preserve">’, </w:t>
      </w:r>
      <w:r w:rsidRPr="00451FDB">
        <w:rPr>
          <w:i/>
        </w:rPr>
        <w:t>Journal of Economic Entomology</w:t>
      </w:r>
      <w:r w:rsidRPr="00451FDB">
        <w:t>, vol. 113, no. 5, pp. 2141-9.</w:t>
      </w:r>
    </w:p>
    <w:p w14:paraId="59095FB4" w14:textId="77777777" w:rsidR="00BC2F05" w:rsidRPr="00451FDB" w:rsidRDefault="00772FB6" w:rsidP="00B33061">
      <w:pPr>
        <w:pStyle w:val="EndNoteBibliography"/>
        <w:spacing w:after="120"/>
      </w:pPr>
      <w:r w:rsidRPr="00451FDB">
        <w:t xml:space="preserve">Huang, YB &amp; Chiu, YC 2018, </w:t>
      </w:r>
      <w:r w:rsidRPr="00451FDB">
        <w:rPr>
          <w:i/>
        </w:rPr>
        <w:t>Insect pest management for pitaya in Taiwan</w:t>
      </w:r>
      <w:r w:rsidRPr="00451FDB">
        <w:t>, Dragon Fruit Network, Taipei, Taiwan.</w:t>
      </w:r>
    </w:p>
    <w:p w14:paraId="57A95840" w14:textId="77777777" w:rsidR="00BC2F05" w:rsidRPr="00451FDB" w:rsidRDefault="00772FB6" w:rsidP="00B33061">
      <w:pPr>
        <w:pStyle w:val="EndNoteBibliography"/>
        <w:spacing w:after="120"/>
      </w:pPr>
      <w:r w:rsidRPr="00451FDB">
        <w:t xml:space="preserve">Jeewon, R, Liew, ECY, Simpson, JA, Hodgkiss, IJ &amp; Hyde, KD 2003, ‘Phylogenetic significance of morphological characters in the taxonomy of </w:t>
      </w:r>
      <w:r w:rsidRPr="00451FDB">
        <w:rPr>
          <w:i/>
        </w:rPr>
        <w:t>Pestalotiopsis</w:t>
      </w:r>
      <w:r w:rsidRPr="00451FDB">
        <w:t xml:space="preserve"> species’, </w:t>
      </w:r>
      <w:r w:rsidRPr="00451FDB">
        <w:rPr>
          <w:i/>
        </w:rPr>
        <w:t>Molecular Phylogenetics and Evolution</w:t>
      </w:r>
      <w:r w:rsidRPr="00451FDB">
        <w:t>, vol. 27, pp. 372-83.</w:t>
      </w:r>
    </w:p>
    <w:p w14:paraId="16AB839E" w14:textId="581EDC98" w:rsidR="00BC2F05" w:rsidRPr="00451FDB" w:rsidRDefault="00772FB6" w:rsidP="00B33061">
      <w:pPr>
        <w:pStyle w:val="EndNoteBibliography"/>
        <w:spacing w:after="120"/>
      </w:pPr>
      <w:r w:rsidRPr="00451FDB">
        <w:t xml:space="preserve">Jiang, F, Jin, Q, Liang, L, Zhang, AB &amp; Li, ZH 2014, ‘Existence of species complex largely reduced barcoding success for invasive species of Tephritidae: a case study in </w:t>
      </w:r>
      <w:r w:rsidRPr="00451FDB">
        <w:rPr>
          <w:i/>
        </w:rPr>
        <w:t xml:space="preserve">Bactrocera </w:t>
      </w:r>
      <w:r w:rsidRPr="00451FDB">
        <w:t xml:space="preserve">spp.’, </w:t>
      </w:r>
      <w:r w:rsidRPr="00451FDB">
        <w:rPr>
          <w:i/>
        </w:rPr>
        <w:t>Molecular Ecology Resources</w:t>
      </w:r>
      <w:r w:rsidRPr="00451FDB">
        <w:t>, vol. 2014, DOI 10.1111/1755-0998.12259</w:t>
      </w:r>
      <w:r w:rsidR="008C6537">
        <w:t>.</w:t>
      </w:r>
    </w:p>
    <w:p w14:paraId="4CE4FB3F" w14:textId="77777777" w:rsidR="00BC2F05" w:rsidRPr="00451FDB" w:rsidRDefault="00772FB6" w:rsidP="00B33061">
      <w:pPr>
        <w:pStyle w:val="EndNoteBibliography"/>
        <w:spacing w:after="120"/>
      </w:pPr>
      <w:r w:rsidRPr="00451FDB">
        <w:t>Jiang, Y, Liao, Y, Lin, T, Lee, C, Yen, C &amp; Yang, W 2012, ‘The photoperiod-regulated bud formation of red pitaya (</w:t>
      </w:r>
      <w:r w:rsidRPr="00451FDB">
        <w:rPr>
          <w:i/>
        </w:rPr>
        <w:t>Hylocereus</w:t>
      </w:r>
      <w:r w:rsidRPr="00451FDB">
        <w:t xml:space="preserve"> sp.)’, </w:t>
      </w:r>
      <w:r w:rsidRPr="00451FDB">
        <w:rPr>
          <w:i/>
        </w:rPr>
        <w:t>Horticultural Science</w:t>
      </w:r>
      <w:r w:rsidRPr="00451FDB">
        <w:t>, vol. 47, pp. 1063-7.</w:t>
      </w:r>
    </w:p>
    <w:p w14:paraId="0787783B" w14:textId="77777777" w:rsidR="00BC2F05" w:rsidRPr="00451FDB" w:rsidRDefault="00772FB6" w:rsidP="00B33061">
      <w:pPr>
        <w:pStyle w:val="EndNoteBibliography"/>
        <w:spacing w:after="120"/>
      </w:pPr>
      <w:r w:rsidRPr="00451FDB">
        <w:t xml:space="preserve">Jones, WA 1988, ‘World review of the parasitoids of the southern green stink bug, </w:t>
      </w:r>
      <w:r w:rsidRPr="00451FDB">
        <w:rPr>
          <w:i/>
        </w:rPr>
        <w:t>Nezara viridula</w:t>
      </w:r>
      <w:r w:rsidRPr="00451FDB">
        <w:t xml:space="preserve"> (L.)(Heteroptera: Pentatomidae)’, </w:t>
      </w:r>
      <w:r w:rsidRPr="00451FDB">
        <w:rPr>
          <w:i/>
        </w:rPr>
        <w:t>Annals of the Entomological Society of America</w:t>
      </w:r>
      <w:r w:rsidRPr="00451FDB">
        <w:t>, vol. 81, no. 2, pp. 262-73.</w:t>
      </w:r>
    </w:p>
    <w:p w14:paraId="731C28D3" w14:textId="77777777" w:rsidR="00BC2F05" w:rsidRPr="00451FDB" w:rsidRDefault="00772FB6" w:rsidP="00B33061">
      <w:pPr>
        <w:pStyle w:val="EndNoteBibliography"/>
        <w:spacing w:after="120"/>
      </w:pPr>
      <w:r w:rsidRPr="00451FDB">
        <w:t xml:space="preserve">Kajita, H, Hirose, Y, Takagi, M, Okajima, S, Napompeth, B &amp; Buranapanichpan, S 1996, ‘Host plants and abundance of </w:t>
      </w:r>
      <w:r w:rsidRPr="00451FDB">
        <w:rPr>
          <w:i/>
        </w:rPr>
        <w:t>Thrips palmi</w:t>
      </w:r>
      <w:r w:rsidRPr="00451FDB">
        <w:t xml:space="preserve"> Karny (Thysanoptera: Thripidae), an important pest of vegetables in Southeast Asia’, </w:t>
      </w:r>
      <w:r w:rsidRPr="00451FDB">
        <w:rPr>
          <w:i/>
        </w:rPr>
        <w:t>Applied Entomology &amp; Zoology</w:t>
      </w:r>
      <w:r w:rsidRPr="00451FDB">
        <w:t>, vol. 31, no. 1, pp. 87-94.</w:t>
      </w:r>
    </w:p>
    <w:p w14:paraId="1A572C1A" w14:textId="77777777" w:rsidR="00BC2F05" w:rsidRPr="00451FDB" w:rsidRDefault="00772FB6" w:rsidP="00B33061">
      <w:pPr>
        <w:pStyle w:val="EndNoteBibliography"/>
        <w:spacing w:after="120"/>
      </w:pPr>
      <w:r w:rsidRPr="00451FDB">
        <w:t xml:space="preserve">Kalshoven, LGE 1981, </w:t>
      </w:r>
      <w:r w:rsidRPr="00451FDB">
        <w:rPr>
          <w:i/>
        </w:rPr>
        <w:t>Pests of crops in Indonesia</w:t>
      </w:r>
      <w:r w:rsidRPr="00451FDB">
        <w:t>, P.T. Ichtiar Baru - Van Hoeve, Jakarta, Indonesia.</w:t>
      </w:r>
    </w:p>
    <w:p w14:paraId="1D43A841" w14:textId="77777777" w:rsidR="00BC2F05" w:rsidRPr="00451FDB" w:rsidRDefault="00772FB6" w:rsidP="00B33061">
      <w:pPr>
        <w:pStyle w:val="EndNoteBibliography"/>
        <w:spacing w:after="120"/>
      </w:pPr>
      <w:r w:rsidRPr="00451FDB">
        <w:lastRenderedPageBreak/>
        <w:t xml:space="preserve">Khanh, LD, Khai, LQ, Hien, NTT, Thanh, VV, Trang, VTT, Vijaysegaran, S &amp; Pereira, R 2016, ‘Area-wide suppression of </w:t>
      </w:r>
      <w:r w:rsidRPr="00451FDB">
        <w:rPr>
          <w:i/>
        </w:rPr>
        <w:t>Bactrocera</w:t>
      </w:r>
      <w:r w:rsidRPr="00451FDB">
        <w:t xml:space="preserve"> fruit flies in dragon fruit orchards in Binh Thuan, Viet Nam’, </w:t>
      </w:r>
      <w:r w:rsidRPr="00451FDB">
        <w:rPr>
          <w:i/>
        </w:rPr>
        <w:t>Proceedings of the 9th International Symposium on Fruit Flies of Economic Importance, Bangkok, Thailand, 12-16 May 2014</w:t>
      </w:r>
      <w:r w:rsidRPr="00451FDB">
        <w:t>, pp. 93-100.</w:t>
      </w:r>
    </w:p>
    <w:p w14:paraId="479A920A" w14:textId="77777777" w:rsidR="00BC2F05" w:rsidRPr="00451FDB" w:rsidRDefault="00772FB6" w:rsidP="00B33061">
      <w:pPr>
        <w:pStyle w:val="EndNoteBibliography"/>
        <w:spacing w:after="120"/>
      </w:pPr>
      <w:r w:rsidRPr="00451FDB">
        <w:t xml:space="preserve">Kobayashi, T &amp; De Guzman, ED 1988, ‘Notes on tree diseases and associated micro-oraganisms observed from 1977 to 1985 in the Philippines’, </w:t>
      </w:r>
      <w:r w:rsidRPr="00451FDB">
        <w:rPr>
          <w:i/>
        </w:rPr>
        <w:t>JARQ</w:t>
      </w:r>
      <w:r w:rsidRPr="00451FDB">
        <w:t>, vol. 22, no. 1, pp. 64-70.</w:t>
      </w:r>
    </w:p>
    <w:p w14:paraId="0FE16DF7" w14:textId="18BC69B3" w:rsidR="00BC2F05" w:rsidRPr="00451FDB" w:rsidRDefault="00772FB6" w:rsidP="00B33061">
      <w:pPr>
        <w:pStyle w:val="EndNoteBibliography"/>
        <w:spacing w:after="120"/>
      </w:pPr>
      <w:r w:rsidRPr="00451FDB">
        <w:t xml:space="preserve">Korotkova, N, Borsch, T &amp; Arias, S 2017, ‘A phylogenetic framework for the Hylocereeae (Cactaceae) and implications for the circumscription of the genera’, </w:t>
      </w:r>
      <w:r w:rsidRPr="00451FDB">
        <w:rPr>
          <w:i/>
        </w:rPr>
        <w:t>Phytotaxa</w:t>
      </w:r>
      <w:r w:rsidRPr="00451FDB">
        <w:t xml:space="preserve">, vol. 327, no. 1, </w:t>
      </w:r>
      <w:hyperlink r:id="rId152" w:history="1">
        <w:r w:rsidR="008C6537" w:rsidRPr="00743CC0">
          <w:rPr>
            <w:rStyle w:val="Hyperlink"/>
          </w:rPr>
          <w:t>https://doi.org/10.11646/phytotaxa.327.1.1</w:t>
        </w:r>
      </w:hyperlink>
      <w:r w:rsidR="008C6537">
        <w:t xml:space="preserve">. </w:t>
      </w:r>
    </w:p>
    <w:p w14:paraId="56445886" w14:textId="77777777" w:rsidR="00BC2F05" w:rsidRPr="00451FDB" w:rsidRDefault="00772FB6" w:rsidP="00B33061">
      <w:pPr>
        <w:pStyle w:val="EndNoteBibliography"/>
        <w:spacing w:after="120"/>
      </w:pPr>
      <w:r w:rsidRPr="00451FDB">
        <w:t xml:space="preserve">Kumar, V, Kakkar, G, McKenzie, CL, Seal, DR &amp; Osborne, LS 2013, ‘An overview of chilli thrips, </w:t>
      </w:r>
      <w:r w:rsidRPr="00451FDB">
        <w:rPr>
          <w:i/>
        </w:rPr>
        <w:t>Scirtothrips dorsalis</w:t>
      </w:r>
      <w:r w:rsidRPr="00451FDB">
        <w:t xml:space="preserve"> (Thysanoptera: Thripidae) biology, distribution and management’, in </w:t>
      </w:r>
      <w:r w:rsidRPr="00451FDB">
        <w:rPr>
          <w:i/>
        </w:rPr>
        <w:t>Weed and pest control-conventional and new challenges</w:t>
      </w:r>
      <w:r w:rsidRPr="00451FDB">
        <w:t>, Soloneski, S (ed), IntechOpen, London, UK.</w:t>
      </w:r>
    </w:p>
    <w:p w14:paraId="1704E493" w14:textId="77777777" w:rsidR="00BC2F05" w:rsidRPr="00451FDB" w:rsidRDefault="00772FB6" w:rsidP="00B33061">
      <w:pPr>
        <w:pStyle w:val="EndNoteBibliography"/>
        <w:spacing w:after="120"/>
      </w:pPr>
      <w:r w:rsidRPr="00451FDB">
        <w:t xml:space="preserve">Laurel, NR, Magdalita, PM &amp; Dela Cueva, FM 2021, ‘Identification and characterization of </w:t>
      </w:r>
      <w:r w:rsidRPr="00451FDB">
        <w:rPr>
          <w:i/>
        </w:rPr>
        <w:t>Colletotrichum brevisporum</w:t>
      </w:r>
      <w:r w:rsidRPr="00451FDB">
        <w:t xml:space="preserve"> and </w:t>
      </w:r>
      <w:r w:rsidRPr="00451FDB">
        <w:rPr>
          <w:i/>
        </w:rPr>
        <w:t>C. truncatum</w:t>
      </w:r>
      <w:r w:rsidRPr="00451FDB">
        <w:t xml:space="preserve"> causing papaya anthracnose in the Philippines’, </w:t>
      </w:r>
      <w:r w:rsidRPr="00451FDB">
        <w:rPr>
          <w:i/>
        </w:rPr>
        <w:t>Journal of Phytopathology</w:t>
      </w:r>
      <w:r w:rsidRPr="00451FDB">
        <w:t>, vol. 169, pp. 692-700.</w:t>
      </w:r>
    </w:p>
    <w:p w14:paraId="31C1915A" w14:textId="77777777" w:rsidR="00BC2F05" w:rsidRPr="00451FDB" w:rsidRDefault="00772FB6" w:rsidP="00B33061">
      <w:pPr>
        <w:pStyle w:val="EndNoteBibliography"/>
        <w:spacing w:after="120"/>
      </w:pPr>
      <w:r w:rsidRPr="00451FDB">
        <w:t>Le Bellec, F, Vaillant, F &amp; Imbert, E 2006, ‘Pitahaya (</w:t>
      </w:r>
      <w:r w:rsidRPr="00451FDB">
        <w:rPr>
          <w:i/>
        </w:rPr>
        <w:t>Hylocereus</w:t>
      </w:r>
      <w:r w:rsidRPr="00451FDB">
        <w:t xml:space="preserve"> spp.): a new fruit crop, a market with a future’, </w:t>
      </w:r>
      <w:r w:rsidRPr="00451FDB">
        <w:rPr>
          <w:i/>
        </w:rPr>
        <w:t>Fruits</w:t>
      </w:r>
      <w:r w:rsidRPr="00451FDB">
        <w:t>, vol. 61, no. 4, pp. 237-50.</w:t>
      </w:r>
    </w:p>
    <w:p w14:paraId="69F1FB24" w14:textId="77777777" w:rsidR="00BC2F05" w:rsidRPr="00451FDB" w:rsidRDefault="00772FB6" w:rsidP="00B33061">
      <w:pPr>
        <w:pStyle w:val="EndNoteBibliography"/>
        <w:spacing w:after="120"/>
      </w:pPr>
      <w:r w:rsidRPr="00451FDB">
        <w:t xml:space="preserve">Le, VT, Nguyen, N, Nguyen, DD, Dang, TKT, Nguyen, CT, Dang, VHM, Chau, NH &amp; Trinh, NL 2000, ‘Quality assurance system for dragon fruit’, </w:t>
      </w:r>
      <w:r w:rsidRPr="00451FDB">
        <w:rPr>
          <w:i/>
        </w:rPr>
        <w:t>ACIAR Proceedings Series, Ho Chi Minh City, 9-12 November 1999</w:t>
      </w:r>
      <w:r w:rsidRPr="00451FDB">
        <w:t>, ACIAR, pp. 101-14.</w:t>
      </w:r>
    </w:p>
    <w:p w14:paraId="033C7EEE" w14:textId="7EE0E9E2" w:rsidR="00BC2F05" w:rsidRPr="00451FDB" w:rsidRDefault="00772FB6" w:rsidP="00B33061">
      <w:pPr>
        <w:pStyle w:val="EndNoteBibliography"/>
        <w:spacing w:after="120"/>
      </w:pPr>
      <w:r w:rsidRPr="00451FDB">
        <w:t xml:space="preserve">Lenancker, P &amp; CSIRO 2018, ‘Fact sheet: Tropical fire ants’, </w:t>
      </w:r>
      <w:r w:rsidRPr="00451FDB">
        <w:rPr>
          <w:i/>
        </w:rPr>
        <w:t>Invasive Species Council</w:t>
      </w:r>
      <w:r w:rsidRPr="00451FDB">
        <w:t xml:space="preserve">, available at </w:t>
      </w:r>
      <w:hyperlink r:id="rId153" w:history="1">
        <w:r w:rsidR="008C6537" w:rsidRPr="00743CC0">
          <w:rPr>
            <w:rStyle w:val="Hyperlink"/>
          </w:rPr>
          <w:t>https://invasives.org.au/wp-content/uploads/2018/05/Fact-Sheet-Tropical-fire-ants-2018-June-1.pdf</w:t>
        </w:r>
      </w:hyperlink>
      <w:r w:rsidRPr="00451FDB">
        <w:t xml:space="preserve"> (pdf 1,387 kb).</w:t>
      </w:r>
    </w:p>
    <w:p w14:paraId="42DE24B0" w14:textId="77777777" w:rsidR="00BC2F05" w:rsidRPr="00451FDB" w:rsidRDefault="00772FB6" w:rsidP="00B33061">
      <w:pPr>
        <w:pStyle w:val="EndNoteBibliography"/>
        <w:spacing w:after="120"/>
      </w:pPr>
      <w:r w:rsidRPr="00451FDB">
        <w:t xml:space="preserve">Leong, SL 2005, ‘Black </w:t>
      </w:r>
      <w:r w:rsidRPr="00451FDB">
        <w:rPr>
          <w:i/>
        </w:rPr>
        <w:t>Aspergillus</w:t>
      </w:r>
      <w:r w:rsidRPr="00451FDB">
        <w:t xml:space="preserve"> species: implications for ochratoxin A in Australian grapes and wine’, PhD, University of Adelaide.</w:t>
      </w:r>
    </w:p>
    <w:p w14:paraId="5F323E91" w14:textId="77777777" w:rsidR="00BC2F05" w:rsidRPr="00451FDB" w:rsidRDefault="00772FB6" w:rsidP="00B33061">
      <w:pPr>
        <w:pStyle w:val="EndNoteBibliography"/>
        <w:spacing w:after="120"/>
      </w:pPr>
      <w:r w:rsidRPr="00451FDB">
        <w:t xml:space="preserve">Li, J, Hu, M, Xue, Y, Chen, X, Lu, G, Zhang, L &amp; Zhou, J 2020, ‘Screening, identification and efficacy evaluation of antagonistic bacteria for biocontrol of soft rot disease caused by </w:t>
      </w:r>
      <w:r w:rsidRPr="00451FDB">
        <w:rPr>
          <w:i/>
        </w:rPr>
        <w:t>Dickeya zeae</w:t>
      </w:r>
      <w:r w:rsidRPr="00451FDB">
        <w:t xml:space="preserve">’, </w:t>
      </w:r>
      <w:r w:rsidRPr="00451FDB">
        <w:rPr>
          <w:i/>
        </w:rPr>
        <w:t>Microorganisms</w:t>
      </w:r>
      <w:r w:rsidRPr="00451FDB">
        <w:t>, vol. 8, 697, DOI 10.3390/microorganisms8050697.</w:t>
      </w:r>
    </w:p>
    <w:p w14:paraId="25972E39" w14:textId="09CD997B" w:rsidR="00BC2F05" w:rsidRPr="00451FDB" w:rsidRDefault="00772FB6" w:rsidP="00B33061">
      <w:pPr>
        <w:pStyle w:val="EndNoteBibliography"/>
        <w:spacing w:after="120"/>
      </w:pPr>
      <w:r w:rsidRPr="00451FDB">
        <w:t xml:space="preserve">Lian, Y, Wang, A, Zeng, B, Yang, H, Li, J, Peng, S &amp; Zhou, S 2021, ‘Effects of multi-scale climate change on the distribution of invasive insect populations and the development of ecological services: a case study of </w:t>
      </w:r>
      <w:r w:rsidRPr="00451FDB">
        <w:rPr>
          <w:i/>
        </w:rPr>
        <w:t>Zeugodacus cucurbitae</w:t>
      </w:r>
      <w:r w:rsidRPr="00451FDB">
        <w:t xml:space="preserve"> (Coquillett)’, DOI 10.21203/rs.3.rs-845374/v1 [epub ahead of print], accessed 14/12/2021. pp. 1-23.</w:t>
      </w:r>
    </w:p>
    <w:p w14:paraId="33D5099D" w14:textId="77777777" w:rsidR="00BC2F05" w:rsidRPr="00451FDB" w:rsidRDefault="00772FB6" w:rsidP="00B33061">
      <w:pPr>
        <w:pStyle w:val="EndNoteBibliography"/>
        <w:spacing w:after="120"/>
      </w:pPr>
      <w:r w:rsidRPr="00451FDB">
        <w:t xml:space="preserve">Lloyd, AC, Drew, RAI, Teakle, DS &amp; Hayward, AC 1986, ‘Bacteria associated with some </w:t>
      </w:r>
      <w:r w:rsidRPr="00451FDB">
        <w:rPr>
          <w:i/>
        </w:rPr>
        <w:t>Dacus</w:t>
      </w:r>
      <w:r w:rsidRPr="00451FDB">
        <w:t xml:space="preserve"> species (Diptera: Tephritidae) and their host fruit in Queensland’, </w:t>
      </w:r>
      <w:r w:rsidRPr="00451FDB">
        <w:rPr>
          <w:i/>
        </w:rPr>
        <w:t>Australian Journal of Biological Sciences</w:t>
      </w:r>
      <w:r w:rsidRPr="00451FDB">
        <w:t>, vol. 39, pp. 361-8.</w:t>
      </w:r>
    </w:p>
    <w:p w14:paraId="0EDE9BC3" w14:textId="77777777" w:rsidR="00BC2F05" w:rsidRPr="00451FDB" w:rsidRDefault="00772FB6" w:rsidP="00B33061">
      <w:pPr>
        <w:pStyle w:val="EndNoteBibliography"/>
        <w:spacing w:after="120"/>
      </w:pPr>
      <w:r w:rsidRPr="00451FDB">
        <w:t xml:space="preserve">Lokeshwari, D, Varghese, A, Shivashankar, S, Krishna Kumar, NK, Manjunatha, H &amp; Venugopalan, R 2014, ‘Effect of </w:t>
      </w:r>
      <w:r w:rsidRPr="00451FDB">
        <w:rPr>
          <w:i/>
        </w:rPr>
        <w:t>Aphis odinae</w:t>
      </w:r>
      <w:r w:rsidRPr="00451FDB">
        <w:t xml:space="preserve"> (Hemiptera: Aphididae) infestation on sugars and amino acid content in mango’, </w:t>
      </w:r>
      <w:r w:rsidRPr="00451FDB">
        <w:rPr>
          <w:i/>
        </w:rPr>
        <w:t>African Entomology</w:t>
      </w:r>
      <w:r w:rsidRPr="00451FDB">
        <w:t>, vol. 22, no. 4, pp. 823-7.</w:t>
      </w:r>
    </w:p>
    <w:p w14:paraId="0D0A4582" w14:textId="77777777" w:rsidR="00BC2F05" w:rsidRPr="00451FDB" w:rsidRDefault="00772FB6" w:rsidP="00B33061">
      <w:pPr>
        <w:pStyle w:val="EndNoteBibliography"/>
        <w:spacing w:after="120"/>
      </w:pPr>
      <w:r w:rsidRPr="00451FDB">
        <w:t>Lomerio, EO &amp; Calilung, VJ 1993, ‘Comparative development of</w:t>
      </w:r>
      <w:r w:rsidRPr="00451FDB">
        <w:rPr>
          <w:i/>
        </w:rPr>
        <w:t xml:space="preserve"> Pentalonia nigronervosa</w:t>
      </w:r>
      <w:r w:rsidRPr="00451FDB">
        <w:t xml:space="preserve"> Coq. on five host plants’, </w:t>
      </w:r>
      <w:r w:rsidRPr="00451FDB">
        <w:rPr>
          <w:i/>
        </w:rPr>
        <w:t>Philippine Entomologist</w:t>
      </w:r>
      <w:r w:rsidRPr="00451FDB">
        <w:t>, vol. 9, no. 1, pp. 101-51.</w:t>
      </w:r>
    </w:p>
    <w:p w14:paraId="5E195282" w14:textId="77777777" w:rsidR="00BC2F05" w:rsidRPr="00451FDB" w:rsidRDefault="00772FB6" w:rsidP="00B33061">
      <w:pPr>
        <w:pStyle w:val="EndNoteBibliography"/>
        <w:spacing w:after="120"/>
      </w:pPr>
      <w:r w:rsidRPr="00451FDB">
        <w:t>Macalinao, CAM, Magsino, EA, Alzona, FD, Sandoval, RFC &amp; Caoili, BL 2017, ‘Preliminary pathogenicity tests of potential entomopathogenic fungi isolated from coconut scale insects (</w:t>
      </w:r>
      <w:r w:rsidRPr="00451FDB">
        <w:rPr>
          <w:i/>
        </w:rPr>
        <w:t>Aspidiotus</w:t>
      </w:r>
      <w:r w:rsidRPr="00451FDB">
        <w:t xml:space="preserve"> spp.)’, </w:t>
      </w:r>
      <w:r w:rsidRPr="00451FDB">
        <w:rPr>
          <w:i/>
        </w:rPr>
        <w:t>The Philippine Entomologist</w:t>
      </w:r>
      <w:r w:rsidRPr="00451FDB">
        <w:t>, vol. 31, no. 2, pp. 144-5.</w:t>
      </w:r>
    </w:p>
    <w:p w14:paraId="0C7F2D9B" w14:textId="77777777" w:rsidR="00BC2F05" w:rsidRPr="00451FDB" w:rsidRDefault="00772FB6" w:rsidP="00B33061">
      <w:pPr>
        <w:pStyle w:val="EndNoteBibliography"/>
        <w:spacing w:after="120"/>
      </w:pPr>
      <w:r w:rsidRPr="00451FDB">
        <w:t xml:space="preserve">Marrero, G, Schneider, KL, Jenkins, DM &amp; Alvarez, AM 2013, ‘Phylogeny and classification of </w:t>
      </w:r>
      <w:r w:rsidRPr="00451FDB">
        <w:rPr>
          <w:i/>
        </w:rPr>
        <w:t xml:space="preserve">Dickeya </w:t>
      </w:r>
      <w:r w:rsidRPr="00451FDB">
        <w:t xml:space="preserve">based on multilocus sequence analysis’, </w:t>
      </w:r>
      <w:r w:rsidRPr="00451FDB">
        <w:rPr>
          <w:i/>
        </w:rPr>
        <w:t>International Journal of Systematic and Evolutionary Microbiology</w:t>
      </w:r>
      <w:r w:rsidRPr="00451FDB">
        <w:t>, vol. 63, pp. 3524-39.</w:t>
      </w:r>
    </w:p>
    <w:p w14:paraId="060547C3" w14:textId="77777777" w:rsidR="00BC2F05" w:rsidRPr="00451FDB" w:rsidRDefault="00772FB6" w:rsidP="00B33061">
      <w:pPr>
        <w:pStyle w:val="EndNoteBibliography"/>
        <w:spacing w:after="120"/>
      </w:pPr>
      <w:r w:rsidRPr="00451FDB">
        <w:lastRenderedPageBreak/>
        <w:t xml:space="preserve">Maruthadurai, R &amp; Singh, NP 2017, ‘A report on occurrence of aphidophagous predators of </w:t>
      </w:r>
      <w:r w:rsidRPr="00451FDB">
        <w:rPr>
          <w:i/>
        </w:rPr>
        <w:t>Aphis odinae</w:t>
      </w:r>
      <w:r w:rsidRPr="00451FDB">
        <w:t xml:space="preserve"> (ven der Groot) (Hemiptera: Aphididae) in cashew ecosystem from Goa, India’, </w:t>
      </w:r>
      <w:r w:rsidRPr="00451FDB">
        <w:rPr>
          <w:i/>
        </w:rPr>
        <w:t>Journal of Threatened Taxa</w:t>
      </w:r>
      <w:r w:rsidRPr="00451FDB">
        <w:t>, vol. 9, no. 2, pp. 9858-61.</w:t>
      </w:r>
    </w:p>
    <w:p w14:paraId="139EBD03" w14:textId="6B01081C" w:rsidR="00BC2F05" w:rsidRPr="00451FDB" w:rsidRDefault="00772FB6" w:rsidP="00B33061">
      <w:pPr>
        <w:pStyle w:val="EndNoteBibliography"/>
        <w:spacing w:after="120"/>
      </w:pPr>
      <w:r w:rsidRPr="00451FDB">
        <w:t xml:space="preserve">Mau, RFL &amp; Martin Kessing, JL 2007, </w:t>
      </w:r>
      <w:r w:rsidRPr="00451FDB">
        <w:rPr>
          <w:i/>
        </w:rPr>
        <w:t>Bactrocera dorsalis (Hendel)</w:t>
      </w:r>
      <w:r w:rsidRPr="00451FDB">
        <w:t xml:space="preserve">, Crop Knowledge Master, available at </w:t>
      </w:r>
      <w:hyperlink r:id="rId154" w:history="1">
        <w:r w:rsidR="008C6537" w:rsidRPr="00743CC0">
          <w:rPr>
            <w:rStyle w:val="Hyperlink"/>
          </w:rPr>
          <w:t>http://www.extento.hawaii.edu/kbase/crop/Type/bactro_d.htm</w:t>
        </w:r>
      </w:hyperlink>
      <w:r w:rsidRPr="00451FDB">
        <w:t>.</w:t>
      </w:r>
    </w:p>
    <w:p w14:paraId="4BC5E645" w14:textId="77777777" w:rsidR="00BC2F05" w:rsidRPr="00451FDB" w:rsidRDefault="00772FB6" w:rsidP="00B33061">
      <w:pPr>
        <w:pStyle w:val="EndNoteBibliography"/>
        <w:spacing w:after="120"/>
      </w:pPr>
      <w:r w:rsidRPr="00451FDB">
        <w:t xml:space="preserve">McPherson, JE 2018, </w:t>
      </w:r>
      <w:r w:rsidRPr="00451FDB">
        <w:rPr>
          <w:i/>
        </w:rPr>
        <w:t>Invasive stink bugs and related species (Pentatomoidea): biology, higher systematics, semiochemistry, and management</w:t>
      </w:r>
      <w:r w:rsidRPr="00451FDB">
        <w:t>, Taylor &amp; Francis Group, Boca Raton, FL.</w:t>
      </w:r>
    </w:p>
    <w:p w14:paraId="021FB82A" w14:textId="77777777" w:rsidR="00BC2F05" w:rsidRPr="00451FDB" w:rsidRDefault="00772FB6" w:rsidP="00B33061">
      <w:pPr>
        <w:pStyle w:val="EndNoteBibliography"/>
        <w:spacing w:after="120"/>
      </w:pPr>
      <w:r w:rsidRPr="00451FDB">
        <w:t xml:space="preserve">McQuate, GT 2010, ‘Tephritid fruit fly populations in a dragonfruit orchard in Hawaii: border plant use and infestation rate’, </w:t>
      </w:r>
      <w:r w:rsidRPr="00451FDB">
        <w:rPr>
          <w:i/>
        </w:rPr>
        <w:t>Proceedings of the Hawaiian Entomological Society</w:t>
      </w:r>
      <w:r w:rsidRPr="00451FDB">
        <w:t>, vol. 42, pp. 41-8.</w:t>
      </w:r>
    </w:p>
    <w:p w14:paraId="15E8E798" w14:textId="77777777" w:rsidR="00BC2F05" w:rsidRPr="00451FDB" w:rsidRDefault="00772FB6" w:rsidP="00B33061">
      <w:pPr>
        <w:pStyle w:val="EndNoteBibliography"/>
        <w:spacing w:after="120"/>
      </w:pPr>
      <w:r w:rsidRPr="00451FDB">
        <w:t xml:space="preserve">McQuate, GT &amp; Teruya, T 2015, ‘Melon fly, </w:t>
      </w:r>
      <w:r w:rsidRPr="00451FDB">
        <w:rPr>
          <w:i/>
        </w:rPr>
        <w:t>Bactrocera cucurbitae</w:t>
      </w:r>
      <w:r w:rsidRPr="00451FDB">
        <w:t xml:space="preserve"> (Diptera: Tephritidae), infestation in host fruits in the Southwestern Islands of Japan before the initiation of island-wide population suppression, as recorded in publications of Japanese public institutions’, </w:t>
      </w:r>
      <w:r w:rsidRPr="00451FDB">
        <w:rPr>
          <w:i/>
        </w:rPr>
        <w:t>International Journal of Insect Science</w:t>
      </w:r>
      <w:r w:rsidRPr="00451FDB">
        <w:t>, vol. 7, pp. 27-37.</w:t>
      </w:r>
    </w:p>
    <w:p w14:paraId="23097EE0" w14:textId="77777777" w:rsidR="00BC2F05" w:rsidRPr="00451FDB" w:rsidRDefault="00772FB6" w:rsidP="00B33061">
      <w:pPr>
        <w:pStyle w:val="EndNoteBibliography"/>
        <w:spacing w:after="120"/>
      </w:pPr>
      <w:r w:rsidRPr="00451FDB">
        <w:t xml:space="preserve">Mead, AR 1961, </w:t>
      </w:r>
      <w:r w:rsidRPr="00451FDB">
        <w:rPr>
          <w:i/>
        </w:rPr>
        <w:t>The giant African snail: a problem in economic malacology</w:t>
      </w:r>
      <w:r w:rsidRPr="00451FDB">
        <w:t>, The University of Chicago Press, Chicago.</w:t>
      </w:r>
    </w:p>
    <w:p w14:paraId="3E551AE3" w14:textId="77777777" w:rsidR="00BC2F05" w:rsidRPr="00451FDB" w:rsidRDefault="00772FB6" w:rsidP="00B33061">
      <w:pPr>
        <w:pStyle w:val="EndNoteBibliography"/>
        <w:spacing w:after="120"/>
      </w:pPr>
      <w:r w:rsidRPr="00451FDB">
        <w:t>Meza, K, Cusme, M, Velasquez, J &amp; Chirinos, D 2020, ‘Thrips (</w:t>
      </w:r>
      <w:r w:rsidRPr="00451FDB">
        <w:rPr>
          <w:i/>
        </w:rPr>
        <w:t>Thysanoptera</w:t>
      </w:r>
      <w:r w:rsidRPr="00451FDB">
        <w:t xml:space="preserve">) associated with pitahaya </w:t>
      </w:r>
      <w:r w:rsidRPr="00451FDB">
        <w:rPr>
          <w:i/>
        </w:rPr>
        <w:t>Selenicerus undatus</w:t>
      </w:r>
      <w:r w:rsidRPr="00451FDB">
        <w:t xml:space="preserve"> (Haw.) D.R. Hunt species, population levels and some natural enemies’, </w:t>
      </w:r>
      <w:r w:rsidRPr="00451FDB">
        <w:rPr>
          <w:i/>
        </w:rPr>
        <w:t>La Granja: Revista de Ciencias de la Vida</w:t>
      </w:r>
      <w:r w:rsidRPr="00451FDB">
        <w:t>, vol. 32, no. 2, pp. 91-103.</w:t>
      </w:r>
    </w:p>
    <w:p w14:paraId="61F54331" w14:textId="72410B8C" w:rsidR="00BC2F05" w:rsidRPr="00451FDB" w:rsidRDefault="00772FB6" w:rsidP="00B33061">
      <w:pPr>
        <w:pStyle w:val="EndNoteBibliography"/>
        <w:spacing w:after="120"/>
      </w:pPr>
      <w:r w:rsidRPr="00451FDB">
        <w:t xml:space="preserve">Michel, ADK, Fiaboe, KKM, Kekeunou, S, Nanga, SN, Kuate, AF, Tonnang, HEZ, Gnanvossou, D &amp; Hanna, R 2021, ‘Temperature-based phenology model to predict the development, survival, and reproduction of the oriental fruit fly </w:t>
      </w:r>
      <w:r w:rsidRPr="00451FDB">
        <w:rPr>
          <w:i/>
        </w:rPr>
        <w:t>Bactrocera dorsalis</w:t>
      </w:r>
      <w:r w:rsidRPr="00451FDB">
        <w:t xml:space="preserve">’, </w:t>
      </w:r>
      <w:r w:rsidRPr="00451FDB">
        <w:rPr>
          <w:i/>
        </w:rPr>
        <w:t>Journal of Thermal Biology</w:t>
      </w:r>
      <w:r w:rsidRPr="00451FDB">
        <w:t xml:space="preserve">, vol. 97, 102877, </w:t>
      </w:r>
      <w:hyperlink r:id="rId155" w:history="1">
        <w:r w:rsidR="008C6537" w:rsidRPr="00743CC0">
          <w:rPr>
            <w:rStyle w:val="Hyperlink"/>
          </w:rPr>
          <w:t>https://doi.org/10.1016/j.jtherbio.2021.102877</w:t>
        </w:r>
      </w:hyperlink>
      <w:r w:rsidRPr="00451FDB">
        <w:t>.</w:t>
      </w:r>
    </w:p>
    <w:p w14:paraId="191F88A4" w14:textId="77777777" w:rsidR="00BC2F05" w:rsidRPr="00451FDB" w:rsidRDefault="00772FB6" w:rsidP="00B33061">
      <w:pPr>
        <w:pStyle w:val="EndNoteBibliography"/>
        <w:spacing w:after="120"/>
      </w:pPr>
      <w:r w:rsidRPr="00451FDB">
        <w:t>Mintu, CB &amp; Reyes, CP 2018, ‘</w:t>
      </w:r>
      <w:r w:rsidRPr="00451FDB">
        <w:rPr>
          <w:i/>
        </w:rPr>
        <w:t>Frankliniella intonsa</w:t>
      </w:r>
      <w:r w:rsidRPr="00451FDB">
        <w:t xml:space="preserve"> (Trybom), a thrips species infesting strawberry in La Trinidad, Benguet Province, Philippines’, </w:t>
      </w:r>
      <w:r w:rsidRPr="00451FDB">
        <w:rPr>
          <w:i/>
        </w:rPr>
        <w:t>Asia Life Sciences</w:t>
      </w:r>
      <w:r w:rsidRPr="00451FDB">
        <w:t>, vol. 27, no. 2, pp. 377-83.</w:t>
      </w:r>
    </w:p>
    <w:p w14:paraId="69C9CD3F" w14:textId="77777777" w:rsidR="00BC2F05" w:rsidRPr="00451FDB" w:rsidRDefault="00772FB6" w:rsidP="00B33061">
      <w:pPr>
        <w:pStyle w:val="EndNoteBibliography"/>
        <w:spacing w:after="120"/>
      </w:pPr>
      <w:r w:rsidRPr="00451FDB">
        <w:t xml:space="preserve">Mkiga, AM &amp; Mwatawala, MW 2015, ‘Developmental biology of </w:t>
      </w:r>
      <w:r w:rsidRPr="00451FDB">
        <w:rPr>
          <w:i/>
        </w:rPr>
        <w:t>Zeugodacus cucurbitae</w:t>
      </w:r>
      <w:r w:rsidRPr="00451FDB">
        <w:t xml:space="preserve"> (Diptera: Tephritidae) in three cucurbitaceous hosts at different temperature regimes’, </w:t>
      </w:r>
      <w:r w:rsidRPr="00451FDB">
        <w:rPr>
          <w:i/>
        </w:rPr>
        <w:t>Journal of Insect Science</w:t>
      </w:r>
      <w:r w:rsidRPr="00451FDB">
        <w:t>, vol. 15, no. 1, DOI 10.1093/jisesa/iev141.</w:t>
      </w:r>
    </w:p>
    <w:p w14:paraId="7DD3E9A3" w14:textId="77777777" w:rsidR="00BC2F05" w:rsidRPr="00451FDB" w:rsidRDefault="00772FB6" w:rsidP="00B33061">
      <w:pPr>
        <w:pStyle w:val="EndNoteBibliography"/>
        <w:spacing w:after="120"/>
      </w:pPr>
      <w:r w:rsidRPr="00451FDB">
        <w:t>Montecalvo, MP &amp; Navasero, MM 2021, ‘</w:t>
      </w:r>
      <w:r w:rsidRPr="00451FDB">
        <w:rPr>
          <w:i/>
        </w:rPr>
        <w:t>Metarhizium</w:t>
      </w:r>
      <w:r w:rsidRPr="00451FDB">
        <w:t xml:space="preserve"> (=</w:t>
      </w:r>
      <w:r w:rsidRPr="00451FDB">
        <w:rPr>
          <w:i/>
        </w:rPr>
        <w:t>Nomuraea</w:t>
      </w:r>
      <w:r w:rsidRPr="00451FDB">
        <w:t xml:space="preserve">) </w:t>
      </w:r>
      <w:r w:rsidRPr="00451FDB">
        <w:rPr>
          <w:i/>
        </w:rPr>
        <w:t>rileyi</w:t>
      </w:r>
      <w:r w:rsidRPr="00451FDB">
        <w:t xml:space="preserve"> (Farlow) Samson from </w:t>
      </w:r>
      <w:r w:rsidRPr="00451FDB">
        <w:rPr>
          <w:i/>
        </w:rPr>
        <w:t>Spodoptera exigua</w:t>
      </w:r>
      <w:r w:rsidRPr="00451FDB">
        <w:t xml:space="preserve"> (Hübner) cross infects fall armyworm, </w:t>
      </w:r>
      <w:r w:rsidRPr="00451FDB">
        <w:rPr>
          <w:i/>
        </w:rPr>
        <w:t>Spodoptera frugiperda</w:t>
      </w:r>
      <w:r w:rsidRPr="00451FDB">
        <w:t xml:space="preserve"> (J.E. Smith) (Lepidoptera: Noctuidae) larvae’, </w:t>
      </w:r>
      <w:r w:rsidRPr="00451FDB">
        <w:rPr>
          <w:i/>
        </w:rPr>
        <w:t>Philippine Journal of Science</w:t>
      </w:r>
      <w:r w:rsidRPr="00451FDB">
        <w:t>, vol. 150, no. 1, pp. 193-9.</w:t>
      </w:r>
    </w:p>
    <w:p w14:paraId="45B706CE" w14:textId="68EE044A" w:rsidR="00BC2F05" w:rsidRPr="00451FDB" w:rsidRDefault="00772FB6" w:rsidP="00B33061">
      <w:pPr>
        <w:pStyle w:val="EndNoteBibliography"/>
        <w:spacing w:after="120"/>
      </w:pPr>
      <w:r w:rsidRPr="00451FDB">
        <w:t xml:space="preserve">Mound, LA, Tree, DJ &amp; Paris, D 2018, ‘Oz Thrips: Thysanoptera in Australia’, available at </w:t>
      </w:r>
      <w:hyperlink r:id="rId156" w:history="1">
        <w:r w:rsidR="008C6537" w:rsidRPr="00743CC0">
          <w:rPr>
            <w:rStyle w:val="Hyperlink"/>
          </w:rPr>
          <w:t>http://www.ozthrips.org/</w:t>
        </w:r>
      </w:hyperlink>
      <w:r w:rsidRPr="00451FDB">
        <w:t>, accessed 2018.</w:t>
      </w:r>
    </w:p>
    <w:p w14:paraId="198CD897" w14:textId="49FD0F28" w:rsidR="00BC2F05" w:rsidRPr="00451FDB" w:rsidRDefault="00772FB6" w:rsidP="00B33061">
      <w:pPr>
        <w:pStyle w:val="EndNoteBibliography"/>
        <w:spacing w:after="120"/>
      </w:pPr>
      <w:r w:rsidRPr="00451FDB">
        <w:t xml:space="preserve">-- -- 2022, ‘OzThrips: Thysanoptera in Australia’, available at </w:t>
      </w:r>
      <w:hyperlink r:id="rId157" w:history="1">
        <w:r w:rsidR="008C6537" w:rsidRPr="00743CC0">
          <w:rPr>
            <w:rStyle w:val="Hyperlink"/>
          </w:rPr>
          <w:t>http://www.ozthrips.org/</w:t>
        </w:r>
      </w:hyperlink>
      <w:r w:rsidRPr="00451FDB">
        <w:t>, accessed 2022.</w:t>
      </w:r>
    </w:p>
    <w:p w14:paraId="4B5DE4D5" w14:textId="77777777" w:rsidR="00BC2F05" w:rsidRPr="00451FDB" w:rsidRDefault="00772FB6" w:rsidP="00B33061">
      <w:pPr>
        <w:pStyle w:val="EndNoteBibliography"/>
        <w:spacing w:after="120"/>
      </w:pPr>
      <w:r w:rsidRPr="00451FDB">
        <w:t xml:space="preserve">Muniappan, R, Shepard, BM, Carner, GR &amp; Ooi, PAC 2012, </w:t>
      </w:r>
      <w:r w:rsidRPr="00451FDB">
        <w:rPr>
          <w:i/>
        </w:rPr>
        <w:t>Arthropod pests of horticultural crops in tropical Asia</w:t>
      </w:r>
      <w:r w:rsidRPr="00451FDB">
        <w:t>, CABI International, Wallingford.</w:t>
      </w:r>
    </w:p>
    <w:p w14:paraId="6C20A042" w14:textId="77777777" w:rsidR="00BC2F05" w:rsidRPr="00451FDB" w:rsidRDefault="00772FB6" w:rsidP="00B33061">
      <w:pPr>
        <w:pStyle w:val="EndNoteBibliography"/>
        <w:spacing w:after="120"/>
      </w:pPr>
      <w:r w:rsidRPr="00451FDB">
        <w:t xml:space="preserve">Nankinga, CM, Isabirye, BE, Muyinza, H, Rwomushana, I, Stevenson, PC, Mayamba, A, Aool, W &amp; Akol, AM 2014, ‘Fruit fly infestation in mango: a threat to the horticultural sector in Uganda’, </w:t>
      </w:r>
      <w:r w:rsidRPr="00451FDB">
        <w:rPr>
          <w:i/>
        </w:rPr>
        <w:t>Uganda Journal of Agricultural Sciences</w:t>
      </w:r>
      <w:r w:rsidRPr="00451FDB">
        <w:t>, vol. 15, no. 1, pp. 1-14.</w:t>
      </w:r>
    </w:p>
    <w:p w14:paraId="3AB0FEDC" w14:textId="77777777" w:rsidR="00BC2F05" w:rsidRPr="00451FDB" w:rsidRDefault="00772FB6" w:rsidP="00B33061">
      <w:pPr>
        <w:pStyle w:val="EndNoteBibliography"/>
        <w:spacing w:after="120"/>
      </w:pPr>
      <w:r w:rsidRPr="00451FDB">
        <w:t xml:space="preserve">Nerd, A &amp; Mizrahi, Y 1998, ‘Fruit development and ripening in yellow pitaya’, </w:t>
      </w:r>
      <w:r w:rsidRPr="00451FDB">
        <w:rPr>
          <w:i/>
        </w:rPr>
        <w:t>Journal of the American Society for Horticultural Science</w:t>
      </w:r>
      <w:r w:rsidRPr="00451FDB">
        <w:t>, vol. 123, no. 4, pp. 560-2.</w:t>
      </w:r>
    </w:p>
    <w:p w14:paraId="332E1391" w14:textId="7416D3C0" w:rsidR="00BC2F05" w:rsidRPr="00451FDB" w:rsidRDefault="00772FB6" w:rsidP="00B33061">
      <w:pPr>
        <w:pStyle w:val="EndNoteBibliography"/>
        <w:spacing w:after="120"/>
      </w:pPr>
      <w:r w:rsidRPr="00451FDB">
        <w:t xml:space="preserve">NPQSD 2022, </w:t>
      </w:r>
      <w:r w:rsidRPr="00451FDB">
        <w:rPr>
          <w:i/>
        </w:rPr>
        <w:t>How to import plants/plant products</w:t>
      </w:r>
      <w:r w:rsidRPr="00451FDB">
        <w:t xml:space="preserve">, National Plant Quarantine Services Division (NPQSD), Bureau of Plant Industry, Manila, the Philippines, </w:t>
      </w:r>
      <w:hyperlink r:id="rId158" w:history="1">
        <w:r w:rsidR="008C6537" w:rsidRPr="00743CC0">
          <w:rPr>
            <w:rStyle w:val="Hyperlink"/>
          </w:rPr>
          <w:t>https://npqsd.bpi-npqsd.com.ph/import/</w:t>
        </w:r>
      </w:hyperlink>
      <w:r w:rsidRPr="00451FDB">
        <w:t>.</w:t>
      </w:r>
    </w:p>
    <w:p w14:paraId="09B16CC2" w14:textId="77777777" w:rsidR="00BC2F05" w:rsidRPr="00451FDB" w:rsidRDefault="00772FB6" w:rsidP="00B33061">
      <w:pPr>
        <w:pStyle w:val="EndNoteBibliography"/>
        <w:spacing w:after="120"/>
      </w:pPr>
      <w:r w:rsidRPr="00451FDB">
        <w:lastRenderedPageBreak/>
        <w:t>Octaviani, RD 2012, ‘Hama dan penyakit tanaman buah naga (</w:t>
      </w:r>
      <w:r w:rsidRPr="00451FDB">
        <w:rPr>
          <w:i/>
        </w:rPr>
        <w:t>Hylocereus</w:t>
      </w:r>
      <w:r w:rsidRPr="00451FDB">
        <w:t xml:space="preserve"> sp.) serta budidayanya di Yogyakarta (Pests and diseases of dragon fruit (</w:t>
      </w:r>
      <w:r w:rsidRPr="00451FDB">
        <w:rPr>
          <w:i/>
        </w:rPr>
        <w:t>Hylocereus</w:t>
      </w:r>
      <w:r w:rsidRPr="00451FDB">
        <w:t xml:space="preserve"> sp.) and its cultivation in Yogyakarta)’, Bachelor fo Agriculture Essay, Bogor Agricultural University.</w:t>
      </w:r>
    </w:p>
    <w:p w14:paraId="76A60219" w14:textId="2CCBA652" w:rsidR="00BC2F05" w:rsidRPr="00451FDB" w:rsidRDefault="00772FB6" w:rsidP="00B33061">
      <w:pPr>
        <w:pStyle w:val="EndNoteBibliography"/>
        <w:spacing w:after="120"/>
      </w:pPr>
      <w:r w:rsidRPr="00451FDB">
        <w:t xml:space="preserve">PAGASA 2021, ‘Climate of the Philippines’, Philippine Atmospheric, Geophysical and Astronomical Services Administration (PAGASA), Republic of the Philippines, available at </w:t>
      </w:r>
      <w:hyperlink r:id="rId159" w:history="1">
        <w:r w:rsidR="008C6537" w:rsidRPr="00743CC0">
          <w:rPr>
            <w:rStyle w:val="Hyperlink"/>
          </w:rPr>
          <w:t>http://bagong.pagasa.dost.gov.ph/information/climate-philippines</w:t>
        </w:r>
      </w:hyperlink>
      <w:r w:rsidR="008C6537">
        <w:t>.</w:t>
      </w:r>
    </w:p>
    <w:p w14:paraId="59AB7F0D" w14:textId="347B6932" w:rsidR="00BC2F05" w:rsidRPr="00451FDB" w:rsidRDefault="00772FB6" w:rsidP="00B33061">
      <w:pPr>
        <w:pStyle w:val="EndNoteBibliography"/>
        <w:spacing w:after="120"/>
      </w:pPr>
      <w:r w:rsidRPr="00451FDB">
        <w:t xml:space="preserve">Parte, AC 2020, ‘LPSN — List of Prokaryotic names with Standing in Nomenclature’, Parte, AC, available at </w:t>
      </w:r>
      <w:hyperlink r:id="rId160" w:history="1">
        <w:r w:rsidR="008C6537" w:rsidRPr="00743CC0">
          <w:rPr>
            <w:rStyle w:val="Hyperlink"/>
          </w:rPr>
          <w:t>https://www.bacterio.net/</w:t>
        </w:r>
      </w:hyperlink>
      <w:r w:rsidRPr="00451FDB">
        <w:t>, accessed 2020.</w:t>
      </w:r>
    </w:p>
    <w:p w14:paraId="23360D3C" w14:textId="77777777" w:rsidR="00BC2F05" w:rsidRPr="00451FDB" w:rsidRDefault="00772FB6" w:rsidP="00B33061">
      <w:pPr>
        <w:pStyle w:val="EndNoteBibliography"/>
        <w:spacing w:after="120"/>
      </w:pPr>
      <w:r w:rsidRPr="00451FDB">
        <w:t xml:space="preserve">Pascua, LT, Pascua, ME &amp; Gabriel, LS 2015, ‘Dragon fruit production and marketing in the Philippines: its status, constraints and prospects’, in </w:t>
      </w:r>
      <w:r w:rsidRPr="00451FDB">
        <w:rPr>
          <w:i/>
        </w:rPr>
        <w:t>Improving pitaya production and marketing</w:t>
      </w:r>
      <w:r w:rsidRPr="00451FDB">
        <w:t>, Jiang, YL, Liu, PC &amp; Huang, PH (eds), Food and Fertilizer Technology Center, Taipei, Taiwan.</w:t>
      </w:r>
    </w:p>
    <w:p w14:paraId="6BA685C5" w14:textId="77777777" w:rsidR="00BC2F05" w:rsidRPr="00451FDB" w:rsidRDefault="00772FB6" w:rsidP="00B33061">
      <w:pPr>
        <w:pStyle w:val="EndNoteBibliography"/>
        <w:spacing w:after="120"/>
      </w:pPr>
      <w:r w:rsidRPr="00451FDB">
        <w:t xml:space="preserve">Pascual, CB, Barcos, AKS, Mandap, JAL &amp; Ocampo, ETM 2016, ‘Fumonisin-producing </w:t>
      </w:r>
      <w:r w:rsidRPr="00451FDB">
        <w:rPr>
          <w:i/>
        </w:rPr>
        <w:t>Fusarium</w:t>
      </w:r>
      <w:r w:rsidRPr="00451FDB">
        <w:t xml:space="preserve"> species causing ear rot of corn in the Philippines’, </w:t>
      </w:r>
      <w:r w:rsidRPr="00451FDB">
        <w:rPr>
          <w:i/>
        </w:rPr>
        <w:t>Philippine Journal of Crop Science</w:t>
      </w:r>
      <w:r w:rsidRPr="00451FDB">
        <w:t>, vol. 41, no. 1, pp. 12-21.</w:t>
      </w:r>
    </w:p>
    <w:p w14:paraId="6E66C1A3" w14:textId="77777777" w:rsidR="00BC2F05" w:rsidRPr="00451FDB" w:rsidRDefault="00772FB6" w:rsidP="00B33061">
      <w:pPr>
        <w:pStyle w:val="EndNoteBibliography"/>
        <w:spacing w:after="120"/>
      </w:pPr>
      <w:r w:rsidRPr="00451FDB">
        <w:t>Pascual, CB, Tepora, TF &amp; Tumolva, JAB 2016, ‘Pitaya diseases in the Philippines’, paper presented at Regional workshop on the control of dragon fruit diseases, Khon Kaen, Thailand, 4-8 September.</w:t>
      </w:r>
    </w:p>
    <w:p w14:paraId="771F79C8" w14:textId="5E092668" w:rsidR="00BC2F05" w:rsidRPr="00451FDB" w:rsidRDefault="00772FB6" w:rsidP="00B33061">
      <w:pPr>
        <w:pStyle w:val="EndNoteBibliography"/>
        <w:spacing w:after="120"/>
      </w:pPr>
      <w:r w:rsidRPr="00451FDB">
        <w:t xml:space="preserve">Paśko, P, Galanty, A, Zagrodzki, P, Yang, GK, Luksirikul, P, Weisz, M &amp; Gorinstein, S 2021, ‘Bioactivity and cytotoxicity of different species of pitaya fruits - a comparative study with advanced chemometric analysis’, </w:t>
      </w:r>
      <w:r w:rsidRPr="00451FDB">
        <w:rPr>
          <w:i/>
        </w:rPr>
        <w:t>Food Bioscience</w:t>
      </w:r>
      <w:r w:rsidRPr="00451FDB">
        <w:t xml:space="preserve">, vol. 40, 100888, </w:t>
      </w:r>
      <w:hyperlink r:id="rId161" w:history="1">
        <w:r w:rsidR="008C6537" w:rsidRPr="00743CC0">
          <w:rPr>
            <w:rStyle w:val="Hyperlink"/>
          </w:rPr>
          <w:t>https://doi.org/10.1016/j.fbio.2021.100888</w:t>
        </w:r>
      </w:hyperlink>
      <w:r w:rsidRPr="00451FDB">
        <w:t>.</w:t>
      </w:r>
    </w:p>
    <w:p w14:paraId="0D8FD955" w14:textId="77777777" w:rsidR="00BC2F05" w:rsidRPr="00451FDB" w:rsidRDefault="00772FB6" w:rsidP="00B33061">
      <w:pPr>
        <w:pStyle w:val="EndNoteBibliography"/>
        <w:spacing w:after="120"/>
      </w:pPr>
      <w:r w:rsidRPr="00451FDB">
        <w:t xml:space="preserve">PHA 2020, </w:t>
      </w:r>
      <w:r w:rsidRPr="00451FDB">
        <w:rPr>
          <w:i/>
        </w:rPr>
        <w:t>The National plant biosecurity status report 2019</w:t>
      </w:r>
      <w:r w:rsidRPr="00451FDB">
        <w:t>, Plant Health Australia, Canberra, ACT.</w:t>
      </w:r>
    </w:p>
    <w:p w14:paraId="6291461A" w14:textId="337F6C83" w:rsidR="00BC2F05" w:rsidRPr="00451FDB" w:rsidRDefault="00772FB6" w:rsidP="00B33061">
      <w:pPr>
        <w:pStyle w:val="EndNoteBibliography"/>
        <w:spacing w:after="120"/>
      </w:pPr>
      <w:r w:rsidRPr="00451FDB">
        <w:t xml:space="preserve">PIRSA 2020, </w:t>
      </w:r>
      <w:r w:rsidRPr="00451FDB">
        <w:rPr>
          <w:i/>
        </w:rPr>
        <w:t>Plant quarantine standard: South Australia</w:t>
      </w:r>
      <w:r w:rsidRPr="00451FDB">
        <w:t xml:space="preserve">, v 16.1a January 6th 2020, Primary Industries and Regions, South Australia (PIRSA), Adelaide, available at </w:t>
      </w:r>
      <w:hyperlink r:id="rId162" w:history="1">
        <w:r w:rsidR="008C6537" w:rsidRPr="00743CC0">
          <w:rPr>
            <w:rStyle w:val="Hyperlink"/>
          </w:rPr>
          <w:t>https://www.pir.sa.gov.au/biosecurity/plant_health</w:t>
        </w:r>
      </w:hyperlink>
      <w:r w:rsidRPr="00451FDB">
        <w:t>.</w:t>
      </w:r>
    </w:p>
    <w:p w14:paraId="7A3B446F" w14:textId="77777777" w:rsidR="00BC2F05" w:rsidRPr="00451FDB" w:rsidRDefault="00772FB6" w:rsidP="00B33061">
      <w:pPr>
        <w:pStyle w:val="EndNoteBibliography"/>
        <w:spacing w:after="120"/>
      </w:pPr>
      <w:r w:rsidRPr="00451FDB">
        <w:t xml:space="preserve">Pitt, JI &amp; Hocking, AD 2009, </w:t>
      </w:r>
      <w:r w:rsidRPr="00451FDB">
        <w:rPr>
          <w:i/>
        </w:rPr>
        <w:t>Fungi and food spoilage</w:t>
      </w:r>
      <w:r w:rsidRPr="00451FDB">
        <w:t>, Springer Science &amp; Business Media, Sydney.</w:t>
      </w:r>
    </w:p>
    <w:p w14:paraId="4EBD533B" w14:textId="77777777" w:rsidR="00BC2F05" w:rsidRPr="00451FDB" w:rsidRDefault="00772FB6" w:rsidP="00B33061">
      <w:pPr>
        <w:pStyle w:val="EndNoteBibliography"/>
        <w:spacing w:after="120"/>
      </w:pPr>
      <w:r w:rsidRPr="00451FDB">
        <w:t xml:space="preserve">Pitt, WM, Huang, R, Steel, CC &amp; Savocchia, S 2010, ‘Identification, distribution and current taxonomy of Botryosphaeriaceae species associated with grapevine decline in New South Wales and South Australia’, </w:t>
      </w:r>
      <w:r w:rsidRPr="00451FDB">
        <w:rPr>
          <w:i/>
        </w:rPr>
        <w:t>Australian Journal of Grape and Wine Research</w:t>
      </w:r>
      <w:r w:rsidRPr="00451FDB">
        <w:t>, vol. 16, pp. 258-71.</w:t>
      </w:r>
    </w:p>
    <w:p w14:paraId="502ED07B" w14:textId="3AB807FD" w:rsidR="00BC2F05" w:rsidRPr="00451FDB" w:rsidRDefault="00772FB6" w:rsidP="00B33061">
      <w:pPr>
        <w:pStyle w:val="EndNoteBibliography"/>
        <w:spacing w:after="120"/>
      </w:pPr>
      <w:r w:rsidRPr="00451FDB">
        <w:t xml:space="preserve">Plant Health Australia 2008, </w:t>
      </w:r>
      <w:r w:rsidRPr="00451FDB">
        <w:rPr>
          <w:i/>
        </w:rPr>
        <w:t>Draft national fruit fly strategy</w:t>
      </w:r>
      <w:r w:rsidRPr="00451FDB">
        <w:t xml:space="preserve">, Plant Health Australia, Canberra, available at </w:t>
      </w:r>
      <w:hyperlink r:id="rId163" w:history="1">
        <w:r w:rsidR="008C6537" w:rsidRPr="00743CC0">
          <w:rPr>
            <w:rStyle w:val="Hyperlink"/>
          </w:rPr>
          <w:t>http://www.planthealthaustralia.com.au/wp-content/uploads/2012/12/Draft-National-Fruit-Fly-Strategy-Mar-2008.pdf</w:t>
        </w:r>
      </w:hyperlink>
      <w:r w:rsidRPr="00451FDB">
        <w:t>.</w:t>
      </w:r>
    </w:p>
    <w:p w14:paraId="2F00D48E" w14:textId="77777777" w:rsidR="00BC2F05" w:rsidRPr="00451FDB" w:rsidRDefault="00772FB6" w:rsidP="00B33061">
      <w:pPr>
        <w:pStyle w:val="EndNoteBibliography"/>
        <w:spacing w:after="120"/>
      </w:pPr>
      <w:r w:rsidRPr="00451FDB">
        <w:t xml:space="preserve">Portales, JM 2011, ‘Phytophthora diseases in the Philippines’, in </w:t>
      </w:r>
      <w:r w:rsidRPr="00451FDB">
        <w:rPr>
          <w:i/>
        </w:rPr>
        <w:t>Diversity and management of Phytophthora in Southeast Asia. ACIAR Monograph No.14</w:t>
      </w:r>
      <w:r w:rsidRPr="00451FDB">
        <w:t>, Drenth, A &amp; Guest, DI (eds), Australian Centre for International Agricultural Research, Canberra.</w:t>
      </w:r>
    </w:p>
    <w:p w14:paraId="4DE70535" w14:textId="77777777" w:rsidR="00BC2F05" w:rsidRPr="00451FDB" w:rsidRDefault="00772FB6" w:rsidP="00B33061">
      <w:pPr>
        <w:pStyle w:val="EndNoteBibliography"/>
        <w:spacing w:after="120"/>
      </w:pPr>
      <w:r w:rsidRPr="00451FDB">
        <w:t xml:space="preserve">Putulan, D, Sar, S, Drew, RAI, Raghu, S &amp; Clarke, AR 2004, ‘Fruit and vegetable movement on domestic flights in Papua New Guinea and the risk of spreading pest fruit-flies (Diptera: Tephritidae)’, </w:t>
      </w:r>
      <w:r w:rsidRPr="00451FDB">
        <w:rPr>
          <w:i/>
        </w:rPr>
        <w:t>International Journal of Pest Management</w:t>
      </w:r>
      <w:r w:rsidRPr="00451FDB">
        <w:t>, vol. 50, no. 1, pp. 17-22.</w:t>
      </w:r>
    </w:p>
    <w:p w14:paraId="32BF8FE1" w14:textId="7E99A403" w:rsidR="00BC2F05" w:rsidRPr="00451FDB" w:rsidRDefault="00772FB6" w:rsidP="00B33061">
      <w:pPr>
        <w:pStyle w:val="EndNoteBibliography"/>
        <w:spacing w:after="120"/>
      </w:pPr>
      <w:r w:rsidRPr="00451FDB">
        <w:t xml:space="preserve">QDAF 2020, ‘Priority plant pests and diseases: Jack Beardsley mealybug’, Queensland Government Department of Agriculture and Fisheries, Brisbane, Australia, available at </w:t>
      </w:r>
      <w:hyperlink r:id="rId164" w:history="1">
        <w:r w:rsidR="008C6537" w:rsidRPr="00743CC0">
          <w:rPr>
            <w:rStyle w:val="Hyperlink"/>
          </w:rPr>
          <w:t>https://www.business.qld.gov.au/industries/farms-fishing-forestry/agriculture/crop-growing/priority-pest-disease/jack-beardsley-mealybug</w:t>
        </w:r>
      </w:hyperlink>
      <w:r w:rsidRPr="00451FDB">
        <w:t>.</w:t>
      </w:r>
    </w:p>
    <w:p w14:paraId="79FF8B78" w14:textId="77777777" w:rsidR="00BC2F05" w:rsidRPr="00451FDB" w:rsidRDefault="00772FB6" w:rsidP="00B33061">
      <w:pPr>
        <w:pStyle w:val="EndNoteBibliography"/>
        <w:spacing w:after="120"/>
      </w:pPr>
      <w:r w:rsidRPr="00451FDB">
        <w:t xml:space="preserve">Qin, YJ, Krosch, MN, Schutze, MK, Zhang, Y, Wang, XX, Prabhakar, CS, Susanto, A, Hee, AKW, Ekesi, S, Badji, K, Khan, M, Wu, JJ, Wang, QL, Yan, G, Zhu, LH, Zhao, ZH, Liu, LJ, Clarke, AR &amp; Li, ZH 2018, ‘Population structure of a global agricultural invasive pest, </w:t>
      </w:r>
      <w:r w:rsidRPr="00451FDB">
        <w:rPr>
          <w:i/>
        </w:rPr>
        <w:t xml:space="preserve">Bactrocera dorsalis </w:t>
      </w:r>
      <w:r w:rsidRPr="00451FDB">
        <w:t xml:space="preserve">(Diptera: Tephritidae)’, </w:t>
      </w:r>
      <w:r w:rsidRPr="00451FDB">
        <w:rPr>
          <w:i/>
        </w:rPr>
        <w:t>Evolutionary Applications</w:t>
      </w:r>
      <w:r w:rsidRPr="00451FDB">
        <w:t>, vol. 11, no. 10, pp. 1990-2003.</w:t>
      </w:r>
    </w:p>
    <w:p w14:paraId="5B96678A" w14:textId="558761DE" w:rsidR="00BC2F05" w:rsidRPr="00451FDB" w:rsidRDefault="00772FB6" w:rsidP="00B33061">
      <w:pPr>
        <w:pStyle w:val="EndNoteBibliography"/>
        <w:spacing w:after="120"/>
      </w:pPr>
      <w:r w:rsidRPr="00451FDB">
        <w:lastRenderedPageBreak/>
        <w:t xml:space="preserve">Queensland Government 2020, </w:t>
      </w:r>
      <w:r w:rsidRPr="00451FDB">
        <w:rPr>
          <w:i/>
        </w:rPr>
        <w:t>Biosecurity Act 2014: Biosecurity regulation 2016 current as at 1 March 2020</w:t>
      </w:r>
      <w:r w:rsidRPr="00451FDB">
        <w:t xml:space="preserve">, Queensland Government, available at </w:t>
      </w:r>
      <w:hyperlink r:id="rId165" w:history="1">
        <w:r w:rsidR="008C6537" w:rsidRPr="00743CC0">
          <w:rPr>
            <w:rStyle w:val="Hyperlink"/>
          </w:rPr>
          <w:t>https://www.legislation.qld.gov.au/view/html/inforce/current/act-2014-007</w:t>
        </w:r>
      </w:hyperlink>
      <w:r w:rsidRPr="00451FDB">
        <w:t>.</w:t>
      </w:r>
    </w:p>
    <w:p w14:paraId="340EF72B" w14:textId="77777777" w:rsidR="00BC2F05" w:rsidRPr="00451FDB" w:rsidRDefault="00772FB6" w:rsidP="00B33061">
      <w:pPr>
        <w:pStyle w:val="EndNoteBibliography"/>
        <w:spacing w:after="120"/>
      </w:pPr>
      <w:r w:rsidRPr="00451FDB">
        <w:t xml:space="preserve">Qureshi, ZA, Ashraf, M, Bughio, AR &amp; Siddiqui, QH 1974, ‘Population fluctuation and dispersal studies of the fruit fly, </w:t>
      </w:r>
      <w:r w:rsidRPr="00451FDB">
        <w:rPr>
          <w:i/>
        </w:rPr>
        <w:t>Dacus zonatus</w:t>
      </w:r>
      <w:r w:rsidRPr="00451FDB">
        <w:t xml:space="preserve"> Saunders’, </w:t>
      </w:r>
      <w:r w:rsidRPr="00451FDB">
        <w:rPr>
          <w:i/>
        </w:rPr>
        <w:t>Proceedings of the symposium on the sterility principle for insect control jointly organised by the International Atomic Energy Agency and the Food and Agriculture Organization of the United Nations, and held in Innsbruck, 22-26 July 1974</w:t>
      </w:r>
      <w:r w:rsidRPr="00451FDB">
        <w:t>, International Atomic Energy Agency Vienna, Innsbruck, pp. 201-7.</w:t>
      </w:r>
    </w:p>
    <w:p w14:paraId="3D2D04E3" w14:textId="77777777" w:rsidR="00BC2F05" w:rsidRPr="00451FDB" w:rsidRDefault="00772FB6" w:rsidP="00B33061">
      <w:pPr>
        <w:pStyle w:val="EndNoteBibliography"/>
        <w:spacing w:after="120"/>
      </w:pPr>
      <w:r w:rsidRPr="00451FDB">
        <w:t xml:space="preserve">Raut, S &amp; Ghose, KC 1984, </w:t>
      </w:r>
      <w:r w:rsidRPr="00451FDB">
        <w:rPr>
          <w:i/>
        </w:rPr>
        <w:t>Pestiferous land snails of India</w:t>
      </w:r>
      <w:r w:rsidRPr="00451FDB">
        <w:t>, Zoological Survey of India, Calcutta.</w:t>
      </w:r>
    </w:p>
    <w:p w14:paraId="03215142" w14:textId="77777777" w:rsidR="00BC2F05" w:rsidRPr="00451FDB" w:rsidRDefault="00772FB6" w:rsidP="00B33061">
      <w:pPr>
        <w:pStyle w:val="EndNoteBibliography"/>
        <w:spacing w:after="120"/>
      </w:pPr>
      <w:r w:rsidRPr="00451FDB">
        <w:t xml:space="preserve">Rezeki, MS, Harahap, IS, Sartiami, D, Irmansyah &amp; Watson, GW 2021, ‘Identification key to nymphal and adult mealybugs (Hemiptera: Pseudococcidae) associated with dragon fruits in Indonesia’, </w:t>
      </w:r>
      <w:r w:rsidRPr="00451FDB">
        <w:rPr>
          <w:i/>
        </w:rPr>
        <w:t>Biodiversitas</w:t>
      </w:r>
      <w:r w:rsidRPr="00451FDB">
        <w:t>, vol. 22, no. 8, pp. 3113-8.</w:t>
      </w:r>
    </w:p>
    <w:p w14:paraId="30370DD2" w14:textId="77777777" w:rsidR="00BC2F05" w:rsidRPr="00451FDB" w:rsidRDefault="00772FB6" w:rsidP="00B33061">
      <w:pPr>
        <w:pStyle w:val="EndNoteBibliography"/>
        <w:spacing w:after="120"/>
      </w:pPr>
      <w:r w:rsidRPr="00451FDB">
        <w:t>Rodeo, AJD, Castro, AC &amp; Esguerra, EB 2018, ‘Postharvest handling of dragon fruit (</w:t>
      </w:r>
      <w:r w:rsidRPr="00451FDB">
        <w:rPr>
          <w:i/>
        </w:rPr>
        <w:t xml:space="preserve">Hylocereus </w:t>
      </w:r>
      <w:r w:rsidRPr="00451FDB">
        <w:t>spp.) in the Philippines’, paper presented at Dragon Fruit Regional Network Initiation Workshop and Steering Committee, Taipei, Taiwan, 22-27 April.</w:t>
      </w:r>
    </w:p>
    <w:p w14:paraId="4B19F7A6" w14:textId="77777777" w:rsidR="00BC2F05" w:rsidRPr="00451FDB" w:rsidRDefault="00772FB6" w:rsidP="00B33061">
      <w:pPr>
        <w:pStyle w:val="EndNoteBibliography"/>
        <w:spacing w:after="120"/>
      </w:pPr>
      <w:r w:rsidRPr="00451FDB">
        <w:t>Ruíz Ronquillo, EA 2021, ‘Identificacíon de insectos plaga an el cultivo de la pitahaya (</w:t>
      </w:r>
      <w:r w:rsidRPr="00451FDB">
        <w:rPr>
          <w:i/>
        </w:rPr>
        <w:t>Hylocereus undatus</w:t>
      </w:r>
      <w:r w:rsidRPr="00451FDB">
        <w:t>) en la provincia del Guayas’, Bachelors of Science Thesis, Universidad de Guayaquil.</w:t>
      </w:r>
    </w:p>
    <w:p w14:paraId="3E3E7B4A" w14:textId="77777777" w:rsidR="00BC2F05" w:rsidRPr="00451FDB" w:rsidRDefault="00772FB6" w:rsidP="00B33061">
      <w:pPr>
        <w:pStyle w:val="EndNoteBibliography"/>
        <w:spacing w:after="120"/>
      </w:pPr>
      <w:r w:rsidRPr="00451FDB">
        <w:t xml:space="preserve">Sacdalan, A, Galea, V, Goulter, K, Elliot, L &amp; Van Klinken, RD 2012, ‘Preliminary investigations of the </w:t>
      </w:r>
      <w:r w:rsidRPr="00451FDB">
        <w:rPr>
          <w:i/>
        </w:rPr>
        <w:t>Mimosa pigra</w:t>
      </w:r>
      <w:r w:rsidRPr="00451FDB">
        <w:t xml:space="preserve"> dieback phenomenon’, paper presented at the Eighteenth Australasian Weeds Conference, Melbourne, Victoria, Australia, 8-11 October.</w:t>
      </w:r>
    </w:p>
    <w:p w14:paraId="7E0C9381" w14:textId="77777777" w:rsidR="00BC2F05" w:rsidRPr="00451FDB" w:rsidRDefault="00772FB6" w:rsidP="00B33061">
      <w:pPr>
        <w:pStyle w:val="EndNoteBibliography"/>
        <w:spacing w:after="120"/>
      </w:pPr>
      <w:r w:rsidRPr="00451FDB">
        <w:t xml:space="preserve">Samaco, MA &amp; dela Cueva, FM 2019, ‘Molecular characterization of </w:t>
      </w:r>
      <w:r w:rsidRPr="00451FDB">
        <w:rPr>
          <w:i/>
        </w:rPr>
        <w:t>Fusarium</w:t>
      </w:r>
      <w:r w:rsidRPr="00451FDB">
        <w:t xml:space="preserve"> spp. associated with sugarcane pokkah boeng from the Philippines using partial translation elongation factor-1 α (TEF-1 α) gene sequences’, </w:t>
      </w:r>
      <w:r w:rsidRPr="00451FDB">
        <w:rPr>
          <w:i/>
        </w:rPr>
        <w:t>Sugar Tech</w:t>
      </w:r>
      <w:r w:rsidRPr="00451FDB">
        <w:t>, vol. 21, no. 4, pp. 619-30.</w:t>
      </w:r>
    </w:p>
    <w:p w14:paraId="4383C2F6" w14:textId="77777777" w:rsidR="00BC2F05" w:rsidRPr="00451FDB" w:rsidRDefault="00772FB6" w:rsidP="00B33061">
      <w:pPr>
        <w:pStyle w:val="EndNoteBibliography"/>
        <w:spacing w:after="120"/>
      </w:pPr>
      <w:r w:rsidRPr="00451FDB">
        <w:t xml:space="preserve">Samson, R, Legendre, JB, Christen, R, Fischer-Le Saux, M, Achouak, W &amp; Gardan, L 2005, ‘Transfer of </w:t>
      </w:r>
      <w:r w:rsidRPr="00451FDB">
        <w:rPr>
          <w:i/>
        </w:rPr>
        <w:t>Pectobacterium chrysanthemi</w:t>
      </w:r>
      <w:r w:rsidRPr="00451FDB">
        <w:t xml:space="preserve"> (Burkholder et al. 1953) Brenner et al.1973 and </w:t>
      </w:r>
      <w:r w:rsidRPr="00451FDB">
        <w:rPr>
          <w:i/>
        </w:rPr>
        <w:t>Brenneria paradisiaca</w:t>
      </w:r>
      <w:r w:rsidRPr="00451FDB">
        <w:t xml:space="preserve"> to the genus </w:t>
      </w:r>
      <w:r w:rsidRPr="00451FDB">
        <w:rPr>
          <w:i/>
        </w:rPr>
        <w:t xml:space="preserve">Dickeya </w:t>
      </w:r>
      <w:r w:rsidRPr="00451FDB">
        <w:t>gen. nov. as</w:t>
      </w:r>
      <w:r w:rsidRPr="00451FDB">
        <w:rPr>
          <w:i/>
        </w:rPr>
        <w:t xml:space="preserve"> Dickeya chrysanthemi</w:t>
      </w:r>
      <w:r w:rsidRPr="00451FDB">
        <w:t xml:space="preserve"> comb. nov. and </w:t>
      </w:r>
      <w:r w:rsidRPr="00451FDB">
        <w:rPr>
          <w:i/>
        </w:rPr>
        <w:t>Dickeya paradisiaca</w:t>
      </w:r>
      <w:r w:rsidRPr="00451FDB">
        <w:t xml:space="preserve"> comb. nov. and delineation of four novel species, </w:t>
      </w:r>
      <w:r w:rsidRPr="00451FDB">
        <w:rPr>
          <w:i/>
        </w:rPr>
        <w:t xml:space="preserve">Dickeya dadantii </w:t>
      </w:r>
      <w:r w:rsidRPr="00451FDB">
        <w:t xml:space="preserve">sp.nov., </w:t>
      </w:r>
      <w:r w:rsidRPr="00451FDB">
        <w:rPr>
          <w:i/>
        </w:rPr>
        <w:t>Dickeya dianthicola</w:t>
      </w:r>
      <w:r w:rsidRPr="00451FDB">
        <w:t xml:space="preserve"> sp.nov., </w:t>
      </w:r>
      <w:r w:rsidRPr="00451FDB">
        <w:rPr>
          <w:i/>
        </w:rPr>
        <w:t>Dickeya dieffenbachiae</w:t>
      </w:r>
      <w:r w:rsidRPr="00451FDB">
        <w:t xml:space="preserve"> sp.nov. and </w:t>
      </w:r>
      <w:r w:rsidRPr="00451FDB">
        <w:rPr>
          <w:i/>
        </w:rPr>
        <w:t>Dickeya zeae</w:t>
      </w:r>
      <w:r w:rsidRPr="00451FDB">
        <w:t xml:space="preserve"> sp.nov.’, </w:t>
      </w:r>
      <w:r w:rsidRPr="00451FDB">
        <w:rPr>
          <w:i/>
        </w:rPr>
        <w:t>International Journal of Systematic and Evolutionary Microbiology</w:t>
      </w:r>
      <w:r w:rsidRPr="00451FDB">
        <w:t>, vol. 55, pp. 1415-27.</w:t>
      </w:r>
    </w:p>
    <w:p w14:paraId="30DB1E07" w14:textId="77777777" w:rsidR="00BC2F05" w:rsidRPr="00451FDB" w:rsidRDefault="00772FB6" w:rsidP="00B33061">
      <w:pPr>
        <w:pStyle w:val="EndNoteBibliography"/>
        <w:spacing w:after="120"/>
      </w:pPr>
      <w:r w:rsidRPr="00451FDB">
        <w:t xml:space="preserve">Sartiami, D, Saptayanti, N, Syahputra, E, Mardiasih, WP &amp; Desmawati 2019, ‘Mealybugs (Hemiptera: Pseudococcidae) associated with dragon fruit in Indonesia’, </w:t>
      </w:r>
      <w:r w:rsidRPr="00451FDB">
        <w:rPr>
          <w:i/>
        </w:rPr>
        <w:t>Advances in Biological Sciences Research</w:t>
      </w:r>
      <w:r w:rsidRPr="00451FDB">
        <w:t>, vol. 8, pp. 29-34.</w:t>
      </w:r>
    </w:p>
    <w:p w14:paraId="611BB108" w14:textId="77777777" w:rsidR="00BC2F05" w:rsidRPr="00451FDB" w:rsidRDefault="00772FB6" w:rsidP="00B33061">
      <w:pPr>
        <w:pStyle w:val="EndNoteBibliography"/>
        <w:spacing w:after="120"/>
      </w:pPr>
      <w:r w:rsidRPr="00451FDB">
        <w:t>Scarlett, KA, Shuttleworth, LA, Collins, D, Rothwell, CT, Guest, DI &amp; Daniel, R 2019, ‘Botryosphaeriales associated with stem blight and dieback of blueberry (</w:t>
      </w:r>
      <w:r w:rsidRPr="00451FDB">
        <w:rPr>
          <w:i/>
        </w:rPr>
        <w:t>Vaccinium</w:t>
      </w:r>
      <w:r w:rsidRPr="00451FDB">
        <w:t xml:space="preserve"> spp.) in New South Wales and Western Australia’, </w:t>
      </w:r>
      <w:r w:rsidRPr="00451FDB">
        <w:rPr>
          <w:i/>
        </w:rPr>
        <w:t>Australasian Plant Pathology</w:t>
      </w:r>
      <w:r w:rsidRPr="00451FDB">
        <w:t>, vol. 48, pp. 45–57.</w:t>
      </w:r>
    </w:p>
    <w:p w14:paraId="7E636C79" w14:textId="77777777" w:rsidR="00BC2F05" w:rsidRPr="00451FDB" w:rsidRDefault="00772FB6" w:rsidP="00B33061">
      <w:pPr>
        <w:pStyle w:val="EndNoteBibliography"/>
        <w:spacing w:after="120"/>
      </w:pPr>
      <w:r w:rsidRPr="00451FDB">
        <w:t>Shivas, RG, Tan, YP, Edwards, J, Dinh, Q, Maxwell, A, Andjic, V, Liberato, JR, Anderson, C, Beasley, DR, Bransgrove, K, Coates, LM, Cowan, K, Daniel, R, Dean, JR, Lomavatu, MF, Mercado-Escueta, D, Mitchell, RW, Thangavel, R, Tran-Nguyen, LTT &amp; Weir, BS 2016, ‘</w:t>
      </w:r>
      <w:r w:rsidRPr="00451FDB">
        <w:rPr>
          <w:i/>
        </w:rPr>
        <w:t>Colletotrichum</w:t>
      </w:r>
      <w:r w:rsidRPr="00451FDB">
        <w:t xml:space="preserve"> species in Australia’, </w:t>
      </w:r>
      <w:r w:rsidRPr="00451FDB">
        <w:rPr>
          <w:i/>
        </w:rPr>
        <w:t>Australasian Plant Pathology</w:t>
      </w:r>
      <w:r w:rsidRPr="00451FDB">
        <w:t>, vol. 45, no. 5, pp. 447-64.</w:t>
      </w:r>
    </w:p>
    <w:p w14:paraId="474565BA" w14:textId="77777777" w:rsidR="00BC2F05" w:rsidRPr="00451FDB" w:rsidRDefault="00772FB6" w:rsidP="00B33061">
      <w:pPr>
        <w:pStyle w:val="EndNoteBibliography"/>
        <w:spacing w:after="120"/>
      </w:pPr>
      <w:r w:rsidRPr="00451FDB">
        <w:t xml:space="preserve">Sidjabat, HE, Townell, N, Nimmo, GR, Robson, J, Vohra, R, Davis, L, Heney, C &amp; Paterson, DL 2015, ‘Dominanance of IMP-4-producing </w:t>
      </w:r>
      <w:r w:rsidRPr="00451FDB">
        <w:rPr>
          <w:i/>
        </w:rPr>
        <w:t>Enterobacter cloacae</w:t>
      </w:r>
      <w:r w:rsidRPr="00451FDB">
        <w:t xml:space="preserve"> among carbapenemase-producing </w:t>
      </w:r>
      <w:r w:rsidRPr="00451FDB">
        <w:rPr>
          <w:i/>
        </w:rPr>
        <w:t>Enterobacteriaceae</w:t>
      </w:r>
      <w:r w:rsidRPr="00451FDB">
        <w:t xml:space="preserve"> in Australia’, </w:t>
      </w:r>
      <w:r w:rsidRPr="00451FDB">
        <w:rPr>
          <w:i/>
        </w:rPr>
        <w:t>Antimicrobial Agents and Chemotherapy</w:t>
      </w:r>
      <w:r w:rsidRPr="00451FDB">
        <w:t>, vol. 59, no. 7, pp. 4059-66.</w:t>
      </w:r>
    </w:p>
    <w:p w14:paraId="4C5C6F81" w14:textId="6FB45E60" w:rsidR="00BC2F05" w:rsidRPr="00451FDB" w:rsidRDefault="00772FB6" w:rsidP="00B33061">
      <w:pPr>
        <w:pStyle w:val="EndNoteBibliography"/>
        <w:spacing w:after="120"/>
      </w:pPr>
      <w:r w:rsidRPr="00451FDB">
        <w:t xml:space="preserve">Suzuki, Y, Nazareno, PJ, Nakano, R, Mondoy, M, Nakano, A, Bugayong, MP, Bilar, J, Perez, MV, Medina, EJ, Saito-Obata, M, Saito, M, Nakashima, K, Oshitani, H &amp; Yano, H 2020, ‘Environmental presence and genetic characteristics of carbapenemase-producing </w:t>
      </w:r>
      <w:r w:rsidRPr="00451FDB">
        <w:rPr>
          <w:i/>
        </w:rPr>
        <w:t>Enterobacteriaceae</w:t>
      </w:r>
      <w:r w:rsidRPr="00451FDB">
        <w:t xml:space="preserve"> from hospital sewage and river water in the Philippines’, </w:t>
      </w:r>
      <w:r w:rsidRPr="00451FDB">
        <w:rPr>
          <w:i/>
        </w:rPr>
        <w:t>Applied and Environmental Microbiology</w:t>
      </w:r>
      <w:r w:rsidRPr="00451FDB">
        <w:t xml:space="preserve">, vol. 86, e01906-19, </w:t>
      </w:r>
      <w:hyperlink r:id="rId166" w:history="1">
        <w:r w:rsidR="008C6537" w:rsidRPr="00743CC0">
          <w:rPr>
            <w:rStyle w:val="Hyperlink"/>
          </w:rPr>
          <w:t>https://doi.org/10.1128/AEM.01906-19</w:t>
        </w:r>
      </w:hyperlink>
      <w:r w:rsidRPr="00451FDB">
        <w:t>.</w:t>
      </w:r>
    </w:p>
    <w:p w14:paraId="112E8707" w14:textId="77777777" w:rsidR="00BC2F05" w:rsidRPr="00451FDB" w:rsidRDefault="00772FB6" w:rsidP="00B33061">
      <w:pPr>
        <w:pStyle w:val="EndNoteBibliography"/>
        <w:spacing w:after="120"/>
      </w:pPr>
      <w:r w:rsidRPr="00451FDB">
        <w:lastRenderedPageBreak/>
        <w:t xml:space="preserve">Taguiam, JD, Evallo, E, Bengoa, J, Maghirang, R &amp; Balendres, MA 2020a, ‘Detection of </w:t>
      </w:r>
      <w:r w:rsidRPr="00451FDB">
        <w:rPr>
          <w:i/>
        </w:rPr>
        <w:t>Nigrospora sphaerica</w:t>
      </w:r>
      <w:r w:rsidRPr="00451FDB">
        <w:t xml:space="preserve"> in the Philippines and the susceptibility of three </w:t>
      </w:r>
      <w:r w:rsidRPr="00451FDB">
        <w:rPr>
          <w:i/>
        </w:rPr>
        <w:t>Hylocereus</w:t>
      </w:r>
      <w:r w:rsidRPr="00451FDB">
        <w:t xml:space="preserve"> species to reddish-brown spot disease’, </w:t>
      </w:r>
      <w:r w:rsidRPr="00451FDB">
        <w:rPr>
          <w:i/>
        </w:rPr>
        <w:t>Journal of the Professional Association for Cactus Development</w:t>
      </w:r>
      <w:r w:rsidRPr="00451FDB">
        <w:t>, vol. 22, pp. 49-61.</w:t>
      </w:r>
    </w:p>
    <w:p w14:paraId="40FEBEE1" w14:textId="77777777" w:rsidR="00BC2F05" w:rsidRPr="00451FDB" w:rsidRDefault="00772FB6" w:rsidP="00B33061">
      <w:pPr>
        <w:pStyle w:val="EndNoteBibliography"/>
        <w:spacing w:after="120"/>
      </w:pPr>
      <w:r w:rsidRPr="00451FDB">
        <w:t xml:space="preserve">-- -- 2020b, ‘Pathogenicity of </w:t>
      </w:r>
      <w:r w:rsidRPr="00451FDB">
        <w:rPr>
          <w:i/>
        </w:rPr>
        <w:t>Epicoccum sorghinum</w:t>
      </w:r>
      <w:r w:rsidRPr="00451FDB">
        <w:t xml:space="preserve"> towards dragon fruits (</w:t>
      </w:r>
      <w:r w:rsidRPr="00451FDB">
        <w:rPr>
          <w:i/>
        </w:rPr>
        <w:t>Hylocereus</w:t>
      </w:r>
      <w:r w:rsidRPr="00451FDB">
        <w:t xml:space="preserve"> species) and in vitro evaluation of chemicals with antifungal activity’, </w:t>
      </w:r>
      <w:r w:rsidRPr="00451FDB">
        <w:rPr>
          <w:i/>
        </w:rPr>
        <w:t>Journal of Phytopathology</w:t>
      </w:r>
      <w:r w:rsidRPr="00451FDB">
        <w:t>, vol. 168, pp. 303-10.</w:t>
      </w:r>
    </w:p>
    <w:p w14:paraId="07EDA571" w14:textId="77777777" w:rsidR="00BC2F05" w:rsidRPr="00451FDB" w:rsidRDefault="00772FB6" w:rsidP="00B33061">
      <w:pPr>
        <w:pStyle w:val="EndNoteBibliography"/>
        <w:spacing w:after="120"/>
      </w:pPr>
      <w:r w:rsidRPr="00451FDB">
        <w:t xml:space="preserve">Tahori, AS &amp; Hazan, A 1970, ‘Rearing of the black citrus aphid </w:t>
      </w:r>
      <w:r w:rsidRPr="00451FDB">
        <w:rPr>
          <w:i/>
        </w:rPr>
        <w:t>Toxoptera aurantii</w:t>
      </w:r>
      <w:r w:rsidRPr="00451FDB">
        <w:t xml:space="preserve"> on chemically defined diets’, </w:t>
      </w:r>
      <w:r w:rsidRPr="00451FDB">
        <w:rPr>
          <w:i/>
        </w:rPr>
        <w:t>Journal of Insect Physiology</w:t>
      </w:r>
      <w:r w:rsidRPr="00451FDB">
        <w:t>, vol. 16, pp. 1975-81.</w:t>
      </w:r>
    </w:p>
    <w:p w14:paraId="42F0A283" w14:textId="77777777" w:rsidR="00BC2F05" w:rsidRPr="00451FDB" w:rsidRDefault="00772FB6" w:rsidP="00B33061">
      <w:pPr>
        <w:pStyle w:val="EndNoteBibliography"/>
        <w:spacing w:after="120"/>
      </w:pPr>
      <w:r w:rsidRPr="00451FDB">
        <w:t>Temak, Y, Cholke, P, Mule, A, Shingade, A, Narote, S, Kagde, A, Lagad, R &amp; Sake, V 2018, ‘</w:t>
      </w:r>
      <w:r w:rsidRPr="00451FDB">
        <w:rPr>
          <w:i/>
        </w:rPr>
        <w:t>In vivo</w:t>
      </w:r>
      <w:r w:rsidRPr="00451FDB">
        <w:t xml:space="preserve"> and </w:t>
      </w:r>
      <w:r w:rsidRPr="00451FDB">
        <w:rPr>
          <w:i/>
        </w:rPr>
        <w:t>In vitro</w:t>
      </w:r>
      <w:r w:rsidRPr="00451FDB">
        <w:t xml:space="preserve"> evaluation of antimicrobial activity of peel extracts of red dragon fruit (</w:t>
      </w:r>
      <w:r w:rsidRPr="00451FDB">
        <w:rPr>
          <w:i/>
        </w:rPr>
        <w:t>Hylocereus polyrhizus</w:t>
      </w:r>
      <w:r w:rsidRPr="00451FDB">
        <w:t xml:space="preserve">)’, </w:t>
      </w:r>
      <w:r w:rsidRPr="00451FDB">
        <w:rPr>
          <w:i/>
        </w:rPr>
        <w:t>International Journal of Research in Pharmacy and Pharmaceutical Sciences</w:t>
      </w:r>
      <w:r w:rsidRPr="00451FDB">
        <w:t>, vol. 3, no. 5, pp. 24-6.</w:t>
      </w:r>
    </w:p>
    <w:p w14:paraId="249759DA" w14:textId="065B8B39" w:rsidR="00BC2F05" w:rsidRPr="00451FDB" w:rsidRDefault="00772FB6" w:rsidP="00B33061">
      <w:pPr>
        <w:pStyle w:val="EndNoteBibliography"/>
        <w:spacing w:after="120"/>
      </w:pPr>
      <w:r w:rsidRPr="00451FDB">
        <w:t xml:space="preserve">Tepora, TF 2019, </w:t>
      </w:r>
      <w:r w:rsidRPr="00451FDB">
        <w:rPr>
          <w:i/>
        </w:rPr>
        <w:t>Problems and opportunities of dragon fruit production in the Philippines</w:t>
      </w:r>
      <w:r w:rsidRPr="00451FDB">
        <w:t xml:space="preserve">, 6097, Food and Fertilizer Technology Centre for the Asian and Pacific Region, Taipei, available at </w:t>
      </w:r>
      <w:hyperlink r:id="rId167" w:history="1">
        <w:r w:rsidR="008C6537" w:rsidRPr="00743CC0">
          <w:rPr>
            <w:rStyle w:val="Hyperlink"/>
          </w:rPr>
          <w:t>http://ap.fftc.org.tw/ap_db.php?id=1040&amp;print=1</w:t>
        </w:r>
      </w:hyperlink>
      <w:r w:rsidRPr="00451FDB">
        <w:t>.</w:t>
      </w:r>
    </w:p>
    <w:p w14:paraId="5D5EC700" w14:textId="77777777" w:rsidR="00BC2F05" w:rsidRPr="00451FDB" w:rsidRDefault="00772FB6" w:rsidP="00B33061">
      <w:pPr>
        <w:pStyle w:val="EndNoteBibliography"/>
        <w:spacing w:after="120"/>
      </w:pPr>
      <w:r w:rsidRPr="00451FDB">
        <w:t xml:space="preserve">-- -- 2021, </w:t>
      </w:r>
      <w:r w:rsidRPr="00451FDB">
        <w:rPr>
          <w:i/>
        </w:rPr>
        <w:t>Issues &amp; problems in dragon fruit production</w:t>
      </w:r>
      <w:r w:rsidRPr="00451FDB">
        <w:t>, Cavite State University, Indang, Cavite, the Philippines.</w:t>
      </w:r>
    </w:p>
    <w:p w14:paraId="18053DCB" w14:textId="77777777" w:rsidR="00BC2F05" w:rsidRPr="00451FDB" w:rsidRDefault="00772FB6" w:rsidP="00B33061">
      <w:pPr>
        <w:pStyle w:val="EndNoteBibliography"/>
        <w:spacing w:after="120"/>
      </w:pPr>
      <w:r w:rsidRPr="00451FDB">
        <w:t xml:space="preserve">Tran, TMH, Nguyen, TCG, Nguyen, VH &amp; Muniappan, R 2018, ‘Study on morphology, biology of </w:t>
      </w:r>
      <w:r w:rsidRPr="00451FDB">
        <w:rPr>
          <w:i/>
        </w:rPr>
        <w:t>Thrips palmi</w:t>
      </w:r>
      <w:r w:rsidRPr="00451FDB">
        <w:t xml:space="preserve"> and efficiency of different concentration of neem leaf extract on dragon fruit’, </w:t>
      </w:r>
      <w:r w:rsidRPr="00451FDB">
        <w:rPr>
          <w:i/>
        </w:rPr>
        <w:t>Journal of Vietnam Agricultural Science and Technology</w:t>
      </w:r>
      <w:r w:rsidRPr="00451FDB">
        <w:t>, vol. 1, no. 3, pp. 108-13.</w:t>
      </w:r>
    </w:p>
    <w:p w14:paraId="1C2052B7" w14:textId="77777777" w:rsidR="00BC2F05" w:rsidRPr="00451FDB" w:rsidRDefault="00772FB6" w:rsidP="00B33061">
      <w:pPr>
        <w:pStyle w:val="EndNoteBibliography"/>
        <w:spacing w:after="120"/>
      </w:pPr>
      <w:r w:rsidRPr="00451FDB">
        <w:t xml:space="preserve">Tridge 2022, </w:t>
      </w:r>
      <w:r w:rsidRPr="00451FDB">
        <w:rPr>
          <w:i/>
        </w:rPr>
        <w:t>Custom report: dragon Fruit</w:t>
      </w:r>
      <w:r w:rsidRPr="00451FDB">
        <w:t>, Presented to Australian Department of Agriculture, Water and the Environment, c2022-03-17, Tridge Co., Ltd.</w:t>
      </w:r>
    </w:p>
    <w:p w14:paraId="1F11F247" w14:textId="77777777" w:rsidR="00BC2F05" w:rsidRPr="00451FDB" w:rsidRDefault="00772FB6" w:rsidP="00B33061">
      <w:pPr>
        <w:pStyle w:val="EndNoteBibliography"/>
        <w:spacing w:after="120"/>
      </w:pPr>
      <w:r w:rsidRPr="00451FDB">
        <w:t xml:space="preserve">Ulrichs, CH &amp; Mewis, I 2004, ‘Seasonal abundance of two armyworm species, </w:t>
      </w:r>
      <w:r w:rsidRPr="00451FDB">
        <w:rPr>
          <w:i/>
        </w:rPr>
        <w:t>Spodoptera exitgua</w:t>
      </w:r>
      <w:r w:rsidRPr="00451FDB">
        <w:t xml:space="preserve"> (Hubner) and </w:t>
      </w:r>
      <w:r w:rsidRPr="00451FDB">
        <w:rPr>
          <w:i/>
        </w:rPr>
        <w:t>Spodoptera litura</w:t>
      </w:r>
      <w:r w:rsidRPr="00451FDB">
        <w:t xml:space="preserve"> (F.) in the Philippines’, </w:t>
      </w:r>
      <w:r w:rsidRPr="00451FDB">
        <w:rPr>
          <w:i/>
        </w:rPr>
        <w:t>Communications in Agricultural and Applied Biological Sciences</w:t>
      </w:r>
      <w:r w:rsidRPr="00451FDB">
        <w:t>, vol. 69, no. 3, pp. 323-8.</w:t>
      </w:r>
    </w:p>
    <w:p w14:paraId="0E883F53" w14:textId="77777777" w:rsidR="00BC2F05" w:rsidRPr="00451FDB" w:rsidRDefault="00772FB6" w:rsidP="00B33061">
      <w:pPr>
        <w:pStyle w:val="EndNoteBibliography"/>
        <w:spacing w:after="120"/>
      </w:pPr>
      <w:r w:rsidRPr="00451FDB">
        <w:t xml:space="preserve">USDA-APHIS 2008, </w:t>
      </w:r>
      <w:r w:rsidRPr="00451FDB">
        <w:rPr>
          <w:i/>
        </w:rPr>
        <w:t>Importation of red dragon fruit (red pitaya) (Hylocereus spp.*) from Vietnam: a pathway-initiated risk assessment</w:t>
      </w:r>
      <w:r w:rsidRPr="00451FDB">
        <w:t>, United States Department of Agriculture, Raleigh, NC (pdf 450 kb).</w:t>
      </w:r>
    </w:p>
    <w:p w14:paraId="1BF2091A" w14:textId="77777777" w:rsidR="00BC2F05" w:rsidRPr="00451FDB" w:rsidRDefault="00772FB6" w:rsidP="00B33061">
      <w:pPr>
        <w:pStyle w:val="EndNoteBibliography"/>
        <w:spacing w:after="120"/>
      </w:pPr>
      <w:r w:rsidRPr="00451FDB">
        <w:t xml:space="preserve">USDA APHIS 2011, </w:t>
      </w:r>
      <w:r w:rsidRPr="00451FDB">
        <w:rPr>
          <w:i/>
        </w:rPr>
        <w:t>Pest list for the importation of dragon fruit (multiple genera and species) into the Continental United States from Thailand</w:t>
      </w:r>
      <w:r w:rsidRPr="00451FDB">
        <w:t>, January 7, 2011: Ver. 2, United States Department of Agriculture Animal and Plant Health Inspection Service, Raleigh, NC, USA.</w:t>
      </w:r>
    </w:p>
    <w:p w14:paraId="2F53FBE5" w14:textId="77777777" w:rsidR="00BC2F05" w:rsidRPr="00451FDB" w:rsidRDefault="00772FB6" w:rsidP="00B33061">
      <w:pPr>
        <w:pStyle w:val="EndNoteBibliography"/>
        <w:spacing w:after="120"/>
      </w:pPr>
      <w:r w:rsidRPr="00451FDB">
        <w:t xml:space="preserve">Varga, J, Juhász, Á, Kevei, F &amp; Kozakiewicz, Z 2004, ‘Molecular diversity of agriculturally important </w:t>
      </w:r>
      <w:r w:rsidRPr="00451FDB">
        <w:rPr>
          <w:i/>
        </w:rPr>
        <w:t>Aspergillus</w:t>
      </w:r>
      <w:r w:rsidRPr="00451FDB">
        <w:t xml:space="preserve"> species’, </w:t>
      </w:r>
      <w:r w:rsidRPr="00451FDB">
        <w:rPr>
          <w:i/>
        </w:rPr>
        <w:t>European Journal of Plant Pathology</w:t>
      </w:r>
      <w:r w:rsidRPr="00451FDB">
        <w:t>, vol. 110, pp. 627-40.</w:t>
      </w:r>
    </w:p>
    <w:p w14:paraId="43F344AD" w14:textId="77777777" w:rsidR="00BC2F05" w:rsidRPr="00451FDB" w:rsidRDefault="00772FB6" w:rsidP="00B33061">
      <w:pPr>
        <w:pStyle w:val="EndNoteBibliography"/>
        <w:spacing w:after="120"/>
      </w:pPr>
      <w:r w:rsidRPr="00451FDB">
        <w:t xml:space="preserve">Vargas, RI, Pinero, JC &amp; Leblanc, L 2015, ‘An overview of pest species of </w:t>
      </w:r>
      <w:r w:rsidRPr="00451FDB">
        <w:rPr>
          <w:i/>
        </w:rPr>
        <w:t xml:space="preserve">Bactrocera </w:t>
      </w:r>
      <w:r w:rsidRPr="00451FDB">
        <w:t xml:space="preserve">fruit flies (Diptera: Tephritidae) and the integration of biopesticides with other biological approaches for their management with a focus on the Pacific region’, </w:t>
      </w:r>
      <w:r w:rsidRPr="00451FDB">
        <w:rPr>
          <w:i/>
        </w:rPr>
        <w:t>Insects</w:t>
      </w:r>
      <w:r w:rsidRPr="00451FDB">
        <w:t>, vol. 6, pp. 297-318.</w:t>
      </w:r>
    </w:p>
    <w:p w14:paraId="669E7B6F" w14:textId="77777777" w:rsidR="00BC2F05" w:rsidRPr="00451FDB" w:rsidRDefault="00772FB6" w:rsidP="00B33061">
      <w:pPr>
        <w:pStyle w:val="EndNoteBibliography"/>
        <w:spacing w:after="120"/>
      </w:pPr>
      <w:r w:rsidRPr="00451FDB">
        <w:t xml:space="preserve">Virgilio, M, Jordaens, K, Verwimp, C, White, I &amp; De Meyer, M 2015, ‘Higher phylogeny of frugivorous flies (Diptera,Tephritidae,Dacini): localised partition conflicts and a novel generic classification’, </w:t>
      </w:r>
      <w:r w:rsidRPr="00451FDB">
        <w:rPr>
          <w:i/>
        </w:rPr>
        <w:t>Molecular Phylogenetics and Evolution</w:t>
      </w:r>
      <w:r w:rsidRPr="00451FDB">
        <w:t>, vol. 85, pp. 171-9.</w:t>
      </w:r>
    </w:p>
    <w:p w14:paraId="68F24250" w14:textId="77777777" w:rsidR="00BC2F05" w:rsidRPr="00451FDB" w:rsidRDefault="00772FB6" w:rsidP="00B33061">
      <w:pPr>
        <w:pStyle w:val="EndNoteBibliography"/>
        <w:spacing w:after="120"/>
      </w:pPr>
      <w:r w:rsidRPr="00451FDB">
        <w:t xml:space="preserve">Wang, CL, Lin, FC, Chiu, YC &amp; Shih, HT 2010, ‘Species of </w:t>
      </w:r>
      <w:r w:rsidRPr="00451FDB">
        <w:rPr>
          <w:i/>
        </w:rPr>
        <w:t xml:space="preserve">Frankliniella </w:t>
      </w:r>
      <w:r w:rsidRPr="00451FDB">
        <w:t xml:space="preserve">Trybom (Thysanoptera: Thripidae) from the Asian-Pacific area’, </w:t>
      </w:r>
      <w:r w:rsidRPr="00451FDB">
        <w:rPr>
          <w:i/>
        </w:rPr>
        <w:t>Zoological Studies</w:t>
      </w:r>
      <w:r w:rsidRPr="00451FDB">
        <w:t>, vol. 49, no. 6, pp. 824-38.</w:t>
      </w:r>
    </w:p>
    <w:p w14:paraId="30E6F3F8" w14:textId="77777777" w:rsidR="00BC2F05" w:rsidRPr="00451FDB" w:rsidRDefault="00772FB6" w:rsidP="00B33061">
      <w:pPr>
        <w:pStyle w:val="EndNoteBibliography"/>
        <w:spacing w:after="120"/>
      </w:pPr>
      <w:r w:rsidRPr="00451FDB">
        <w:t xml:space="preserve">Waterhouse, DF 1993a, </w:t>
      </w:r>
      <w:r w:rsidRPr="00451FDB">
        <w:rPr>
          <w:i/>
        </w:rPr>
        <w:t>The major arthropod pests and weeds of agriculture in southeast Asia: distribution, importance and origin</w:t>
      </w:r>
      <w:r w:rsidRPr="00451FDB">
        <w:t>, ACIAR, Canberra.</w:t>
      </w:r>
    </w:p>
    <w:p w14:paraId="272A4311" w14:textId="77777777" w:rsidR="00BC2F05" w:rsidRPr="00451FDB" w:rsidRDefault="00772FB6" w:rsidP="00B33061">
      <w:pPr>
        <w:pStyle w:val="EndNoteBibliography"/>
        <w:spacing w:after="120"/>
      </w:pPr>
      <w:r w:rsidRPr="00451FDB">
        <w:t xml:space="preserve">-- -- 1993b, </w:t>
      </w:r>
      <w:r w:rsidRPr="00451FDB">
        <w:rPr>
          <w:i/>
        </w:rPr>
        <w:t>The major arthropod pests and weeds of agriculture in Southeast Asia: distribution, importance and origin</w:t>
      </w:r>
      <w:r w:rsidRPr="00451FDB">
        <w:t>, Australian Centre for International Agricultural Research, Canberra.</w:t>
      </w:r>
    </w:p>
    <w:p w14:paraId="1B5BB214" w14:textId="6EF4C47C" w:rsidR="00BC2F05" w:rsidRPr="00451FDB" w:rsidRDefault="00772FB6" w:rsidP="00B33061">
      <w:pPr>
        <w:pStyle w:val="EndNoteBibliography"/>
        <w:spacing w:after="120"/>
      </w:pPr>
      <w:r w:rsidRPr="00451FDB">
        <w:lastRenderedPageBreak/>
        <w:t xml:space="preserve">Weems, HV, Heppner, JB &amp; Fasulo, TR 2018, </w:t>
      </w:r>
      <w:r w:rsidRPr="00451FDB">
        <w:rPr>
          <w:i/>
        </w:rPr>
        <w:t>Melon fly, Bactrocera cucurbitae (Coquillet) (Insecta: Diptera: Tephritidae)</w:t>
      </w:r>
      <w:r w:rsidRPr="00451FDB">
        <w:t xml:space="preserve">, Featured Creatures, University of Florida, Florida, USA, available at </w:t>
      </w:r>
      <w:hyperlink r:id="rId168" w:history="1">
        <w:r w:rsidR="008C6537" w:rsidRPr="00743CC0">
          <w:rPr>
            <w:rStyle w:val="Hyperlink"/>
          </w:rPr>
          <w:t>http://entnemdept.ufl.edu/creatures/fruit/tropical/oriental_fruit_fly.htm</w:t>
        </w:r>
      </w:hyperlink>
      <w:r w:rsidRPr="00451FDB">
        <w:t>.</w:t>
      </w:r>
    </w:p>
    <w:p w14:paraId="27CB6702" w14:textId="77777777" w:rsidR="00BC2F05" w:rsidRPr="00451FDB" w:rsidRDefault="00772FB6" w:rsidP="00B33061">
      <w:pPr>
        <w:pStyle w:val="EndNoteBibliography"/>
        <w:spacing w:after="120"/>
      </w:pPr>
      <w:r w:rsidRPr="00451FDB">
        <w:t xml:space="preserve">White, IM &amp; Elson-Harris, MM 1992, </w:t>
      </w:r>
      <w:r w:rsidRPr="00451FDB">
        <w:rPr>
          <w:i/>
        </w:rPr>
        <w:t>Fruit flies of economic significance: their identification and bionomics</w:t>
      </w:r>
      <w:r w:rsidRPr="00451FDB">
        <w:t>, CAB International, Wallingford, U.K.</w:t>
      </w:r>
    </w:p>
    <w:p w14:paraId="413B84FA" w14:textId="77777777" w:rsidR="00BC2F05" w:rsidRPr="00451FDB" w:rsidRDefault="00772FB6" w:rsidP="00B33061">
      <w:pPr>
        <w:pStyle w:val="EndNoteBibliography"/>
        <w:spacing w:after="120"/>
      </w:pPr>
      <w:r w:rsidRPr="00451FDB">
        <w:t xml:space="preserve">Wiemers, M 2007, ‘Invasion of the lime swallowtail </w:t>
      </w:r>
      <w:r w:rsidRPr="00451FDB">
        <w:rPr>
          <w:i/>
        </w:rPr>
        <w:t>Papilio demoleus</w:t>
      </w:r>
      <w:r w:rsidRPr="00451FDB">
        <w:t xml:space="preserve"> L. (Papilionidae) into SE Asia’, </w:t>
      </w:r>
      <w:r w:rsidRPr="00451FDB">
        <w:rPr>
          <w:i/>
        </w:rPr>
        <w:t>Berichte des Naturwissenschaftlich-medizinischen Vereins in Innsbruck</w:t>
      </w:r>
      <w:r w:rsidRPr="00451FDB">
        <w:t>, vol. 17 (suppl.), pp. 268-9.</w:t>
      </w:r>
    </w:p>
    <w:p w14:paraId="23694F14" w14:textId="77777777" w:rsidR="00BC2F05" w:rsidRPr="00451FDB" w:rsidRDefault="00772FB6" w:rsidP="00B33061">
      <w:pPr>
        <w:pStyle w:val="EndNoteBibliography"/>
        <w:spacing w:after="120"/>
      </w:pPr>
      <w:r w:rsidRPr="00451FDB">
        <w:t xml:space="preserve">Woodruff, RE 2006, ‘The Asian mango flower beetle, </w:t>
      </w:r>
      <w:r w:rsidRPr="00451FDB">
        <w:rPr>
          <w:i/>
        </w:rPr>
        <w:t>Protaetia fusca</w:t>
      </w:r>
      <w:r w:rsidRPr="00451FDB">
        <w:t xml:space="preserve"> (Herbst), and </w:t>
      </w:r>
      <w:r w:rsidRPr="00451FDB">
        <w:rPr>
          <w:i/>
        </w:rPr>
        <w:t>Euphoria sepulcralis</w:t>
      </w:r>
      <w:r w:rsidRPr="00451FDB">
        <w:t xml:space="preserve"> (Fabricius) in Florida and the West Indies (Coleoptera: Scarabaeidae: Cetoniinae)’, </w:t>
      </w:r>
      <w:r w:rsidRPr="00451FDB">
        <w:rPr>
          <w:i/>
        </w:rPr>
        <w:t>Insecta Mundi</w:t>
      </w:r>
      <w:r w:rsidRPr="00451FDB">
        <w:t>, vol. 20, no. 3-4, pp. 227-31.</w:t>
      </w:r>
    </w:p>
    <w:p w14:paraId="1A0B6718" w14:textId="5E9531B5" w:rsidR="00BC2F05" w:rsidRPr="00451FDB" w:rsidRDefault="00772FB6" w:rsidP="00B33061">
      <w:pPr>
        <w:pStyle w:val="EndNoteBibliography"/>
        <w:spacing w:after="120"/>
      </w:pPr>
      <w:r w:rsidRPr="00451FDB">
        <w:t xml:space="preserve">WTO 1995, </w:t>
      </w:r>
      <w:r w:rsidRPr="00451FDB">
        <w:rPr>
          <w:i/>
        </w:rPr>
        <w:t>Agreement on the application of sanitary and phytosanitary measures</w:t>
      </w:r>
      <w:r w:rsidRPr="00451FDB">
        <w:t xml:space="preserve">, World Trade Organization, Geneva, available at </w:t>
      </w:r>
      <w:hyperlink r:id="rId169" w:history="1">
        <w:r w:rsidR="008C6537" w:rsidRPr="00743CC0">
          <w:rPr>
            <w:rStyle w:val="Hyperlink"/>
          </w:rPr>
          <w:t>https://www.wto.org/english/docs_e/legal_e/15-sps.pdf</w:t>
        </w:r>
      </w:hyperlink>
      <w:r w:rsidR="00B33061">
        <w:t xml:space="preserve"> </w:t>
      </w:r>
      <w:r w:rsidRPr="00451FDB">
        <w:t>(pdf 91 kb).</w:t>
      </w:r>
    </w:p>
    <w:p w14:paraId="427EB95E" w14:textId="77777777" w:rsidR="00BC2F05" w:rsidRPr="00451FDB" w:rsidRDefault="00772FB6" w:rsidP="00B33061">
      <w:pPr>
        <w:pStyle w:val="EndNoteBibliography"/>
        <w:spacing w:after="120"/>
      </w:pPr>
      <w:r w:rsidRPr="00451FDB">
        <w:t xml:space="preserve">Xu, M, Peng, Y, Qi, Z, Yan, Z, Yang, L, He, MD, Li, QX, Liu, CL, Ruan, YZ, Wei, SS, Xie, J, Xia, YQ &amp; Tang, H 2018, ‘Identification of </w:t>
      </w:r>
      <w:r w:rsidRPr="00451FDB">
        <w:rPr>
          <w:i/>
        </w:rPr>
        <w:t>Neoscytalidium dimidiatum</w:t>
      </w:r>
      <w:r w:rsidRPr="00451FDB">
        <w:t xml:space="preserve"> causing canker disease of pitaya in Hainan, China’, </w:t>
      </w:r>
      <w:r w:rsidRPr="00451FDB">
        <w:rPr>
          <w:i/>
        </w:rPr>
        <w:t>Australasian Plant Pathology</w:t>
      </w:r>
      <w:r w:rsidRPr="00451FDB">
        <w:t>, vol. 47, pp. 547-53.</w:t>
      </w:r>
    </w:p>
    <w:p w14:paraId="129A2717" w14:textId="77777777" w:rsidR="00BC2F05" w:rsidRPr="00451FDB" w:rsidRDefault="00772FB6" w:rsidP="00B33061">
      <w:pPr>
        <w:pStyle w:val="EndNoteBibliography"/>
        <w:spacing w:after="120"/>
      </w:pPr>
      <w:r w:rsidRPr="00451FDB">
        <w:t xml:space="preserve">Yap, RA &amp; Halos, PSM 1995, ‘Isolation, enumeration and identification of oil-degrading fungi in Pasig River’, </w:t>
      </w:r>
      <w:r w:rsidRPr="00451FDB">
        <w:rPr>
          <w:i/>
        </w:rPr>
        <w:t>The Philippine Journal of Biotechnology</w:t>
      </w:r>
      <w:r w:rsidRPr="00451FDB">
        <w:t>, vol. 6, no. 1, pp. 29-40.</w:t>
      </w:r>
    </w:p>
    <w:p w14:paraId="3EDA4BF6" w14:textId="39E23F86" w:rsidR="00BC2F05" w:rsidRPr="00451FDB" w:rsidRDefault="00772FB6" w:rsidP="00B33061">
      <w:pPr>
        <w:pStyle w:val="EndNoteBibliography"/>
        <w:spacing w:after="120"/>
      </w:pPr>
      <w:r w:rsidRPr="00451FDB">
        <w:t xml:space="preserve">Zhao, Z, Zhang, Y, Avila, GA, Han, P, Pan, X, Qin, Y, Li, Z, Reddy, GVP, Van Kleunen, M &amp; Hui, C 2021, ‘Climate change and invasion expansion jointly reshape geographic ranges of invasive tephritid fruit flies’, </w:t>
      </w:r>
      <w:r w:rsidRPr="00451FDB">
        <w:rPr>
          <w:i/>
        </w:rPr>
        <w:t>Research Square</w:t>
      </w:r>
      <w:r w:rsidRPr="00451FDB">
        <w:t xml:space="preserve">, </w:t>
      </w:r>
      <w:hyperlink r:id="rId170" w:history="1">
        <w:r w:rsidR="008C6537" w:rsidRPr="00743CC0">
          <w:rPr>
            <w:rStyle w:val="Hyperlink"/>
          </w:rPr>
          <w:t>https://doi.org/10.21203/rs.3.rs-733983/v1</w:t>
        </w:r>
      </w:hyperlink>
      <w:r w:rsidRPr="00451FDB">
        <w:t xml:space="preserve"> [epub ahead of print], accessed 7 December 2021.</w:t>
      </w:r>
    </w:p>
    <w:p w14:paraId="57A0F575" w14:textId="77777777" w:rsidR="00BC2F05" w:rsidRDefault="00BC2F05" w:rsidP="00976665"/>
    <w:p w14:paraId="54F56238" w14:textId="77777777" w:rsidR="00F038C6" w:rsidRDefault="00F038C6"/>
    <w:sectPr w:rsidR="00F038C6" w:rsidSect="007032AE">
      <w:headerReference w:type="even" r:id="rId171"/>
      <w:headerReference w:type="default" r:id="rId172"/>
      <w:footerReference w:type="default" r:id="rId173"/>
      <w:headerReference w:type="first" r:id="rId174"/>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CCEE8" w14:textId="77777777" w:rsidR="005746D6" w:rsidRDefault="00772FB6">
      <w:pPr>
        <w:spacing w:after="0" w:line="240" w:lineRule="auto"/>
      </w:pPr>
      <w:r>
        <w:separator/>
      </w:r>
    </w:p>
  </w:endnote>
  <w:endnote w:type="continuationSeparator" w:id="0">
    <w:p w14:paraId="5DC802D3" w14:textId="77777777" w:rsidR="005746D6" w:rsidRDefault="00772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E8F2" w14:textId="77777777" w:rsidR="0070289C" w:rsidRPr="009F0E54" w:rsidRDefault="0070289C"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31B9" w14:textId="77777777" w:rsidR="0070289C" w:rsidRDefault="00772FB6" w:rsidP="00976665">
    <w:pPr>
      <w:pStyle w:val="Footer"/>
    </w:pPr>
    <w:r>
      <w:ptab w:relativeTo="margin" w:alignment="left" w:leader="none"/>
    </w:r>
    <w:r w:rsidRPr="00F76DD9">
      <w:t>Department of</w:t>
    </w:r>
    <w:r>
      <w:t xml:space="preserve"> Agriculture, Fisheries and Forestry</w:t>
    </w:r>
  </w:p>
  <w:p w14:paraId="53D2812A" w14:textId="77777777" w:rsidR="0070289C" w:rsidRPr="00C54718" w:rsidRDefault="00772FB6" w:rsidP="00976665">
    <w:pPr>
      <w:pStyle w:val="Footer"/>
    </w:pPr>
    <w:r>
      <w:fldChar w:fldCharType="begin"/>
    </w:r>
    <w:r>
      <w:instrText xml:space="preserve"> PAGE  \* Arabic  \* MERGEFORMAT </w:instrText>
    </w:r>
    <w:r>
      <w:fldChar w:fldCharType="separate"/>
    </w:r>
    <w:r>
      <w:t>65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0C21" w14:textId="77777777" w:rsidR="0070289C" w:rsidRPr="004A19C1" w:rsidRDefault="00772FB6" w:rsidP="004A19C1">
    <w:pPr>
      <w:pStyle w:val="Footer"/>
    </w:pPr>
    <w:r>
      <w:ptab w:relativeTo="margin" w:alignment="left" w:leader="none"/>
    </w:r>
    <w:r w:rsidRPr="004A19C1">
      <w:t>Department of Agriculture, Fisheries and Forestry</w:t>
    </w:r>
    <w:r w:rsidRPr="004A19C1">
      <w:tab/>
    </w:r>
    <w:r>
      <w:ptab w:relativeTo="margin" w:alignment="left" w:leader="none"/>
    </w:r>
    <w:r w:rsidRPr="004A19C1">
      <w:fldChar w:fldCharType="begin"/>
    </w:r>
    <w:r w:rsidRPr="004A19C1">
      <w:instrText xml:space="preserve"> PAGE  \* Arabic  \* MERGEFORMAT </w:instrText>
    </w:r>
    <w:r w:rsidRPr="004A19C1">
      <w:fldChar w:fldCharType="separate"/>
    </w:r>
    <w:r w:rsidRPr="004A19C1">
      <w:t>66</w:t>
    </w:r>
    <w:r w:rsidRPr="004A19C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2E1A" w14:textId="714940BE" w:rsidR="00BD336B" w:rsidRDefault="00772FB6" w:rsidP="00BD336B">
    <w:pPr>
      <w:pStyle w:val="Footer"/>
      <w:spacing w:after="0"/>
      <w:rPr>
        <w:rFonts w:asciiTheme="minorHAnsi" w:hAnsiTheme="minorHAnsi" w:cstheme="minorHAnsi"/>
      </w:rPr>
    </w:pPr>
    <w:r>
      <w:ptab w:relativeTo="margin" w:alignment="left" w:leader="none"/>
    </w:r>
    <w:r w:rsidRPr="004A19C1">
      <w:rPr>
        <w:rFonts w:asciiTheme="minorHAnsi" w:hAnsiTheme="minorHAnsi" w:cstheme="minorHAnsi"/>
      </w:rPr>
      <w:t>Department of Agriculture, Fisheries and Forestry</w:t>
    </w:r>
  </w:p>
  <w:p w14:paraId="5CBB8CF2" w14:textId="3A139AD2" w:rsidR="0070289C" w:rsidRPr="004A19C1" w:rsidRDefault="00772FB6" w:rsidP="00BD336B">
    <w:pPr>
      <w:pStyle w:val="Footer"/>
      <w:spacing w:after="0"/>
      <w:rPr>
        <w:rFonts w:asciiTheme="minorHAnsi" w:hAnsiTheme="minorHAnsi" w:cstheme="minorHAnsi"/>
      </w:rPr>
    </w:pPr>
    <w:r w:rsidRPr="004A19C1">
      <w:rPr>
        <w:rFonts w:asciiTheme="minorHAnsi" w:hAnsiTheme="minorHAnsi" w:cstheme="minorHAnsi"/>
      </w:rPr>
      <w:fldChar w:fldCharType="begin"/>
    </w:r>
    <w:r w:rsidRPr="004A19C1">
      <w:rPr>
        <w:rFonts w:asciiTheme="minorHAnsi" w:hAnsiTheme="minorHAnsi" w:cstheme="minorHAnsi"/>
      </w:rPr>
      <w:instrText xml:space="preserve"> PAGE  \* Arabic  \* MERGEFORMAT </w:instrText>
    </w:r>
    <w:r w:rsidRPr="004A19C1">
      <w:rPr>
        <w:rFonts w:asciiTheme="minorHAnsi" w:hAnsiTheme="minorHAnsi" w:cstheme="minorHAnsi"/>
      </w:rPr>
      <w:fldChar w:fldCharType="separate"/>
    </w:r>
    <w:r w:rsidRPr="004A19C1">
      <w:rPr>
        <w:rFonts w:asciiTheme="minorHAnsi" w:hAnsiTheme="minorHAnsi" w:cstheme="minorHAnsi"/>
        <w:noProof/>
      </w:rPr>
      <w:t>93</w:t>
    </w:r>
    <w:r w:rsidRPr="004A19C1">
      <w:rPr>
        <w:rFonts w:asciiTheme="minorHAnsi" w:hAnsiTheme="minorHAnsi" w:cstheme="minorHAns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8A82" w14:textId="77777777" w:rsidR="0070289C" w:rsidRDefault="00772FB6" w:rsidP="00976665">
    <w:pPr>
      <w:pStyle w:val="Footer"/>
    </w:pPr>
    <w:r>
      <w:ptab w:relativeTo="margin" w:alignment="left" w:leader="none"/>
    </w:r>
    <w:r>
      <w:ptab w:relativeTo="margin" w:alignment="left" w:leader="none"/>
    </w:r>
    <w:r w:rsidRPr="00F76DD9">
      <w:t>Department of</w:t>
    </w:r>
    <w:r>
      <w:t xml:space="preserve"> Agriculture, Fisheries and Forestry</w:t>
    </w:r>
  </w:p>
  <w:p w14:paraId="21B97B1D" w14:textId="77777777" w:rsidR="0070289C" w:rsidRPr="00C54718" w:rsidRDefault="00772FB6" w:rsidP="00976665">
    <w:pPr>
      <w:pStyle w:val="Footer"/>
    </w:pPr>
    <w:r>
      <w:fldChar w:fldCharType="begin"/>
    </w:r>
    <w:r>
      <w:instrText xml:space="preserve"> PAGE  \* Arabic  \* MERGEFORMAT </w:instrText>
    </w:r>
    <w:r>
      <w:fldChar w:fldCharType="separate"/>
    </w:r>
    <w:r>
      <w:t>99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7733" w14:textId="77777777" w:rsidR="0070289C" w:rsidRDefault="00772FB6" w:rsidP="00C54718">
    <w:pPr>
      <w:pStyle w:val="Footer"/>
    </w:pPr>
    <w:r>
      <w:ptab w:relativeTo="margin" w:alignment="left" w:leader="none"/>
    </w:r>
    <w:r w:rsidRPr="00F76DD9">
      <w:t>Department of</w:t>
    </w:r>
    <w:r>
      <w:t xml:space="preserve"> Agriculture, Fisheries and Forestry</w:t>
    </w:r>
  </w:p>
  <w:p w14:paraId="0837B1BA" w14:textId="77777777" w:rsidR="0070289C" w:rsidRPr="00C54718" w:rsidRDefault="00772FB6" w:rsidP="00C54718">
    <w:pPr>
      <w:pStyle w:val="Footer"/>
    </w:pPr>
    <w:r>
      <w:fldChar w:fldCharType="begin"/>
    </w:r>
    <w:r>
      <w:instrText xml:space="preserve"> PAGE  \* Arabic  \* MERGEFORMAT </w:instrText>
    </w:r>
    <w:r>
      <w:fldChar w:fldCharType="separate"/>
    </w:r>
    <w:r>
      <w:rPr>
        <w:noProof/>
      </w:rPr>
      <w:t>112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6468" w14:textId="77777777" w:rsidR="0070289C" w:rsidRDefault="00772FB6" w:rsidP="00C54718">
    <w:pPr>
      <w:pStyle w:val="Footer"/>
    </w:pPr>
    <w:r>
      <w:ptab w:relativeTo="margin" w:alignment="left" w:leader="none"/>
    </w:r>
    <w:r w:rsidRPr="00C54718">
      <w:t>Department</w:t>
    </w:r>
    <w:r w:rsidRPr="00F76DD9">
      <w:t xml:space="preserve"> of</w:t>
    </w:r>
    <w:r>
      <w:t xml:space="preserve"> Agriculture, Fisheries and Forestry</w:t>
    </w:r>
  </w:p>
  <w:p w14:paraId="1F30BC5B" w14:textId="77777777" w:rsidR="0070289C" w:rsidRPr="00C54718" w:rsidRDefault="00772FB6" w:rsidP="00C54718">
    <w:pPr>
      <w:pStyle w:val="Footer"/>
    </w:pPr>
    <w:r>
      <w:fldChar w:fldCharType="begin"/>
    </w:r>
    <w:r>
      <w:instrText xml:space="preserve"> PAGE  \* roman  \* MERGEFORMAT </w:instrText>
    </w:r>
    <w:r>
      <w:fldChar w:fldCharType="separate"/>
    </w:r>
    <w:r>
      <w:rPr>
        <w:noProof/>
      </w:rPr>
      <w:t>viii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DD6E" w14:textId="77777777" w:rsidR="0070289C" w:rsidRDefault="00772FB6" w:rsidP="00C54718">
    <w:pPr>
      <w:pStyle w:val="Footer"/>
    </w:pPr>
    <w:r>
      <w:ptab w:relativeTo="margin" w:alignment="left" w:leader="none"/>
    </w:r>
    <w:r w:rsidRPr="00F76DD9">
      <w:t>Department of</w:t>
    </w:r>
    <w:r>
      <w:t xml:space="preserve"> Agriculture, Fisheries and Forestry</w:t>
    </w:r>
  </w:p>
  <w:p w14:paraId="5CF6A458" w14:textId="77777777" w:rsidR="0070289C" w:rsidRPr="00C54718" w:rsidRDefault="00772FB6" w:rsidP="00C54718">
    <w:pPr>
      <w:pStyle w:val="Footer"/>
    </w:pPr>
    <w:r>
      <w:fldChar w:fldCharType="begin"/>
    </w:r>
    <w:r>
      <w:instrText xml:space="preserve"> PAGE  \* Arabic  \* MERGEFORMAT </w:instrText>
    </w:r>
    <w:r>
      <w:fldChar w:fldCharType="separate"/>
    </w:r>
    <w:r>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6B4D" w14:textId="77777777" w:rsidR="0070289C" w:rsidRDefault="00772FB6" w:rsidP="00C54718">
    <w:pPr>
      <w:pStyle w:val="Footer"/>
    </w:pPr>
    <w:r>
      <w:ptab w:relativeTo="margin" w:alignment="left" w:leader="none"/>
    </w:r>
    <w:r w:rsidRPr="00F76DD9">
      <w:t>Department of</w:t>
    </w:r>
    <w:r>
      <w:t xml:space="preserve"> Agriculture, Fisheries and Forestry</w:t>
    </w:r>
  </w:p>
  <w:p w14:paraId="5BEF1541" w14:textId="77777777" w:rsidR="0070289C" w:rsidRPr="00C54718" w:rsidRDefault="00772FB6" w:rsidP="00C54718">
    <w:pPr>
      <w:pStyle w:val="Footer"/>
    </w:pPr>
    <w:r>
      <w:fldChar w:fldCharType="begin"/>
    </w:r>
    <w:r>
      <w:instrText xml:space="preserve"> PAGE  \* Arabic  \* MERGEFORMAT </w:instrText>
    </w:r>
    <w:r>
      <w:fldChar w:fldCharType="separate"/>
    </w:r>
    <w:r>
      <w:rPr>
        <w:noProof/>
      </w:rPr>
      <w:t>27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F338" w14:textId="77777777" w:rsidR="0070289C" w:rsidRDefault="0070289C">
    <w:pPr>
      <w:pStyle w:val="Footer"/>
    </w:pPr>
  </w:p>
  <w:p w14:paraId="6BDC8089" w14:textId="77777777" w:rsidR="0070289C" w:rsidRDefault="007028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2C8E" w14:textId="77777777" w:rsidR="0070289C" w:rsidRDefault="00772FB6" w:rsidP="00C54718">
    <w:pPr>
      <w:pStyle w:val="Footer"/>
    </w:pPr>
    <w:r>
      <w:ptab w:relativeTo="margin" w:alignment="left" w:leader="none"/>
    </w:r>
    <w:r w:rsidRPr="00F76DD9">
      <w:t>Department of</w:t>
    </w:r>
    <w:r>
      <w:t xml:space="preserve"> Agriculture, Fisheries and Forestry</w:t>
    </w:r>
  </w:p>
  <w:p w14:paraId="66CA20F2" w14:textId="77777777" w:rsidR="0070289C" w:rsidRPr="00C54718" w:rsidRDefault="00772FB6" w:rsidP="00C54718">
    <w:pPr>
      <w:pStyle w:val="Footer"/>
    </w:pPr>
    <w:r>
      <w:fldChar w:fldCharType="begin"/>
    </w:r>
    <w:r>
      <w:instrText xml:space="preserve"> PAGE  \* Arabic  \* MERGEFORMAT </w:instrText>
    </w:r>
    <w:r>
      <w:fldChar w:fldCharType="separate"/>
    </w:r>
    <w:r>
      <w:rPr>
        <w:noProof/>
      </w:rPr>
      <w:t>40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365B" w14:textId="77777777" w:rsidR="0070289C" w:rsidRDefault="00772FB6" w:rsidP="00976665">
    <w:pPr>
      <w:pStyle w:val="Footer"/>
    </w:pPr>
    <w:r>
      <w:ptab w:relativeTo="margin" w:alignment="left" w:leader="none"/>
    </w:r>
    <w:r w:rsidRPr="00F76DD9">
      <w:t>Department of</w:t>
    </w:r>
    <w:r>
      <w:t xml:space="preserve"> Agriculture, Fisheries and Forestry</w:t>
    </w:r>
  </w:p>
  <w:p w14:paraId="3E503965" w14:textId="77777777" w:rsidR="0070289C" w:rsidRPr="00C54718" w:rsidRDefault="00772FB6" w:rsidP="00976665">
    <w:pPr>
      <w:pStyle w:val="Footer"/>
    </w:pPr>
    <w:r>
      <w:fldChar w:fldCharType="begin"/>
    </w:r>
    <w:r>
      <w:instrText xml:space="preserve"> PAGE  \* Arabic  \* MERGEFORMAT </w:instrText>
    </w:r>
    <w:r>
      <w:fldChar w:fldCharType="separate"/>
    </w:r>
    <w:r>
      <w:t>51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AFB1" w14:textId="77777777" w:rsidR="0070289C" w:rsidRDefault="0070289C">
    <w:pPr>
      <w:pStyle w:val="Footer"/>
    </w:pPr>
  </w:p>
  <w:p w14:paraId="341A0174" w14:textId="77777777" w:rsidR="0070289C" w:rsidRDefault="0070289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C8FF" w14:textId="77777777" w:rsidR="0070289C" w:rsidRDefault="00772FB6" w:rsidP="00C54718">
    <w:pPr>
      <w:pStyle w:val="Footer"/>
    </w:pPr>
    <w:r>
      <w:ptab w:relativeTo="margin" w:alignment="left" w:leader="none"/>
    </w:r>
    <w:r w:rsidRPr="00F76DD9">
      <w:t>Department of</w:t>
    </w:r>
    <w:r>
      <w:t xml:space="preserve"> Agriculture, Fisheries and Forestry</w:t>
    </w:r>
  </w:p>
  <w:p w14:paraId="09CBC5D1" w14:textId="77777777" w:rsidR="0070289C" w:rsidRPr="00C54718" w:rsidRDefault="00772FB6" w:rsidP="00C54718">
    <w:pPr>
      <w:pStyle w:val="Footer"/>
    </w:pPr>
    <w:r>
      <w:fldChar w:fldCharType="begin"/>
    </w:r>
    <w:r>
      <w:instrText xml:space="preserve"> PAGE  \* Arabic  \* MERGEFORMAT </w:instrText>
    </w:r>
    <w:r>
      <w:fldChar w:fldCharType="separate"/>
    </w:r>
    <w:r>
      <w:rPr>
        <w:noProof/>
      </w:rPr>
      <w:t>52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5376" w14:textId="77777777" w:rsidR="005746D6" w:rsidRDefault="00772FB6">
      <w:pPr>
        <w:spacing w:after="0" w:line="240" w:lineRule="auto"/>
      </w:pPr>
      <w:r>
        <w:separator/>
      </w:r>
    </w:p>
  </w:footnote>
  <w:footnote w:type="continuationSeparator" w:id="0">
    <w:p w14:paraId="3CA69C47" w14:textId="77777777" w:rsidR="005746D6" w:rsidRDefault="00772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B40F" w14:textId="77777777" w:rsidR="0070289C" w:rsidRPr="00C401D9" w:rsidRDefault="00772FB6" w:rsidP="00C401D9">
    <w:pPr>
      <w:pStyle w:val="Header"/>
      <w:jc w:val="left"/>
    </w:pPr>
    <w:r>
      <w:rPr>
        <w:noProof/>
      </w:rPr>
      <w:drawing>
        <wp:inline distT="0" distB="0" distL="0" distR="0" wp14:anchorId="6838F092" wp14:editId="6B71F2AB">
          <wp:extent cx="2124000" cy="619200"/>
          <wp:effectExtent l="0" t="0" r="0" b="0"/>
          <wp:docPr id="27" name="Picture 27"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24000" cy="6192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46A5" w14:textId="0ED39092" w:rsidR="0070289C" w:rsidRDefault="000C0A09" w:rsidP="00976665">
    <w:pPr>
      <w:pStyle w:val="Header"/>
      <w:rPr>
        <w:b/>
      </w:rPr>
    </w:pPr>
    <w:r>
      <w:fldChar w:fldCharType="begin"/>
    </w:r>
    <w:r>
      <w:instrText xml:space="preserve"> STYLEREF  "Heading 1"  \* MERGEFORMAT </w:instrText>
    </w:r>
    <w:r>
      <w:fldChar w:fldCharType="separate"/>
    </w:r>
    <w:r>
      <w:rPr>
        <w:noProof/>
      </w:rPr>
      <w:t>Dragon fruit from the Philippines: biosecurity import requirements draft report</w:t>
    </w:r>
    <w:r>
      <w:rPr>
        <w:noProof/>
      </w:rPr>
      <w:fldChar w:fldCharType="end"/>
    </w:r>
  </w:p>
  <w:p w14:paraId="509FEF33" w14:textId="5EFA6347" w:rsidR="0070289C" w:rsidRDefault="000C0A09" w:rsidP="00976665">
    <w:pPr>
      <w:pStyle w:val="Header"/>
    </w:pPr>
    <w:r>
      <w:fldChar w:fldCharType="begin"/>
    </w:r>
    <w:r>
      <w:instrText xml:space="preserve"> STYLEREF  "Heading 2"  \* MERGEFORMAT </w:instrText>
    </w:r>
    <w:r>
      <w:fldChar w:fldCharType="separate"/>
    </w:r>
    <w:r>
      <w:rPr>
        <w:noProof/>
      </w:rPr>
      <w:t>Summary</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0606" w14:textId="77777777" w:rsidR="0070289C" w:rsidRDefault="007028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778" w14:textId="77777777" w:rsidR="0070289C" w:rsidRDefault="007028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8E79" w14:textId="2424144F" w:rsidR="0070289C" w:rsidRPr="00195867" w:rsidRDefault="000C0A09" w:rsidP="00976665">
    <w:pPr>
      <w:pStyle w:val="Header"/>
    </w:pPr>
    <w:r>
      <w:fldChar w:fldCharType="begin"/>
    </w:r>
    <w:r>
      <w:instrText xml:space="preserve"> STYLEREF</w:instrText>
    </w:r>
    <w:r>
      <w:instrText xml:space="preserve">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0C6D85E3" w14:textId="094EC678" w:rsidR="0070289C" w:rsidRDefault="000C0A09" w:rsidP="00247ABB">
    <w:pPr>
      <w:pStyle w:val="Header"/>
    </w:pPr>
    <w:r>
      <w:fldChar w:fldCharType="begin"/>
    </w:r>
    <w:r>
      <w:instrText xml:space="preserve"> STYLEREF  "Heading 2"  \* MERGEFORMAT </w:instrText>
    </w:r>
    <w:r>
      <w:fldChar w:fldCharType="separate"/>
    </w:r>
    <w:r>
      <w:rPr>
        <w:noProof/>
      </w:rPr>
      <w:t>Introduction</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30BD" w14:textId="77777777" w:rsidR="0070289C" w:rsidRDefault="007028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903D" w14:textId="77777777" w:rsidR="0070289C" w:rsidRDefault="0070289C">
    <w:pPr>
      <w:pStyle w:val="Header"/>
    </w:pPr>
  </w:p>
  <w:p w14:paraId="627745C1" w14:textId="77777777" w:rsidR="0070289C" w:rsidRDefault="0070289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4AE8" w14:textId="494E7EF1" w:rsidR="0070289C" w:rsidRPr="00247ABB" w:rsidRDefault="000C0A09" w:rsidP="00976665">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56A74B4B" w14:textId="45F12315" w:rsidR="0070289C" w:rsidRPr="000E421C" w:rsidRDefault="000C0A09" w:rsidP="00976665">
    <w:pPr>
      <w:pStyle w:val="Header"/>
    </w:pPr>
    <w:r>
      <w:fldChar w:fldCharType="begin"/>
    </w:r>
    <w:r>
      <w:instrText xml:space="preserve"> STYLEREF  "Heading 2"  \* MERGEFORMAT </w:instrText>
    </w:r>
    <w:r>
      <w:fldChar w:fldCharType="separate"/>
    </w:r>
    <w:r w:rsidRPr="000C0A09">
      <w:rPr>
        <w:noProof/>
        <w:lang w:val="en-US"/>
      </w:rPr>
      <w:t>Commercial</w:t>
    </w:r>
    <w:r>
      <w:rPr>
        <w:noProof/>
      </w:rPr>
      <w:t xml:space="preserve"> production practices for dragon fruit in the Philippines</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14AA" w14:textId="77777777" w:rsidR="0070289C" w:rsidRDefault="0070289C">
    <w:pPr>
      <w:pStyle w:val="Header"/>
    </w:pPr>
  </w:p>
  <w:p w14:paraId="0A3D8E76" w14:textId="77777777" w:rsidR="0070289C" w:rsidRDefault="0070289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1257" w14:textId="77777777" w:rsidR="0070289C" w:rsidRDefault="000C0A09">
    <w:pPr>
      <w:pStyle w:val="Header"/>
    </w:pPr>
    <w:r>
      <w:rPr>
        <w:noProof/>
      </w:rPr>
      <w:pict w14:anchorId="0D777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75.45pt;height:63.9pt;rotation:315;z-index:-2516572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348D80ED" w14:textId="77777777" w:rsidR="0070289C" w:rsidRDefault="0070289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30F4" w14:textId="61AA080D" w:rsidR="0070289C" w:rsidRPr="00247ABB" w:rsidRDefault="000C0A09" w:rsidP="00976665">
    <w:pPr>
      <w:pStyle w:val="Header"/>
    </w:pPr>
    <w:r>
      <w:fldChar w:fldCharType="begin"/>
    </w:r>
    <w:r>
      <w:instrText xml:space="preserve"> STYLEREF  "He</w:instrText>
    </w:r>
    <w:r>
      <w:instrText xml:space="preserv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40E8E38C" w14:textId="51499D70" w:rsidR="0070289C" w:rsidRPr="000E421C" w:rsidRDefault="00772FB6" w:rsidP="00976665">
    <w:pPr>
      <w:pStyle w:val="Header"/>
    </w:pPr>
    <w:r w:rsidRPr="005E6C25">
      <w:fldChar w:fldCharType="begin"/>
    </w:r>
    <w:r>
      <w:instrText xml:space="preserve"> STYLEREF  "Heading 2"  \* MERGEFORMAT </w:instrText>
    </w:r>
    <w:r w:rsidRPr="005E6C25">
      <w:fldChar w:fldCharType="separate"/>
    </w:r>
    <w:r w:rsidR="000C0A09" w:rsidRPr="000C0A09">
      <w:rPr>
        <w:noProof/>
        <w:lang w:val="en-US"/>
      </w:rPr>
      <w:t>Pest risk assessments for quarantine pests</w:t>
    </w:r>
    <w:r w:rsidRPr="005E6C25">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DDB7" w14:textId="77777777" w:rsidR="0070289C" w:rsidRDefault="0070289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9152" w14:textId="77777777" w:rsidR="0070289C" w:rsidRDefault="000C0A09">
    <w:pPr>
      <w:pStyle w:val="Header"/>
    </w:pPr>
    <w:r>
      <w:rPr>
        <w:noProof/>
      </w:rPr>
      <w:pict w14:anchorId="3C281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5.45pt;height:63.9pt;rotation:315;z-index:-25165824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BA08" w14:textId="2CEAA615" w:rsidR="0070289C" w:rsidRPr="00247ABB" w:rsidRDefault="000C0A09" w:rsidP="00976665">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6BF18784" w14:textId="2903383E" w:rsidR="0070289C" w:rsidRPr="000E421C" w:rsidRDefault="000C0A09" w:rsidP="00976665">
    <w:pPr>
      <w:pStyle w:val="Header"/>
    </w:pPr>
    <w:r>
      <w:fldChar w:fldCharType="begin"/>
    </w:r>
    <w:r>
      <w:instrText xml:space="preserve"> STYLEREF  "Heading 2"  \* MERGEFORMAT </w:instrText>
    </w:r>
    <w:r>
      <w:fldChar w:fldCharType="separate"/>
    </w:r>
    <w:r w:rsidRPr="000C0A09">
      <w:rPr>
        <w:noProof/>
        <w:lang w:val="en-US"/>
      </w:rPr>
      <w:t>Pest risk assessments</w:t>
    </w:r>
    <w:r>
      <w:rPr>
        <w:noProof/>
      </w:rPr>
      <w:t xml:space="preserve"> for quarantine pests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F9BC" w14:textId="77777777" w:rsidR="0070289C" w:rsidRDefault="0070289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F53F" w14:textId="16E6F2C3" w:rsidR="0070289C" w:rsidRPr="00247ABB" w:rsidRDefault="000C0A09" w:rsidP="00976665">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759D2AD5" w14:textId="3E9E58F9" w:rsidR="0070289C" w:rsidRPr="000E421C" w:rsidRDefault="000C0A09" w:rsidP="00976665">
    <w:pPr>
      <w:pStyle w:val="Header"/>
    </w:pPr>
    <w:r>
      <w:fldChar w:fldCharType="begin"/>
    </w:r>
    <w:r>
      <w:instrText xml:space="preserve"> STYLEREF  "Heading 2"  \* MERGEFORMAT </w:instrText>
    </w:r>
    <w:r>
      <w:fldChar w:fldCharType="separate"/>
    </w:r>
    <w:r w:rsidRPr="000C0A09">
      <w:rPr>
        <w:noProof/>
        <w:lang w:val="en-US"/>
      </w:rPr>
      <w:t>Pest risk assessments</w:t>
    </w:r>
    <w:r>
      <w:rPr>
        <w:noProof/>
      </w:rPr>
      <w:t xml:space="preserve"> for quarantine pests</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D2F6" w14:textId="77777777" w:rsidR="0070289C" w:rsidRDefault="0070289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35A8" w14:textId="2CACD691" w:rsidR="0070289C" w:rsidRPr="00195867" w:rsidRDefault="000C0A09" w:rsidP="00976665">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2A2E22DB" w14:textId="6C1614C4" w:rsidR="0070289C" w:rsidRDefault="000C0A09" w:rsidP="00976665">
    <w:pPr>
      <w:pStyle w:val="Header"/>
    </w:pPr>
    <w:r>
      <w:fldChar w:fldCharType="begin"/>
    </w:r>
    <w:r>
      <w:instrText xml:space="preserve"> STYLEREF  "Heading 2"  \* MERGEFORMAT </w:instrText>
    </w:r>
    <w:r>
      <w:fldChar w:fldCharType="separate"/>
    </w:r>
    <w:r>
      <w:rPr>
        <w:noProof/>
      </w:rPr>
      <w:t>Pest risk management</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47FA" w14:textId="77777777" w:rsidR="0070289C" w:rsidRDefault="000C0A09">
    <w:pPr>
      <w:pStyle w:val="Header"/>
    </w:pPr>
    <w:r>
      <w:rPr>
        <w:noProof/>
      </w:rPr>
      <w:pict w14:anchorId="695FE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5.45pt;height:63.9pt;rotation:315;z-index:-25165516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24C516CA" w14:textId="77777777" w:rsidR="0070289C" w:rsidRDefault="0070289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26AC" w14:textId="58A0AAF1" w:rsidR="0070289C" w:rsidRPr="00247ABB" w:rsidRDefault="000C0A09" w:rsidP="00976665">
    <w:pPr>
      <w:pStyle w:val="Header"/>
    </w:pPr>
    <w:r>
      <w:fldChar w:fldCharType="begin"/>
    </w:r>
    <w:r>
      <w:instrText xml:space="preserve"> STYL</w:instrText>
    </w:r>
    <w:r>
      <w:instrText xml:space="preserve">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6D8D70B8" w14:textId="4CFD030E" w:rsidR="0070289C" w:rsidRPr="00F653D4" w:rsidRDefault="000C0A09" w:rsidP="00976665">
    <w:pPr>
      <w:pStyle w:val="Header"/>
      <w:rPr>
        <w:b/>
      </w:rPr>
    </w:pPr>
    <w:r>
      <w:fldChar w:fldCharType="begin"/>
    </w:r>
    <w:r>
      <w:instrText xml:space="preserve"> STYLEREF  "Heading 2"  \* MERGEFORMAT </w:instrText>
    </w:r>
    <w:r>
      <w:fldChar w:fldCharType="separate"/>
    </w:r>
    <w:r>
      <w:rPr>
        <w:noProof/>
      </w:rPr>
      <w:t>Conclusion</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1734" w14:textId="77777777" w:rsidR="0070289C" w:rsidRDefault="000C0A09">
    <w:pPr>
      <w:pStyle w:val="Header"/>
    </w:pPr>
    <w:r>
      <w:rPr>
        <w:noProof/>
      </w:rPr>
      <w:pict w14:anchorId="2059E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75.45pt;height:63.9pt;rotation:315;z-index:-25165619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BFFA" w14:textId="232C76D9" w:rsidR="0070289C" w:rsidRPr="00247ABB" w:rsidRDefault="00772FB6" w:rsidP="00247ABB">
    <w:pPr>
      <w:pStyle w:val="Header"/>
    </w:pPr>
    <w:r>
      <w:ptab w:relativeTo="margin" w:alignment="left" w:leader="none"/>
    </w:r>
    <w:r>
      <w:ptab w:relativeTo="margin" w:alignment="left" w:leader="none"/>
    </w:r>
    <w:r>
      <w:ptab w:relativeTo="margin" w:alignment="left" w:leader="none"/>
    </w:r>
    <w:r w:rsidR="005E6C25">
      <w:fldChar w:fldCharType="begin"/>
    </w:r>
    <w:r>
      <w:instrText xml:space="preserve"> STYLEREF  "Heading 1"  \* MERGEFORMAT </w:instrText>
    </w:r>
    <w:r w:rsidR="005E6C25">
      <w:fldChar w:fldCharType="separate"/>
    </w:r>
    <w:r w:rsidR="000C0A09" w:rsidRPr="000C0A09">
      <w:rPr>
        <w:noProof/>
        <w:lang w:val="en-US"/>
      </w:rPr>
      <w:t xml:space="preserve">Dragon fruit from the Philippines: biosecurity import requirements </w:t>
    </w:r>
    <w:r w:rsidR="000C0A09">
      <w:rPr>
        <w:noProof/>
      </w:rPr>
      <w:t>draft report</w:t>
    </w:r>
    <w:r w:rsidR="005E6C25">
      <w:rPr>
        <w:noProof/>
      </w:rPr>
      <w:fldChar w:fldCharType="end"/>
    </w:r>
  </w:p>
  <w:p w14:paraId="3E75DB4C" w14:textId="2EC804BF" w:rsidR="0070289C" w:rsidRPr="00247ABB" w:rsidRDefault="00772FB6" w:rsidP="005627FD">
    <w:pPr>
      <w:pStyle w:val="Header"/>
      <w:rPr>
        <w:rFonts w:asciiTheme="minorHAnsi" w:hAnsiTheme="minorHAnsi" w:cstheme="minorHAnsi"/>
      </w:rPr>
    </w:pPr>
    <w:r w:rsidRPr="00247ABB">
      <w:rPr>
        <w:rFonts w:asciiTheme="minorHAnsi" w:hAnsiTheme="minorHAnsi" w:cstheme="minorHAnsi"/>
      </w:rPr>
      <w:fldChar w:fldCharType="begin"/>
    </w:r>
    <w:r w:rsidRPr="00247ABB">
      <w:rPr>
        <w:rFonts w:asciiTheme="minorHAnsi" w:hAnsiTheme="minorHAnsi" w:cstheme="minorHAnsi"/>
      </w:rPr>
      <w:instrText xml:space="preserve"> STYLEREF  "Heading 2" \* MERGEFORMAT </w:instrText>
    </w:r>
    <w:r w:rsidRPr="00247ABB">
      <w:rPr>
        <w:rFonts w:asciiTheme="minorHAnsi" w:hAnsiTheme="minorHAnsi" w:cstheme="minorHAnsi"/>
      </w:rPr>
      <w:fldChar w:fldCharType="separate"/>
    </w:r>
    <w:r w:rsidR="000C0A09">
      <w:rPr>
        <w:rFonts w:asciiTheme="minorHAnsi" w:hAnsiTheme="minorHAnsi" w:cstheme="minorHAnsi"/>
        <w:noProof/>
      </w:rPr>
      <w:t>Appendix A: Method for pest risk analysis</w:t>
    </w:r>
    <w:r w:rsidRPr="00247ABB">
      <w:rPr>
        <w:rFonts w:asciiTheme="minorHAnsi" w:hAnsiTheme="minorHAnsi" w:cstheme="minorHAns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B22" w14:textId="2F243731" w:rsidR="0070289C" w:rsidRPr="00056719" w:rsidRDefault="000C0A09" w:rsidP="000F1D4D">
    <w:pPr>
      <w:pStyle w:val="Header"/>
    </w:pPr>
    <w:r>
      <w:fldChar w:fldCharType="begin"/>
    </w:r>
    <w:r>
      <w:instrText xml:space="preserve"> STYLEREF  "Heading 1"  \* MERGEFORMAT </w:instrText>
    </w:r>
    <w:r>
      <w:fldChar w:fldCharType="separate"/>
    </w:r>
    <w:r>
      <w:rPr>
        <w:noProof/>
      </w:rPr>
      <w:t>Dragon fruit from the Philippines: biosecurity import requirements draft report</w:t>
    </w:r>
    <w:r>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85D7" w14:textId="0377979C" w:rsidR="00B0498E" w:rsidRPr="00247ABB" w:rsidRDefault="00772FB6" w:rsidP="00B0498E">
    <w:pPr>
      <w:pStyle w:val="Header"/>
      <w:rPr>
        <w:bCs/>
        <w:noProof/>
      </w:rPr>
    </w:pPr>
    <w:r>
      <w:ptab w:relativeTo="margin" w:alignment="left" w:leader="none"/>
    </w:r>
    <w:r>
      <w:ptab w:relativeTo="margin" w:alignment="left" w:leader="none"/>
    </w:r>
    <w:r>
      <w:ptab w:relativeTo="margin" w:alignment="left" w:leader="none"/>
    </w:r>
    <w:r w:rsidR="005E6C25">
      <w:fldChar w:fldCharType="begin"/>
    </w:r>
    <w:r>
      <w:instrText xml:space="preserve"> STYLEREF  "Heading 1"  \* MERGEFORMAT </w:instrText>
    </w:r>
    <w:r w:rsidR="005E6C25">
      <w:fldChar w:fldCharType="separate"/>
    </w:r>
    <w:r w:rsidR="000C0A09" w:rsidRPr="000C0A09">
      <w:rPr>
        <w:noProof/>
        <w:lang w:val="en-US"/>
      </w:rPr>
      <w:t xml:space="preserve">Dragon fruit from the Philippines: biosecurity import requirements </w:t>
    </w:r>
    <w:r w:rsidR="000C0A09">
      <w:rPr>
        <w:noProof/>
      </w:rPr>
      <w:t>draft report</w:t>
    </w:r>
    <w:r w:rsidR="005E6C25">
      <w:rPr>
        <w:noProof/>
      </w:rPr>
      <w:fldChar w:fldCharType="end"/>
    </w:r>
  </w:p>
  <w:p w14:paraId="2E3F5F59" w14:textId="7BF13438" w:rsidR="0070289C" w:rsidRPr="00B0498E" w:rsidRDefault="000C0A09" w:rsidP="00B0498E">
    <w:pPr>
      <w:pStyle w:val="Header"/>
      <w:rPr>
        <w:b/>
      </w:rPr>
    </w:pPr>
    <w:r>
      <w:fldChar w:fldCharType="begin"/>
    </w:r>
    <w:r>
      <w:instrText xml:space="preserve"> STYLEREF  "Heading 2"  \* MERGEF</w:instrText>
    </w:r>
    <w:r>
      <w:instrText xml:space="preserve">ORMAT </w:instrText>
    </w:r>
    <w:r>
      <w:fldChar w:fldCharType="separate"/>
    </w:r>
    <w:r>
      <w:rPr>
        <w:noProof/>
      </w:rPr>
      <w:t>Appendix B: Initiation and categorisation for pests of dragon fruit from the Philippines</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128F" w14:textId="715F9E28" w:rsidR="0070289C" w:rsidRPr="00247ABB" w:rsidRDefault="000C0A09" w:rsidP="00976665">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5A03BB89" w14:textId="3E90C815" w:rsidR="0070289C" w:rsidRPr="005B1197" w:rsidRDefault="000C0A09" w:rsidP="00976665">
    <w:pPr>
      <w:pStyle w:val="Header"/>
    </w:pPr>
    <w:r>
      <w:fldChar w:fldCharType="begin"/>
    </w:r>
    <w:r>
      <w:instrText xml:space="preserve"> STYLEREF  "Heading 2"  \* MERGEFORMAT </w:instrText>
    </w:r>
    <w:r>
      <w:fldChar w:fldCharType="separate"/>
    </w:r>
    <w:r>
      <w:rPr>
        <w:noProof/>
      </w:rPr>
      <w:t>Appendix B: Initiation and categorisation for pests of dragon fruit from the Philippines</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E5CC" w14:textId="2F5615D9" w:rsidR="0070289C" w:rsidRPr="00247ABB" w:rsidRDefault="000C0A09" w:rsidP="007C7CEF">
    <w:pPr>
      <w:pStyle w:val="Header"/>
    </w:pPr>
    <w:r>
      <w:fldChar w:fldCharType="begin"/>
    </w:r>
    <w:r>
      <w:instrText xml:space="preserve"> STYLEREF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3B85B719" w14:textId="77777777" w:rsidR="0070289C" w:rsidRDefault="00772FB6" w:rsidP="00247ABB">
    <w:pPr>
      <w:pStyle w:val="Header"/>
    </w:pPr>
    <w:r>
      <w:t>References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EC52" w14:textId="77777777" w:rsidR="0070289C" w:rsidRDefault="0070289C">
    <w:pPr>
      <w:pStyle w:val="Header"/>
    </w:pPr>
  </w:p>
  <w:p w14:paraId="04EDC1E3" w14:textId="77777777" w:rsidR="0070289C" w:rsidRDefault="0070289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C8B1" w14:textId="54D3F7D6" w:rsidR="0070289C" w:rsidRPr="00247ABB" w:rsidRDefault="000C0A09" w:rsidP="007C7CEF">
    <w:pPr>
      <w:pStyle w:val="Header"/>
    </w:pPr>
    <w:r>
      <w:fldChar w:fldCharType="begin"/>
    </w:r>
    <w:r>
      <w:instrText xml:space="preserve"> STYLE</w:instrText>
    </w:r>
    <w:r>
      <w:instrText xml:space="preserve">REF  "Heading 1"  \* MERGEFORMAT </w:instrText>
    </w:r>
    <w:r>
      <w:fldChar w:fldCharType="separate"/>
    </w:r>
    <w:r w:rsidRPr="000C0A09">
      <w:rPr>
        <w:noProof/>
        <w:lang w:val="en-US"/>
      </w:rPr>
      <w:t xml:space="preserve">Dragon fruit from the Philippines: biosecurity import requirements </w:t>
    </w:r>
    <w:r>
      <w:rPr>
        <w:noProof/>
      </w:rPr>
      <w:t>draft report</w:t>
    </w:r>
    <w:r>
      <w:rPr>
        <w:noProof/>
      </w:rPr>
      <w:fldChar w:fldCharType="end"/>
    </w:r>
  </w:p>
  <w:p w14:paraId="05E30140" w14:textId="77777777" w:rsidR="0070289C" w:rsidRDefault="00772FB6" w:rsidP="00247ABB">
    <w:pPr>
      <w:pStyle w:val="Header"/>
    </w:pPr>
    <w:r>
      <w:t>References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4CD5" w14:textId="77777777" w:rsidR="0070289C" w:rsidRDefault="00702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6852" w14:textId="77777777" w:rsidR="0070289C" w:rsidRDefault="007028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61B6" w14:textId="77777777" w:rsidR="0070289C" w:rsidRDefault="007028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4389" w14:textId="680CD477" w:rsidR="0070289C" w:rsidRDefault="00772FB6" w:rsidP="00C54718">
    <w:pPr>
      <w:pStyle w:val="Header"/>
      <w:rPr>
        <w:b/>
      </w:rPr>
    </w:pPr>
    <w:r>
      <w:ptab w:relativeTo="margin" w:alignment="left" w:leader="none"/>
    </w:r>
    <w:r>
      <w:ptab w:relativeTo="margin" w:alignment="left" w:leader="none"/>
    </w:r>
    <w:r w:rsidR="005E6C25">
      <w:fldChar w:fldCharType="begin"/>
    </w:r>
    <w:r>
      <w:instrText xml:space="preserve"> STYLEREF  "Heading 1"  \* MERGEFORMAT </w:instrText>
    </w:r>
    <w:r w:rsidR="005E6C25">
      <w:fldChar w:fldCharType="separate"/>
    </w:r>
    <w:r w:rsidR="000C0A09">
      <w:rPr>
        <w:noProof/>
      </w:rPr>
      <w:t>Dragon fruit from the Philippines: biosecurity import requirements draft report</w:t>
    </w:r>
    <w:r w:rsidR="005E6C25">
      <w:rPr>
        <w:noProof/>
      </w:rPr>
      <w:fldChar w:fldCharType="end"/>
    </w:r>
  </w:p>
  <w:p w14:paraId="276A98D7" w14:textId="77777777" w:rsidR="0070289C" w:rsidRPr="003E176F" w:rsidRDefault="00772FB6" w:rsidP="003E176F">
    <w:pPr>
      <w:pStyle w:val="Header"/>
    </w:pPr>
    <w:r>
      <w:t xml:space="preserve">Table of contents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49B8" w14:textId="77777777" w:rsidR="0070289C" w:rsidRDefault="007028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159A" w14:textId="6775CFC5" w:rsidR="0070289C" w:rsidRDefault="00772FB6" w:rsidP="00C54718">
    <w:pPr>
      <w:pStyle w:val="Header"/>
      <w:rPr>
        <w:b/>
      </w:rPr>
    </w:pPr>
    <w:r>
      <w:ptab w:relativeTo="margin" w:alignment="left" w:leader="none"/>
    </w:r>
    <w:r>
      <w:ptab w:relativeTo="margin" w:alignment="left" w:leader="none"/>
    </w:r>
    <w:r w:rsidR="005E6C25">
      <w:fldChar w:fldCharType="begin"/>
    </w:r>
    <w:r>
      <w:instrText xml:space="preserve"> STYLEREF  "Heading 1"  \* MERGEFORMAT </w:instrText>
    </w:r>
    <w:r w:rsidR="005E6C25">
      <w:fldChar w:fldCharType="separate"/>
    </w:r>
    <w:r w:rsidR="000C0A09">
      <w:rPr>
        <w:noProof/>
      </w:rPr>
      <w:t>Dragon fruit from the Philippines: biosecurity import requirements draft report</w:t>
    </w:r>
    <w:r w:rsidR="005E6C25">
      <w:rPr>
        <w:noProof/>
      </w:rPr>
      <w:fldChar w:fldCharType="end"/>
    </w:r>
  </w:p>
  <w:p w14:paraId="67649D2B" w14:textId="6F37548A" w:rsidR="0070289C" w:rsidRPr="00C70BEF" w:rsidRDefault="000C0A09" w:rsidP="00C54718">
    <w:pPr>
      <w:pStyle w:val="Header"/>
    </w:pPr>
    <w:r>
      <w:fldChar w:fldCharType="begin"/>
    </w:r>
    <w:r>
      <w:instrText xml:space="preserve"> STYLEREF  "Heading 2"  \* MERGEFORMAT </w:instrText>
    </w:r>
    <w:r>
      <w:fldChar w:fldCharType="separate"/>
    </w:r>
    <w:r>
      <w:rPr>
        <w:noProof/>
      </w:rPr>
      <w:t>Summary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78B2" w14:textId="77777777" w:rsidR="0070289C" w:rsidRDefault="00702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C7E893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89CD7A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81E06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9BD4D69"/>
    <w:multiLevelType w:val="hybridMultilevel"/>
    <w:tmpl w:val="158845E8"/>
    <w:lvl w:ilvl="0" w:tplc="B04AB842">
      <w:start w:val="1"/>
      <w:numFmt w:val="decimal"/>
      <w:pStyle w:val="Heading5-Appendix"/>
      <w:lvlText w:val="A%1.1.1"/>
      <w:lvlJc w:val="left"/>
      <w:pPr>
        <w:ind w:left="720" w:hanging="360"/>
      </w:pPr>
      <w:rPr>
        <w:rFonts w:hint="default"/>
      </w:rPr>
    </w:lvl>
    <w:lvl w:ilvl="1" w:tplc="6824B8E4" w:tentative="1">
      <w:start w:val="1"/>
      <w:numFmt w:val="lowerLetter"/>
      <w:lvlText w:val="%2."/>
      <w:lvlJc w:val="left"/>
      <w:pPr>
        <w:ind w:left="1440" w:hanging="360"/>
      </w:pPr>
    </w:lvl>
    <w:lvl w:ilvl="2" w:tplc="B1407B20" w:tentative="1">
      <w:start w:val="1"/>
      <w:numFmt w:val="lowerRoman"/>
      <w:lvlText w:val="%3."/>
      <w:lvlJc w:val="right"/>
      <w:pPr>
        <w:ind w:left="2160" w:hanging="180"/>
      </w:pPr>
    </w:lvl>
    <w:lvl w:ilvl="3" w:tplc="11288B06" w:tentative="1">
      <w:start w:val="1"/>
      <w:numFmt w:val="decimal"/>
      <w:lvlText w:val="%4."/>
      <w:lvlJc w:val="left"/>
      <w:pPr>
        <w:ind w:left="2880" w:hanging="360"/>
      </w:pPr>
    </w:lvl>
    <w:lvl w:ilvl="4" w:tplc="029454CA" w:tentative="1">
      <w:start w:val="1"/>
      <w:numFmt w:val="lowerLetter"/>
      <w:lvlText w:val="%5."/>
      <w:lvlJc w:val="left"/>
      <w:pPr>
        <w:ind w:left="3600" w:hanging="360"/>
      </w:pPr>
    </w:lvl>
    <w:lvl w:ilvl="5" w:tplc="30C2CC50" w:tentative="1">
      <w:start w:val="1"/>
      <w:numFmt w:val="lowerRoman"/>
      <w:lvlText w:val="%6."/>
      <w:lvlJc w:val="right"/>
      <w:pPr>
        <w:ind w:left="4320" w:hanging="180"/>
      </w:pPr>
    </w:lvl>
    <w:lvl w:ilvl="6" w:tplc="C12EBDC6" w:tentative="1">
      <w:start w:val="1"/>
      <w:numFmt w:val="decimal"/>
      <w:lvlText w:val="%7."/>
      <w:lvlJc w:val="left"/>
      <w:pPr>
        <w:ind w:left="5040" w:hanging="360"/>
      </w:pPr>
    </w:lvl>
    <w:lvl w:ilvl="7" w:tplc="F370924E" w:tentative="1">
      <w:start w:val="1"/>
      <w:numFmt w:val="lowerLetter"/>
      <w:lvlText w:val="%8."/>
      <w:lvlJc w:val="left"/>
      <w:pPr>
        <w:ind w:left="5760" w:hanging="360"/>
      </w:pPr>
    </w:lvl>
    <w:lvl w:ilvl="8" w:tplc="4BBC0418" w:tentative="1">
      <w:start w:val="1"/>
      <w:numFmt w:val="lowerRoman"/>
      <w:lvlText w:val="%9."/>
      <w:lvlJc w:val="right"/>
      <w:pPr>
        <w:ind w:left="6480" w:hanging="180"/>
      </w:pPr>
    </w:lvl>
  </w:abstractNum>
  <w:abstractNum w:abstractNumId="6" w15:restartNumberingAfterBreak="0">
    <w:nsid w:val="0A6A3505"/>
    <w:multiLevelType w:val="multilevel"/>
    <w:tmpl w:val="49E0ACB6"/>
    <w:lvl w:ilvl="0">
      <w:start w:val="1"/>
      <w:numFmt w:val="decimal"/>
      <w:lvlText w:val="A%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927B3F"/>
    <w:multiLevelType w:val="hybridMultilevel"/>
    <w:tmpl w:val="918E7D70"/>
    <w:lvl w:ilvl="0" w:tplc="A47A8178">
      <w:start w:val="1"/>
      <w:numFmt w:val="bullet"/>
      <w:lvlText w:val=""/>
      <w:lvlJc w:val="left"/>
      <w:pPr>
        <w:ind w:left="720" w:hanging="360"/>
      </w:pPr>
      <w:rPr>
        <w:rFonts w:ascii="Symbol" w:hAnsi="Symbol" w:hint="default"/>
      </w:rPr>
    </w:lvl>
    <w:lvl w:ilvl="1" w:tplc="6D4EDA80" w:tentative="1">
      <w:start w:val="1"/>
      <w:numFmt w:val="bullet"/>
      <w:lvlText w:val="o"/>
      <w:lvlJc w:val="left"/>
      <w:pPr>
        <w:ind w:left="1440" w:hanging="360"/>
      </w:pPr>
      <w:rPr>
        <w:rFonts w:ascii="Courier New" w:hAnsi="Courier New" w:cs="Courier New" w:hint="default"/>
      </w:rPr>
    </w:lvl>
    <w:lvl w:ilvl="2" w:tplc="00EE1B98" w:tentative="1">
      <w:start w:val="1"/>
      <w:numFmt w:val="bullet"/>
      <w:lvlText w:val=""/>
      <w:lvlJc w:val="left"/>
      <w:pPr>
        <w:ind w:left="2160" w:hanging="360"/>
      </w:pPr>
      <w:rPr>
        <w:rFonts w:ascii="Wingdings" w:hAnsi="Wingdings" w:hint="default"/>
      </w:rPr>
    </w:lvl>
    <w:lvl w:ilvl="3" w:tplc="0E927A00" w:tentative="1">
      <w:start w:val="1"/>
      <w:numFmt w:val="bullet"/>
      <w:lvlText w:val=""/>
      <w:lvlJc w:val="left"/>
      <w:pPr>
        <w:ind w:left="2880" w:hanging="360"/>
      </w:pPr>
      <w:rPr>
        <w:rFonts w:ascii="Symbol" w:hAnsi="Symbol" w:hint="default"/>
      </w:rPr>
    </w:lvl>
    <w:lvl w:ilvl="4" w:tplc="B72A37CA" w:tentative="1">
      <w:start w:val="1"/>
      <w:numFmt w:val="bullet"/>
      <w:lvlText w:val="o"/>
      <w:lvlJc w:val="left"/>
      <w:pPr>
        <w:ind w:left="3600" w:hanging="360"/>
      </w:pPr>
      <w:rPr>
        <w:rFonts w:ascii="Courier New" w:hAnsi="Courier New" w:cs="Courier New" w:hint="default"/>
      </w:rPr>
    </w:lvl>
    <w:lvl w:ilvl="5" w:tplc="B532BCAA" w:tentative="1">
      <w:start w:val="1"/>
      <w:numFmt w:val="bullet"/>
      <w:lvlText w:val=""/>
      <w:lvlJc w:val="left"/>
      <w:pPr>
        <w:ind w:left="4320" w:hanging="360"/>
      </w:pPr>
      <w:rPr>
        <w:rFonts w:ascii="Wingdings" w:hAnsi="Wingdings" w:hint="default"/>
      </w:rPr>
    </w:lvl>
    <w:lvl w:ilvl="6" w:tplc="4424AE5A" w:tentative="1">
      <w:start w:val="1"/>
      <w:numFmt w:val="bullet"/>
      <w:lvlText w:val=""/>
      <w:lvlJc w:val="left"/>
      <w:pPr>
        <w:ind w:left="5040" w:hanging="360"/>
      </w:pPr>
      <w:rPr>
        <w:rFonts w:ascii="Symbol" w:hAnsi="Symbol" w:hint="default"/>
      </w:rPr>
    </w:lvl>
    <w:lvl w:ilvl="7" w:tplc="272E9342" w:tentative="1">
      <w:start w:val="1"/>
      <w:numFmt w:val="bullet"/>
      <w:lvlText w:val="o"/>
      <w:lvlJc w:val="left"/>
      <w:pPr>
        <w:ind w:left="5760" w:hanging="360"/>
      </w:pPr>
      <w:rPr>
        <w:rFonts w:ascii="Courier New" w:hAnsi="Courier New" w:cs="Courier New" w:hint="default"/>
      </w:rPr>
    </w:lvl>
    <w:lvl w:ilvl="8" w:tplc="BE4CF1B8" w:tentative="1">
      <w:start w:val="1"/>
      <w:numFmt w:val="bullet"/>
      <w:lvlText w:val=""/>
      <w:lvlJc w:val="left"/>
      <w:pPr>
        <w:ind w:left="6480" w:hanging="360"/>
      </w:pPr>
      <w:rPr>
        <w:rFonts w:ascii="Wingdings" w:hAnsi="Wingdings" w:hint="default"/>
      </w:rPr>
    </w:lvl>
  </w:abstractNum>
  <w:abstractNum w:abstractNumId="8" w15:restartNumberingAfterBreak="0">
    <w:nsid w:val="0CE60F2A"/>
    <w:multiLevelType w:val="hybridMultilevel"/>
    <w:tmpl w:val="AAB6A9B4"/>
    <w:lvl w:ilvl="0" w:tplc="0CDCB276">
      <w:start w:val="1"/>
      <w:numFmt w:val="bullet"/>
      <w:lvlText w:val=""/>
      <w:lvlJc w:val="left"/>
      <w:pPr>
        <w:ind w:left="720" w:hanging="360"/>
      </w:pPr>
      <w:rPr>
        <w:rFonts w:ascii="Symbol" w:hAnsi="Symbol" w:hint="default"/>
      </w:rPr>
    </w:lvl>
    <w:lvl w:ilvl="1" w:tplc="EF762678" w:tentative="1">
      <w:start w:val="1"/>
      <w:numFmt w:val="bullet"/>
      <w:lvlText w:val="o"/>
      <w:lvlJc w:val="left"/>
      <w:pPr>
        <w:ind w:left="1440" w:hanging="360"/>
      </w:pPr>
      <w:rPr>
        <w:rFonts w:ascii="Courier New" w:hAnsi="Courier New" w:cs="Courier New" w:hint="default"/>
      </w:rPr>
    </w:lvl>
    <w:lvl w:ilvl="2" w:tplc="3800AA64" w:tentative="1">
      <w:start w:val="1"/>
      <w:numFmt w:val="bullet"/>
      <w:lvlText w:val=""/>
      <w:lvlJc w:val="left"/>
      <w:pPr>
        <w:ind w:left="2160" w:hanging="360"/>
      </w:pPr>
      <w:rPr>
        <w:rFonts w:ascii="Wingdings" w:hAnsi="Wingdings" w:hint="default"/>
      </w:rPr>
    </w:lvl>
    <w:lvl w:ilvl="3" w:tplc="2C4AA15E" w:tentative="1">
      <w:start w:val="1"/>
      <w:numFmt w:val="bullet"/>
      <w:lvlText w:val=""/>
      <w:lvlJc w:val="left"/>
      <w:pPr>
        <w:ind w:left="2880" w:hanging="360"/>
      </w:pPr>
      <w:rPr>
        <w:rFonts w:ascii="Symbol" w:hAnsi="Symbol" w:hint="default"/>
      </w:rPr>
    </w:lvl>
    <w:lvl w:ilvl="4" w:tplc="3CF05560" w:tentative="1">
      <w:start w:val="1"/>
      <w:numFmt w:val="bullet"/>
      <w:lvlText w:val="o"/>
      <w:lvlJc w:val="left"/>
      <w:pPr>
        <w:ind w:left="3600" w:hanging="360"/>
      </w:pPr>
      <w:rPr>
        <w:rFonts w:ascii="Courier New" w:hAnsi="Courier New" w:cs="Courier New" w:hint="default"/>
      </w:rPr>
    </w:lvl>
    <w:lvl w:ilvl="5" w:tplc="A0882F78" w:tentative="1">
      <w:start w:val="1"/>
      <w:numFmt w:val="bullet"/>
      <w:lvlText w:val=""/>
      <w:lvlJc w:val="left"/>
      <w:pPr>
        <w:ind w:left="4320" w:hanging="360"/>
      </w:pPr>
      <w:rPr>
        <w:rFonts w:ascii="Wingdings" w:hAnsi="Wingdings" w:hint="default"/>
      </w:rPr>
    </w:lvl>
    <w:lvl w:ilvl="6" w:tplc="61A46118" w:tentative="1">
      <w:start w:val="1"/>
      <w:numFmt w:val="bullet"/>
      <w:lvlText w:val=""/>
      <w:lvlJc w:val="left"/>
      <w:pPr>
        <w:ind w:left="5040" w:hanging="360"/>
      </w:pPr>
      <w:rPr>
        <w:rFonts w:ascii="Symbol" w:hAnsi="Symbol" w:hint="default"/>
      </w:rPr>
    </w:lvl>
    <w:lvl w:ilvl="7" w:tplc="469A0298" w:tentative="1">
      <w:start w:val="1"/>
      <w:numFmt w:val="bullet"/>
      <w:lvlText w:val="o"/>
      <w:lvlJc w:val="left"/>
      <w:pPr>
        <w:ind w:left="5760" w:hanging="360"/>
      </w:pPr>
      <w:rPr>
        <w:rFonts w:ascii="Courier New" w:hAnsi="Courier New" w:cs="Courier New" w:hint="default"/>
      </w:rPr>
    </w:lvl>
    <w:lvl w:ilvl="8" w:tplc="CE1C8D20" w:tentative="1">
      <w:start w:val="1"/>
      <w:numFmt w:val="bullet"/>
      <w:lvlText w:val=""/>
      <w:lvlJc w:val="left"/>
      <w:pPr>
        <w:ind w:left="6480" w:hanging="360"/>
      </w:pPr>
      <w:rPr>
        <w:rFonts w:ascii="Wingdings" w:hAnsi="Wingdings" w:hint="default"/>
      </w:rPr>
    </w:lvl>
  </w:abstractNum>
  <w:abstractNum w:abstractNumId="9" w15:restartNumberingAfterBreak="0">
    <w:nsid w:val="0D1F1567"/>
    <w:multiLevelType w:val="hybridMultilevel"/>
    <w:tmpl w:val="B386BE36"/>
    <w:lvl w:ilvl="0" w:tplc="3564C470">
      <w:start w:val="1"/>
      <w:numFmt w:val="decimal"/>
      <w:lvlText w:val="A%1"/>
      <w:lvlJc w:val="left"/>
      <w:pPr>
        <w:ind w:left="720" w:hanging="360"/>
      </w:pPr>
      <w:rPr>
        <w:rFonts w:hint="default"/>
      </w:rPr>
    </w:lvl>
    <w:lvl w:ilvl="1" w:tplc="A3489622" w:tentative="1">
      <w:start w:val="1"/>
      <w:numFmt w:val="lowerLetter"/>
      <w:lvlText w:val="%2."/>
      <w:lvlJc w:val="left"/>
      <w:pPr>
        <w:ind w:left="1440" w:hanging="360"/>
      </w:pPr>
    </w:lvl>
    <w:lvl w:ilvl="2" w:tplc="3F4C9320" w:tentative="1">
      <w:start w:val="1"/>
      <w:numFmt w:val="lowerRoman"/>
      <w:lvlText w:val="%3."/>
      <w:lvlJc w:val="right"/>
      <w:pPr>
        <w:ind w:left="2160" w:hanging="180"/>
      </w:pPr>
    </w:lvl>
    <w:lvl w:ilvl="3" w:tplc="D07A5356" w:tentative="1">
      <w:start w:val="1"/>
      <w:numFmt w:val="decimal"/>
      <w:lvlText w:val="%4."/>
      <w:lvlJc w:val="left"/>
      <w:pPr>
        <w:ind w:left="2880" w:hanging="360"/>
      </w:pPr>
    </w:lvl>
    <w:lvl w:ilvl="4" w:tplc="8ABCDF46" w:tentative="1">
      <w:start w:val="1"/>
      <w:numFmt w:val="lowerLetter"/>
      <w:lvlText w:val="%5."/>
      <w:lvlJc w:val="left"/>
      <w:pPr>
        <w:ind w:left="3600" w:hanging="360"/>
      </w:pPr>
    </w:lvl>
    <w:lvl w:ilvl="5" w:tplc="2AD8E75A" w:tentative="1">
      <w:start w:val="1"/>
      <w:numFmt w:val="lowerRoman"/>
      <w:lvlText w:val="%6."/>
      <w:lvlJc w:val="right"/>
      <w:pPr>
        <w:ind w:left="4320" w:hanging="180"/>
      </w:pPr>
    </w:lvl>
    <w:lvl w:ilvl="6" w:tplc="FD1E136C" w:tentative="1">
      <w:start w:val="1"/>
      <w:numFmt w:val="decimal"/>
      <w:lvlText w:val="%7."/>
      <w:lvlJc w:val="left"/>
      <w:pPr>
        <w:ind w:left="5040" w:hanging="360"/>
      </w:pPr>
    </w:lvl>
    <w:lvl w:ilvl="7" w:tplc="5DD637F4" w:tentative="1">
      <w:start w:val="1"/>
      <w:numFmt w:val="lowerLetter"/>
      <w:lvlText w:val="%8."/>
      <w:lvlJc w:val="left"/>
      <w:pPr>
        <w:ind w:left="5760" w:hanging="360"/>
      </w:pPr>
    </w:lvl>
    <w:lvl w:ilvl="8" w:tplc="0EBA5F56" w:tentative="1">
      <w:start w:val="1"/>
      <w:numFmt w:val="lowerRoman"/>
      <w:lvlText w:val="%9."/>
      <w:lvlJc w:val="right"/>
      <w:pPr>
        <w:ind w:left="6480" w:hanging="180"/>
      </w:pPr>
    </w:lvl>
  </w:abstractNum>
  <w:abstractNum w:abstractNumId="10" w15:restartNumberingAfterBreak="0">
    <w:nsid w:val="0DBE6A8B"/>
    <w:multiLevelType w:val="hybridMultilevel"/>
    <w:tmpl w:val="F9385F0E"/>
    <w:lvl w:ilvl="0" w:tplc="D56E56FA">
      <w:numFmt w:val="bullet"/>
      <w:lvlText w:val="-"/>
      <w:lvlJc w:val="left"/>
      <w:pPr>
        <w:ind w:left="720" w:hanging="360"/>
      </w:pPr>
      <w:rPr>
        <w:rFonts w:ascii="Cambria" w:eastAsiaTheme="minorHAnsi" w:hAnsi="Cambria" w:cstheme="minorBidi" w:hint="default"/>
      </w:rPr>
    </w:lvl>
    <w:lvl w:ilvl="1" w:tplc="364E94EA" w:tentative="1">
      <w:start w:val="1"/>
      <w:numFmt w:val="bullet"/>
      <w:lvlText w:val="o"/>
      <w:lvlJc w:val="left"/>
      <w:pPr>
        <w:ind w:left="1440" w:hanging="360"/>
      </w:pPr>
      <w:rPr>
        <w:rFonts w:ascii="Courier New" w:hAnsi="Courier New" w:cs="Courier New" w:hint="default"/>
      </w:rPr>
    </w:lvl>
    <w:lvl w:ilvl="2" w:tplc="3A2ABDF2" w:tentative="1">
      <w:start w:val="1"/>
      <w:numFmt w:val="bullet"/>
      <w:lvlText w:val=""/>
      <w:lvlJc w:val="left"/>
      <w:pPr>
        <w:ind w:left="2160" w:hanging="360"/>
      </w:pPr>
      <w:rPr>
        <w:rFonts w:ascii="Wingdings" w:hAnsi="Wingdings" w:hint="default"/>
      </w:rPr>
    </w:lvl>
    <w:lvl w:ilvl="3" w:tplc="81C26EEC" w:tentative="1">
      <w:start w:val="1"/>
      <w:numFmt w:val="bullet"/>
      <w:lvlText w:val=""/>
      <w:lvlJc w:val="left"/>
      <w:pPr>
        <w:ind w:left="2880" w:hanging="360"/>
      </w:pPr>
      <w:rPr>
        <w:rFonts w:ascii="Symbol" w:hAnsi="Symbol" w:hint="default"/>
      </w:rPr>
    </w:lvl>
    <w:lvl w:ilvl="4" w:tplc="C890CD24" w:tentative="1">
      <w:start w:val="1"/>
      <w:numFmt w:val="bullet"/>
      <w:lvlText w:val="o"/>
      <w:lvlJc w:val="left"/>
      <w:pPr>
        <w:ind w:left="3600" w:hanging="360"/>
      </w:pPr>
      <w:rPr>
        <w:rFonts w:ascii="Courier New" w:hAnsi="Courier New" w:cs="Courier New" w:hint="default"/>
      </w:rPr>
    </w:lvl>
    <w:lvl w:ilvl="5" w:tplc="78549E40" w:tentative="1">
      <w:start w:val="1"/>
      <w:numFmt w:val="bullet"/>
      <w:lvlText w:val=""/>
      <w:lvlJc w:val="left"/>
      <w:pPr>
        <w:ind w:left="4320" w:hanging="360"/>
      </w:pPr>
      <w:rPr>
        <w:rFonts w:ascii="Wingdings" w:hAnsi="Wingdings" w:hint="default"/>
      </w:rPr>
    </w:lvl>
    <w:lvl w:ilvl="6" w:tplc="95BA7872" w:tentative="1">
      <w:start w:val="1"/>
      <w:numFmt w:val="bullet"/>
      <w:lvlText w:val=""/>
      <w:lvlJc w:val="left"/>
      <w:pPr>
        <w:ind w:left="5040" w:hanging="360"/>
      </w:pPr>
      <w:rPr>
        <w:rFonts w:ascii="Symbol" w:hAnsi="Symbol" w:hint="default"/>
      </w:rPr>
    </w:lvl>
    <w:lvl w:ilvl="7" w:tplc="1566305A" w:tentative="1">
      <w:start w:val="1"/>
      <w:numFmt w:val="bullet"/>
      <w:lvlText w:val="o"/>
      <w:lvlJc w:val="left"/>
      <w:pPr>
        <w:ind w:left="5760" w:hanging="360"/>
      </w:pPr>
      <w:rPr>
        <w:rFonts w:ascii="Courier New" w:hAnsi="Courier New" w:cs="Courier New" w:hint="default"/>
      </w:rPr>
    </w:lvl>
    <w:lvl w:ilvl="8" w:tplc="5DBEBEF8" w:tentative="1">
      <w:start w:val="1"/>
      <w:numFmt w:val="bullet"/>
      <w:lvlText w:val=""/>
      <w:lvlJc w:val="left"/>
      <w:pPr>
        <w:ind w:left="6480" w:hanging="360"/>
      </w:pPr>
      <w:rPr>
        <w:rFonts w:ascii="Wingdings" w:hAnsi="Wingdings" w:hint="default"/>
      </w:rPr>
    </w:lvl>
  </w:abstractNum>
  <w:abstractNum w:abstractNumId="11" w15:restartNumberingAfterBreak="0">
    <w:nsid w:val="0F206BAF"/>
    <w:multiLevelType w:val="hybridMultilevel"/>
    <w:tmpl w:val="DEA05698"/>
    <w:lvl w:ilvl="0" w:tplc="A02ADC52">
      <w:start w:val="1"/>
      <w:numFmt w:val="bullet"/>
      <w:lvlText w:val="-"/>
      <w:lvlJc w:val="left"/>
      <w:pPr>
        <w:ind w:left="360" w:hanging="360"/>
      </w:pPr>
      <w:rPr>
        <w:rFonts w:ascii="Calibri" w:eastAsiaTheme="minorHAnsi" w:hAnsi="Calibri" w:cs="Calibri" w:hint="default"/>
      </w:rPr>
    </w:lvl>
    <w:lvl w:ilvl="1" w:tplc="D86ADA3E" w:tentative="1">
      <w:start w:val="1"/>
      <w:numFmt w:val="bullet"/>
      <w:lvlText w:val="o"/>
      <w:lvlJc w:val="left"/>
      <w:pPr>
        <w:ind w:left="1080" w:hanging="360"/>
      </w:pPr>
      <w:rPr>
        <w:rFonts w:ascii="Courier New" w:hAnsi="Courier New" w:cs="Courier New" w:hint="default"/>
      </w:rPr>
    </w:lvl>
    <w:lvl w:ilvl="2" w:tplc="0B4A7AFC" w:tentative="1">
      <w:start w:val="1"/>
      <w:numFmt w:val="bullet"/>
      <w:lvlText w:val=""/>
      <w:lvlJc w:val="left"/>
      <w:pPr>
        <w:ind w:left="1800" w:hanging="360"/>
      </w:pPr>
      <w:rPr>
        <w:rFonts w:ascii="Wingdings" w:hAnsi="Wingdings" w:hint="default"/>
      </w:rPr>
    </w:lvl>
    <w:lvl w:ilvl="3" w:tplc="AA6212A2" w:tentative="1">
      <w:start w:val="1"/>
      <w:numFmt w:val="bullet"/>
      <w:lvlText w:val=""/>
      <w:lvlJc w:val="left"/>
      <w:pPr>
        <w:ind w:left="2520" w:hanging="360"/>
      </w:pPr>
      <w:rPr>
        <w:rFonts w:ascii="Symbol" w:hAnsi="Symbol" w:hint="default"/>
      </w:rPr>
    </w:lvl>
    <w:lvl w:ilvl="4" w:tplc="4D02A902" w:tentative="1">
      <w:start w:val="1"/>
      <w:numFmt w:val="bullet"/>
      <w:lvlText w:val="o"/>
      <w:lvlJc w:val="left"/>
      <w:pPr>
        <w:ind w:left="3240" w:hanging="360"/>
      </w:pPr>
      <w:rPr>
        <w:rFonts w:ascii="Courier New" w:hAnsi="Courier New" w:cs="Courier New" w:hint="default"/>
      </w:rPr>
    </w:lvl>
    <w:lvl w:ilvl="5" w:tplc="58B6A582" w:tentative="1">
      <w:start w:val="1"/>
      <w:numFmt w:val="bullet"/>
      <w:lvlText w:val=""/>
      <w:lvlJc w:val="left"/>
      <w:pPr>
        <w:ind w:left="3960" w:hanging="360"/>
      </w:pPr>
      <w:rPr>
        <w:rFonts w:ascii="Wingdings" w:hAnsi="Wingdings" w:hint="default"/>
      </w:rPr>
    </w:lvl>
    <w:lvl w:ilvl="6" w:tplc="00204A7A" w:tentative="1">
      <w:start w:val="1"/>
      <w:numFmt w:val="bullet"/>
      <w:lvlText w:val=""/>
      <w:lvlJc w:val="left"/>
      <w:pPr>
        <w:ind w:left="4680" w:hanging="360"/>
      </w:pPr>
      <w:rPr>
        <w:rFonts w:ascii="Symbol" w:hAnsi="Symbol" w:hint="default"/>
      </w:rPr>
    </w:lvl>
    <w:lvl w:ilvl="7" w:tplc="B1160EC2" w:tentative="1">
      <w:start w:val="1"/>
      <w:numFmt w:val="bullet"/>
      <w:lvlText w:val="o"/>
      <w:lvlJc w:val="left"/>
      <w:pPr>
        <w:ind w:left="5400" w:hanging="360"/>
      </w:pPr>
      <w:rPr>
        <w:rFonts w:ascii="Courier New" w:hAnsi="Courier New" w:cs="Courier New" w:hint="default"/>
      </w:rPr>
    </w:lvl>
    <w:lvl w:ilvl="8" w:tplc="81A89B42" w:tentative="1">
      <w:start w:val="1"/>
      <w:numFmt w:val="bullet"/>
      <w:lvlText w:val=""/>
      <w:lvlJc w:val="left"/>
      <w:pPr>
        <w:ind w:left="6120" w:hanging="360"/>
      </w:pPr>
      <w:rPr>
        <w:rFonts w:ascii="Wingdings" w:hAnsi="Wingdings" w:hint="default"/>
      </w:rPr>
    </w:lvl>
  </w:abstractNum>
  <w:abstractNum w:abstractNumId="12" w15:restartNumberingAfterBreak="0">
    <w:nsid w:val="15D66C8D"/>
    <w:multiLevelType w:val="hybridMultilevel"/>
    <w:tmpl w:val="452053C8"/>
    <w:lvl w:ilvl="0" w:tplc="7056049A">
      <w:start w:val="1"/>
      <w:numFmt w:val="decimal"/>
      <w:lvlText w:val="%1."/>
      <w:lvlJc w:val="left"/>
      <w:pPr>
        <w:ind w:left="720" w:hanging="360"/>
      </w:pPr>
    </w:lvl>
    <w:lvl w:ilvl="1" w:tplc="EAD6CAC8" w:tentative="1">
      <w:start w:val="1"/>
      <w:numFmt w:val="lowerLetter"/>
      <w:lvlText w:val="%2."/>
      <w:lvlJc w:val="left"/>
      <w:pPr>
        <w:ind w:left="1440" w:hanging="360"/>
      </w:pPr>
    </w:lvl>
    <w:lvl w:ilvl="2" w:tplc="DA1AD1F4" w:tentative="1">
      <w:start w:val="1"/>
      <w:numFmt w:val="lowerRoman"/>
      <w:lvlText w:val="%3."/>
      <w:lvlJc w:val="right"/>
      <w:pPr>
        <w:ind w:left="2160" w:hanging="180"/>
      </w:pPr>
    </w:lvl>
    <w:lvl w:ilvl="3" w:tplc="393E743A" w:tentative="1">
      <w:start w:val="1"/>
      <w:numFmt w:val="decimal"/>
      <w:lvlText w:val="%4."/>
      <w:lvlJc w:val="left"/>
      <w:pPr>
        <w:ind w:left="2880" w:hanging="360"/>
      </w:pPr>
    </w:lvl>
    <w:lvl w:ilvl="4" w:tplc="4FF4B65A" w:tentative="1">
      <w:start w:val="1"/>
      <w:numFmt w:val="lowerLetter"/>
      <w:lvlText w:val="%5."/>
      <w:lvlJc w:val="left"/>
      <w:pPr>
        <w:ind w:left="3600" w:hanging="360"/>
      </w:pPr>
    </w:lvl>
    <w:lvl w:ilvl="5" w:tplc="10FAB82C" w:tentative="1">
      <w:start w:val="1"/>
      <w:numFmt w:val="lowerRoman"/>
      <w:lvlText w:val="%6."/>
      <w:lvlJc w:val="right"/>
      <w:pPr>
        <w:ind w:left="4320" w:hanging="180"/>
      </w:pPr>
    </w:lvl>
    <w:lvl w:ilvl="6" w:tplc="04544D9C" w:tentative="1">
      <w:start w:val="1"/>
      <w:numFmt w:val="decimal"/>
      <w:lvlText w:val="%7."/>
      <w:lvlJc w:val="left"/>
      <w:pPr>
        <w:ind w:left="5040" w:hanging="360"/>
      </w:pPr>
    </w:lvl>
    <w:lvl w:ilvl="7" w:tplc="AD9E082A" w:tentative="1">
      <w:start w:val="1"/>
      <w:numFmt w:val="lowerLetter"/>
      <w:lvlText w:val="%8."/>
      <w:lvlJc w:val="left"/>
      <w:pPr>
        <w:ind w:left="5760" w:hanging="360"/>
      </w:pPr>
    </w:lvl>
    <w:lvl w:ilvl="8" w:tplc="78968290" w:tentative="1">
      <w:start w:val="1"/>
      <w:numFmt w:val="lowerRoman"/>
      <w:lvlText w:val="%9."/>
      <w:lvlJc w:val="right"/>
      <w:pPr>
        <w:ind w:left="6480" w:hanging="180"/>
      </w:pPr>
    </w:lvl>
  </w:abstractNum>
  <w:abstractNum w:abstractNumId="13" w15:restartNumberingAfterBreak="0">
    <w:nsid w:val="196B606F"/>
    <w:multiLevelType w:val="hybridMultilevel"/>
    <w:tmpl w:val="E0560262"/>
    <w:lvl w:ilvl="0" w:tplc="B15EEEA4">
      <w:start w:val="1"/>
      <w:numFmt w:val="bullet"/>
      <w:pStyle w:val="TableBullet"/>
      <w:lvlText w:val=""/>
      <w:lvlJc w:val="left"/>
      <w:pPr>
        <w:ind w:left="720" w:hanging="360"/>
      </w:pPr>
      <w:rPr>
        <w:rFonts w:ascii="Symbol" w:hAnsi="Symbol" w:hint="default"/>
      </w:rPr>
    </w:lvl>
    <w:lvl w:ilvl="1" w:tplc="CE565126" w:tentative="1">
      <w:start w:val="1"/>
      <w:numFmt w:val="bullet"/>
      <w:lvlText w:val="o"/>
      <w:lvlJc w:val="left"/>
      <w:pPr>
        <w:ind w:left="1440" w:hanging="360"/>
      </w:pPr>
      <w:rPr>
        <w:rFonts w:ascii="Courier New" w:hAnsi="Courier New" w:cs="Courier New" w:hint="default"/>
      </w:rPr>
    </w:lvl>
    <w:lvl w:ilvl="2" w:tplc="70D04B2C" w:tentative="1">
      <w:start w:val="1"/>
      <w:numFmt w:val="bullet"/>
      <w:lvlText w:val=""/>
      <w:lvlJc w:val="left"/>
      <w:pPr>
        <w:ind w:left="2160" w:hanging="360"/>
      </w:pPr>
      <w:rPr>
        <w:rFonts w:ascii="Wingdings" w:hAnsi="Wingdings" w:hint="default"/>
      </w:rPr>
    </w:lvl>
    <w:lvl w:ilvl="3" w:tplc="684A4F42" w:tentative="1">
      <w:start w:val="1"/>
      <w:numFmt w:val="bullet"/>
      <w:lvlText w:val=""/>
      <w:lvlJc w:val="left"/>
      <w:pPr>
        <w:ind w:left="2880" w:hanging="360"/>
      </w:pPr>
      <w:rPr>
        <w:rFonts w:ascii="Symbol" w:hAnsi="Symbol" w:hint="default"/>
      </w:rPr>
    </w:lvl>
    <w:lvl w:ilvl="4" w:tplc="12B4FA80" w:tentative="1">
      <w:start w:val="1"/>
      <w:numFmt w:val="bullet"/>
      <w:lvlText w:val="o"/>
      <w:lvlJc w:val="left"/>
      <w:pPr>
        <w:ind w:left="3600" w:hanging="360"/>
      </w:pPr>
      <w:rPr>
        <w:rFonts w:ascii="Courier New" w:hAnsi="Courier New" w:cs="Courier New" w:hint="default"/>
      </w:rPr>
    </w:lvl>
    <w:lvl w:ilvl="5" w:tplc="B9686D4C" w:tentative="1">
      <w:start w:val="1"/>
      <w:numFmt w:val="bullet"/>
      <w:lvlText w:val=""/>
      <w:lvlJc w:val="left"/>
      <w:pPr>
        <w:ind w:left="4320" w:hanging="360"/>
      </w:pPr>
      <w:rPr>
        <w:rFonts w:ascii="Wingdings" w:hAnsi="Wingdings" w:hint="default"/>
      </w:rPr>
    </w:lvl>
    <w:lvl w:ilvl="6" w:tplc="8F7C28B0" w:tentative="1">
      <w:start w:val="1"/>
      <w:numFmt w:val="bullet"/>
      <w:lvlText w:val=""/>
      <w:lvlJc w:val="left"/>
      <w:pPr>
        <w:ind w:left="5040" w:hanging="360"/>
      </w:pPr>
      <w:rPr>
        <w:rFonts w:ascii="Symbol" w:hAnsi="Symbol" w:hint="default"/>
      </w:rPr>
    </w:lvl>
    <w:lvl w:ilvl="7" w:tplc="7604D2CE" w:tentative="1">
      <w:start w:val="1"/>
      <w:numFmt w:val="bullet"/>
      <w:lvlText w:val="o"/>
      <w:lvlJc w:val="left"/>
      <w:pPr>
        <w:ind w:left="5760" w:hanging="360"/>
      </w:pPr>
      <w:rPr>
        <w:rFonts w:ascii="Courier New" w:hAnsi="Courier New" w:cs="Courier New" w:hint="default"/>
      </w:rPr>
    </w:lvl>
    <w:lvl w:ilvl="8" w:tplc="BC44FD08" w:tentative="1">
      <w:start w:val="1"/>
      <w:numFmt w:val="bullet"/>
      <w:lvlText w:val=""/>
      <w:lvlJc w:val="left"/>
      <w:pPr>
        <w:ind w:left="6480" w:hanging="360"/>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2A802EB4"/>
    <w:multiLevelType w:val="hybridMultilevel"/>
    <w:tmpl w:val="178A6F56"/>
    <w:lvl w:ilvl="0" w:tplc="DA42B618">
      <w:numFmt w:val="bullet"/>
      <w:lvlText w:val="-"/>
      <w:lvlJc w:val="left"/>
      <w:pPr>
        <w:ind w:left="720" w:hanging="360"/>
      </w:pPr>
      <w:rPr>
        <w:rFonts w:ascii="Cambria" w:eastAsiaTheme="minorHAnsi" w:hAnsi="Cambria" w:cstheme="minorBidi" w:hint="default"/>
      </w:rPr>
    </w:lvl>
    <w:lvl w:ilvl="1" w:tplc="6B7E3A86" w:tentative="1">
      <w:start w:val="1"/>
      <w:numFmt w:val="bullet"/>
      <w:lvlText w:val="o"/>
      <w:lvlJc w:val="left"/>
      <w:pPr>
        <w:ind w:left="1440" w:hanging="360"/>
      </w:pPr>
      <w:rPr>
        <w:rFonts w:ascii="Courier New" w:hAnsi="Courier New" w:cs="Courier New" w:hint="default"/>
      </w:rPr>
    </w:lvl>
    <w:lvl w:ilvl="2" w:tplc="9A60FAE2" w:tentative="1">
      <w:start w:val="1"/>
      <w:numFmt w:val="bullet"/>
      <w:lvlText w:val=""/>
      <w:lvlJc w:val="left"/>
      <w:pPr>
        <w:ind w:left="2160" w:hanging="360"/>
      </w:pPr>
      <w:rPr>
        <w:rFonts w:ascii="Wingdings" w:hAnsi="Wingdings" w:hint="default"/>
      </w:rPr>
    </w:lvl>
    <w:lvl w:ilvl="3" w:tplc="3A763EBC" w:tentative="1">
      <w:start w:val="1"/>
      <w:numFmt w:val="bullet"/>
      <w:lvlText w:val=""/>
      <w:lvlJc w:val="left"/>
      <w:pPr>
        <w:ind w:left="2880" w:hanging="360"/>
      </w:pPr>
      <w:rPr>
        <w:rFonts w:ascii="Symbol" w:hAnsi="Symbol" w:hint="default"/>
      </w:rPr>
    </w:lvl>
    <w:lvl w:ilvl="4" w:tplc="19703B6E" w:tentative="1">
      <w:start w:val="1"/>
      <w:numFmt w:val="bullet"/>
      <w:lvlText w:val="o"/>
      <w:lvlJc w:val="left"/>
      <w:pPr>
        <w:ind w:left="3600" w:hanging="360"/>
      </w:pPr>
      <w:rPr>
        <w:rFonts w:ascii="Courier New" w:hAnsi="Courier New" w:cs="Courier New" w:hint="default"/>
      </w:rPr>
    </w:lvl>
    <w:lvl w:ilvl="5" w:tplc="360AAF12" w:tentative="1">
      <w:start w:val="1"/>
      <w:numFmt w:val="bullet"/>
      <w:lvlText w:val=""/>
      <w:lvlJc w:val="left"/>
      <w:pPr>
        <w:ind w:left="4320" w:hanging="360"/>
      </w:pPr>
      <w:rPr>
        <w:rFonts w:ascii="Wingdings" w:hAnsi="Wingdings" w:hint="default"/>
      </w:rPr>
    </w:lvl>
    <w:lvl w:ilvl="6" w:tplc="F91EAACA" w:tentative="1">
      <w:start w:val="1"/>
      <w:numFmt w:val="bullet"/>
      <w:lvlText w:val=""/>
      <w:lvlJc w:val="left"/>
      <w:pPr>
        <w:ind w:left="5040" w:hanging="360"/>
      </w:pPr>
      <w:rPr>
        <w:rFonts w:ascii="Symbol" w:hAnsi="Symbol" w:hint="default"/>
      </w:rPr>
    </w:lvl>
    <w:lvl w:ilvl="7" w:tplc="BA84DE1E" w:tentative="1">
      <w:start w:val="1"/>
      <w:numFmt w:val="bullet"/>
      <w:lvlText w:val="o"/>
      <w:lvlJc w:val="left"/>
      <w:pPr>
        <w:ind w:left="5760" w:hanging="360"/>
      </w:pPr>
      <w:rPr>
        <w:rFonts w:ascii="Courier New" w:hAnsi="Courier New" w:cs="Courier New" w:hint="default"/>
      </w:rPr>
    </w:lvl>
    <w:lvl w:ilvl="8" w:tplc="E35E4B6A" w:tentative="1">
      <w:start w:val="1"/>
      <w:numFmt w:val="bullet"/>
      <w:lvlText w:val=""/>
      <w:lvlJc w:val="left"/>
      <w:pPr>
        <w:ind w:left="6480" w:hanging="360"/>
      </w:pPr>
      <w:rPr>
        <w:rFonts w:ascii="Wingdings" w:hAnsi="Wingdings" w:hint="default"/>
      </w:rPr>
    </w:lvl>
  </w:abstractNum>
  <w:abstractNum w:abstractNumId="18"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0B2504F"/>
    <w:multiLevelType w:val="hybridMultilevel"/>
    <w:tmpl w:val="6C2AEE98"/>
    <w:lvl w:ilvl="0" w:tplc="947831AE">
      <w:start w:val="1"/>
      <w:numFmt w:val="decimal"/>
      <w:pStyle w:val="Heading3-Appendix"/>
      <w:lvlText w:val="A%1"/>
      <w:lvlJc w:val="left"/>
      <w:pPr>
        <w:ind w:left="720" w:hanging="360"/>
      </w:pPr>
      <w:rPr>
        <w:rFonts w:hint="default"/>
      </w:rPr>
    </w:lvl>
    <w:lvl w:ilvl="1" w:tplc="304646F4" w:tentative="1">
      <w:start w:val="1"/>
      <w:numFmt w:val="lowerLetter"/>
      <w:lvlText w:val="%2."/>
      <w:lvlJc w:val="left"/>
      <w:pPr>
        <w:ind w:left="1440" w:hanging="360"/>
      </w:pPr>
    </w:lvl>
    <w:lvl w:ilvl="2" w:tplc="87DCA8AA" w:tentative="1">
      <w:start w:val="1"/>
      <w:numFmt w:val="lowerRoman"/>
      <w:lvlText w:val="%3."/>
      <w:lvlJc w:val="right"/>
      <w:pPr>
        <w:ind w:left="2160" w:hanging="180"/>
      </w:pPr>
    </w:lvl>
    <w:lvl w:ilvl="3" w:tplc="F06A94C0" w:tentative="1">
      <w:start w:val="1"/>
      <w:numFmt w:val="decimal"/>
      <w:lvlText w:val="%4."/>
      <w:lvlJc w:val="left"/>
      <w:pPr>
        <w:ind w:left="2880" w:hanging="360"/>
      </w:pPr>
    </w:lvl>
    <w:lvl w:ilvl="4" w:tplc="F33C0392" w:tentative="1">
      <w:start w:val="1"/>
      <w:numFmt w:val="lowerLetter"/>
      <w:lvlText w:val="%5."/>
      <w:lvlJc w:val="left"/>
      <w:pPr>
        <w:ind w:left="3600" w:hanging="360"/>
      </w:pPr>
    </w:lvl>
    <w:lvl w:ilvl="5" w:tplc="6152E52A" w:tentative="1">
      <w:start w:val="1"/>
      <w:numFmt w:val="lowerRoman"/>
      <w:lvlText w:val="%6."/>
      <w:lvlJc w:val="right"/>
      <w:pPr>
        <w:ind w:left="4320" w:hanging="180"/>
      </w:pPr>
    </w:lvl>
    <w:lvl w:ilvl="6" w:tplc="0F4E6B28" w:tentative="1">
      <w:start w:val="1"/>
      <w:numFmt w:val="decimal"/>
      <w:lvlText w:val="%7."/>
      <w:lvlJc w:val="left"/>
      <w:pPr>
        <w:ind w:left="5040" w:hanging="360"/>
      </w:pPr>
    </w:lvl>
    <w:lvl w:ilvl="7" w:tplc="5A70D446" w:tentative="1">
      <w:start w:val="1"/>
      <w:numFmt w:val="lowerLetter"/>
      <w:lvlText w:val="%8."/>
      <w:lvlJc w:val="left"/>
      <w:pPr>
        <w:ind w:left="5760" w:hanging="360"/>
      </w:pPr>
    </w:lvl>
    <w:lvl w:ilvl="8" w:tplc="3D52EC94" w:tentative="1">
      <w:start w:val="1"/>
      <w:numFmt w:val="lowerRoman"/>
      <w:lvlText w:val="%9."/>
      <w:lvlJc w:val="right"/>
      <w:pPr>
        <w:ind w:left="6480" w:hanging="180"/>
      </w:pPr>
    </w:lvl>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2"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3" w15:restartNumberingAfterBreak="0">
    <w:nsid w:val="410F132C"/>
    <w:multiLevelType w:val="multilevel"/>
    <w:tmpl w:val="9140CB22"/>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4" w15:restartNumberingAfterBreak="0">
    <w:nsid w:val="48DE2E4A"/>
    <w:multiLevelType w:val="hybridMultilevel"/>
    <w:tmpl w:val="B7086130"/>
    <w:lvl w:ilvl="0" w:tplc="A7782AA0">
      <w:start w:val="1"/>
      <w:numFmt w:val="bullet"/>
      <w:pStyle w:val="BoxTextBullet"/>
      <w:lvlText w:val=""/>
      <w:lvlJc w:val="left"/>
      <w:pPr>
        <w:ind w:left="720" w:hanging="360"/>
      </w:pPr>
      <w:rPr>
        <w:rFonts w:ascii="Symbol" w:hAnsi="Symbol" w:hint="default"/>
      </w:rPr>
    </w:lvl>
    <w:lvl w:ilvl="1" w:tplc="C4801BB0" w:tentative="1">
      <w:start w:val="1"/>
      <w:numFmt w:val="bullet"/>
      <w:lvlText w:val="o"/>
      <w:lvlJc w:val="left"/>
      <w:pPr>
        <w:ind w:left="1440" w:hanging="360"/>
      </w:pPr>
      <w:rPr>
        <w:rFonts w:ascii="Courier New" w:hAnsi="Courier New" w:cs="Courier New" w:hint="default"/>
      </w:rPr>
    </w:lvl>
    <w:lvl w:ilvl="2" w:tplc="91B659BE" w:tentative="1">
      <w:start w:val="1"/>
      <w:numFmt w:val="bullet"/>
      <w:lvlText w:val=""/>
      <w:lvlJc w:val="left"/>
      <w:pPr>
        <w:ind w:left="2160" w:hanging="360"/>
      </w:pPr>
      <w:rPr>
        <w:rFonts w:ascii="Wingdings" w:hAnsi="Wingdings" w:hint="default"/>
      </w:rPr>
    </w:lvl>
    <w:lvl w:ilvl="3" w:tplc="2332B882" w:tentative="1">
      <w:start w:val="1"/>
      <w:numFmt w:val="bullet"/>
      <w:lvlText w:val=""/>
      <w:lvlJc w:val="left"/>
      <w:pPr>
        <w:ind w:left="2880" w:hanging="360"/>
      </w:pPr>
      <w:rPr>
        <w:rFonts w:ascii="Symbol" w:hAnsi="Symbol" w:hint="default"/>
      </w:rPr>
    </w:lvl>
    <w:lvl w:ilvl="4" w:tplc="F9DAAFBC" w:tentative="1">
      <w:start w:val="1"/>
      <w:numFmt w:val="bullet"/>
      <w:lvlText w:val="o"/>
      <w:lvlJc w:val="left"/>
      <w:pPr>
        <w:ind w:left="3600" w:hanging="360"/>
      </w:pPr>
      <w:rPr>
        <w:rFonts w:ascii="Courier New" w:hAnsi="Courier New" w:cs="Courier New" w:hint="default"/>
      </w:rPr>
    </w:lvl>
    <w:lvl w:ilvl="5" w:tplc="2C46F732" w:tentative="1">
      <w:start w:val="1"/>
      <w:numFmt w:val="bullet"/>
      <w:lvlText w:val=""/>
      <w:lvlJc w:val="left"/>
      <w:pPr>
        <w:ind w:left="4320" w:hanging="360"/>
      </w:pPr>
      <w:rPr>
        <w:rFonts w:ascii="Wingdings" w:hAnsi="Wingdings" w:hint="default"/>
      </w:rPr>
    </w:lvl>
    <w:lvl w:ilvl="6" w:tplc="FDEAB458" w:tentative="1">
      <w:start w:val="1"/>
      <w:numFmt w:val="bullet"/>
      <w:lvlText w:val=""/>
      <w:lvlJc w:val="left"/>
      <w:pPr>
        <w:ind w:left="5040" w:hanging="360"/>
      </w:pPr>
      <w:rPr>
        <w:rFonts w:ascii="Symbol" w:hAnsi="Symbol" w:hint="default"/>
      </w:rPr>
    </w:lvl>
    <w:lvl w:ilvl="7" w:tplc="4BB607F0" w:tentative="1">
      <w:start w:val="1"/>
      <w:numFmt w:val="bullet"/>
      <w:lvlText w:val="o"/>
      <w:lvlJc w:val="left"/>
      <w:pPr>
        <w:ind w:left="5760" w:hanging="360"/>
      </w:pPr>
      <w:rPr>
        <w:rFonts w:ascii="Courier New" w:hAnsi="Courier New" w:cs="Courier New" w:hint="default"/>
      </w:rPr>
    </w:lvl>
    <w:lvl w:ilvl="8" w:tplc="EF926E1A" w:tentative="1">
      <w:start w:val="1"/>
      <w:numFmt w:val="bullet"/>
      <w:lvlText w:val=""/>
      <w:lvlJc w:val="left"/>
      <w:pPr>
        <w:ind w:left="6480" w:hanging="360"/>
      </w:pPr>
      <w:rPr>
        <w:rFonts w:ascii="Wingdings" w:hAnsi="Wingdings" w:hint="default"/>
      </w:rPr>
    </w:lvl>
  </w:abstractNum>
  <w:abstractNum w:abstractNumId="25"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D9557E8"/>
    <w:multiLevelType w:val="hybridMultilevel"/>
    <w:tmpl w:val="35C0925C"/>
    <w:lvl w:ilvl="0" w:tplc="4EC431C2">
      <w:start w:val="1"/>
      <w:numFmt w:val="bullet"/>
      <w:lvlText w:val=""/>
      <w:lvlJc w:val="left"/>
      <w:pPr>
        <w:ind w:left="360" w:hanging="360"/>
      </w:pPr>
      <w:rPr>
        <w:rFonts w:ascii="Symbol" w:hAnsi="Symbol" w:hint="default"/>
      </w:rPr>
    </w:lvl>
    <w:lvl w:ilvl="1" w:tplc="62AE417C">
      <w:start w:val="1"/>
      <w:numFmt w:val="bullet"/>
      <w:lvlText w:val="o"/>
      <w:lvlJc w:val="left"/>
      <w:pPr>
        <w:ind w:left="1080" w:hanging="360"/>
      </w:pPr>
      <w:rPr>
        <w:rFonts w:ascii="Courier New" w:hAnsi="Courier New" w:cs="Courier New" w:hint="default"/>
      </w:rPr>
    </w:lvl>
    <w:lvl w:ilvl="2" w:tplc="C01A5730" w:tentative="1">
      <w:start w:val="1"/>
      <w:numFmt w:val="bullet"/>
      <w:lvlText w:val=""/>
      <w:lvlJc w:val="left"/>
      <w:pPr>
        <w:ind w:left="1800" w:hanging="360"/>
      </w:pPr>
      <w:rPr>
        <w:rFonts w:ascii="Wingdings" w:hAnsi="Wingdings" w:hint="default"/>
      </w:rPr>
    </w:lvl>
    <w:lvl w:ilvl="3" w:tplc="41EC5422" w:tentative="1">
      <w:start w:val="1"/>
      <w:numFmt w:val="bullet"/>
      <w:lvlText w:val=""/>
      <w:lvlJc w:val="left"/>
      <w:pPr>
        <w:ind w:left="2520" w:hanging="360"/>
      </w:pPr>
      <w:rPr>
        <w:rFonts w:ascii="Symbol" w:hAnsi="Symbol" w:hint="default"/>
      </w:rPr>
    </w:lvl>
    <w:lvl w:ilvl="4" w:tplc="1144CF7C" w:tentative="1">
      <w:start w:val="1"/>
      <w:numFmt w:val="bullet"/>
      <w:lvlText w:val="o"/>
      <w:lvlJc w:val="left"/>
      <w:pPr>
        <w:ind w:left="3240" w:hanging="360"/>
      </w:pPr>
      <w:rPr>
        <w:rFonts w:ascii="Courier New" w:hAnsi="Courier New" w:cs="Courier New" w:hint="default"/>
      </w:rPr>
    </w:lvl>
    <w:lvl w:ilvl="5" w:tplc="4C3E37B2" w:tentative="1">
      <w:start w:val="1"/>
      <w:numFmt w:val="bullet"/>
      <w:lvlText w:val=""/>
      <w:lvlJc w:val="left"/>
      <w:pPr>
        <w:ind w:left="3960" w:hanging="360"/>
      </w:pPr>
      <w:rPr>
        <w:rFonts w:ascii="Wingdings" w:hAnsi="Wingdings" w:hint="default"/>
      </w:rPr>
    </w:lvl>
    <w:lvl w:ilvl="6" w:tplc="00A63382" w:tentative="1">
      <w:start w:val="1"/>
      <w:numFmt w:val="bullet"/>
      <w:lvlText w:val=""/>
      <w:lvlJc w:val="left"/>
      <w:pPr>
        <w:ind w:left="4680" w:hanging="360"/>
      </w:pPr>
      <w:rPr>
        <w:rFonts w:ascii="Symbol" w:hAnsi="Symbol" w:hint="default"/>
      </w:rPr>
    </w:lvl>
    <w:lvl w:ilvl="7" w:tplc="695A288A" w:tentative="1">
      <w:start w:val="1"/>
      <w:numFmt w:val="bullet"/>
      <w:lvlText w:val="o"/>
      <w:lvlJc w:val="left"/>
      <w:pPr>
        <w:ind w:left="5400" w:hanging="360"/>
      </w:pPr>
      <w:rPr>
        <w:rFonts w:ascii="Courier New" w:hAnsi="Courier New" w:cs="Courier New" w:hint="default"/>
      </w:rPr>
    </w:lvl>
    <w:lvl w:ilvl="8" w:tplc="7E087870" w:tentative="1">
      <w:start w:val="1"/>
      <w:numFmt w:val="bullet"/>
      <w:lvlText w:val=""/>
      <w:lvlJc w:val="left"/>
      <w:pPr>
        <w:ind w:left="6120" w:hanging="360"/>
      </w:pPr>
      <w:rPr>
        <w:rFonts w:ascii="Wingdings" w:hAnsi="Wingdings" w:hint="default"/>
      </w:rPr>
    </w:lvl>
  </w:abstractNum>
  <w:abstractNum w:abstractNumId="28" w15:restartNumberingAfterBreak="0">
    <w:nsid w:val="64090C62"/>
    <w:multiLevelType w:val="hybridMultilevel"/>
    <w:tmpl w:val="5B289E72"/>
    <w:lvl w:ilvl="0" w:tplc="A4340DB8">
      <w:start w:val="1"/>
      <w:numFmt w:val="bullet"/>
      <w:lvlText w:val=""/>
      <w:lvlJc w:val="left"/>
      <w:pPr>
        <w:ind w:left="770" w:hanging="360"/>
      </w:pPr>
      <w:rPr>
        <w:rFonts w:ascii="Symbol" w:hAnsi="Symbol" w:hint="default"/>
      </w:rPr>
    </w:lvl>
    <w:lvl w:ilvl="1" w:tplc="CC08EFAE" w:tentative="1">
      <w:start w:val="1"/>
      <w:numFmt w:val="bullet"/>
      <w:lvlText w:val="o"/>
      <w:lvlJc w:val="left"/>
      <w:pPr>
        <w:ind w:left="1490" w:hanging="360"/>
      </w:pPr>
      <w:rPr>
        <w:rFonts w:ascii="Courier New" w:hAnsi="Courier New" w:cs="Courier New" w:hint="default"/>
      </w:rPr>
    </w:lvl>
    <w:lvl w:ilvl="2" w:tplc="8D6E50F2" w:tentative="1">
      <w:start w:val="1"/>
      <w:numFmt w:val="bullet"/>
      <w:lvlText w:val=""/>
      <w:lvlJc w:val="left"/>
      <w:pPr>
        <w:ind w:left="2210" w:hanging="360"/>
      </w:pPr>
      <w:rPr>
        <w:rFonts w:ascii="Wingdings" w:hAnsi="Wingdings" w:hint="default"/>
      </w:rPr>
    </w:lvl>
    <w:lvl w:ilvl="3" w:tplc="EAB2435C" w:tentative="1">
      <w:start w:val="1"/>
      <w:numFmt w:val="bullet"/>
      <w:lvlText w:val=""/>
      <w:lvlJc w:val="left"/>
      <w:pPr>
        <w:ind w:left="2930" w:hanging="360"/>
      </w:pPr>
      <w:rPr>
        <w:rFonts w:ascii="Symbol" w:hAnsi="Symbol" w:hint="default"/>
      </w:rPr>
    </w:lvl>
    <w:lvl w:ilvl="4" w:tplc="76947E86" w:tentative="1">
      <w:start w:val="1"/>
      <w:numFmt w:val="bullet"/>
      <w:lvlText w:val="o"/>
      <w:lvlJc w:val="left"/>
      <w:pPr>
        <w:ind w:left="3650" w:hanging="360"/>
      </w:pPr>
      <w:rPr>
        <w:rFonts w:ascii="Courier New" w:hAnsi="Courier New" w:cs="Courier New" w:hint="default"/>
      </w:rPr>
    </w:lvl>
    <w:lvl w:ilvl="5" w:tplc="6FDE2B6E" w:tentative="1">
      <w:start w:val="1"/>
      <w:numFmt w:val="bullet"/>
      <w:lvlText w:val=""/>
      <w:lvlJc w:val="left"/>
      <w:pPr>
        <w:ind w:left="4370" w:hanging="360"/>
      </w:pPr>
      <w:rPr>
        <w:rFonts w:ascii="Wingdings" w:hAnsi="Wingdings" w:hint="default"/>
      </w:rPr>
    </w:lvl>
    <w:lvl w:ilvl="6" w:tplc="975E6082" w:tentative="1">
      <w:start w:val="1"/>
      <w:numFmt w:val="bullet"/>
      <w:lvlText w:val=""/>
      <w:lvlJc w:val="left"/>
      <w:pPr>
        <w:ind w:left="5090" w:hanging="360"/>
      </w:pPr>
      <w:rPr>
        <w:rFonts w:ascii="Symbol" w:hAnsi="Symbol" w:hint="default"/>
      </w:rPr>
    </w:lvl>
    <w:lvl w:ilvl="7" w:tplc="F858E5B0" w:tentative="1">
      <w:start w:val="1"/>
      <w:numFmt w:val="bullet"/>
      <w:lvlText w:val="o"/>
      <w:lvlJc w:val="left"/>
      <w:pPr>
        <w:ind w:left="5810" w:hanging="360"/>
      </w:pPr>
      <w:rPr>
        <w:rFonts w:ascii="Courier New" w:hAnsi="Courier New" w:cs="Courier New" w:hint="default"/>
      </w:rPr>
    </w:lvl>
    <w:lvl w:ilvl="8" w:tplc="2B5AA6A2" w:tentative="1">
      <w:start w:val="1"/>
      <w:numFmt w:val="bullet"/>
      <w:lvlText w:val=""/>
      <w:lvlJc w:val="left"/>
      <w:pPr>
        <w:ind w:left="6530" w:hanging="360"/>
      </w:pPr>
      <w:rPr>
        <w:rFonts w:ascii="Wingdings" w:hAnsi="Wingdings" w:hint="default"/>
      </w:rPr>
    </w:lvl>
  </w:abstractNum>
  <w:abstractNum w:abstractNumId="29" w15:restartNumberingAfterBreak="0">
    <w:nsid w:val="7636387C"/>
    <w:multiLevelType w:val="multilevel"/>
    <w:tmpl w:val="6346ED0E"/>
    <w:numStyleLink w:val="listbullets"/>
  </w:abstractNum>
  <w:num w:numId="1">
    <w:abstractNumId w:val="24"/>
  </w:num>
  <w:num w:numId="2">
    <w:abstractNumId w:val="20"/>
  </w:num>
  <w:num w:numId="3">
    <w:abstractNumId w:val="4"/>
  </w:num>
  <w:num w:numId="4">
    <w:abstractNumId w:val="14"/>
  </w:num>
  <w:num w:numId="5">
    <w:abstractNumId w:val="15"/>
  </w:num>
  <w:num w:numId="6">
    <w:abstractNumId w:val="25"/>
  </w:num>
  <w:num w:numId="7">
    <w:abstractNumId w:val="21"/>
  </w:num>
  <w:num w:numId="8">
    <w:abstractNumId w:val="26"/>
  </w:num>
  <w:num w:numId="9">
    <w:abstractNumId w:val="13"/>
  </w:num>
  <w:num w:numId="10">
    <w:abstractNumId w:val="5"/>
  </w:num>
  <w:num w:numId="11">
    <w:abstractNumId w:val="29"/>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12">
    <w:abstractNumId w:val="27"/>
  </w:num>
  <w:num w:numId="13">
    <w:abstractNumId w:val="16"/>
  </w:num>
  <w:num w:numId="14">
    <w:abstractNumId w:val="22"/>
  </w:num>
  <w:num w:numId="15">
    <w:abstractNumId w:val="28"/>
  </w:num>
  <w:num w:numId="16">
    <w:abstractNumId w:val="2"/>
  </w:num>
  <w:num w:numId="17">
    <w:abstractNumId w:val="1"/>
  </w:num>
  <w:num w:numId="18">
    <w:abstractNumId w:val="18"/>
  </w:num>
  <w:num w:numId="19">
    <w:abstractNumId w:val="19"/>
  </w:num>
  <w:num w:numId="20">
    <w:abstractNumId w:val="3"/>
  </w:num>
  <w:num w:numId="21">
    <w:abstractNumId w:val="11"/>
  </w:num>
  <w:num w:numId="22">
    <w:abstractNumId w:val="23"/>
  </w:num>
  <w:num w:numId="23">
    <w:abstractNumId w:val="9"/>
  </w:num>
  <w:num w:numId="24">
    <w:abstractNumId w:val="6"/>
  </w:num>
  <w:num w:numId="25">
    <w:abstractNumId w:val="17"/>
  </w:num>
  <w:num w:numId="26">
    <w:abstractNumId w:val="10"/>
  </w:num>
  <w:num w:numId="27">
    <w:abstractNumId w:val="8"/>
  </w:num>
  <w:num w:numId="28">
    <w:abstractNumId w:val="7"/>
  </w:num>
  <w:num w:numId="29">
    <w:abstractNumId w:val="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05"/>
    <w:rsid w:val="000036ED"/>
    <w:rsid w:val="000162FD"/>
    <w:rsid w:val="0001762E"/>
    <w:rsid w:val="000312DB"/>
    <w:rsid w:val="00032C1B"/>
    <w:rsid w:val="000338ED"/>
    <w:rsid w:val="00037BCB"/>
    <w:rsid w:val="00041244"/>
    <w:rsid w:val="000428DB"/>
    <w:rsid w:val="000515EB"/>
    <w:rsid w:val="0005548D"/>
    <w:rsid w:val="00056719"/>
    <w:rsid w:val="00062A5B"/>
    <w:rsid w:val="00074141"/>
    <w:rsid w:val="00074A3A"/>
    <w:rsid w:val="000844F0"/>
    <w:rsid w:val="00086AA9"/>
    <w:rsid w:val="000B1396"/>
    <w:rsid w:val="000C0A09"/>
    <w:rsid w:val="000C6A42"/>
    <w:rsid w:val="000D1B23"/>
    <w:rsid w:val="000E3BB5"/>
    <w:rsid w:val="000E421C"/>
    <w:rsid w:val="000F1B7B"/>
    <w:rsid w:val="000F1D4D"/>
    <w:rsid w:val="000F4A33"/>
    <w:rsid w:val="000F5AE9"/>
    <w:rsid w:val="000F74CF"/>
    <w:rsid w:val="00101CBE"/>
    <w:rsid w:val="00103231"/>
    <w:rsid w:val="001043CD"/>
    <w:rsid w:val="001101C7"/>
    <w:rsid w:val="0011237D"/>
    <w:rsid w:val="001168CA"/>
    <w:rsid w:val="00116B33"/>
    <w:rsid w:val="00117E9B"/>
    <w:rsid w:val="001218DE"/>
    <w:rsid w:val="00123B93"/>
    <w:rsid w:val="00124F90"/>
    <w:rsid w:val="001362D0"/>
    <w:rsid w:val="00140CED"/>
    <w:rsid w:val="001441C3"/>
    <w:rsid w:val="00144695"/>
    <w:rsid w:val="00153630"/>
    <w:rsid w:val="00160AA8"/>
    <w:rsid w:val="001725FA"/>
    <w:rsid w:val="00172703"/>
    <w:rsid w:val="00173E88"/>
    <w:rsid w:val="00175A50"/>
    <w:rsid w:val="00177F48"/>
    <w:rsid w:val="00180194"/>
    <w:rsid w:val="00180AEA"/>
    <w:rsid w:val="001844F4"/>
    <w:rsid w:val="00187F52"/>
    <w:rsid w:val="00195867"/>
    <w:rsid w:val="00195B80"/>
    <w:rsid w:val="001A3775"/>
    <w:rsid w:val="001B24B3"/>
    <w:rsid w:val="001B4D02"/>
    <w:rsid w:val="001B6DA0"/>
    <w:rsid w:val="001B7132"/>
    <w:rsid w:val="001C04A2"/>
    <w:rsid w:val="001C0529"/>
    <w:rsid w:val="001C1731"/>
    <w:rsid w:val="001C4AFA"/>
    <w:rsid w:val="001E65D2"/>
    <w:rsid w:val="001F58F6"/>
    <w:rsid w:val="00204878"/>
    <w:rsid w:val="00205775"/>
    <w:rsid w:val="00205995"/>
    <w:rsid w:val="00206894"/>
    <w:rsid w:val="00207186"/>
    <w:rsid w:val="0020782A"/>
    <w:rsid w:val="00210393"/>
    <w:rsid w:val="00214918"/>
    <w:rsid w:val="00224721"/>
    <w:rsid w:val="00235E2D"/>
    <w:rsid w:val="002374B9"/>
    <w:rsid w:val="0023770B"/>
    <w:rsid w:val="002455EA"/>
    <w:rsid w:val="00247ABB"/>
    <w:rsid w:val="00250DC1"/>
    <w:rsid w:val="00252C4A"/>
    <w:rsid w:val="00254112"/>
    <w:rsid w:val="002562E8"/>
    <w:rsid w:val="00262D72"/>
    <w:rsid w:val="002679A0"/>
    <w:rsid w:val="00271BDB"/>
    <w:rsid w:val="00275591"/>
    <w:rsid w:val="00277DC3"/>
    <w:rsid w:val="00277F27"/>
    <w:rsid w:val="00280CCB"/>
    <w:rsid w:val="00285CE5"/>
    <w:rsid w:val="00286184"/>
    <w:rsid w:val="00292FA2"/>
    <w:rsid w:val="00295F7E"/>
    <w:rsid w:val="002A24C9"/>
    <w:rsid w:val="002A7046"/>
    <w:rsid w:val="002B2A18"/>
    <w:rsid w:val="002C20BE"/>
    <w:rsid w:val="002C3542"/>
    <w:rsid w:val="002D057A"/>
    <w:rsid w:val="002D09AF"/>
    <w:rsid w:val="002D3C98"/>
    <w:rsid w:val="002D4DF4"/>
    <w:rsid w:val="002D5010"/>
    <w:rsid w:val="002F29ED"/>
    <w:rsid w:val="002F2E44"/>
    <w:rsid w:val="00302998"/>
    <w:rsid w:val="00307939"/>
    <w:rsid w:val="00312025"/>
    <w:rsid w:val="003140BB"/>
    <w:rsid w:val="00314498"/>
    <w:rsid w:val="00315902"/>
    <w:rsid w:val="00317100"/>
    <w:rsid w:val="00321551"/>
    <w:rsid w:val="00325B1C"/>
    <w:rsid w:val="0032734B"/>
    <w:rsid w:val="00330A6D"/>
    <w:rsid w:val="00332522"/>
    <w:rsid w:val="00335A9A"/>
    <w:rsid w:val="00347AA4"/>
    <w:rsid w:val="00350304"/>
    <w:rsid w:val="00350C36"/>
    <w:rsid w:val="00351245"/>
    <w:rsid w:val="003513F9"/>
    <w:rsid w:val="00356F52"/>
    <w:rsid w:val="00360C0A"/>
    <w:rsid w:val="00364A4A"/>
    <w:rsid w:val="00364A80"/>
    <w:rsid w:val="003664FE"/>
    <w:rsid w:val="00373D35"/>
    <w:rsid w:val="00374B2C"/>
    <w:rsid w:val="00375CFD"/>
    <w:rsid w:val="00376E7F"/>
    <w:rsid w:val="00377E6C"/>
    <w:rsid w:val="00380DD0"/>
    <w:rsid w:val="003848F2"/>
    <w:rsid w:val="00385896"/>
    <w:rsid w:val="00391F51"/>
    <w:rsid w:val="003B4C03"/>
    <w:rsid w:val="003C1DDD"/>
    <w:rsid w:val="003C22B3"/>
    <w:rsid w:val="003C4935"/>
    <w:rsid w:val="003C5B1A"/>
    <w:rsid w:val="003D1017"/>
    <w:rsid w:val="003E176F"/>
    <w:rsid w:val="003E4F4F"/>
    <w:rsid w:val="003F1101"/>
    <w:rsid w:val="003F3CE1"/>
    <w:rsid w:val="0040190F"/>
    <w:rsid w:val="00414CC5"/>
    <w:rsid w:val="00416E28"/>
    <w:rsid w:val="00422ED8"/>
    <w:rsid w:val="004238DF"/>
    <w:rsid w:val="004247BF"/>
    <w:rsid w:val="00425C28"/>
    <w:rsid w:val="0043058A"/>
    <w:rsid w:val="00430DCB"/>
    <w:rsid w:val="004338B9"/>
    <w:rsid w:val="004405AB"/>
    <w:rsid w:val="00451FDB"/>
    <w:rsid w:val="00454B26"/>
    <w:rsid w:val="004609D2"/>
    <w:rsid w:val="0046337A"/>
    <w:rsid w:val="00464715"/>
    <w:rsid w:val="0047313D"/>
    <w:rsid w:val="00474449"/>
    <w:rsid w:val="00475B9D"/>
    <w:rsid w:val="004770A8"/>
    <w:rsid w:val="00484E5E"/>
    <w:rsid w:val="00492C63"/>
    <w:rsid w:val="004966FD"/>
    <w:rsid w:val="004A19C1"/>
    <w:rsid w:val="004A25F2"/>
    <w:rsid w:val="004A5145"/>
    <w:rsid w:val="004C01FA"/>
    <w:rsid w:val="004C4B77"/>
    <w:rsid w:val="004D0FFA"/>
    <w:rsid w:val="004D7EE6"/>
    <w:rsid w:val="004E022E"/>
    <w:rsid w:val="004F2D72"/>
    <w:rsid w:val="00502904"/>
    <w:rsid w:val="00505E13"/>
    <w:rsid w:val="00510863"/>
    <w:rsid w:val="00513EB2"/>
    <w:rsid w:val="005211B8"/>
    <w:rsid w:val="00523580"/>
    <w:rsid w:val="00525567"/>
    <w:rsid w:val="00531237"/>
    <w:rsid w:val="005337BB"/>
    <w:rsid w:val="005356B0"/>
    <w:rsid w:val="0053651E"/>
    <w:rsid w:val="0054071D"/>
    <w:rsid w:val="005409E7"/>
    <w:rsid w:val="00543EB3"/>
    <w:rsid w:val="0055446D"/>
    <w:rsid w:val="00556A38"/>
    <w:rsid w:val="005618BF"/>
    <w:rsid w:val="005627FD"/>
    <w:rsid w:val="00571FAE"/>
    <w:rsid w:val="005746D6"/>
    <w:rsid w:val="00581B88"/>
    <w:rsid w:val="00583C61"/>
    <w:rsid w:val="00584A08"/>
    <w:rsid w:val="00585D5F"/>
    <w:rsid w:val="005913A5"/>
    <w:rsid w:val="00595A2E"/>
    <w:rsid w:val="005966B6"/>
    <w:rsid w:val="005A5F8E"/>
    <w:rsid w:val="005A72D4"/>
    <w:rsid w:val="005B1197"/>
    <w:rsid w:val="005B363A"/>
    <w:rsid w:val="005B51B4"/>
    <w:rsid w:val="005B5927"/>
    <w:rsid w:val="005C0A2D"/>
    <w:rsid w:val="005C0E8C"/>
    <w:rsid w:val="005C13D2"/>
    <w:rsid w:val="005C14BC"/>
    <w:rsid w:val="005C1E46"/>
    <w:rsid w:val="005C5BEB"/>
    <w:rsid w:val="005D2091"/>
    <w:rsid w:val="005D4BFC"/>
    <w:rsid w:val="005D59E1"/>
    <w:rsid w:val="005D615B"/>
    <w:rsid w:val="005E0188"/>
    <w:rsid w:val="005E0785"/>
    <w:rsid w:val="005E099B"/>
    <w:rsid w:val="005E536F"/>
    <w:rsid w:val="005E6C25"/>
    <w:rsid w:val="00601F0A"/>
    <w:rsid w:val="00616CE6"/>
    <w:rsid w:val="006203C3"/>
    <w:rsid w:val="0062045D"/>
    <w:rsid w:val="0062461A"/>
    <w:rsid w:val="00624D30"/>
    <w:rsid w:val="00630B21"/>
    <w:rsid w:val="00631493"/>
    <w:rsid w:val="00631571"/>
    <w:rsid w:val="00633BE1"/>
    <w:rsid w:val="00634225"/>
    <w:rsid w:val="00635971"/>
    <w:rsid w:val="00641801"/>
    <w:rsid w:val="0064318F"/>
    <w:rsid w:val="00646D32"/>
    <w:rsid w:val="0065196D"/>
    <w:rsid w:val="00655157"/>
    <w:rsid w:val="00664527"/>
    <w:rsid w:val="00664645"/>
    <w:rsid w:val="00671D9A"/>
    <w:rsid w:val="006729B0"/>
    <w:rsid w:val="006823EE"/>
    <w:rsid w:val="006A08DD"/>
    <w:rsid w:val="006A29CD"/>
    <w:rsid w:val="006A57A8"/>
    <w:rsid w:val="006B5199"/>
    <w:rsid w:val="006C1854"/>
    <w:rsid w:val="006C19D8"/>
    <w:rsid w:val="006C2107"/>
    <w:rsid w:val="006C5743"/>
    <w:rsid w:val="006D033F"/>
    <w:rsid w:val="006D0500"/>
    <w:rsid w:val="006D1AB5"/>
    <w:rsid w:val="006D45AB"/>
    <w:rsid w:val="006D53AA"/>
    <w:rsid w:val="006F4393"/>
    <w:rsid w:val="0070289C"/>
    <w:rsid w:val="007136AA"/>
    <w:rsid w:val="00713D2E"/>
    <w:rsid w:val="00714CBE"/>
    <w:rsid w:val="007157B8"/>
    <w:rsid w:val="007167CB"/>
    <w:rsid w:val="00723CC8"/>
    <w:rsid w:val="0073175C"/>
    <w:rsid w:val="00731C83"/>
    <w:rsid w:val="0073370D"/>
    <w:rsid w:val="00734AC9"/>
    <w:rsid w:val="00736B35"/>
    <w:rsid w:val="007370D9"/>
    <w:rsid w:val="00737D6F"/>
    <w:rsid w:val="0074128D"/>
    <w:rsid w:val="0074236C"/>
    <w:rsid w:val="007445B8"/>
    <w:rsid w:val="00744A94"/>
    <w:rsid w:val="00744BB7"/>
    <w:rsid w:val="007454D9"/>
    <w:rsid w:val="0074640D"/>
    <w:rsid w:val="0074684E"/>
    <w:rsid w:val="00753E84"/>
    <w:rsid w:val="00754AC0"/>
    <w:rsid w:val="0075751B"/>
    <w:rsid w:val="00761A62"/>
    <w:rsid w:val="00761B2A"/>
    <w:rsid w:val="00762981"/>
    <w:rsid w:val="007678C4"/>
    <w:rsid w:val="00772548"/>
    <w:rsid w:val="00772FB6"/>
    <w:rsid w:val="00775941"/>
    <w:rsid w:val="00775E2B"/>
    <w:rsid w:val="00780FAC"/>
    <w:rsid w:val="00781332"/>
    <w:rsid w:val="00786EA7"/>
    <w:rsid w:val="007A0351"/>
    <w:rsid w:val="007A3E3B"/>
    <w:rsid w:val="007B2812"/>
    <w:rsid w:val="007B2DDE"/>
    <w:rsid w:val="007B2FED"/>
    <w:rsid w:val="007C6B1C"/>
    <w:rsid w:val="007C7CEF"/>
    <w:rsid w:val="007D07DD"/>
    <w:rsid w:val="007E041A"/>
    <w:rsid w:val="00800AEB"/>
    <w:rsid w:val="0080521D"/>
    <w:rsid w:val="00813365"/>
    <w:rsid w:val="00816BB6"/>
    <w:rsid w:val="0082028A"/>
    <w:rsid w:val="008215ED"/>
    <w:rsid w:val="00827FDC"/>
    <w:rsid w:val="0083164D"/>
    <w:rsid w:val="00832805"/>
    <w:rsid w:val="008338EE"/>
    <w:rsid w:val="00833EEA"/>
    <w:rsid w:val="00835F05"/>
    <w:rsid w:val="008407FD"/>
    <w:rsid w:val="008411AA"/>
    <w:rsid w:val="00842C36"/>
    <w:rsid w:val="00846A23"/>
    <w:rsid w:val="008477BB"/>
    <w:rsid w:val="00850893"/>
    <w:rsid w:val="0086721D"/>
    <w:rsid w:val="00867DCE"/>
    <w:rsid w:val="0087094D"/>
    <w:rsid w:val="00875C0B"/>
    <w:rsid w:val="00880145"/>
    <w:rsid w:val="00882EF4"/>
    <w:rsid w:val="00883E0D"/>
    <w:rsid w:val="00884D13"/>
    <w:rsid w:val="0089090D"/>
    <w:rsid w:val="008917A5"/>
    <w:rsid w:val="00892B66"/>
    <w:rsid w:val="00893C4E"/>
    <w:rsid w:val="00895209"/>
    <w:rsid w:val="008971A0"/>
    <w:rsid w:val="008A0C78"/>
    <w:rsid w:val="008A6C9D"/>
    <w:rsid w:val="008B146C"/>
    <w:rsid w:val="008B2EEC"/>
    <w:rsid w:val="008B323C"/>
    <w:rsid w:val="008B4D7E"/>
    <w:rsid w:val="008C0879"/>
    <w:rsid w:val="008C2F17"/>
    <w:rsid w:val="008C6537"/>
    <w:rsid w:val="008C6D9D"/>
    <w:rsid w:val="008D0946"/>
    <w:rsid w:val="008D71E6"/>
    <w:rsid w:val="008E2964"/>
    <w:rsid w:val="008E4086"/>
    <w:rsid w:val="008E6F38"/>
    <w:rsid w:val="008F0E93"/>
    <w:rsid w:val="008F2B7A"/>
    <w:rsid w:val="00901A6E"/>
    <w:rsid w:val="0090303C"/>
    <w:rsid w:val="009034E7"/>
    <w:rsid w:val="00903D29"/>
    <w:rsid w:val="00904444"/>
    <w:rsid w:val="00905DEE"/>
    <w:rsid w:val="00910AD7"/>
    <w:rsid w:val="0091394D"/>
    <w:rsid w:val="00914343"/>
    <w:rsid w:val="0092694D"/>
    <w:rsid w:val="00930A21"/>
    <w:rsid w:val="009310AB"/>
    <w:rsid w:val="009376F7"/>
    <w:rsid w:val="009434A8"/>
    <w:rsid w:val="00945121"/>
    <w:rsid w:val="0094596C"/>
    <w:rsid w:val="00952698"/>
    <w:rsid w:val="00952C99"/>
    <w:rsid w:val="00956548"/>
    <w:rsid w:val="00967D21"/>
    <w:rsid w:val="0097060D"/>
    <w:rsid w:val="00974E17"/>
    <w:rsid w:val="00976665"/>
    <w:rsid w:val="009814BD"/>
    <w:rsid w:val="00984B01"/>
    <w:rsid w:val="00986F1A"/>
    <w:rsid w:val="0098719A"/>
    <w:rsid w:val="00995981"/>
    <w:rsid w:val="009B38E7"/>
    <w:rsid w:val="009B4060"/>
    <w:rsid w:val="009C1938"/>
    <w:rsid w:val="009C54D3"/>
    <w:rsid w:val="009C5A2F"/>
    <w:rsid w:val="009C5EF0"/>
    <w:rsid w:val="009D6961"/>
    <w:rsid w:val="009E4073"/>
    <w:rsid w:val="009E4A00"/>
    <w:rsid w:val="009E5354"/>
    <w:rsid w:val="009F0E54"/>
    <w:rsid w:val="00A04016"/>
    <w:rsid w:val="00A06B64"/>
    <w:rsid w:val="00A11182"/>
    <w:rsid w:val="00A11F8D"/>
    <w:rsid w:val="00A14967"/>
    <w:rsid w:val="00A2294D"/>
    <w:rsid w:val="00A25EB1"/>
    <w:rsid w:val="00A26A4F"/>
    <w:rsid w:val="00A30CE2"/>
    <w:rsid w:val="00A30FE2"/>
    <w:rsid w:val="00A32DC0"/>
    <w:rsid w:val="00A40970"/>
    <w:rsid w:val="00A45052"/>
    <w:rsid w:val="00A47127"/>
    <w:rsid w:val="00A53192"/>
    <w:rsid w:val="00A5474D"/>
    <w:rsid w:val="00A5488A"/>
    <w:rsid w:val="00A552A3"/>
    <w:rsid w:val="00A5619D"/>
    <w:rsid w:val="00A65634"/>
    <w:rsid w:val="00A67D9D"/>
    <w:rsid w:val="00A707B5"/>
    <w:rsid w:val="00A734CF"/>
    <w:rsid w:val="00A73935"/>
    <w:rsid w:val="00A74525"/>
    <w:rsid w:val="00A77E8C"/>
    <w:rsid w:val="00A8063E"/>
    <w:rsid w:val="00A80F7F"/>
    <w:rsid w:val="00A82CDB"/>
    <w:rsid w:val="00A83488"/>
    <w:rsid w:val="00A84A4E"/>
    <w:rsid w:val="00A922F6"/>
    <w:rsid w:val="00A92816"/>
    <w:rsid w:val="00A93E79"/>
    <w:rsid w:val="00A941FD"/>
    <w:rsid w:val="00AA08E0"/>
    <w:rsid w:val="00AA27A9"/>
    <w:rsid w:val="00AB3341"/>
    <w:rsid w:val="00AB526F"/>
    <w:rsid w:val="00AB5D36"/>
    <w:rsid w:val="00AC43C7"/>
    <w:rsid w:val="00AC69BF"/>
    <w:rsid w:val="00AD1686"/>
    <w:rsid w:val="00AD4024"/>
    <w:rsid w:val="00AE3263"/>
    <w:rsid w:val="00AE43B9"/>
    <w:rsid w:val="00AE5151"/>
    <w:rsid w:val="00AF0688"/>
    <w:rsid w:val="00AF100A"/>
    <w:rsid w:val="00B00CD8"/>
    <w:rsid w:val="00B02849"/>
    <w:rsid w:val="00B0481F"/>
    <w:rsid w:val="00B0498E"/>
    <w:rsid w:val="00B05393"/>
    <w:rsid w:val="00B106EF"/>
    <w:rsid w:val="00B250CF"/>
    <w:rsid w:val="00B30A23"/>
    <w:rsid w:val="00B33061"/>
    <w:rsid w:val="00B335A6"/>
    <w:rsid w:val="00B47A50"/>
    <w:rsid w:val="00B536DC"/>
    <w:rsid w:val="00B53E31"/>
    <w:rsid w:val="00B5411E"/>
    <w:rsid w:val="00B72E53"/>
    <w:rsid w:val="00B73B1C"/>
    <w:rsid w:val="00B81BE1"/>
    <w:rsid w:val="00B83360"/>
    <w:rsid w:val="00B911DF"/>
    <w:rsid w:val="00B965E7"/>
    <w:rsid w:val="00B96F8E"/>
    <w:rsid w:val="00BA505D"/>
    <w:rsid w:val="00BB0CAF"/>
    <w:rsid w:val="00BB2EE2"/>
    <w:rsid w:val="00BB3D30"/>
    <w:rsid w:val="00BB5D4F"/>
    <w:rsid w:val="00BB6054"/>
    <w:rsid w:val="00BC2F05"/>
    <w:rsid w:val="00BC4DAE"/>
    <w:rsid w:val="00BC6E66"/>
    <w:rsid w:val="00BD336B"/>
    <w:rsid w:val="00BD681D"/>
    <w:rsid w:val="00BE4EED"/>
    <w:rsid w:val="00BE64E7"/>
    <w:rsid w:val="00BE71D5"/>
    <w:rsid w:val="00BF425E"/>
    <w:rsid w:val="00BF4BF9"/>
    <w:rsid w:val="00C03961"/>
    <w:rsid w:val="00C04D4C"/>
    <w:rsid w:val="00C0715B"/>
    <w:rsid w:val="00C32FF3"/>
    <w:rsid w:val="00C34658"/>
    <w:rsid w:val="00C35872"/>
    <w:rsid w:val="00C401D9"/>
    <w:rsid w:val="00C45669"/>
    <w:rsid w:val="00C46AD0"/>
    <w:rsid w:val="00C46FD7"/>
    <w:rsid w:val="00C506ED"/>
    <w:rsid w:val="00C5073D"/>
    <w:rsid w:val="00C5246B"/>
    <w:rsid w:val="00C52FBC"/>
    <w:rsid w:val="00C54718"/>
    <w:rsid w:val="00C56D85"/>
    <w:rsid w:val="00C60365"/>
    <w:rsid w:val="00C63F12"/>
    <w:rsid w:val="00C673F7"/>
    <w:rsid w:val="00C70BEF"/>
    <w:rsid w:val="00C76C60"/>
    <w:rsid w:val="00C779DD"/>
    <w:rsid w:val="00C77F75"/>
    <w:rsid w:val="00C80041"/>
    <w:rsid w:val="00C83C20"/>
    <w:rsid w:val="00C8445A"/>
    <w:rsid w:val="00C85BB4"/>
    <w:rsid w:val="00C92E21"/>
    <w:rsid w:val="00C9635A"/>
    <w:rsid w:val="00CA1531"/>
    <w:rsid w:val="00CA4553"/>
    <w:rsid w:val="00CA6C26"/>
    <w:rsid w:val="00CB557A"/>
    <w:rsid w:val="00CC1408"/>
    <w:rsid w:val="00CC2079"/>
    <w:rsid w:val="00CC20BC"/>
    <w:rsid w:val="00CC2E86"/>
    <w:rsid w:val="00CC364C"/>
    <w:rsid w:val="00CC3FA5"/>
    <w:rsid w:val="00CD3634"/>
    <w:rsid w:val="00CE6388"/>
    <w:rsid w:val="00CF245C"/>
    <w:rsid w:val="00CF278A"/>
    <w:rsid w:val="00CF550B"/>
    <w:rsid w:val="00CF5D23"/>
    <w:rsid w:val="00CF682E"/>
    <w:rsid w:val="00D00960"/>
    <w:rsid w:val="00D015EC"/>
    <w:rsid w:val="00D07F7D"/>
    <w:rsid w:val="00D10314"/>
    <w:rsid w:val="00D11818"/>
    <w:rsid w:val="00D1336F"/>
    <w:rsid w:val="00D13ECE"/>
    <w:rsid w:val="00D147A6"/>
    <w:rsid w:val="00D14C3A"/>
    <w:rsid w:val="00D22235"/>
    <w:rsid w:val="00D25F9B"/>
    <w:rsid w:val="00D355E3"/>
    <w:rsid w:val="00D425DB"/>
    <w:rsid w:val="00D458DA"/>
    <w:rsid w:val="00D548EF"/>
    <w:rsid w:val="00D55C05"/>
    <w:rsid w:val="00D5713F"/>
    <w:rsid w:val="00D65C1B"/>
    <w:rsid w:val="00D72CBE"/>
    <w:rsid w:val="00D731FE"/>
    <w:rsid w:val="00D8273E"/>
    <w:rsid w:val="00D85E4D"/>
    <w:rsid w:val="00D869CE"/>
    <w:rsid w:val="00D873B5"/>
    <w:rsid w:val="00D947B0"/>
    <w:rsid w:val="00DA300F"/>
    <w:rsid w:val="00DA532F"/>
    <w:rsid w:val="00DC00A4"/>
    <w:rsid w:val="00DC153B"/>
    <w:rsid w:val="00DC5220"/>
    <w:rsid w:val="00DC54F9"/>
    <w:rsid w:val="00DD0FFD"/>
    <w:rsid w:val="00DD2BD1"/>
    <w:rsid w:val="00DE4F68"/>
    <w:rsid w:val="00DE70F3"/>
    <w:rsid w:val="00DE7DAC"/>
    <w:rsid w:val="00DF01D1"/>
    <w:rsid w:val="00DF1385"/>
    <w:rsid w:val="00DF1523"/>
    <w:rsid w:val="00E06282"/>
    <w:rsid w:val="00E25E41"/>
    <w:rsid w:val="00E36C56"/>
    <w:rsid w:val="00E45FB8"/>
    <w:rsid w:val="00E53740"/>
    <w:rsid w:val="00E57CEE"/>
    <w:rsid w:val="00E64522"/>
    <w:rsid w:val="00E65D6D"/>
    <w:rsid w:val="00E76DDE"/>
    <w:rsid w:val="00E7755F"/>
    <w:rsid w:val="00E809BC"/>
    <w:rsid w:val="00E81964"/>
    <w:rsid w:val="00E9214D"/>
    <w:rsid w:val="00E94C36"/>
    <w:rsid w:val="00E97EDD"/>
    <w:rsid w:val="00EA11BF"/>
    <w:rsid w:val="00EA273C"/>
    <w:rsid w:val="00EA314C"/>
    <w:rsid w:val="00ED08B3"/>
    <w:rsid w:val="00EE5F48"/>
    <w:rsid w:val="00EF7401"/>
    <w:rsid w:val="00EF761A"/>
    <w:rsid w:val="00F022F1"/>
    <w:rsid w:val="00F038C6"/>
    <w:rsid w:val="00F1076C"/>
    <w:rsid w:val="00F12C5D"/>
    <w:rsid w:val="00F1349D"/>
    <w:rsid w:val="00F214B0"/>
    <w:rsid w:val="00F27EDB"/>
    <w:rsid w:val="00F31506"/>
    <w:rsid w:val="00F44BD5"/>
    <w:rsid w:val="00F46724"/>
    <w:rsid w:val="00F508B9"/>
    <w:rsid w:val="00F51195"/>
    <w:rsid w:val="00F525F7"/>
    <w:rsid w:val="00F54D8C"/>
    <w:rsid w:val="00F56523"/>
    <w:rsid w:val="00F63C80"/>
    <w:rsid w:val="00F653D4"/>
    <w:rsid w:val="00F6606E"/>
    <w:rsid w:val="00F748D3"/>
    <w:rsid w:val="00F759D9"/>
    <w:rsid w:val="00F76DD9"/>
    <w:rsid w:val="00F82DCF"/>
    <w:rsid w:val="00F87271"/>
    <w:rsid w:val="00F874D6"/>
    <w:rsid w:val="00F97843"/>
    <w:rsid w:val="00FA059D"/>
    <w:rsid w:val="00FA36C2"/>
    <w:rsid w:val="00FA4DD5"/>
    <w:rsid w:val="00FA78A6"/>
    <w:rsid w:val="00FB70C3"/>
    <w:rsid w:val="00FC089D"/>
    <w:rsid w:val="00FC4AFB"/>
    <w:rsid w:val="00FC5D95"/>
    <w:rsid w:val="00FD1510"/>
    <w:rsid w:val="00FD7DEC"/>
    <w:rsid w:val="00FE29EC"/>
    <w:rsid w:val="00FE49AB"/>
    <w:rsid w:val="00FE59AD"/>
    <w:rsid w:val="00FF241B"/>
    <w:rsid w:val="00FF3368"/>
    <w:rsid w:val="00FF3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E26EB73"/>
  <w15:chartTrackingRefBased/>
  <w15:docId w15:val="{1A9C2A4F-C178-48B3-A036-87ADD72B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F05"/>
    <w:pPr>
      <w:spacing w:after="200" w:line="276" w:lineRule="auto"/>
    </w:pPr>
    <w:rPr>
      <w:rFonts w:ascii="Cambria" w:hAnsi="Cambria"/>
    </w:rPr>
  </w:style>
  <w:style w:type="paragraph" w:styleId="Heading1">
    <w:name w:val="heading 1"/>
    <w:basedOn w:val="Normal"/>
    <w:next w:val="Normal"/>
    <w:link w:val="Heading1Char"/>
    <w:uiPriority w:val="9"/>
    <w:qFormat/>
    <w:rsid w:val="00BC2F05"/>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9"/>
    <w:qFormat/>
    <w:rsid w:val="00BC2F05"/>
    <w:pPr>
      <w:pageBreakBefore/>
      <w:numPr>
        <w:numId w:val="4"/>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BC2F05"/>
    <w:pPr>
      <w:keepNext/>
      <w:keepLines/>
      <w:numPr>
        <w:ilvl w:val="1"/>
        <w:numId w:val="4"/>
      </w:numPr>
      <w:spacing w:before="120" w:after="120" w:line="240" w:lineRule="auto"/>
      <w:outlineLvl w:val="2"/>
    </w:pPr>
    <w:rPr>
      <w:rFonts w:ascii="Calibri" w:hAnsi="Calibri"/>
      <w:b/>
      <w:bCs/>
      <w:color w:val="3C2639"/>
      <w:sz w:val="28"/>
    </w:rPr>
  </w:style>
  <w:style w:type="paragraph" w:styleId="Heading4">
    <w:name w:val="heading 4"/>
    <w:next w:val="Normal"/>
    <w:link w:val="Heading4Char"/>
    <w:uiPriority w:val="5"/>
    <w:qFormat/>
    <w:rsid w:val="00BC2F05"/>
    <w:pPr>
      <w:keepNext/>
      <w:keepLines/>
      <w:numPr>
        <w:ilvl w:val="2"/>
        <w:numId w:val="4"/>
      </w:numPr>
      <w:spacing w:before="120" w:after="120" w:line="240" w:lineRule="auto"/>
      <w:outlineLvl w:val="3"/>
    </w:pPr>
    <w:rPr>
      <w:rFonts w:ascii="Calibri" w:hAnsi="Calibri"/>
      <w:b/>
      <w:bCs/>
      <w:iCs/>
      <w:color w:val="C88F42"/>
      <w:sz w:val="24"/>
    </w:rPr>
  </w:style>
  <w:style w:type="paragraph" w:styleId="Heading5">
    <w:name w:val="heading 5"/>
    <w:next w:val="Normal"/>
    <w:link w:val="Heading5Char"/>
    <w:uiPriority w:val="6"/>
    <w:qFormat/>
    <w:rsid w:val="00BC2F05"/>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BC2F05"/>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BC2F05"/>
    <w:pPr>
      <w:spacing w:after="0" w:line="240" w:lineRule="auto"/>
      <w:outlineLvl w:val="6"/>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F05"/>
    <w:rPr>
      <w:rFonts w:ascii="Calibri" w:hAnsi="Calibri" w:cs="Calibri"/>
      <w:b/>
      <w:sz w:val="60"/>
    </w:rPr>
  </w:style>
  <w:style w:type="character" w:customStyle="1" w:styleId="Heading2Char">
    <w:name w:val="Heading 2 Char"/>
    <w:basedOn w:val="DefaultParagraphFont"/>
    <w:link w:val="Heading2"/>
    <w:uiPriority w:val="9"/>
    <w:rsid w:val="00BC2F05"/>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BC2F05"/>
    <w:rPr>
      <w:rFonts w:ascii="Calibri" w:hAnsi="Calibri"/>
      <w:b/>
      <w:bCs/>
      <w:color w:val="3C2639"/>
      <w:sz w:val="28"/>
    </w:rPr>
  </w:style>
  <w:style w:type="character" w:customStyle="1" w:styleId="Heading4Char">
    <w:name w:val="Heading 4 Char"/>
    <w:basedOn w:val="DefaultParagraphFont"/>
    <w:link w:val="Heading4"/>
    <w:uiPriority w:val="5"/>
    <w:rsid w:val="00BC2F05"/>
    <w:rPr>
      <w:rFonts w:ascii="Calibri" w:hAnsi="Calibri"/>
      <w:b/>
      <w:bCs/>
      <w:iCs/>
      <w:color w:val="C88F42"/>
      <w:sz w:val="24"/>
    </w:rPr>
  </w:style>
  <w:style w:type="character" w:customStyle="1" w:styleId="Heading5Char">
    <w:name w:val="Heading 5 Char"/>
    <w:basedOn w:val="DefaultParagraphFont"/>
    <w:link w:val="Heading5"/>
    <w:uiPriority w:val="6"/>
    <w:rsid w:val="00BC2F05"/>
    <w:rPr>
      <w:rFonts w:ascii="Calibri" w:hAnsi="Calibri"/>
      <w:b/>
    </w:rPr>
  </w:style>
  <w:style w:type="character" w:customStyle="1" w:styleId="Heading6Char">
    <w:name w:val="Heading 6 Char"/>
    <w:basedOn w:val="DefaultParagraphFont"/>
    <w:link w:val="Heading6"/>
    <w:uiPriority w:val="9"/>
    <w:rsid w:val="00BC2F05"/>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BC2F05"/>
    <w:rPr>
      <w:rFonts w:asciiTheme="majorHAnsi" w:eastAsiaTheme="majorEastAsia" w:hAnsiTheme="majorHAnsi" w:cstheme="majorBidi"/>
      <w:i/>
      <w:color w:val="1F3763" w:themeColor="accent1" w:themeShade="7F"/>
    </w:rPr>
  </w:style>
  <w:style w:type="paragraph" w:customStyle="1" w:styleId="Author">
    <w:name w:val="Author"/>
    <w:basedOn w:val="Normal"/>
    <w:next w:val="Normal"/>
    <w:uiPriority w:val="24"/>
    <w:qFormat/>
    <w:rsid w:val="00BC2F05"/>
    <w:pPr>
      <w:spacing w:after="60"/>
    </w:pPr>
    <w:rPr>
      <w:b/>
      <w:sz w:val="28"/>
      <w:szCs w:val="28"/>
    </w:rPr>
  </w:style>
  <w:style w:type="paragraph" w:customStyle="1" w:styleId="AuthorOrganisationAffiliation">
    <w:name w:val="Author Organisation/Affiliation"/>
    <w:basedOn w:val="Normal"/>
    <w:next w:val="Normal"/>
    <w:uiPriority w:val="25"/>
    <w:qFormat/>
    <w:rsid w:val="00BC2F05"/>
    <w:pPr>
      <w:spacing w:after="720"/>
    </w:pPr>
  </w:style>
  <w:style w:type="paragraph" w:styleId="BalloonText">
    <w:name w:val="Balloon Text"/>
    <w:basedOn w:val="Normal"/>
    <w:link w:val="BalloonTextChar"/>
    <w:uiPriority w:val="99"/>
    <w:semiHidden/>
    <w:unhideWhenUsed/>
    <w:rsid w:val="00BC2F05"/>
    <w:rPr>
      <w:rFonts w:ascii="Calibri" w:hAnsi="Calibri"/>
      <w:sz w:val="18"/>
      <w:szCs w:val="18"/>
    </w:rPr>
  </w:style>
  <w:style w:type="character" w:customStyle="1" w:styleId="BalloonTextChar">
    <w:name w:val="Balloon Text Char"/>
    <w:basedOn w:val="DefaultParagraphFont"/>
    <w:link w:val="BalloonText"/>
    <w:uiPriority w:val="99"/>
    <w:semiHidden/>
    <w:rsid w:val="00BC2F05"/>
    <w:rPr>
      <w:rFonts w:ascii="Calibri" w:hAnsi="Calibri"/>
      <w:sz w:val="18"/>
      <w:szCs w:val="18"/>
    </w:rPr>
  </w:style>
  <w:style w:type="paragraph" w:customStyle="1" w:styleId="BoxText">
    <w:name w:val="Box Text"/>
    <w:basedOn w:val="Normal"/>
    <w:uiPriority w:val="19"/>
    <w:qFormat/>
    <w:rsid w:val="00BC2F05"/>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BC2F05"/>
    <w:pPr>
      <w:spacing w:line="240" w:lineRule="auto"/>
    </w:pPr>
    <w:rPr>
      <w:b/>
    </w:rPr>
  </w:style>
  <w:style w:type="paragraph" w:customStyle="1" w:styleId="FigureTableNoteSource">
    <w:name w:val="Figure/Table Note/Source"/>
    <w:basedOn w:val="Normal"/>
    <w:next w:val="Normal"/>
    <w:uiPriority w:val="16"/>
    <w:qFormat/>
    <w:rsid w:val="00BC2F05"/>
    <w:pPr>
      <w:spacing w:line="240" w:lineRule="auto"/>
      <w:contextualSpacing/>
    </w:pPr>
    <w:rPr>
      <w:rFonts w:ascii="Calibri" w:hAnsi="Calibri"/>
      <w:sz w:val="18"/>
    </w:rPr>
  </w:style>
  <w:style w:type="paragraph" w:customStyle="1" w:styleId="BoxSource">
    <w:name w:val="Box Source"/>
    <w:basedOn w:val="FigureTableNoteSource"/>
    <w:uiPriority w:val="22"/>
    <w:qFormat/>
    <w:rsid w:val="00BC2F05"/>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BC2F05"/>
    <w:pPr>
      <w:numPr>
        <w:numId w:val="1"/>
      </w:numPr>
    </w:pPr>
  </w:style>
  <w:style w:type="character" w:customStyle="1" w:styleId="Calibribody11withitalics">
    <w:name w:val="Calibri (body) 11 with italics"/>
    <w:basedOn w:val="DefaultParagraphFont"/>
    <w:uiPriority w:val="1"/>
    <w:rsid w:val="00BC2F05"/>
    <w:rPr>
      <w:rFonts w:asciiTheme="minorHAnsi" w:hAnsiTheme="minorHAnsi"/>
      <w:i/>
    </w:rPr>
  </w:style>
  <w:style w:type="character" w:customStyle="1" w:styleId="Calibribody11inred">
    <w:name w:val="Calibri (body) 11 in red"/>
    <w:basedOn w:val="Calibribody11withitalics"/>
    <w:uiPriority w:val="1"/>
    <w:rsid w:val="00BC2F05"/>
    <w:rPr>
      <w:rFonts w:asciiTheme="minorHAnsi" w:hAnsiTheme="minorHAnsi"/>
      <w:i w:val="0"/>
      <w:sz w:val="22"/>
    </w:rPr>
  </w:style>
  <w:style w:type="paragraph" w:styleId="Caption">
    <w:name w:val="caption"/>
    <w:next w:val="Normal"/>
    <w:link w:val="CaptionChar"/>
    <w:uiPriority w:val="12"/>
    <w:qFormat/>
    <w:rsid w:val="00BC2F05"/>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2"/>
    <w:rsid w:val="00BC2F05"/>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BC2F05"/>
    <w:pPr>
      <w:numPr>
        <w:numId w:val="2"/>
      </w:numPr>
    </w:pPr>
  </w:style>
  <w:style w:type="character" w:styleId="CommentReference">
    <w:name w:val="annotation reference"/>
    <w:basedOn w:val="DefaultParagraphFont"/>
    <w:uiPriority w:val="99"/>
    <w:semiHidden/>
    <w:unhideWhenUsed/>
    <w:rsid w:val="00BC2F05"/>
    <w:rPr>
      <w:sz w:val="16"/>
      <w:szCs w:val="16"/>
    </w:rPr>
  </w:style>
  <w:style w:type="paragraph" w:styleId="CommentText">
    <w:name w:val="annotation text"/>
    <w:basedOn w:val="Normal"/>
    <w:link w:val="CommentTextChar"/>
    <w:uiPriority w:val="99"/>
    <w:unhideWhenUsed/>
    <w:rsid w:val="00BC2F05"/>
    <w:rPr>
      <w:sz w:val="20"/>
      <w:szCs w:val="20"/>
    </w:rPr>
  </w:style>
  <w:style w:type="character" w:customStyle="1" w:styleId="CommentTextChar">
    <w:name w:val="Comment Text Char"/>
    <w:basedOn w:val="DefaultParagraphFont"/>
    <w:link w:val="CommentText"/>
    <w:uiPriority w:val="99"/>
    <w:rsid w:val="00BC2F0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C2F05"/>
    <w:rPr>
      <w:b/>
      <w:bCs/>
    </w:rPr>
  </w:style>
  <w:style w:type="character" w:customStyle="1" w:styleId="CommentSubjectChar">
    <w:name w:val="Comment Subject Char"/>
    <w:basedOn w:val="CommentTextChar"/>
    <w:link w:val="CommentSubject"/>
    <w:uiPriority w:val="99"/>
    <w:semiHidden/>
    <w:rsid w:val="00BC2F05"/>
    <w:rPr>
      <w:rFonts w:ascii="Cambria" w:hAnsi="Cambria"/>
      <w:b/>
      <w:bCs/>
      <w:sz w:val="20"/>
      <w:szCs w:val="20"/>
    </w:rPr>
  </w:style>
  <w:style w:type="character" w:customStyle="1" w:styleId="Defaultparagraphfont-greenhighlighted">
    <w:name w:val="Default paragraph font - green highlighted"/>
    <w:basedOn w:val="DefaultParagraphFont"/>
    <w:uiPriority w:val="1"/>
    <w:rsid w:val="00BC2F05"/>
  </w:style>
  <w:style w:type="character" w:customStyle="1" w:styleId="Defaultparagraphfontinred">
    <w:name w:val="Default paragraph font in red"/>
    <w:basedOn w:val="DefaultParagraphFont"/>
    <w:uiPriority w:val="1"/>
    <w:rsid w:val="00BC2F05"/>
    <w:rPr>
      <w:color w:val="FF0000"/>
    </w:rPr>
  </w:style>
  <w:style w:type="character" w:customStyle="1" w:styleId="DefaultParagraphFontwithitalics">
    <w:name w:val="Default Paragraph Font with italics"/>
    <w:basedOn w:val="DefaultParagraphFont"/>
    <w:uiPriority w:val="1"/>
    <w:rsid w:val="00BC2F05"/>
    <w:rPr>
      <w:i/>
    </w:rPr>
  </w:style>
  <w:style w:type="paragraph" w:styleId="Header">
    <w:name w:val="header"/>
    <w:basedOn w:val="Normal"/>
    <w:link w:val="HeaderChar"/>
    <w:uiPriority w:val="99"/>
    <w:rsid w:val="00BC2F05"/>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BC2F05"/>
    <w:rPr>
      <w:rFonts w:ascii="Calibri" w:hAnsi="Calibri"/>
      <w:sz w:val="20"/>
    </w:rPr>
  </w:style>
  <w:style w:type="paragraph" w:customStyle="1" w:styleId="DisseminationLimitingMarker">
    <w:name w:val="Dissemination Limiting Marker"/>
    <w:basedOn w:val="Header"/>
    <w:next w:val="Header"/>
    <w:uiPriority w:val="27"/>
    <w:qFormat/>
    <w:rsid w:val="00BC2F05"/>
    <w:pPr>
      <w:spacing w:after="0"/>
    </w:pPr>
    <w:rPr>
      <w:b/>
      <w:color w:val="FF0000"/>
      <w:sz w:val="36"/>
      <w:szCs w:val="36"/>
    </w:rPr>
  </w:style>
  <w:style w:type="paragraph" w:styleId="DocumentMap">
    <w:name w:val="Document Map"/>
    <w:basedOn w:val="Normal"/>
    <w:link w:val="DocumentMapChar"/>
    <w:uiPriority w:val="99"/>
    <w:semiHidden/>
    <w:unhideWhenUsed/>
    <w:rsid w:val="00BC2F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2F05"/>
    <w:rPr>
      <w:rFonts w:ascii="Tahoma" w:hAnsi="Tahoma" w:cs="Tahoma"/>
      <w:sz w:val="16"/>
      <w:szCs w:val="16"/>
    </w:rPr>
  </w:style>
  <w:style w:type="character" w:styleId="Emphasis">
    <w:name w:val="Emphasis"/>
    <w:basedOn w:val="DefaultParagraphFont"/>
    <w:uiPriority w:val="20"/>
    <w:qFormat/>
    <w:rsid w:val="00BC2F05"/>
    <w:rPr>
      <w:i/>
      <w:iCs/>
    </w:rPr>
  </w:style>
  <w:style w:type="paragraph" w:customStyle="1" w:styleId="EndNoteBibliography">
    <w:name w:val="EndNote Bibliography"/>
    <w:basedOn w:val="Normal"/>
    <w:link w:val="EndNoteBibliographyChar"/>
    <w:rsid w:val="00BC2F05"/>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BC2F05"/>
    <w:rPr>
      <w:rFonts w:ascii="Cambria" w:hAnsi="Cambria"/>
      <w:noProof/>
      <w:lang w:val="en-US"/>
    </w:rPr>
  </w:style>
  <w:style w:type="paragraph" w:customStyle="1" w:styleId="EndNoteBibliographyTitle">
    <w:name w:val="EndNote Bibliography Title"/>
    <w:basedOn w:val="Normal"/>
    <w:link w:val="EndNoteBibliographyTitleChar"/>
    <w:semiHidden/>
    <w:rsid w:val="00BC2F05"/>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BC2F05"/>
    <w:rPr>
      <w:rFonts w:ascii="Cambria" w:hAnsi="Cambria"/>
      <w:noProof/>
      <w:lang w:val="en-US"/>
    </w:rPr>
  </w:style>
  <w:style w:type="character" w:styleId="EndnoteReference">
    <w:name w:val="endnote reference"/>
    <w:basedOn w:val="DefaultParagraphFont"/>
    <w:uiPriority w:val="99"/>
    <w:semiHidden/>
    <w:unhideWhenUsed/>
    <w:rsid w:val="00BC2F05"/>
    <w:rPr>
      <w:vertAlign w:val="superscript"/>
    </w:rPr>
  </w:style>
  <w:style w:type="paragraph" w:styleId="EndnoteText">
    <w:name w:val="endnote text"/>
    <w:basedOn w:val="Normal"/>
    <w:link w:val="EndnoteTextChar"/>
    <w:uiPriority w:val="99"/>
    <w:unhideWhenUsed/>
    <w:rsid w:val="00BC2F05"/>
    <w:pPr>
      <w:spacing w:before="120" w:after="240" w:line="240" w:lineRule="auto"/>
    </w:pPr>
    <w:rPr>
      <w:szCs w:val="20"/>
    </w:rPr>
  </w:style>
  <w:style w:type="character" w:customStyle="1" w:styleId="EndnoteTextChar">
    <w:name w:val="Endnote Text Char"/>
    <w:basedOn w:val="DefaultParagraphFont"/>
    <w:link w:val="EndnoteText"/>
    <w:uiPriority w:val="99"/>
    <w:rsid w:val="00BC2F05"/>
    <w:rPr>
      <w:rFonts w:ascii="Cambria" w:hAnsi="Cambria"/>
      <w:szCs w:val="20"/>
    </w:rPr>
  </w:style>
  <w:style w:type="character" w:styleId="FollowedHyperlink">
    <w:name w:val="FollowedHyperlink"/>
    <w:basedOn w:val="DefaultParagraphFont"/>
    <w:uiPriority w:val="99"/>
    <w:semiHidden/>
    <w:unhideWhenUsed/>
    <w:rsid w:val="00BC2F05"/>
    <w:rPr>
      <w:color w:val="800080"/>
      <w:u w:val="single"/>
    </w:rPr>
  </w:style>
  <w:style w:type="paragraph" w:styleId="Footer">
    <w:name w:val="footer"/>
    <w:basedOn w:val="Normal"/>
    <w:link w:val="FooterChar"/>
    <w:uiPriority w:val="99"/>
    <w:rsid w:val="00BC2F05"/>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BC2F05"/>
    <w:rPr>
      <w:rFonts w:ascii="Calibri" w:hAnsi="Calibri"/>
      <w:sz w:val="20"/>
    </w:rPr>
  </w:style>
  <w:style w:type="paragraph" w:customStyle="1" w:styleId="Footeraddress">
    <w:name w:val="Footer address"/>
    <w:basedOn w:val="Footer"/>
    <w:semiHidden/>
    <w:qFormat/>
    <w:rsid w:val="00BC2F05"/>
    <w:rPr>
      <w:sz w:val="16"/>
    </w:rPr>
  </w:style>
  <w:style w:type="character" w:styleId="FootnoteReference">
    <w:name w:val="footnote reference"/>
    <w:basedOn w:val="DefaultParagraphFont"/>
    <w:uiPriority w:val="99"/>
    <w:semiHidden/>
    <w:unhideWhenUsed/>
    <w:rsid w:val="00BC2F05"/>
    <w:rPr>
      <w:vertAlign w:val="superscript"/>
    </w:rPr>
  </w:style>
  <w:style w:type="paragraph" w:styleId="FootnoteText">
    <w:name w:val="footnote text"/>
    <w:basedOn w:val="Normal"/>
    <w:link w:val="FootnoteTextChar"/>
    <w:uiPriority w:val="99"/>
    <w:unhideWhenUsed/>
    <w:rsid w:val="00BC2F05"/>
    <w:pPr>
      <w:spacing w:after="60" w:line="264" w:lineRule="auto"/>
    </w:pPr>
    <w:rPr>
      <w:sz w:val="20"/>
      <w:szCs w:val="20"/>
    </w:rPr>
  </w:style>
  <w:style w:type="character" w:customStyle="1" w:styleId="FootnoteTextChar">
    <w:name w:val="Footnote Text Char"/>
    <w:basedOn w:val="DefaultParagraphFont"/>
    <w:link w:val="FootnoteText"/>
    <w:uiPriority w:val="99"/>
    <w:rsid w:val="00BC2F05"/>
    <w:rPr>
      <w:rFonts w:ascii="Cambria" w:hAnsi="Cambria"/>
      <w:sz w:val="20"/>
      <w:szCs w:val="20"/>
    </w:rPr>
  </w:style>
  <w:style w:type="numbering" w:customStyle="1" w:styleId="heading">
    <w:name w:val="heading"/>
    <w:uiPriority w:val="99"/>
    <w:rsid w:val="00BC2F05"/>
    <w:pPr>
      <w:numPr>
        <w:numId w:val="3"/>
      </w:numPr>
    </w:pPr>
  </w:style>
  <w:style w:type="character" w:customStyle="1" w:styleId="Heading4inred">
    <w:name w:val="Heading 4 in red"/>
    <w:basedOn w:val="DefaultParagraphFont"/>
    <w:uiPriority w:val="1"/>
    <w:rsid w:val="00BC2F05"/>
    <w:rPr>
      <w:color w:val="FF0000"/>
    </w:rPr>
  </w:style>
  <w:style w:type="character" w:customStyle="1" w:styleId="Heading5initalics">
    <w:name w:val="Heading 5 in italics"/>
    <w:basedOn w:val="Heading5Char"/>
    <w:uiPriority w:val="1"/>
    <w:rsid w:val="00BC2F05"/>
    <w:rPr>
      <w:rFonts w:asciiTheme="majorHAnsi" w:eastAsiaTheme="majorEastAsia" w:hAnsiTheme="majorHAnsi" w:cstheme="majorBidi"/>
      <w:b/>
      <w:i/>
      <w:color w:val="2F5496" w:themeColor="accent1" w:themeShade="BF"/>
    </w:rPr>
  </w:style>
  <w:style w:type="numbering" w:customStyle="1" w:styleId="Headings">
    <w:name w:val="Headings"/>
    <w:uiPriority w:val="99"/>
    <w:rsid w:val="00BC2F05"/>
    <w:pPr>
      <w:numPr>
        <w:numId w:val="5"/>
      </w:numPr>
    </w:pPr>
  </w:style>
  <w:style w:type="character" w:styleId="Hyperlink">
    <w:name w:val="Hyperlink"/>
    <w:basedOn w:val="DefaultParagraphFont"/>
    <w:uiPriority w:val="99"/>
    <w:qFormat/>
    <w:rsid w:val="00BC2F05"/>
    <w:rPr>
      <w:color w:val="165788"/>
      <w:u w:val="single"/>
    </w:rPr>
  </w:style>
  <w:style w:type="table" w:styleId="TableGrid1">
    <w:name w:val="Table Grid 1"/>
    <w:basedOn w:val="TableNormal"/>
    <w:uiPriority w:val="99"/>
    <w:semiHidden/>
    <w:unhideWhenUsed/>
    <w:rsid w:val="00BC2F05"/>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BC2F05"/>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BC2F05"/>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7"/>
    <w:qFormat/>
    <w:rsid w:val="00BC2F05"/>
    <w:pPr>
      <w:numPr>
        <w:numId w:val="6"/>
      </w:numPr>
      <w:spacing w:before="120" w:after="120" w:line="240" w:lineRule="auto"/>
    </w:pPr>
    <w:rPr>
      <w:rFonts w:ascii="Cambria" w:hAnsi="Cambria"/>
    </w:rPr>
  </w:style>
  <w:style w:type="paragraph" w:styleId="ListBullet2">
    <w:name w:val="List Bullet 2"/>
    <w:uiPriority w:val="8"/>
    <w:qFormat/>
    <w:rsid w:val="00BC2F05"/>
    <w:pPr>
      <w:numPr>
        <w:ilvl w:val="1"/>
        <w:numId w:val="6"/>
      </w:numPr>
      <w:spacing w:before="120" w:after="120" w:line="240" w:lineRule="auto"/>
    </w:pPr>
    <w:rPr>
      <w:rFonts w:ascii="Cambria" w:hAnsi="Cambria"/>
    </w:rPr>
  </w:style>
  <w:style w:type="numbering" w:customStyle="1" w:styleId="listbullets">
    <w:name w:val="list bullets"/>
    <w:uiPriority w:val="99"/>
    <w:rsid w:val="00BC2F05"/>
    <w:pPr>
      <w:numPr>
        <w:numId w:val="6"/>
      </w:numPr>
    </w:pPr>
  </w:style>
  <w:style w:type="paragraph" w:styleId="ListNumber">
    <w:name w:val="List Number"/>
    <w:basedOn w:val="Normal"/>
    <w:uiPriority w:val="9"/>
    <w:qFormat/>
    <w:rsid w:val="00BC2F05"/>
    <w:pPr>
      <w:numPr>
        <w:numId w:val="7"/>
      </w:numPr>
      <w:spacing w:before="120" w:after="120" w:line="280" w:lineRule="atLeast"/>
    </w:pPr>
    <w:rPr>
      <w:szCs w:val="20"/>
    </w:rPr>
  </w:style>
  <w:style w:type="paragraph" w:styleId="ListNumber2">
    <w:name w:val="List Number 2"/>
    <w:uiPriority w:val="10"/>
    <w:qFormat/>
    <w:rsid w:val="00BC2F05"/>
    <w:pPr>
      <w:numPr>
        <w:ilvl w:val="1"/>
        <w:numId w:val="7"/>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BC2F05"/>
    <w:pPr>
      <w:numPr>
        <w:ilvl w:val="2"/>
        <w:numId w:val="7"/>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BC2F05"/>
    <w:pPr>
      <w:numPr>
        <w:numId w:val="7"/>
      </w:numPr>
    </w:p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99"/>
    <w:qFormat/>
    <w:rsid w:val="00BC2F05"/>
    <w:pPr>
      <w:ind w:left="720"/>
    </w:pPr>
  </w:style>
  <w:style w:type="numbering" w:customStyle="1" w:styleId="List1">
    <w:name w:val="List1"/>
    <w:basedOn w:val="NoList"/>
    <w:uiPriority w:val="99"/>
    <w:rsid w:val="00BC2F05"/>
    <w:pPr>
      <w:numPr>
        <w:numId w:val="8"/>
      </w:numPr>
    </w:pPr>
  </w:style>
  <w:style w:type="paragraph" w:styleId="NormalWeb">
    <w:name w:val="Normal (Web)"/>
    <w:basedOn w:val="Normal"/>
    <w:uiPriority w:val="99"/>
    <w:semiHidden/>
    <w:unhideWhenUsed/>
    <w:rsid w:val="00BC2F05"/>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qFormat/>
    <w:rsid w:val="00BC2F05"/>
    <w:pPr>
      <w:spacing w:before="120" w:after="120" w:line="240" w:lineRule="auto"/>
    </w:pPr>
    <w:rPr>
      <w:noProof/>
      <w:lang w:eastAsia="en-AU"/>
    </w:rPr>
  </w:style>
  <w:style w:type="character" w:styleId="PlaceholderText">
    <w:name w:val="Placeholder Text"/>
    <w:basedOn w:val="DefaultParagraphFont"/>
    <w:uiPriority w:val="99"/>
    <w:semiHidden/>
    <w:rsid w:val="00BC2F05"/>
    <w:rPr>
      <w:color w:val="808080"/>
    </w:rPr>
  </w:style>
  <w:style w:type="paragraph" w:styleId="Quote">
    <w:name w:val="Quote"/>
    <w:basedOn w:val="Normal"/>
    <w:next w:val="Normal"/>
    <w:link w:val="QuoteChar"/>
    <w:uiPriority w:val="18"/>
    <w:qFormat/>
    <w:rsid w:val="00BC2F05"/>
    <w:pPr>
      <w:ind w:left="709" w:right="567"/>
    </w:pPr>
    <w:rPr>
      <w:iCs/>
      <w:color w:val="000000"/>
    </w:rPr>
  </w:style>
  <w:style w:type="character" w:customStyle="1" w:styleId="QuoteChar">
    <w:name w:val="Quote Char"/>
    <w:basedOn w:val="DefaultParagraphFont"/>
    <w:link w:val="Quote"/>
    <w:uiPriority w:val="18"/>
    <w:rsid w:val="00BC2F05"/>
    <w:rPr>
      <w:rFonts w:ascii="Cambria" w:hAnsi="Cambria"/>
      <w:iCs/>
      <w:color w:val="000000"/>
    </w:rPr>
  </w:style>
  <w:style w:type="paragraph" w:customStyle="1" w:styleId="Securityclassification">
    <w:name w:val="Security classification"/>
    <w:basedOn w:val="Header"/>
    <w:next w:val="Header"/>
    <w:uiPriority w:val="26"/>
    <w:qFormat/>
    <w:rsid w:val="00BC2F05"/>
    <w:pPr>
      <w:spacing w:after="0"/>
    </w:pPr>
    <w:rPr>
      <w:b/>
      <w:caps/>
      <w:color w:val="FF0000"/>
      <w:sz w:val="36"/>
      <w:szCs w:val="36"/>
    </w:rPr>
  </w:style>
  <w:style w:type="character" w:styleId="Strong">
    <w:name w:val="Strong"/>
    <w:uiPriority w:val="99"/>
    <w:qFormat/>
    <w:rsid w:val="00BC2F05"/>
    <w:rPr>
      <w:b/>
      <w:bCs/>
    </w:rPr>
  </w:style>
  <w:style w:type="character" w:customStyle="1" w:styleId="StyleItalic">
    <w:name w:val="Style Italic"/>
    <w:basedOn w:val="DefaultParagraphFont"/>
    <w:rsid w:val="00BC2F05"/>
    <w:rPr>
      <w:i/>
      <w:iCs/>
    </w:rPr>
  </w:style>
  <w:style w:type="paragraph" w:customStyle="1" w:styleId="TableText">
    <w:name w:val="Table Text"/>
    <w:link w:val="TableTextChar"/>
    <w:qFormat/>
    <w:rsid w:val="00BC2F05"/>
    <w:pPr>
      <w:spacing w:before="60" w:after="60" w:line="240" w:lineRule="auto"/>
    </w:pPr>
    <w:rPr>
      <w:rFonts w:ascii="Cambria" w:hAnsi="Cambria"/>
      <w:sz w:val="18"/>
    </w:rPr>
  </w:style>
  <w:style w:type="character" w:customStyle="1" w:styleId="TableTextChar">
    <w:name w:val="Table Text Char"/>
    <w:basedOn w:val="DefaultParagraphFont"/>
    <w:link w:val="TableText"/>
    <w:rsid w:val="00BC2F05"/>
    <w:rPr>
      <w:rFonts w:ascii="Cambria" w:hAnsi="Cambria"/>
      <w:sz w:val="18"/>
    </w:rPr>
  </w:style>
  <w:style w:type="paragraph" w:customStyle="1" w:styleId="TableBullet">
    <w:name w:val="Table Bullet"/>
    <w:basedOn w:val="TableText"/>
    <w:uiPriority w:val="15"/>
    <w:qFormat/>
    <w:rsid w:val="00BC2F05"/>
    <w:pPr>
      <w:numPr>
        <w:numId w:val="9"/>
      </w:numPr>
    </w:pPr>
  </w:style>
  <w:style w:type="table" w:styleId="TableGrid">
    <w:name w:val="Table Grid"/>
    <w:basedOn w:val="TableNormal"/>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BC2F05"/>
    <w:pPr>
      <w:keepNext/>
    </w:pPr>
    <w:rPr>
      <w:b/>
    </w:rPr>
  </w:style>
  <w:style w:type="paragraph" w:styleId="TableofFigures">
    <w:name w:val="table of figures"/>
    <w:basedOn w:val="Normal"/>
    <w:next w:val="Normal"/>
    <w:uiPriority w:val="99"/>
    <w:rsid w:val="00BC2F05"/>
    <w:pPr>
      <w:spacing w:before="120" w:after="120" w:line="240" w:lineRule="auto"/>
      <w:ind w:left="936" w:hanging="936"/>
    </w:pPr>
    <w:rPr>
      <w:rFonts w:asciiTheme="minorHAnsi" w:hAnsiTheme="minorHAnsi"/>
    </w:rPr>
  </w:style>
  <w:style w:type="paragraph" w:customStyle="1" w:styleId="Tabletextwithitalics">
    <w:name w:val="Table text with italics"/>
    <w:basedOn w:val="Normal"/>
    <w:qFormat/>
    <w:rsid w:val="00BC2F05"/>
    <w:rPr>
      <w:i/>
      <w:sz w:val="18"/>
    </w:rPr>
  </w:style>
  <w:style w:type="paragraph" w:customStyle="1" w:styleId="TableNotes">
    <w:name w:val="TableNotes"/>
    <w:basedOn w:val="Normal"/>
    <w:link w:val="TableNotesChar"/>
    <w:rsid w:val="00BC2F05"/>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BC2F05"/>
    <w:rPr>
      <w:rFonts w:ascii="Arial Narrow" w:hAnsi="Arial Narrow"/>
      <w:color w:val="000000"/>
      <w:sz w:val="16"/>
    </w:rPr>
  </w:style>
  <w:style w:type="paragraph" w:styleId="Title">
    <w:name w:val="Title"/>
    <w:basedOn w:val="Normal"/>
    <w:next w:val="Normal"/>
    <w:link w:val="TitleChar"/>
    <w:uiPriority w:val="10"/>
    <w:qFormat/>
    <w:rsid w:val="00BC2F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F05"/>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BC2F05"/>
    <w:pPr>
      <w:spacing w:before="120"/>
    </w:pPr>
    <w:rPr>
      <w:bCs/>
      <w:sz w:val="24"/>
    </w:rPr>
  </w:style>
  <w:style w:type="paragraph" w:styleId="TOC1">
    <w:name w:val="toc 1"/>
    <w:next w:val="Normal"/>
    <w:uiPriority w:val="39"/>
    <w:rsid w:val="00BC2F05"/>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rsid w:val="00BC2F05"/>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rsid w:val="00BC2F05"/>
    <w:pPr>
      <w:tabs>
        <w:tab w:val="right" w:leader="dot" w:pos="9072"/>
      </w:tabs>
      <w:spacing w:before="120" w:after="120" w:line="240" w:lineRule="auto"/>
      <w:ind w:left="1361" w:hanging="907"/>
    </w:pPr>
    <w:rPr>
      <w:noProof/>
    </w:rPr>
  </w:style>
  <w:style w:type="paragraph" w:styleId="TOCHeading">
    <w:name w:val="TOC Heading"/>
    <w:next w:val="Normal"/>
    <w:uiPriority w:val="39"/>
    <w:qFormat/>
    <w:rsid w:val="00BC2F05"/>
    <w:pPr>
      <w:spacing w:after="0" w:line="240" w:lineRule="auto"/>
    </w:pPr>
    <w:rPr>
      <w:rFonts w:ascii="Calibri" w:eastAsiaTheme="majorEastAsia" w:hAnsi="Calibri" w:cstheme="majorBidi"/>
      <w:b/>
      <w:bCs/>
      <w:color w:val="D52B1E"/>
      <w:sz w:val="34"/>
      <w:szCs w:val="28"/>
      <w:lang w:val="en-US"/>
    </w:rPr>
  </w:style>
  <w:style w:type="paragraph" w:customStyle="1" w:styleId="TOCHeadingsamepage">
    <w:name w:val="TOC Heading (same page)"/>
    <w:basedOn w:val="TOCHeading"/>
    <w:next w:val="Normal"/>
    <w:uiPriority w:val="39"/>
    <w:rsid w:val="00BC2F05"/>
  </w:style>
  <w:style w:type="paragraph" w:styleId="TOC9">
    <w:name w:val="toc 9"/>
    <w:basedOn w:val="Normal"/>
    <w:next w:val="Normal"/>
    <w:autoRedefine/>
    <w:uiPriority w:val="39"/>
    <w:semiHidden/>
    <w:unhideWhenUsed/>
    <w:rsid w:val="00BC2F05"/>
    <w:pPr>
      <w:spacing w:after="100"/>
      <w:ind w:left="1760"/>
    </w:pPr>
  </w:style>
  <w:style w:type="paragraph" w:customStyle="1" w:styleId="TableTitle">
    <w:name w:val="Table Title"/>
    <w:basedOn w:val="Caption"/>
    <w:link w:val="TableTitleChar"/>
    <w:semiHidden/>
    <w:qFormat/>
    <w:rsid w:val="00BC2F05"/>
    <w:rPr>
      <w:color w:val="000000" w:themeColor="text1"/>
      <w:sz w:val="18"/>
    </w:rPr>
  </w:style>
  <w:style w:type="character" w:customStyle="1" w:styleId="TableTitleChar">
    <w:name w:val="Table Title Char"/>
    <w:basedOn w:val="CaptionChar"/>
    <w:link w:val="TableTitle"/>
    <w:semiHidden/>
    <w:rsid w:val="00BC2F0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semiHidden/>
    <w:rsid w:val="00BC2F05"/>
    <w:rPr>
      <w:rFonts w:ascii="Cambria" w:hAnsi="Cambria"/>
      <w:i/>
      <w:iCs/>
      <w:color w:val="000000" w:themeColor="text1"/>
      <w:sz w:val="18"/>
    </w:rPr>
  </w:style>
  <w:style w:type="paragraph" w:customStyle="1" w:styleId="Mapheading">
    <w:name w:val="Map heading"/>
    <w:basedOn w:val="TableTitle"/>
    <w:link w:val="MapheadingChar"/>
    <w:qFormat/>
    <w:rsid w:val="00BC2F05"/>
    <w:rPr>
      <w:color w:val="595959" w:themeColor="text1" w:themeTint="A6"/>
      <w:sz w:val="20"/>
    </w:rPr>
  </w:style>
  <w:style w:type="character" w:customStyle="1" w:styleId="MapheadingChar">
    <w:name w:val="Map heading Char"/>
    <w:basedOn w:val="TableTitleChar"/>
    <w:link w:val="Mapheading"/>
    <w:rsid w:val="00BC2F05"/>
    <w:rPr>
      <w:rFonts w:ascii="Cambria" w:eastAsiaTheme="majorEastAsia" w:hAnsi="Cambria" w:cstheme="majorBidi"/>
      <w:b/>
      <w:bCs/>
      <w:color w:val="595959" w:themeColor="text1" w:themeTint="A6"/>
      <w:sz w:val="20"/>
      <w:szCs w:val="18"/>
    </w:rPr>
  </w:style>
  <w:style w:type="paragraph" w:customStyle="1" w:styleId="Normalsmall">
    <w:name w:val="Normal small"/>
    <w:qFormat/>
    <w:rsid w:val="00BC2F05"/>
    <w:pPr>
      <w:spacing w:after="120" w:line="276" w:lineRule="auto"/>
    </w:pPr>
    <w:rPr>
      <w:rFonts w:ascii="Cambria" w:hAnsi="Cambria"/>
      <w:sz w:val="18"/>
      <w:szCs w:val="18"/>
    </w:rPr>
  </w:style>
  <w:style w:type="paragraph" w:customStyle="1" w:styleId="Tablecaption">
    <w:name w:val="Table caption"/>
    <w:basedOn w:val="Caption"/>
    <w:link w:val="TablecaptionChar"/>
    <w:qFormat/>
    <w:rsid w:val="00BC2F05"/>
    <w:pPr>
      <w:contextualSpacing/>
    </w:pPr>
  </w:style>
  <w:style w:type="character" w:customStyle="1" w:styleId="TablecaptionChar">
    <w:name w:val="Table caption Char"/>
    <w:basedOn w:val="CaptionChar"/>
    <w:link w:val="Tablecaption"/>
    <w:rsid w:val="00BC2F0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BC2F05"/>
    <w:rPr>
      <w:rFonts w:ascii="Cambria" w:hAnsi="Cambria"/>
      <w:b/>
      <w:sz w:val="18"/>
    </w:rPr>
  </w:style>
  <w:style w:type="character" w:customStyle="1" w:styleId="UnresolvedMention1">
    <w:name w:val="Unresolved Mention1"/>
    <w:basedOn w:val="DefaultParagraphFont"/>
    <w:uiPriority w:val="99"/>
    <w:semiHidden/>
    <w:unhideWhenUsed/>
    <w:rsid w:val="00BC2F05"/>
    <w:rPr>
      <w:color w:val="605E5C"/>
      <w:shd w:val="clear" w:color="auto" w:fill="E1DFDD"/>
    </w:rPr>
  </w:style>
  <w:style w:type="table" w:customStyle="1" w:styleId="TableGrid10">
    <w:name w:val="Table Grid1"/>
    <w:basedOn w:val="TableNormal"/>
    <w:next w:val="TableGrid"/>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2F05"/>
    <w:pPr>
      <w:spacing w:after="0" w:line="240" w:lineRule="auto"/>
    </w:pPr>
    <w:rPr>
      <w:rFonts w:ascii="Cambria" w:hAnsi="Cambria"/>
    </w:rPr>
  </w:style>
  <w:style w:type="table" w:customStyle="1" w:styleId="TableGrid11">
    <w:name w:val="Table Grid11"/>
    <w:basedOn w:val="TableNormal"/>
    <w:next w:val="TableGrid"/>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BC2F05"/>
    <w:pPr>
      <w:numPr>
        <w:numId w:val="10"/>
      </w:numPr>
      <w:ind w:left="357" w:hanging="357"/>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link w:val="ListParagraph"/>
    <w:uiPriority w:val="99"/>
    <w:qFormat/>
    <w:rsid w:val="00BC2F05"/>
    <w:rPr>
      <w:rFonts w:ascii="Cambria" w:hAnsi="Cambria"/>
    </w:rPr>
  </w:style>
  <w:style w:type="paragraph" w:customStyle="1" w:styleId="Tabletitle0">
    <w:name w:val="Table title"/>
    <w:basedOn w:val="TableHeading"/>
    <w:link w:val="TabletitleChar0"/>
    <w:qFormat/>
    <w:rsid w:val="00BC2F05"/>
    <w:pPr>
      <w:jc w:val="both"/>
    </w:pPr>
    <w:rPr>
      <w:szCs w:val="18"/>
    </w:rPr>
  </w:style>
  <w:style w:type="character" w:customStyle="1" w:styleId="TabletitleChar0">
    <w:name w:val="Table title Char"/>
    <w:basedOn w:val="TableHeadingChar"/>
    <w:link w:val="Tabletitle0"/>
    <w:rsid w:val="00BC2F05"/>
    <w:rPr>
      <w:rFonts w:ascii="Cambria" w:hAnsi="Cambria"/>
      <w:b/>
      <w:sz w:val="18"/>
      <w:szCs w:val="18"/>
    </w:rPr>
  </w:style>
  <w:style w:type="paragraph" w:customStyle="1" w:styleId="7C912B23553943FE9B76E4E5CC27EA101">
    <w:name w:val="7C912B23553943FE9B76E4E5CC27EA101"/>
    <w:rsid w:val="00BC2F05"/>
    <w:pPr>
      <w:keepNext/>
      <w:keepLines/>
      <w:tabs>
        <w:tab w:val="num" w:pos="794"/>
      </w:tabs>
      <w:spacing w:before="120" w:after="120" w:line="240" w:lineRule="auto"/>
      <w:ind w:left="794" w:hanging="794"/>
      <w:outlineLvl w:val="2"/>
    </w:pPr>
    <w:rPr>
      <w:rFonts w:ascii="Calibri" w:hAnsi="Calibri"/>
      <w:b/>
      <w:bCs/>
      <w:color w:val="3C2639"/>
      <w:sz w:val="28"/>
    </w:rPr>
  </w:style>
  <w:style w:type="character" w:customStyle="1" w:styleId="Defaultparagraphfont-bluehighlighted">
    <w:name w:val="Default paragraph font - blue highlighted"/>
    <w:basedOn w:val="DefaultParagraphFont"/>
    <w:uiPriority w:val="1"/>
    <w:semiHidden/>
    <w:rsid w:val="00BC2F05"/>
    <w:rPr>
      <w:color w:val="auto"/>
    </w:rPr>
  </w:style>
  <w:style w:type="paragraph" w:customStyle="1" w:styleId="Shorttitle1">
    <w:name w:val="Short title 1"/>
    <w:basedOn w:val="Heading1"/>
    <w:link w:val="Shorttitle1Char"/>
    <w:qFormat/>
    <w:rsid w:val="00BC2F05"/>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qFormat/>
    <w:rsid w:val="00BC2F05"/>
  </w:style>
  <w:style w:type="character" w:customStyle="1" w:styleId="Shorttitle1Char">
    <w:name w:val="Short title 1 Char"/>
    <w:basedOn w:val="Heading1Char"/>
    <w:link w:val="Shorttitle1"/>
    <w:rsid w:val="00BC2F05"/>
    <w:rPr>
      <w:rFonts w:ascii="Calibri" w:eastAsiaTheme="majorEastAsia" w:hAnsi="Calibri" w:cstheme="majorBidi"/>
      <w:b/>
      <w:bCs/>
      <w:sz w:val="60"/>
      <w:szCs w:val="28"/>
    </w:rPr>
  </w:style>
  <w:style w:type="character" w:customStyle="1" w:styleId="Shorttitle2Char">
    <w:name w:val="Short title 2 Char"/>
    <w:basedOn w:val="Shorttitle1Char"/>
    <w:link w:val="Shorttitle2"/>
    <w:rsid w:val="00BC2F05"/>
    <w:rPr>
      <w:rFonts w:ascii="Calibri" w:eastAsiaTheme="majorEastAsia" w:hAnsi="Calibri" w:cstheme="majorBidi"/>
      <w:b/>
      <w:bCs/>
      <w:sz w:val="60"/>
      <w:szCs w:val="28"/>
    </w:rPr>
  </w:style>
  <w:style w:type="character" w:customStyle="1" w:styleId="UnresolvedMention10">
    <w:name w:val="Unresolved Mention1"/>
    <w:basedOn w:val="DefaultParagraphFont"/>
    <w:uiPriority w:val="99"/>
    <w:semiHidden/>
    <w:unhideWhenUsed/>
    <w:rsid w:val="00BC2F05"/>
    <w:rPr>
      <w:color w:val="605E5C"/>
      <w:shd w:val="clear" w:color="auto" w:fill="E1DFDD"/>
    </w:rPr>
  </w:style>
  <w:style w:type="paragraph" w:customStyle="1" w:styleId="Bullet3">
    <w:name w:val="Bullet 3"/>
    <w:basedOn w:val="ListBullet2"/>
    <w:semiHidden/>
    <w:rsid w:val="00BC2F05"/>
    <w:pPr>
      <w:numPr>
        <w:ilvl w:val="0"/>
        <w:numId w:val="0"/>
      </w:numPr>
      <w:tabs>
        <w:tab w:val="num" w:pos="1287"/>
      </w:tabs>
      <w:ind w:left="1191" w:hanging="397"/>
      <w:jc w:val="both"/>
    </w:pPr>
  </w:style>
  <w:style w:type="paragraph" w:styleId="NoSpacing">
    <w:name w:val="No Spacing"/>
    <w:uiPriority w:val="1"/>
    <w:qFormat/>
    <w:rsid w:val="00BC2F05"/>
    <w:pPr>
      <w:spacing w:after="0" w:line="240" w:lineRule="auto"/>
      <w:jc w:val="both"/>
    </w:pPr>
    <w:rPr>
      <w:rFonts w:ascii="Cambria" w:hAnsi="Cambria"/>
    </w:rPr>
  </w:style>
  <w:style w:type="paragraph" w:customStyle="1" w:styleId="Heading3-Appendix">
    <w:name w:val="Heading 3 - Appendix"/>
    <w:basedOn w:val="Heading3"/>
    <w:link w:val="Heading3-AppendixChar"/>
    <w:qFormat/>
    <w:rsid w:val="00BC2F05"/>
    <w:pPr>
      <w:numPr>
        <w:ilvl w:val="0"/>
        <w:numId w:val="19"/>
      </w:numPr>
      <w:ind w:left="357" w:hanging="357"/>
      <w:jc w:val="both"/>
    </w:pPr>
  </w:style>
  <w:style w:type="paragraph" w:customStyle="1" w:styleId="Heading4-Appendix">
    <w:name w:val="Heading 4 - Appendix"/>
    <w:basedOn w:val="Heading4"/>
    <w:link w:val="Heading4-AppendixChar"/>
    <w:qFormat/>
    <w:rsid w:val="00BC2F05"/>
    <w:pPr>
      <w:numPr>
        <w:ilvl w:val="0"/>
        <w:numId w:val="18"/>
      </w:numPr>
      <w:jc w:val="both"/>
    </w:pPr>
  </w:style>
  <w:style w:type="character" w:customStyle="1" w:styleId="Heading3-AppendixChar">
    <w:name w:val="Heading 3 - Appendix Char"/>
    <w:basedOn w:val="Heading3Char"/>
    <w:link w:val="Heading3-Appendix"/>
    <w:rsid w:val="00BC2F05"/>
    <w:rPr>
      <w:rFonts w:ascii="Calibri" w:hAnsi="Calibri"/>
      <w:b/>
      <w:bCs/>
      <w:color w:val="3C2639"/>
      <w:sz w:val="28"/>
    </w:rPr>
  </w:style>
  <w:style w:type="character" w:customStyle="1" w:styleId="Heading4-AppendixChar">
    <w:name w:val="Heading 4 - Appendix Char"/>
    <w:basedOn w:val="Heading4Char"/>
    <w:link w:val="Heading4-Appendix"/>
    <w:rsid w:val="00BC2F05"/>
    <w:rPr>
      <w:rFonts w:ascii="Calibri" w:hAnsi="Calibri"/>
      <w:b/>
      <w:bCs/>
      <w:iCs/>
      <w:color w:val="C88F42"/>
      <w:sz w:val="24"/>
    </w:rPr>
  </w:style>
  <w:style w:type="paragraph" w:customStyle="1" w:styleId="096BA15B170540BF8D5980F79A5895D1">
    <w:name w:val="096BA15B170540BF8D5980F79A5895D1"/>
    <w:rsid w:val="00BC2F05"/>
    <w:rPr>
      <w:rFonts w:eastAsiaTheme="minorEastAsia"/>
      <w:lang w:eastAsia="en-AU"/>
    </w:rPr>
  </w:style>
  <w:style w:type="paragraph" w:customStyle="1" w:styleId="674C6E2810EF48A78E1C4724715821DA2">
    <w:name w:val="674C6E2810EF48A78E1C4724715821DA2"/>
    <w:rsid w:val="00BC2F05"/>
    <w:pPr>
      <w:spacing w:after="200" w:line="276" w:lineRule="auto"/>
    </w:pPr>
    <w:rPr>
      <w:rFonts w:ascii="Cambria" w:hAnsi="Cambria"/>
    </w:rPr>
  </w:style>
  <w:style w:type="paragraph" w:customStyle="1" w:styleId="6BF6F1C133C64240900A9EBA3E52BFA3">
    <w:name w:val="6BF6F1C133C64240900A9EBA3E52BFA3"/>
    <w:rsid w:val="00BC2F05"/>
    <w:pPr>
      <w:spacing w:after="200" w:line="276" w:lineRule="auto"/>
    </w:pPr>
    <w:rPr>
      <w:rFonts w:ascii="Cambria" w:hAnsi="Cambria"/>
    </w:rPr>
  </w:style>
  <w:style w:type="paragraph" w:customStyle="1" w:styleId="6BF6F1C133C64240900A9EBA3E52BFA39">
    <w:name w:val="6BF6F1C133C64240900A9EBA3E52BFA39"/>
    <w:rsid w:val="00BC2F05"/>
    <w:pPr>
      <w:spacing w:after="200" w:line="276" w:lineRule="auto"/>
    </w:pPr>
    <w:rPr>
      <w:rFonts w:ascii="Cambria" w:hAnsi="Cambria"/>
    </w:rPr>
  </w:style>
  <w:style w:type="paragraph" w:customStyle="1" w:styleId="71DA6F5BDCD14937801632ACD938E139">
    <w:name w:val="71DA6F5BDCD14937801632ACD938E139"/>
    <w:rsid w:val="00BC2F05"/>
    <w:rPr>
      <w:rFonts w:eastAsiaTheme="minorEastAsia"/>
      <w:lang w:eastAsia="en-AU"/>
    </w:rPr>
  </w:style>
  <w:style w:type="paragraph" w:customStyle="1" w:styleId="B7AA4EF6D2664DEB888077ADACF9C76E">
    <w:name w:val="B7AA4EF6D2664DEB888077ADACF9C76E"/>
    <w:rsid w:val="00BC2F05"/>
    <w:rPr>
      <w:rFonts w:eastAsiaTheme="minorEastAsia"/>
      <w:lang w:eastAsia="en-AU"/>
    </w:rPr>
  </w:style>
  <w:style w:type="paragraph" w:customStyle="1" w:styleId="C6056FD071C446F0BD2EF347673C8E792">
    <w:name w:val="C6056FD071C446F0BD2EF347673C8E792"/>
    <w:rsid w:val="00BC2F05"/>
    <w:pPr>
      <w:spacing w:after="200" w:line="276" w:lineRule="auto"/>
    </w:pPr>
    <w:rPr>
      <w:rFonts w:ascii="Cambria" w:hAnsi="Cambria"/>
    </w:rPr>
  </w:style>
  <w:style w:type="paragraph" w:customStyle="1" w:styleId="D6F6B061AB324FD2A9F15718C7CB454C">
    <w:name w:val="D6F6B061AB324FD2A9F15718C7CB454C"/>
    <w:rsid w:val="00BC2F05"/>
    <w:rPr>
      <w:rFonts w:eastAsiaTheme="minorEastAsia"/>
      <w:lang w:eastAsia="en-AU"/>
    </w:rPr>
  </w:style>
  <w:style w:type="table" w:customStyle="1" w:styleId="TableGrid21">
    <w:name w:val="Table Grid21"/>
    <w:basedOn w:val="TableNormal"/>
    <w:next w:val="TableGrid"/>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5BE08AE9C24F35BE1834B3C2D909981">
    <w:name w:val="EE5BE08AE9C24F35BE1834B3C2D909981"/>
    <w:rsid w:val="00BC2F05"/>
    <w:pPr>
      <w:spacing w:after="200" w:line="276" w:lineRule="auto"/>
    </w:pPr>
    <w:rPr>
      <w:rFonts w:ascii="Cambria" w:hAnsi="Cambria"/>
    </w:rPr>
  </w:style>
  <w:style w:type="paragraph" w:customStyle="1" w:styleId="CBEA5A9442E947B7BF714FB98162054C2">
    <w:name w:val="CBEA5A9442E947B7BF714FB98162054C2"/>
    <w:rsid w:val="00BC2F05"/>
    <w:pPr>
      <w:spacing w:before="60" w:after="60" w:line="240" w:lineRule="auto"/>
      <w:jc w:val="both"/>
    </w:pPr>
    <w:rPr>
      <w:rFonts w:ascii="Cambria" w:hAnsi="Cambria"/>
      <w:sz w:val="18"/>
    </w:rPr>
  </w:style>
  <w:style w:type="paragraph" w:customStyle="1" w:styleId="18D926DEFC7B4C1EACDDBE4510573716">
    <w:name w:val="18D926DEFC7B4C1EACDDBE4510573716"/>
    <w:rsid w:val="00BC2F05"/>
    <w:pPr>
      <w:spacing w:before="60" w:after="60" w:line="240" w:lineRule="auto"/>
      <w:jc w:val="both"/>
    </w:pPr>
    <w:rPr>
      <w:rFonts w:ascii="Cambria" w:hAnsi="Cambria"/>
      <w:sz w:val="18"/>
    </w:rPr>
  </w:style>
  <w:style w:type="paragraph" w:customStyle="1" w:styleId="918AB4051FF14A848C579897D7E815C21">
    <w:name w:val="918AB4051FF14A848C579897D7E815C21"/>
    <w:rsid w:val="00BC2F05"/>
    <w:pPr>
      <w:spacing w:before="60" w:after="60" w:line="240" w:lineRule="auto"/>
      <w:jc w:val="both"/>
    </w:pPr>
    <w:rPr>
      <w:rFonts w:ascii="Cambria" w:hAnsi="Cambria"/>
      <w:sz w:val="18"/>
    </w:rPr>
  </w:style>
  <w:style w:type="paragraph" w:customStyle="1" w:styleId="2FE9DA61DF1D467E867FBD75BFAB5546">
    <w:name w:val="2FE9DA61DF1D467E867FBD75BFAB5546"/>
    <w:rsid w:val="00BC2F05"/>
    <w:rPr>
      <w:rFonts w:eastAsiaTheme="minorEastAsia"/>
      <w:lang w:eastAsia="en-AU"/>
    </w:rPr>
  </w:style>
  <w:style w:type="paragraph" w:customStyle="1" w:styleId="1CF6DC479BED4AC3B838B59C6034F066">
    <w:name w:val="1CF6DC479BED4AC3B838B59C6034F066"/>
    <w:rsid w:val="00BC2F05"/>
    <w:rPr>
      <w:rFonts w:eastAsiaTheme="minorEastAsia"/>
      <w:lang w:eastAsia="en-AU"/>
    </w:rPr>
  </w:style>
  <w:style w:type="paragraph" w:customStyle="1" w:styleId="B5720289F5AD4A128DF66A6745B52AF11">
    <w:name w:val="B5720289F5AD4A128DF66A6745B52AF11"/>
    <w:rsid w:val="00BC2F05"/>
    <w:pPr>
      <w:keepNext/>
      <w:keepLines/>
      <w:tabs>
        <w:tab w:val="num" w:pos="794"/>
      </w:tabs>
      <w:spacing w:after="120" w:line="240" w:lineRule="auto"/>
      <w:ind w:left="794" w:hanging="794"/>
      <w:jc w:val="both"/>
      <w:outlineLvl w:val="1"/>
    </w:pPr>
    <w:rPr>
      <w:rFonts w:ascii="Calibri" w:eastAsiaTheme="majorEastAsia" w:hAnsi="Calibri" w:cstheme="majorBidi"/>
      <w:b/>
      <w:bCs/>
      <w:color w:val="D52B1E"/>
      <w:sz w:val="34"/>
      <w:szCs w:val="26"/>
    </w:rPr>
  </w:style>
  <w:style w:type="table" w:customStyle="1" w:styleId="TableGrid110">
    <w:name w:val="Table Grid 11"/>
    <w:basedOn w:val="TableNormal"/>
    <w:next w:val="TableGrid1"/>
    <w:uiPriority w:val="99"/>
    <w:semiHidden/>
    <w:unhideWhenUsed/>
    <w:rsid w:val="00BC2F05"/>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Accent61">
    <w:name w:val="Light Shading - Accent 61"/>
    <w:basedOn w:val="TableGrid1"/>
    <w:next w:val="LightShading-Accent6"/>
    <w:uiPriority w:val="60"/>
    <w:rsid w:val="00BC2F05"/>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1">
    <w:name w:val="Light Shading11"/>
    <w:basedOn w:val="TableNormal"/>
    <w:uiPriority w:val="60"/>
    <w:rsid w:val="00BC2F05"/>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BC2F0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04BC6AFC6E4AEB9CB2EFA428CAEA19">
    <w:name w:val="5E04BC6AFC6E4AEB9CB2EFA428CAEA19"/>
    <w:rsid w:val="00BC2F05"/>
    <w:rPr>
      <w:rFonts w:eastAsiaTheme="minorEastAsia"/>
      <w:lang w:eastAsia="en-AU"/>
    </w:rPr>
  </w:style>
  <w:style w:type="paragraph" w:customStyle="1" w:styleId="F2C323E4669D4F77BCF5C99F2E8AF3B9">
    <w:name w:val="F2C323E4669D4F77BCF5C99F2E8AF3B9"/>
    <w:rsid w:val="00BC2F05"/>
    <w:rPr>
      <w:rFonts w:eastAsiaTheme="minorEastAsia"/>
      <w:lang w:eastAsia="en-AU"/>
    </w:rPr>
  </w:style>
  <w:style w:type="paragraph" w:customStyle="1" w:styleId="8E1F8BD2A09E4F2B8EFDF4D316467696">
    <w:name w:val="8E1F8BD2A09E4F2B8EFDF4D316467696"/>
    <w:rsid w:val="00BC2F05"/>
    <w:rPr>
      <w:rFonts w:eastAsiaTheme="minorEastAsia"/>
      <w:lang w:eastAsia="en-AU"/>
    </w:rPr>
  </w:style>
  <w:style w:type="paragraph" w:customStyle="1" w:styleId="FD61F12EAECC42DDB6EBE438B63CAE37">
    <w:name w:val="FD61F12EAECC42DDB6EBE438B63CAE37"/>
    <w:rsid w:val="00BC2F05"/>
    <w:rPr>
      <w:rFonts w:eastAsiaTheme="minorEastAsia"/>
      <w:lang w:eastAsia="en-AU"/>
    </w:rPr>
  </w:style>
  <w:style w:type="paragraph" w:customStyle="1" w:styleId="AQISText">
    <w:name w:val="AQIS Text"/>
    <w:basedOn w:val="Normal"/>
    <w:rsid w:val="00BC2F05"/>
    <w:pPr>
      <w:spacing w:before="160" w:after="0" w:line="340" w:lineRule="exact"/>
    </w:pPr>
    <w:rPr>
      <w:rFonts w:ascii="Times New Roman" w:eastAsia="Times New Roman" w:hAnsi="Times New Roman" w:cs="Times New Roman"/>
      <w:sz w:val="24"/>
      <w:szCs w:val="20"/>
    </w:rPr>
  </w:style>
  <w:style w:type="character" w:styleId="UnresolvedMention">
    <w:name w:val="Unresolved Mention"/>
    <w:basedOn w:val="DefaultParagraphFont"/>
    <w:uiPriority w:val="99"/>
    <w:rsid w:val="00A74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s://edis.ifas.ufl.edu/publication/IN1292" TargetMode="External"/><Relationship Id="rId21" Type="http://schemas.openxmlformats.org/officeDocument/2006/relationships/header" Target="header6.xml"/><Relationship Id="rId42" Type="http://schemas.openxmlformats.org/officeDocument/2006/relationships/chart" Target="charts/chart4.xml"/><Relationship Id="rId47" Type="http://schemas.openxmlformats.org/officeDocument/2006/relationships/image" Target="media/image13.jpeg"/><Relationship Id="rId63" Type="http://schemas.openxmlformats.org/officeDocument/2006/relationships/image" Target="media/image29.emf"/><Relationship Id="rId68" Type="http://schemas.openxmlformats.org/officeDocument/2006/relationships/header" Target="header18.xml"/><Relationship Id="rId84" Type="http://schemas.openxmlformats.org/officeDocument/2006/relationships/header" Target="header27.xml"/><Relationship Id="rId89" Type="http://schemas.openxmlformats.org/officeDocument/2006/relationships/header" Target="header29.xml"/><Relationship Id="rId112" Type="http://schemas.openxmlformats.org/officeDocument/2006/relationships/hyperlink" Target="http://www.cabi.org/isc" TargetMode="External"/><Relationship Id="rId133" Type="http://schemas.openxmlformats.org/officeDocument/2006/relationships/hyperlink" Target="https://www.ippc.int/en/core-activities/standards-setting/ispms/" TargetMode="External"/><Relationship Id="rId138" Type="http://schemas.openxmlformats.org/officeDocument/2006/relationships/hyperlink" Target="https://www.ippc.int/en/core-activities/standards-setting/ispms/" TargetMode="External"/><Relationship Id="rId154" Type="http://schemas.openxmlformats.org/officeDocument/2006/relationships/hyperlink" Target="http://www.extento.hawaii.edu/kbase/crop/Type/bactro_d.htm" TargetMode="External"/><Relationship Id="rId159" Type="http://schemas.openxmlformats.org/officeDocument/2006/relationships/hyperlink" Target="http://bagong.pagasa.dost.gov.ph/information/climate-philippines" TargetMode="External"/><Relationship Id="rId175" Type="http://schemas.openxmlformats.org/officeDocument/2006/relationships/fontTable" Target="fontTable.xml"/><Relationship Id="rId170" Type="http://schemas.openxmlformats.org/officeDocument/2006/relationships/hyperlink" Target="https://doi.org/10.21203/rs.3.rs-733983/v1" TargetMode="External"/><Relationship Id="rId16" Type="http://schemas.openxmlformats.org/officeDocument/2006/relationships/header" Target="header2.xml"/><Relationship Id="rId107" Type="http://schemas.openxmlformats.org/officeDocument/2006/relationships/hyperlink" Target="https://www.agriculture.gov.au/biosecurity-trade/policy/risk-analysis/plant/banana-philippines" TargetMode="External"/><Relationship Id="rId11" Type="http://schemas.openxmlformats.org/officeDocument/2006/relationships/hyperlink" Target="mailto:copyright@agriculture.gov.au" TargetMode="External"/><Relationship Id="rId32" Type="http://schemas.openxmlformats.org/officeDocument/2006/relationships/image" Target="media/image7.png"/><Relationship Id="rId37" Type="http://schemas.openxmlformats.org/officeDocument/2006/relationships/image" Target="media/image8.png"/><Relationship Id="rId53" Type="http://schemas.openxmlformats.org/officeDocument/2006/relationships/image" Target="media/image19.jpeg"/><Relationship Id="rId58" Type="http://schemas.openxmlformats.org/officeDocument/2006/relationships/image" Target="media/image24.emf"/><Relationship Id="rId74" Type="http://schemas.openxmlformats.org/officeDocument/2006/relationships/header" Target="header22.xml"/><Relationship Id="rId79" Type="http://schemas.openxmlformats.org/officeDocument/2006/relationships/hyperlink" Target="https://www.foodstandards.gov.au/code/Pages/default.aspx" TargetMode="External"/><Relationship Id="rId102" Type="http://schemas.openxmlformats.org/officeDocument/2006/relationships/hyperlink" Target="http://www.ala.org.au" TargetMode="External"/><Relationship Id="rId123" Type="http://schemas.openxmlformats.org/officeDocument/2006/relationships/hyperlink" Target="https://www.agriculture.gov.au/biosecurity-trade/policy/risk-analysis/plant/dragon-fruit-from-vietnam/final-report" TargetMode="External"/><Relationship Id="rId128" Type="http://schemas.openxmlformats.org/officeDocument/2006/relationships/hyperlink" Target="https://gd.eppo.int/" TargetMode="External"/><Relationship Id="rId144" Type="http://schemas.openxmlformats.org/officeDocument/2006/relationships/hyperlink" Target="https://www.foodstandards.gov.au/code/changes/gazette/Pages/Amendment%20No201.aspx" TargetMode="External"/><Relationship Id="rId149" Type="http://schemas.openxmlformats.org/officeDocument/2006/relationships/hyperlink" Target="http://environment.gov.au/biodiversity/abrs/online-resources/fauna/afd/taxa/aphidoidea" TargetMode="Externa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hyperlink" Target="https://bicon.agriculture.gov.au/BiconWeb4.0" TargetMode="External"/><Relationship Id="rId160" Type="http://schemas.openxmlformats.org/officeDocument/2006/relationships/hyperlink" Target="https://www.bacterio.net/" TargetMode="External"/><Relationship Id="rId165" Type="http://schemas.openxmlformats.org/officeDocument/2006/relationships/hyperlink" Target="https://www.legislation.qld.gov.au/view/html/inforce/current/act-2014-007" TargetMode="Externa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chart" Target="charts/chart5.xml"/><Relationship Id="rId48" Type="http://schemas.openxmlformats.org/officeDocument/2006/relationships/image" Target="media/image14.jpeg"/><Relationship Id="rId64" Type="http://schemas.openxmlformats.org/officeDocument/2006/relationships/header" Target="header15.xml"/><Relationship Id="rId69" Type="http://schemas.openxmlformats.org/officeDocument/2006/relationships/header" Target="header19.xml"/><Relationship Id="rId113" Type="http://schemas.openxmlformats.org/officeDocument/2006/relationships/hyperlink" Target="http://www.cabi.org/cpc/" TargetMode="External"/><Relationship Id="rId118" Type="http://schemas.openxmlformats.org/officeDocument/2006/relationships/hyperlink" Target="https://en.climate-data.org/" TargetMode="External"/><Relationship Id="rId134" Type="http://schemas.openxmlformats.org/officeDocument/2006/relationships/hyperlink" Target="https://www.ippc.int/en/core-activities/standards-setting/ispms/" TargetMode="External"/><Relationship Id="rId139" Type="http://schemas.openxmlformats.org/officeDocument/2006/relationships/hyperlink" Target="https://www.ippc.int/en/core-activities/standards-setting/ispms/" TargetMode="External"/><Relationship Id="rId80" Type="http://schemas.openxmlformats.org/officeDocument/2006/relationships/hyperlink" Target="https://www.awe.gov.au/biosecurity-trade/import/goods/food/inspection-compliance/inspection-scheme" TargetMode="External"/><Relationship Id="rId85" Type="http://schemas.openxmlformats.org/officeDocument/2006/relationships/footer" Target="footer8.xml"/><Relationship Id="rId150" Type="http://schemas.openxmlformats.org/officeDocument/2006/relationships/hyperlink" Target="https://doi.org/10.1186/s12866-020-01942-0" TargetMode="External"/><Relationship Id="rId155" Type="http://schemas.openxmlformats.org/officeDocument/2006/relationships/hyperlink" Target="https://doi.org/10.1016/j.jtherbio.2021.102877" TargetMode="External"/><Relationship Id="rId171" Type="http://schemas.openxmlformats.org/officeDocument/2006/relationships/header" Target="header33.xml"/><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image" Target="media/image9.png"/><Relationship Id="rId59" Type="http://schemas.openxmlformats.org/officeDocument/2006/relationships/image" Target="media/image25.emf"/><Relationship Id="rId103" Type="http://schemas.openxmlformats.org/officeDocument/2006/relationships/hyperlink" Target="https://www.antweb.org/" TargetMode="External"/><Relationship Id="rId108" Type="http://schemas.openxmlformats.org/officeDocument/2006/relationships/hyperlink" Target="http://www.aphidsonworldsplants.info/" TargetMode="External"/><Relationship Id="rId124" Type="http://schemas.openxmlformats.org/officeDocument/2006/relationships/hyperlink" Target="https://www.agriculture.gov.au/biosecurity-trade/policy/risk-analysis/plant/dragon-fruit-indonesia" TargetMode="External"/><Relationship Id="rId129" Type="http://schemas.openxmlformats.org/officeDocument/2006/relationships/hyperlink" Target="http://ap.fftc.agnet.org/index.php" TargetMode="External"/><Relationship Id="rId54" Type="http://schemas.openxmlformats.org/officeDocument/2006/relationships/image" Target="media/image20.emf"/><Relationship Id="rId70" Type="http://schemas.openxmlformats.org/officeDocument/2006/relationships/footer" Target="footer5.xml"/><Relationship Id="rId75" Type="http://schemas.openxmlformats.org/officeDocument/2006/relationships/header" Target="header23.xml"/><Relationship Id="rId91" Type="http://schemas.openxmlformats.org/officeDocument/2006/relationships/header" Target="header30.xml"/><Relationship Id="rId96" Type="http://schemas.openxmlformats.org/officeDocument/2006/relationships/hyperlink" Target="https://www.foodstandards.gov.au/Pages/default.aspx" TargetMode="External"/><Relationship Id="rId140" Type="http://schemas.openxmlformats.org/officeDocument/2006/relationships/hyperlink" Target="https://www.ippc.int/en/core-activities/standards-setting/ispms/" TargetMode="External"/><Relationship Id="rId145" Type="http://schemas.openxmlformats.org/officeDocument/2006/relationships/hyperlink" Target="http://scalenet.info/" TargetMode="External"/><Relationship Id="rId161" Type="http://schemas.openxmlformats.org/officeDocument/2006/relationships/hyperlink" Target="https://doi.org/10.1016/j.fbio.2021.100888" TargetMode="External"/><Relationship Id="rId166" Type="http://schemas.openxmlformats.org/officeDocument/2006/relationships/hyperlink" Target="https://doi.org/10.1128/AEM.01906-19"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eader" Target="header11.xml"/><Relationship Id="rId49" Type="http://schemas.openxmlformats.org/officeDocument/2006/relationships/image" Target="media/image15.jpeg"/><Relationship Id="rId114" Type="http://schemas.openxmlformats.org/officeDocument/2006/relationships/hyperlink" Target="http://www.cabi.org/cpc/" TargetMode="External"/><Relationship Id="rId119" Type="http://schemas.openxmlformats.org/officeDocument/2006/relationships/hyperlink" Target="https://www.agriculture.gov.au/biosecurity-trade/policy/risk-analysis/plant/longans-lychees-chinathailand" TargetMode="External"/><Relationship Id="rId10" Type="http://schemas.openxmlformats.org/officeDocument/2006/relationships/hyperlink" Target="https://creativecommons.org/licenses/by/4.0/legalcode" TargetMode="External"/><Relationship Id="rId31" Type="http://schemas.openxmlformats.org/officeDocument/2006/relationships/hyperlink" Target="https://bicon.agriculture.gov.au/BiconWeb4.0"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emf"/><Relationship Id="rId65" Type="http://schemas.openxmlformats.org/officeDocument/2006/relationships/header" Target="header16.xml"/><Relationship Id="rId73" Type="http://schemas.openxmlformats.org/officeDocument/2006/relationships/header" Target="header21.xml"/><Relationship Id="rId78" Type="http://schemas.openxmlformats.org/officeDocument/2006/relationships/image" Target="media/image30.emf"/><Relationship Id="rId81" Type="http://schemas.openxmlformats.org/officeDocument/2006/relationships/header" Target="header25.xml"/><Relationship Id="rId86" Type="http://schemas.openxmlformats.org/officeDocument/2006/relationships/footer" Target="footer9.xml"/><Relationship Id="rId94" Type="http://schemas.openxmlformats.org/officeDocument/2006/relationships/footer" Target="footer12.xml"/><Relationship Id="rId99" Type="http://schemas.openxmlformats.org/officeDocument/2006/relationships/footer" Target="footer13.xml"/><Relationship Id="rId101" Type="http://schemas.openxmlformats.org/officeDocument/2006/relationships/hyperlink" Target="https://doi.org/10.1007/s13314-019-0341-x" TargetMode="External"/><Relationship Id="rId122" Type="http://schemas.openxmlformats.org/officeDocument/2006/relationships/hyperlink" Target="https://www.agriculture.gov.au/biosecurity-trade/policy/risk-analysis/group-pest-risk-analyses/group-pra-thrips-orthotospoviruses/final-report" TargetMode="External"/><Relationship Id="rId130" Type="http://schemas.openxmlformats.org/officeDocument/2006/relationships/hyperlink" Target="https://doi.org/10.1080/09670874.2022.2027551" TargetMode="External"/><Relationship Id="rId135" Type="http://schemas.openxmlformats.org/officeDocument/2006/relationships/hyperlink" Target="https://www.ippc.int/en/core-activities/standards-setting/ispms/" TargetMode="External"/><Relationship Id="rId143" Type="http://schemas.openxmlformats.org/officeDocument/2006/relationships/hyperlink" Target="https://www.legislation.gov.au/Details/F2017C00053" TargetMode="External"/><Relationship Id="rId148" Type="http://schemas.openxmlformats.org/officeDocument/2006/relationships/hyperlink" Target="https://www.agric.wa.gov.au/bam/western-australian-organism-list-waol" TargetMode="External"/><Relationship Id="rId151" Type="http://schemas.openxmlformats.org/officeDocument/2006/relationships/hyperlink" Target="https://doi.org/10.1186/s12866-018-1300-y" TargetMode="External"/><Relationship Id="rId156" Type="http://schemas.openxmlformats.org/officeDocument/2006/relationships/hyperlink" Target="http://www.ozthrips.org/" TargetMode="External"/><Relationship Id="rId164" Type="http://schemas.openxmlformats.org/officeDocument/2006/relationships/hyperlink" Target="https://www.business.qld.gov.au/industries/farms-fishing-forestry/agriculture/crop-growing/priority-pest-disease/jack-beardsley-mealybug" TargetMode="External"/><Relationship Id="rId169" Type="http://schemas.openxmlformats.org/officeDocument/2006/relationships/hyperlink" Target="https://www.wto.org/english/docs_e/legal_e/15-sps.pdf"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eader" Target="header34.xml"/><Relationship Id="rId13" Type="http://schemas.openxmlformats.org/officeDocument/2006/relationships/hyperlink" Target="https://www.agriculture.gov.au/biosecurity-trade/policy/risk-analysis/plant/dragon-fruit-from-Philippines" TargetMode="External"/><Relationship Id="rId18" Type="http://schemas.openxmlformats.org/officeDocument/2006/relationships/footer" Target="footer2.xml"/><Relationship Id="rId39" Type="http://schemas.openxmlformats.org/officeDocument/2006/relationships/chart" Target="charts/chart1.xml"/><Relationship Id="rId109" Type="http://schemas.openxmlformats.org/officeDocument/2006/relationships/hyperlink" Target="https://www.business.qld.gov.au/industries/farms-fishing-forestry/agriculture/crop-growing/priority-pest-disease/giant-african-snail" TargetMode="External"/><Relationship Id="rId34" Type="http://schemas.openxmlformats.org/officeDocument/2006/relationships/header" Target="header13.xml"/><Relationship Id="rId50" Type="http://schemas.openxmlformats.org/officeDocument/2006/relationships/image" Target="media/image16.jpeg"/><Relationship Id="rId55" Type="http://schemas.openxmlformats.org/officeDocument/2006/relationships/image" Target="media/image21.emf"/><Relationship Id="rId76" Type="http://schemas.openxmlformats.org/officeDocument/2006/relationships/footer" Target="footer7.xml"/><Relationship Id="rId97" Type="http://schemas.openxmlformats.org/officeDocument/2006/relationships/hyperlink" Target="https://www.foodstandards.gov.au/code/Pages/default.aspx" TargetMode="External"/><Relationship Id="rId104" Type="http://schemas.openxmlformats.org/officeDocument/2006/relationships/hyperlink" Target="https://www.appd.net.au/" TargetMode="External"/><Relationship Id="rId120" Type="http://schemas.openxmlformats.org/officeDocument/2006/relationships/hyperlink" Target="https://www.agriculture.gov.au/biosecurity-trade/policy/risk-analysis/group-pest-risk-analyses/scales" TargetMode="External"/><Relationship Id="rId125" Type="http://schemas.openxmlformats.org/officeDocument/2006/relationships/hyperlink" Target="https://www.agriculture.gov.au/biosecurity-trade/policy/risk-analysis/group-pest-risk-analyses/mealybugs/final-report" TargetMode="External"/><Relationship Id="rId141" Type="http://schemas.openxmlformats.org/officeDocument/2006/relationships/hyperlink" Target="https://nt.ars-grin.gov/fungaldatabases/" TargetMode="External"/><Relationship Id="rId146" Type="http://schemas.openxmlformats.org/officeDocument/2006/relationships/hyperlink" Target="http://www.gbif.org/" TargetMode="External"/><Relationship Id="rId167" Type="http://schemas.openxmlformats.org/officeDocument/2006/relationships/hyperlink" Target="http://ap.fftc.org.tw/ap_db.php?id=1040&amp;print=1" TargetMode="External"/><Relationship Id="rId7" Type="http://schemas.openxmlformats.org/officeDocument/2006/relationships/image" Target="media/image1.jpeg"/><Relationship Id="rId71" Type="http://schemas.openxmlformats.org/officeDocument/2006/relationships/footer" Target="footer6.xml"/><Relationship Id="rId92" Type="http://schemas.openxmlformats.org/officeDocument/2006/relationships/footer" Target="footer11.xml"/><Relationship Id="rId162" Type="http://schemas.openxmlformats.org/officeDocument/2006/relationships/hyperlink" Target="https://www.pir.sa.gov.au/biosecurity/plant_health" TargetMode="External"/><Relationship Id="rId2" Type="http://schemas.openxmlformats.org/officeDocument/2006/relationships/styles" Target="styles.xml"/><Relationship Id="rId29" Type="http://schemas.openxmlformats.org/officeDocument/2006/relationships/hyperlink" Target="http://www.agriculture.gov.au/biosecurity-trade/policy/risk-analysis/guidelines" TargetMode="External"/><Relationship Id="rId24" Type="http://schemas.openxmlformats.org/officeDocument/2006/relationships/image" Target="media/image5.jpeg"/><Relationship Id="rId40" Type="http://schemas.openxmlformats.org/officeDocument/2006/relationships/chart" Target="charts/chart2.xml"/><Relationship Id="rId45" Type="http://schemas.openxmlformats.org/officeDocument/2006/relationships/image" Target="media/image11.jpeg"/><Relationship Id="rId66" Type="http://schemas.openxmlformats.org/officeDocument/2006/relationships/footer" Target="footer4.xml"/><Relationship Id="rId87" Type="http://schemas.openxmlformats.org/officeDocument/2006/relationships/header" Target="header28.xml"/><Relationship Id="rId110" Type="http://schemas.openxmlformats.org/officeDocument/2006/relationships/hyperlink" Target="http://cababstractsplus.org" TargetMode="External"/><Relationship Id="rId115" Type="http://schemas.openxmlformats.org/officeDocument/2006/relationships/hyperlink" Target="http://www.cabi.org/dmpd/FullTextPDF/2004/20046500142.pdf" TargetMode="External"/><Relationship Id="rId131" Type="http://schemas.openxmlformats.org/officeDocument/2006/relationships/hyperlink" Target="https://www.ippc.int/en/core-activities/standards-setting/ispms/" TargetMode="External"/><Relationship Id="rId136" Type="http://schemas.openxmlformats.org/officeDocument/2006/relationships/hyperlink" Target="https://www.ippc.int/en/core-activities/standards-setting/ispms/" TargetMode="External"/><Relationship Id="rId157" Type="http://schemas.openxmlformats.org/officeDocument/2006/relationships/hyperlink" Target="http://www.ozthrips.org/" TargetMode="External"/><Relationship Id="rId61" Type="http://schemas.openxmlformats.org/officeDocument/2006/relationships/image" Target="media/image27.emf"/><Relationship Id="rId82" Type="http://schemas.openxmlformats.org/officeDocument/2006/relationships/hyperlink" Target="https://www.awe.gov.au/biosecurity-trade/import/goods/food/safety-management-certificates" TargetMode="External"/><Relationship Id="rId152" Type="http://schemas.openxmlformats.org/officeDocument/2006/relationships/hyperlink" Target="https://doi.org/10.11646/phytotaxa.327.1.1" TargetMode="External"/><Relationship Id="rId173" Type="http://schemas.openxmlformats.org/officeDocument/2006/relationships/footer" Target="footer14.xml"/><Relationship Id="rId19" Type="http://schemas.openxmlformats.org/officeDocument/2006/relationships/header" Target="header4.xml"/><Relationship Id="rId14" Type="http://schemas.openxmlformats.org/officeDocument/2006/relationships/hyperlink" Target="http://agriculture.gov.au/" TargetMode="External"/><Relationship Id="rId30" Type="http://schemas.openxmlformats.org/officeDocument/2006/relationships/image" Target="media/image6.png"/><Relationship Id="rId35" Type="http://schemas.openxmlformats.org/officeDocument/2006/relationships/footer" Target="footer3.xml"/><Relationship Id="rId56" Type="http://schemas.openxmlformats.org/officeDocument/2006/relationships/image" Target="media/image22.png"/><Relationship Id="rId77" Type="http://schemas.openxmlformats.org/officeDocument/2006/relationships/header" Target="header24.xml"/><Relationship Id="rId100" Type="http://schemas.openxmlformats.org/officeDocument/2006/relationships/hyperlink" Target="https://biodiversity.org.au/afd/home" TargetMode="External"/><Relationship Id="rId105" Type="http://schemas.openxmlformats.org/officeDocument/2006/relationships/hyperlink" Target="https://www.agriculture.gov.au/biosecurity-trade/policy/risk-analysis/plant/mangoes-phillippines" TargetMode="External"/><Relationship Id="rId126" Type="http://schemas.openxmlformats.org/officeDocument/2006/relationships/hyperlink" Target="https://doi.org/10.1080/09670874.2021.1980246" TargetMode="External"/><Relationship Id="rId147" Type="http://schemas.openxmlformats.org/officeDocument/2006/relationships/hyperlink" Target="http://www.agri.huji.ac.il/mepests/pest/Bactrocera_zonata/" TargetMode="External"/><Relationship Id="rId168" Type="http://schemas.openxmlformats.org/officeDocument/2006/relationships/hyperlink" Target="http://entnemdept.ufl.edu/creatures/fruit/tropical/oriental_fruit_fly.htm" TargetMode="External"/><Relationship Id="rId8" Type="http://schemas.openxmlformats.org/officeDocument/2006/relationships/header" Target="header1.xml"/><Relationship Id="rId51" Type="http://schemas.openxmlformats.org/officeDocument/2006/relationships/image" Target="media/image17.jpeg"/><Relationship Id="rId72" Type="http://schemas.openxmlformats.org/officeDocument/2006/relationships/header" Target="header20.xml"/><Relationship Id="rId93" Type="http://schemas.openxmlformats.org/officeDocument/2006/relationships/header" Target="header31.xml"/><Relationship Id="rId98" Type="http://schemas.openxmlformats.org/officeDocument/2006/relationships/header" Target="header32.xml"/><Relationship Id="rId121" Type="http://schemas.openxmlformats.org/officeDocument/2006/relationships/hyperlink" Target="https://www.agriculture.gov.au/biosecurity-trade/import/online-services/bicon" TargetMode="External"/><Relationship Id="rId142" Type="http://schemas.openxmlformats.org/officeDocument/2006/relationships/hyperlink" Target="https://www.fdacs.gov/content/download/9756/file/FruitFlyPests.pdf" TargetMode="External"/><Relationship Id="rId163" Type="http://schemas.openxmlformats.org/officeDocument/2006/relationships/hyperlink" Target="http://www.planthealthaustralia.com.au/wp-content/uploads/2012/12/Draft-National-Fruit-Fly-Strategy-Mar-2008.pdf" TargetMode="Externa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image" Target="media/image12.jpeg"/><Relationship Id="rId67" Type="http://schemas.openxmlformats.org/officeDocument/2006/relationships/header" Target="header17.xml"/><Relationship Id="rId116" Type="http://schemas.openxmlformats.org/officeDocument/2006/relationships/hyperlink" Target="https://gd.eppo.int/taxon/ERWICH/documents" TargetMode="External"/><Relationship Id="rId137" Type="http://schemas.openxmlformats.org/officeDocument/2006/relationships/hyperlink" Target="https://www.ippc.int/en/core-activities/standards-setting/ispms/" TargetMode="External"/><Relationship Id="rId158" Type="http://schemas.openxmlformats.org/officeDocument/2006/relationships/hyperlink" Target="https://npqsd.bpi-npqsd.com.ph/import/" TargetMode="External"/><Relationship Id="rId20" Type="http://schemas.openxmlformats.org/officeDocument/2006/relationships/header" Target="header5.xml"/><Relationship Id="rId41" Type="http://schemas.openxmlformats.org/officeDocument/2006/relationships/chart" Target="charts/chart3.xml"/><Relationship Id="rId62" Type="http://schemas.openxmlformats.org/officeDocument/2006/relationships/image" Target="media/image28.emf"/><Relationship Id="rId83" Type="http://schemas.openxmlformats.org/officeDocument/2006/relationships/header" Target="header26.xml"/><Relationship Id="rId88" Type="http://schemas.openxmlformats.org/officeDocument/2006/relationships/image" Target="media/image31.png"/><Relationship Id="rId111" Type="http://schemas.openxmlformats.org/officeDocument/2006/relationships/hyperlink" Target="http://www.cabicompendium.org/cpc/home.asp" TargetMode="External"/><Relationship Id="rId132" Type="http://schemas.openxmlformats.org/officeDocument/2006/relationships/hyperlink" Target="https://www.ippc.int/en/core-activities/standards-setting/ispms/" TargetMode="External"/><Relationship Id="rId153" Type="http://schemas.openxmlformats.org/officeDocument/2006/relationships/hyperlink" Target="https://invasives.org.au/wp-content/uploads/2018/05/Fact-Sheet-Tropical-fire-ants-2018-June-1.pdf" TargetMode="External"/><Relationship Id="rId174" Type="http://schemas.openxmlformats.org/officeDocument/2006/relationships/header" Target="header35.xml"/><Relationship Id="rId15" Type="http://schemas.openxmlformats.org/officeDocument/2006/relationships/hyperlink" Target="mailto:plantstakeholders@agriculture.gov.au" TargetMode="External"/><Relationship Id="rId36" Type="http://schemas.openxmlformats.org/officeDocument/2006/relationships/header" Target="header14.xml"/><Relationship Id="rId57" Type="http://schemas.openxmlformats.org/officeDocument/2006/relationships/image" Target="media/image23.emf"/><Relationship Id="rId106" Type="http://schemas.openxmlformats.org/officeDocument/2006/relationships/hyperlink" Target="https://www.agriculture.gov.au/biosecurity-trade/policy/risk-analysis/plant/pineapples" TargetMode="External"/><Relationship Id="rId127" Type="http://schemas.openxmlformats.org/officeDocument/2006/relationships/hyperlink" Target="https://nt.gov.au/industry/agriculture/food-crops-plants-and-quarantine/plants-and-quarant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20Horticulture\Imports\Philippines\Dragonfruit\Draft%20report\Climate%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4FS07\BIOSECURITYDATA$\Plant%20Horticulture\Imports\Philippines\Dragonfruit\Draft%20report\Climate%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7\BIOSECURITYDATA$\Plant%20Horticulture\Imports\Philippines\Dragonfruit\Draft%20report\Climate%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4FS07\BIOSECURITYDATA$\Plant%20Horticulture\Imports\Philippines\Dragonfruit\Draft%20report\Climate%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4FS07\BIOSECURITYDATA$\Plant%20Horticulture\Imports\Philippines\Dragonfruit\Draft%20report\Climate%20graph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r>
              <a:rPr lang="en-AU"/>
              <a:t>Cebu city (Central Visayas</a:t>
            </a:r>
            <a:r>
              <a:rPr lang="en-AU" baseline="0"/>
              <a:t> </a:t>
            </a:r>
            <a:r>
              <a:rPr lang="en-AU"/>
              <a:t>region) </a:t>
            </a:r>
          </a:p>
        </c:rich>
      </c:tx>
      <c:overlay val="0"/>
      <c:spPr>
        <a:noFill/>
        <a:ln>
          <a:noFill/>
        </a:ln>
        <a:effectLst/>
      </c:spPr>
      <c:txPr>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2"/>
          <c:order val="2"/>
          <c:tx>
            <c:strRef>
              <c:f>Sheet1!$C$39</c:f>
              <c:strCache>
                <c:ptCount val="1"/>
                <c:pt idx="0">
                  <c:v>Precipitation</c:v>
                </c:pt>
              </c:strCache>
            </c:strRef>
          </c:tx>
          <c:spPr>
            <a:solidFill>
              <a:srgbClr val="00B0F0"/>
            </a:solidFill>
            <a:ln>
              <a:noFill/>
            </a:ln>
            <a:effectLst/>
          </c:spPr>
          <c:invertIfNegative val="0"/>
          <c:val>
            <c:numRef>
              <c:f>Sheet1!$C$76:$C$87</c:f>
              <c:numCache>
                <c:formatCode>General</c:formatCode>
                <c:ptCount val="12"/>
                <c:pt idx="0">
                  <c:v>162</c:v>
                </c:pt>
                <c:pt idx="1">
                  <c:v>120</c:v>
                </c:pt>
                <c:pt idx="2">
                  <c:v>98</c:v>
                </c:pt>
                <c:pt idx="3">
                  <c:v>78</c:v>
                </c:pt>
                <c:pt idx="4">
                  <c:v>130</c:v>
                </c:pt>
                <c:pt idx="5">
                  <c:v>179</c:v>
                </c:pt>
                <c:pt idx="6">
                  <c:v>176</c:v>
                </c:pt>
                <c:pt idx="7">
                  <c:v>136</c:v>
                </c:pt>
                <c:pt idx="8">
                  <c:v>159</c:v>
                </c:pt>
                <c:pt idx="9">
                  <c:v>198</c:v>
                </c:pt>
                <c:pt idx="10">
                  <c:v>214</c:v>
                </c:pt>
                <c:pt idx="11">
                  <c:v>214</c:v>
                </c:pt>
              </c:numCache>
            </c:numRef>
          </c:val>
          <c:extLst>
            <c:ext xmlns:c16="http://schemas.microsoft.com/office/drawing/2014/chart" uri="{C3380CC4-5D6E-409C-BE32-E72D297353CC}">
              <c16:uniqueId val="{00000000-EE3D-45B8-9C2E-E9F3C95B2E75}"/>
            </c:ext>
          </c:extLst>
        </c:ser>
        <c:dLbls>
          <c:showLegendKey val="0"/>
          <c:showVal val="0"/>
          <c:showCatName val="0"/>
          <c:showSerName val="0"/>
          <c:showPercent val="0"/>
          <c:showBubbleSize val="0"/>
        </c:dLbls>
        <c:gapWidth val="219"/>
        <c:axId val="632820864"/>
        <c:axId val="632817912"/>
      </c:barChart>
      <c:lineChart>
        <c:grouping val="standard"/>
        <c:varyColors val="0"/>
        <c:ser>
          <c:idx val="0"/>
          <c:order val="0"/>
          <c:tx>
            <c:strRef>
              <c:f>Sheet1!$A$75</c:f>
              <c:strCache>
                <c:ptCount val="1"/>
                <c:pt idx="0">
                  <c:v>Min temp</c:v>
                </c:pt>
              </c:strCache>
            </c:strRef>
          </c:tx>
          <c:spPr>
            <a:ln w="28575" cap="rnd">
              <a:solidFill>
                <a:srgbClr val="FFC000"/>
              </a:solidFill>
              <a:round/>
            </a:ln>
            <a:effectLst/>
          </c:spPr>
          <c:marker>
            <c:symbol val="circle"/>
            <c:size val="5"/>
            <c:spPr>
              <a:solidFill>
                <a:srgbClr val="FFC000"/>
              </a:solidFill>
              <a:ln w="9525">
                <a:noFill/>
              </a:ln>
              <a:effectLst/>
            </c:spPr>
          </c:marker>
          <c:cat>
            <c:strRef>
              <c:f>Sheet1!$D$76:$D$87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Sheet1!$A$76:$A$87</c:f>
              <c:numCache>
                <c:formatCode>General</c:formatCode>
                <c:ptCount val="12"/>
                <c:pt idx="0">
                  <c:v>24</c:v>
                </c:pt>
                <c:pt idx="1">
                  <c:v>23.9</c:v>
                </c:pt>
                <c:pt idx="2">
                  <c:v>24.4</c:v>
                </c:pt>
                <c:pt idx="3">
                  <c:v>25.1</c:v>
                </c:pt>
                <c:pt idx="4">
                  <c:v>25.3</c:v>
                </c:pt>
                <c:pt idx="5">
                  <c:v>25.1</c:v>
                </c:pt>
                <c:pt idx="6">
                  <c:v>24.9</c:v>
                </c:pt>
                <c:pt idx="7">
                  <c:v>25</c:v>
                </c:pt>
                <c:pt idx="8">
                  <c:v>24.9</c:v>
                </c:pt>
                <c:pt idx="9">
                  <c:v>24.7</c:v>
                </c:pt>
                <c:pt idx="10">
                  <c:v>24.8</c:v>
                </c:pt>
                <c:pt idx="11">
                  <c:v>24.5</c:v>
                </c:pt>
              </c:numCache>
            </c:numRef>
          </c:val>
          <c:smooth val="0"/>
          <c:extLst>
            <c:ext xmlns:c16="http://schemas.microsoft.com/office/drawing/2014/chart" uri="{C3380CC4-5D6E-409C-BE32-E72D297353CC}">
              <c16:uniqueId val="{00000001-EE3D-45B8-9C2E-E9F3C95B2E75}"/>
            </c:ext>
          </c:extLst>
        </c:ser>
        <c:ser>
          <c:idx val="1"/>
          <c:order val="1"/>
          <c:tx>
            <c:strRef>
              <c:f>Sheet1!$B$75</c:f>
              <c:strCache>
                <c:ptCount val="1"/>
                <c:pt idx="0">
                  <c:v>Max Temp</c:v>
                </c:pt>
              </c:strCache>
            </c:strRef>
          </c:tx>
          <c:spPr>
            <a:ln w="28575" cap="rnd">
              <a:solidFill>
                <a:srgbClr val="FF0000"/>
              </a:solidFill>
              <a:round/>
            </a:ln>
            <a:effectLst/>
          </c:spPr>
          <c:marker>
            <c:symbol val="circle"/>
            <c:size val="5"/>
            <c:spPr>
              <a:solidFill>
                <a:srgbClr val="FF0000"/>
              </a:solidFill>
              <a:ln w="9525">
                <a:noFill/>
              </a:ln>
              <a:effectLst/>
            </c:spPr>
          </c:marker>
          <c:cat>
            <c:strRef>
              <c:f>Sheet1!$D$76:$D$87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Sheet1!$B$76:$B$87</c:f>
              <c:numCache>
                <c:formatCode>General</c:formatCode>
                <c:ptCount val="12"/>
                <c:pt idx="0">
                  <c:v>26.2</c:v>
                </c:pt>
                <c:pt idx="1">
                  <c:v>26.4</c:v>
                </c:pt>
                <c:pt idx="2">
                  <c:v>27.2</c:v>
                </c:pt>
                <c:pt idx="3">
                  <c:v>28.2</c:v>
                </c:pt>
                <c:pt idx="4">
                  <c:v>28.8</c:v>
                </c:pt>
                <c:pt idx="5">
                  <c:v>28.5</c:v>
                </c:pt>
                <c:pt idx="6">
                  <c:v>28.1</c:v>
                </c:pt>
                <c:pt idx="7">
                  <c:v>28.3</c:v>
                </c:pt>
                <c:pt idx="8">
                  <c:v>28.2</c:v>
                </c:pt>
                <c:pt idx="9">
                  <c:v>27.8</c:v>
                </c:pt>
                <c:pt idx="10">
                  <c:v>27.4</c:v>
                </c:pt>
                <c:pt idx="11">
                  <c:v>26.9</c:v>
                </c:pt>
              </c:numCache>
            </c:numRef>
          </c:val>
          <c:smooth val="0"/>
          <c:extLst>
            <c:ext xmlns:c16="http://schemas.microsoft.com/office/drawing/2014/chart" uri="{C3380CC4-5D6E-409C-BE32-E72D297353CC}">
              <c16:uniqueId val="{00000002-EE3D-45B8-9C2E-E9F3C95B2E75}"/>
            </c:ext>
          </c:extLst>
        </c:ser>
        <c:dLbls>
          <c:showLegendKey val="0"/>
          <c:showVal val="0"/>
          <c:showCatName val="0"/>
          <c:showSerName val="0"/>
          <c:showPercent val="0"/>
          <c:showBubbleSize val="0"/>
        </c:dLbls>
        <c:marker val="1"/>
        <c:smooth val="0"/>
        <c:axId val="632823488"/>
        <c:axId val="632814960"/>
      </c:lineChart>
      <c:catAx>
        <c:axId val="63282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mn-lt"/>
                <a:ea typeface="+mn-ea"/>
                <a:cs typeface="+mn-cs"/>
              </a:defRPr>
            </a:pPr>
            <a:endParaRPr lang="en-US"/>
          </a:p>
        </c:txPr>
        <c:crossAx val="632814960"/>
        <c:crosses val="autoZero"/>
        <c:auto val="1"/>
        <c:lblAlgn val="ctr"/>
        <c:lblOffset val="100"/>
        <c:noMultiLvlLbl val="0"/>
      </c:catAx>
      <c:valAx>
        <c:axId val="63281496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Temperature (</a:t>
                </a:r>
                <a:r>
                  <a:rPr lang="en-AU" sz="1000" b="0" i="0" u="none" strike="noStrike" baseline="0">
                    <a:effectLst/>
                  </a:rPr>
                  <a:t>°C</a:t>
                </a:r>
                <a:r>
                  <a:rPr lang="en-AU" b="1"/>
                  <a:t>)</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3488"/>
        <c:crosses val="autoZero"/>
        <c:crossBetween val="between"/>
        <c:majorUnit val="10"/>
      </c:valAx>
      <c:valAx>
        <c:axId val="632817912"/>
        <c:scaling>
          <c:orientation val="minMax"/>
        </c:scaling>
        <c:delete val="0"/>
        <c:axPos val="r"/>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Precipitation (mm)</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0864"/>
        <c:crosses val="max"/>
        <c:crossBetween val="between"/>
      </c:valAx>
      <c:catAx>
        <c:axId val="632820864"/>
        <c:scaling>
          <c:orientation val="minMax"/>
        </c:scaling>
        <c:delete val="1"/>
        <c:axPos val="b"/>
        <c:numFmt formatCode="General" sourceLinked="1"/>
        <c:majorTickMark val="none"/>
        <c:minorTickMark val="none"/>
        <c:tickLblPos val="nextTo"/>
        <c:crossAx val="632817912"/>
        <c:crosses val="autoZero"/>
        <c:auto val="1"/>
        <c:lblAlgn val="ctr"/>
        <c:lblOffset val="100"/>
        <c:noMultiLvlLbl val="0"/>
      </c:catAx>
      <c:spPr>
        <a:noFill/>
        <a:ln>
          <a:noFill/>
        </a:ln>
        <a:effectLst/>
      </c:spPr>
    </c:plotArea>
    <c:legend>
      <c:legendPos val="t"/>
      <c:layout>
        <c:manualLayout>
          <c:xMode val="edge"/>
          <c:yMode val="edge"/>
          <c:x val="4.6218641274491844E-2"/>
          <c:y val="0.14043528064146621"/>
          <c:w val="0.89999985112467862"/>
          <c:h val="8.2854127770111211E-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r>
              <a:rPr lang="en-AU"/>
              <a:t>Cavite (Calabarzon</a:t>
            </a:r>
            <a:r>
              <a:rPr lang="en-AU" baseline="0"/>
              <a:t> </a:t>
            </a:r>
            <a:r>
              <a:rPr lang="en-AU"/>
              <a:t>region) </a:t>
            </a:r>
          </a:p>
        </c:rich>
      </c:tx>
      <c:overlay val="0"/>
      <c:spPr>
        <a:noFill/>
        <a:ln>
          <a:noFill/>
        </a:ln>
        <a:effectLst/>
      </c:spPr>
      <c:txPr>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2"/>
          <c:order val="2"/>
          <c:tx>
            <c:strRef>
              <c:f>Sheet1!$C$39</c:f>
              <c:strCache>
                <c:ptCount val="1"/>
                <c:pt idx="0">
                  <c:v>Precipitation</c:v>
                </c:pt>
              </c:strCache>
            </c:strRef>
          </c:tx>
          <c:spPr>
            <a:solidFill>
              <a:srgbClr val="00B0F0"/>
            </a:solidFill>
            <a:ln>
              <a:noFill/>
            </a:ln>
            <a:effectLst/>
          </c:spPr>
          <c:invertIfNegative val="0"/>
          <c:val>
            <c:numRef>
              <c:f>Sheet1!$C$58:$C$69</c:f>
              <c:numCache>
                <c:formatCode>General</c:formatCode>
                <c:ptCount val="12"/>
                <c:pt idx="0">
                  <c:v>13</c:v>
                </c:pt>
                <c:pt idx="1">
                  <c:v>5.0999999999999996</c:v>
                </c:pt>
                <c:pt idx="2">
                  <c:v>10</c:v>
                </c:pt>
                <c:pt idx="3">
                  <c:v>18</c:v>
                </c:pt>
                <c:pt idx="4">
                  <c:v>120</c:v>
                </c:pt>
                <c:pt idx="5">
                  <c:v>250</c:v>
                </c:pt>
                <c:pt idx="6">
                  <c:v>290</c:v>
                </c:pt>
                <c:pt idx="7">
                  <c:v>420</c:v>
                </c:pt>
                <c:pt idx="8">
                  <c:v>340</c:v>
                </c:pt>
                <c:pt idx="9">
                  <c:v>150</c:v>
                </c:pt>
                <c:pt idx="10">
                  <c:v>110</c:v>
                </c:pt>
                <c:pt idx="11">
                  <c:v>53</c:v>
                </c:pt>
              </c:numCache>
            </c:numRef>
          </c:val>
          <c:extLst>
            <c:ext xmlns:c16="http://schemas.microsoft.com/office/drawing/2014/chart" uri="{C3380CC4-5D6E-409C-BE32-E72D297353CC}">
              <c16:uniqueId val="{00000000-69C9-4980-A458-CF4499120A4E}"/>
            </c:ext>
          </c:extLst>
        </c:ser>
        <c:dLbls>
          <c:showLegendKey val="0"/>
          <c:showVal val="0"/>
          <c:showCatName val="0"/>
          <c:showSerName val="0"/>
          <c:showPercent val="0"/>
          <c:showBubbleSize val="0"/>
        </c:dLbls>
        <c:gapWidth val="219"/>
        <c:axId val="632820864"/>
        <c:axId val="632817912"/>
      </c:barChart>
      <c:lineChart>
        <c:grouping val="standard"/>
        <c:varyColors val="0"/>
        <c:ser>
          <c:idx val="0"/>
          <c:order val="0"/>
          <c:tx>
            <c:strRef>
              <c:f>Sheet1!$A$57</c:f>
              <c:strCache>
                <c:ptCount val="1"/>
                <c:pt idx="0">
                  <c:v>Min temp</c:v>
                </c:pt>
              </c:strCache>
            </c:strRef>
          </c:tx>
          <c:spPr>
            <a:ln w="28575" cap="rnd">
              <a:solidFill>
                <a:srgbClr val="FFC000"/>
              </a:solidFill>
              <a:round/>
            </a:ln>
            <a:effectLst/>
          </c:spPr>
          <c:marker>
            <c:symbol val="circle"/>
            <c:size val="5"/>
            <c:spPr>
              <a:solidFill>
                <a:srgbClr val="FFC000"/>
              </a:solidFill>
              <a:ln w="9525">
                <a:noFill/>
              </a:ln>
              <a:effectLst/>
            </c:spPr>
          </c:marker>
          <c:cat>
            <c:strRef>
              <c:f>Sheet1!$D$58:$D$69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Sheet1!$A$58:$A$69</c:f>
              <c:numCache>
                <c:formatCode>General</c:formatCode>
                <c:ptCount val="12"/>
                <c:pt idx="0">
                  <c:v>23</c:v>
                </c:pt>
                <c:pt idx="1">
                  <c:v>23</c:v>
                </c:pt>
                <c:pt idx="2">
                  <c:v>24</c:v>
                </c:pt>
                <c:pt idx="3">
                  <c:v>25</c:v>
                </c:pt>
                <c:pt idx="4">
                  <c:v>26</c:v>
                </c:pt>
                <c:pt idx="5">
                  <c:v>25</c:v>
                </c:pt>
                <c:pt idx="6">
                  <c:v>25</c:v>
                </c:pt>
                <c:pt idx="7">
                  <c:v>25</c:v>
                </c:pt>
                <c:pt idx="8">
                  <c:v>25</c:v>
                </c:pt>
                <c:pt idx="9">
                  <c:v>24</c:v>
                </c:pt>
                <c:pt idx="10">
                  <c:v>24</c:v>
                </c:pt>
                <c:pt idx="11">
                  <c:v>24</c:v>
                </c:pt>
              </c:numCache>
            </c:numRef>
          </c:val>
          <c:smooth val="0"/>
          <c:extLst>
            <c:ext xmlns:c16="http://schemas.microsoft.com/office/drawing/2014/chart" uri="{C3380CC4-5D6E-409C-BE32-E72D297353CC}">
              <c16:uniqueId val="{00000001-69C9-4980-A458-CF4499120A4E}"/>
            </c:ext>
          </c:extLst>
        </c:ser>
        <c:ser>
          <c:idx val="1"/>
          <c:order val="1"/>
          <c:tx>
            <c:strRef>
              <c:f>Sheet1!$B$57</c:f>
              <c:strCache>
                <c:ptCount val="1"/>
                <c:pt idx="0">
                  <c:v>Max Temp</c:v>
                </c:pt>
              </c:strCache>
            </c:strRef>
          </c:tx>
          <c:spPr>
            <a:ln w="28575" cap="rnd">
              <a:solidFill>
                <a:srgbClr val="FF0000"/>
              </a:solidFill>
              <a:round/>
            </a:ln>
            <a:effectLst/>
          </c:spPr>
          <c:marker>
            <c:symbol val="circle"/>
            <c:size val="5"/>
            <c:spPr>
              <a:solidFill>
                <a:srgbClr val="FF0000"/>
              </a:solidFill>
              <a:ln w="9525">
                <a:noFill/>
              </a:ln>
              <a:effectLst/>
            </c:spPr>
          </c:marker>
          <c:cat>
            <c:strRef>
              <c:f>Sheet1!$D$58:$D$69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Sheet1!$B$58:$B$69</c:f>
              <c:numCache>
                <c:formatCode>General</c:formatCode>
                <c:ptCount val="12"/>
                <c:pt idx="0">
                  <c:v>29</c:v>
                </c:pt>
                <c:pt idx="1">
                  <c:v>29</c:v>
                </c:pt>
                <c:pt idx="2">
                  <c:v>31</c:v>
                </c:pt>
                <c:pt idx="3">
                  <c:v>32</c:v>
                </c:pt>
                <c:pt idx="4">
                  <c:v>33</c:v>
                </c:pt>
                <c:pt idx="5">
                  <c:v>31</c:v>
                </c:pt>
                <c:pt idx="6">
                  <c:v>30</c:v>
                </c:pt>
                <c:pt idx="7">
                  <c:v>30</c:v>
                </c:pt>
                <c:pt idx="8">
                  <c:v>30</c:v>
                </c:pt>
                <c:pt idx="9">
                  <c:v>30</c:v>
                </c:pt>
                <c:pt idx="10">
                  <c:v>30</c:v>
                </c:pt>
                <c:pt idx="11">
                  <c:v>29</c:v>
                </c:pt>
              </c:numCache>
            </c:numRef>
          </c:val>
          <c:smooth val="0"/>
          <c:extLst>
            <c:ext xmlns:c16="http://schemas.microsoft.com/office/drawing/2014/chart" uri="{C3380CC4-5D6E-409C-BE32-E72D297353CC}">
              <c16:uniqueId val="{00000002-69C9-4980-A458-CF4499120A4E}"/>
            </c:ext>
          </c:extLst>
        </c:ser>
        <c:dLbls>
          <c:showLegendKey val="0"/>
          <c:showVal val="0"/>
          <c:showCatName val="0"/>
          <c:showSerName val="0"/>
          <c:showPercent val="0"/>
          <c:showBubbleSize val="0"/>
        </c:dLbls>
        <c:marker val="1"/>
        <c:smooth val="0"/>
        <c:axId val="632823488"/>
        <c:axId val="632814960"/>
      </c:lineChart>
      <c:catAx>
        <c:axId val="63282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mn-lt"/>
                <a:ea typeface="+mn-ea"/>
                <a:cs typeface="+mn-cs"/>
              </a:defRPr>
            </a:pPr>
            <a:endParaRPr lang="en-US"/>
          </a:p>
        </c:txPr>
        <c:crossAx val="632814960"/>
        <c:crosses val="autoZero"/>
        <c:auto val="1"/>
        <c:lblAlgn val="ctr"/>
        <c:lblOffset val="100"/>
        <c:noMultiLvlLbl val="0"/>
      </c:catAx>
      <c:valAx>
        <c:axId val="63281496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Temperature (</a:t>
                </a:r>
                <a:r>
                  <a:rPr lang="en-AU" sz="1000" b="0" i="0" u="none" strike="noStrike" baseline="0">
                    <a:effectLst/>
                  </a:rPr>
                  <a:t>°C</a:t>
                </a:r>
                <a:r>
                  <a:rPr lang="en-AU" b="1"/>
                  <a:t>)</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3488"/>
        <c:crosses val="autoZero"/>
        <c:crossBetween val="between"/>
        <c:majorUnit val="10"/>
      </c:valAx>
      <c:valAx>
        <c:axId val="632817912"/>
        <c:scaling>
          <c:orientation val="minMax"/>
        </c:scaling>
        <c:delete val="0"/>
        <c:axPos val="r"/>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Precipitation (mm)</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0864"/>
        <c:crosses val="max"/>
        <c:crossBetween val="between"/>
        <c:majorUnit val="125"/>
      </c:valAx>
      <c:catAx>
        <c:axId val="632820864"/>
        <c:scaling>
          <c:orientation val="minMax"/>
        </c:scaling>
        <c:delete val="1"/>
        <c:axPos val="b"/>
        <c:numFmt formatCode="General" sourceLinked="1"/>
        <c:majorTickMark val="none"/>
        <c:minorTickMark val="none"/>
        <c:tickLblPos val="nextTo"/>
        <c:crossAx val="63281791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r>
              <a:rPr lang="en-AU"/>
              <a:t>Ilagan (Cagayan Valley region) </a:t>
            </a:r>
          </a:p>
        </c:rich>
      </c:tx>
      <c:overlay val="0"/>
      <c:spPr>
        <a:noFill/>
        <a:ln>
          <a:noFill/>
        </a:ln>
        <a:effectLst/>
      </c:spPr>
      <c:txPr>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2"/>
          <c:order val="2"/>
          <c:tx>
            <c:strRef>
              <c:f>Sheet1!$C$39</c:f>
              <c:strCache>
                <c:ptCount val="1"/>
                <c:pt idx="0">
                  <c:v>Precipitation</c:v>
                </c:pt>
              </c:strCache>
            </c:strRef>
          </c:tx>
          <c:spPr>
            <a:solidFill>
              <a:srgbClr val="00B0F0"/>
            </a:solidFill>
            <a:ln>
              <a:noFill/>
            </a:ln>
            <a:effectLst/>
          </c:spPr>
          <c:invertIfNegative val="0"/>
          <c:val>
            <c:numRef>
              <c:f>Sheet1!$C$40:$C$51</c:f>
              <c:numCache>
                <c:formatCode>General</c:formatCode>
                <c:ptCount val="12"/>
                <c:pt idx="0">
                  <c:v>133</c:v>
                </c:pt>
                <c:pt idx="1">
                  <c:v>114</c:v>
                </c:pt>
                <c:pt idx="2">
                  <c:v>113</c:v>
                </c:pt>
                <c:pt idx="3">
                  <c:v>121</c:v>
                </c:pt>
                <c:pt idx="4">
                  <c:v>243</c:v>
                </c:pt>
                <c:pt idx="5">
                  <c:v>243</c:v>
                </c:pt>
                <c:pt idx="6">
                  <c:v>367</c:v>
                </c:pt>
                <c:pt idx="7">
                  <c:v>336</c:v>
                </c:pt>
                <c:pt idx="8">
                  <c:v>313</c:v>
                </c:pt>
                <c:pt idx="9">
                  <c:v>273</c:v>
                </c:pt>
                <c:pt idx="10">
                  <c:v>264</c:v>
                </c:pt>
                <c:pt idx="11">
                  <c:v>310</c:v>
                </c:pt>
              </c:numCache>
            </c:numRef>
          </c:val>
          <c:extLst>
            <c:ext xmlns:c16="http://schemas.microsoft.com/office/drawing/2014/chart" uri="{C3380CC4-5D6E-409C-BE32-E72D297353CC}">
              <c16:uniqueId val="{00000000-B257-420F-B5CE-EA59912BF6C7}"/>
            </c:ext>
          </c:extLst>
        </c:ser>
        <c:dLbls>
          <c:showLegendKey val="0"/>
          <c:showVal val="0"/>
          <c:showCatName val="0"/>
          <c:showSerName val="0"/>
          <c:showPercent val="0"/>
          <c:showBubbleSize val="0"/>
        </c:dLbls>
        <c:gapWidth val="219"/>
        <c:axId val="632820864"/>
        <c:axId val="632817912"/>
      </c:barChart>
      <c:lineChart>
        <c:grouping val="standard"/>
        <c:varyColors val="0"/>
        <c:ser>
          <c:idx val="0"/>
          <c:order val="0"/>
          <c:tx>
            <c:strRef>
              <c:f>Sheet1!$A$39</c:f>
              <c:strCache>
                <c:ptCount val="1"/>
                <c:pt idx="0">
                  <c:v>Min temp</c:v>
                </c:pt>
              </c:strCache>
            </c:strRef>
          </c:tx>
          <c:spPr>
            <a:ln w="28575" cap="rnd">
              <a:solidFill>
                <a:srgbClr val="FFC000"/>
              </a:solidFill>
              <a:round/>
            </a:ln>
            <a:effectLst/>
          </c:spPr>
          <c:marker>
            <c:symbol val="circle"/>
            <c:size val="5"/>
            <c:spPr>
              <a:solidFill>
                <a:srgbClr val="FFC000"/>
              </a:solidFill>
              <a:ln w="9525">
                <a:noFill/>
              </a:ln>
              <a:effectLst/>
            </c:spPr>
          </c:marker>
          <c:cat>
            <c:strRef>
              <c:f>Sheet1!$D$40:$D$51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Sheet1!$A$40:$A$51</c:f>
              <c:numCache>
                <c:formatCode>General</c:formatCode>
                <c:ptCount val="12"/>
                <c:pt idx="0">
                  <c:v>20.399999999999999</c:v>
                </c:pt>
                <c:pt idx="1">
                  <c:v>20.7</c:v>
                </c:pt>
                <c:pt idx="2">
                  <c:v>21.8</c:v>
                </c:pt>
                <c:pt idx="3">
                  <c:v>23.6</c:v>
                </c:pt>
                <c:pt idx="4">
                  <c:v>24.7</c:v>
                </c:pt>
                <c:pt idx="5">
                  <c:v>25</c:v>
                </c:pt>
                <c:pt idx="6">
                  <c:v>24.6</c:v>
                </c:pt>
                <c:pt idx="7">
                  <c:v>24.5</c:v>
                </c:pt>
                <c:pt idx="8">
                  <c:v>24.2</c:v>
                </c:pt>
                <c:pt idx="9">
                  <c:v>23.4</c:v>
                </c:pt>
                <c:pt idx="10">
                  <c:v>22.9</c:v>
                </c:pt>
                <c:pt idx="11">
                  <c:v>21.5</c:v>
                </c:pt>
              </c:numCache>
            </c:numRef>
          </c:val>
          <c:smooth val="0"/>
          <c:extLst>
            <c:ext xmlns:c16="http://schemas.microsoft.com/office/drawing/2014/chart" uri="{C3380CC4-5D6E-409C-BE32-E72D297353CC}">
              <c16:uniqueId val="{00000001-B257-420F-B5CE-EA59912BF6C7}"/>
            </c:ext>
          </c:extLst>
        </c:ser>
        <c:ser>
          <c:idx val="1"/>
          <c:order val="1"/>
          <c:tx>
            <c:strRef>
              <c:f>Sheet1!$B$39</c:f>
              <c:strCache>
                <c:ptCount val="1"/>
                <c:pt idx="0">
                  <c:v>Max Temp</c:v>
                </c:pt>
              </c:strCache>
            </c:strRef>
          </c:tx>
          <c:spPr>
            <a:ln w="28575" cap="rnd">
              <a:solidFill>
                <a:srgbClr val="FF0000"/>
              </a:solidFill>
              <a:round/>
            </a:ln>
            <a:effectLst/>
          </c:spPr>
          <c:marker>
            <c:symbol val="circle"/>
            <c:size val="5"/>
            <c:spPr>
              <a:solidFill>
                <a:srgbClr val="FF0000"/>
              </a:solidFill>
              <a:ln w="9525">
                <a:noFill/>
              </a:ln>
              <a:effectLst/>
            </c:spPr>
          </c:marker>
          <c:cat>
            <c:strRef>
              <c:f>Sheet1!$D$40:$D$51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Sheet1!$B$40:$B$51</c:f>
              <c:numCache>
                <c:formatCode>General</c:formatCode>
                <c:ptCount val="12"/>
                <c:pt idx="0">
                  <c:v>25.6</c:v>
                </c:pt>
                <c:pt idx="1">
                  <c:v>26.6</c:v>
                </c:pt>
                <c:pt idx="2">
                  <c:v>28.5</c:v>
                </c:pt>
                <c:pt idx="3">
                  <c:v>31.3</c:v>
                </c:pt>
                <c:pt idx="4">
                  <c:v>32.299999999999997</c:v>
                </c:pt>
                <c:pt idx="5">
                  <c:v>32.299999999999997</c:v>
                </c:pt>
                <c:pt idx="6">
                  <c:v>31.3</c:v>
                </c:pt>
                <c:pt idx="7">
                  <c:v>31</c:v>
                </c:pt>
                <c:pt idx="8">
                  <c:v>30.6</c:v>
                </c:pt>
                <c:pt idx="9">
                  <c:v>29.2</c:v>
                </c:pt>
                <c:pt idx="10">
                  <c:v>28</c:v>
                </c:pt>
                <c:pt idx="11">
                  <c:v>26.1</c:v>
                </c:pt>
              </c:numCache>
            </c:numRef>
          </c:val>
          <c:smooth val="0"/>
          <c:extLst>
            <c:ext xmlns:c16="http://schemas.microsoft.com/office/drawing/2014/chart" uri="{C3380CC4-5D6E-409C-BE32-E72D297353CC}">
              <c16:uniqueId val="{00000002-B257-420F-B5CE-EA59912BF6C7}"/>
            </c:ext>
          </c:extLst>
        </c:ser>
        <c:dLbls>
          <c:showLegendKey val="0"/>
          <c:showVal val="0"/>
          <c:showCatName val="0"/>
          <c:showSerName val="0"/>
          <c:showPercent val="0"/>
          <c:showBubbleSize val="0"/>
        </c:dLbls>
        <c:marker val="1"/>
        <c:smooth val="0"/>
        <c:axId val="632823488"/>
        <c:axId val="632814960"/>
      </c:lineChart>
      <c:catAx>
        <c:axId val="63282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mn-lt"/>
                <a:ea typeface="+mn-ea"/>
                <a:cs typeface="+mn-cs"/>
              </a:defRPr>
            </a:pPr>
            <a:endParaRPr lang="en-US"/>
          </a:p>
        </c:txPr>
        <c:crossAx val="632814960"/>
        <c:crosses val="autoZero"/>
        <c:auto val="1"/>
        <c:lblAlgn val="ctr"/>
        <c:lblOffset val="100"/>
        <c:noMultiLvlLbl val="0"/>
      </c:catAx>
      <c:valAx>
        <c:axId val="63281496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Temperature (</a:t>
                </a:r>
                <a:r>
                  <a:rPr lang="en-AU" sz="1000" b="0" i="0" u="none" strike="noStrike" baseline="0">
                    <a:effectLst/>
                  </a:rPr>
                  <a:t>°C</a:t>
                </a:r>
                <a:r>
                  <a:rPr lang="en-AU" b="1"/>
                  <a:t>)</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3488"/>
        <c:crosses val="autoZero"/>
        <c:crossBetween val="between"/>
        <c:majorUnit val="10"/>
      </c:valAx>
      <c:valAx>
        <c:axId val="632817912"/>
        <c:scaling>
          <c:orientation val="minMax"/>
        </c:scaling>
        <c:delete val="0"/>
        <c:axPos val="r"/>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Precipitation (mm)</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0864"/>
        <c:crosses val="max"/>
        <c:crossBetween val="between"/>
        <c:majorUnit val="100"/>
      </c:valAx>
      <c:catAx>
        <c:axId val="632820864"/>
        <c:scaling>
          <c:orientation val="minMax"/>
        </c:scaling>
        <c:delete val="1"/>
        <c:axPos val="b"/>
        <c:numFmt formatCode="General" sourceLinked="1"/>
        <c:majorTickMark val="none"/>
        <c:minorTickMark val="none"/>
        <c:tickLblPos val="nextTo"/>
        <c:crossAx val="63281791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r>
              <a:rPr lang="en-AU"/>
              <a:t>Vigan (Ilocos region) </a:t>
            </a:r>
          </a:p>
        </c:rich>
      </c:tx>
      <c:overlay val="0"/>
      <c:spPr>
        <a:noFill/>
        <a:ln>
          <a:noFill/>
        </a:ln>
        <a:effectLst/>
      </c:spPr>
      <c:txPr>
        <a:bodyPr rot="0" spcFirstLastPara="1" vertOverflow="clip"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2"/>
          <c:order val="2"/>
          <c:tx>
            <c:strRef>
              <c:f>Sheet1!$C$21</c:f>
              <c:strCache>
                <c:ptCount val="1"/>
                <c:pt idx="0">
                  <c:v>Precipitation</c:v>
                </c:pt>
              </c:strCache>
            </c:strRef>
          </c:tx>
          <c:spPr>
            <a:solidFill>
              <a:srgbClr val="00B0F0"/>
            </a:solidFill>
            <a:ln>
              <a:noFill/>
            </a:ln>
            <a:effectLst/>
          </c:spPr>
          <c:invertIfNegative val="0"/>
          <c:cat>
            <c:strRef>
              <c:f>Sheet1!$D$22:$D$33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Sheet1!$C$22:$C$33</c:f>
              <c:numCache>
                <c:formatCode>General</c:formatCode>
                <c:ptCount val="12"/>
                <c:pt idx="0">
                  <c:v>19</c:v>
                </c:pt>
                <c:pt idx="1">
                  <c:v>20</c:v>
                </c:pt>
                <c:pt idx="2">
                  <c:v>28</c:v>
                </c:pt>
                <c:pt idx="3">
                  <c:v>54</c:v>
                </c:pt>
                <c:pt idx="4">
                  <c:v>218</c:v>
                </c:pt>
                <c:pt idx="5">
                  <c:v>394</c:v>
                </c:pt>
                <c:pt idx="6">
                  <c:v>598</c:v>
                </c:pt>
                <c:pt idx="7">
                  <c:v>631</c:v>
                </c:pt>
                <c:pt idx="8">
                  <c:v>430</c:v>
                </c:pt>
                <c:pt idx="9">
                  <c:v>241</c:v>
                </c:pt>
                <c:pt idx="10">
                  <c:v>93</c:v>
                </c:pt>
                <c:pt idx="11">
                  <c:v>46</c:v>
                </c:pt>
              </c:numCache>
            </c:numRef>
          </c:val>
          <c:extLst>
            <c:ext xmlns:c16="http://schemas.microsoft.com/office/drawing/2014/chart" uri="{C3380CC4-5D6E-409C-BE32-E72D297353CC}">
              <c16:uniqueId val="{00000000-2775-4E7B-92D6-2CBA8C07EF79}"/>
            </c:ext>
          </c:extLst>
        </c:ser>
        <c:dLbls>
          <c:showLegendKey val="0"/>
          <c:showVal val="0"/>
          <c:showCatName val="0"/>
          <c:showSerName val="0"/>
          <c:showPercent val="0"/>
          <c:showBubbleSize val="0"/>
        </c:dLbls>
        <c:gapWidth val="219"/>
        <c:axId val="632820864"/>
        <c:axId val="632817912"/>
      </c:barChart>
      <c:lineChart>
        <c:grouping val="standard"/>
        <c:varyColors val="0"/>
        <c:ser>
          <c:idx val="0"/>
          <c:order val="0"/>
          <c:tx>
            <c:strRef>
              <c:f>Sheet1!$A$21</c:f>
              <c:strCache>
                <c:ptCount val="1"/>
                <c:pt idx="0">
                  <c:v>Min temp</c:v>
                </c:pt>
              </c:strCache>
            </c:strRef>
          </c:tx>
          <c:spPr>
            <a:ln w="28575" cap="rnd">
              <a:solidFill>
                <a:srgbClr val="FFC000"/>
              </a:solidFill>
              <a:round/>
            </a:ln>
            <a:effectLst/>
          </c:spPr>
          <c:marker>
            <c:symbol val="circle"/>
            <c:size val="5"/>
            <c:spPr>
              <a:solidFill>
                <a:srgbClr val="FFC000"/>
              </a:solidFill>
              <a:ln w="9525">
                <a:noFill/>
              </a:ln>
              <a:effectLst/>
            </c:spPr>
          </c:marker>
          <c:cat>
            <c:strRef>
              <c:f>Sheet1!$D$3:$D$14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Sheet1!$A$22:$A$33</c:f>
              <c:numCache>
                <c:formatCode>General</c:formatCode>
                <c:ptCount val="12"/>
                <c:pt idx="0">
                  <c:v>23.1</c:v>
                </c:pt>
                <c:pt idx="1">
                  <c:v>23.3</c:v>
                </c:pt>
                <c:pt idx="2">
                  <c:v>24.4</c:v>
                </c:pt>
                <c:pt idx="3">
                  <c:v>25.7</c:v>
                </c:pt>
                <c:pt idx="4">
                  <c:v>26.2</c:v>
                </c:pt>
                <c:pt idx="5">
                  <c:v>26.1</c:v>
                </c:pt>
                <c:pt idx="6">
                  <c:v>25.6</c:v>
                </c:pt>
                <c:pt idx="7">
                  <c:v>25.5</c:v>
                </c:pt>
                <c:pt idx="8">
                  <c:v>25.3</c:v>
                </c:pt>
                <c:pt idx="9">
                  <c:v>25.4</c:v>
                </c:pt>
                <c:pt idx="10">
                  <c:v>25.2</c:v>
                </c:pt>
                <c:pt idx="11">
                  <c:v>24.3</c:v>
                </c:pt>
              </c:numCache>
            </c:numRef>
          </c:val>
          <c:smooth val="0"/>
          <c:extLst>
            <c:ext xmlns:c16="http://schemas.microsoft.com/office/drawing/2014/chart" uri="{C3380CC4-5D6E-409C-BE32-E72D297353CC}">
              <c16:uniqueId val="{00000001-2775-4E7B-92D6-2CBA8C07EF79}"/>
            </c:ext>
          </c:extLst>
        </c:ser>
        <c:ser>
          <c:idx val="1"/>
          <c:order val="1"/>
          <c:tx>
            <c:strRef>
              <c:f>Sheet1!$B$21</c:f>
              <c:strCache>
                <c:ptCount val="1"/>
                <c:pt idx="0">
                  <c:v>Max Temp</c:v>
                </c:pt>
              </c:strCache>
            </c:strRef>
          </c:tx>
          <c:spPr>
            <a:ln w="28575" cap="rnd">
              <a:solidFill>
                <a:srgbClr val="FF0000"/>
              </a:solidFill>
              <a:round/>
            </a:ln>
            <a:effectLst/>
          </c:spPr>
          <c:marker>
            <c:symbol val="circle"/>
            <c:size val="5"/>
            <c:spPr>
              <a:solidFill>
                <a:srgbClr val="FF0000"/>
              </a:solidFill>
              <a:ln w="9525">
                <a:noFill/>
              </a:ln>
              <a:effectLst/>
            </c:spPr>
          </c:marker>
          <c:cat>
            <c:strRef>
              <c:f>Sheet1!$D$3:$D$14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Sheet1!$B$22:$B$33</c:f>
              <c:numCache>
                <c:formatCode>General</c:formatCode>
                <c:ptCount val="12"/>
                <c:pt idx="0">
                  <c:v>28</c:v>
                </c:pt>
                <c:pt idx="1">
                  <c:v>28</c:v>
                </c:pt>
                <c:pt idx="2">
                  <c:v>28.9</c:v>
                </c:pt>
                <c:pt idx="3">
                  <c:v>29.8</c:v>
                </c:pt>
                <c:pt idx="4">
                  <c:v>29.9</c:v>
                </c:pt>
                <c:pt idx="5">
                  <c:v>29.2</c:v>
                </c:pt>
                <c:pt idx="6">
                  <c:v>28.4</c:v>
                </c:pt>
                <c:pt idx="7">
                  <c:v>28.1</c:v>
                </c:pt>
                <c:pt idx="8">
                  <c:v>28.3</c:v>
                </c:pt>
                <c:pt idx="9">
                  <c:v>29.1</c:v>
                </c:pt>
                <c:pt idx="10">
                  <c:v>29.2</c:v>
                </c:pt>
                <c:pt idx="11">
                  <c:v>28.6</c:v>
                </c:pt>
              </c:numCache>
            </c:numRef>
          </c:val>
          <c:smooth val="0"/>
          <c:extLst>
            <c:ext xmlns:c16="http://schemas.microsoft.com/office/drawing/2014/chart" uri="{C3380CC4-5D6E-409C-BE32-E72D297353CC}">
              <c16:uniqueId val="{00000002-2775-4E7B-92D6-2CBA8C07EF79}"/>
            </c:ext>
          </c:extLst>
        </c:ser>
        <c:dLbls>
          <c:showLegendKey val="0"/>
          <c:showVal val="0"/>
          <c:showCatName val="0"/>
          <c:showSerName val="0"/>
          <c:showPercent val="0"/>
          <c:showBubbleSize val="0"/>
        </c:dLbls>
        <c:marker val="1"/>
        <c:smooth val="0"/>
        <c:axId val="632823488"/>
        <c:axId val="632814960"/>
      </c:lineChart>
      <c:catAx>
        <c:axId val="63282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mn-lt"/>
                <a:ea typeface="+mn-ea"/>
                <a:cs typeface="+mn-cs"/>
              </a:defRPr>
            </a:pPr>
            <a:endParaRPr lang="en-US"/>
          </a:p>
        </c:txPr>
        <c:crossAx val="632814960"/>
        <c:crosses val="autoZero"/>
        <c:auto val="1"/>
        <c:lblAlgn val="ctr"/>
        <c:lblOffset val="100"/>
        <c:noMultiLvlLbl val="0"/>
      </c:catAx>
      <c:valAx>
        <c:axId val="63281496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Temperature (</a:t>
                </a:r>
                <a:r>
                  <a:rPr lang="en-AU" sz="1000" b="0" i="0" u="none" strike="noStrike" baseline="0">
                    <a:effectLst/>
                  </a:rPr>
                  <a:t>°C</a:t>
                </a:r>
                <a:r>
                  <a:rPr lang="en-AU" b="1"/>
                  <a:t>)</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3488"/>
        <c:crosses val="autoZero"/>
        <c:crossBetween val="between"/>
        <c:majorUnit val="10"/>
      </c:valAx>
      <c:valAx>
        <c:axId val="632817912"/>
        <c:scaling>
          <c:orientation val="minMax"/>
        </c:scaling>
        <c:delete val="0"/>
        <c:axPos val="r"/>
        <c:title>
          <c:tx>
            <c:rich>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r>
                  <a:rPr lang="en-AU" b="1"/>
                  <a:t>Precipitation (mm)</a:t>
                </a:r>
              </a:p>
            </c:rich>
          </c:tx>
          <c:overlay val="0"/>
          <c:spPr>
            <a:noFill/>
            <a:ln>
              <a:noFill/>
            </a:ln>
            <a:effectLst/>
          </c:spPr>
          <c:txPr>
            <a:bodyPr rot="-5400000" spcFirstLastPara="1" vertOverflow="clip" vert="horz" wrap="square" anchor="ctr" anchorCtr="1"/>
            <a:lstStyle/>
            <a:p>
              <a:pPr>
                <a:defRPr lang="en-US"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632820864"/>
        <c:crosses val="max"/>
        <c:crossBetween val="between"/>
        <c:majorUnit val="200"/>
      </c:valAx>
      <c:catAx>
        <c:axId val="632820864"/>
        <c:scaling>
          <c:orientation val="minMax"/>
        </c:scaling>
        <c:delete val="1"/>
        <c:axPos val="b"/>
        <c:numFmt formatCode="General" sourceLinked="1"/>
        <c:majorTickMark val="none"/>
        <c:minorTickMark val="none"/>
        <c:tickLblPos val="nextTo"/>
        <c:crossAx val="63281791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ysClr val="windowText" lastClr="000000"/>
                </a:solidFill>
                <a:latin typeface="+mn-lt"/>
                <a:ea typeface="+mn-ea"/>
                <a:cs typeface="+mn-cs"/>
              </a:defRPr>
            </a:pPr>
            <a:r>
              <a:rPr lang="en-AU" sz="1200" b="0">
                <a:solidFill>
                  <a:sysClr val="windowText" lastClr="000000"/>
                </a:solidFill>
              </a:rPr>
              <a:t>San Fernando (Central Luzon region)</a:t>
            </a:r>
            <a:r>
              <a:rPr lang="en-AU" sz="1200" b="0" baseline="0">
                <a:solidFill>
                  <a:sysClr val="windowText" lastClr="000000"/>
                </a:solidFill>
              </a:rPr>
              <a:t> </a:t>
            </a:r>
            <a:endParaRPr lang="en-AU" sz="1200" b="0">
              <a:solidFill>
                <a:sysClr val="windowText" lastClr="000000"/>
              </a:solidFill>
            </a:endParaRPr>
          </a:p>
        </c:rich>
      </c:tx>
      <c:overlay val="0"/>
      <c:spPr>
        <a:noFill/>
        <a:ln>
          <a:noFill/>
        </a:ln>
        <a:effectLst/>
      </c:spPr>
      <c:txPr>
        <a:bodyPr rot="0" spcFirstLastPara="1" vertOverflow="clip"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2"/>
          <c:order val="2"/>
          <c:tx>
            <c:strRef>
              <c:f>Sheet1!$C$2</c:f>
              <c:strCache>
                <c:ptCount val="1"/>
                <c:pt idx="0">
                  <c:v>Precipitation</c:v>
                </c:pt>
              </c:strCache>
            </c:strRef>
          </c:tx>
          <c:spPr>
            <a:solidFill>
              <a:srgbClr val="00B0F0"/>
            </a:solidFill>
            <a:ln>
              <a:noFill/>
            </a:ln>
            <a:effectLst/>
          </c:spPr>
          <c:invertIfNegative val="0"/>
          <c:cat>
            <c:strRef>
              <c:f>Sheet1!$D$3:$D$14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Sheet1!$C$3:$C$14</c:f>
              <c:numCache>
                <c:formatCode>General</c:formatCode>
                <c:ptCount val="12"/>
                <c:pt idx="0">
                  <c:v>31</c:v>
                </c:pt>
                <c:pt idx="1">
                  <c:v>27</c:v>
                </c:pt>
                <c:pt idx="2">
                  <c:v>33</c:v>
                </c:pt>
                <c:pt idx="3">
                  <c:v>31</c:v>
                </c:pt>
                <c:pt idx="4">
                  <c:v>143</c:v>
                </c:pt>
                <c:pt idx="5">
                  <c:v>212</c:v>
                </c:pt>
                <c:pt idx="6">
                  <c:v>330</c:v>
                </c:pt>
                <c:pt idx="7">
                  <c:v>293</c:v>
                </c:pt>
                <c:pt idx="8">
                  <c:v>294</c:v>
                </c:pt>
                <c:pt idx="9">
                  <c:v>177</c:v>
                </c:pt>
                <c:pt idx="10">
                  <c:v>82</c:v>
                </c:pt>
                <c:pt idx="11">
                  <c:v>85</c:v>
                </c:pt>
              </c:numCache>
            </c:numRef>
          </c:val>
          <c:extLst>
            <c:ext xmlns:c16="http://schemas.microsoft.com/office/drawing/2014/chart" uri="{C3380CC4-5D6E-409C-BE32-E72D297353CC}">
              <c16:uniqueId val="{00000000-51A0-4213-8A72-D9807CFFD278}"/>
            </c:ext>
          </c:extLst>
        </c:ser>
        <c:dLbls>
          <c:showLegendKey val="0"/>
          <c:showVal val="0"/>
          <c:showCatName val="0"/>
          <c:showSerName val="0"/>
          <c:showPercent val="0"/>
          <c:showBubbleSize val="0"/>
        </c:dLbls>
        <c:gapWidth val="219"/>
        <c:axId val="632820864"/>
        <c:axId val="632817912"/>
      </c:barChart>
      <c:lineChart>
        <c:grouping val="standard"/>
        <c:varyColors val="0"/>
        <c:ser>
          <c:idx val="0"/>
          <c:order val="0"/>
          <c:tx>
            <c:strRef>
              <c:f>Sheet1!$A$2</c:f>
              <c:strCache>
                <c:ptCount val="1"/>
                <c:pt idx="0">
                  <c:v>Min temp</c:v>
                </c:pt>
              </c:strCache>
            </c:strRef>
          </c:tx>
          <c:spPr>
            <a:ln w="28575" cap="rnd">
              <a:solidFill>
                <a:srgbClr val="FFC000"/>
              </a:solidFill>
              <a:round/>
            </a:ln>
            <a:effectLst/>
          </c:spPr>
          <c:marker>
            <c:symbol val="circle"/>
            <c:size val="5"/>
            <c:spPr>
              <a:solidFill>
                <a:srgbClr val="FFC000"/>
              </a:solidFill>
              <a:ln w="9525">
                <a:noFill/>
              </a:ln>
              <a:effectLst/>
            </c:spPr>
          </c:marker>
          <c:cat>
            <c:strRef>
              <c:f>Sheet1!$D$3:$D$14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Sheet1!$A$3:$A$14</c:f>
              <c:numCache>
                <c:formatCode>General</c:formatCode>
                <c:ptCount val="12"/>
                <c:pt idx="0">
                  <c:v>21.7</c:v>
                </c:pt>
                <c:pt idx="1">
                  <c:v>21.7</c:v>
                </c:pt>
                <c:pt idx="2">
                  <c:v>22.8</c:v>
                </c:pt>
                <c:pt idx="3">
                  <c:v>24.3</c:v>
                </c:pt>
                <c:pt idx="4">
                  <c:v>25.3</c:v>
                </c:pt>
                <c:pt idx="5">
                  <c:v>25.1</c:v>
                </c:pt>
                <c:pt idx="6">
                  <c:v>24.8</c:v>
                </c:pt>
                <c:pt idx="7">
                  <c:v>24.8</c:v>
                </c:pt>
                <c:pt idx="8">
                  <c:v>24.5</c:v>
                </c:pt>
                <c:pt idx="9">
                  <c:v>23.9</c:v>
                </c:pt>
                <c:pt idx="10">
                  <c:v>23.5</c:v>
                </c:pt>
                <c:pt idx="11">
                  <c:v>22.8</c:v>
                </c:pt>
              </c:numCache>
            </c:numRef>
          </c:val>
          <c:smooth val="0"/>
          <c:extLst>
            <c:ext xmlns:c16="http://schemas.microsoft.com/office/drawing/2014/chart" uri="{C3380CC4-5D6E-409C-BE32-E72D297353CC}">
              <c16:uniqueId val="{00000001-51A0-4213-8A72-D9807CFFD278}"/>
            </c:ext>
          </c:extLst>
        </c:ser>
        <c:ser>
          <c:idx val="1"/>
          <c:order val="1"/>
          <c:tx>
            <c:strRef>
              <c:f>Sheet1!$B$2</c:f>
              <c:strCache>
                <c:ptCount val="1"/>
                <c:pt idx="0">
                  <c:v>Max Temp</c:v>
                </c:pt>
              </c:strCache>
            </c:strRef>
          </c:tx>
          <c:spPr>
            <a:ln w="28575" cap="rnd">
              <a:solidFill>
                <a:srgbClr val="FF0000"/>
              </a:solidFill>
              <a:round/>
            </a:ln>
            <a:effectLst/>
          </c:spPr>
          <c:marker>
            <c:symbol val="circle"/>
            <c:size val="5"/>
            <c:spPr>
              <a:solidFill>
                <a:srgbClr val="FF0000"/>
              </a:solidFill>
              <a:ln w="9525">
                <a:noFill/>
              </a:ln>
              <a:effectLst/>
            </c:spPr>
          </c:marker>
          <c:cat>
            <c:strRef>
              <c:f>Sheet1!$D$3:$D$14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Sheet1!$B$3:$B$14</c:f>
              <c:numCache>
                <c:formatCode>General</c:formatCode>
                <c:ptCount val="12"/>
                <c:pt idx="0">
                  <c:v>28.3</c:v>
                </c:pt>
                <c:pt idx="1">
                  <c:v>29.2</c:v>
                </c:pt>
                <c:pt idx="2">
                  <c:v>30.9</c:v>
                </c:pt>
                <c:pt idx="3">
                  <c:v>32.9</c:v>
                </c:pt>
                <c:pt idx="4">
                  <c:v>32.4</c:v>
                </c:pt>
                <c:pt idx="5">
                  <c:v>30.6</c:v>
                </c:pt>
                <c:pt idx="6">
                  <c:v>29.5</c:v>
                </c:pt>
                <c:pt idx="7">
                  <c:v>29.2</c:v>
                </c:pt>
                <c:pt idx="8">
                  <c:v>29.4</c:v>
                </c:pt>
                <c:pt idx="9">
                  <c:v>29.6</c:v>
                </c:pt>
                <c:pt idx="10">
                  <c:v>29.5</c:v>
                </c:pt>
                <c:pt idx="11">
                  <c:v>28.6</c:v>
                </c:pt>
              </c:numCache>
            </c:numRef>
          </c:val>
          <c:smooth val="0"/>
          <c:extLst>
            <c:ext xmlns:c16="http://schemas.microsoft.com/office/drawing/2014/chart" uri="{C3380CC4-5D6E-409C-BE32-E72D297353CC}">
              <c16:uniqueId val="{00000002-51A0-4213-8A72-D9807CFFD278}"/>
            </c:ext>
          </c:extLst>
        </c:ser>
        <c:dLbls>
          <c:showLegendKey val="0"/>
          <c:showVal val="0"/>
          <c:showCatName val="0"/>
          <c:showSerName val="0"/>
          <c:showPercent val="0"/>
          <c:showBubbleSize val="0"/>
        </c:dLbls>
        <c:marker val="1"/>
        <c:smooth val="0"/>
        <c:axId val="632823488"/>
        <c:axId val="632814960"/>
      </c:lineChart>
      <c:catAx>
        <c:axId val="6328234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2814960"/>
        <c:crosses val="autoZero"/>
        <c:auto val="1"/>
        <c:lblAlgn val="ctr"/>
        <c:lblOffset val="100"/>
        <c:noMultiLvlLbl val="0"/>
      </c:catAx>
      <c:valAx>
        <c:axId val="63281496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Temperature</a:t>
                </a:r>
                <a:r>
                  <a:rPr lang="en-AU" b="1" baseline="0">
                    <a:solidFill>
                      <a:sysClr val="windowText" lastClr="000000"/>
                    </a:solidFill>
                  </a:rPr>
                  <a:t> (</a:t>
                </a:r>
                <a:r>
                  <a:rPr lang="en-AU" sz="1000" b="1" i="0" u="none" strike="noStrike" baseline="0">
                    <a:solidFill>
                      <a:sysClr val="windowText" lastClr="000000"/>
                    </a:solidFill>
                    <a:effectLst/>
                  </a:rPr>
                  <a:t>°C</a:t>
                </a:r>
                <a:r>
                  <a:rPr lang="en-AU" b="1" baseline="0">
                    <a:solidFill>
                      <a:sysClr val="windowText" lastClr="000000"/>
                    </a:solidFill>
                  </a:rPr>
                  <a:t>)</a:t>
                </a:r>
                <a:endParaRPr lang="en-AU" b="1">
                  <a:solidFill>
                    <a:sysClr val="windowText" lastClr="000000"/>
                  </a:solidFill>
                </a:endParaRPr>
              </a:p>
            </c:rich>
          </c:tx>
          <c:overlay val="0"/>
          <c:spPr>
            <a:noFill/>
            <a:ln>
              <a:noFill/>
            </a:ln>
            <a:effectLst/>
          </c:spPr>
          <c:txPr>
            <a:bodyPr rot="-5400000" spcFirstLastPara="1" vertOverflow="clip"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2823488"/>
        <c:crosses val="autoZero"/>
        <c:crossBetween val="between"/>
        <c:majorUnit val="10"/>
      </c:valAx>
      <c:valAx>
        <c:axId val="632817912"/>
        <c:scaling>
          <c:orientation val="minMax"/>
        </c:scaling>
        <c:delete val="0"/>
        <c:axPos val="r"/>
        <c:title>
          <c:tx>
            <c:rich>
              <a:bodyPr rot="-5400000" spcFirstLastPara="1" vertOverflow="clip"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Precipitation (mm)</a:t>
                </a:r>
              </a:p>
            </c:rich>
          </c:tx>
          <c:overlay val="0"/>
          <c:spPr>
            <a:noFill/>
            <a:ln>
              <a:noFill/>
            </a:ln>
            <a:effectLst/>
          </c:spPr>
          <c:txPr>
            <a:bodyPr rot="-5400000" spcFirstLastPara="1" vertOverflow="clip"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2820864"/>
        <c:crosses val="max"/>
        <c:crossBetween val="between"/>
        <c:majorUnit val="100"/>
      </c:valAx>
      <c:catAx>
        <c:axId val="632820864"/>
        <c:scaling>
          <c:orientation val="minMax"/>
        </c:scaling>
        <c:delete val="1"/>
        <c:axPos val="b"/>
        <c:numFmt formatCode="General" sourceLinked="1"/>
        <c:majorTickMark val="none"/>
        <c:minorTickMark val="none"/>
        <c:tickLblPos val="nextTo"/>
        <c:crossAx val="63281791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120</Pages>
  <Words>40521</Words>
  <Characters>231377</Characters>
  <Application>Microsoft Office Word</Application>
  <DocSecurity>0</DocSecurity>
  <Lines>6805</Lines>
  <Paragraphs>3021</Paragraphs>
  <ScaleCrop>false</ScaleCrop>
  <HeadingPairs>
    <vt:vector size="2" baseType="variant">
      <vt:variant>
        <vt:lpstr>Title</vt:lpstr>
      </vt:variant>
      <vt:variant>
        <vt:i4>1</vt:i4>
      </vt:variant>
    </vt:vector>
  </HeadingPairs>
  <TitlesOfParts>
    <vt:vector size="1" baseType="lpstr">
      <vt:lpstr>Dragon fruit from the Philippines: biosecurity import requirements draft report</vt:lpstr>
    </vt:vector>
  </TitlesOfParts>
  <Company/>
  <LinksUpToDate>false</LinksUpToDate>
  <CharactersWithSpaces>268877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Dragon fruit from the Philippines: biosecurity import requirements draft report</dc:title>
  <dc:creator>Department of Agriculture, Fisheries and Forestry</dc:creator>
  <cp:lastModifiedBy>Whatman, Peter</cp:lastModifiedBy>
  <cp:revision>12</cp:revision>
  <cp:lastPrinted>2022-12-01T04:06:00Z</cp:lastPrinted>
  <dcterms:created xsi:type="dcterms:W3CDTF">2022-11-16T01:14:00Z</dcterms:created>
  <dcterms:modified xsi:type="dcterms:W3CDTF">2022-12-01T04:10:00Z</dcterms:modified>
</cp:coreProperties>
</file>