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00473" w14:textId="7ACFE09E" w:rsidR="004726BA" w:rsidRPr="00C67426" w:rsidRDefault="004726BA" w:rsidP="00800E7D">
      <w:pPr>
        <w:pStyle w:val="Heading1"/>
      </w:pPr>
      <w:bookmarkStart w:id="0" w:name="_Hlk178764345"/>
      <w:bookmarkStart w:id="1" w:name="year"/>
      <w:r w:rsidRPr="00C67426">
        <w:t>Review of devitalisatio</w:t>
      </w:r>
      <w:r w:rsidR="006F2A23">
        <w:t>n</w:t>
      </w:r>
      <w:r w:rsidRPr="00C67426">
        <w:t xml:space="preserve"> requirements for fresh cut flower and foliage imports: draft report</w:t>
      </w:r>
    </w:p>
    <w:bookmarkEnd w:id="0"/>
    <w:p w14:paraId="54377CBA" w14:textId="240E6F7F" w:rsidR="004726BA" w:rsidRPr="00525379" w:rsidRDefault="00462BE5" w:rsidP="00800E7D">
      <w:pPr>
        <w:spacing w:after="720"/>
      </w:pPr>
      <w:r w:rsidRPr="003C3A19">
        <w:t>October</w:t>
      </w:r>
      <w:r w:rsidR="004726BA" w:rsidRPr="003C3A19">
        <w:t xml:space="preserve"> 2025</w:t>
      </w:r>
      <w:bookmarkEnd w:id="1"/>
    </w:p>
    <w:p w14:paraId="6FB8DA50" w14:textId="77777777" w:rsidR="004726BA" w:rsidRPr="00525379" w:rsidRDefault="004726BA" w:rsidP="00800E7D">
      <w:pPr>
        <w:spacing w:after="720"/>
      </w:pPr>
      <w:r w:rsidRPr="00525379">
        <w:rPr>
          <w:noProof/>
          <w14:ligatures w14:val="standardContextual"/>
        </w:rPr>
        <w:drawing>
          <wp:anchor distT="0" distB="0" distL="114300" distR="114300" simplePos="0" relativeHeight="251658240" behindDoc="1" locked="0" layoutInCell="1" allowOverlap="1" wp14:anchorId="3C8DE64B" wp14:editId="2AC8986D">
            <wp:simplePos x="0" y="0"/>
            <wp:positionH relativeFrom="margin">
              <wp:align>center</wp:align>
            </wp:positionH>
            <wp:positionV relativeFrom="paragraph">
              <wp:posOffset>6432</wp:posOffset>
            </wp:positionV>
            <wp:extent cx="4229100" cy="3360420"/>
            <wp:effectExtent l="0" t="0" r="0" b="0"/>
            <wp:wrapSquare wrapText="bothSides"/>
            <wp:docPr id="3" name="Picture 1" descr="Picture shows flowers in a tub, sitting on a loadng tro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shows flowers in a tub, sitting on a loadng trolley.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3360420"/>
                    </a:xfrm>
                    <a:prstGeom prst="rect">
                      <a:avLst/>
                    </a:prstGeom>
                    <a:noFill/>
                    <a:ln>
                      <a:noFill/>
                    </a:ln>
                  </pic:spPr>
                </pic:pic>
              </a:graphicData>
            </a:graphic>
          </wp:anchor>
        </w:drawing>
      </w:r>
    </w:p>
    <w:p w14:paraId="219C1ABD" w14:textId="77777777" w:rsidR="004726BA" w:rsidRPr="00525379" w:rsidRDefault="004726BA" w:rsidP="00800E7D">
      <w:pPr>
        <w:spacing w:after="720"/>
      </w:pPr>
    </w:p>
    <w:p w14:paraId="7CBA78E2" w14:textId="77777777" w:rsidR="004726BA" w:rsidRPr="00525379" w:rsidRDefault="004726BA" w:rsidP="00800E7D">
      <w:pPr>
        <w:spacing w:after="720"/>
      </w:pPr>
    </w:p>
    <w:p w14:paraId="18BC6719" w14:textId="77777777" w:rsidR="004726BA" w:rsidRPr="00525379" w:rsidRDefault="004726BA" w:rsidP="00800E7D">
      <w:pPr>
        <w:spacing w:after="720"/>
      </w:pPr>
    </w:p>
    <w:p w14:paraId="0ECBDA44" w14:textId="77777777" w:rsidR="004726BA" w:rsidRPr="00525379" w:rsidRDefault="004726BA" w:rsidP="00800E7D">
      <w:pPr>
        <w:pStyle w:val="Picture"/>
        <w:jc w:val="center"/>
        <w:rPr>
          <w:noProof w:val="0"/>
          <w:color w:val="000000" w:themeColor="text1"/>
          <w:sz w:val="18"/>
          <w:lang w:eastAsia="en-US"/>
        </w:rPr>
        <w:sectPr w:rsidR="004726BA" w:rsidRPr="00525379" w:rsidSect="004726B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525379">
        <w:rPr>
          <w:noProof w:val="0"/>
          <w:color w:val="000000" w:themeColor="text1"/>
          <w:sz w:val="18"/>
          <w:lang w:eastAsia="en-US"/>
        </w:rPr>
        <w:t xml:space="preserve">    </w:t>
      </w:r>
    </w:p>
    <w:p w14:paraId="3D810E50" w14:textId="77777777" w:rsidR="004726BA" w:rsidRPr="00525379" w:rsidRDefault="004726BA" w:rsidP="00800E7D">
      <w:pPr>
        <w:pStyle w:val="Normalsmall"/>
        <w:rPr>
          <w:color w:val="000000" w:themeColor="text1"/>
        </w:rPr>
      </w:pPr>
      <w:r w:rsidRPr="00525379">
        <w:rPr>
          <w:color w:val="000000" w:themeColor="text1"/>
        </w:rPr>
        <w:lastRenderedPageBreak/>
        <w:t>© Commonwealth of Australia</w:t>
      </w:r>
      <w:r>
        <w:rPr>
          <w:color w:val="000000" w:themeColor="text1"/>
        </w:rPr>
        <w:t xml:space="preserve"> 2025</w:t>
      </w:r>
      <w:r w:rsidRPr="00525379">
        <w:rPr>
          <w:color w:val="000000" w:themeColor="text1"/>
        </w:rPr>
        <w:t xml:space="preserve"> </w:t>
      </w:r>
    </w:p>
    <w:p w14:paraId="1B0EE1F7" w14:textId="77777777" w:rsidR="004726BA" w:rsidRPr="00525379" w:rsidRDefault="004726BA" w:rsidP="00800E7D">
      <w:pPr>
        <w:pStyle w:val="Normalsmall"/>
        <w:rPr>
          <w:color w:val="000000" w:themeColor="text1"/>
        </w:rPr>
      </w:pPr>
      <w:r w:rsidRPr="00525379">
        <w:rPr>
          <w:b/>
          <w:color w:val="000000" w:themeColor="text1"/>
        </w:rPr>
        <w:t>Ownership of intellectual property rights</w:t>
      </w:r>
    </w:p>
    <w:p w14:paraId="24FF7E79" w14:textId="77777777" w:rsidR="004726BA" w:rsidRPr="00525379" w:rsidRDefault="004726BA" w:rsidP="00800E7D">
      <w:pPr>
        <w:pStyle w:val="Normalsmall"/>
        <w:rPr>
          <w:color w:val="000000" w:themeColor="text1"/>
        </w:rPr>
      </w:pPr>
      <w:r w:rsidRPr="00525379">
        <w:rPr>
          <w:color w:val="000000" w:themeColor="text1"/>
        </w:rPr>
        <w:t>Unless otherwise noted, copyright (and any other intellectual property rights) in this publication is owned by the Commonwealth of Australia (referred to as the Commonwealth).</w:t>
      </w:r>
    </w:p>
    <w:p w14:paraId="78A3B534" w14:textId="77777777" w:rsidR="004726BA" w:rsidRPr="00525379" w:rsidRDefault="004726BA" w:rsidP="00800E7D">
      <w:pPr>
        <w:pStyle w:val="Normalsmall"/>
        <w:rPr>
          <w:b/>
          <w:color w:val="000000" w:themeColor="text1"/>
        </w:rPr>
      </w:pPr>
      <w:r w:rsidRPr="00525379">
        <w:rPr>
          <w:b/>
          <w:color w:val="000000" w:themeColor="text1"/>
        </w:rPr>
        <w:t>Creative Commons licence</w:t>
      </w:r>
    </w:p>
    <w:p w14:paraId="3B6B9682" w14:textId="77777777" w:rsidR="004726BA" w:rsidRPr="00525379" w:rsidRDefault="004726BA" w:rsidP="00800E7D">
      <w:pPr>
        <w:pStyle w:val="Normalsmall"/>
      </w:pPr>
      <w:r w:rsidRPr="00525379">
        <w:rPr>
          <w:color w:val="000000" w:themeColor="text1"/>
        </w:rPr>
        <w:t xml:space="preserve">All material in this publication is licensed under </w:t>
      </w:r>
      <w:r w:rsidRPr="00525379">
        <w:t xml:space="preserve">a </w:t>
      </w:r>
      <w:hyperlink r:id="rId18" w:history="1">
        <w:r w:rsidRPr="00525379">
          <w:rPr>
            <w:rStyle w:val="Hyperlink"/>
          </w:rPr>
          <w:t>Creative Commons Attribution 4.0 International Licence</w:t>
        </w:r>
      </w:hyperlink>
      <w:r w:rsidRPr="00525379">
        <w:t xml:space="preserve"> except content supplied by third parties, logos and the Commonwealth Coat of Arms.</w:t>
      </w:r>
    </w:p>
    <w:p w14:paraId="2979D491" w14:textId="77777777" w:rsidR="004726BA" w:rsidRPr="00525379" w:rsidRDefault="004726BA" w:rsidP="00800E7D">
      <w:pPr>
        <w:pStyle w:val="Normalsmall"/>
      </w:pPr>
      <w:r w:rsidRPr="00525379">
        <w:rPr>
          <w:noProof/>
          <w:lang w:eastAsia="en-AU"/>
        </w:rPr>
        <w:drawing>
          <wp:inline distT="0" distB="0" distL="0" distR="0" wp14:anchorId="6C8C4485" wp14:editId="5C2D81A0">
            <wp:extent cx="724535" cy="255270"/>
            <wp:effectExtent l="0" t="0" r="0" b="0"/>
            <wp:docPr id="2" name="Picture 2"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1DC8243" w14:textId="77777777" w:rsidR="004726BA" w:rsidRPr="00525379" w:rsidRDefault="004726BA" w:rsidP="00800E7D">
      <w:pPr>
        <w:pStyle w:val="Normalsmall"/>
        <w:rPr>
          <w:rStyle w:val="Strong"/>
        </w:rPr>
      </w:pPr>
      <w:r w:rsidRPr="00525379">
        <w:rPr>
          <w:rStyle w:val="Strong"/>
        </w:rPr>
        <w:t>Cataloguing data</w:t>
      </w:r>
    </w:p>
    <w:p w14:paraId="437E1809" w14:textId="77777777" w:rsidR="004726BA" w:rsidRPr="00525379" w:rsidRDefault="004726BA" w:rsidP="00800E7D">
      <w:pPr>
        <w:pStyle w:val="Normalsmall"/>
      </w:pPr>
      <w:r w:rsidRPr="00525379">
        <w:t>This publication (and any material sourced from it) should be attributed as: DAFF</w:t>
      </w:r>
      <w:r>
        <w:t xml:space="preserve"> 2025</w:t>
      </w:r>
      <w:r w:rsidRPr="00525379">
        <w:t xml:space="preserve">, </w:t>
      </w:r>
      <w:r>
        <w:rPr>
          <w:rStyle w:val="Emphasis"/>
        </w:rPr>
        <w:t>R</w:t>
      </w:r>
      <w:r w:rsidRPr="008F3AF6">
        <w:rPr>
          <w:rStyle w:val="Emphasis"/>
        </w:rPr>
        <w:t xml:space="preserve">eview of devitalisation </w:t>
      </w:r>
      <w:r>
        <w:rPr>
          <w:rStyle w:val="Emphasis"/>
        </w:rPr>
        <w:t>requirements for fresh c</w:t>
      </w:r>
      <w:r w:rsidRPr="00F5777C">
        <w:rPr>
          <w:rStyle w:val="Emphasis"/>
        </w:rPr>
        <w:t xml:space="preserve">ut </w:t>
      </w:r>
      <w:r>
        <w:rPr>
          <w:rStyle w:val="Emphasis"/>
        </w:rPr>
        <w:t>f</w:t>
      </w:r>
      <w:r w:rsidRPr="00F5777C">
        <w:rPr>
          <w:rStyle w:val="Emphasis"/>
        </w:rPr>
        <w:t xml:space="preserve">lower and </w:t>
      </w:r>
      <w:r>
        <w:rPr>
          <w:rStyle w:val="Emphasis"/>
        </w:rPr>
        <w:t>f</w:t>
      </w:r>
      <w:r w:rsidRPr="00F5777C">
        <w:rPr>
          <w:rStyle w:val="Emphasis"/>
        </w:rPr>
        <w:t xml:space="preserve">oliage </w:t>
      </w:r>
      <w:r>
        <w:rPr>
          <w:rStyle w:val="Emphasis"/>
        </w:rPr>
        <w:t>i</w:t>
      </w:r>
      <w:r w:rsidRPr="00F5777C">
        <w:rPr>
          <w:rStyle w:val="Emphasis"/>
        </w:rPr>
        <w:t>mports</w:t>
      </w:r>
      <w:r>
        <w:rPr>
          <w:rStyle w:val="Emphasis"/>
        </w:rPr>
        <w:t>: draft report</w:t>
      </w:r>
      <w:r w:rsidRPr="00525379">
        <w:t>, Department of Agriculture, Fisheries and Forestry, Canberra, CC BY 4.0.</w:t>
      </w:r>
    </w:p>
    <w:p w14:paraId="576CE6FD" w14:textId="77777777" w:rsidR="004726BA" w:rsidRPr="00525379" w:rsidRDefault="004726BA" w:rsidP="00800E7D">
      <w:pPr>
        <w:pStyle w:val="Normalsmall"/>
      </w:pPr>
      <w:r w:rsidRPr="00525379">
        <w:rPr>
          <w:color w:val="000000" w:themeColor="text1"/>
        </w:rPr>
        <w:t xml:space="preserve">This publication is available at </w:t>
      </w:r>
      <w:hyperlink r:id="rId20" w:history="1">
        <w:r w:rsidRPr="00525379">
          <w:rPr>
            <w:rStyle w:val="Hyperlink"/>
          </w:rPr>
          <w:t>agriculture.gov.au/about/publications</w:t>
        </w:r>
      </w:hyperlink>
      <w:r w:rsidRPr="00525379">
        <w:t>.</w:t>
      </w:r>
    </w:p>
    <w:p w14:paraId="07E649F6" w14:textId="77777777" w:rsidR="004726BA" w:rsidRPr="00525379" w:rsidRDefault="004726BA" w:rsidP="00800E7D">
      <w:pPr>
        <w:pStyle w:val="Normalsmall"/>
        <w:spacing w:after="0"/>
      </w:pPr>
      <w:r w:rsidRPr="00525379">
        <w:t>Department of Agriculture, Fisheries and Forestry</w:t>
      </w:r>
    </w:p>
    <w:p w14:paraId="28B011E0" w14:textId="77777777" w:rsidR="004726BA" w:rsidRPr="00525379" w:rsidRDefault="004726BA" w:rsidP="00800E7D">
      <w:pPr>
        <w:pStyle w:val="Normalsmall"/>
        <w:spacing w:after="0"/>
      </w:pPr>
      <w:r w:rsidRPr="00525379">
        <w:t>GPO Box 858 Canberra ACT 2601</w:t>
      </w:r>
    </w:p>
    <w:p w14:paraId="05AA7800" w14:textId="77777777" w:rsidR="004726BA" w:rsidRPr="00525379" w:rsidRDefault="004726BA" w:rsidP="00800E7D">
      <w:pPr>
        <w:pStyle w:val="Normalsmall"/>
        <w:spacing w:after="0"/>
      </w:pPr>
      <w:r w:rsidRPr="00525379">
        <w:t>Telephone 1800 900 090</w:t>
      </w:r>
    </w:p>
    <w:p w14:paraId="77CA3F42" w14:textId="77777777" w:rsidR="004726BA" w:rsidRPr="00525379" w:rsidRDefault="004726BA" w:rsidP="00800E7D">
      <w:pPr>
        <w:pStyle w:val="Normalsmall"/>
        <w:spacing w:after="0"/>
        <w:rPr>
          <w:color w:val="000000" w:themeColor="text1"/>
        </w:rPr>
      </w:pPr>
      <w:r w:rsidRPr="00525379">
        <w:t xml:space="preserve">Web </w:t>
      </w:r>
      <w:hyperlink r:id="rId21" w:history="1">
        <w:r w:rsidRPr="00525379">
          <w:rPr>
            <w:rStyle w:val="Hyperlink"/>
          </w:rPr>
          <w:t>agriculture.gov.au</w:t>
        </w:r>
      </w:hyperlink>
    </w:p>
    <w:p w14:paraId="24E9CE13" w14:textId="77777777" w:rsidR="004726BA" w:rsidRPr="00525379" w:rsidRDefault="004726BA" w:rsidP="00800E7D">
      <w:pPr>
        <w:pStyle w:val="Normalsmall"/>
        <w:rPr>
          <w:color w:val="000000" w:themeColor="text1"/>
        </w:rPr>
      </w:pPr>
      <w:r w:rsidRPr="00525379">
        <w:rPr>
          <w:color w:val="000000" w:themeColor="text1"/>
        </w:rPr>
        <w:t xml:space="preserve">Email: </w:t>
      </w:r>
      <w:hyperlink r:id="rId22" w:history="1">
        <w:r w:rsidRPr="00525379">
          <w:rPr>
            <w:rStyle w:val="Hyperlink"/>
          </w:rPr>
          <w:t>plantstakeholders@aff.gov.au</w:t>
        </w:r>
      </w:hyperlink>
    </w:p>
    <w:p w14:paraId="3893758F" w14:textId="77777777" w:rsidR="004726BA" w:rsidRPr="00525379" w:rsidRDefault="004726BA" w:rsidP="00800E7D">
      <w:pPr>
        <w:pStyle w:val="Normalsmall"/>
        <w:rPr>
          <w:rStyle w:val="Strong"/>
        </w:rPr>
      </w:pPr>
      <w:r w:rsidRPr="00525379">
        <w:rPr>
          <w:rStyle w:val="Strong"/>
        </w:rPr>
        <w:t>Disclaimer</w:t>
      </w:r>
    </w:p>
    <w:p w14:paraId="0C11D3CE" w14:textId="77777777" w:rsidR="004726BA" w:rsidRPr="00525379" w:rsidRDefault="004726BA" w:rsidP="00800E7D">
      <w:pPr>
        <w:pStyle w:val="Normalsmall"/>
        <w:rPr>
          <w:color w:val="000000" w:themeColor="text1"/>
        </w:rPr>
      </w:pPr>
      <w:r w:rsidRPr="00525379">
        <w:rPr>
          <w:color w:val="000000" w:themeColor="text1"/>
        </w:rP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2F74C0C" w14:textId="77777777" w:rsidR="004726BA" w:rsidRPr="00525379" w:rsidRDefault="004726BA" w:rsidP="00800E7D">
      <w:pPr>
        <w:pStyle w:val="Normalsmall"/>
      </w:pPr>
      <w:r w:rsidRPr="00525379">
        <w:rPr>
          <w:rStyle w:val="Strong"/>
        </w:rPr>
        <w:t>Acknowledgement of Country</w:t>
      </w:r>
    </w:p>
    <w:p w14:paraId="042D2368" w14:textId="77777777" w:rsidR="004726BA" w:rsidRPr="00F02C51" w:rsidRDefault="004726BA" w:rsidP="00800E7D">
      <w:pPr>
        <w:pStyle w:val="Normalsmall"/>
      </w:pPr>
      <w:r w:rsidRPr="00F02C51">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2B4055A" w14:textId="77777777" w:rsidR="004726BA" w:rsidRPr="00525379" w:rsidRDefault="004726BA" w:rsidP="00800E7D">
      <w:pPr>
        <w:pStyle w:val="Normalsmall"/>
        <w:rPr>
          <w:b/>
          <w:bCs/>
        </w:rPr>
      </w:pPr>
      <w:r w:rsidRPr="00525379">
        <w:rPr>
          <w:b/>
          <w:bCs/>
        </w:rPr>
        <w:t>Stakeholder submissions on draft reports</w:t>
      </w:r>
    </w:p>
    <w:p w14:paraId="5F3E2CDA" w14:textId="77777777" w:rsidR="004726BA" w:rsidRPr="00525379" w:rsidRDefault="004726BA" w:rsidP="00800E7D">
      <w:pPr>
        <w:pStyle w:val="Normalsmall"/>
      </w:pPr>
      <w:r w:rsidRPr="00525379">
        <w:t>This draft report has been issued to give all interested parties an opportunity to comment on relevant technical biosecurity issues, with supporting rationale. A final report will then be produced taking into consideration any comments received.</w:t>
      </w:r>
    </w:p>
    <w:p w14:paraId="6F4B9B42" w14:textId="77777777" w:rsidR="004726BA" w:rsidRPr="00525379" w:rsidRDefault="004726BA" w:rsidP="00800E7D">
      <w:pPr>
        <w:pStyle w:val="Normalsmall"/>
        <w:rPr>
          <w:color w:val="000000" w:themeColor="text1"/>
        </w:rPr>
      </w:pPr>
      <w:r w:rsidRPr="00525379">
        <w:t>Submissions should be sent to the Department of Agriculture, Fisheries and Forestry following the conditions specified within the related Biosecurity Advice, which is available at:</w:t>
      </w:r>
      <w:hyperlink r:id="rId23" w:history="1">
        <w:r w:rsidRPr="00525379">
          <w:t xml:space="preserve"> </w:t>
        </w:r>
        <w:r w:rsidRPr="00525379">
          <w:rPr>
            <w:rStyle w:val="Hyperlink"/>
          </w:rPr>
          <w:t>agriculture.gov.au/biosecurity/risk-analysis/memos</w:t>
        </w:r>
      </w:hyperlink>
      <w:r w:rsidRPr="00525379">
        <w:t>.</w:t>
      </w:r>
    </w:p>
    <w:p w14:paraId="42901AAD" w14:textId="77777777" w:rsidR="004726BA" w:rsidRPr="00525379" w:rsidRDefault="004726BA" w:rsidP="00800E7D">
      <w:pPr>
        <w:pStyle w:val="TableText"/>
        <w:spacing w:after="240"/>
        <w:rPr>
          <w:color w:val="63B1E5"/>
        </w:rPr>
        <w:sectPr w:rsidR="004726BA" w:rsidRPr="00525379" w:rsidSect="004726BA">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567" w:footer="850" w:gutter="0"/>
          <w:pgNumType w:fmt="lowerRoman" w:start="2"/>
          <w:cols w:space="708"/>
          <w:docGrid w:linePitch="360"/>
        </w:sectPr>
      </w:pPr>
    </w:p>
    <w:p w14:paraId="2D5C47AC" w14:textId="77777777" w:rsidR="004726BA" w:rsidRPr="009E0190" w:rsidRDefault="004726BA" w:rsidP="00800E7D">
      <w:pPr>
        <w:pStyle w:val="TOCHeading"/>
        <w:rPr>
          <w:color w:val="000000" w:themeColor="text1"/>
          <w:lang w:val="en-AU"/>
        </w:rPr>
      </w:pPr>
      <w:r w:rsidRPr="009E0190">
        <w:rPr>
          <w:color w:val="000000" w:themeColor="text1"/>
          <w:lang w:val="en-AU"/>
        </w:rPr>
        <w:lastRenderedPageBreak/>
        <w:t>Contents</w:t>
      </w:r>
    </w:p>
    <w:p w14:paraId="48366FBE"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rPr>
          <w:szCs w:val="24"/>
        </w:rPr>
        <w:fldChar w:fldCharType="begin"/>
      </w:r>
      <w:r>
        <w:rPr>
          <w:szCs w:val="24"/>
        </w:rPr>
        <w:instrText xml:space="preserve"> TOC \t "Heading 2,1,Heading 3,2"  \* MERGEFORMAT </w:instrText>
      </w:r>
      <w:r>
        <w:rPr>
          <w:szCs w:val="24"/>
        </w:rPr>
        <w:fldChar w:fldCharType="separate"/>
      </w:r>
      <w:r>
        <w:t>Summary</w:t>
      </w:r>
      <w:r>
        <w:tab/>
      </w:r>
      <w:r>
        <w:fldChar w:fldCharType="begin"/>
      </w:r>
      <w:r>
        <w:instrText xml:space="preserve"> PAGEREF _Toc197953557 \h </w:instrText>
      </w:r>
      <w:r>
        <w:fldChar w:fldCharType="separate"/>
      </w:r>
      <w:r>
        <w:t>v</w:t>
      </w:r>
      <w:r>
        <w:fldChar w:fldCharType="end"/>
      </w:r>
    </w:p>
    <w:p w14:paraId="6B69B931"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1</w:t>
      </w:r>
      <w:r>
        <w:rPr>
          <w:rFonts w:asciiTheme="minorHAnsi" w:eastAsiaTheme="minorEastAsia" w:hAnsiTheme="minorHAnsi"/>
          <w:b w:val="0"/>
          <w:kern w:val="2"/>
          <w:sz w:val="24"/>
          <w:szCs w:val="24"/>
          <w:lang w:eastAsia="en-AU"/>
          <w14:ligatures w14:val="standardContextual"/>
        </w:rPr>
        <w:tab/>
      </w:r>
      <w:r>
        <w:t>Introduction</w:t>
      </w:r>
      <w:r>
        <w:tab/>
      </w:r>
      <w:r>
        <w:fldChar w:fldCharType="begin"/>
      </w:r>
      <w:r>
        <w:instrText xml:space="preserve"> PAGEREF _Toc197953558 \h </w:instrText>
      </w:r>
      <w:r>
        <w:fldChar w:fldCharType="separate"/>
      </w:r>
      <w:r>
        <w:t>1</w:t>
      </w:r>
      <w:r>
        <w:fldChar w:fldCharType="end"/>
      </w:r>
    </w:p>
    <w:p w14:paraId="51F27F97"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1.1</w:t>
      </w:r>
      <w:r>
        <w:rPr>
          <w:rFonts w:asciiTheme="minorHAnsi" w:eastAsiaTheme="minorEastAsia" w:hAnsiTheme="minorHAnsi"/>
          <w:kern w:val="2"/>
          <w:sz w:val="24"/>
          <w:szCs w:val="24"/>
          <w:lang w:eastAsia="en-AU"/>
          <w14:ligatures w14:val="standardContextual"/>
        </w:rPr>
        <w:tab/>
      </w:r>
      <w:r>
        <w:t>Background</w:t>
      </w:r>
      <w:r>
        <w:tab/>
      </w:r>
      <w:r>
        <w:fldChar w:fldCharType="begin"/>
      </w:r>
      <w:r>
        <w:instrText xml:space="preserve"> PAGEREF _Toc197953559 \h </w:instrText>
      </w:r>
      <w:r>
        <w:fldChar w:fldCharType="separate"/>
      </w:r>
      <w:r>
        <w:t>1</w:t>
      </w:r>
      <w:r>
        <w:fldChar w:fldCharType="end"/>
      </w:r>
    </w:p>
    <w:p w14:paraId="5F15A82F"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1.2</w:t>
      </w:r>
      <w:r>
        <w:rPr>
          <w:rFonts w:asciiTheme="minorHAnsi" w:eastAsiaTheme="minorEastAsia" w:hAnsiTheme="minorHAnsi"/>
          <w:kern w:val="2"/>
          <w:sz w:val="24"/>
          <w:szCs w:val="24"/>
          <w:lang w:eastAsia="en-AU"/>
          <w14:ligatures w14:val="standardContextual"/>
        </w:rPr>
        <w:tab/>
      </w:r>
      <w:r>
        <w:t>Scope</w:t>
      </w:r>
      <w:r>
        <w:tab/>
      </w:r>
      <w:r>
        <w:fldChar w:fldCharType="begin"/>
      </w:r>
      <w:r>
        <w:instrText xml:space="preserve"> PAGEREF _Toc197953560 \h </w:instrText>
      </w:r>
      <w:r>
        <w:fldChar w:fldCharType="separate"/>
      </w:r>
      <w:r>
        <w:t>1</w:t>
      </w:r>
      <w:r>
        <w:fldChar w:fldCharType="end"/>
      </w:r>
    </w:p>
    <w:p w14:paraId="5CE1F53B"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1.3</w:t>
      </w:r>
      <w:r>
        <w:rPr>
          <w:rFonts w:asciiTheme="minorHAnsi" w:eastAsiaTheme="minorEastAsia" w:hAnsiTheme="minorHAnsi"/>
          <w:kern w:val="2"/>
          <w:sz w:val="24"/>
          <w:szCs w:val="24"/>
          <w:lang w:eastAsia="en-AU"/>
          <w14:ligatures w14:val="standardContextual"/>
        </w:rPr>
        <w:tab/>
      </w:r>
      <w:r>
        <w:t>Existing policy</w:t>
      </w:r>
      <w:r>
        <w:tab/>
      </w:r>
      <w:r>
        <w:fldChar w:fldCharType="begin"/>
      </w:r>
      <w:r>
        <w:instrText xml:space="preserve"> PAGEREF _Toc197953561 \h </w:instrText>
      </w:r>
      <w:r>
        <w:fldChar w:fldCharType="separate"/>
      </w:r>
      <w:r>
        <w:t>2</w:t>
      </w:r>
      <w:r>
        <w:fldChar w:fldCharType="end"/>
      </w:r>
    </w:p>
    <w:p w14:paraId="6389B053"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1.4</w:t>
      </w:r>
      <w:r>
        <w:rPr>
          <w:rFonts w:asciiTheme="minorHAnsi" w:eastAsiaTheme="minorEastAsia" w:hAnsiTheme="minorHAnsi"/>
          <w:kern w:val="2"/>
          <w:sz w:val="24"/>
          <w:szCs w:val="24"/>
          <w:lang w:eastAsia="en-AU"/>
          <w14:ligatures w14:val="standardContextual"/>
        </w:rPr>
        <w:tab/>
      </w:r>
      <w:r>
        <w:t>Consultation</w:t>
      </w:r>
      <w:r>
        <w:tab/>
      </w:r>
      <w:r>
        <w:fldChar w:fldCharType="begin"/>
      </w:r>
      <w:r>
        <w:instrText xml:space="preserve"> PAGEREF _Toc197953562 \h </w:instrText>
      </w:r>
      <w:r>
        <w:fldChar w:fldCharType="separate"/>
      </w:r>
      <w:r>
        <w:t>4</w:t>
      </w:r>
      <w:r>
        <w:fldChar w:fldCharType="end"/>
      </w:r>
    </w:p>
    <w:p w14:paraId="343E3C77"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1.5</w:t>
      </w:r>
      <w:r>
        <w:rPr>
          <w:rFonts w:asciiTheme="minorHAnsi" w:eastAsiaTheme="minorEastAsia" w:hAnsiTheme="minorHAnsi"/>
          <w:kern w:val="2"/>
          <w:sz w:val="24"/>
          <w:szCs w:val="24"/>
          <w:lang w:eastAsia="en-AU"/>
          <w14:ligatures w14:val="standardContextual"/>
        </w:rPr>
        <w:tab/>
      </w:r>
      <w:r>
        <w:t>Next steps</w:t>
      </w:r>
      <w:r>
        <w:tab/>
      </w:r>
      <w:r>
        <w:fldChar w:fldCharType="begin"/>
      </w:r>
      <w:r>
        <w:instrText xml:space="preserve"> PAGEREF _Toc197953563 \h </w:instrText>
      </w:r>
      <w:r>
        <w:fldChar w:fldCharType="separate"/>
      </w:r>
      <w:r>
        <w:t>4</w:t>
      </w:r>
      <w:r>
        <w:fldChar w:fldCharType="end"/>
      </w:r>
    </w:p>
    <w:p w14:paraId="52A272AD"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2</w:t>
      </w:r>
      <w:r>
        <w:rPr>
          <w:rFonts w:asciiTheme="minorHAnsi" w:eastAsiaTheme="minorEastAsia" w:hAnsiTheme="minorHAnsi"/>
          <w:b w:val="0"/>
          <w:kern w:val="2"/>
          <w:sz w:val="24"/>
          <w:szCs w:val="24"/>
          <w:lang w:eastAsia="en-AU"/>
          <w14:ligatures w14:val="standardContextual"/>
        </w:rPr>
        <w:tab/>
      </w:r>
      <w:r>
        <w:t>Imported cut flower pathway</w:t>
      </w:r>
      <w:r>
        <w:tab/>
      </w:r>
      <w:r>
        <w:fldChar w:fldCharType="begin"/>
      </w:r>
      <w:r>
        <w:instrText xml:space="preserve"> PAGEREF _Toc197953564 \h </w:instrText>
      </w:r>
      <w:r>
        <w:fldChar w:fldCharType="separate"/>
      </w:r>
      <w:r>
        <w:t>5</w:t>
      </w:r>
      <w:r>
        <w:fldChar w:fldCharType="end"/>
      </w:r>
    </w:p>
    <w:p w14:paraId="3D1641B2"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2.1</w:t>
      </w:r>
      <w:r>
        <w:rPr>
          <w:rFonts w:asciiTheme="minorHAnsi" w:eastAsiaTheme="minorEastAsia" w:hAnsiTheme="minorHAnsi"/>
          <w:kern w:val="2"/>
          <w:sz w:val="24"/>
          <w:szCs w:val="24"/>
          <w:lang w:eastAsia="en-AU"/>
          <w14:ligatures w14:val="standardContextual"/>
        </w:rPr>
        <w:tab/>
      </w:r>
      <w:r>
        <w:t>Cut flowers - harvest to point of sale</w:t>
      </w:r>
      <w:r>
        <w:tab/>
      </w:r>
      <w:r>
        <w:fldChar w:fldCharType="begin"/>
      </w:r>
      <w:r>
        <w:instrText xml:space="preserve"> PAGEREF _Toc197953565 \h </w:instrText>
      </w:r>
      <w:r>
        <w:fldChar w:fldCharType="separate"/>
      </w:r>
      <w:r>
        <w:t>5</w:t>
      </w:r>
      <w:r>
        <w:fldChar w:fldCharType="end"/>
      </w:r>
    </w:p>
    <w:p w14:paraId="19E32441"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2.2</w:t>
      </w:r>
      <w:r>
        <w:rPr>
          <w:rFonts w:asciiTheme="minorHAnsi" w:eastAsiaTheme="minorEastAsia" w:hAnsiTheme="minorHAnsi"/>
          <w:kern w:val="2"/>
          <w:sz w:val="24"/>
          <w:szCs w:val="24"/>
          <w:lang w:eastAsia="en-AU"/>
          <w14:ligatures w14:val="standardContextual"/>
        </w:rPr>
        <w:tab/>
      </w:r>
      <w:r>
        <w:t>Use of imported cut flowers</w:t>
      </w:r>
      <w:r>
        <w:tab/>
      </w:r>
      <w:r>
        <w:fldChar w:fldCharType="begin"/>
      </w:r>
      <w:r>
        <w:instrText xml:space="preserve"> PAGEREF _Toc197953566 \h </w:instrText>
      </w:r>
      <w:r>
        <w:fldChar w:fldCharType="separate"/>
      </w:r>
      <w:r>
        <w:t>5</w:t>
      </w:r>
      <w:r>
        <w:fldChar w:fldCharType="end"/>
      </w:r>
    </w:p>
    <w:p w14:paraId="39F29C3E"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3</w:t>
      </w:r>
      <w:r>
        <w:rPr>
          <w:rFonts w:asciiTheme="minorHAnsi" w:eastAsiaTheme="minorEastAsia" w:hAnsiTheme="minorHAnsi"/>
          <w:b w:val="0"/>
          <w:kern w:val="2"/>
          <w:sz w:val="24"/>
          <w:szCs w:val="24"/>
          <w:lang w:eastAsia="en-AU"/>
          <w14:ligatures w14:val="standardContextual"/>
        </w:rPr>
        <w:tab/>
      </w:r>
      <w:r>
        <w:t>Diversion from intended use of imported cut flowers to propagation</w:t>
      </w:r>
      <w:r>
        <w:tab/>
      </w:r>
      <w:r>
        <w:fldChar w:fldCharType="begin"/>
      </w:r>
      <w:r>
        <w:instrText xml:space="preserve"> PAGEREF _Toc197953567 \h </w:instrText>
      </w:r>
      <w:r>
        <w:fldChar w:fldCharType="separate"/>
      </w:r>
      <w:r>
        <w:t>7</w:t>
      </w:r>
      <w:r>
        <w:fldChar w:fldCharType="end"/>
      </w:r>
    </w:p>
    <w:p w14:paraId="2B60CD11"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3.1</w:t>
      </w:r>
      <w:r>
        <w:rPr>
          <w:rFonts w:asciiTheme="minorHAnsi" w:eastAsiaTheme="minorEastAsia" w:hAnsiTheme="minorHAnsi"/>
          <w:kern w:val="2"/>
          <w:sz w:val="24"/>
          <w:szCs w:val="24"/>
          <w:lang w:eastAsia="en-AU"/>
          <w14:ligatures w14:val="standardContextual"/>
        </w:rPr>
        <w:tab/>
      </w:r>
      <w:r>
        <w:t>Motives and categories of DFIU</w:t>
      </w:r>
      <w:r>
        <w:tab/>
      </w:r>
      <w:r>
        <w:fldChar w:fldCharType="begin"/>
      </w:r>
      <w:r>
        <w:instrText xml:space="preserve"> PAGEREF _Toc197953568 \h </w:instrText>
      </w:r>
      <w:r>
        <w:fldChar w:fldCharType="separate"/>
      </w:r>
      <w:r>
        <w:t>7</w:t>
      </w:r>
      <w:r>
        <w:fldChar w:fldCharType="end"/>
      </w:r>
    </w:p>
    <w:p w14:paraId="3BA7D726"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3.2</w:t>
      </w:r>
      <w:r>
        <w:rPr>
          <w:rFonts w:asciiTheme="minorHAnsi" w:eastAsiaTheme="minorEastAsia" w:hAnsiTheme="minorHAnsi"/>
          <w:kern w:val="2"/>
          <w:sz w:val="24"/>
          <w:szCs w:val="24"/>
          <w:lang w:eastAsia="en-AU"/>
          <w14:ligatures w14:val="standardContextual"/>
        </w:rPr>
        <w:tab/>
      </w:r>
      <w:r>
        <w:t>Examination and evaluation of DFIU of imported cut flowers to propagation</w:t>
      </w:r>
      <w:r>
        <w:tab/>
      </w:r>
      <w:r>
        <w:fldChar w:fldCharType="begin"/>
      </w:r>
      <w:r>
        <w:instrText xml:space="preserve"> PAGEREF _Toc197953569 \h </w:instrText>
      </w:r>
      <w:r>
        <w:fldChar w:fldCharType="separate"/>
      </w:r>
      <w:r>
        <w:t>7</w:t>
      </w:r>
      <w:r>
        <w:fldChar w:fldCharType="end"/>
      </w:r>
    </w:p>
    <w:p w14:paraId="30F59BB5"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3.3</w:t>
      </w:r>
      <w:r>
        <w:rPr>
          <w:rFonts w:asciiTheme="minorHAnsi" w:eastAsiaTheme="minorEastAsia" w:hAnsiTheme="minorHAnsi"/>
          <w:kern w:val="2"/>
          <w:sz w:val="24"/>
          <w:szCs w:val="24"/>
          <w:lang w:eastAsia="en-AU"/>
          <w14:ligatures w14:val="standardContextual"/>
        </w:rPr>
        <w:tab/>
      </w:r>
      <w:r>
        <w:t>Evaluation of potential success of DFIU of imported cut flowers to propagation</w:t>
      </w:r>
      <w:r>
        <w:tab/>
      </w:r>
      <w:r>
        <w:fldChar w:fldCharType="begin"/>
      </w:r>
      <w:r>
        <w:instrText xml:space="preserve"> PAGEREF _Toc197953570 \h </w:instrText>
      </w:r>
      <w:r>
        <w:fldChar w:fldCharType="separate"/>
      </w:r>
      <w:r>
        <w:t>10</w:t>
      </w:r>
      <w:r>
        <w:fldChar w:fldCharType="end"/>
      </w:r>
    </w:p>
    <w:p w14:paraId="59632C7E"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3.4</w:t>
      </w:r>
      <w:r>
        <w:rPr>
          <w:rFonts w:asciiTheme="minorHAnsi" w:eastAsiaTheme="minorEastAsia" w:hAnsiTheme="minorHAnsi"/>
          <w:kern w:val="2"/>
          <w:sz w:val="24"/>
          <w:szCs w:val="24"/>
          <w:lang w:eastAsia="en-AU"/>
          <w14:ligatures w14:val="standardContextual"/>
        </w:rPr>
        <w:tab/>
      </w:r>
      <w:r>
        <w:t>Biosecurity risk of personal DFIU of imported cut flowers to propagation</w:t>
      </w:r>
      <w:r>
        <w:tab/>
      </w:r>
      <w:r>
        <w:fldChar w:fldCharType="begin"/>
      </w:r>
      <w:r>
        <w:instrText xml:space="preserve"> PAGEREF _Toc197953571 \h </w:instrText>
      </w:r>
      <w:r>
        <w:fldChar w:fldCharType="separate"/>
      </w:r>
      <w:r>
        <w:t>15</w:t>
      </w:r>
      <w:r>
        <w:fldChar w:fldCharType="end"/>
      </w:r>
    </w:p>
    <w:p w14:paraId="4CAED163"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3.5</w:t>
      </w:r>
      <w:r>
        <w:rPr>
          <w:rFonts w:asciiTheme="minorHAnsi" w:eastAsiaTheme="minorEastAsia" w:hAnsiTheme="minorHAnsi"/>
          <w:kern w:val="2"/>
          <w:sz w:val="24"/>
          <w:szCs w:val="24"/>
          <w:lang w:eastAsia="en-AU"/>
          <w14:ligatures w14:val="standardContextual"/>
        </w:rPr>
        <w:tab/>
      </w:r>
      <w:r>
        <w:t>Biosecurity risk of commercial DFIU of imported cut flowers to propagation</w:t>
      </w:r>
      <w:r>
        <w:tab/>
      </w:r>
      <w:r>
        <w:fldChar w:fldCharType="begin"/>
      </w:r>
      <w:r>
        <w:instrText xml:space="preserve"> PAGEREF _Toc197953572 \h </w:instrText>
      </w:r>
      <w:r>
        <w:fldChar w:fldCharType="separate"/>
      </w:r>
      <w:r>
        <w:t>18</w:t>
      </w:r>
      <w:r>
        <w:fldChar w:fldCharType="end"/>
      </w:r>
    </w:p>
    <w:p w14:paraId="69A3A737"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4</w:t>
      </w:r>
      <w:r>
        <w:rPr>
          <w:rFonts w:asciiTheme="minorHAnsi" w:eastAsiaTheme="minorEastAsia" w:hAnsiTheme="minorHAnsi"/>
          <w:b w:val="0"/>
          <w:kern w:val="2"/>
          <w:sz w:val="24"/>
          <w:szCs w:val="24"/>
          <w:lang w:eastAsia="en-AU"/>
          <w14:ligatures w14:val="standardContextual"/>
        </w:rPr>
        <w:tab/>
      </w:r>
      <w:r>
        <w:t>Proposals</w:t>
      </w:r>
      <w:r>
        <w:tab/>
      </w:r>
      <w:r>
        <w:fldChar w:fldCharType="begin"/>
      </w:r>
      <w:r>
        <w:instrText xml:space="preserve"> PAGEREF _Toc197953573 \h </w:instrText>
      </w:r>
      <w:r>
        <w:fldChar w:fldCharType="separate"/>
      </w:r>
      <w:r>
        <w:t>20</w:t>
      </w:r>
      <w:r>
        <w:fldChar w:fldCharType="end"/>
      </w:r>
    </w:p>
    <w:p w14:paraId="4652EA88"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4.1</w:t>
      </w:r>
      <w:r>
        <w:rPr>
          <w:rFonts w:asciiTheme="minorHAnsi" w:eastAsiaTheme="minorEastAsia" w:hAnsiTheme="minorHAnsi"/>
          <w:kern w:val="2"/>
          <w:sz w:val="24"/>
          <w:szCs w:val="24"/>
          <w:lang w:eastAsia="en-AU"/>
          <w14:ligatures w14:val="standardContextual"/>
        </w:rPr>
        <w:tab/>
      </w:r>
      <w:r>
        <w:t>Proposals on Australia’s existing devitalisation requirements for imported propagable cut flowers</w:t>
      </w:r>
      <w:r>
        <w:tab/>
      </w:r>
      <w:r>
        <w:fldChar w:fldCharType="begin"/>
      </w:r>
      <w:r>
        <w:instrText xml:space="preserve"> PAGEREF _Toc197953574 \h </w:instrText>
      </w:r>
      <w:r>
        <w:fldChar w:fldCharType="separate"/>
      </w:r>
      <w:r>
        <w:t>20</w:t>
      </w:r>
      <w:r>
        <w:fldChar w:fldCharType="end"/>
      </w:r>
    </w:p>
    <w:p w14:paraId="75FC3F6A"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4.2</w:t>
      </w:r>
      <w:r>
        <w:rPr>
          <w:rFonts w:asciiTheme="minorHAnsi" w:eastAsiaTheme="minorEastAsia" w:hAnsiTheme="minorHAnsi"/>
          <w:kern w:val="2"/>
          <w:sz w:val="24"/>
          <w:szCs w:val="24"/>
          <w:lang w:eastAsia="en-AU"/>
          <w14:ligatures w14:val="standardContextual"/>
        </w:rPr>
        <w:tab/>
      </w:r>
      <w:r>
        <w:t>Important notes associated with the proposals</w:t>
      </w:r>
      <w:r>
        <w:tab/>
      </w:r>
      <w:r>
        <w:fldChar w:fldCharType="begin"/>
      </w:r>
      <w:r>
        <w:instrText xml:space="preserve"> PAGEREF _Toc197953575 \h </w:instrText>
      </w:r>
      <w:r>
        <w:fldChar w:fldCharType="separate"/>
      </w:r>
      <w:r>
        <w:t>20</w:t>
      </w:r>
      <w:r>
        <w:fldChar w:fldCharType="end"/>
      </w:r>
    </w:p>
    <w:p w14:paraId="6919C7CE" w14:textId="77777777" w:rsidR="004726BA" w:rsidRDefault="004726BA">
      <w:pPr>
        <w:pStyle w:val="TOC2"/>
        <w:tabs>
          <w:tab w:val="left" w:pos="1105"/>
        </w:tabs>
        <w:rPr>
          <w:rFonts w:asciiTheme="minorHAnsi" w:eastAsiaTheme="minorEastAsia" w:hAnsiTheme="minorHAnsi"/>
          <w:kern w:val="2"/>
          <w:sz w:val="24"/>
          <w:szCs w:val="24"/>
          <w:lang w:eastAsia="en-AU"/>
          <w14:ligatures w14:val="standardContextual"/>
        </w:rPr>
      </w:pPr>
      <w:r>
        <w:t>4.3</w:t>
      </w:r>
      <w:r>
        <w:rPr>
          <w:rFonts w:asciiTheme="minorHAnsi" w:eastAsiaTheme="minorEastAsia" w:hAnsiTheme="minorHAnsi"/>
          <w:kern w:val="2"/>
          <w:sz w:val="24"/>
          <w:szCs w:val="24"/>
          <w:lang w:eastAsia="en-AU"/>
          <w14:ligatures w14:val="standardContextual"/>
        </w:rPr>
        <w:tab/>
      </w:r>
      <w:r>
        <w:t>Review of processes</w:t>
      </w:r>
      <w:r>
        <w:tab/>
      </w:r>
      <w:r>
        <w:fldChar w:fldCharType="begin"/>
      </w:r>
      <w:r>
        <w:instrText xml:space="preserve"> PAGEREF _Toc197953576 \h </w:instrText>
      </w:r>
      <w:r>
        <w:fldChar w:fldCharType="separate"/>
      </w:r>
      <w:r>
        <w:t>21</w:t>
      </w:r>
      <w:r>
        <w:fldChar w:fldCharType="end"/>
      </w:r>
    </w:p>
    <w:p w14:paraId="1D13253F"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5</w:t>
      </w:r>
      <w:r>
        <w:rPr>
          <w:rFonts w:asciiTheme="minorHAnsi" w:eastAsiaTheme="minorEastAsia" w:hAnsiTheme="minorHAnsi"/>
          <w:b w:val="0"/>
          <w:kern w:val="2"/>
          <w:sz w:val="24"/>
          <w:szCs w:val="24"/>
          <w:lang w:eastAsia="en-AU"/>
          <w14:ligatures w14:val="standardContextual"/>
        </w:rPr>
        <w:tab/>
      </w:r>
      <w:r>
        <w:t>Conclusion</w:t>
      </w:r>
      <w:r>
        <w:tab/>
      </w:r>
      <w:r>
        <w:fldChar w:fldCharType="begin"/>
      </w:r>
      <w:r>
        <w:instrText xml:space="preserve"> PAGEREF _Toc197953577 \h </w:instrText>
      </w:r>
      <w:r>
        <w:fldChar w:fldCharType="separate"/>
      </w:r>
      <w:r>
        <w:t>22</w:t>
      </w:r>
      <w:r>
        <w:fldChar w:fldCharType="end"/>
      </w:r>
    </w:p>
    <w:p w14:paraId="02889B96"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rsidRPr="00946150">
        <w:rPr>
          <w:rFonts w:asciiTheme="minorHAnsi" w:hAnsiTheme="minorHAnsi" w:cstheme="minorHAnsi"/>
        </w:rPr>
        <w:t>Appendix A: Method for pest risk assessment of pathogens associated with diversion of intended use of imported cut flowers to propagation</w:t>
      </w:r>
      <w:r>
        <w:tab/>
      </w:r>
      <w:r>
        <w:fldChar w:fldCharType="begin"/>
      </w:r>
      <w:r>
        <w:instrText xml:space="preserve"> PAGEREF _Toc197953578 \h </w:instrText>
      </w:r>
      <w:r>
        <w:fldChar w:fldCharType="separate"/>
      </w:r>
      <w:r>
        <w:t>23</w:t>
      </w:r>
      <w:r>
        <w:fldChar w:fldCharType="end"/>
      </w:r>
    </w:p>
    <w:p w14:paraId="4DC577B9"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Appendix B: Examples of Reddit posts</w:t>
      </w:r>
      <w:r>
        <w:tab/>
      </w:r>
      <w:r>
        <w:fldChar w:fldCharType="begin"/>
      </w:r>
      <w:r>
        <w:instrText xml:space="preserve"> PAGEREF _Toc197953579 \h </w:instrText>
      </w:r>
      <w:r>
        <w:fldChar w:fldCharType="separate"/>
      </w:r>
      <w:r>
        <w:t>33</w:t>
      </w:r>
      <w:r>
        <w:fldChar w:fldCharType="end"/>
      </w:r>
    </w:p>
    <w:p w14:paraId="2B8ED0D3"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Glossary, acronyms and abbreviations</w:t>
      </w:r>
      <w:r>
        <w:tab/>
      </w:r>
      <w:r>
        <w:fldChar w:fldCharType="begin"/>
      </w:r>
      <w:r>
        <w:instrText xml:space="preserve"> PAGEREF _Toc197953580 \h </w:instrText>
      </w:r>
      <w:r>
        <w:fldChar w:fldCharType="separate"/>
      </w:r>
      <w:r>
        <w:t>36</w:t>
      </w:r>
      <w:r>
        <w:fldChar w:fldCharType="end"/>
      </w:r>
    </w:p>
    <w:p w14:paraId="20EDE640" w14:textId="77777777" w:rsidR="004726BA" w:rsidRDefault="004726BA">
      <w:pPr>
        <w:pStyle w:val="TOC1"/>
        <w:rPr>
          <w:rFonts w:asciiTheme="minorHAnsi" w:eastAsiaTheme="minorEastAsia" w:hAnsiTheme="minorHAnsi"/>
          <w:b w:val="0"/>
          <w:kern w:val="2"/>
          <w:sz w:val="24"/>
          <w:szCs w:val="24"/>
          <w:lang w:eastAsia="en-AU"/>
          <w14:ligatures w14:val="standardContextual"/>
        </w:rPr>
      </w:pPr>
      <w:r>
        <w:t>References</w:t>
      </w:r>
      <w:r>
        <w:tab/>
      </w:r>
      <w:r>
        <w:fldChar w:fldCharType="begin"/>
      </w:r>
      <w:r>
        <w:instrText xml:space="preserve"> PAGEREF _Toc197953581 \h </w:instrText>
      </w:r>
      <w:r>
        <w:fldChar w:fldCharType="separate"/>
      </w:r>
      <w:r>
        <w:t>38</w:t>
      </w:r>
      <w:r>
        <w:fldChar w:fldCharType="end"/>
      </w:r>
    </w:p>
    <w:p w14:paraId="61A6F68C" w14:textId="77777777" w:rsidR="004726BA" w:rsidRPr="009E0190" w:rsidRDefault="004726BA" w:rsidP="00800E7D">
      <w:pPr>
        <w:pStyle w:val="TOCHeading"/>
        <w:keepNext/>
        <w:tabs>
          <w:tab w:val="left" w:pos="6186"/>
        </w:tabs>
        <w:rPr>
          <w:color w:val="000000" w:themeColor="text1"/>
          <w:lang w:val="en-AU"/>
        </w:rPr>
      </w:pPr>
      <w:r>
        <w:rPr>
          <w:rFonts w:asciiTheme="minorHAnsi" w:eastAsiaTheme="minorHAnsi" w:hAnsiTheme="minorHAnsi" w:cstheme="minorBidi"/>
          <w:color w:val="auto"/>
          <w:sz w:val="22"/>
          <w:szCs w:val="24"/>
          <w:lang w:val="en-AU"/>
        </w:rPr>
        <w:fldChar w:fldCharType="end"/>
      </w:r>
      <w:r w:rsidRPr="009E0190">
        <w:rPr>
          <w:color w:val="000000" w:themeColor="text1"/>
          <w:lang w:val="en-AU"/>
        </w:rPr>
        <w:t>Figures</w:t>
      </w:r>
    </w:p>
    <w:p w14:paraId="5D4D35C5"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525379">
        <w:fldChar w:fldCharType="begin"/>
      </w:r>
      <w:r w:rsidRPr="00525379">
        <w:instrText xml:space="preserve"> TOC \f \t "Caption" \c </w:instrText>
      </w:r>
      <w:r w:rsidRPr="00525379">
        <w:fldChar w:fldCharType="separate"/>
      </w:r>
      <w:r>
        <w:rPr>
          <w:noProof/>
        </w:rPr>
        <w:t>Figure 3.1 Species of cut flowers on the 31 posts discussed in Reddit between October 2022 and April 2023 that might be related to DFIU of cut flowers to propagation</w:t>
      </w:r>
      <w:r>
        <w:rPr>
          <w:noProof/>
        </w:rPr>
        <w:tab/>
      </w:r>
      <w:r>
        <w:rPr>
          <w:noProof/>
        </w:rPr>
        <w:fldChar w:fldCharType="begin"/>
      </w:r>
      <w:r>
        <w:rPr>
          <w:noProof/>
        </w:rPr>
        <w:instrText xml:space="preserve"> PAGEREF _Toc202256545 \h </w:instrText>
      </w:r>
      <w:r>
        <w:rPr>
          <w:noProof/>
        </w:rPr>
      </w:r>
      <w:r>
        <w:rPr>
          <w:noProof/>
        </w:rPr>
        <w:fldChar w:fldCharType="separate"/>
      </w:r>
      <w:r>
        <w:rPr>
          <w:noProof/>
        </w:rPr>
        <w:t>11</w:t>
      </w:r>
      <w:r>
        <w:rPr>
          <w:noProof/>
        </w:rPr>
        <w:fldChar w:fldCharType="end"/>
      </w:r>
    </w:p>
    <w:p w14:paraId="7614A965"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3.2 Three different flower bouquets with reduced number of leaf nodes from left to right.</w:t>
      </w:r>
      <w:r>
        <w:rPr>
          <w:noProof/>
        </w:rPr>
        <w:tab/>
      </w:r>
      <w:r>
        <w:rPr>
          <w:noProof/>
        </w:rPr>
        <w:fldChar w:fldCharType="begin"/>
      </w:r>
      <w:r>
        <w:rPr>
          <w:noProof/>
        </w:rPr>
        <w:instrText xml:space="preserve"> PAGEREF _Toc202256546 \h </w:instrText>
      </w:r>
      <w:r>
        <w:rPr>
          <w:noProof/>
        </w:rPr>
      </w:r>
      <w:r>
        <w:rPr>
          <w:noProof/>
        </w:rPr>
        <w:fldChar w:fldCharType="separate"/>
      </w:r>
      <w:r>
        <w:rPr>
          <w:noProof/>
        </w:rPr>
        <w:t>13</w:t>
      </w:r>
      <w:r>
        <w:rPr>
          <w:noProof/>
        </w:rPr>
        <w:fldChar w:fldCharType="end"/>
      </w:r>
    </w:p>
    <w:p w14:paraId="11B377F0"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3.3 Three different grades of roses with increased number of leaf nodes from left to right.</w:t>
      </w:r>
      <w:r>
        <w:rPr>
          <w:noProof/>
        </w:rPr>
        <w:tab/>
      </w:r>
      <w:r>
        <w:rPr>
          <w:noProof/>
        </w:rPr>
        <w:fldChar w:fldCharType="begin"/>
      </w:r>
      <w:r>
        <w:rPr>
          <w:noProof/>
        </w:rPr>
        <w:instrText xml:space="preserve"> PAGEREF _Toc202256547 \h </w:instrText>
      </w:r>
      <w:r>
        <w:rPr>
          <w:noProof/>
        </w:rPr>
      </w:r>
      <w:r>
        <w:rPr>
          <w:noProof/>
        </w:rPr>
        <w:fldChar w:fldCharType="separate"/>
      </w:r>
      <w:r>
        <w:rPr>
          <w:noProof/>
        </w:rPr>
        <w:t>13</w:t>
      </w:r>
      <w:r>
        <w:rPr>
          <w:noProof/>
        </w:rPr>
        <w:fldChar w:fldCharType="end"/>
      </w:r>
    </w:p>
    <w:p w14:paraId="2D0CE990"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F818E7">
        <w:rPr>
          <w:rFonts w:cstheme="minorHAnsi"/>
          <w:noProof/>
        </w:rPr>
        <w:t xml:space="preserve">Figure A.1 Decision rules for determining the impact score for each direct and indirect criterion, based on the </w:t>
      </w:r>
      <w:r w:rsidRPr="00F818E7">
        <w:rPr>
          <w:rFonts w:cstheme="minorHAnsi"/>
          <w:i/>
          <w:iCs/>
          <w:noProof/>
        </w:rPr>
        <w:t>level of impact</w:t>
      </w:r>
      <w:r w:rsidRPr="00F818E7">
        <w:rPr>
          <w:rFonts w:cstheme="minorHAnsi"/>
          <w:noProof/>
        </w:rPr>
        <w:t xml:space="preserve"> and the </w:t>
      </w:r>
      <w:r w:rsidRPr="00F818E7">
        <w:rPr>
          <w:rFonts w:cstheme="minorHAnsi"/>
          <w:i/>
          <w:iCs/>
          <w:noProof/>
        </w:rPr>
        <w:t>magnitude of impact</w:t>
      </w:r>
      <w:r>
        <w:rPr>
          <w:noProof/>
        </w:rPr>
        <w:tab/>
      </w:r>
      <w:r>
        <w:rPr>
          <w:noProof/>
        </w:rPr>
        <w:fldChar w:fldCharType="begin"/>
      </w:r>
      <w:r>
        <w:rPr>
          <w:noProof/>
        </w:rPr>
        <w:instrText xml:space="preserve"> PAGEREF _Toc202256548 \h </w:instrText>
      </w:r>
      <w:r>
        <w:rPr>
          <w:noProof/>
        </w:rPr>
      </w:r>
      <w:r>
        <w:rPr>
          <w:noProof/>
        </w:rPr>
        <w:fldChar w:fldCharType="separate"/>
      </w:r>
      <w:r>
        <w:rPr>
          <w:noProof/>
        </w:rPr>
        <w:t>34</w:t>
      </w:r>
      <w:r>
        <w:rPr>
          <w:noProof/>
        </w:rPr>
        <w:fldChar w:fldCharType="end"/>
      </w:r>
    </w:p>
    <w:p w14:paraId="6368F5B4" w14:textId="77777777" w:rsidR="004726BA" w:rsidRPr="00525379" w:rsidRDefault="004726BA" w:rsidP="00800E7D">
      <w:pPr>
        <w:pStyle w:val="TOCHeading"/>
        <w:rPr>
          <w:rFonts w:asciiTheme="minorHAnsi" w:hAnsiTheme="minorHAnsi"/>
          <w:lang w:val="en-AU"/>
        </w:rPr>
      </w:pPr>
      <w:r w:rsidRPr="00525379">
        <w:rPr>
          <w:rFonts w:asciiTheme="minorHAnsi" w:hAnsiTheme="minorHAnsi"/>
          <w:lang w:val="en-AU"/>
        </w:rPr>
        <w:fldChar w:fldCharType="end"/>
      </w:r>
    </w:p>
    <w:p w14:paraId="4CA6E3AA" w14:textId="77777777" w:rsidR="004726BA" w:rsidRPr="009E0190" w:rsidRDefault="004726BA" w:rsidP="00800E7D">
      <w:pPr>
        <w:pStyle w:val="TOCHeading"/>
        <w:rPr>
          <w:color w:val="000000" w:themeColor="text1"/>
          <w:lang w:val="en-AU"/>
        </w:rPr>
      </w:pPr>
      <w:r w:rsidRPr="009E0190">
        <w:rPr>
          <w:color w:val="000000" w:themeColor="text1"/>
          <w:lang w:val="en-AU"/>
        </w:rPr>
        <w:lastRenderedPageBreak/>
        <w:t>Tables</w:t>
      </w:r>
    </w:p>
    <w:p w14:paraId="3978D277"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rFonts w:asciiTheme="minorHAnsi" w:hAnsiTheme="minorHAnsi"/>
        </w:rPr>
        <w:fldChar w:fldCharType="begin"/>
      </w:r>
      <w:r>
        <w:instrText xml:space="preserve"> TOC \f T \t "Table caption" \c "Table" </w:instrText>
      </w:r>
      <w:r>
        <w:rPr>
          <w:rFonts w:asciiTheme="minorHAnsi" w:hAnsiTheme="minorHAnsi"/>
        </w:rPr>
        <w:fldChar w:fldCharType="separate"/>
      </w:r>
      <w:r>
        <w:rPr>
          <w:noProof/>
        </w:rPr>
        <w:t>Table 1.1 Current devitalisation requirements for specific cut flowers imported into Australia</w:t>
      </w:r>
      <w:r>
        <w:rPr>
          <w:noProof/>
        </w:rPr>
        <w:tab/>
      </w:r>
      <w:r>
        <w:rPr>
          <w:noProof/>
        </w:rPr>
        <w:fldChar w:fldCharType="begin"/>
      </w:r>
      <w:r>
        <w:rPr>
          <w:noProof/>
        </w:rPr>
        <w:instrText xml:space="preserve"> PAGEREF _Toc202256549 \h </w:instrText>
      </w:r>
      <w:r>
        <w:rPr>
          <w:noProof/>
        </w:rPr>
      </w:r>
      <w:r>
        <w:rPr>
          <w:noProof/>
        </w:rPr>
        <w:fldChar w:fldCharType="separate"/>
      </w:r>
      <w:r>
        <w:rPr>
          <w:noProof/>
        </w:rPr>
        <w:t>2</w:t>
      </w:r>
      <w:r>
        <w:rPr>
          <w:noProof/>
        </w:rPr>
        <w:fldChar w:fldCharType="end"/>
      </w:r>
    </w:p>
    <w:p w14:paraId="6B2EF3AC"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E545F">
        <w:rPr>
          <w:rFonts w:cstheme="minorHAnsi"/>
          <w:noProof/>
        </w:rPr>
        <w:t>Table A.1 Nomenclature of likelihoods</w:t>
      </w:r>
      <w:r>
        <w:rPr>
          <w:noProof/>
        </w:rPr>
        <w:tab/>
      </w:r>
      <w:r>
        <w:rPr>
          <w:noProof/>
        </w:rPr>
        <w:fldChar w:fldCharType="begin"/>
      </w:r>
      <w:r>
        <w:rPr>
          <w:noProof/>
        </w:rPr>
        <w:instrText xml:space="preserve"> PAGEREF _Toc202256550 \h </w:instrText>
      </w:r>
      <w:r>
        <w:rPr>
          <w:noProof/>
        </w:rPr>
      </w:r>
      <w:r>
        <w:rPr>
          <w:noProof/>
        </w:rPr>
        <w:fldChar w:fldCharType="separate"/>
      </w:r>
      <w:r>
        <w:rPr>
          <w:noProof/>
        </w:rPr>
        <w:t>30</w:t>
      </w:r>
      <w:r>
        <w:rPr>
          <w:noProof/>
        </w:rPr>
        <w:fldChar w:fldCharType="end"/>
      </w:r>
    </w:p>
    <w:p w14:paraId="03470287"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E545F">
        <w:rPr>
          <w:rFonts w:cstheme="minorHAnsi"/>
          <w:noProof/>
        </w:rPr>
        <w:t>Table A.2 Matrix of rules for combining likelihoods</w:t>
      </w:r>
      <w:r>
        <w:rPr>
          <w:noProof/>
        </w:rPr>
        <w:tab/>
      </w:r>
      <w:r>
        <w:rPr>
          <w:noProof/>
        </w:rPr>
        <w:fldChar w:fldCharType="begin"/>
      </w:r>
      <w:r>
        <w:rPr>
          <w:noProof/>
        </w:rPr>
        <w:instrText xml:space="preserve"> PAGEREF _Toc202256551 \h </w:instrText>
      </w:r>
      <w:r>
        <w:rPr>
          <w:noProof/>
        </w:rPr>
      </w:r>
      <w:r>
        <w:rPr>
          <w:noProof/>
        </w:rPr>
        <w:fldChar w:fldCharType="separate"/>
      </w:r>
      <w:r>
        <w:rPr>
          <w:noProof/>
        </w:rPr>
        <w:t>31</w:t>
      </w:r>
      <w:r>
        <w:rPr>
          <w:noProof/>
        </w:rPr>
        <w:fldChar w:fldCharType="end"/>
      </w:r>
    </w:p>
    <w:p w14:paraId="56389E07"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E545F">
        <w:rPr>
          <w:rFonts w:cstheme="minorHAnsi"/>
          <w:noProof/>
        </w:rPr>
        <w:t>Table A.3 Decision rules for determining the overall consequence rating for each pest</w:t>
      </w:r>
      <w:r>
        <w:rPr>
          <w:noProof/>
        </w:rPr>
        <w:tab/>
      </w:r>
      <w:r>
        <w:rPr>
          <w:noProof/>
        </w:rPr>
        <w:fldChar w:fldCharType="begin"/>
      </w:r>
      <w:r>
        <w:rPr>
          <w:noProof/>
        </w:rPr>
        <w:instrText xml:space="preserve"> PAGEREF _Toc202256552 \h </w:instrText>
      </w:r>
      <w:r>
        <w:rPr>
          <w:noProof/>
        </w:rPr>
      </w:r>
      <w:r>
        <w:rPr>
          <w:noProof/>
        </w:rPr>
        <w:fldChar w:fldCharType="separate"/>
      </w:r>
      <w:r>
        <w:rPr>
          <w:noProof/>
        </w:rPr>
        <w:t>35</w:t>
      </w:r>
      <w:r>
        <w:rPr>
          <w:noProof/>
        </w:rPr>
        <w:fldChar w:fldCharType="end"/>
      </w:r>
    </w:p>
    <w:p w14:paraId="55135A18" w14:textId="77777777" w:rsidR="004726BA" w:rsidRDefault="004726BA">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7E545F">
        <w:rPr>
          <w:rFonts w:cstheme="minorHAnsi"/>
          <w:noProof/>
        </w:rPr>
        <w:t>Table A.4 Risk estimation matrix</w:t>
      </w:r>
      <w:r>
        <w:rPr>
          <w:noProof/>
        </w:rPr>
        <w:tab/>
      </w:r>
      <w:r>
        <w:rPr>
          <w:noProof/>
        </w:rPr>
        <w:fldChar w:fldCharType="begin"/>
      </w:r>
      <w:r>
        <w:rPr>
          <w:noProof/>
        </w:rPr>
        <w:instrText xml:space="preserve"> PAGEREF _Toc202256553 \h </w:instrText>
      </w:r>
      <w:r>
        <w:rPr>
          <w:noProof/>
        </w:rPr>
      </w:r>
      <w:r>
        <w:rPr>
          <w:noProof/>
        </w:rPr>
        <w:fldChar w:fldCharType="separate"/>
      </w:r>
      <w:r>
        <w:rPr>
          <w:noProof/>
        </w:rPr>
        <w:t>36</w:t>
      </w:r>
      <w:r>
        <w:rPr>
          <w:noProof/>
        </w:rPr>
        <w:fldChar w:fldCharType="end"/>
      </w:r>
    </w:p>
    <w:p w14:paraId="62743C9C" w14:textId="77777777" w:rsidR="004726BA" w:rsidRPr="00525379" w:rsidRDefault="004726BA" w:rsidP="00800E7D">
      <w:pPr>
        <w:sectPr w:rsidR="004726BA" w:rsidRPr="00525379" w:rsidSect="004726BA">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567" w:footer="850" w:gutter="0"/>
          <w:pgNumType w:fmt="lowerRoman"/>
          <w:cols w:space="708"/>
          <w:docGrid w:linePitch="360"/>
        </w:sectPr>
      </w:pPr>
      <w:r>
        <w:fldChar w:fldCharType="end"/>
      </w:r>
    </w:p>
    <w:p w14:paraId="20460A1C" w14:textId="77777777" w:rsidR="004726BA" w:rsidRPr="00525379" w:rsidRDefault="004726BA" w:rsidP="00800E7D">
      <w:pPr>
        <w:pStyle w:val="Heading2"/>
        <w:numPr>
          <w:ilvl w:val="0"/>
          <w:numId w:val="0"/>
        </w:numPr>
        <w:ind w:left="794" w:hanging="794"/>
      </w:pPr>
      <w:bookmarkStart w:id="2" w:name="_Toc8032613"/>
      <w:bookmarkStart w:id="3" w:name="_Toc8033796"/>
      <w:bookmarkStart w:id="4" w:name="_Toc8033852"/>
      <w:bookmarkStart w:id="5" w:name="_Toc8035102"/>
      <w:bookmarkStart w:id="6" w:name="_Toc197938529"/>
      <w:bookmarkStart w:id="7" w:name="_Toc197953557"/>
      <w:r w:rsidRPr="00525379">
        <w:lastRenderedPageBreak/>
        <w:t>Summary</w:t>
      </w:r>
      <w:bookmarkEnd w:id="2"/>
      <w:bookmarkEnd w:id="3"/>
      <w:bookmarkEnd w:id="4"/>
      <w:bookmarkEnd w:id="5"/>
      <w:bookmarkEnd w:id="6"/>
      <w:bookmarkEnd w:id="7"/>
    </w:p>
    <w:p w14:paraId="75CB1D33" w14:textId="4AE29A05" w:rsidR="00DB0E6A" w:rsidRPr="00112B7C" w:rsidRDefault="004726BA" w:rsidP="00DB0E6A">
      <w:pPr>
        <w:rPr>
          <w:color w:val="000000" w:themeColor="text1"/>
        </w:rPr>
      </w:pPr>
      <w:r w:rsidRPr="245B232A">
        <w:rPr>
          <w:color w:val="000000" w:themeColor="text1"/>
        </w:rPr>
        <w:t xml:space="preserve">The Australian Government Department of Agriculture, Fisheries and Forestry (the department) has prepared this draft report to review current devitalisation requirements for fresh cut flowers and foliage (hereafter referred to as cut flowers) imported into Australia. </w:t>
      </w:r>
      <w:r w:rsidR="00DB0E6A" w:rsidRPr="245B232A">
        <w:rPr>
          <w:color w:val="000000" w:themeColor="text1"/>
        </w:rPr>
        <w:t xml:space="preserve">This review is part of a broader Pest Risk Analysis (PRA) package assessing biosecurity risks associated with imported cut flowers in accordance with the </w:t>
      </w:r>
      <w:r w:rsidR="00DB0E6A" w:rsidRPr="245B232A">
        <w:rPr>
          <w:i/>
          <w:iCs/>
          <w:color w:val="000000" w:themeColor="text1"/>
        </w:rPr>
        <w:t>Biosecurity Act 2015</w:t>
      </w:r>
      <w:r w:rsidR="00DB0E6A" w:rsidRPr="245B232A">
        <w:rPr>
          <w:color w:val="000000" w:themeColor="text1"/>
        </w:rPr>
        <w:t>, to ensure import measures provide an Appropriate Level of Protection (ALOP)</w:t>
      </w:r>
      <w:r w:rsidR="00DB0E6A" w:rsidRPr="245B232A">
        <w:rPr>
          <w:i/>
          <w:iCs/>
          <w:color w:val="000000" w:themeColor="text1"/>
        </w:rPr>
        <w:t>.</w:t>
      </w:r>
    </w:p>
    <w:p w14:paraId="778F3B7A" w14:textId="1F231F12" w:rsidR="004726BA" w:rsidRDefault="004726BA" w:rsidP="004C2E16">
      <w:pPr>
        <w:rPr>
          <w:color w:val="000000" w:themeColor="text1"/>
        </w:rPr>
      </w:pPr>
      <w:r w:rsidRPr="221A4152">
        <w:rPr>
          <w:color w:val="000000" w:themeColor="text1"/>
        </w:rPr>
        <w:t>Th</w:t>
      </w:r>
      <w:r w:rsidR="00DB0E6A">
        <w:rPr>
          <w:color w:val="000000" w:themeColor="text1"/>
        </w:rPr>
        <w:t>is</w:t>
      </w:r>
      <w:r w:rsidRPr="221A4152">
        <w:rPr>
          <w:color w:val="000000" w:themeColor="text1"/>
        </w:rPr>
        <w:t xml:space="preserve"> review examines and evaluates the biosecurity risk associated with diversion from intended use (DFIU) of imported </w:t>
      </w:r>
      <w:r>
        <w:t xml:space="preserve">cut flowers </w:t>
      </w:r>
      <w:r w:rsidRPr="221A4152">
        <w:rPr>
          <w:color w:val="000000" w:themeColor="text1"/>
        </w:rPr>
        <w:t>from time-limited decorative purposes to propagation (hereafter referred to as DFIU of imported cut flowers to propagation) and provides proposals with regards to devitalisation requirements</w:t>
      </w:r>
      <w:r w:rsidR="0080540A">
        <w:rPr>
          <w:color w:val="000000" w:themeColor="text1"/>
        </w:rPr>
        <w:t xml:space="preserve"> in the context of achieving ALOP</w:t>
      </w:r>
      <w:r w:rsidRPr="221A4152">
        <w:rPr>
          <w:color w:val="000000" w:themeColor="text1"/>
        </w:rPr>
        <w:t>.</w:t>
      </w:r>
    </w:p>
    <w:p w14:paraId="4CE9BDE4" w14:textId="743C27AC" w:rsidR="004726BA" w:rsidRDefault="004726BA" w:rsidP="004C2E16">
      <w:pPr>
        <w:rPr>
          <w:rFonts w:eastAsia="Calibri" w:cs="Times New Roman"/>
        </w:rPr>
      </w:pPr>
      <w:r>
        <w:rPr>
          <w:color w:val="000000" w:themeColor="text1"/>
        </w:rPr>
        <w:t xml:space="preserve">The review identifies that </w:t>
      </w:r>
      <w:r>
        <w:t>there is no</w:t>
      </w:r>
      <w:r w:rsidRPr="002C781C">
        <w:t xml:space="preserve"> </w:t>
      </w:r>
      <w:r w:rsidRPr="002C781C">
        <w:rPr>
          <w:rFonts w:eastAsia="Calibri" w:cs="Times New Roman"/>
        </w:rPr>
        <w:t xml:space="preserve">evidence </w:t>
      </w:r>
      <w:r>
        <w:rPr>
          <w:rFonts w:eastAsia="Calibri" w:cs="Times New Roman"/>
        </w:rPr>
        <w:t xml:space="preserve">or information to indicate that </w:t>
      </w:r>
      <w:r w:rsidRPr="002C781C">
        <w:rPr>
          <w:rFonts w:eastAsia="Calibri" w:cs="Times New Roman"/>
        </w:rPr>
        <w:t xml:space="preserve">commercial DFIU of </w:t>
      </w:r>
      <w:r>
        <w:rPr>
          <w:rFonts w:eastAsia="Calibri" w:cs="Times New Roman"/>
        </w:rPr>
        <w:t xml:space="preserve">imported </w:t>
      </w:r>
      <w:r w:rsidRPr="002C781C">
        <w:rPr>
          <w:rFonts w:eastAsia="Calibri" w:cs="Times New Roman"/>
        </w:rPr>
        <w:t xml:space="preserve">cut flowers to propagation </w:t>
      </w:r>
      <w:r>
        <w:rPr>
          <w:rFonts w:eastAsia="Calibri" w:cs="Times New Roman"/>
        </w:rPr>
        <w:t xml:space="preserve">is </w:t>
      </w:r>
      <w:r w:rsidRPr="002C781C">
        <w:rPr>
          <w:rFonts w:eastAsia="Calibri" w:cs="Times New Roman"/>
        </w:rPr>
        <w:t>occurring</w:t>
      </w:r>
      <w:r>
        <w:rPr>
          <w:rFonts w:eastAsia="Calibri" w:cs="Times New Roman"/>
        </w:rPr>
        <w:t xml:space="preserve"> in Australia. However, there is information to suggest that personal DFIU may be occurring globally at or below very low levels. I</w:t>
      </w:r>
      <w:r w:rsidRPr="00D0144C">
        <w:t>t is not known what proportion of the global DFIU is occurring in Australia, if any, and what proportion of the DFIU involved imported cut flowers as differentiated from locally produced cut flowers</w:t>
      </w:r>
      <w:r>
        <w:t>.</w:t>
      </w:r>
      <w:r>
        <w:rPr>
          <w:rFonts w:eastAsia="Calibri" w:cs="Times New Roman"/>
        </w:rPr>
        <w:t xml:space="preserve"> Due to uncertainty of the information on personal DFIU occurrence, the review assumes that personal DFIU may be occurring in Australia at or below very low levels. The success of </w:t>
      </w:r>
      <w:r>
        <w:t xml:space="preserve">personal DFIU in producing a viable and healthy plant to serve as a host of quarantine pathogens that may be present in imported cut flowers (that are diverted to propagation) </w:t>
      </w:r>
      <w:r w:rsidRPr="008C635C">
        <w:t>is likely limited</w:t>
      </w:r>
      <w:r>
        <w:rPr>
          <w:rFonts w:eastAsia="Calibri" w:cs="Times New Roman"/>
        </w:rPr>
        <w:t xml:space="preserve">. </w:t>
      </w:r>
    </w:p>
    <w:p w14:paraId="3E26B65C" w14:textId="427B22CD" w:rsidR="004726BA" w:rsidRDefault="004726BA" w:rsidP="004C2E16">
      <w:r>
        <w:rPr>
          <w:rFonts w:eastAsia="Calibri" w:cs="Times New Roman"/>
        </w:rPr>
        <w:t xml:space="preserve">These findings result in </w:t>
      </w:r>
      <w:r>
        <w:t xml:space="preserve">the overall unrestricted risk estimate of quarantine pathogens associated with commercial DFIU and personal DFIU of imported cut flowers to propagation being assessed as </w:t>
      </w:r>
      <w:r>
        <w:rPr>
          <w:color w:val="000000" w:themeColor="text1"/>
        </w:rPr>
        <w:t>achieving</w:t>
      </w:r>
      <w:r w:rsidRPr="00C62CD4">
        <w:rPr>
          <w:color w:val="000000" w:themeColor="text1"/>
        </w:rPr>
        <w:t xml:space="preserve"> the </w:t>
      </w:r>
      <w:r>
        <w:rPr>
          <w:color w:val="000000" w:themeColor="text1"/>
        </w:rPr>
        <w:t xml:space="preserve">ALOP </w:t>
      </w:r>
      <w:r w:rsidRPr="00C62CD4">
        <w:rPr>
          <w:color w:val="000000" w:themeColor="text1"/>
        </w:rPr>
        <w:t>for Australia</w:t>
      </w:r>
      <w:r>
        <w:rPr>
          <w:color w:val="000000" w:themeColor="text1"/>
        </w:rPr>
        <w:t xml:space="preserve">. </w:t>
      </w:r>
      <w:r>
        <w:t xml:space="preserve">As such, specific risk management measures to manage DFIU of imported cut flowers to propagation are not required for either commercial DFIU or personal DFIU.  </w:t>
      </w:r>
      <w:r>
        <w:rPr>
          <w:rFonts w:eastAsia="Calibri" w:cs="Times New Roman"/>
        </w:rPr>
        <w:t xml:space="preserve"> </w:t>
      </w:r>
      <w:r>
        <w:t xml:space="preserve"> </w:t>
      </w:r>
    </w:p>
    <w:p w14:paraId="6E2EBBCA" w14:textId="48FE1EE4" w:rsidR="004726BA" w:rsidRDefault="004726BA" w:rsidP="004C2E16">
      <w:pPr>
        <w:rPr>
          <w:color w:val="000000" w:themeColor="text1"/>
        </w:rPr>
      </w:pPr>
      <w:r>
        <w:rPr>
          <w:rFonts w:eastAsia="Calibri" w:cs="Times New Roman"/>
        </w:rPr>
        <w:t>This means that Australia’s</w:t>
      </w:r>
      <w:r w:rsidRPr="00ED7DCA">
        <w:rPr>
          <w:rFonts w:eastAsia="Calibri" w:cs="Times New Roman"/>
        </w:rPr>
        <w:t xml:space="preserve"> current devitalisation requirements </w:t>
      </w:r>
      <w:r>
        <w:rPr>
          <w:rFonts w:eastAsia="Calibri" w:cs="Times New Roman"/>
        </w:rPr>
        <w:t xml:space="preserve">for imported cut flowers </w:t>
      </w:r>
      <w:r w:rsidRPr="00ED7DCA">
        <w:rPr>
          <w:rFonts w:eastAsia="Calibri" w:cs="Times New Roman"/>
        </w:rPr>
        <w:t xml:space="preserve">do not meet the </w:t>
      </w:r>
      <w:r>
        <w:rPr>
          <w:rFonts w:eastAsia="Times New Roman" w:cstheme="minorHAnsi"/>
          <w:bdr w:val="none" w:sz="0" w:space="0" w:color="auto" w:frame="1"/>
          <w:lang w:eastAsia="en-AU"/>
        </w:rPr>
        <w:t>key principles of the SPS Agreement</w:t>
      </w:r>
      <w:r w:rsidR="004452FB">
        <w:rPr>
          <w:rFonts w:eastAsia="Times New Roman" w:cstheme="minorHAnsi"/>
          <w:bdr w:val="none" w:sz="0" w:space="0" w:color="auto" w:frame="1"/>
          <w:lang w:eastAsia="en-AU"/>
        </w:rPr>
        <w:t xml:space="preserve">, which state that phytosanitary measures should </w:t>
      </w:r>
      <w:r w:rsidR="004452FB" w:rsidRPr="00EE49EA">
        <w:rPr>
          <w:rFonts w:eastAsia="Times New Roman" w:cstheme="minorHAnsi"/>
          <w:bdr w:val="none" w:sz="0" w:space="0" w:color="auto" w:frame="1"/>
          <w:lang w:eastAsia="en-AU"/>
        </w:rPr>
        <w:t xml:space="preserve">only </w:t>
      </w:r>
      <w:r w:rsidR="004452FB">
        <w:rPr>
          <w:rFonts w:eastAsia="Times New Roman" w:cstheme="minorHAnsi"/>
          <w:bdr w:val="none" w:sz="0" w:space="0" w:color="auto" w:frame="1"/>
          <w:lang w:eastAsia="en-AU"/>
        </w:rPr>
        <w:t xml:space="preserve">be required </w:t>
      </w:r>
      <w:r w:rsidR="004452FB" w:rsidRPr="00EE49EA">
        <w:rPr>
          <w:rFonts w:eastAsia="Times New Roman" w:cstheme="minorHAnsi"/>
          <w:bdr w:val="none" w:sz="0" w:space="0" w:color="auto" w:frame="1"/>
          <w:lang w:eastAsia="en-AU"/>
        </w:rPr>
        <w:t>where necessary</w:t>
      </w:r>
      <w:r w:rsidR="004452FB">
        <w:rPr>
          <w:rFonts w:eastAsia="Times New Roman" w:cstheme="minorHAnsi"/>
          <w:bdr w:val="none" w:sz="0" w:space="0" w:color="auto" w:frame="1"/>
          <w:lang w:eastAsia="en-AU"/>
        </w:rPr>
        <w:t>, should have minimal impact, and should be justified by a</w:t>
      </w:r>
      <w:r w:rsidR="004452FB" w:rsidRPr="00F90EB6">
        <w:rPr>
          <w:rFonts w:eastAsia="Times New Roman" w:cstheme="minorHAnsi"/>
          <w:bdr w:val="none" w:sz="0" w:space="0" w:color="auto" w:frame="1"/>
          <w:lang w:eastAsia="en-AU"/>
        </w:rPr>
        <w:t>n appropriate pest risk analysis</w:t>
      </w:r>
      <w:r w:rsidR="004452FB">
        <w:rPr>
          <w:rFonts w:eastAsia="Times New Roman" w:cstheme="minorHAnsi"/>
          <w:bdr w:val="none" w:sz="0" w:space="0" w:color="auto" w:frame="1"/>
          <w:lang w:eastAsia="en-AU"/>
        </w:rPr>
        <w:t xml:space="preserve"> (PRA)</w:t>
      </w:r>
      <w:r>
        <w:rPr>
          <w:rFonts w:eastAsia="Times New Roman" w:cstheme="minorHAnsi"/>
          <w:bdr w:val="none" w:sz="0" w:space="0" w:color="auto" w:frame="1"/>
          <w:lang w:eastAsia="en-AU"/>
        </w:rPr>
        <w:t xml:space="preserve">. </w:t>
      </w:r>
      <w:r w:rsidRPr="00704069">
        <w:rPr>
          <w:color w:val="000000" w:themeColor="text1"/>
        </w:rPr>
        <w:t>Therefore</w:t>
      </w:r>
      <w:r>
        <w:rPr>
          <w:color w:val="000000" w:themeColor="text1"/>
        </w:rPr>
        <w:t>,</w:t>
      </w:r>
      <w:r w:rsidRPr="00704069">
        <w:rPr>
          <w:color w:val="000000" w:themeColor="text1"/>
        </w:rPr>
        <w:t xml:space="preserve"> </w:t>
      </w:r>
      <w:r w:rsidRPr="00D454F5">
        <w:rPr>
          <w:color w:val="000000" w:themeColor="text1"/>
        </w:rPr>
        <w:t xml:space="preserve">this draft report </w:t>
      </w:r>
      <w:r>
        <w:rPr>
          <w:color w:val="000000" w:themeColor="text1"/>
        </w:rPr>
        <w:t>proposes</w:t>
      </w:r>
      <w:r w:rsidRPr="00D454F5">
        <w:rPr>
          <w:color w:val="000000" w:themeColor="text1"/>
        </w:rPr>
        <w:t xml:space="preserve"> </w:t>
      </w:r>
      <w:r>
        <w:rPr>
          <w:color w:val="000000" w:themeColor="text1"/>
        </w:rPr>
        <w:t xml:space="preserve">that </w:t>
      </w:r>
      <w:r w:rsidRPr="00D454F5">
        <w:rPr>
          <w:color w:val="000000" w:themeColor="text1"/>
        </w:rPr>
        <w:t xml:space="preserve">the devitalisation </w:t>
      </w:r>
      <w:r>
        <w:rPr>
          <w:color w:val="000000" w:themeColor="text1"/>
        </w:rPr>
        <w:t>requirements be removed from the following pathways:</w:t>
      </w:r>
    </w:p>
    <w:p w14:paraId="11E72275" w14:textId="34C08F92" w:rsidR="004726BA" w:rsidRPr="00C67426" w:rsidRDefault="00C9086A" w:rsidP="004C2E16">
      <w:pPr>
        <w:pStyle w:val="ListBullet"/>
        <w:spacing w:before="0" w:after="200" w:line="276" w:lineRule="auto"/>
      </w:pPr>
      <w:r>
        <w:t>M</w:t>
      </w:r>
      <w:r w:rsidR="004726BA" w:rsidRPr="00C67426">
        <w:t>ore than 6 small boxes, bouquets or equivalent from all permitted countries:</w:t>
      </w:r>
    </w:p>
    <w:p w14:paraId="6B218F89" w14:textId="0433B579" w:rsidR="004726BA" w:rsidRPr="00C67426" w:rsidRDefault="004726BA" w:rsidP="00F95457">
      <w:pPr>
        <w:pStyle w:val="ListBullet"/>
        <w:numPr>
          <w:ilvl w:val="0"/>
          <w:numId w:val="0"/>
        </w:numPr>
        <w:spacing w:before="0" w:after="200" w:line="276" w:lineRule="auto"/>
        <w:ind w:left="720"/>
      </w:pPr>
      <w:r w:rsidRPr="00C67426">
        <w:t xml:space="preserve">Glyphosate dip </w:t>
      </w:r>
      <w:r w:rsidR="00056126">
        <w:t>for</w:t>
      </w:r>
      <w:r w:rsidRPr="00C67426">
        <w:t xml:space="preserve"> </w:t>
      </w:r>
      <w:r w:rsidRPr="009D6E2A">
        <w:rPr>
          <w:i/>
          <w:iCs/>
        </w:rPr>
        <w:t>Brunia</w:t>
      </w:r>
      <w:r w:rsidRPr="00C67426">
        <w:t xml:space="preserve"> spp., </w:t>
      </w:r>
      <w:r w:rsidRPr="009D6E2A">
        <w:rPr>
          <w:i/>
          <w:iCs/>
        </w:rPr>
        <w:t>Calathea insignis</w:t>
      </w:r>
      <w:r w:rsidRPr="00C67426">
        <w:t xml:space="preserve">, </w:t>
      </w:r>
      <w:r w:rsidRPr="009D6E2A">
        <w:rPr>
          <w:i/>
          <w:iCs/>
        </w:rPr>
        <w:t>Calathea lancifolia</w:t>
      </w:r>
      <w:r w:rsidRPr="00C67426">
        <w:t xml:space="preserve">, </w:t>
      </w:r>
      <w:r w:rsidRPr="009D6E2A">
        <w:rPr>
          <w:i/>
          <w:iCs/>
        </w:rPr>
        <w:t>Callistephus chinensis</w:t>
      </w:r>
      <w:r w:rsidRPr="00C67426">
        <w:t xml:space="preserve">, </w:t>
      </w:r>
      <w:r w:rsidRPr="009D6E2A">
        <w:rPr>
          <w:i/>
          <w:iCs/>
        </w:rPr>
        <w:t>Chrysanthemum</w:t>
      </w:r>
      <w:r w:rsidRPr="00C67426">
        <w:t xml:space="preserve"> spp., </w:t>
      </w:r>
      <w:r w:rsidRPr="009D6E2A">
        <w:rPr>
          <w:i/>
          <w:iCs/>
        </w:rPr>
        <w:t>Cordyline</w:t>
      </w:r>
      <w:r w:rsidRPr="00C67426">
        <w:t xml:space="preserve"> spp., </w:t>
      </w:r>
      <w:r w:rsidRPr="009D6E2A">
        <w:rPr>
          <w:i/>
          <w:iCs/>
        </w:rPr>
        <w:t>Dianthus</w:t>
      </w:r>
      <w:r w:rsidRPr="00C67426">
        <w:t xml:space="preserve"> spp., </w:t>
      </w:r>
      <w:r w:rsidRPr="009D6E2A">
        <w:rPr>
          <w:i/>
          <w:iCs/>
        </w:rPr>
        <w:t>Oxypetalum</w:t>
      </w:r>
      <w:r w:rsidRPr="00C67426">
        <w:t xml:space="preserve"> spp., </w:t>
      </w:r>
      <w:r w:rsidRPr="009D6E2A">
        <w:rPr>
          <w:i/>
          <w:iCs/>
        </w:rPr>
        <w:t>Hypericum</w:t>
      </w:r>
      <w:r w:rsidRPr="00C67426">
        <w:t xml:space="preserve"> spp., </w:t>
      </w:r>
      <w:r w:rsidRPr="009D6E2A">
        <w:rPr>
          <w:i/>
          <w:iCs/>
        </w:rPr>
        <w:t xml:space="preserve">Rhapis </w:t>
      </w:r>
      <w:r w:rsidRPr="00C67426">
        <w:t xml:space="preserve">spp., </w:t>
      </w:r>
      <w:r w:rsidRPr="009D6E2A">
        <w:rPr>
          <w:i/>
          <w:iCs/>
        </w:rPr>
        <w:t>Rosa</w:t>
      </w:r>
      <w:r w:rsidRPr="00C67426">
        <w:t xml:space="preserve"> spp., </w:t>
      </w:r>
      <w:r w:rsidRPr="009D6E2A">
        <w:rPr>
          <w:i/>
          <w:iCs/>
        </w:rPr>
        <w:t>Viburnum</w:t>
      </w:r>
      <w:r w:rsidRPr="00C67426">
        <w:t xml:space="preserve"> spp., </w:t>
      </w:r>
      <w:r w:rsidRPr="009D6E2A">
        <w:rPr>
          <w:i/>
          <w:iCs/>
        </w:rPr>
        <w:t>Viola</w:t>
      </w:r>
      <w:r w:rsidRPr="00C67426">
        <w:t xml:space="preserve"> spp., </w:t>
      </w:r>
      <w:r w:rsidRPr="009D6E2A">
        <w:rPr>
          <w:i/>
          <w:iCs/>
        </w:rPr>
        <w:t>Codiaeum variegatum</w:t>
      </w:r>
      <w:r w:rsidRPr="00C67426">
        <w:t xml:space="preserve"> and </w:t>
      </w:r>
      <w:r w:rsidRPr="009D6E2A">
        <w:rPr>
          <w:i/>
          <w:iCs/>
        </w:rPr>
        <w:t>Dracaena</w:t>
      </w:r>
      <w:r w:rsidRPr="00C67426">
        <w:t xml:space="preserve"> spp.</w:t>
      </w:r>
    </w:p>
    <w:p w14:paraId="018C5AFB" w14:textId="1077130A" w:rsidR="004726BA" w:rsidRPr="00C67426" w:rsidRDefault="00C9086A" w:rsidP="004C2E16">
      <w:pPr>
        <w:pStyle w:val="ListBullet"/>
        <w:spacing w:before="0" w:after="200" w:line="276" w:lineRule="auto"/>
      </w:pPr>
      <w:r>
        <w:t>M</w:t>
      </w:r>
      <w:r w:rsidR="004726BA" w:rsidRPr="00C67426">
        <w:t>ore than 6 small boxes, bouquets or equivalent from Vietnam:</w:t>
      </w:r>
    </w:p>
    <w:p w14:paraId="008B0B5B" w14:textId="50CAE697" w:rsidR="004726BA" w:rsidRPr="00C67426" w:rsidRDefault="004726BA" w:rsidP="00F95457">
      <w:pPr>
        <w:pStyle w:val="ListBullet"/>
        <w:numPr>
          <w:ilvl w:val="0"/>
          <w:numId w:val="0"/>
        </w:numPr>
        <w:spacing w:before="0" w:after="200" w:line="276" w:lineRule="auto"/>
        <w:ind w:left="397" w:firstLine="323"/>
      </w:pPr>
      <w:r w:rsidRPr="00C67426">
        <w:t xml:space="preserve">Metsulfuron-methyl dip </w:t>
      </w:r>
      <w:r w:rsidR="007306B8">
        <w:t>for</w:t>
      </w:r>
      <w:r w:rsidRPr="00C67426">
        <w:t xml:space="preserve"> Chrysanthemum spp. </w:t>
      </w:r>
    </w:p>
    <w:p w14:paraId="713F5010" w14:textId="0D266859" w:rsidR="004726BA" w:rsidRPr="00C67426" w:rsidRDefault="004726BA" w:rsidP="004C2E16">
      <w:pPr>
        <w:pStyle w:val="ListBullet"/>
        <w:spacing w:before="0" w:after="200" w:line="276" w:lineRule="auto"/>
      </w:pPr>
      <w:r w:rsidRPr="00C67426">
        <w:t>6 or less small boxes, bouquets or equivalent</w:t>
      </w:r>
      <w:r w:rsidR="007306B8">
        <w:t xml:space="preserve"> </w:t>
      </w:r>
      <w:r w:rsidR="007306B8" w:rsidRPr="00C67426">
        <w:t>from all permitted countries</w:t>
      </w:r>
      <w:r w:rsidRPr="00C67426">
        <w:t>:</w:t>
      </w:r>
    </w:p>
    <w:p w14:paraId="24EF6F62" w14:textId="77777777" w:rsidR="004726BA" w:rsidRPr="00C67426" w:rsidRDefault="004726BA" w:rsidP="00F95457">
      <w:pPr>
        <w:ind w:left="720"/>
      </w:pPr>
      <w:r w:rsidRPr="00C67426">
        <w:t>Manual removal of the auxiliary buds of all the nodes on stems; or cutting the stems to 5 cm below the flower heads.</w:t>
      </w:r>
    </w:p>
    <w:p w14:paraId="1090CD9C" w14:textId="48B48200" w:rsidR="004726BA" w:rsidRPr="00AE3CD7" w:rsidRDefault="004726BA" w:rsidP="00800E7D">
      <w:r>
        <w:lastRenderedPageBreak/>
        <w:t xml:space="preserve">The phytosanitary measures determined to be effective to manage biosecurity risk to achieve the ALOP for Australia are based on the biosecurity risk associated with specific intended use of the commodity. </w:t>
      </w:r>
      <w:r w:rsidRPr="009C5ADA">
        <w:t xml:space="preserve"> </w:t>
      </w:r>
      <w:r w:rsidRPr="00DF5A38">
        <w:t xml:space="preserve">It is important to note that DFIU of imported cut flowers potentially increases the biosecurity risk associated with the goods and is not permitted by the department. The department has powers under the </w:t>
      </w:r>
      <w:r w:rsidRPr="00DF5A38">
        <w:rPr>
          <w:i/>
          <w:iCs/>
        </w:rPr>
        <w:t xml:space="preserve">Biosecurity Act 2015 </w:t>
      </w:r>
      <w:r w:rsidRPr="00DF5A38">
        <w:t xml:space="preserve">(hereafter referred to as the </w:t>
      </w:r>
      <w:r w:rsidRPr="00DF5A38">
        <w:rPr>
          <w:i/>
          <w:iCs/>
        </w:rPr>
        <w:t>Act</w:t>
      </w:r>
      <w:r w:rsidRPr="00DF5A38">
        <w:t xml:space="preserve">) to investigate suspected DFIU, undertake an assessment of the biosecurity risk, and </w:t>
      </w:r>
      <w:proofErr w:type="gramStart"/>
      <w:r w:rsidRPr="00DF5A38">
        <w:t>take action</w:t>
      </w:r>
      <w:proofErr w:type="gramEnd"/>
      <w:r w:rsidRPr="00DF5A38">
        <w:t xml:space="preserve"> where required. Action can include education and warnings, significant fines, revocation of permits and/or other approvals </w:t>
      </w:r>
      <w:r w:rsidR="002D5047" w:rsidRPr="00DF5A38">
        <w:t>from the</w:t>
      </w:r>
      <w:r w:rsidRPr="00DF5A38">
        <w:t xml:space="preserve"> department, criminal prosecution or civil litigation.</w:t>
      </w:r>
    </w:p>
    <w:p w14:paraId="1E2C8655" w14:textId="77777777" w:rsidR="004726BA" w:rsidRPr="00525379" w:rsidRDefault="004726BA" w:rsidP="00800E7D">
      <w:pPr>
        <w:sectPr w:rsidR="004726BA" w:rsidRPr="00525379" w:rsidSect="004726BA">
          <w:headerReference w:type="even" r:id="rId36"/>
          <w:headerReference w:type="default" r:id="rId37"/>
          <w:footerReference w:type="even" r:id="rId38"/>
          <w:footerReference w:type="default" r:id="rId39"/>
          <w:headerReference w:type="first" r:id="rId40"/>
          <w:footerReference w:type="first" r:id="rId41"/>
          <w:pgSz w:w="11906" w:h="16838"/>
          <w:pgMar w:top="1418" w:right="1418" w:bottom="1418" w:left="1418" w:header="567" w:footer="850" w:gutter="0"/>
          <w:pgNumType w:fmt="lowerRoman"/>
          <w:cols w:space="708"/>
          <w:docGrid w:linePitch="360"/>
        </w:sectPr>
      </w:pPr>
      <w:r w:rsidRPr="00D454F5">
        <w:rPr>
          <w:color w:val="000000" w:themeColor="text1"/>
        </w:rPr>
        <w:t xml:space="preserve">This draft report has been published on the department website to allow interested parties to provide comments and submissions within the </w:t>
      </w:r>
      <w:r>
        <w:rPr>
          <w:color w:val="000000" w:themeColor="text1"/>
        </w:rPr>
        <w:t>60-day</w:t>
      </w:r>
      <w:r w:rsidRPr="00D454F5">
        <w:rPr>
          <w:color w:val="000000" w:themeColor="text1"/>
        </w:rPr>
        <w:t xml:space="preserve"> consultation period</w:t>
      </w:r>
      <w:r>
        <w:rPr>
          <w:color w:val="000000" w:themeColor="text1"/>
        </w:rPr>
        <w:t>.</w:t>
      </w:r>
    </w:p>
    <w:p w14:paraId="2D2A283F" w14:textId="77777777" w:rsidR="004726BA" w:rsidRPr="00525379" w:rsidRDefault="004726BA" w:rsidP="00800E7D">
      <w:pPr>
        <w:pStyle w:val="Heading2"/>
      </w:pPr>
      <w:bookmarkStart w:id="8" w:name="_Toc524598934"/>
      <w:bookmarkStart w:id="9" w:name="_Toc197938530"/>
      <w:bookmarkStart w:id="10" w:name="_Toc197953558"/>
      <w:r w:rsidRPr="00525379">
        <w:lastRenderedPageBreak/>
        <w:t>Introduction</w:t>
      </w:r>
      <w:bookmarkEnd w:id="8"/>
      <w:bookmarkEnd w:id="9"/>
      <w:bookmarkEnd w:id="10"/>
    </w:p>
    <w:p w14:paraId="4556C9A9" w14:textId="77777777" w:rsidR="004726BA" w:rsidRPr="00525379" w:rsidRDefault="004726BA" w:rsidP="00800E7D">
      <w:pPr>
        <w:pStyle w:val="Heading3"/>
      </w:pPr>
      <w:bookmarkStart w:id="11" w:name="_Toc197938531"/>
      <w:bookmarkStart w:id="12" w:name="_Toc197953559"/>
      <w:r>
        <w:t>Background</w:t>
      </w:r>
      <w:bookmarkEnd w:id="11"/>
      <w:bookmarkEnd w:id="12"/>
    </w:p>
    <w:p w14:paraId="2D832AE4" w14:textId="77777777" w:rsidR="004726BA" w:rsidRDefault="004726BA" w:rsidP="00800E7D">
      <w:bookmarkStart w:id="13" w:name="_Ref94701666"/>
      <w:r>
        <w:t xml:space="preserve">Since 1963 Australia has permitted the importation of commercially produced cut flowers from many countries for time-limited decorative purposes in Australia. Some cut flowers such as roses, chrysanthemums and carnations are considered propagable. Using imported cut flowers for propagation poses potential biosecurity risk because, if there are pathogens associated with the imported cut flowers and the propagation is successful, the associated pathogens could establish, spread and cause consequences in Australia. Therefore, Australia currently requires specific cut flower species to be devitalised to make them non-propagable prior to export to Australia. </w:t>
      </w:r>
    </w:p>
    <w:p w14:paraId="3C0912DD" w14:textId="4D021E8C" w:rsidR="004726BA" w:rsidRPr="001D281D" w:rsidRDefault="6977B9F2" w:rsidP="001D281D">
      <w:pPr>
        <w:spacing w:before="160" w:line="269" w:lineRule="auto"/>
      </w:pPr>
      <w:r w:rsidRPr="001D281D">
        <w:t xml:space="preserve">The </w:t>
      </w:r>
      <w:r w:rsidRPr="001D281D">
        <w:rPr>
          <w:i/>
          <w:iCs/>
        </w:rPr>
        <w:t>Biosecurity Act 2015</w:t>
      </w:r>
      <w:r w:rsidRPr="001D281D">
        <w:t xml:space="preserve"> and its subordinate legislation provides the legal basis for preventing and managing the introduction into Australia of pests and diseases that may cause harm to human, animal or plant health or the environment. </w:t>
      </w:r>
    </w:p>
    <w:p w14:paraId="1C114625" w14:textId="7E722D57" w:rsidR="004726BA" w:rsidRPr="00525379" w:rsidRDefault="004726BA" w:rsidP="00800E7D">
      <w:r w:rsidRPr="26CEEC15">
        <w:rPr>
          <w:rFonts w:eastAsia="Times New Roman"/>
          <w:bdr w:val="none" w:sz="0" w:space="0" w:color="auto" w:frame="1"/>
          <w:lang w:eastAsia="en-AU"/>
        </w:rPr>
        <w:t>Australia is a signatory to the World Trade Organization (WTO) and, like other WTO members, has rights and obligations under the Agreement on the Application of Sanitary and Phytosanitary Measures (SPS Agreement). The key principles of the SPS Agreement regarding phytosanitary measures are that phytosanitary measures should only be required where necessary, should have minimal impact, and should be justified by an appropriate pest risk analysis or, where applicable, another comparable examination and evaluation of available scientific information.</w:t>
      </w:r>
    </w:p>
    <w:p w14:paraId="5DBCC0B2" w14:textId="5ED9FE4A" w:rsidR="004726BA" w:rsidRDefault="004726BA" w:rsidP="26CEEC15">
      <w:pPr>
        <w:rPr>
          <w:rFonts w:eastAsia="Times New Roman"/>
          <w:bdr w:val="none" w:sz="0" w:space="0" w:color="auto" w:frame="1"/>
          <w:lang w:eastAsia="en-AU"/>
        </w:rPr>
      </w:pPr>
      <w:r w:rsidRPr="26CEEC15">
        <w:rPr>
          <w:rFonts w:eastAsia="Times New Roman"/>
          <w:bdr w:val="none" w:sz="0" w:space="0" w:color="auto" w:frame="1"/>
          <w:lang w:eastAsia="en-AU"/>
        </w:rPr>
        <w:t xml:space="preserve">The department has conducted this review to examine and evaluate </w:t>
      </w:r>
      <w:r w:rsidR="5E3A1D40" w:rsidRPr="26CEEC15">
        <w:rPr>
          <w:rFonts w:eastAsia="Times New Roman"/>
          <w:bdr w:val="none" w:sz="0" w:space="0" w:color="auto" w:frame="1"/>
          <w:lang w:eastAsia="en-AU"/>
        </w:rPr>
        <w:t xml:space="preserve">the occurrence of </w:t>
      </w:r>
      <w:r w:rsidR="5E3A1D40" w:rsidRPr="26CEEC15">
        <w:rPr>
          <w:rFonts w:eastAsia="Calibri" w:cs="Calibri"/>
          <w:color w:val="000000" w:themeColor="text1"/>
        </w:rPr>
        <w:t xml:space="preserve">diversion from intended use of imported </w:t>
      </w:r>
      <w:r w:rsidR="5E3A1D40" w:rsidRPr="26CEEC15">
        <w:rPr>
          <w:rFonts w:eastAsia="Calibri" w:cs="Calibri"/>
        </w:rPr>
        <w:t xml:space="preserve">cut flowers </w:t>
      </w:r>
      <w:r w:rsidR="5E3A1D40" w:rsidRPr="26CEEC15">
        <w:rPr>
          <w:rFonts w:eastAsia="Calibri" w:cs="Calibri"/>
          <w:color w:val="000000" w:themeColor="text1"/>
        </w:rPr>
        <w:t xml:space="preserve">to propagation and the associated </w:t>
      </w:r>
      <w:r w:rsidR="620DC010" w:rsidRPr="001D281D">
        <w:rPr>
          <w:rFonts w:eastAsia="Calibri" w:cs="Calibri"/>
          <w:color w:val="000000" w:themeColor="text1"/>
        </w:rPr>
        <w:t>biosecurity risk</w:t>
      </w:r>
      <w:r w:rsidR="008F6283">
        <w:rPr>
          <w:rFonts w:eastAsia="Calibri" w:cs="Calibri"/>
          <w:color w:val="000000" w:themeColor="text1"/>
        </w:rPr>
        <w:t>. The review</w:t>
      </w:r>
      <w:r w:rsidR="17152B65" w:rsidRPr="26CEEC15">
        <w:rPr>
          <w:rFonts w:eastAsia="Calibri" w:cs="Calibri"/>
          <w:color w:val="000000" w:themeColor="text1"/>
        </w:rPr>
        <w:t xml:space="preserve"> </w:t>
      </w:r>
      <w:r w:rsidR="00C47D0C">
        <w:rPr>
          <w:rFonts w:eastAsia="Calibri" w:cs="Calibri"/>
          <w:color w:val="000000" w:themeColor="text1"/>
        </w:rPr>
        <w:t>makes</w:t>
      </w:r>
      <w:r w:rsidR="22B78D77" w:rsidRPr="26CEEC15">
        <w:rPr>
          <w:rFonts w:eastAsia="Calibri" w:cs="Calibri"/>
          <w:color w:val="000000" w:themeColor="text1"/>
        </w:rPr>
        <w:t xml:space="preserve"> proposals</w:t>
      </w:r>
      <w:r w:rsidR="17152B65" w:rsidRPr="26CEEC15">
        <w:rPr>
          <w:rFonts w:eastAsia="Calibri" w:cs="Calibri"/>
          <w:color w:val="000000" w:themeColor="text1"/>
        </w:rPr>
        <w:t xml:space="preserve"> </w:t>
      </w:r>
      <w:r w:rsidR="007C11F6">
        <w:rPr>
          <w:rFonts w:eastAsia="Calibri" w:cs="Calibri"/>
          <w:color w:val="000000" w:themeColor="text1"/>
        </w:rPr>
        <w:t>with regards to</w:t>
      </w:r>
      <w:r w:rsidRPr="26CEEC15">
        <w:rPr>
          <w:rFonts w:eastAsia="Times New Roman"/>
          <w:bdr w:val="none" w:sz="0" w:space="0" w:color="auto" w:frame="1"/>
          <w:lang w:eastAsia="en-AU"/>
        </w:rPr>
        <w:t xml:space="preserve"> devitalisation requirements </w:t>
      </w:r>
      <w:r w:rsidR="007C11F6">
        <w:rPr>
          <w:rFonts w:eastAsia="Times New Roman"/>
          <w:bdr w:val="none" w:sz="0" w:space="0" w:color="auto" w:frame="1"/>
          <w:lang w:eastAsia="en-AU"/>
        </w:rPr>
        <w:t>in the context of achieving</w:t>
      </w:r>
      <w:r w:rsidR="3E838483" w:rsidRPr="26CEEC15">
        <w:rPr>
          <w:rFonts w:eastAsia="Times New Roman"/>
          <w:bdr w:val="none" w:sz="0" w:space="0" w:color="auto" w:frame="1"/>
          <w:lang w:eastAsia="en-AU"/>
        </w:rPr>
        <w:t xml:space="preserve"> the ALOP for Australia and</w:t>
      </w:r>
      <w:r w:rsidRPr="26CEEC15">
        <w:rPr>
          <w:rFonts w:eastAsia="Times New Roman"/>
          <w:bdr w:val="none" w:sz="0" w:space="0" w:color="auto" w:frame="1"/>
          <w:lang w:eastAsia="en-AU"/>
        </w:rPr>
        <w:t xml:space="preserve"> </w:t>
      </w:r>
      <w:r w:rsidRPr="6C64C786">
        <w:rPr>
          <w:rFonts w:eastAsia="Times New Roman"/>
          <w:bdr w:val="none" w:sz="0" w:space="0" w:color="auto" w:frame="1"/>
          <w:lang w:eastAsia="en-AU"/>
        </w:rPr>
        <w:t>meet</w:t>
      </w:r>
      <w:r w:rsidR="007C11F6">
        <w:rPr>
          <w:rFonts w:eastAsia="Times New Roman"/>
          <w:bdr w:val="none" w:sz="0" w:space="0" w:color="auto" w:frame="1"/>
          <w:lang w:eastAsia="en-AU"/>
        </w:rPr>
        <w:t>ing</w:t>
      </w:r>
      <w:r w:rsidRPr="26CEEC15">
        <w:rPr>
          <w:rFonts w:eastAsia="Times New Roman"/>
          <w:bdr w:val="none" w:sz="0" w:space="0" w:color="auto" w:frame="1"/>
          <w:lang w:eastAsia="en-AU"/>
        </w:rPr>
        <w:t xml:space="preserve"> the key principles of the SPS Agreement. </w:t>
      </w:r>
    </w:p>
    <w:p w14:paraId="2D3962E7" w14:textId="77777777" w:rsidR="004726BA" w:rsidRPr="00525379" w:rsidRDefault="004726BA" w:rsidP="00800E7D">
      <w:pPr>
        <w:pStyle w:val="Heading3"/>
      </w:pPr>
      <w:bookmarkStart w:id="14" w:name="_Toc197938532"/>
      <w:bookmarkStart w:id="15" w:name="_Toc197953560"/>
      <w:r w:rsidRPr="00525379">
        <w:t>Scope</w:t>
      </w:r>
      <w:bookmarkEnd w:id="13"/>
      <w:bookmarkEnd w:id="14"/>
      <w:bookmarkEnd w:id="15"/>
    </w:p>
    <w:p w14:paraId="0D940386" w14:textId="77777777" w:rsidR="004726BA" w:rsidRDefault="004726BA" w:rsidP="00800E7D">
      <w:r w:rsidRPr="00525379">
        <w:t xml:space="preserve">The </w:t>
      </w:r>
      <w:r>
        <w:t xml:space="preserve">scope </w:t>
      </w:r>
      <w:r w:rsidRPr="00525379">
        <w:t>of this review is to</w:t>
      </w:r>
      <w:r>
        <w:t>:</w:t>
      </w:r>
    </w:p>
    <w:p w14:paraId="0257E9B9" w14:textId="77777777" w:rsidR="004726BA" w:rsidRDefault="004726BA" w:rsidP="00723695">
      <w:pPr>
        <w:pStyle w:val="ListBullet"/>
        <w:spacing w:before="0" w:after="200" w:line="276" w:lineRule="auto"/>
      </w:pPr>
      <w:r>
        <w:t>I</w:t>
      </w:r>
      <w:r w:rsidRPr="00525379">
        <w:t xml:space="preserve">nvestigate </w:t>
      </w:r>
      <w:r>
        <w:t xml:space="preserve">the occurrence of diversion from intended use (DFIU) </w:t>
      </w:r>
      <w:r w:rsidRPr="00525379">
        <w:t xml:space="preserve">of </w:t>
      </w:r>
      <w:r>
        <w:t xml:space="preserve">imported </w:t>
      </w:r>
      <w:r w:rsidRPr="00525379">
        <w:t>cut flowers</w:t>
      </w:r>
      <w:r>
        <w:t xml:space="preserve"> </w:t>
      </w:r>
      <w:r w:rsidRPr="00525379">
        <w:t>to propagation</w:t>
      </w:r>
      <w:r>
        <w:t xml:space="preserve"> and assess the associated unrestricted biosecurity risk (i.e., with no application of devitalisation requirements) to determine whether specific risk management measures are required. This is undertaken for all cut flowers </w:t>
      </w:r>
      <w:r w:rsidRPr="002A70EB">
        <w:t>the department has determined to be propagable</w:t>
      </w:r>
      <w:r>
        <w:t>.</w:t>
      </w:r>
    </w:p>
    <w:p w14:paraId="01AE20F9" w14:textId="77777777" w:rsidR="004726BA" w:rsidRPr="004A3E95" w:rsidRDefault="004726BA" w:rsidP="00723695">
      <w:pPr>
        <w:pStyle w:val="ListBullet"/>
        <w:spacing w:before="0" w:after="200" w:line="276" w:lineRule="auto"/>
      </w:pPr>
      <w:r>
        <w:t>Where</w:t>
      </w:r>
      <w:r w:rsidRPr="004A3E95">
        <w:t xml:space="preserve"> risk management measures are required, </w:t>
      </w:r>
      <w:r>
        <w:t>evaluate whether</w:t>
      </w:r>
      <w:r w:rsidRPr="004A3E95">
        <w:t xml:space="preserve"> </w:t>
      </w:r>
      <w:r>
        <w:t xml:space="preserve">current </w:t>
      </w:r>
      <w:r w:rsidRPr="004A3E95">
        <w:t xml:space="preserve">devitalisation </w:t>
      </w:r>
      <w:r>
        <w:t>requirements</w:t>
      </w:r>
      <w:r w:rsidRPr="004A3E95">
        <w:t xml:space="preserve"> </w:t>
      </w:r>
      <w:r>
        <w:t xml:space="preserve">are effective and, if not, determine the devitalisation requirements that </w:t>
      </w:r>
      <w:r w:rsidRPr="004A3E95">
        <w:t>could be applied.</w:t>
      </w:r>
    </w:p>
    <w:p w14:paraId="10339DDF" w14:textId="77777777" w:rsidR="004726BA" w:rsidRPr="00525379" w:rsidRDefault="004726BA" w:rsidP="00800E7D">
      <w:r w:rsidRPr="00525379">
        <w:t>In this review</w:t>
      </w:r>
      <w:r>
        <w:t>,</w:t>
      </w:r>
      <w:r w:rsidRPr="00525379">
        <w:t xml:space="preserve"> cut flowers are defined as stems with flowers and foliage, without propagules (for example, bulbils, fruit and seeds)</w:t>
      </w:r>
      <w:r>
        <w:t>, consistent with current import conditions</w:t>
      </w:r>
      <w:r w:rsidRPr="00525379">
        <w:t>.</w:t>
      </w:r>
    </w:p>
    <w:p w14:paraId="273C1AF9" w14:textId="77777777" w:rsidR="004726BA" w:rsidRPr="00525379" w:rsidRDefault="004726BA" w:rsidP="00800E7D">
      <w:r>
        <w:t>This</w:t>
      </w:r>
      <w:r w:rsidRPr="00525379">
        <w:t xml:space="preserve"> review </w:t>
      </w:r>
      <w:r>
        <w:t>includes</w:t>
      </w:r>
      <w:r w:rsidRPr="00525379">
        <w:t>:</w:t>
      </w:r>
    </w:p>
    <w:p w14:paraId="47E37FB1" w14:textId="77777777" w:rsidR="004726BA" w:rsidRDefault="004726BA" w:rsidP="00723695">
      <w:pPr>
        <w:pStyle w:val="ListBullet"/>
        <w:spacing w:before="0" w:after="200" w:line="276" w:lineRule="auto"/>
      </w:pPr>
      <w:r>
        <w:t>Australia’s existing policy for DFIU of imported cut flowers and international guidance on DFIU of imported plant produce (Chapter 1, Section 1.3),</w:t>
      </w:r>
    </w:p>
    <w:p w14:paraId="7DA68AA1" w14:textId="77777777" w:rsidR="004726BA" w:rsidRDefault="004726BA" w:rsidP="00723695">
      <w:pPr>
        <w:pStyle w:val="ListBullet"/>
        <w:spacing w:before="0" w:after="200" w:line="276" w:lineRule="auto"/>
      </w:pPr>
      <w:r>
        <w:lastRenderedPageBreak/>
        <w:t>an overview of the imported cut flower pathway (Chapter 2),</w:t>
      </w:r>
    </w:p>
    <w:p w14:paraId="792140D0" w14:textId="77777777" w:rsidR="004726BA" w:rsidRDefault="004726BA" w:rsidP="00723695">
      <w:pPr>
        <w:pStyle w:val="ListBullet"/>
        <w:spacing w:before="0" w:after="200" w:line="276" w:lineRule="auto"/>
      </w:pPr>
      <w:r>
        <w:t>examination and ev</w:t>
      </w:r>
      <w:r w:rsidRPr="00525379">
        <w:t xml:space="preserve">aluation of the </w:t>
      </w:r>
      <w:r>
        <w:t xml:space="preserve">DFIU </w:t>
      </w:r>
      <w:r w:rsidRPr="00525379">
        <w:t xml:space="preserve">activity of </w:t>
      </w:r>
      <w:r>
        <w:t xml:space="preserve">imported </w:t>
      </w:r>
      <w:r w:rsidRPr="00525379">
        <w:t>cut flowers to propagation</w:t>
      </w:r>
      <w:r>
        <w:t>, the</w:t>
      </w:r>
      <w:r w:rsidRPr="006A1097">
        <w:t xml:space="preserve"> factors that influence successful propagation, and </w:t>
      </w:r>
      <w:r>
        <w:t xml:space="preserve">the </w:t>
      </w:r>
      <w:r w:rsidRPr="006A1097">
        <w:t>associated biosecurity risk</w:t>
      </w:r>
      <w:r>
        <w:t xml:space="preserve"> (Chapter 3), and</w:t>
      </w:r>
    </w:p>
    <w:p w14:paraId="0BC0755C" w14:textId="77777777" w:rsidR="004726BA" w:rsidRPr="00525379" w:rsidRDefault="004726BA" w:rsidP="00723695">
      <w:pPr>
        <w:pStyle w:val="ListBullet"/>
        <w:spacing w:before="0" w:after="200" w:line="276" w:lineRule="auto"/>
      </w:pPr>
      <w:r>
        <w:t>proposals on Australia’s</w:t>
      </w:r>
      <w:r w:rsidRPr="000B117D">
        <w:t xml:space="preserve"> devitalisation </w:t>
      </w:r>
      <w:r>
        <w:t>requirements for</w:t>
      </w:r>
      <w:r w:rsidRPr="000B117D">
        <w:t xml:space="preserve"> </w:t>
      </w:r>
      <w:r>
        <w:t xml:space="preserve">imported </w:t>
      </w:r>
      <w:r w:rsidRPr="000B117D">
        <w:t>cut flowers</w:t>
      </w:r>
      <w:r>
        <w:t xml:space="preserve"> (Chapter 4)</w:t>
      </w:r>
      <w:r w:rsidRPr="00525379">
        <w:t>.</w:t>
      </w:r>
    </w:p>
    <w:p w14:paraId="7162FF65" w14:textId="2E6A3B61" w:rsidR="004726BA" w:rsidRPr="00525379" w:rsidRDefault="004726BA" w:rsidP="00800E7D">
      <w:r>
        <w:t>This</w:t>
      </w:r>
      <w:r w:rsidRPr="00525379">
        <w:t xml:space="preserve"> review excludes:</w:t>
      </w:r>
    </w:p>
    <w:p w14:paraId="7DECAFA3" w14:textId="77777777" w:rsidR="004726BA" w:rsidRPr="00525379" w:rsidRDefault="004726BA" w:rsidP="00723695">
      <w:pPr>
        <w:pStyle w:val="ListBullet"/>
        <w:spacing w:before="0" w:after="200" w:line="276" w:lineRule="auto"/>
      </w:pPr>
      <w:r>
        <w:t>a review</w:t>
      </w:r>
      <w:r w:rsidRPr="00525379">
        <w:t xml:space="preserve"> of the </w:t>
      </w:r>
      <w:r>
        <w:t xml:space="preserve">definition of </w:t>
      </w:r>
      <w:r w:rsidRPr="00525379">
        <w:t xml:space="preserve">cut flowers </w:t>
      </w:r>
      <w:r>
        <w:t xml:space="preserve">in current import conditions, i.e. </w:t>
      </w:r>
      <w:r w:rsidRPr="00525379">
        <w:t>stems with flowers and foliage, without propagules (for example, bulbils, fruit and seeds)</w:t>
      </w:r>
      <w:r>
        <w:t>,</w:t>
      </w:r>
    </w:p>
    <w:p w14:paraId="7C1AFA6B" w14:textId="77777777" w:rsidR="004726BA" w:rsidRDefault="004726BA" w:rsidP="00723695">
      <w:pPr>
        <w:pStyle w:val="ListBullet"/>
        <w:spacing w:before="0" w:after="200" w:line="276" w:lineRule="auto"/>
      </w:pPr>
      <w:r>
        <w:t>assessments of biosecurity risk of arthropods as they have been assessed previously in the final pest risk analysis</w:t>
      </w:r>
      <w:r w:rsidRPr="003433B3">
        <w:t xml:space="preserve"> </w:t>
      </w:r>
      <w:r>
        <w:t xml:space="preserve">(PRA) </w:t>
      </w:r>
      <w:r w:rsidRPr="003433B3">
        <w:t xml:space="preserve">for </w:t>
      </w:r>
      <w:r>
        <w:t>cut flower and foliage imports</w:t>
      </w:r>
      <w:r w:rsidRPr="003433B3">
        <w:t xml:space="preserve">—Part </w:t>
      </w:r>
      <w:r>
        <w:t>1 (thrips, aphids and mites) and Part 2 (other arthropod pests), and</w:t>
      </w:r>
    </w:p>
    <w:p w14:paraId="3205E4F7" w14:textId="77777777" w:rsidR="004726BA" w:rsidRPr="00525379" w:rsidRDefault="004726BA" w:rsidP="00723695">
      <w:pPr>
        <w:pStyle w:val="ListBullet"/>
        <w:spacing w:before="0" w:after="200" w:line="276" w:lineRule="auto"/>
      </w:pPr>
      <w:r>
        <w:t xml:space="preserve">assessments </w:t>
      </w:r>
      <w:r w:rsidRPr="00525379">
        <w:t xml:space="preserve">of </w:t>
      </w:r>
      <w:r>
        <w:t xml:space="preserve">biosecurity risk of </w:t>
      </w:r>
      <w:r w:rsidRPr="00525379">
        <w:t xml:space="preserve">pathogens associated with </w:t>
      </w:r>
      <w:r>
        <w:t>imported cut flowers that are used in accordance with the intended use of time-limited decorative purposes in Australia, as this will be undertaken in cut flower PRA – part 3.  The department will engage with stakeholders regarding cut flower PRA – part 3 u</w:t>
      </w:r>
      <w:r w:rsidRPr="00607AFC">
        <w:t>pon finalisation of th</w:t>
      </w:r>
      <w:r>
        <w:t>is</w:t>
      </w:r>
      <w:r w:rsidRPr="00607AFC">
        <w:t xml:space="preserve"> review of devitalisation requirements</w:t>
      </w:r>
      <w:r>
        <w:t>.</w:t>
      </w:r>
    </w:p>
    <w:p w14:paraId="272DA894" w14:textId="77777777" w:rsidR="004726BA" w:rsidRDefault="004726BA" w:rsidP="00800E7D">
      <w:pPr>
        <w:pStyle w:val="Heading3"/>
      </w:pPr>
      <w:bookmarkStart w:id="16" w:name="_Toc197938533"/>
      <w:bookmarkStart w:id="17" w:name="_Toc197953561"/>
      <w:r>
        <w:t>Existing policy</w:t>
      </w:r>
      <w:bookmarkEnd w:id="16"/>
      <w:bookmarkEnd w:id="17"/>
    </w:p>
    <w:p w14:paraId="1DA90F3C" w14:textId="77777777" w:rsidR="004726BA" w:rsidRDefault="004726BA" w:rsidP="00800E7D">
      <w:pPr>
        <w:pStyle w:val="Heading4"/>
      </w:pPr>
      <w:bookmarkStart w:id="18" w:name="_Hlk87016551"/>
      <w:r>
        <w:t xml:space="preserve">Australia’s existing policy on devitalisation of imported cut flowers </w:t>
      </w:r>
    </w:p>
    <w:p w14:paraId="79BA1FA0" w14:textId="77777777" w:rsidR="004726BA" w:rsidRPr="00525379" w:rsidRDefault="004726BA" w:rsidP="00723695">
      <w:r>
        <w:t xml:space="preserve">The department has historically required imported propagable cut flowers to be devitalised to make them non-propagable. This was in order to manage any potential biosecurity risk associated with DFIU of these cut flowers to propagation. </w:t>
      </w:r>
      <w:r>
        <w:rPr>
          <w:rFonts w:cs="Calibri"/>
        </w:rPr>
        <w:t xml:space="preserve">The department’s devitalisation requirements have evolved over time. The </w:t>
      </w:r>
      <w:r>
        <w:rPr>
          <w:rFonts w:eastAsia="Calibri" w:cs="Times New Roman"/>
        </w:rPr>
        <w:t>c</w:t>
      </w:r>
      <w:r w:rsidRPr="00525379">
        <w:rPr>
          <w:rFonts w:eastAsia="Calibri" w:cs="Times New Roman"/>
        </w:rPr>
        <w:t xml:space="preserve">urrent requirements are </w:t>
      </w:r>
      <w:r>
        <w:rPr>
          <w:rFonts w:eastAsia="Calibri" w:cs="Times New Roman"/>
        </w:rPr>
        <w:t>summarised in T</w:t>
      </w:r>
      <w:r w:rsidRPr="00525379">
        <w:rPr>
          <w:rFonts w:eastAsia="Calibri" w:cs="Times New Roman"/>
        </w:rPr>
        <w:t xml:space="preserve">able </w:t>
      </w:r>
      <w:r>
        <w:rPr>
          <w:rFonts w:eastAsia="Calibri" w:cs="Times New Roman"/>
        </w:rPr>
        <w:t>1.1 and</w:t>
      </w:r>
      <w:r w:rsidRPr="00525379">
        <w:rPr>
          <w:rFonts w:eastAsia="Calibri" w:cs="Times New Roman"/>
        </w:rPr>
        <w:t xml:space="preserve"> </w:t>
      </w:r>
      <w:r>
        <w:rPr>
          <w:rFonts w:eastAsia="Calibri" w:cs="Times New Roman"/>
        </w:rPr>
        <w:t>f</w:t>
      </w:r>
      <w:r w:rsidRPr="00525379">
        <w:rPr>
          <w:rFonts w:eastAsia="Calibri" w:cs="Times New Roman"/>
        </w:rPr>
        <w:t xml:space="preserve">urther details </w:t>
      </w:r>
      <w:r>
        <w:rPr>
          <w:rFonts w:eastAsia="Calibri" w:cs="Times New Roman"/>
        </w:rPr>
        <w:t>can be found</w:t>
      </w:r>
      <w:r w:rsidRPr="00525379">
        <w:rPr>
          <w:rFonts w:eastAsia="Calibri" w:cs="Times New Roman"/>
        </w:rPr>
        <w:t xml:space="preserve"> </w:t>
      </w:r>
      <w:r>
        <w:rPr>
          <w:rFonts w:eastAsia="Calibri" w:cs="Times New Roman"/>
        </w:rPr>
        <w:t xml:space="preserve">on the Australian Government’s </w:t>
      </w:r>
      <w:r w:rsidRPr="00FB4E36">
        <w:rPr>
          <w:rFonts w:eastAsia="Calibri" w:cs="Times New Roman"/>
        </w:rPr>
        <w:t>Biosecurity Import Conditions</w:t>
      </w:r>
      <w:r w:rsidRPr="00525379">
        <w:rPr>
          <w:rFonts w:eastAsia="Calibri" w:cs="Times New Roman"/>
        </w:rPr>
        <w:t xml:space="preserve"> </w:t>
      </w:r>
      <w:r>
        <w:rPr>
          <w:rFonts w:eastAsia="Calibri" w:cs="Times New Roman"/>
        </w:rPr>
        <w:t>(</w:t>
      </w:r>
      <w:r w:rsidRPr="00525379">
        <w:rPr>
          <w:rFonts w:eastAsia="Calibri" w:cs="Times New Roman"/>
        </w:rPr>
        <w:t>BICON</w:t>
      </w:r>
      <w:r>
        <w:rPr>
          <w:rFonts w:eastAsia="Calibri" w:cs="Times New Roman"/>
        </w:rPr>
        <w:t xml:space="preserve">) database, </w:t>
      </w:r>
      <w:hyperlink r:id="rId42" w:history="1">
        <w:r w:rsidRPr="007E5856">
          <w:rPr>
            <w:rStyle w:val="Hyperlink"/>
            <w:rFonts w:eastAsia="Calibri" w:cs="Times New Roman"/>
          </w:rPr>
          <w:t>bicon.agriculture.gov.au/BiconWeb4.0</w:t>
        </w:r>
      </w:hyperlink>
      <w:r w:rsidRPr="00525379">
        <w:rPr>
          <w:rFonts w:eastAsia="Calibri" w:cs="Times New Roman"/>
        </w:rPr>
        <w:t>.</w:t>
      </w:r>
    </w:p>
    <w:p w14:paraId="745C2B1E" w14:textId="77777777" w:rsidR="004726BA" w:rsidRPr="00525379" w:rsidRDefault="004726BA" w:rsidP="00800E7D">
      <w:pPr>
        <w:pStyle w:val="Tablecaption"/>
      </w:pPr>
      <w:bookmarkStart w:id="19" w:name="_Toc179876425"/>
      <w:bookmarkStart w:id="20" w:name="_Toc202256549"/>
      <w:r w:rsidRPr="00525379">
        <w:t xml:space="preserve">Table </w:t>
      </w:r>
      <w:r>
        <w:t>1.1</w:t>
      </w:r>
      <w:r w:rsidRPr="00525379">
        <w:t xml:space="preserve"> Current </w:t>
      </w:r>
      <w:r>
        <w:t xml:space="preserve">devitalisation </w:t>
      </w:r>
      <w:r w:rsidRPr="00525379">
        <w:t>requirements for specific cut flowers imported into Australia</w:t>
      </w:r>
      <w:bookmarkEnd w:id="19"/>
      <w:bookmarkEnd w:id="20"/>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676"/>
        <w:gridCol w:w="5374"/>
      </w:tblGrid>
      <w:tr w:rsidR="004726BA" w:rsidRPr="00525379" w14:paraId="06B2CCD8" w14:textId="77777777" w:rsidTr="00800E7D">
        <w:trPr>
          <w:trHeight w:val="20"/>
        </w:trPr>
        <w:tc>
          <w:tcPr>
            <w:tcW w:w="2031" w:type="pct"/>
            <w:tcBorders>
              <w:top w:val="single" w:sz="8" w:space="0" w:color="auto"/>
              <w:left w:val="single" w:sz="8" w:space="0" w:color="auto"/>
              <w:right w:val="nil"/>
            </w:tcBorders>
            <w:shd w:val="clear" w:color="auto" w:fill="BFBFBF" w:themeFill="background1" w:themeFillShade="BF"/>
            <w:tcMar>
              <w:top w:w="120" w:type="dxa"/>
              <w:left w:w="240" w:type="dxa"/>
              <w:bottom w:w="120" w:type="dxa"/>
              <w:right w:w="240" w:type="dxa"/>
            </w:tcMar>
            <w:vAlign w:val="center"/>
            <w:hideMark/>
          </w:tcPr>
          <w:p w14:paraId="0EEF109E" w14:textId="77777777" w:rsidR="004726BA" w:rsidRPr="00525379" w:rsidRDefault="004726BA" w:rsidP="00800E7D">
            <w:pPr>
              <w:pStyle w:val="TableHeading"/>
              <w:rPr>
                <w:lang w:eastAsia="en-AU"/>
              </w:rPr>
            </w:pPr>
            <w:r w:rsidRPr="00525379">
              <w:rPr>
                <w:lang w:eastAsia="en-AU"/>
              </w:rPr>
              <w:t>Cut flower species</w:t>
            </w:r>
          </w:p>
        </w:tc>
        <w:tc>
          <w:tcPr>
            <w:tcW w:w="2969" w:type="pct"/>
            <w:tcBorders>
              <w:top w:val="single" w:sz="8" w:space="0" w:color="auto"/>
              <w:left w:val="single" w:sz="6" w:space="0" w:color="000000"/>
              <w:right w:val="single" w:sz="8" w:space="0" w:color="auto"/>
            </w:tcBorders>
            <w:shd w:val="clear" w:color="auto" w:fill="BFBFBF" w:themeFill="background1" w:themeFillShade="BF"/>
            <w:tcMar>
              <w:top w:w="120" w:type="dxa"/>
              <w:left w:w="240" w:type="dxa"/>
              <w:bottom w:w="120" w:type="dxa"/>
              <w:right w:w="240" w:type="dxa"/>
            </w:tcMar>
            <w:vAlign w:val="center"/>
            <w:hideMark/>
          </w:tcPr>
          <w:p w14:paraId="045D347A" w14:textId="77777777" w:rsidR="004726BA" w:rsidRPr="00090918" w:rsidRDefault="004726BA" w:rsidP="00800E7D">
            <w:pPr>
              <w:pStyle w:val="TableHeading"/>
              <w:rPr>
                <w:lang w:eastAsia="en-AU"/>
              </w:rPr>
            </w:pPr>
            <w:r>
              <w:rPr>
                <w:lang w:eastAsia="en-AU"/>
              </w:rPr>
              <w:t>Devitalisation requirements</w:t>
            </w:r>
          </w:p>
        </w:tc>
      </w:tr>
      <w:tr w:rsidR="004726BA" w:rsidRPr="00525379" w14:paraId="211D39B6" w14:textId="77777777" w:rsidTr="00800E7D">
        <w:trPr>
          <w:trHeight w:val="20"/>
        </w:trPr>
        <w:tc>
          <w:tcPr>
            <w:tcW w:w="5000" w:type="pct"/>
            <w:gridSpan w:val="2"/>
            <w:tcBorders>
              <w:top w:val="single" w:sz="6" w:space="0" w:color="000000"/>
              <w:left w:val="single" w:sz="8" w:space="0" w:color="auto"/>
              <w:right w:val="single" w:sz="8" w:space="0" w:color="auto"/>
            </w:tcBorders>
            <w:shd w:val="clear" w:color="auto" w:fill="BFBFBF" w:themeFill="background1" w:themeFillShade="BF"/>
            <w:tcMar>
              <w:top w:w="120" w:type="dxa"/>
              <w:left w:w="240" w:type="dxa"/>
              <w:bottom w:w="120" w:type="dxa"/>
              <w:right w:w="240" w:type="dxa"/>
            </w:tcMar>
            <w:vAlign w:val="center"/>
          </w:tcPr>
          <w:p w14:paraId="14692781" w14:textId="77777777" w:rsidR="004726BA" w:rsidRPr="00DB5D8B" w:rsidRDefault="004726BA" w:rsidP="00800E7D">
            <w:pPr>
              <w:pStyle w:val="TableText"/>
              <w:rPr>
                <w:lang w:eastAsia="en-AU"/>
              </w:rPr>
            </w:pPr>
            <w:r w:rsidRPr="00DB5D8B">
              <w:rPr>
                <w:lang w:eastAsia="en-AU"/>
              </w:rPr>
              <w:t xml:space="preserve">Commercial quantities </w:t>
            </w:r>
            <w:r>
              <w:rPr>
                <w:lang w:eastAsia="en-AU"/>
              </w:rPr>
              <w:t>(more than 6 small boxes, bouquets or equivalent) f</w:t>
            </w:r>
            <w:r w:rsidRPr="00DB5D8B">
              <w:rPr>
                <w:lang w:eastAsia="en-AU"/>
              </w:rPr>
              <w:t xml:space="preserve">rom all permitted countries </w:t>
            </w:r>
          </w:p>
        </w:tc>
      </w:tr>
      <w:tr w:rsidR="004726BA" w:rsidRPr="00525379" w14:paraId="59BB8261" w14:textId="77777777" w:rsidTr="00800E7D">
        <w:trPr>
          <w:trHeight w:val="20"/>
        </w:trPr>
        <w:tc>
          <w:tcPr>
            <w:tcW w:w="2031" w:type="pct"/>
            <w:tcBorders>
              <w:top w:val="single" w:sz="6" w:space="0" w:color="000000"/>
              <w:left w:val="single" w:sz="8" w:space="0" w:color="auto"/>
              <w:bottom w:val="nil"/>
              <w:right w:val="nil"/>
            </w:tcBorders>
            <w:tcMar>
              <w:top w:w="120" w:type="dxa"/>
              <w:left w:w="240" w:type="dxa"/>
              <w:bottom w:w="120" w:type="dxa"/>
              <w:right w:w="240" w:type="dxa"/>
            </w:tcMar>
            <w:vAlign w:val="center"/>
            <w:hideMark/>
          </w:tcPr>
          <w:p w14:paraId="793BB748" w14:textId="77777777" w:rsidR="004726BA" w:rsidRPr="00B6611B" w:rsidRDefault="004726BA" w:rsidP="00800E7D">
            <w:pPr>
              <w:pStyle w:val="TableText"/>
              <w:rPr>
                <w:lang w:val="it-IT" w:eastAsia="en-AU"/>
              </w:rPr>
            </w:pPr>
            <w:r w:rsidRPr="004B3B03">
              <w:rPr>
                <w:i/>
                <w:iCs/>
                <w:lang w:val="it-IT" w:eastAsia="en-AU"/>
              </w:rPr>
              <w:t>Brunia</w:t>
            </w:r>
            <w:r w:rsidRPr="00B6611B">
              <w:rPr>
                <w:lang w:val="it-IT" w:eastAsia="en-AU"/>
              </w:rPr>
              <w:t xml:space="preserve"> spp.</w:t>
            </w:r>
          </w:p>
          <w:p w14:paraId="02F33FE5" w14:textId="77777777" w:rsidR="004726BA" w:rsidRPr="004B3B03" w:rsidRDefault="004726BA" w:rsidP="00800E7D">
            <w:pPr>
              <w:pStyle w:val="TableText"/>
              <w:rPr>
                <w:i/>
                <w:iCs/>
                <w:lang w:val="it-IT"/>
              </w:rPr>
            </w:pPr>
            <w:r w:rsidRPr="004B3B03">
              <w:rPr>
                <w:i/>
                <w:iCs/>
                <w:lang w:val="it-IT"/>
              </w:rPr>
              <w:t>Calathea insignis</w:t>
            </w:r>
          </w:p>
          <w:p w14:paraId="48E6D5AF" w14:textId="77777777" w:rsidR="004726BA" w:rsidRPr="004B3B03" w:rsidRDefault="004726BA" w:rsidP="00800E7D">
            <w:pPr>
              <w:pStyle w:val="TableText"/>
              <w:rPr>
                <w:i/>
                <w:iCs/>
                <w:lang w:val="it-IT" w:eastAsia="en-AU"/>
              </w:rPr>
            </w:pPr>
            <w:r w:rsidRPr="004B3B03">
              <w:rPr>
                <w:i/>
                <w:iCs/>
                <w:lang w:val="it-IT" w:eastAsia="en-AU"/>
              </w:rPr>
              <w:t>Calathea lancifolia</w:t>
            </w:r>
          </w:p>
        </w:tc>
        <w:tc>
          <w:tcPr>
            <w:tcW w:w="2969" w:type="pct"/>
            <w:tcBorders>
              <w:top w:val="single" w:sz="6" w:space="0" w:color="000000"/>
              <w:left w:val="single" w:sz="6" w:space="0" w:color="000000"/>
              <w:bottom w:val="nil"/>
              <w:right w:val="single" w:sz="8" w:space="0" w:color="auto"/>
            </w:tcBorders>
            <w:tcMar>
              <w:top w:w="120" w:type="dxa"/>
              <w:left w:w="240" w:type="dxa"/>
              <w:bottom w:w="120" w:type="dxa"/>
              <w:right w:w="240" w:type="dxa"/>
            </w:tcMar>
            <w:vAlign w:val="center"/>
            <w:hideMark/>
          </w:tcPr>
          <w:p w14:paraId="5AA07BD5" w14:textId="77777777" w:rsidR="004726BA" w:rsidRPr="00525379" w:rsidRDefault="004726BA" w:rsidP="00800E7D">
            <w:pPr>
              <w:pStyle w:val="TableText"/>
              <w:rPr>
                <w:lang w:eastAsia="en-AU"/>
              </w:rPr>
            </w:pPr>
            <w:r w:rsidRPr="00525379">
              <w:rPr>
                <w:lang w:eastAsia="en-AU"/>
              </w:rPr>
              <w:t>20-minute immersion of stems to at least 35 cm from the cut end (OR to within 5 cm of the flower head)</w:t>
            </w:r>
            <w:r>
              <w:rPr>
                <w:lang w:eastAsia="en-AU"/>
              </w:rPr>
              <w:t xml:space="preserve"> in a solution of </w:t>
            </w:r>
            <w:r w:rsidRPr="00525379">
              <w:rPr>
                <w:lang w:eastAsia="en-AU"/>
              </w:rPr>
              <w:t xml:space="preserve">glyphosate </w:t>
            </w:r>
            <w:r>
              <w:rPr>
                <w:lang w:eastAsia="en-AU"/>
              </w:rPr>
              <w:t xml:space="preserve">at concentration of </w:t>
            </w:r>
            <w:r w:rsidRPr="00525379">
              <w:rPr>
                <w:lang w:eastAsia="en-AU"/>
              </w:rPr>
              <w:t>0.9</w:t>
            </w:r>
            <w:r w:rsidRPr="00525379">
              <w:t xml:space="preserve"> </w:t>
            </w:r>
            <w:r w:rsidRPr="00525379">
              <w:rPr>
                <w:lang w:eastAsia="en-AU"/>
              </w:rPr>
              <w:t>g/L</w:t>
            </w:r>
            <w:r>
              <w:rPr>
                <w:lang w:eastAsia="en-AU"/>
              </w:rPr>
              <w:t>.</w:t>
            </w:r>
          </w:p>
        </w:tc>
      </w:tr>
      <w:tr w:rsidR="004726BA" w:rsidRPr="00525379" w14:paraId="0DC0A878" w14:textId="77777777" w:rsidTr="00800E7D">
        <w:trPr>
          <w:trHeight w:val="20"/>
        </w:trPr>
        <w:tc>
          <w:tcPr>
            <w:tcW w:w="2031" w:type="pct"/>
            <w:tcBorders>
              <w:top w:val="single" w:sz="6" w:space="0" w:color="000000"/>
              <w:left w:val="single" w:sz="8" w:space="0" w:color="auto"/>
              <w:bottom w:val="single" w:sz="6" w:space="0" w:color="000000"/>
              <w:right w:val="nil"/>
            </w:tcBorders>
            <w:tcMar>
              <w:top w:w="120" w:type="dxa"/>
              <w:left w:w="240" w:type="dxa"/>
              <w:bottom w:w="120" w:type="dxa"/>
              <w:right w:w="240" w:type="dxa"/>
            </w:tcMar>
            <w:vAlign w:val="center"/>
            <w:hideMark/>
          </w:tcPr>
          <w:p w14:paraId="0985A194" w14:textId="77777777" w:rsidR="004726BA" w:rsidRPr="004B3B03" w:rsidRDefault="004726BA" w:rsidP="00800E7D">
            <w:pPr>
              <w:pStyle w:val="TableText"/>
              <w:rPr>
                <w:i/>
                <w:iCs/>
                <w:lang w:eastAsia="en-AU"/>
              </w:rPr>
            </w:pPr>
            <w:r w:rsidRPr="004B3B03">
              <w:rPr>
                <w:i/>
                <w:iCs/>
                <w:lang w:eastAsia="en-AU"/>
              </w:rPr>
              <w:t>Callistephus chinensis</w:t>
            </w:r>
          </w:p>
          <w:p w14:paraId="6694522D" w14:textId="77777777" w:rsidR="004726BA" w:rsidRDefault="004726BA" w:rsidP="00800E7D">
            <w:pPr>
              <w:pStyle w:val="TableText"/>
              <w:rPr>
                <w:lang w:eastAsia="en-AU"/>
              </w:rPr>
            </w:pPr>
            <w:r w:rsidRPr="004B3B03">
              <w:rPr>
                <w:i/>
                <w:iCs/>
                <w:lang w:eastAsia="en-AU"/>
              </w:rPr>
              <w:t>Chrysanthemum</w:t>
            </w:r>
            <w:r w:rsidRPr="00525379">
              <w:rPr>
                <w:lang w:eastAsia="en-AU"/>
              </w:rPr>
              <w:t xml:space="preserve"> spp. </w:t>
            </w:r>
          </w:p>
          <w:p w14:paraId="63217704" w14:textId="77777777" w:rsidR="004726BA" w:rsidRPr="00525379" w:rsidRDefault="004726BA" w:rsidP="00800E7D">
            <w:pPr>
              <w:pStyle w:val="TableText"/>
              <w:rPr>
                <w:lang w:eastAsia="en-AU"/>
              </w:rPr>
            </w:pPr>
            <w:r w:rsidRPr="004B3B03">
              <w:rPr>
                <w:i/>
                <w:iCs/>
                <w:lang w:eastAsia="en-AU"/>
              </w:rPr>
              <w:t xml:space="preserve">Cordyline </w:t>
            </w:r>
            <w:r w:rsidRPr="00525379">
              <w:rPr>
                <w:lang w:eastAsia="en-AU"/>
              </w:rPr>
              <w:t>spp.</w:t>
            </w:r>
          </w:p>
          <w:p w14:paraId="15DFB929" w14:textId="77777777" w:rsidR="004726BA" w:rsidRPr="00525379" w:rsidRDefault="004726BA" w:rsidP="00800E7D">
            <w:pPr>
              <w:pStyle w:val="TableText"/>
              <w:rPr>
                <w:lang w:eastAsia="en-AU"/>
              </w:rPr>
            </w:pPr>
            <w:r w:rsidRPr="004B3B03">
              <w:rPr>
                <w:i/>
                <w:iCs/>
                <w:lang w:eastAsia="en-AU"/>
              </w:rPr>
              <w:t>Dianthus</w:t>
            </w:r>
            <w:r w:rsidRPr="00525379">
              <w:rPr>
                <w:lang w:eastAsia="en-AU"/>
              </w:rPr>
              <w:t xml:space="preserve"> spp.</w:t>
            </w:r>
          </w:p>
          <w:p w14:paraId="42CF122A" w14:textId="77777777" w:rsidR="004726BA" w:rsidRPr="00525379" w:rsidRDefault="004726BA" w:rsidP="00800E7D">
            <w:pPr>
              <w:pStyle w:val="TableText"/>
              <w:rPr>
                <w:lang w:eastAsia="en-AU"/>
              </w:rPr>
            </w:pPr>
            <w:r w:rsidRPr="004B3B03">
              <w:rPr>
                <w:i/>
                <w:iCs/>
                <w:lang w:eastAsia="en-AU"/>
              </w:rPr>
              <w:t>Oxypetalum</w:t>
            </w:r>
            <w:r w:rsidRPr="00525379">
              <w:rPr>
                <w:lang w:eastAsia="en-AU"/>
              </w:rPr>
              <w:t xml:space="preserve"> spp. (syn. </w:t>
            </w:r>
            <w:proofErr w:type="spellStart"/>
            <w:r w:rsidRPr="004B3B03">
              <w:rPr>
                <w:i/>
                <w:iCs/>
                <w:lang w:eastAsia="en-AU"/>
              </w:rPr>
              <w:t>Tweedia</w:t>
            </w:r>
            <w:proofErr w:type="spellEnd"/>
            <w:r w:rsidRPr="00525379">
              <w:rPr>
                <w:lang w:eastAsia="en-AU"/>
              </w:rPr>
              <w:t xml:space="preserve"> spp.)</w:t>
            </w:r>
          </w:p>
        </w:tc>
        <w:tc>
          <w:tcPr>
            <w:tcW w:w="2969" w:type="pct"/>
            <w:tcBorders>
              <w:top w:val="single" w:sz="6" w:space="0" w:color="000000"/>
              <w:left w:val="single" w:sz="6" w:space="0" w:color="000000"/>
              <w:bottom w:val="single" w:sz="6" w:space="0" w:color="000000"/>
              <w:right w:val="single" w:sz="8" w:space="0" w:color="auto"/>
            </w:tcBorders>
            <w:tcMar>
              <w:top w:w="120" w:type="dxa"/>
              <w:left w:w="240" w:type="dxa"/>
              <w:bottom w:w="120" w:type="dxa"/>
              <w:right w:w="240" w:type="dxa"/>
            </w:tcMar>
            <w:vAlign w:val="center"/>
            <w:hideMark/>
          </w:tcPr>
          <w:p w14:paraId="1CF8BEE9" w14:textId="77777777" w:rsidR="004726BA" w:rsidRPr="00525379" w:rsidRDefault="004726BA" w:rsidP="00800E7D">
            <w:pPr>
              <w:pStyle w:val="TableText"/>
              <w:rPr>
                <w:lang w:eastAsia="en-AU"/>
              </w:rPr>
            </w:pPr>
            <w:r w:rsidRPr="00525379">
              <w:rPr>
                <w:lang w:eastAsia="en-AU"/>
              </w:rPr>
              <w:t>20-minute immersion of stems to at least 35 cm from the cut end (OR to within 5 cm of the flower head)</w:t>
            </w:r>
            <w:r>
              <w:rPr>
                <w:lang w:eastAsia="en-AU"/>
              </w:rPr>
              <w:t xml:space="preserve"> in a solution of </w:t>
            </w:r>
            <w:r w:rsidRPr="00525379">
              <w:rPr>
                <w:lang w:eastAsia="en-AU"/>
              </w:rPr>
              <w:t xml:space="preserve">glyphosate </w:t>
            </w:r>
            <w:r>
              <w:rPr>
                <w:lang w:eastAsia="en-AU"/>
              </w:rPr>
              <w:t>at concentration of</w:t>
            </w:r>
            <w:r w:rsidRPr="00525379">
              <w:rPr>
                <w:lang w:eastAsia="en-AU"/>
              </w:rPr>
              <w:t xml:space="preserve"> 1.8 g/L</w:t>
            </w:r>
            <w:r>
              <w:rPr>
                <w:lang w:eastAsia="en-AU"/>
              </w:rPr>
              <w:t>.</w:t>
            </w:r>
          </w:p>
        </w:tc>
      </w:tr>
      <w:tr w:rsidR="004726BA" w:rsidRPr="00525379" w14:paraId="7570627C" w14:textId="77777777" w:rsidTr="00800E7D">
        <w:trPr>
          <w:trHeight w:val="20"/>
        </w:trPr>
        <w:tc>
          <w:tcPr>
            <w:tcW w:w="2031" w:type="pct"/>
            <w:tcBorders>
              <w:top w:val="single" w:sz="6" w:space="0" w:color="000000"/>
              <w:left w:val="single" w:sz="8" w:space="0" w:color="auto"/>
              <w:bottom w:val="single" w:sz="6" w:space="0" w:color="000000"/>
              <w:right w:val="nil"/>
            </w:tcBorders>
            <w:tcMar>
              <w:top w:w="120" w:type="dxa"/>
              <w:left w:w="240" w:type="dxa"/>
              <w:bottom w:w="120" w:type="dxa"/>
              <w:right w:w="240" w:type="dxa"/>
            </w:tcMar>
            <w:vAlign w:val="center"/>
            <w:hideMark/>
          </w:tcPr>
          <w:p w14:paraId="330BC36F" w14:textId="77777777" w:rsidR="004726BA" w:rsidRPr="00525379" w:rsidRDefault="004726BA" w:rsidP="00800E7D">
            <w:pPr>
              <w:pStyle w:val="TableText"/>
              <w:rPr>
                <w:lang w:eastAsia="en-AU"/>
              </w:rPr>
            </w:pPr>
            <w:r w:rsidRPr="004B3B03">
              <w:rPr>
                <w:i/>
                <w:iCs/>
                <w:lang w:eastAsia="en-AU"/>
              </w:rPr>
              <w:lastRenderedPageBreak/>
              <w:t>Hypericum</w:t>
            </w:r>
            <w:r w:rsidRPr="00525379">
              <w:rPr>
                <w:lang w:eastAsia="en-AU"/>
              </w:rPr>
              <w:t xml:space="preserve"> spp.</w:t>
            </w:r>
          </w:p>
          <w:p w14:paraId="655549DF" w14:textId="77777777" w:rsidR="004726BA" w:rsidRPr="00525379" w:rsidRDefault="004726BA" w:rsidP="00800E7D">
            <w:pPr>
              <w:pStyle w:val="TableText"/>
              <w:rPr>
                <w:lang w:eastAsia="en-AU"/>
              </w:rPr>
            </w:pPr>
            <w:r w:rsidRPr="004B3B03">
              <w:rPr>
                <w:i/>
                <w:iCs/>
                <w:lang w:eastAsia="en-AU"/>
              </w:rPr>
              <w:t>Rhapis</w:t>
            </w:r>
            <w:r w:rsidRPr="00525379">
              <w:rPr>
                <w:lang w:eastAsia="en-AU"/>
              </w:rPr>
              <w:t xml:space="preserve"> spp. (leaves and fronds with basal stem attached)</w:t>
            </w:r>
          </w:p>
          <w:p w14:paraId="13FFD3F8" w14:textId="77777777" w:rsidR="004726BA" w:rsidRPr="00B6611B" w:rsidRDefault="004726BA" w:rsidP="00800E7D">
            <w:pPr>
              <w:pStyle w:val="TableText"/>
              <w:rPr>
                <w:lang w:val="it-IT" w:eastAsia="en-AU"/>
              </w:rPr>
            </w:pPr>
            <w:r w:rsidRPr="004B3B03">
              <w:rPr>
                <w:i/>
                <w:iCs/>
                <w:lang w:val="it-IT" w:eastAsia="en-AU"/>
              </w:rPr>
              <w:t>Rosa</w:t>
            </w:r>
            <w:r w:rsidRPr="00B6611B">
              <w:rPr>
                <w:lang w:val="it-IT" w:eastAsia="en-AU"/>
              </w:rPr>
              <w:t xml:space="preserve"> spp.</w:t>
            </w:r>
          </w:p>
          <w:p w14:paraId="58739068" w14:textId="77777777" w:rsidR="004726BA" w:rsidRPr="00B6611B" w:rsidRDefault="004726BA" w:rsidP="00800E7D">
            <w:pPr>
              <w:pStyle w:val="TableText"/>
              <w:rPr>
                <w:lang w:val="it-IT" w:eastAsia="en-AU"/>
              </w:rPr>
            </w:pPr>
            <w:r w:rsidRPr="004B3B03">
              <w:rPr>
                <w:i/>
                <w:iCs/>
                <w:lang w:val="it-IT" w:eastAsia="en-AU"/>
              </w:rPr>
              <w:t>Viburnum</w:t>
            </w:r>
            <w:r w:rsidRPr="00B6611B">
              <w:rPr>
                <w:lang w:val="it-IT" w:eastAsia="en-AU"/>
              </w:rPr>
              <w:t xml:space="preserve"> spp.</w:t>
            </w:r>
          </w:p>
          <w:p w14:paraId="6477D247" w14:textId="77777777" w:rsidR="004726BA" w:rsidRPr="00B6611B" w:rsidRDefault="004726BA" w:rsidP="00800E7D">
            <w:pPr>
              <w:pStyle w:val="TableText"/>
              <w:rPr>
                <w:lang w:val="it-IT" w:eastAsia="en-AU"/>
              </w:rPr>
            </w:pPr>
            <w:r w:rsidRPr="004B3B03">
              <w:rPr>
                <w:i/>
                <w:iCs/>
                <w:lang w:val="it-IT" w:eastAsia="en-AU"/>
              </w:rPr>
              <w:t>Viola</w:t>
            </w:r>
            <w:r w:rsidRPr="00B6611B">
              <w:rPr>
                <w:lang w:val="it-IT" w:eastAsia="en-AU"/>
              </w:rPr>
              <w:t xml:space="preserve"> spp.</w:t>
            </w:r>
          </w:p>
        </w:tc>
        <w:tc>
          <w:tcPr>
            <w:tcW w:w="2969" w:type="pct"/>
            <w:tcBorders>
              <w:top w:val="single" w:sz="6" w:space="0" w:color="000000"/>
              <w:left w:val="single" w:sz="6" w:space="0" w:color="000000"/>
              <w:bottom w:val="single" w:sz="6" w:space="0" w:color="000000"/>
              <w:right w:val="single" w:sz="8" w:space="0" w:color="auto"/>
            </w:tcBorders>
            <w:tcMar>
              <w:top w:w="120" w:type="dxa"/>
              <w:left w:w="240" w:type="dxa"/>
              <w:bottom w:w="120" w:type="dxa"/>
              <w:right w:w="240" w:type="dxa"/>
            </w:tcMar>
            <w:vAlign w:val="center"/>
            <w:hideMark/>
          </w:tcPr>
          <w:p w14:paraId="63CAC83B" w14:textId="77777777" w:rsidR="004726BA" w:rsidRPr="00525379" w:rsidRDefault="004726BA" w:rsidP="00800E7D">
            <w:pPr>
              <w:pStyle w:val="TableText"/>
              <w:rPr>
                <w:lang w:eastAsia="en-AU"/>
              </w:rPr>
            </w:pPr>
            <w:r w:rsidRPr="00525379">
              <w:rPr>
                <w:lang w:eastAsia="en-AU"/>
              </w:rPr>
              <w:t>20-minute immersion of stems to at least 35 cm from the cut end (OR to within 5 cm of the flower head)</w:t>
            </w:r>
            <w:r>
              <w:rPr>
                <w:lang w:eastAsia="en-AU"/>
              </w:rPr>
              <w:t xml:space="preserve"> in a solution of </w:t>
            </w:r>
            <w:r w:rsidRPr="00525379">
              <w:rPr>
                <w:lang w:eastAsia="en-AU"/>
              </w:rPr>
              <w:t xml:space="preserve">glyphosate </w:t>
            </w:r>
            <w:r>
              <w:rPr>
                <w:lang w:eastAsia="en-AU"/>
              </w:rPr>
              <w:t>at concentration of</w:t>
            </w:r>
            <w:r w:rsidRPr="00525379">
              <w:rPr>
                <w:lang w:eastAsia="en-AU"/>
              </w:rPr>
              <w:t xml:space="preserve"> 5.4 g/L</w:t>
            </w:r>
          </w:p>
        </w:tc>
      </w:tr>
      <w:tr w:rsidR="004726BA" w:rsidRPr="00525379" w14:paraId="2E491F12" w14:textId="77777777" w:rsidTr="00800E7D">
        <w:trPr>
          <w:trHeight w:val="20"/>
        </w:trPr>
        <w:tc>
          <w:tcPr>
            <w:tcW w:w="2031" w:type="pct"/>
            <w:tcBorders>
              <w:top w:val="single" w:sz="6" w:space="0" w:color="000000"/>
              <w:left w:val="single" w:sz="8" w:space="0" w:color="auto"/>
              <w:bottom w:val="single" w:sz="6" w:space="0" w:color="000000"/>
              <w:right w:val="nil"/>
            </w:tcBorders>
            <w:tcMar>
              <w:top w:w="120" w:type="dxa"/>
              <w:left w:w="240" w:type="dxa"/>
              <w:bottom w:w="120" w:type="dxa"/>
              <w:right w:w="240" w:type="dxa"/>
            </w:tcMar>
            <w:vAlign w:val="center"/>
            <w:hideMark/>
          </w:tcPr>
          <w:p w14:paraId="737F3431" w14:textId="77777777" w:rsidR="004726BA" w:rsidRPr="00525379" w:rsidRDefault="004726BA" w:rsidP="00800E7D">
            <w:pPr>
              <w:pStyle w:val="TableText"/>
              <w:rPr>
                <w:lang w:eastAsia="en-AU"/>
              </w:rPr>
            </w:pPr>
            <w:r w:rsidRPr="004B3B03">
              <w:rPr>
                <w:i/>
                <w:iCs/>
                <w:lang w:eastAsia="en-AU"/>
              </w:rPr>
              <w:t>Codiaeum variegatum</w:t>
            </w:r>
            <w:r w:rsidRPr="00525379">
              <w:rPr>
                <w:lang w:eastAsia="en-AU"/>
              </w:rPr>
              <w:t xml:space="preserve"> (syn</w:t>
            </w:r>
            <w:r w:rsidRPr="004B3B03">
              <w:rPr>
                <w:i/>
                <w:iCs/>
                <w:lang w:eastAsia="en-AU"/>
              </w:rPr>
              <w:t>. Croton</w:t>
            </w:r>
            <w:r w:rsidRPr="004B3B03" w:rsidDel="007443EB">
              <w:rPr>
                <w:i/>
                <w:iCs/>
                <w:lang w:eastAsia="en-AU"/>
              </w:rPr>
              <w:t xml:space="preserve"> </w:t>
            </w:r>
            <w:r w:rsidRPr="004B3B03">
              <w:rPr>
                <w:i/>
                <w:iCs/>
                <w:lang w:eastAsia="en-AU"/>
              </w:rPr>
              <w:t>variegatus</w:t>
            </w:r>
            <w:r w:rsidRPr="00525379">
              <w:rPr>
                <w:lang w:eastAsia="en-AU"/>
              </w:rPr>
              <w:t>) (stems with leaves)</w:t>
            </w:r>
          </w:p>
          <w:p w14:paraId="72023375" w14:textId="77777777" w:rsidR="004726BA" w:rsidRPr="00525379" w:rsidRDefault="004726BA" w:rsidP="00800E7D">
            <w:pPr>
              <w:pStyle w:val="TableText"/>
              <w:rPr>
                <w:lang w:eastAsia="en-AU"/>
              </w:rPr>
            </w:pPr>
            <w:r w:rsidRPr="004B3B03">
              <w:rPr>
                <w:i/>
                <w:iCs/>
                <w:lang w:eastAsia="en-AU"/>
              </w:rPr>
              <w:t>Dracaena</w:t>
            </w:r>
            <w:r w:rsidRPr="00525379">
              <w:rPr>
                <w:lang w:eastAsia="en-AU"/>
              </w:rPr>
              <w:t xml:space="preserve"> spp. (stems with leaves)</w:t>
            </w:r>
          </w:p>
        </w:tc>
        <w:tc>
          <w:tcPr>
            <w:tcW w:w="2969" w:type="pct"/>
            <w:tcBorders>
              <w:top w:val="single" w:sz="6" w:space="0" w:color="000000"/>
              <w:left w:val="single" w:sz="6" w:space="0" w:color="000000"/>
              <w:bottom w:val="single" w:sz="6" w:space="0" w:color="000000"/>
              <w:right w:val="single" w:sz="8" w:space="0" w:color="auto"/>
            </w:tcBorders>
            <w:tcMar>
              <w:top w:w="120" w:type="dxa"/>
              <w:left w:w="240" w:type="dxa"/>
              <w:bottom w:w="120" w:type="dxa"/>
              <w:right w:w="240" w:type="dxa"/>
            </w:tcMar>
            <w:vAlign w:val="center"/>
            <w:hideMark/>
          </w:tcPr>
          <w:p w14:paraId="597D12DA" w14:textId="77777777" w:rsidR="004726BA" w:rsidRPr="00525379" w:rsidRDefault="004726BA" w:rsidP="00800E7D">
            <w:pPr>
              <w:pStyle w:val="TableText"/>
              <w:rPr>
                <w:lang w:eastAsia="en-AU"/>
              </w:rPr>
            </w:pPr>
            <w:r w:rsidRPr="00525379">
              <w:rPr>
                <w:lang w:eastAsia="en-AU"/>
              </w:rPr>
              <w:t>20-minute immersion of stems to within to 15 cm of apex</w:t>
            </w:r>
            <w:r>
              <w:rPr>
                <w:lang w:eastAsia="en-AU"/>
              </w:rPr>
              <w:t xml:space="preserve"> in a solution of </w:t>
            </w:r>
            <w:r w:rsidRPr="00525379">
              <w:rPr>
                <w:lang w:eastAsia="en-AU"/>
              </w:rPr>
              <w:t xml:space="preserve">glyphosate </w:t>
            </w:r>
            <w:r>
              <w:rPr>
                <w:lang w:eastAsia="en-AU"/>
              </w:rPr>
              <w:t>at concentration of</w:t>
            </w:r>
            <w:r w:rsidRPr="00525379">
              <w:rPr>
                <w:lang w:eastAsia="en-AU"/>
              </w:rPr>
              <w:t xml:space="preserve"> 5.4 g/L </w:t>
            </w:r>
          </w:p>
        </w:tc>
      </w:tr>
      <w:tr w:rsidR="004726BA" w:rsidRPr="00525379" w14:paraId="638F9A2B" w14:textId="77777777" w:rsidTr="00800E7D">
        <w:trPr>
          <w:trHeight w:val="20"/>
        </w:trPr>
        <w:tc>
          <w:tcPr>
            <w:tcW w:w="5000" w:type="pct"/>
            <w:gridSpan w:val="2"/>
            <w:tcBorders>
              <w:top w:val="single" w:sz="6" w:space="0" w:color="000000"/>
              <w:left w:val="single" w:sz="8" w:space="0" w:color="auto"/>
              <w:bottom w:val="single" w:sz="6" w:space="0" w:color="000000"/>
              <w:right w:val="single" w:sz="8" w:space="0" w:color="auto"/>
            </w:tcBorders>
            <w:shd w:val="clear" w:color="auto" w:fill="BFBFBF" w:themeFill="background1" w:themeFillShade="BF"/>
            <w:tcMar>
              <w:top w:w="120" w:type="dxa"/>
              <w:left w:w="240" w:type="dxa"/>
              <w:bottom w:w="120" w:type="dxa"/>
              <w:right w:w="240" w:type="dxa"/>
            </w:tcMar>
            <w:vAlign w:val="center"/>
          </w:tcPr>
          <w:p w14:paraId="30DE848B" w14:textId="77777777" w:rsidR="004726BA" w:rsidRPr="00DB5D8B" w:rsidRDefault="004726BA" w:rsidP="00800E7D">
            <w:pPr>
              <w:pStyle w:val="TableText"/>
              <w:rPr>
                <w:lang w:eastAsia="en-AU"/>
              </w:rPr>
            </w:pPr>
            <w:r w:rsidRPr="00DB5D8B">
              <w:rPr>
                <w:lang w:eastAsia="en-AU"/>
              </w:rPr>
              <w:t xml:space="preserve">Commercial quantities </w:t>
            </w:r>
            <w:r>
              <w:rPr>
                <w:lang w:eastAsia="en-AU"/>
              </w:rPr>
              <w:t xml:space="preserve">(more than 6 small boxes, bouquets or equivalent) </w:t>
            </w:r>
            <w:r w:rsidRPr="00DB5D8B">
              <w:rPr>
                <w:lang w:eastAsia="en-AU"/>
              </w:rPr>
              <w:t xml:space="preserve">from </w:t>
            </w:r>
            <w:r w:rsidRPr="007443EB">
              <w:rPr>
                <w:lang w:eastAsia="en-AU"/>
              </w:rPr>
              <w:t>Vietnam</w:t>
            </w:r>
          </w:p>
        </w:tc>
      </w:tr>
      <w:tr w:rsidR="004726BA" w:rsidRPr="00525379" w14:paraId="6C32712D" w14:textId="77777777" w:rsidTr="00800E7D">
        <w:trPr>
          <w:trHeight w:val="20"/>
        </w:trPr>
        <w:tc>
          <w:tcPr>
            <w:tcW w:w="2031" w:type="pct"/>
            <w:tcBorders>
              <w:top w:val="single" w:sz="6" w:space="0" w:color="000000"/>
              <w:left w:val="single" w:sz="8" w:space="0" w:color="auto"/>
              <w:bottom w:val="single" w:sz="6" w:space="0" w:color="000000"/>
              <w:right w:val="nil"/>
            </w:tcBorders>
            <w:tcMar>
              <w:top w:w="120" w:type="dxa"/>
              <w:left w:w="240" w:type="dxa"/>
              <w:bottom w:w="120" w:type="dxa"/>
              <w:right w:w="240" w:type="dxa"/>
            </w:tcMar>
            <w:vAlign w:val="center"/>
          </w:tcPr>
          <w:p w14:paraId="171A3D03" w14:textId="77777777" w:rsidR="004726BA" w:rsidRPr="00525379" w:rsidRDefault="004726BA" w:rsidP="00800E7D">
            <w:pPr>
              <w:pStyle w:val="TableText"/>
              <w:rPr>
                <w:lang w:eastAsia="en-AU"/>
              </w:rPr>
            </w:pPr>
            <w:r w:rsidRPr="004B3B03">
              <w:rPr>
                <w:i/>
                <w:iCs/>
                <w:lang w:eastAsia="en-AU"/>
              </w:rPr>
              <w:t>Chrysanthemum</w:t>
            </w:r>
            <w:r w:rsidRPr="00525379">
              <w:rPr>
                <w:lang w:eastAsia="en-AU"/>
              </w:rPr>
              <w:t xml:space="preserve"> spp. </w:t>
            </w:r>
          </w:p>
        </w:tc>
        <w:tc>
          <w:tcPr>
            <w:tcW w:w="2969" w:type="pct"/>
            <w:tcBorders>
              <w:top w:val="single" w:sz="6" w:space="0" w:color="000000"/>
              <w:left w:val="single" w:sz="6" w:space="0" w:color="000000"/>
              <w:bottom w:val="single" w:sz="6" w:space="0" w:color="000000"/>
              <w:right w:val="single" w:sz="8" w:space="0" w:color="auto"/>
            </w:tcBorders>
            <w:tcMar>
              <w:top w:w="120" w:type="dxa"/>
              <w:left w:w="240" w:type="dxa"/>
              <w:bottom w:w="120" w:type="dxa"/>
              <w:right w:w="240" w:type="dxa"/>
            </w:tcMar>
            <w:vAlign w:val="center"/>
          </w:tcPr>
          <w:p w14:paraId="64A36A50" w14:textId="77777777" w:rsidR="004726BA" w:rsidRPr="00525379" w:rsidRDefault="004726BA" w:rsidP="00800E7D">
            <w:pPr>
              <w:pStyle w:val="TableText"/>
              <w:rPr>
                <w:lang w:eastAsia="en-AU"/>
              </w:rPr>
            </w:pPr>
            <w:r w:rsidRPr="00525379">
              <w:rPr>
                <w:lang w:eastAsia="en-AU"/>
              </w:rPr>
              <w:t>20-minute immersion of stems to at least 35</w:t>
            </w:r>
            <w:r>
              <w:rPr>
                <w:lang w:eastAsia="en-AU"/>
              </w:rPr>
              <w:t xml:space="preserve"> </w:t>
            </w:r>
            <w:r w:rsidRPr="00525379">
              <w:rPr>
                <w:lang w:eastAsia="en-AU"/>
              </w:rPr>
              <w:t>cm from the cut end</w:t>
            </w:r>
            <w:r>
              <w:rPr>
                <w:lang w:eastAsia="en-AU"/>
              </w:rPr>
              <w:t xml:space="preserve"> in a solution of </w:t>
            </w:r>
            <w:r w:rsidRPr="00525379">
              <w:rPr>
                <w:lang w:eastAsia="en-AU"/>
              </w:rPr>
              <w:t xml:space="preserve">metsulfuron-methyl </w:t>
            </w:r>
            <w:r>
              <w:rPr>
                <w:lang w:eastAsia="en-AU"/>
              </w:rPr>
              <w:t xml:space="preserve">at concentration of </w:t>
            </w:r>
            <w:r w:rsidRPr="00525379">
              <w:rPr>
                <w:lang w:eastAsia="en-AU"/>
              </w:rPr>
              <w:t>0.1333 g/L</w:t>
            </w:r>
            <w:r>
              <w:rPr>
                <w:lang w:eastAsia="en-AU"/>
              </w:rPr>
              <w:t>.</w:t>
            </w:r>
            <w:r w:rsidRPr="00525379">
              <w:rPr>
                <w:lang w:eastAsia="en-AU"/>
              </w:rPr>
              <w:t xml:space="preserve"> </w:t>
            </w:r>
          </w:p>
        </w:tc>
      </w:tr>
      <w:tr w:rsidR="004726BA" w:rsidRPr="00525379" w14:paraId="5D75E9F8" w14:textId="77777777" w:rsidTr="00800E7D">
        <w:trPr>
          <w:trHeight w:val="20"/>
        </w:trPr>
        <w:tc>
          <w:tcPr>
            <w:tcW w:w="5000" w:type="pct"/>
            <w:gridSpan w:val="2"/>
            <w:tcBorders>
              <w:top w:val="single" w:sz="6" w:space="0" w:color="000000"/>
              <w:left w:val="single" w:sz="8" w:space="0" w:color="auto"/>
              <w:bottom w:val="single" w:sz="6" w:space="0" w:color="000000"/>
              <w:right w:val="single" w:sz="8" w:space="0" w:color="auto"/>
            </w:tcBorders>
            <w:shd w:val="clear" w:color="auto" w:fill="BFBFBF" w:themeFill="background1" w:themeFillShade="BF"/>
            <w:tcMar>
              <w:top w:w="120" w:type="dxa"/>
              <w:left w:w="240" w:type="dxa"/>
              <w:bottom w:w="120" w:type="dxa"/>
              <w:right w:w="240" w:type="dxa"/>
            </w:tcMar>
            <w:vAlign w:val="center"/>
          </w:tcPr>
          <w:p w14:paraId="662CBDB0" w14:textId="77777777" w:rsidR="004726BA" w:rsidRPr="00DB5D8B" w:rsidRDefault="004726BA" w:rsidP="00800E7D">
            <w:pPr>
              <w:pStyle w:val="TableText"/>
              <w:rPr>
                <w:lang w:eastAsia="en-AU"/>
              </w:rPr>
            </w:pPr>
            <w:r>
              <w:rPr>
                <w:lang w:eastAsia="en-AU"/>
              </w:rPr>
              <w:t>Non-c</w:t>
            </w:r>
            <w:r w:rsidRPr="00DB5D8B">
              <w:rPr>
                <w:lang w:eastAsia="en-AU"/>
              </w:rPr>
              <w:t xml:space="preserve">ommercial quantities </w:t>
            </w:r>
            <w:r>
              <w:rPr>
                <w:lang w:eastAsia="en-AU"/>
              </w:rPr>
              <w:t>(6 or less small boxes, bouquets or equivalent)</w:t>
            </w:r>
          </w:p>
        </w:tc>
      </w:tr>
      <w:tr w:rsidR="004726BA" w:rsidRPr="00525379" w14:paraId="3D4934F4" w14:textId="77777777" w:rsidTr="00800E7D">
        <w:trPr>
          <w:trHeight w:val="20"/>
        </w:trPr>
        <w:tc>
          <w:tcPr>
            <w:tcW w:w="2031" w:type="pct"/>
            <w:tcBorders>
              <w:top w:val="single" w:sz="6" w:space="0" w:color="000000"/>
              <w:left w:val="single" w:sz="8" w:space="0" w:color="auto"/>
              <w:bottom w:val="single" w:sz="8" w:space="0" w:color="auto"/>
              <w:right w:val="nil"/>
            </w:tcBorders>
            <w:tcMar>
              <w:top w:w="120" w:type="dxa"/>
              <w:left w:w="240" w:type="dxa"/>
              <w:bottom w:w="120" w:type="dxa"/>
              <w:right w:w="240" w:type="dxa"/>
            </w:tcMar>
            <w:vAlign w:val="center"/>
          </w:tcPr>
          <w:p w14:paraId="0F9DB18E" w14:textId="77777777" w:rsidR="004726BA" w:rsidRPr="00ED095E" w:rsidRDefault="004726BA" w:rsidP="00800E7D">
            <w:pPr>
              <w:pStyle w:val="TableText"/>
              <w:rPr>
                <w:lang w:eastAsia="en-AU"/>
              </w:rPr>
            </w:pPr>
            <w:r>
              <w:rPr>
                <w:lang w:eastAsia="en-AU"/>
              </w:rPr>
              <w:t>All s</w:t>
            </w:r>
            <w:r w:rsidRPr="00ED095E">
              <w:rPr>
                <w:lang w:eastAsia="en-AU"/>
              </w:rPr>
              <w:t xml:space="preserve">pecies as listed for </w:t>
            </w:r>
            <w:r>
              <w:rPr>
                <w:lang w:eastAsia="en-AU"/>
              </w:rPr>
              <w:t>commercial quantities</w:t>
            </w:r>
          </w:p>
        </w:tc>
        <w:tc>
          <w:tcPr>
            <w:tcW w:w="2969" w:type="pct"/>
            <w:tcBorders>
              <w:top w:val="single" w:sz="6" w:space="0" w:color="000000"/>
              <w:left w:val="single" w:sz="6" w:space="0" w:color="000000"/>
              <w:bottom w:val="single" w:sz="8" w:space="0" w:color="auto"/>
              <w:right w:val="single" w:sz="8" w:space="0" w:color="auto"/>
            </w:tcBorders>
            <w:tcMar>
              <w:top w:w="120" w:type="dxa"/>
              <w:left w:w="240" w:type="dxa"/>
              <w:bottom w:w="120" w:type="dxa"/>
              <w:right w:w="240" w:type="dxa"/>
            </w:tcMar>
            <w:vAlign w:val="center"/>
          </w:tcPr>
          <w:p w14:paraId="2FB13BA0" w14:textId="77777777" w:rsidR="004726BA" w:rsidRPr="00525379" w:rsidRDefault="004726BA" w:rsidP="00800E7D">
            <w:pPr>
              <w:pStyle w:val="TableText"/>
              <w:rPr>
                <w:lang w:eastAsia="en-AU"/>
              </w:rPr>
            </w:pPr>
            <w:r w:rsidRPr="00090918">
              <w:rPr>
                <w:lang w:eastAsia="en-AU"/>
              </w:rPr>
              <w:t>Devitalised manually through removal of the auxiliary buds of all the nodes on stems; or cutting the stems to 5 cm below the flower heads.</w:t>
            </w:r>
          </w:p>
        </w:tc>
      </w:tr>
    </w:tbl>
    <w:p w14:paraId="3C814796" w14:textId="77777777" w:rsidR="004726BA" w:rsidRPr="0066297C" w:rsidRDefault="004726BA" w:rsidP="00800E7D">
      <w:pPr>
        <w:pStyle w:val="Heading4"/>
      </w:pPr>
      <w:r w:rsidRPr="0066297C">
        <w:t>International policy on devitalisation of imported cut flowers</w:t>
      </w:r>
    </w:p>
    <w:p w14:paraId="46A42241" w14:textId="77777777" w:rsidR="004726BA" w:rsidRPr="0066297C" w:rsidRDefault="004726BA" w:rsidP="00800E7D">
      <w:r w:rsidRPr="0066297C">
        <w:t xml:space="preserve">Australia and New Zealand are the only countries known to have devitalisation requirements for imported cut flowers. </w:t>
      </w:r>
    </w:p>
    <w:p w14:paraId="21C2EC82" w14:textId="77777777" w:rsidR="004726BA" w:rsidRPr="0066297C" w:rsidRDefault="004726BA" w:rsidP="00800E7D">
      <w:r w:rsidRPr="0066297C">
        <w:t xml:space="preserve">In 2021, Biosecurity New Zealand commissioned Lincoln University researchers to carry out a comprehensive literature review of devitalisation and its efficacy, as well as to identify potential methods for compliance testing to effectively determine whether devitalisation requirements have been met. Key findings from this review </w:t>
      </w:r>
      <w:r w:rsidRPr="0066297C">
        <w:rPr>
          <w:noProof/>
        </w:rPr>
        <w:t>(Stark &amp; Moot 2022)</w:t>
      </w:r>
      <w:r w:rsidRPr="0066297C">
        <w:t xml:space="preserve"> include:</w:t>
      </w:r>
    </w:p>
    <w:p w14:paraId="4DF80959" w14:textId="007150C0" w:rsidR="004726BA" w:rsidRPr="0066297C" w:rsidRDefault="004726BA" w:rsidP="005571B9">
      <w:pPr>
        <w:pStyle w:val="ListParagraph"/>
        <w:numPr>
          <w:ilvl w:val="0"/>
          <w:numId w:val="33"/>
        </w:numPr>
        <w:ind w:left="714" w:hanging="357"/>
      </w:pPr>
      <w:r w:rsidRPr="0066297C">
        <w:t xml:space="preserve">The devitalisation effect of glyphosate, the main chemical used for devitalisation, </w:t>
      </w:r>
      <w:r w:rsidR="003C4C71">
        <w:t>can be</w:t>
      </w:r>
      <w:r w:rsidRPr="0066297C">
        <w:t xml:space="preserve"> reversed by supplementing the plants with amino acids to overcome the effects of devitalisation. </w:t>
      </w:r>
    </w:p>
    <w:p w14:paraId="3F8B782B" w14:textId="69E60B7A" w:rsidR="004726BA" w:rsidRPr="0066297C" w:rsidRDefault="004726BA" w:rsidP="005571B9">
      <w:pPr>
        <w:pStyle w:val="ListParagraph"/>
        <w:numPr>
          <w:ilvl w:val="0"/>
          <w:numId w:val="33"/>
        </w:numPr>
        <w:ind w:left="714" w:hanging="357"/>
      </w:pPr>
      <w:r w:rsidRPr="0066297C">
        <w:t xml:space="preserve">There </w:t>
      </w:r>
      <w:r w:rsidR="00EC54FB">
        <w:t>are</w:t>
      </w:r>
      <w:r w:rsidRPr="0066297C">
        <w:t xml:space="preserve"> </w:t>
      </w:r>
      <w:r w:rsidR="00C07078">
        <w:t>limited</w:t>
      </w:r>
      <w:r w:rsidRPr="0066297C">
        <w:t xml:space="preserve"> efficient and reliable test</w:t>
      </w:r>
      <w:r w:rsidR="00EC54FB">
        <w:t>s</w:t>
      </w:r>
      <w:r w:rsidRPr="0066297C">
        <w:t xml:space="preserve"> to determine whether devitalisation treatments have been carried out. Testing for devitalisation either involves lengthy grow-out tests, or an ELISA for glyphosate.</w:t>
      </w:r>
    </w:p>
    <w:p w14:paraId="648DE57B" w14:textId="77777777" w:rsidR="004726BA" w:rsidRPr="0066297C" w:rsidRDefault="004726BA" w:rsidP="005571B9">
      <w:pPr>
        <w:pStyle w:val="ListParagraph"/>
        <w:numPr>
          <w:ilvl w:val="0"/>
          <w:numId w:val="33"/>
        </w:numPr>
        <w:ind w:left="714" w:hanging="357"/>
      </w:pPr>
      <w:r w:rsidRPr="0066297C">
        <w:t>Glyphosate is ineffective at eliminating pathogens on a plant. Any disease control benefits of devitalisation are indirect due to the decreased vase-life caused by devitalisation.</w:t>
      </w:r>
    </w:p>
    <w:p w14:paraId="32A9940C" w14:textId="78D28673" w:rsidR="004726BA" w:rsidRPr="002D4023" w:rsidRDefault="004726BA" w:rsidP="00800E7D">
      <w:r w:rsidRPr="0066297C">
        <w:t>New Zealand Ministry for Primary Industry has reviewed its devitalisation requirements as part of its review of the import health standard for imported cut flowers and released its consultation paper in November 2024. The paper proposes that a devitalisation treatment for imported cut flowers is no longer required.</w:t>
      </w:r>
      <w:r>
        <w:t xml:space="preserve"> </w:t>
      </w:r>
    </w:p>
    <w:p w14:paraId="2EA16D92" w14:textId="77777777" w:rsidR="004726BA" w:rsidRPr="00525379" w:rsidRDefault="004726BA" w:rsidP="00800E7D">
      <w:pPr>
        <w:pStyle w:val="Heading4"/>
      </w:pPr>
      <w:r w:rsidRPr="00525379">
        <w:lastRenderedPageBreak/>
        <w:t xml:space="preserve">International </w:t>
      </w:r>
      <w:r>
        <w:t>guidance</w:t>
      </w:r>
      <w:r w:rsidRPr="00525379">
        <w:t xml:space="preserve"> on </w:t>
      </w:r>
      <w:r>
        <w:t>DFIU of imported plant produce</w:t>
      </w:r>
    </w:p>
    <w:p w14:paraId="01F55262" w14:textId="12D1C021" w:rsidR="004726BA" w:rsidRDefault="004726BA" w:rsidP="00800E7D">
      <w:r w:rsidRPr="004E1DF8">
        <w:t xml:space="preserve">Intended use is defined as the declared purpose for which plants, plant products or other articles are imported, produced or used </w:t>
      </w:r>
      <w:r>
        <w:rPr>
          <w:noProof/>
        </w:rPr>
        <w:t>(FAO 2024)</w:t>
      </w:r>
      <w:r w:rsidRPr="004E1DF8">
        <w:t>. The intended use of a commodity may be for planting</w:t>
      </w:r>
      <w:r>
        <w:t>,</w:t>
      </w:r>
      <w:r w:rsidRPr="004E1DF8">
        <w:t xml:space="preserve"> consumption</w:t>
      </w:r>
      <w:r>
        <w:t>, processing</w:t>
      </w:r>
      <w:r w:rsidRPr="004E1DF8">
        <w:t xml:space="preserve"> and</w:t>
      </w:r>
      <w:r>
        <w:t xml:space="preserve"> in the case of cut flowers, time-limited decorative purposes</w:t>
      </w:r>
      <w:r w:rsidRPr="004E1DF8">
        <w:t xml:space="preserve">. </w:t>
      </w:r>
      <w:r>
        <w:t xml:space="preserve">The effect of intended use </w:t>
      </w:r>
      <w:r w:rsidR="00796C7E">
        <w:t>on</w:t>
      </w:r>
      <w:r>
        <w:t xml:space="preserve"> a commodity’s pest risk and the application of different phytosanitary measures for a commodity based on its intended use are recognised by ISPM 32 </w:t>
      </w:r>
      <w:r>
        <w:rPr>
          <w:noProof/>
        </w:rPr>
        <w:t>(FAO 2016)</w:t>
      </w:r>
      <w:r>
        <w:t xml:space="preserve">.  </w:t>
      </w:r>
      <w:r w:rsidRPr="004E1DF8">
        <w:t>Any phytosanitary measure applied should be proportional to the pest risk identified</w:t>
      </w:r>
      <w:r>
        <w:t xml:space="preserve"> </w:t>
      </w:r>
      <w:r>
        <w:rPr>
          <w:noProof/>
        </w:rPr>
        <w:t>(FAO 2016</w:t>
      </w:r>
      <w:proofErr w:type="gramStart"/>
      <w:r>
        <w:rPr>
          <w:noProof/>
        </w:rPr>
        <w:t>)</w:t>
      </w:r>
      <w:r w:rsidDel="00341242">
        <w:t xml:space="preserve"> </w:t>
      </w:r>
      <w:r w:rsidRPr="004E1DF8">
        <w:t>.</w:t>
      </w:r>
      <w:proofErr w:type="gramEnd"/>
    </w:p>
    <w:p w14:paraId="3B6632FF" w14:textId="77777777" w:rsidR="004726BA" w:rsidRPr="00EF749B" w:rsidRDefault="004726BA" w:rsidP="004C2E16">
      <w:pPr>
        <w:rPr>
          <w:highlight w:val="yellow"/>
        </w:rPr>
      </w:pPr>
      <w:r>
        <w:t>T</w:t>
      </w:r>
      <w:r w:rsidRPr="00DB5D8B">
        <w:t xml:space="preserve">here </w:t>
      </w:r>
      <w:r>
        <w:t>are</w:t>
      </w:r>
      <w:r w:rsidRPr="00DB5D8B">
        <w:t xml:space="preserve"> currently no International Standards for Phytosanitary Measures (ISPM)</w:t>
      </w:r>
      <w:r>
        <w:t xml:space="preserve"> </w:t>
      </w:r>
      <w:r w:rsidRPr="00DB5D8B">
        <w:t xml:space="preserve">or </w:t>
      </w:r>
      <w:r>
        <w:t xml:space="preserve">official </w:t>
      </w:r>
      <w:r w:rsidRPr="00DB5D8B">
        <w:t xml:space="preserve">guidance on how to conduct a </w:t>
      </w:r>
      <w:r>
        <w:t xml:space="preserve">PRA </w:t>
      </w:r>
      <w:r w:rsidRPr="00DB5D8B">
        <w:t>to specifically assess biosecurity risk associated with DFIU.</w:t>
      </w:r>
      <w:r>
        <w:t xml:space="preserve"> </w:t>
      </w:r>
      <w:r w:rsidRPr="00A97F66">
        <w:t xml:space="preserve">The International Plant Protection Convention (IPPC) paper, </w:t>
      </w:r>
      <w:r w:rsidRPr="00A97F66">
        <w:rPr>
          <w:i/>
          <w:iCs/>
        </w:rPr>
        <w:t xml:space="preserve">Diversion from Intended Use </w:t>
      </w:r>
      <w:r>
        <w:rPr>
          <w:noProof/>
        </w:rPr>
        <w:t>(FAO 2016)</w:t>
      </w:r>
      <w:r w:rsidRPr="00A97F66">
        <w:t xml:space="preserve"> (hereafter referred to as the IPPC DFIU paper) provides an overview of the current issues of </w:t>
      </w:r>
      <w:r>
        <w:t xml:space="preserve">managing </w:t>
      </w:r>
      <w:r w:rsidRPr="00A97F66">
        <w:t xml:space="preserve">biosecurity risk associated with DFIU. The purpose of the IPPC DFIU paper </w:t>
      </w:r>
      <w:r>
        <w:t>wa</w:t>
      </w:r>
      <w:r w:rsidRPr="00A97F66">
        <w:t xml:space="preserve">s to </w:t>
      </w:r>
      <w:r w:rsidRPr="00A96F24">
        <w:t>estimate the extent of th</w:t>
      </w:r>
      <w:r>
        <w:t>e DFIU</w:t>
      </w:r>
      <w:r w:rsidRPr="00A96F24">
        <w:t xml:space="preserve"> issue and to evaluate the n</w:t>
      </w:r>
      <w:r>
        <w:t>e</w:t>
      </w:r>
      <w:r w:rsidRPr="00A96F24">
        <w:t>e</w:t>
      </w:r>
      <w:r>
        <w:t xml:space="preserve">d </w:t>
      </w:r>
      <w:r w:rsidRPr="00A96F24">
        <w:t>for further guidance</w:t>
      </w:r>
      <w:r>
        <w:t xml:space="preserve"> or support from the IPPC.</w:t>
      </w:r>
    </w:p>
    <w:p w14:paraId="5ABF3FB9" w14:textId="77777777" w:rsidR="004726BA" w:rsidRPr="00A97F66" w:rsidRDefault="004726BA" w:rsidP="00800E7D">
      <w:r w:rsidRPr="00A97F66">
        <w:t xml:space="preserve">In brief, the IPPC DFIU paper </w:t>
      </w:r>
      <w:r>
        <w:rPr>
          <w:noProof/>
        </w:rPr>
        <w:t>(FAO 2016)</w:t>
      </w:r>
      <w:r w:rsidRPr="00A97F66">
        <w:t xml:space="preserve"> states that:</w:t>
      </w:r>
    </w:p>
    <w:p w14:paraId="75FC79F0" w14:textId="77777777" w:rsidR="004726BA" w:rsidRPr="00A97F66" w:rsidRDefault="004726BA" w:rsidP="004C2E16">
      <w:pPr>
        <w:pStyle w:val="ListBullet"/>
        <w:spacing w:before="0" w:after="200" w:line="276" w:lineRule="auto"/>
      </w:pPr>
      <w:r w:rsidRPr="00A97F66">
        <w:t>There are limited options available to a country to prevent DFIU of goods post-import and DFIU activities are rarely documented or reported.</w:t>
      </w:r>
    </w:p>
    <w:p w14:paraId="71DEF54E" w14:textId="6FC97AB8" w:rsidR="004726BA" w:rsidRDefault="004726BA" w:rsidP="004C2E16">
      <w:pPr>
        <w:pStyle w:val="ListBullet"/>
        <w:spacing w:before="0" w:after="200" w:line="276" w:lineRule="auto"/>
      </w:pPr>
      <w:r w:rsidRPr="00A97F66">
        <w:t>Various countries apply measures to manage DFIU to import pathways such as cut flowers, avocado, potato and grains. However, the risk of DFIU is derived from anecdotal evidence, with no PRA conducted to assess the risk and support the measures.</w:t>
      </w:r>
    </w:p>
    <w:p w14:paraId="11759AC3" w14:textId="77777777" w:rsidR="004726BA" w:rsidRPr="002A70EB" w:rsidRDefault="004726BA" w:rsidP="004C2E16">
      <w:pPr>
        <w:pStyle w:val="ListBullet"/>
        <w:spacing w:before="0" w:after="200" w:line="276" w:lineRule="auto"/>
      </w:pPr>
      <w:r w:rsidRPr="002A70EB">
        <w:t>The efficacy of devitalization measures is not considered to be proven. There is insufficient literature on the efficacy of some treatments routinely used if the objective is entirely to prevent sprouting.</w:t>
      </w:r>
    </w:p>
    <w:p w14:paraId="67BEF431" w14:textId="77777777" w:rsidR="004726BA" w:rsidRPr="00A97F66" w:rsidRDefault="004726BA" w:rsidP="004C2E16">
      <w:pPr>
        <w:pStyle w:val="ListBullet"/>
        <w:spacing w:before="0" w:after="200" w:line="276" w:lineRule="auto"/>
      </w:pPr>
      <w:r w:rsidRPr="00A97F66">
        <w:t>While National Plant Protection Organisations (NPPOs) have a sovereign right to impose phytosanitary measures on imported goods to manage biosecurity risk, the lack of an appropriate PRA or clear scientific evidence (or equivalent) to justify the application of measures for DFIU is inconsistent with the principles of the SPS Agreement.</w:t>
      </w:r>
    </w:p>
    <w:p w14:paraId="23AAF556" w14:textId="77777777" w:rsidR="004726BA" w:rsidRPr="00E5102D" w:rsidRDefault="004726BA" w:rsidP="004C2E16">
      <w:pPr>
        <w:pStyle w:val="ListBullet"/>
        <w:spacing w:before="0" w:after="200" w:line="276" w:lineRule="auto"/>
      </w:pPr>
      <w:r w:rsidRPr="00E5102D">
        <w:t>Greater clarity around information and evidence for DFIU is required to support the measures for DFIU.</w:t>
      </w:r>
    </w:p>
    <w:p w14:paraId="7092AF8B" w14:textId="77777777" w:rsidR="004726BA" w:rsidRPr="00A97F66" w:rsidRDefault="004726BA" w:rsidP="004C2E16">
      <w:pPr>
        <w:pStyle w:val="ListBullet"/>
        <w:spacing w:before="0" w:after="200" w:line="276" w:lineRule="auto"/>
      </w:pPr>
      <w:r w:rsidRPr="00A97F66">
        <w:t xml:space="preserve">A PRA </w:t>
      </w:r>
      <w:r w:rsidRPr="00A97F66">
        <w:rPr>
          <w:bdr w:val="none" w:sz="0" w:space="0" w:color="auto" w:frame="1"/>
          <w:lang w:eastAsia="en-AU"/>
        </w:rPr>
        <w:t>or, where applicable, another comparable examination and evaluation of available scientific information</w:t>
      </w:r>
      <w:r w:rsidRPr="00A97F66">
        <w:t xml:space="preserve"> should be conducted to support the measures for DFIU.</w:t>
      </w:r>
    </w:p>
    <w:p w14:paraId="46655664" w14:textId="77777777" w:rsidR="004726BA" w:rsidRDefault="004726BA" w:rsidP="004C2E16">
      <w:pPr>
        <w:pStyle w:val="ListBullet"/>
        <w:spacing w:before="0" w:after="200" w:line="276" w:lineRule="auto"/>
      </w:pPr>
      <w:r w:rsidRPr="00A97F66">
        <w:t>Measures for DFIU that are not supported by a PRA are not in line with the IPPC or the SPS agreement and should be removed.</w:t>
      </w:r>
    </w:p>
    <w:p w14:paraId="38B00D93" w14:textId="77777777" w:rsidR="004726BA" w:rsidRDefault="004726BA" w:rsidP="004C2E16">
      <w:pPr>
        <w:pStyle w:val="ListBullet"/>
        <w:numPr>
          <w:ilvl w:val="0"/>
          <w:numId w:val="0"/>
        </w:numPr>
        <w:spacing w:line="276" w:lineRule="auto"/>
      </w:pPr>
      <w:r w:rsidRPr="00B238AD">
        <w:t xml:space="preserve">In line with the IPPC DFIU paper, </w:t>
      </w:r>
      <w:r>
        <w:t>this review examines and evaluates information and evidence on the occurrence in Australia of DFIU of imported cut flowers to propagation. This review then assesses unrestricted biosecurity risks (i.e., without devitalisation requirements being applied) associated with the DFIU occurrence. This is to determine whether devitalisation requirements are technically justified.</w:t>
      </w:r>
    </w:p>
    <w:p w14:paraId="550592AC" w14:textId="77777777" w:rsidR="004726BA" w:rsidRPr="00525379" w:rsidRDefault="004726BA" w:rsidP="00800E7D">
      <w:pPr>
        <w:pStyle w:val="Heading3"/>
      </w:pPr>
      <w:bookmarkStart w:id="21" w:name="_Toc197938534"/>
      <w:bookmarkStart w:id="22" w:name="_Toc197953562"/>
      <w:bookmarkEnd w:id="18"/>
      <w:r w:rsidRPr="00525379">
        <w:lastRenderedPageBreak/>
        <w:t>Consultation</w:t>
      </w:r>
      <w:bookmarkEnd w:id="21"/>
      <w:bookmarkEnd w:id="22"/>
    </w:p>
    <w:p w14:paraId="51D8BB42" w14:textId="77777777" w:rsidR="004726BA" w:rsidRPr="00525379" w:rsidRDefault="004726BA" w:rsidP="00800E7D">
      <w:r w:rsidRPr="00525379">
        <w:t xml:space="preserve">The department </w:t>
      </w:r>
      <w:r>
        <w:t>has</w:t>
      </w:r>
      <w:r w:rsidRPr="00525379">
        <w:t xml:space="preserve"> an extensive program of consultation with international and domestic stakeholders regarding the import</w:t>
      </w:r>
      <w:r>
        <w:t>ation</w:t>
      </w:r>
      <w:r w:rsidRPr="00525379">
        <w:t xml:space="preserve"> of cut flowers into Australia.</w:t>
      </w:r>
    </w:p>
    <w:p w14:paraId="0294A69A" w14:textId="77777777" w:rsidR="004726BA" w:rsidRPr="00525379" w:rsidRDefault="004726BA" w:rsidP="00800E7D">
      <w:r w:rsidRPr="00A61B1A">
        <w:t xml:space="preserve">On 30 August 2024, the department notified </w:t>
      </w:r>
      <w:r>
        <w:t xml:space="preserve">registered </w:t>
      </w:r>
      <w:r w:rsidRPr="00A61B1A">
        <w:t xml:space="preserve">stakeholders, via email and </w:t>
      </w:r>
      <w:r>
        <w:t xml:space="preserve">the department </w:t>
      </w:r>
      <w:r w:rsidRPr="00A61B1A">
        <w:t xml:space="preserve">website, of the commencement of the review of devitalisation </w:t>
      </w:r>
      <w:r>
        <w:t>requirements for specific</w:t>
      </w:r>
      <w:r w:rsidRPr="00A61B1A">
        <w:t xml:space="preserve"> cut flowers imported into Australia.</w:t>
      </w:r>
    </w:p>
    <w:p w14:paraId="1BC80A56" w14:textId="77777777" w:rsidR="004726BA" w:rsidRPr="00525379" w:rsidRDefault="004726BA" w:rsidP="00800E7D">
      <w:pPr>
        <w:pStyle w:val="Heading3"/>
      </w:pPr>
      <w:bookmarkStart w:id="23" w:name="_Toc197938535"/>
      <w:bookmarkStart w:id="24" w:name="_Toc197953563"/>
      <w:r w:rsidRPr="00525379">
        <w:t>Next steps</w:t>
      </w:r>
      <w:bookmarkEnd w:id="23"/>
      <w:bookmarkEnd w:id="24"/>
    </w:p>
    <w:p w14:paraId="6441350C" w14:textId="77777777" w:rsidR="004726BA" w:rsidRPr="00525379" w:rsidRDefault="004726BA" w:rsidP="00800E7D">
      <w:r w:rsidRPr="00525379">
        <w:t>The department has notified registered stakeholders, and the WTO-Secretariat about the release of this draft report.</w:t>
      </w:r>
    </w:p>
    <w:p w14:paraId="349CF9DB" w14:textId="77777777" w:rsidR="004726BA" w:rsidRPr="00525379" w:rsidRDefault="004726BA" w:rsidP="00800E7D">
      <w:r w:rsidRPr="00525379">
        <w:t xml:space="preserve">This </w:t>
      </w:r>
      <w:r w:rsidRPr="000A1138">
        <w:t>draft</w:t>
      </w:r>
      <w:r w:rsidRPr="00525379">
        <w:t xml:space="preserve"> report gives stakeholders an opportunity to comment on the department’s review and </w:t>
      </w:r>
      <w:r>
        <w:t>proposals</w:t>
      </w:r>
      <w:r w:rsidRPr="00525379">
        <w:t>, and to draw attention to any scientific, technical or other gaps in the data, or misinterpretations or errors.</w:t>
      </w:r>
    </w:p>
    <w:p w14:paraId="052A2100" w14:textId="77777777" w:rsidR="004726BA" w:rsidRPr="00525379" w:rsidRDefault="004726BA" w:rsidP="00800E7D">
      <w:r w:rsidRPr="00525379">
        <w:t xml:space="preserve">The department will consider submissions received on the </w:t>
      </w:r>
      <w:r w:rsidRPr="000A1138">
        <w:t>draft</w:t>
      </w:r>
      <w:r w:rsidRPr="00525379">
        <w:t xml:space="preserve"> report and may consult further with stakeholders. The department will revise the report as appropriate and then prepare a final report, </w:t>
      </w:r>
      <w:proofErr w:type="gramStart"/>
      <w:r w:rsidRPr="00525379">
        <w:t>taking into account</w:t>
      </w:r>
      <w:proofErr w:type="gramEnd"/>
      <w:r w:rsidRPr="00525379">
        <w:t xml:space="preserve"> stakeholder comments.</w:t>
      </w:r>
    </w:p>
    <w:p w14:paraId="3C40B9B1" w14:textId="77777777" w:rsidR="004726BA" w:rsidRPr="00525379" w:rsidRDefault="004726BA" w:rsidP="00800E7D">
      <w:r w:rsidRPr="00525379">
        <w:t>The final report will be published on the department’s website along with a notice advising stakeholders of the release. The department will also notify registered stakeholders and the WTO Secretariat about the release of the final report.</w:t>
      </w:r>
    </w:p>
    <w:p w14:paraId="1A209A16" w14:textId="77777777" w:rsidR="004726BA" w:rsidRPr="00525379" w:rsidRDefault="004726BA" w:rsidP="00800E7D">
      <w:r w:rsidRPr="00525379">
        <w:t>The biosecurity requirements recommended in the final report will form the basis of the conditions published on BICON, and for any import permits subsequently issued.</w:t>
      </w:r>
    </w:p>
    <w:p w14:paraId="6FC40F36" w14:textId="77777777" w:rsidR="004726BA" w:rsidRPr="00525379" w:rsidRDefault="004726BA" w:rsidP="00800E7D">
      <w:pPr>
        <w:sectPr w:rsidR="004726BA" w:rsidRPr="00525379" w:rsidSect="004726BA">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567" w:footer="850" w:gutter="0"/>
          <w:pgNumType w:start="1"/>
          <w:cols w:space="708"/>
          <w:docGrid w:linePitch="360"/>
        </w:sectPr>
      </w:pPr>
    </w:p>
    <w:p w14:paraId="4F8886EC" w14:textId="77777777" w:rsidR="004726BA" w:rsidRPr="00525379" w:rsidRDefault="004726BA" w:rsidP="00800E7D">
      <w:pPr>
        <w:pStyle w:val="Heading2"/>
      </w:pPr>
      <w:bookmarkStart w:id="25" w:name="_Toc197938536"/>
      <w:bookmarkStart w:id="26" w:name="_Toc197953564"/>
      <w:r w:rsidRPr="00A9186F">
        <w:lastRenderedPageBreak/>
        <w:t xml:space="preserve">Imported cut </w:t>
      </w:r>
      <w:r w:rsidRPr="00525379">
        <w:t>flower pathway</w:t>
      </w:r>
      <w:bookmarkEnd w:id="25"/>
      <w:bookmarkEnd w:id="26"/>
      <w:r w:rsidRPr="00525379">
        <w:t xml:space="preserve"> </w:t>
      </w:r>
    </w:p>
    <w:p w14:paraId="43ACF2C3" w14:textId="77777777" w:rsidR="004726BA" w:rsidRDefault="004726BA" w:rsidP="00800E7D">
      <w:r>
        <w:t>This chapter provides a</w:t>
      </w:r>
      <w:r w:rsidRPr="00481866">
        <w:t xml:space="preserve"> brief overview of the </w:t>
      </w:r>
      <w:r>
        <w:t xml:space="preserve">imported </w:t>
      </w:r>
      <w:r w:rsidRPr="00481866">
        <w:t xml:space="preserve">cut flower pathway, from harvest to </w:t>
      </w:r>
      <w:r>
        <w:t>point of sale, and consumer usage patterns</w:t>
      </w:r>
      <w:r w:rsidRPr="00481866">
        <w:t>.</w:t>
      </w:r>
    </w:p>
    <w:p w14:paraId="5CE9F350" w14:textId="77777777" w:rsidR="004726BA" w:rsidRPr="00525379" w:rsidRDefault="004726BA" w:rsidP="00800E7D">
      <w:pPr>
        <w:pStyle w:val="Heading3"/>
      </w:pPr>
      <w:bookmarkStart w:id="27" w:name="_Toc197938537"/>
      <w:bookmarkStart w:id="28" w:name="_Toc197953565"/>
      <w:r>
        <w:t>Cut flowers - harvest to point of sale</w:t>
      </w:r>
      <w:bookmarkEnd w:id="27"/>
      <w:bookmarkEnd w:id="28"/>
    </w:p>
    <w:p w14:paraId="1628210D" w14:textId="77777777" w:rsidR="004726BA" w:rsidRDefault="004726BA" w:rsidP="00800E7D">
      <w:bookmarkStart w:id="29" w:name="_Hlk176185280"/>
      <w:r w:rsidRPr="00525379">
        <w:t>Cut flowers are one of the most perishable plant commodities traded globally</w:t>
      </w:r>
      <w:r>
        <w:t xml:space="preserve"> as they</w:t>
      </w:r>
      <w:r w:rsidRPr="00525379">
        <w:t xml:space="preserve"> lose quality and vase life</w:t>
      </w:r>
      <w:r>
        <w:t xml:space="preserve"> rapidly</w:t>
      </w:r>
      <w:r w:rsidRPr="00525379">
        <w:t xml:space="preserve">, with most cut flowers lasting </w:t>
      </w:r>
      <w:r>
        <w:t xml:space="preserve">no more than </w:t>
      </w:r>
      <w:r w:rsidRPr="00525379">
        <w:t>1–2 weeks</w:t>
      </w:r>
      <w:r>
        <w:t xml:space="preserve"> from point of sale</w:t>
      </w:r>
      <w:r w:rsidRPr="00525379">
        <w:t xml:space="preserve"> </w:t>
      </w:r>
      <w:r>
        <w:rPr>
          <w:noProof/>
        </w:rPr>
        <w:t>(IIGB 2015; Jones 1959)</w:t>
      </w:r>
      <w:r w:rsidRPr="00525379">
        <w:t>. Therefore, commercial processes are optimised to reduce time between harvest and sale to ensure quality product</w:t>
      </w:r>
      <w:r>
        <w:t>s</w:t>
      </w:r>
      <w:r w:rsidRPr="00525379">
        <w:t xml:space="preserve"> </w:t>
      </w:r>
      <w:r>
        <w:t>are</w:t>
      </w:r>
      <w:r w:rsidRPr="00525379">
        <w:t xml:space="preserve"> delivered to consumer</w:t>
      </w:r>
      <w:r>
        <w:t>s</w:t>
      </w:r>
      <w:r w:rsidRPr="00525379">
        <w:t>.</w:t>
      </w:r>
    </w:p>
    <w:p w14:paraId="1C88B329" w14:textId="77777777" w:rsidR="004726BA" w:rsidRDefault="004726BA" w:rsidP="004C2E16">
      <w:r>
        <w:t xml:space="preserve">For </w:t>
      </w:r>
      <w:r w:rsidRPr="001D2F26">
        <w:t xml:space="preserve">cut flowers </w:t>
      </w:r>
      <w:r>
        <w:t xml:space="preserve">imported into Australia, the time between harvest and being sold to customers </w:t>
      </w:r>
      <w:r w:rsidRPr="001D2F26">
        <w:t xml:space="preserve">can </w:t>
      </w:r>
      <w:r>
        <w:t>be anywhere from 9 to 42 days (for air freighted goods) or from 27 to 77 days (for sea freighted goods).</w:t>
      </w:r>
      <w:r w:rsidRPr="00525379">
        <w:t xml:space="preserve"> </w:t>
      </w:r>
      <w:r>
        <w:t>Roses, carnations and chrysanthemums accounted for 83% of cut flowers imported into Australia in 2023. According to the information provided by the Australian Flower Traders Association (Sabine Perrone, personal communication, 5 October 2023), the typical steps and timelines for roses, carnations and chrysanthemums from harvest to customers include:</w:t>
      </w:r>
    </w:p>
    <w:p w14:paraId="434DF1A7" w14:textId="77777777" w:rsidR="004726BA" w:rsidRDefault="004726BA" w:rsidP="00C1570E">
      <w:pPr>
        <w:pStyle w:val="ListBullet"/>
        <w:spacing w:before="0" w:after="200" w:line="276" w:lineRule="auto"/>
      </w:pPr>
      <w:bookmarkStart w:id="30" w:name="_Hlk176184823"/>
      <w:r w:rsidRPr="00525379">
        <w:t xml:space="preserve">Harvest to </w:t>
      </w:r>
      <w:r>
        <w:t>pre-export</w:t>
      </w:r>
      <w:r w:rsidRPr="00525379">
        <w:t xml:space="preserve"> (</w:t>
      </w:r>
      <w:r>
        <w:t>4</w:t>
      </w:r>
      <w:r w:rsidRPr="00525379">
        <w:t>-</w:t>
      </w:r>
      <w:r>
        <w:t>9</w:t>
      </w:r>
      <w:r w:rsidRPr="00525379">
        <w:t xml:space="preserve"> days) </w:t>
      </w:r>
      <w:r>
        <w:t xml:space="preserve">— </w:t>
      </w:r>
      <w:r w:rsidRPr="00525379">
        <w:t>includes key steps such as harvest, quality</w:t>
      </w:r>
      <w:r>
        <w:t xml:space="preserve"> checks</w:t>
      </w:r>
      <w:r w:rsidRPr="00525379">
        <w:t xml:space="preserve">/grading, cold storage, </w:t>
      </w:r>
      <w:r w:rsidRPr="005310AE">
        <w:t>chemical treatments to ensure quality</w:t>
      </w:r>
      <w:r>
        <w:t xml:space="preserve">, </w:t>
      </w:r>
      <w:r w:rsidRPr="00525379">
        <w:t>phytosanitary treatments</w:t>
      </w:r>
      <w:r>
        <w:t xml:space="preserve"> (where required)</w:t>
      </w:r>
      <w:r w:rsidRPr="00525379">
        <w:t>, packing, local-transport</w:t>
      </w:r>
      <w:r>
        <w:t xml:space="preserve"> and </w:t>
      </w:r>
      <w:r w:rsidRPr="00525379">
        <w:t>inspections</w:t>
      </w:r>
      <w:r>
        <w:t xml:space="preserve"> by exporting country’s NPPO</w:t>
      </w:r>
    </w:p>
    <w:p w14:paraId="203C71A1" w14:textId="77777777" w:rsidR="004726BA" w:rsidRPr="00525379" w:rsidRDefault="004726BA" w:rsidP="00C1570E">
      <w:pPr>
        <w:pStyle w:val="ListBullet"/>
        <w:spacing w:before="0" w:after="200" w:line="276" w:lineRule="auto"/>
      </w:pPr>
      <w:r>
        <w:t xml:space="preserve">Transport </w:t>
      </w:r>
      <w:r w:rsidRPr="00525379">
        <w:t>to Australia</w:t>
      </w:r>
      <w:r>
        <w:t xml:space="preserve"> — airfreight (2-5 days) or sea-freight (20-40 days)</w:t>
      </w:r>
    </w:p>
    <w:p w14:paraId="49DFFEC9" w14:textId="77777777" w:rsidR="004726BA" w:rsidRDefault="004726BA" w:rsidP="00C1570E">
      <w:pPr>
        <w:pStyle w:val="ListBullet"/>
        <w:spacing w:before="0" w:after="200" w:line="276" w:lineRule="auto"/>
      </w:pPr>
      <w:r w:rsidRPr="00525379">
        <w:t>Biosecurity clearance (1</w:t>
      </w:r>
      <w:r>
        <w:t>-7</w:t>
      </w:r>
      <w:r w:rsidRPr="00525379">
        <w:t xml:space="preserve"> day</w:t>
      </w:r>
      <w:r>
        <w:t>s, depending on compliance</w:t>
      </w:r>
      <w:r w:rsidRPr="00525379">
        <w:t xml:space="preserve">) </w:t>
      </w:r>
      <w:r>
        <w:t>—</w:t>
      </w:r>
      <w:r w:rsidRPr="00525379">
        <w:t xml:space="preserve"> all consignment</w:t>
      </w:r>
      <w:r>
        <w:t>s</w:t>
      </w:r>
      <w:r w:rsidRPr="00525379">
        <w:t xml:space="preserve"> of cut flowers are inspected upon arrival in Australia</w:t>
      </w:r>
    </w:p>
    <w:p w14:paraId="313E41EF" w14:textId="77777777" w:rsidR="004726BA" w:rsidRDefault="004726BA" w:rsidP="00C1570E">
      <w:pPr>
        <w:pStyle w:val="ListBullet"/>
        <w:spacing w:before="0" w:after="200" w:line="276" w:lineRule="auto"/>
      </w:pPr>
      <w:r>
        <w:t>If consignments meet Australia’s import conditions, they are released to importers (1 day)</w:t>
      </w:r>
      <w:r w:rsidRPr="00525379">
        <w:t xml:space="preserve"> </w:t>
      </w:r>
    </w:p>
    <w:p w14:paraId="3C742A4B" w14:textId="77777777" w:rsidR="004726BA" w:rsidRDefault="004726BA" w:rsidP="00C1570E">
      <w:pPr>
        <w:pStyle w:val="ListBullet"/>
        <w:spacing w:before="0" w:after="200" w:line="276" w:lineRule="auto"/>
      </w:pPr>
      <w:r>
        <w:t>If consignments are found to be non-compliant, remedial action is applied to the consignments prior to release, adding remediation time (1 - 7 days). It is important to note that w</w:t>
      </w:r>
      <w:r w:rsidRPr="007C4042">
        <w:t>here the department assess</w:t>
      </w:r>
      <w:r>
        <w:t>es</w:t>
      </w:r>
      <w:r w:rsidRPr="007C4042">
        <w:t xml:space="preserve"> that </w:t>
      </w:r>
      <w:r>
        <w:t xml:space="preserve">the </w:t>
      </w:r>
      <w:r w:rsidRPr="007C4042">
        <w:t xml:space="preserve">risk cannot be practically </w:t>
      </w:r>
      <w:r>
        <w:t xml:space="preserve">treated or </w:t>
      </w:r>
      <w:r w:rsidRPr="007C4042">
        <w:t xml:space="preserve">managed onshore, </w:t>
      </w:r>
      <w:r>
        <w:t xml:space="preserve">remedial action will involve </w:t>
      </w:r>
      <w:r w:rsidRPr="007C4042">
        <w:t xml:space="preserve">export or destruction </w:t>
      </w:r>
      <w:r>
        <w:t>of</w:t>
      </w:r>
      <w:r w:rsidRPr="007C4042">
        <w:t xml:space="preserve"> the whole or part of the consignment.</w:t>
      </w:r>
    </w:p>
    <w:p w14:paraId="4F874920" w14:textId="77777777" w:rsidR="004726BA" w:rsidRPr="00525379" w:rsidRDefault="004726BA" w:rsidP="00C1570E">
      <w:pPr>
        <w:pStyle w:val="ListBullet"/>
        <w:spacing w:before="0" w:after="200" w:line="276" w:lineRule="auto"/>
      </w:pPr>
      <w:r>
        <w:t>Domestic distribution (1-7 days) — cut flowers are stored at importer/wholesaler premises for further distribution around Australia</w:t>
      </w:r>
    </w:p>
    <w:p w14:paraId="140D2E37" w14:textId="77777777" w:rsidR="004726BA" w:rsidRDefault="004726BA" w:rsidP="00C1570E">
      <w:pPr>
        <w:pStyle w:val="ListBullet"/>
        <w:spacing w:before="0" w:after="200" w:line="276" w:lineRule="auto"/>
      </w:pPr>
      <w:r w:rsidRPr="00525379">
        <w:t>Final sale process</w:t>
      </w:r>
      <w:r>
        <w:t xml:space="preserve"> — </w:t>
      </w:r>
      <w:r w:rsidRPr="00525379">
        <w:t>supermarket</w:t>
      </w:r>
      <w:r>
        <w:t xml:space="preserve"> (1-6 days), or florists (1-14 days)</w:t>
      </w:r>
    </w:p>
    <w:p w14:paraId="58B2A26F" w14:textId="77777777" w:rsidR="004726BA" w:rsidRDefault="004726BA" w:rsidP="00C1570E">
      <w:pPr>
        <w:pStyle w:val="ListBullet"/>
        <w:spacing w:before="0" w:after="200" w:line="276" w:lineRule="auto"/>
      </w:pPr>
      <w:r>
        <w:t>I</w:t>
      </w:r>
      <w:r w:rsidRPr="00525379">
        <w:t>n Australia</w:t>
      </w:r>
      <w:r>
        <w:t>,</w:t>
      </w:r>
      <w:r w:rsidRPr="00525379">
        <w:t xml:space="preserve"> </w:t>
      </w:r>
      <w:r>
        <w:t xml:space="preserve">retail sales of </w:t>
      </w:r>
      <w:r w:rsidRPr="00525379">
        <w:t xml:space="preserve">most </w:t>
      </w:r>
      <w:r>
        <w:t xml:space="preserve">cut </w:t>
      </w:r>
      <w:r w:rsidRPr="00525379">
        <w:t xml:space="preserve">flowers </w:t>
      </w:r>
      <w:r>
        <w:t>occur</w:t>
      </w:r>
      <w:r w:rsidRPr="00525379">
        <w:t xml:space="preserve"> at supermarkets or florists</w:t>
      </w:r>
      <w:r>
        <w:t>, with a small proportion being sold through markets or roadside stalls</w:t>
      </w:r>
      <w:r w:rsidRPr="00525379">
        <w:t xml:space="preserve">. </w:t>
      </w:r>
      <w:r>
        <w:t xml:space="preserve">Due to methods of storage and display, </w:t>
      </w:r>
      <w:r w:rsidRPr="00525379">
        <w:t xml:space="preserve">supermarkets </w:t>
      </w:r>
      <w:r>
        <w:t xml:space="preserve">can generally </w:t>
      </w:r>
      <w:r w:rsidRPr="00525379">
        <w:t>display cut flowers for a limited time (</w:t>
      </w:r>
      <w:r>
        <w:t xml:space="preserve">e.g., approximately 4 days for </w:t>
      </w:r>
      <w:r w:rsidRPr="00525379">
        <w:t xml:space="preserve">roses </w:t>
      </w:r>
      <w:r>
        <w:t>and 6 days for</w:t>
      </w:r>
      <w:r w:rsidRPr="00525379">
        <w:t xml:space="preserve"> chrysanthemums)</w:t>
      </w:r>
      <w:r w:rsidRPr="005310AE">
        <w:t xml:space="preserve">, whereas </w:t>
      </w:r>
      <w:r>
        <w:t>f</w:t>
      </w:r>
      <w:r w:rsidRPr="00525379">
        <w:t xml:space="preserve">lorists </w:t>
      </w:r>
      <w:r>
        <w:t>can display</w:t>
      </w:r>
      <w:r w:rsidRPr="00525379">
        <w:t xml:space="preserve"> cut flowers for up to 2 weeks.</w:t>
      </w:r>
    </w:p>
    <w:p w14:paraId="580E6DD7" w14:textId="77777777" w:rsidR="004726BA" w:rsidRPr="00525379" w:rsidRDefault="004726BA" w:rsidP="00800E7D">
      <w:pPr>
        <w:pStyle w:val="Heading3"/>
      </w:pPr>
      <w:bookmarkStart w:id="31" w:name="_Toc197938538"/>
      <w:bookmarkStart w:id="32" w:name="_Toc197953566"/>
      <w:bookmarkEnd w:id="29"/>
      <w:bookmarkEnd w:id="30"/>
      <w:r>
        <w:t>U</w:t>
      </w:r>
      <w:r w:rsidRPr="00525379">
        <w:t>se</w:t>
      </w:r>
      <w:r>
        <w:t xml:space="preserve"> of imported cut flowers</w:t>
      </w:r>
      <w:bookmarkEnd w:id="31"/>
      <w:bookmarkEnd w:id="32"/>
    </w:p>
    <w:p w14:paraId="3C98B210" w14:textId="5BF9CBD3" w:rsidR="004726BA" w:rsidRDefault="004726BA" w:rsidP="00800E7D">
      <w:r>
        <w:t>The</w:t>
      </w:r>
      <w:r w:rsidRPr="00525379">
        <w:t xml:space="preserve"> use of </w:t>
      </w:r>
      <w:r>
        <w:t xml:space="preserve">imported </w:t>
      </w:r>
      <w:r w:rsidRPr="00525379">
        <w:t xml:space="preserve">cut flowers </w:t>
      </w:r>
      <w:r>
        <w:t>for time-limited decorative purposes</w:t>
      </w:r>
      <w:r w:rsidRPr="00525379">
        <w:t xml:space="preserve"> can be </w:t>
      </w:r>
      <w:r w:rsidRPr="00466FC9">
        <w:t>separated</w:t>
      </w:r>
      <w:r w:rsidRPr="00525379">
        <w:t xml:space="preserve"> into </w:t>
      </w:r>
      <w:r>
        <w:t>3</w:t>
      </w:r>
      <w:r w:rsidRPr="00525379">
        <w:t xml:space="preserve"> categories</w:t>
      </w:r>
      <w:r>
        <w:t>:</w:t>
      </w:r>
      <w:r w:rsidRPr="00525379">
        <w:t xml:space="preserve"> gift, personal use and event. Cut flowers </w:t>
      </w:r>
      <w:r>
        <w:t>in</w:t>
      </w:r>
      <w:r w:rsidRPr="00525379">
        <w:t xml:space="preserve"> </w:t>
      </w:r>
      <w:r>
        <w:t xml:space="preserve">the </w:t>
      </w:r>
      <w:r w:rsidRPr="00525379">
        <w:t xml:space="preserve">gift </w:t>
      </w:r>
      <w:r>
        <w:t>and</w:t>
      </w:r>
      <w:r w:rsidRPr="00525379">
        <w:t xml:space="preserve"> personal use </w:t>
      </w:r>
      <w:r>
        <w:t xml:space="preserve">categories </w:t>
      </w:r>
      <w:r w:rsidRPr="00525379">
        <w:lastRenderedPageBreak/>
        <w:t xml:space="preserve">contribute to the majority of cut flower sales, with a peak in sales </w:t>
      </w:r>
      <w:r>
        <w:t xml:space="preserve">occurring </w:t>
      </w:r>
      <w:r w:rsidRPr="00525379">
        <w:t xml:space="preserve">during special </w:t>
      </w:r>
      <w:r>
        <w:t>occasions</w:t>
      </w:r>
      <w:r w:rsidRPr="00525379">
        <w:t xml:space="preserve"> such as Valentine’s </w:t>
      </w:r>
      <w:r>
        <w:t>D</w:t>
      </w:r>
      <w:r w:rsidRPr="00525379">
        <w:t xml:space="preserve">ay, </w:t>
      </w:r>
      <w:r>
        <w:t>M</w:t>
      </w:r>
      <w:r w:rsidRPr="00525379">
        <w:t xml:space="preserve">other’s </w:t>
      </w:r>
      <w:r>
        <w:t>D</w:t>
      </w:r>
      <w:r w:rsidRPr="00525379">
        <w:t>ay</w:t>
      </w:r>
      <w:r>
        <w:t>, Christmas</w:t>
      </w:r>
      <w:r w:rsidRPr="00525379">
        <w:t xml:space="preserve"> and other culturally significant </w:t>
      </w:r>
      <w:r>
        <w:t>occasions such as Chinese New Year</w:t>
      </w:r>
      <w:r w:rsidRPr="00525379">
        <w:t xml:space="preserve"> </w:t>
      </w:r>
      <w:r>
        <w:rPr>
          <w:noProof/>
        </w:rPr>
        <w:t>(Yue &amp; Hall 2010)</w:t>
      </w:r>
      <w:r w:rsidRPr="00525379">
        <w:t xml:space="preserve">. </w:t>
      </w:r>
      <w:r>
        <w:t>Most cut flowers in the gift and personal use categories are used indoors and only a</w:t>
      </w:r>
      <w:r w:rsidRPr="00525379">
        <w:t xml:space="preserve"> small proportion are used outdoors (&lt; 2.4%</w:t>
      </w:r>
      <w:r>
        <w:t xml:space="preserve">) </w:t>
      </w:r>
      <w:r>
        <w:rPr>
          <w:noProof/>
        </w:rPr>
        <w:t>(Yue &amp; Hall 2010)</w:t>
      </w:r>
      <w:r w:rsidRPr="00525379">
        <w:t xml:space="preserve"> such as </w:t>
      </w:r>
      <w:r>
        <w:t xml:space="preserve">at </w:t>
      </w:r>
      <w:r w:rsidRPr="00525379">
        <w:t xml:space="preserve">cemeteries, however this trend is decreasing due to the use of artificial or preserved flowers </w:t>
      </w:r>
      <w:r>
        <w:rPr>
          <w:noProof/>
        </w:rPr>
        <w:t>(Kostecka et al. 2024)</w:t>
      </w:r>
      <w:r w:rsidRPr="00525379">
        <w:t xml:space="preserve">. </w:t>
      </w:r>
      <w:r>
        <w:t xml:space="preserve">Cut flowers in the event category, such as </w:t>
      </w:r>
      <w:r w:rsidR="005375FC">
        <w:t xml:space="preserve">a </w:t>
      </w:r>
      <w:r>
        <w:t xml:space="preserve">wedding, may be used indoors or outdoors. </w:t>
      </w:r>
      <w:r w:rsidRPr="00525379">
        <w:t xml:space="preserve">Weddings in Australia remain </w:t>
      </w:r>
      <w:r>
        <w:t xml:space="preserve">predominantly </w:t>
      </w:r>
      <w:r w:rsidRPr="00525379">
        <w:t>indoor</w:t>
      </w:r>
      <w:r>
        <w:t>s</w:t>
      </w:r>
      <w:r w:rsidRPr="00525379">
        <w:t xml:space="preserve">, with only 18% </w:t>
      </w:r>
      <w:r>
        <w:t xml:space="preserve">held </w:t>
      </w:r>
      <w:r w:rsidRPr="00525379">
        <w:t>outdoor</w:t>
      </w:r>
      <w:r>
        <w:t>s</w:t>
      </w:r>
      <w:r w:rsidRPr="00525379">
        <w:t xml:space="preserve"> </w:t>
      </w:r>
      <w:r>
        <w:rPr>
          <w:noProof/>
        </w:rPr>
        <w:t>(Easy Weddings 2023)</w:t>
      </w:r>
      <w:r w:rsidRPr="00967DC7">
        <w:t>.</w:t>
      </w:r>
    </w:p>
    <w:p w14:paraId="48F3EB4D" w14:textId="77777777" w:rsidR="004726BA" w:rsidRDefault="004726BA">
      <w:pPr>
        <w:spacing w:after="160" w:line="259" w:lineRule="auto"/>
        <w:sectPr w:rsidR="004726BA" w:rsidSect="004726BA">
          <w:headerReference w:type="even" r:id="rId49"/>
          <w:headerReference w:type="default" r:id="rId50"/>
          <w:footerReference w:type="even" r:id="rId51"/>
          <w:footerReference w:type="default" r:id="rId52"/>
          <w:headerReference w:type="first" r:id="rId53"/>
          <w:footerReference w:type="first" r:id="rId54"/>
          <w:pgSz w:w="11906" w:h="16838"/>
          <w:pgMar w:top="1418" w:right="1418" w:bottom="1418" w:left="1418" w:header="567" w:footer="850" w:gutter="0"/>
          <w:cols w:space="708"/>
          <w:docGrid w:linePitch="360"/>
        </w:sectPr>
      </w:pPr>
    </w:p>
    <w:p w14:paraId="5096BA7E" w14:textId="77777777" w:rsidR="004726BA" w:rsidRDefault="004726BA" w:rsidP="00800E7D">
      <w:pPr>
        <w:pStyle w:val="Heading2"/>
      </w:pPr>
      <w:bookmarkStart w:id="33" w:name="_Toc197938539"/>
      <w:bookmarkStart w:id="34" w:name="_Toc197953567"/>
      <w:r>
        <w:lastRenderedPageBreak/>
        <w:t>Diversion from intended use of imported cut flowers to propagation</w:t>
      </w:r>
      <w:bookmarkEnd w:id="33"/>
      <w:bookmarkEnd w:id="34"/>
      <w:r>
        <w:t xml:space="preserve"> </w:t>
      </w:r>
    </w:p>
    <w:p w14:paraId="417D6597" w14:textId="77777777" w:rsidR="004726BA" w:rsidRDefault="004726BA" w:rsidP="00800E7D">
      <w:r w:rsidRPr="006A1097">
        <w:rPr>
          <w:rFonts w:eastAsia="Calibri" w:cs="Times New Roman"/>
        </w:rPr>
        <w:t xml:space="preserve">This chapter </w:t>
      </w:r>
      <w:r w:rsidRPr="006A1097">
        <w:t xml:space="preserve">examines and evaluates the activity of DFIU of </w:t>
      </w:r>
      <w:r>
        <w:t xml:space="preserve">imported </w:t>
      </w:r>
      <w:r w:rsidRPr="006A1097">
        <w:t xml:space="preserve">cut flowers to propagation, </w:t>
      </w:r>
      <w:r>
        <w:t>the</w:t>
      </w:r>
      <w:r w:rsidRPr="006A1097">
        <w:t xml:space="preserve"> factors </w:t>
      </w:r>
      <w:r>
        <w:t>affecting</w:t>
      </w:r>
      <w:r w:rsidRPr="006A1097">
        <w:t xml:space="preserve"> successful propagation, and </w:t>
      </w:r>
      <w:r>
        <w:t xml:space="preserve">the </w:t>
      </w:r>
      <w:r w:rsidRPr="006A1097">
        <w:t>associated biosecurity risk.</w:t>
      </w:r>
    </w:p>
    <w:p w14:paraId="02AF2854" w14:textId="77777777" w:rsidR="004726BA" w:rsidRPr="005D328F" w:rsidRDefault="004726BA" w:rsidP="00800E7D">
      <w:pPr>
        <w:pStyle w:val="Heading3"/>
      </w:pPr>
      <w:bookmarkStart w:id="35" w:name="_Toc197953568"/>
      <w:r w:rsidRPr="005D328F">
        <w:t>Motives and categories of DFIU</w:t>
      </w:r>
      <w:bookmarkEnd w:id="35"/>
      <w:r w:rsidRPr="005D328F">
        <w:t xml:space="preserve"> </w:t>
      </w:r>
    </w:p>
    <w:p w14:paraId="14AAC329" w14:textId="77777777" w:rsidR="004726BA" w:rsidRPr="00525379" w:rsidRDefault="004726BA" w:rsidP="00800E7D">
      <w:pPr>
        <w:rPr>
          <w:rFonts w:eastAsia="Calibri" w:cs="Times New Roman"/>
        </w:rPr>
      </w:pPr>
      <w:r>
        <w:rPr>
          <w:rFonts w:eastAsia="Calibri" w:cs="Times New Roman"/>
        </w:rPr>
        <w:t>DFIU</w:t>
      </w:r>
      <w:r w:rsidRPr="00525379">
        <w:rPr>
          <w:rFonts w:eastAsia="Calibri" w:cs="Times New Roman"/>
        </w:rPr>
        <w:t xml:space="preserve"> is </w:t>
      </w:r>
      <w:r>
        <w:rPr>
          <w:rFonts w:eastAsia="Calibri" w:cs="Times New Roman"/>
        </w:rPr>
        <w:t xml:space="preserve">likely to be </w:t>
      </w:r>
      <w:r w:rsidRPr="00525379">
        <w:rPr>
          <w:rFonts w:eastAsia="Calibri" w:cs="Times New Roman"/>
        </w:rPr>
        <w:t xml:space="preserve">driven by the potential benefit </w:t>
      </w:r>
      <w:r>
        <w:rPr>
          <w:rFonts w:eastAsia="Calibri" w:cs="Times New Roman"/>
        </w:rPr>
        <w:t>when compared to the cost, effort and potential consequences of the diversion. If</w:t>
      </w:r>
      <w:r w:rsidRPr="00525379">
        <w:rPr>
          <w:rFonts w:eastAsia="Calibri" w:cs="Times New Roman"/>
        </w:rPr>
        <w:t xml:space="preserve"> the benefit</w:t>
      </w:r>
      <w:r>
        <w:rPr>
          <w:rFonts w:eastAsia="Calibri" w:cs="Times New Roman"/>
        </w:rPr>
        <w:t xml:space="preserve"> is perceived to</w:t>
      </w:r>
      <w:r w:rsidRPr="00525379">
        <w:rPr>
          <w:rFonts w:eastAsia="Calibri" w:cs="Times New Roman"/>
        </w:rPr>
        <w:t xml:space="preserve"> </w:t>
      </w:r>
      <w:r>
        <w:rPr>
          <w:rFonts w:eastAsia="Calibri" w:cs="Times New Roman"/>
        </w:rPr>
        <w:t>outweigh</w:t>
      </w:r>
      <w:r w:rsidRPr="00525379">
        <w:rPr>
          <w:rFonts w:eastAsia="Calibri" w:cs="Times New Roman"/>
        </w:rPr>
        <w:t xml:space="preserve"> the effort</w:t>
      </w:r>
      <w:r>
        <w:rPr>
          <w:rFonts w:eastAsia="Calibri" w:cs="Times New Roman"/>
        </w:rPr>
        <w:t xml:space="preserve"> and consequences</w:t>
      </w:r>
      <w:r w:rsidRPr="00525379">
        <w:rPr>
          <w:rFonts w:eastAsia="Calibri" w:cs="Times New Roman"/>
        </w:rPr>
        <w:t xml:space="preserve">, </w:t>
      </w:r>
      <w:r>
        <w:rPr>
          <w:rFonts w:eastAsia="Calibri" w:cs="Times New Roman"/>
        </w:rPr>
        <w:t>DFIU</w:t>
      </w:r>
      <w:r w:rsidRPr="00525379">
        <w:rPr>
          <w:rFonts w:eastAsia="Calibri" w:cs="Times New Roman"/>
        </w:rPr>
        <w:t xml:space="preserve"> </w:t>
      </w:r>
      <w:r>
        <w:rPr>
          <w:rFonts w:eastAsia="Calibri" w:cs="Times New Roman"/>
        </w:rPr>
        <w:t>could</w:t>
      </w:r>
      <w:r w:rsidRPr="00525379">
        <w:rPr>
          <w:rFonts w:eastAsia="Calibri" w:cs="Times New Roman"/>
        </w:rPr>
        <w:t xml:space="preserve"> </w:t>
      </w:r>
      <w:r>
        <w:rPr>
          <w:rFonts w:eastAsia="Calibri" w:cs="Times New Roman"/>
        </w:rPr>
        <w:t xml:space="preserve">potentially </w:t>
      </w:r>
      <w:r w:rsidRPr="00525379">
        <w:rPr>
          <w:rFonts w:eastAsia="Calibri" w:cs="Times New Roman"/>
        </w:rPr>
        <w:t xml:space="preserve">occur. In contrast, if </w:t>
      </w:r>
      <w:r>
        <w:rPr>
          <w:rFonts w:eastAsia="Calibri" w:cs="Times New Roman"/>
        </w:rPr>
        <w:t xml:space="preserve">the cost, </w:t>
      </w:r>
      <w:r w:rsidRPr="00525379">
        <w:rPr>
          <w:rFonts w:eastAsia="Calibri" w:cs="Times New Roman"/>
        </w:rPr>
        <w:t>effort</w:t>
      </w:r>
      <w:r>
        <w:rPr>
          <w:rFonts w:eastAsia="Calibri" w:cs="Times New Roman"/>
        </w:rPr>
        <w:t xml:space="preserve"> and potential consequences</w:t>
      </w:r>
      <w:r w:rsidRPr="00525379">
        <w:rPr>
          <w:rFonts w:eastAsia="Calibri" w:cs="Times New Roman"/>
        </w:rPr>
        <w:t xml:space="preserve"> </w:t>
      </w:r>
      <w:r>
        <w:rPr>
          <w:rFonts w:eastAsia="Calibri" w:cs="Times New Roman"/>
        </w:rPr>
        <w:t xml:space="preserve">appear to </w:t>
      </w:r>
      <w:r w:rsidRPr="00525379">
        <w:rPr>
          <w:rFonts w:eastAsia="Calibri" w:cs="Times New Roman"/>
        </w:rPr>
        <w:t>outweigh the benefit</w:t>
      </w:r>
      <w:r>
        <w:rPr>
          <w:rFonts w:eastAsia="Calibri" w:cs="Times New Roman"/>
        </w:rPr>
        <w:t>,</w:t>
      </w:r>
      <w:r w:rsidRPr="00525379">
        <w:rPr>
          <w:rFonts w:eastAsia="Calibri" w:cs="Times New Roman"/>
        </w:rPr>
        <w:t xml:space="preserve"> </w:t>
      </w:r>
      <w:r>
        <w:rPr>
          <w:rFonts w:eastAsia="Calibri" w:cs="Times New Roman"/>
        </w:rPr>
        <w:t>DFIU</w:t>
      </w:r>
      <w:r w:rsidRPr="00525379">
        <w:rPr>
          <w:rFonts w:eastAsia="Calibri" w:cs="Times New Roman"/>
        </w:rPr>
        <w:t xml:space="preserve"> </w:t>
      </w:r>
      <w:r>
        <w:rPr>
          <w:rFonts w:eastAsia="Calibri" w:cs="Times New Roman"/>
        </w:rPr>
        <w:t>is unlikely to</w:t>
      </w:r>
      <w:r w:rsidRPr="00525379">
        <w:rPr>
          <w:rFonts w:eastAsia="Calibri" w:cs="Times New Roman"/>
        </w:rPr>
        <w:t xml:space="preserve"> occur </w:t>
      </w:r>
      <w:r>
        <w:rPr>
          <w:rFonts w:eastAsia="Calibri" w:cs="Times New Roman"/>
        </w:rPr>
        <w:t>and</w:t>
      </w:r>
      <w:r w:rsidRPr="00525379">
        <w:rPr>
          <w:rFonts w:eastAsia="Calibri" w:cs="Times New Roman"/>
        </w:rPr>
        <w:t xml:space="preserve"> other avenues for the </w:t>
      </w:r>
      <w:r>
        <w:rPr>
          <w:rFonts w:eastAsia="Calibri" w:cs="Times New Roman"/>
        </w:rPr>
        <w:t>desired</w:t>
      </w:r>
      <w:r w:rsidRPr="00525379">
        <w:rPr>
          <w:rFonts w:eastAsia="Calibri" w:cs="Times New Roman"/>
        </w:rPr>
        <w:t xml:space="preserve"> outcome are </w:t>
      </w:r>
      <w:r>
        <w:rPr>
          <w:rFonts w:eastAsia="Calibri" w:cs="Times New Roman"/>
        </w:rPr>
        <w:t xml:space="preserve">likely to be </w:t>
      </w:r>
      <w:r w:rsidRPr="00525379">
        <w:rPr>
          <w:rFonts w:eastAsia="Calibri" w:cs="Times New Roman"/>
        </w:rPr>
        <w:t>used.</w:t>
      </w:r>
    </w:p>
    <w:p w14:paraId="760DA88D" w14:textId="77777777" w:rsidR="004726BA" w:rsidRDefault="004726BA" w:rsidP="00800E7D">
      <w:pPr>
        <w:rPr>
          <w:rFonts w:eastAsia="Calibri" w:cs="Times New Roman"/>
        </w:rPr>
      </w:pPr>
      <w:r>
        <w:rPr>
          <w:rFonts w:eastAsia="Calibri" w:cs="Times New Roman"/>
        </w:rPr>
        <w:t>For the purpose of this review, DFIU</w:t>
      </w:r>
      <w:r w:rsidRPr="00525379">
        <w:rPr>
          <w:rFonts w:eastAsia="Calibri" w:cs="Times New Roman"/>
        </w:rPr>
        <w:t xml:space="preserve"> of </w:t>
      </w:r>
      <w:r>
        <w:rPr>
          <w:rFonts w:eastAsia="Calibri" w:cs="Times New Roman"/>
        </w:rPr>
        <w:t xml:space="preserve">imported </w:t>
      </w:r>
      <w:r w:rsidRPr="00525379">
        <w:rPr>
          <w:rFonts w:eastAsia="Calibri" w:cs="Times New Roman"/>
        </w:rPr>
        <w:t xml:space="preserve">cut flowers </w:t>
      </w:r>
      <w:r>
        <w:rPr>
          <w:rFonts w:eastAsia="Calibri" w:cs="Times New Roman"/>
        </w:rPr>
        <w:t>to</w:t>
      </w:r>
      <w:r w:rsidRPr="00525379">
        <w:rPr>
          <w:rFonts w:eastAsia="Calibri" w:cs="Times New Roman"/>
        </w:rPr>
        <w:t xml:space="preserve"> propagation can be divided into 2 categories</w:t>
      </w:r>
      <w:r>
        <w:rPr>
          <w:rFonts w:eastAsia="Calibri" w:cs="Times New Roman"/>
        </w:rPr>
        <w:t>:</w:t>
      </w:r>
      <w:r w:rsidRPr="00525379">
        <w:rPr>
          <w:rFonts w:eastAsia="Calibri" w:cs="Times New Roman"/>
        </w:rPr>
        <w:t xml:space="preserve"> commercial and personal. Commercial </w:t>
      </w:r>
      <w:r>
        <w:rPr>
          <w:rFonts w:eastAsia="Calibri" w:cs="Times New Roman"/>
        </w:rPr>
        <w:t>DFIU</w:t>
      </w:r>
      <w:r w:rsidRPr="00525379">
        <w:rPr>
          <w:rFonts w:eastAsia="Calibri" w:cs="Times New Roman"/>
        </w:rPr>
        <w:t xml:space="preserve"> of cut flower</w:t>
      </w:r>
      <w:r>
        <w:rPr>
          <w:rFonts w:eastAsia="Calibri" w:cs="Times New Roman"/>
        </w:rPr>
        <w:t xml:space="preserve">s to propagation is likely to be driven by </w:t>
      </w:r>
      <w:r w:rsidRPr="005117CC">
        <w:rPr>
          <w:rFonts w:eastAsia="Calibri" w:cs="Times New Roman"/>
        </w:rPr>
        <w:t xml:space="preserve">economic </w:t>
      </w:r>
      <w:r>
        <w:rPr>
          <w:rFonts w:eastAsia="Calibri" w:cs="Times New Roman"/>
        </w:rPr>
        <w:t xml:space="preserve">advantage to gain access to </w:t>
      </w:r>
      <w:r w:rsidRPr="005117CC">
        <w:rPr>
          <w:rFonts w:eastAsia="Calibri" w:cs="Times New Roman"/>
        </w:rPr>
        <w:t>cut flower varieties not available in Australia</w:t>
      </w:r>
      <w:r>
        <w:rPr>
          <w:rFonts w:eastAsia="Calibri" w:cs="Times New Roman"/>
        </w:rPr>
        <w:t>, or to bypass Plant Breeders’ Rights (PBR, see Section 3.2.1). Personal DFIU of cut flowers to propagation</w:t>
      </w:r>
      <w:r w:rsidRPr="00525379">
        <w:rPr>
          <w:rFonts w:eastAsia="Calibri" w:cs="Times New Roman"/>
        </w:rPr>
        <w:t xml:space="preserve"> </w:t>
      </w:r>
      <w:r>
        <w:rPr>
          <w:rFonts w:eastAsia="Calibri" w:cs="Times New Roman"/>
        </w:rPr>
        <w:t xml:space="preserve">is likely to be motivated by various factors </w:t>
      </w:r>
      <w:r w:rsidRPr="00525379">
        <w:rPr>
          <w:rFonts w:eastAsia="Calibri" w:cs="Times New Roman"/>
        </w:rPr>
        <w:t>including cultural</w:t>
      </w:r>
      <w:r>
        <w:rPr>
          <w:rFonts w:eastAsia="Calibri" w:cs="Times New Roman"/>
        </w:rPr>
        <w:t xml:space="preserve"> or</w:t>
      </w:r>
      <w:r w:rsidRPr="00525379">
        <w:rPr>
          <w:rFonts w:eastAsia="Calibri" w:cs="Times New Roman"/>
        </w:rPr>
        <w:t xml:space="preserve"> sentimental</w:t>
      </w:r>
      <w:r>
        <w:rPr>
          <w:rFonts w:eastAsia="Calibri" w:cs="Times New Roman"/>
        </w:rPr>
        <w:t xml:space="preserve"> reasons</w:t>
      </w:r>
      <w:r w:rsidRPr="00525379">
        <w:rPr>
          <w:rFonts w:eastAsia="Calibri" w:cs="Times New Roman"/>
        </w:rPr>
        <w:t>, availability</w:t>
      </w:r>
      <w:r>
        <w:rPr>
          <w:rFonts w:eastAsia="Calibri" w:cs="Times New Roman"/>
        </w:rPr>
        <w:t xml:space="preserve"> of cut flower types</w:t>
      </w:r>
      <w:r w:rsidRPr="00525379">
        <w:rPr>
          <w:rFonts w:eastAsia="Calibri" w:cs="Times New Roman"/>
        </w:rPr>
        <w:t xml:space="preserve"> and</w:t>
      </w:r>
      <w:r>
        <w:rPr>
          <w:rFonts w:eastAsia="Calibri" w:cs="Times New Roman"/>
        </w:rPr>
        <w:t>/</w:t>
      </w:r>
      <w:r w:rsidRPr="00525379">
        <w:rPr>
          <w:rFonts w:eastAsia="Calibri" w:cs="Times New Roman"/>
        </w:rPr>
        <w:t>or curiosity.</w:t>
      </w:r>
    </w:p>
    <w:p w14:paraId="050823F6" w14:textId="77777777" w:rsidR="004726BA" w:rsidRPr="00D328A2" w:rsidRDefault="004726BA" w:rsidP="00800E7D">
      <w:pPr>
        <w:pStyle w:val="Heading3"/>
      </w:pPr>
      <w:bookmarkStart w:id="36" w:name="_Toc197953569"/>
      <w:r w:rsidRPr="005D328F">
        <w:t xml:space="preserve">Examination and evaluation of DFIU of </w:t>
      </w:r>
      <w:r>
        <w:t xml:space="preserve">imported </w:t>
      </w:r>
      <w:r w:rsidRPr="005D328F">
        <w:t>cut flowers to propagation</w:t>
      </w:r>
      <w:bookmarkEnd w:id="36"/>
    </w:p>
    <w:p w14:paraId="245835DD" w14:textId="77777777" w:rsidR="004726BA" w:rsidRDefault="004726BA" w:rsidP="00800E7D">
      <w:pPr>
        <w:rPr>
          <w:rFonts w:eastAsia="Calibri" w:cs="Times New Roman"/>
        </w:rPr>
      </w:pPr>
      <w:bookmarkStart w:id="37" w:name="_Hlk87458256"/>
      <w:r>
        <w:rPr>
          <w:rFonts w:eastAsia="Calibri" w:cs="Times New Roman"/>
        </w:rPr>
        <w:t>A review of p</w:t>
      </w:r>
      <w:r w:rsidRPr="00525379">
        <w:rPr>
          <w:rFonts w:eastAsia="Calibri" w:cs="Times New Roman"/>
        </w:rPr>
        <w:t>ublished literature</w:t>
      </w:r>
      <w:r>
        <w:rPr>
          <w:rFonts w:eastAsia="Calibri" w:cs="Times New Roman"/>
        </w:rPr>
        <w:t xml:space="preserve"> found</w:t>
      </w:r>
      <w:r w:rsidRPr="00525379">
        <w:rPr>
          <w:rFonts w:eastAsia="Calibri" w:cs="Times New Roman"/>
        </w:rPr>
        <w:t xml:space="preserve"> </w:t>
      </w:r>
      <w:r>
        <w:rPr>
          <w:rFonts w:eastAsia="Calibri" w:cs="Times New Roman"/>
        </w:rPr>
        <w:t>n</w:t>
      </w:r>
      <w:r w:rsidRPr="00525379">
        <w:rPr>
          <w:rFonts w:eastAsia="Calibri" w:cs="Times New Roman"/>
        </w:rPr>
        <w:t xml:space="preserve">o </w:t>
      </w:r>
      <w:r>
        <w:rPr>
          <w:rFonts w:eastAsia="Calibri" w:cs="Times New Roman"/>
        </w:rPr>
        <w:t xml:space="preserve">primary </w:t>
      </w:r>
      <w:r w:rsidRPr="00525379">
        <w:rPr>
          <w:rFonts w:eastAsia="Calibri" w:cs="Times New Roman"/>
        </w:rPr>
        <w:t xml:space="preserve">reference </w:t>
      </w:r>
      <w:r>
        <w:rPr>
          <w:rFonts w:eastAsia="Calibri" w:cs="Times New Roman"/>
        </w:rPr>
        <w:t>relating to DFIU of imported cut flowers to propagation</w:t>
      </w:r>
      <w:r w:rsidRPr="00525379">
        <w:rPr>
          <w:rFonts w:eastAsia="Calibri" w:cs="Times New Roman"/>
        </w:rPr>
        <w:t>.</w:t>
      </w:r>
    </w:p>
    <w:p w14:paraId="67171A2D" w14:textId="77777777" w:rsidR="004726BA" w:rsidRDefault="004726BA" w:rsidP="00800E7D">
      <w:pPr>
        <w:rPr>
          <w:rFonts w:eastAsia="Calibri" w:cs="Times New Roman"/>
        </w:rPr>
      </w:pPr>
      <w:r>
        <w:rPr>
          <w:rFonts w:eastAsia="Calibri" w:cs="Times New Roman"/>
        </w:rPr>
        <w:t>Alternative sources of information that could provide insight on DFIU of imported cut flowers to propagation were examined. These are outlined in Section 3.2.1 for commercial DFIU and Section 3.2.2 for personal DFIU.</w:t>
      </w:r>
    </w:p>
    <w:p w14:paraId="7C5427B4" w14:textId="77777777" w:rsidR="004726BA" w:rsidRPr="00EF1A4D" w:rsidRDefault="004726BA" w:rsidP="00800E7D">
      <w:pPr>
        <w:pStyle w:val="Heading4"/>
      </w:pPr>
      <w:r w:rsidRPr="00EF1A4D">
        <w:t>Commercial DFIU</w:t>
      </w:r>
    </w:p>
    <w:p w14:paraId="43843228" w14:textId="77777777" w:rsidR="004726BA" w:rsidRDefault="004726BA" w:rsidP="00800E7D">
      <w:pPr>
        <w:rPr>
          <w:rFonts w:eastAsia="Calibri" w:cs="Times New Roman"/>
        </w:rPr>
      </w:pPr>
      <w:r>
        <w:rPr>
          <w:rFonts w:eastAsia="Calibri" w:cs="Times New Roman"/>
        </w:rPr>
        <w:t>Information examined included i</w:t>
      </w:r>
      <w:r w:rsidRPr="00525379">
        <w:rPr>
          <w:rFonts w:eastAsia="Calibri" w:cs="Times New Roman"/>
        </w:rPr>
        <w:t>nfringement of</w:t>
      </w:r>
      <w:r>
        <w:rPr>
          <w:rFonts w:eastAsia="Calibri" w:cs="Times New Roman"/>
        </w:rPr>
        <w:t xml:space="preserve"> plant variety rights (PVR) </w:t>
      </w:r>
      <w:r w:rsidRPr="00044461">
        <w:rPr>
          <w:rFonts w:eastAsia="Calibri" w:cs="Times New Roman"/>
        </w:rPr>
        <w:t xml:space="preserve">occurring in the European Union (EU) and </w:t>
      </w:r>
      <w:r w:rsidRPr="00D328A2">
        <w:rPr>
          <w:rFonts w:eastAsia="Calibri" w:cs="Times New Roman"/>
        </w:rPr>
        <w:t xml:space="preserve">biosecurity compliance on the </w:t>
      </w:r>
      <w:r>
        <w:rPr>
          <w:rFonts w:eastAsia="Calibri" w:cs="Times New Roman"/>
        </w:rPr>
        <w:t xml:space="preserve">imported </w:t>
      </w:r>
      <w:r w:rsidRPr="00D328A2">
        <w:rPr>
          <w:rFonts w:eastAsia="Calibri" w:cs="Times New Roman"/>
        </w:rPr>
        <w:t>cut flower</w:t>
      </w:r>
      <w:r>
        <w:rPr>
          <w:rFonts w:eastAsia="Calibri" w:cs="Times New Roman"/>
        </w:rPr>
        <w:t>s</w:t>
      </w:r>
      <w:r w:rsidRPr="00D328A2">
        <w:rPr>
          <w:rFonts w:eastAsia="Calibri" w:cs="Times New Roman"/>
        </w:rPr>
        <w:t xml:space="preserve"> in Australia</w:t>
      </w:r>
      <w:r>
        <w:rPr>
          <w:rFonts w:eastAsia="Calibri" w:cs="Times New Roman"/>
        </w:rPr>
        <w:t>.</w:t>
      </w:r>
    </w:p>
    <w:p w14:paraId="4184F57C" w14:textId="77777777" w:rsidR="004726BA" w:rsidRPr="00B65F12" w:rsidRDefault="004726BA" w:rsidP="00800E7D">
      <w:pPr>
        <w:rPr>
          <w:rFonts w:eastAsia="Calibri" w:cs="Times New Roman"/>
          <w:b/>
          <w:bCs/>
        </w:rPr>
      </w:pPr>
      <w:r w:rsidRPr="00B65F12">
        <w:rPr>
          <w:rFonts w:eastAsia="Calibri" w:cs="Times New Roman"/>
          <w:b/>
          <w:bCs/>
        </w:rPr>
        <w:t>Infringement of PVR in the EU</w:t>
      </w:r>
    </w:p>
    <w:p w14:paraId="24CA5E6E" w14:textId="77777777" w:rsidR="004726BA" w:rsidRDefault="004726BA" w:rsidP="00800E7D">
      <w:pPr>
        <w:rPr>
          <w:rFonts w:eastAsia="Calibri" w:cs="Times New Roman"/>
        </w:rPr>
      </w:pPr>
      <w:r>
        <w:rPr>
          <w:rFonts w:eastAsia="Calibri" w:cs="Times New Roman"/>
        </w:rPr>
        <w:t>Plant variety rights (</w:t>
      </w:r>
      <w:r w:rsidRPr="00485B2F">
        <w:rPr>
          <w:rFonts w:eastAsia="Calibri" w:cs="Times New Roman"/>
        </w:rPr>
        <w:t>PVR</w:t>
      </w:r>
      <w:r>
        <w:rPr>
          <w:rFonts w:eastAsia="Calibri" w:cs="Times New Roman"/>
        </w:rPr>
        <w:t>)</w:t>
      </w:r>
      <w:r w:rsidRPr="00485B2F">
        <w:rPr>
          <w:rFonts w:eastAsia="Calibri" w:cs="Times New Roman"/>
        </w:rPr>
        <w:t xml:space="preserve"> infringements in the EU </w:t>
      </w:r>
      <w:r>
        <w:rPr>
          <w:rFonts w:eastAsia="Calibri" w:cs="Times New Roman"/>
        </w:rPr>
        <w:t xml:space="preserve">were examined to determine </w:t>
      </w:r>
      <w:r w:rsidRPr="00485B2F">
        <w:rPr>
          <w:rFonts w:eastAsia="Calibri" w:cs="Times New Roman"/>
        </w:rPr>
        <w:t>if DFIU of cut flower to propagation</w:t>
      </w:r>
      <w:r>
        <w:rPr>
          <w:rFonts w:eastAsia="Calibri" w:cs="Times New Roman"/>
        </w:rPr>
        <w:t xml:space="preserve"> is used</w:t>
      </w:r>
      <w:r w:rsidRPr="00485B2F">
        <w:rPr>
          <w:rFonts w:eastAsia="Calibri" w:cs="Times New Roman"/>
        </w:rPr>
        <w:t xml:space="preserve"> as a means to circumvent PVR. This </w:t>
      </w:r>
      <w:r>
        <w:rPr>
          <w:rFonts w:eastAsia="Calibri" w:cs="Times New Roman"/>
        </w:rPr>
        <w:t xml:space="preserve">information </w:t>
      </w:r>
      <w:r w:rsidRPr="00485B2F">
        <w:rPr>
          <w:rFonts w:eastAsia="Calibri" w:cs="Times New Roman"/>
        </w:rPr>
        <w:t xml:space="preserve">could provide insight </w:t>
      </w:r>
      <w:r>
        <w:rPr>
          <w:rFonts w:eastAsia="Calibri" w:cs="Times New Roman"/>
        </w:rPr>
        <w:t xml:space="preserve">on the potential for </w:t>
      </w:r>
      <w:r w:rsidRPr="00485B2F">
        <w:rPr>
          <w:rFonts w:eastAsia="Calibri" w:cs="Times New Roman"/>
        </w:rPr>
        <w:t xml:space="preserve">DFIU of cut flowers to propagation </w:t>
      </w:r>
      <w:r>
        <w:rPr>
          <w:rFonts w:eastAsia="Calibri" w:cs="Times New Roman"/>
        </w:rPr>
        <w:t xml:space="preserve">to be used </w:t>
      </w:r>
      <w:r w:rsidRPr="00485B2F">
        <w:rPr>
          <w:rFonts w:eastAsia="Calibri" w:cs="Times New Roman"/>
        </w:rPr>
        <w:t xml:space="preserve">as a means to circumvent PBR in Australia </w:t>
      </w:r>
      <w:r>
        <w:rPr>
          <w:rFonts w:eastAsia="Calibri" w:cs="Times New Roman"/>
        </w:rPr>
        <w:t>should Australia remove</w:t>
      </w:r>
      <w:r w:rsidRPr="00485B2F">
        <w:rPr>
          <w:rFonts w:eastAsia="Calibri" w:cs="Times New Roman"/>
        </w:rPr>
        <w:t xml:space="preserve"> devitalisation </w:t>
      </w:r>
      <w:r>
        <w:rPr>
          <w:rFonts w:eastAsia="Calibri" w:cs="Times New Roman"/>
        </w:rPr>
        <w:t>requirements for imported cut flowers</w:t>
      </w:r>
      <w:r w:rsidRPr="00485B2F">
        <w:rPr>
          <w:rFonts w:eastAsia="Calibri" w:cs="Times New Roman"/>
        </w:rPr>
        <w:t>.</w:t>
      </w:r>
    </w:p>
    <w:p w14:paraId="02956746" w14:textId="77777777" w:rsidR="004726BA" w:rsidRDefault="004726BA" w:rsidP="00800E7D">
      <w:pPr>
        <w:rPr>
          <w:rFonts w:eastAsia="Calibri" w:cs="Times New Roman"/>
        </w:rPr>
      </w:pPr>
      <w:r>
        <w:rPr>
          <w:rFonts w:eastAsia="Calibri" w:cs="Times New Roman"/>
        </w:rPr>
        <w:t>Like PBR</w:t>
      </w:r>
      <w:r w:rsidRPr="00525379">
        <w:rPr>
          <w:rFonts w:eastAsia="Calibri" w:cs="Times New Roman"/>
        </w:rPr>
        <w:t xml:space="preserve"> in Australia</w:t>
      </w:r>
      <w:r>
        <w:rPr>
          <w:rFonts w:eastAsia="Calibri" w:cs="Times New Roman"/>
        </w:rPr>
        <w:t xml:space="preserve">, PVR in the EU </w:t>
      </w:r>
      <w:r w:rsidRPr="00525379">
        <w:rPr>
          <w:rFonts w:eastAsia="Calibri" w:cs="Times New Roman"/>
        </w:rPr>
        <w:t xml:space="preserve">gives </w:t>
      </w:r>
      <w:r>
        <w:rPr>
          <w:rFonts w:eastAsia="Calibri" w:cs="Times New Roman"/>
        </w:rPr>
        <w:t>growers</w:t>
      </w:r>
      <w:r w:rsidRPr="00525379">
        <w:rPr>
          <w:rFonts w:eastAsia="Calibri" w:cs="Times New Roman"/>
        </w:rPr>
        <w:t xml:space="preserve"> exclusive commercial rights over a new plant variety providing protection against unauthorised production or sale of plant varieties covered under </w:t>
      </w:r>
      <w:r>
        <w:rPr>
          <w:rFonts w:eastAsia="Calibri" w:cs="Times New Roman"/>
        </w:rPr>
        <w:t xml:space="preserve">the </w:t>
      </w:r>
      <w:r w:rsidRPr="00525379">
        <w:rPr>
          <w:rFonts w:eastAsia="Calibri" w:cs="Times New Roman"/>
        </w:rPr>
        <w:t>P</w:t>
      </w:r>
      <w:r>
        <w:rPr>
          <w:rFonts w:eastAsia="Calibri" w:cs="Times New Roman"/>
        </w:rPr>
        <w:t>V</w:t>
      </w:r>
      <w:r w:rsidRPr="00525379">
        <w:rPr>
          <w:rFonts w:eastAsia="Calibri" w:cs="Times New Roman"/>
        </w:rPr>
        <w:t xml:space="preserve">R </w:t>
      </w:r>
      <w:r>
        <w:rPr>
          <w:rFonts w:eastAsia="Calibri" w:cs="Times New Roman"/>
          <w:noProof/>
        </w:rPr>
        <w:t>(CPVO 2025; IP Australia 2025)</w:t>
      </w:r>
      <w:r w:rsidRPr="00BA50E0">
        <w:rPr>
          <w:rFonts w:eastAsia="Calibri" w:cs="Times New Roman"/>
        </w:rPr>
        <w:t>.</w:t>
      </w:r>
      <w:r>
        <w:rPr>
          <w:rFonts w:eastAsia="Calibri" w:cs="Times New Roman"/>
        </w:rPr>
        <w:t xml:space="preserve"> T</w:t>
      </w:r>
      <w:r w:rsidRPr="000C7DC4">
        <w:rPr>
          <w:rFonts w:eastAsia="Calibri" w:cs="Times New Roman"/>
        </w:rPr>
        <w:t xml:space="preserve">he EU is the </w:t>
      </w:r>
      <w:r>
        <w:rPr>
          <w:rFonts w:eastAsia="Calibri" w:cs="Times New Roman"/>
        </w:rPr>
        <w:t xml:space="preserve">world’s </w:t>
      </w:r>
      <w:r w:rsidRPr="000C7DC4">
        <w:rPr>
          <w:rFonts w:eastAsia="Calibri" w:cs="Times New Roman"/>
        </w:rPr>
        <w:t>largest market for both cut flower</w:t>
      </w:r>
      <w:r>
        <w:rPr>
          <w:rFonts w:eastAsia="Calibri" w:cs="Times New Roman"/>
        </w:rPr>
        <w:t>s</w:t>
      </w:r>
      <w:r w:rsidRPr="000C7DC4">
        <w:rPr>
          <w:rFonts w:eastAsia="Calibri" w:cs="Times New Roman"/>
        </w:rPr>
        <w:t xml:space="preserve"> and ornamental plants and does not require devitalisation treatment for </w:t>
      </w:r>
      <w:r>
        <w:rPr>
          <w:rFonts w:eastAsia="Calibri" w:cs="Times New Roman"/>
        </w:rPr>
        <w:t xml:space="preserve">cut flowers </w:t>
      </w:r>
      <w:r w:rsidRPr="000C7DC4">
        <w:rPr>
          <w:rFonts w:eastAsia="Calibri" w:cs="Times New Roman"/>
        </w:rPr>
        <w:t xml:space="preserve">imported </w:t>
      </w:r>
      <w:r>
        <w:rPr>
          <w:rFonts w:eastAsia="Calibri" w:cs="Times New Roman"/>
        </w:rPr>
        <w:t>into the EU</w:t>
      </w:r>
      <w:r w:rsidRPr="000C7DC4">
        <w:rPr>
          <w:rFonts w:eastAsia="Calibri" w:cs="Times New Roman"/>
        </w:rPr>
        <w:t xml:space="preserve"> </w:t>
      </w:r>
      <w:r>
        <w:rPr>
          <w:rFonts w:eastAsia="Calibri" w:cs="Times New Roman"/>
          <w:noProof/>
        </w:rPr>
        <w:t>(Darras 2021)</w:t>
      </w:r>
      <w:r w:rsidRPr="000C7DC4">
        <w:rPr>
          <w:rFonts w:eastAsia="Calibri" w:cs="Times New Roman"/>
        </w:rPr>
        <w:t>.</w:t>
      </w:r>
    </w:p>
    <w:p w14:paraId="38A79C95" w14:textId="77777777" w:rsidR="004726BA" w:rsidRDefault="004726BA" w:rsidP="00800E7D">
      <w:pPr>
        <w:rPr>
          <w:rFonts w:eastAsia="Calibri" w:cs="Times New Roman"/>
        </w:rPr>
      </w:pPr>
      <w:r>
        <w:rPr>
          <w:rFonts w:eastAsia="Calibri" w:cs="Times New Roman"/>
        </w:rPr>
        <w:lastRenderedPageBreak/>
        <w:t>Examination</w:t>
      </w:r>
      <w:r w:rsidRPr="00525379">
        <w:rPr>
          <w:rFonts w:eastAsia="Calibri" w:cs="Times New Roman"/>
        </w:rPr>
        <w:t xml:space="preserve"> of case law </w:t>
      </w:r>
      <w:r>
        <w:rPr>
          <w:rFonts w:eastAsia="Calibri" w:cs="Times New Roman"/>
        </w:rPr>
        <w:t>within the C</w:t>
      </w:r>
      <w:r w:rsidRPr="00525379">
        <w:rPr>
          <w:rFonts w:eastAsia="Calibri" w:cs="Times New Roman"/>
        </w:rPr>
        <w:t xml:space="preserve">ommunity </w:t>
      </w:r>
      <w:r>
        <w:rPr>
          <w:rFonts w:eastAsia="Calibri" w:cs="Times New Roman"/>
        </w:rPr>
        <w:t>P</w:t>
      </w:r>
      <w:r w:rsidRPr="00525379">
        <w:rPr>
          <w:rFonts w:eastAsia="Calibri" w:cs="Times New Roman"/>
        </w:rPr>
        <w:t xml:space="preserve">lant </w:t>
      </w:r>
      <w:r>
        <w:rPr>
          <w:rFonts w:eastAsia="Calibri" w:cs="Times New Roman"/>
        </w:rPr>
        <w:t>V</w:t>
      </w:r>
      <w:r w:rsidRPr="00525379">
        <w:rPr>
          <w:rFonts w:eastAsia="Calibri" w:cs="Times New Roman"/>
        </w:rPr>
        <w:t xml:space="preserve">ariety </w:t>
      </w:r>
      <w:r>
        <w:rPr>
          <w:rFonts w:eastAsia="Calibri" w:cs="Times New Roman"/>
        </w:rPr>
        <w:t>O</w:t>
      </w:r>
      <w:r w:rsidRPr="00525379">
        <w:rPr>
          <w:rFonts w:eastAsia="Calibri" w:cs="Times New Roman"/>
        </w:rPr>
        <w:t xml:space="preserve">ffice </w:t>
      </w:r>
      <w:r>
        <w:rPr>
          <w:rFonts w:eastAsia="Calibri" w:cs="Times New Roman"/>
        </w:rPr>
        <w:t>(CPVO)</w:t>
      </w:r>
      <w:r w:rsidRPr="00525379">
        <w:rPr>
          <w:rFonts w:eastAsia="Calibri" w:cs="Times New Roman"/>
        </w:rPr>
        <w:t xml:space="preserve"> database </w:t>
      </w:r>
      <w:r>
        <w:rPr>
          <w:rFonts w:eastAsia="Calibri" w:cs="Times New Roman"/>
        </w:rPr>
        <w:t>found</w:t>
      </w:r>
      <w:r w:rsidRPr="007638A9">
        <w:rPr>
          <w:rFonts w:eastAsia="Calibri" w:cs="Times New Roman"/>
        </w:rPr>
        <w:t xml:space="preserve"> </w:t>
      </w:r>
      <w:r w:rsidRPr="00525379">
        <w:rPr>
          <w:rFonts w:eastAsia="Calibri" w:cs="Times New Roman"/>
        </w:rPr>
        <w:t xml:space="preserve">over 500 </w:t>
      </w:r>
      <w:r>
        <w:rPr>
          <w:rFonts w:eastAsia="Calibri" w:cs="Times New Roman"/>
        </w:rPr>
        <w:t xml:space="preserve">PVR infringement cases </w:t>
      </w:r>
      <w:r w:rsidRPr="00525379">
        <w:rPr>
          <w:rFonts w:eastAsia="Calibri" w:cs="Times New Roman"/>
        </w:rPr>
        <w:t>from 1957 to 2023</w:t>
      </w:r>
      <w:r>
        <w:rPr>
          <w:rFonts w:eastAsia="Calibri" w:cs="Times New Roman"/>
        </w:rPr>
        <w:t xml:space="preserve">. None of these cases related to </w:t>
      </w:r>
      <w:r w:rsidRPr="007638A9">
        <w:rPr>
          <w:rFonts w:eastAsia="Calibri" w:cs="Times New Roman"/>
        </w:rPr>
        <w:t xml:space="preserve">DFIU of cut flowers to propagation, despite over 50% </w:t>
      </w:r>
      <w:r>
        <w:rPr>
          <w:rFonts w:eastAsia="Calibri" w:cs="Times New Roman"/>
        </w:rPr>
        <w:t xml:space="preserve">of the </w:t>
      </w:r>
      <w:r w:rsidRPr="007638A9">
        <w:rPr>
          <w:rFonts w:eastAsia="Calibri" w:cs="Times New Roman"/>
        </w:rPr>
        <w:t>case decisions (from 1995 onwards)</w:t>
      </w:r>
      <w:r>
        <w:rPr>
          <w:rFonts w:eastAsia="Calibri" w:cs="Times New Roman"/>
        </w:rPr>
        <w:t xml:space="preserve"> being related to ornamental plant species </w:t>
      </w:r>
      <w:r w:rsidRPr="007638A9">
        <w:rPr>
          <w:rFonts w:eastAsia="Calibri" w:cs="Times New Roman"/>
        </w:rPr>
        <w:t xml:space="preserve">(available at </w:t>
      </w:r>
      <w:hyperlink r:id="rId55" w:history="1">
        <w:r w:rsidRPr="007638A9">
          <w:rPr>
            <w:rStyle w:val="Hyperlink"/>
            <w:rFonts w:eastAsia="Calibri" w:cs="Times New Roman"/>
          </w:rPr>
          <w:t>online.plantvarieties.eu/</w:t>
        </w:r>
        <w:proofErr w:type="spellStart"/>
        <w:r w:rsidRPr="007638A9">
          <w:rPr>
            <w:rStyle w:val="Hyperlink"/>
            <w:rFonts w:eastAsia="Calibri" w:cs="Times New Roman"/>
          </w:rPr>
          <w:t>pvrcaselaw</w:t>
        </w:r>
        <w:proofErr w:type="spellEnd"/>
      </w:hyperlink>
      <w:r w:rsidRPr="007638A9">
        <w:rPr>
          <w:rFonts w:eastAsia="Calibri" w:cs="Times New Roman"/>
        </w:rPr>
        <w:t>)</w:t>
      </w:r>
      <w:r>
        <w:rPr>
          <w:rFonts w:eastAsia="Calibri" w:cs="Times New Roman"/>
        </w:rPr>
        <w:t xml:space="preserve"> such as:</w:t>
      </w:r>
    </w:p>
    <w:p w14:paraId="112EC3CB" w14:textId="77777777" w:rsidR="004726BA" w:rsidRDefault="004726BA" w:rsidP="001C1920">
      <w:pPr>
        <w:pStyle w:val="ListBullet"/>
        <w:spacing w:before="0" w:after="200" w:line="276" w:lineRule="auto"/>
      </w:pPr>
      <w:r w:rsidRPr="000C7DC4">
        <w:t>illegal procurement</w:t>
      </w:r>
      <w:r>
        <w:t xml:space="preserve">, </w:t>
      </w:r>
      <w:r w:rsidRPr="000C7DC4">
        <w:t xml:space="preserve">growing </w:t>
      </w:r>
      <w:r>
        <w:t xml:space="preserve">and sale </w:t>
      </w:r>
      <w:r w:rsidRPr="000C7DC4">
        <w:t>of ch</w:t>
      </w:r>
      <w:r>
        <w:t xml:space="preserve">rysanthemums </w:t>
      </w:r>
      <w:r w:rsidRPr="000C7DC4">
        <w:t>(Case 22/2012, Sixth Penal Division of Sevilla, Spain; GESLIVE vs X)</w:t>
      </w:r>
    </w:p>
    <w:p w14:paraId="4A1A0E0C" w14:textId="77777777" w:rsidR="004726BA" w:rsidRDefault="004726BA" w:rsidP="001C1920">
      <w:pPr>
        <w:pStyle w:val="ListBullet"/>
        <w:spacing w:before="0" w:after="200" w:line="276" w:lineRule="auto"/>
      </w:pPr>
      <w:r>
        <w:t>illegal propagation via cuttings and sale of commercial rose varieties (</w:t>
      </w:r>
      <w:r w:rsidRPr="000C7DC4">
        <w:t>Case IV 1 WAZ 34106, Poland</w:t>
      </w:r>
      <w:r>
        <w:t>)</w:t>
      </w:r>
    </w:p>
    <w:p w14:paraId="6499D140" w14:textId="77777777" w:rsidR="004726BA" w:rsidRDefault="004726BA" w:rsidP="001C1920">
      <w:pPr>
        <w:pStyle w:val="ListBullet"/>
        <w:spacing w:before="0" w:after="200" w:line="276" w:lineRule="auto"/>
      </w:pPr>
      <w:r w:rsidRPr="000C7DC4">
        <w:t>illegal procurement</w:t>
      </w:r>
      <w:r>
        <w:t xml:space="preserve">, </w:t>
      </w:r>
      <w:r w:rsidRPr="000C7DC4">
        <w:t xml:space="preserve">growing </w:t>
      </w:r>
      <w:r>
        <w:t xml:space="preserve">and sale </w:t>
      </w:r>
      <w:r w:rsidRPr="000C7DC4">
        <w:t xml:space="preserve">of </w:t>
      </w:r>
      <w:r>
        <w:t>carnations (</w:t>
      </w:r>
      <w:r w:rsidRPr="003A00B7">
        <w:t>Case 331/2012 Fourth Penal Division of Cadiz, Spain</w:t>
      </w:r>
      <w:r>
        <w:t>).</w:t>
      </w:r>
    </w:p>
    <w:p w14:paraId="7BFD7DDB" w14:textId="77777777" w:rsidR="004726BA" w:rsidRDefault="004726BA" w:rsidP="00800E7D">
      <w:pPr>
        <w:rPr>
          <w:rFonts w:eastAsia="Calibri" w:cs="Times New Roman"/>
        </w:rPr>
      </w:pPr>
      <w:r>
        <w:rPr>
          <w:rFonts w:eastAsia="Calibri" w:cs="Times New Roman"/>
        </w:rPr>
        <w:t xml:space="preserve">Records within the CPVO </w:t>
      </w:r>
      <w:r w:rsidRPr="00525379">
        <w:rPr>
          <w:rFonts w:eastAsia="Calibri" w:cs="Times New Roman"/>
        </w:rPr>
        <w:t>database</w:t>
      </w:r>
      <w:r>
        <w:rPr>
          <w:rFonts w:eastAsia="Calibri" w:cs="Times New Roman"/>
        </w:rPr>
        <w:t xml:space="preserve"> showed that </w:t>
      </w:r>
      <w:r w:rsidRPr="00525379">
        <w:rPr>
          <w:rFonts w:eastAsia="Calibri" w:cs="Times New Roman"/>
        </w:rPr>
        <w:t xml:space="preserve">infringement of </w:t>
      </w:r>
      <w:r>
        <w:rPr>
          <w:rFonts w:eastAsia="Calibri" w:cs="Times New Roman"/>
        </w:rPr>
        <w:t>PVR</w:t>
      </w:r>
      <w:r w:rsidRPr="00525379">
        <w:rPr>
          <w:rFonts w:eastAsia="Calibri" w:cs="Times New Roman"/>
        </w:rPr>
        <w:t xml:space="preserve"> predominantly involve</w:t>
      </w:r>
      <w:r>
        <w:rPr>
          <w:rFonts w:eastAsia="Calibri" w:cs="Times New Roman"/>
        </w:rPr>
        <w:t>d</w:t>
      </w:r>
      <w:r w:rsidRPr="00525379">
        <w:rPr>
          <w:rFonts w:eastAsia="Calibri" w:cs="Times New Roman"/>
        </w:rPr>
        <w:t xml:space="preserve"> the direct propagation from </w:t>
      </w:r>
      <w:r>
        <w:rPr>
          <w:rFonts w:eastAsia="Calibri" w:cs="Times New Roman"/>
        </w:rPr>
        <w:t xml:space="preserve">propagative materials, </w:t>
      </w:r>
      <w:r w:rsidRPr="00525379">
        <w:rPr>
          <w:rFonts w:eastAsia="Calibri" w:cs="Times New Roman"/>
        </w:rPr>
        <w:t xml:space="preserve">including </w:t>
      </w:r>
      <w:r>
        <w:rPr>
          <w:rFonts w:eastAsia="Calibri" w:cs="Times New Roman"/>
        </w:rPr>
        <w:t xml:space="preserve">whole </w:t>
      </w:r>
      <w:r w:rsidRPr="00525379">
        <w:rPr>
          <w:rFonts w:eastAsia="Calibri" w:cs="Times New Roman"/>
        </w:rPr>
        <w:t>plants, seed</w:t>
      </w:r>
      <w:r>
        <w:rPr>
          <w:rFonts w:eastAsia="Calibri" w:cs="Times New Roman"/>
        </w:rPr>
        <w:t>s</w:t>
      </w:r>
      <w:r w:rsidRPr="00525379">
        <w:rPr>
          <w:rFonts w:eastAsia="Calibri" w:cs="Times New Roman"/>
        </w:rPr>
        <w:t xml:space="preserve">, </w:t>
      </w:r>
      <w:r>
        <w:rPr>
          <w:rFonts w:eastAsia="Calibri" w:cs="Times New Roman"/>
        </w:rPr>
        <w:t>bulbs</w:t>
      </w:r>
      <w:r w:rsidRPr="00525379">
        <w:rPr>
          <w:rFonts w:eastAsia="Calibri" w:cs="Times New Roman"/>
        </w:rPr>
        <w:t xml:space="preserve"> and </w:t>
      </w:r>
      <w:r>
        <w:rPr>
          <w:rFonts w:eastAsia="Calibri" w:cs="Times New Roman"/>
        </w:rPr>
        <w:t xml:space="preserve">fresh </w:t>
      </w:r>
      <w:r w:rsidRPr="00525379">
        <w:rPr>
          <w:rFonts w:eastAsia="Calibri" w:cs="Times New Roman"/>
        </w:rPr>
        <w:t>cuttings.</w:t>
      </w:r>
    </w:p>
    <w:p w14:paraId="46D23331" w14:textId="77777777" w:rsidR="004726BA" w:rsidRPr="003823BD" w:rsidRDefault="004726BA" w:rsidP="00800E7D">
      <w:pPr>
        <w:rPr>
          <w:b/>
          <w:bCs/>
        </w:rPr>
      </w:pPr>
      <w:r w:rsidRPr="003823BD">
        <w:rPr>
          <w:rFonts w:eastAsia="Calibri" w:cs="Times New Roman"/>
          <w:b/>
          <w:bCs/>
        </w:rPr>
        <w:t xml:space="preserve">Biosecurity compliance on </w:t>
      </w:r>
      <w:r>
        <w:rPr>
          <w:rFonts w:eastAsia="Calibri" w:cs="Times New Roman"/>
          <w:b/>
          <w:bCs/>
        </w:rPr>
        <w:t xml:space="preserve">imported </w:t>
      </w:r>
      <w:r w:rsidRPr="003823BD">
        <w:rPr>
          <w:rFonts w:eastAsia="Calibri" w:cs="Times New Roman"/>
          <w:b/>
          <w:bCs/>
        </w:rPr>
        <w:t>cut flower</w:t>
      </w:r>
      <w:r>
        <w:rPr>
          <w:rFonts w:eastAsia="Calibri" w:cs="Times New Roman"/>
          <w:b/>
          <w:bCs/>
        </w:rPr>
        <w:t>s</w:t>
      </w:r>
      <w:r w:rsidRPr="003823BD">
        <w:rPr>
          <w:rFonts w:eastAsia="Calibri" w:cs="Times New Roman"/>
          <w:b/>
          <w:bCs/>
        </w:rPr>
        <w:t xml:space="preserve"> in Australia</w:t>
      </w:r>
    </w:p>
    <w:p w14:paraId="0902C9BA" w14:textId="77777777" w:rsidR="004726BA" w:rsidRDefault="004726BA" w:rsidP="00800E7D">
      <w:r>
        <w:t>There are no departmental records documenting instances of commercial DFIU of imported cut flowers to</w:t>
      </w:r>
      <w:r w:rsidRPr="00B07855">
        <w:t xml:space="preserve"> propagation</w:t>
      </w:r>
      <w:r w:rsidRPr="00616386">
        <w:t>.</w:t>
      </w:r>
    </w:p>
    <w:p w14:paraId="4B019FC3" w14:textId="77777777" w:rsidR="004726BA" w:rsidRDefault="004726BA" w:rsidP="00800E7D">
      <w:r>
        <w:t xml:space="preserve">Information received by the department as part of the Flower Industry Australia’s submission on the draft </w:t>
      </w:r>
      <w:r w:rsidRPr="00D01552">
        <w:rPr>
          <w:i/>
          <w:iCs/>
        </w:rPr>
        <w:t>Pest Risk Analysis for Cut Flowers and Foliage – Part 2</w:t>
      </w:r>
      <w:r>
        <w:t xml:space="preserve"> states that “An</w:t>
      </w:r>
      <w:r w:rsidRPr="008C6A56">
        <w:t>ecdotal evidence within the Australian flower community suggests that cases of ineffective devitalisation and subsequent propagation of cut flowers do occasionally occur</w:t>
      </w:r>
      <w:r>
        <w:t>.”</w:t>
      </w:r>
      <w:r w:rsidRPr="00616386">
        <w:t xml:space="preserve"> It is </w:t>
      </w:r>
      <w:r>
        <w:t>unclear whether the anecdotal evidence in the statement was drawn from</w:t>
      </w:r>
      <w:r w:rsidRPr="00616386">
        <w:t xml:space="preserve"> DFIU conducted by </w:t>
      </w:r>
      <w:r>
        <w:t xml:space="preserve">the </w:t>
      </w:r>
      <w:r w:rsidRPr="00616386">
        <w:t xml:space="preserve">Australian flower </w:t>
      </w:r>
      <w:r>
        <w:t>community</w:t>
      </w:r>
      <w:r w:rsidRPr="00616386">
        <w:t xml:space="preserve"> </w:t>
      </w:r>
      <w:r>
        <w:t>in an effort</w:t>
      </w:r>
      <w:r w:rsidRPr="00616386">
        <w:t xml:space="preserve"> to show that devitalisation treatments do not work</w:t>
      </w:r>
      <w:r>
        <w:t>.</w:t>
      </w:r>
    </w:p>
    <w:p w14:paraId="185AE8B7" w14:textId="77777777" w:rsidR="004726BA" w:rsidRDefault="004726BA" w:rsidP="00800E7D">
      <w:r>
        <w:t xml:space="preserve">It is important to note that, regardless of the intention, DFIU of any commodities imported into Australia is a breach of Australia’s import regulation and the </w:t>
      </w:r>
      <w:r w:rsidRPr="00AD7A4D">
        <w:rPr>
          <w:i/>
          <w:iCs/>
        </w:rPr>
        <w:t>Act</w:t>
      </w:r>
      <w:r>
        <w:t>. This is because the biosecurity risk associated with an imported commodity differs significantly for different intended uses of the commodity. As a result, phytosanitary measures required to manage the biosecurity risk also differ significantly for different intended uses of the commodity.</w:t>
      </w:r>
    </w:p>
    <w:p w14:paraId="729E6508" w14:textId="14FF38F3" w:rsidR="004726BA" w:rsidRDefault="004726BA" w:rsidP="00800E7D">
      <w:pPr>
        <w:rPr>
          <w:rFonts w:eastAsia="Calibri" w:cs="Times New Roman"/>
        </w:rPr>
      </w:pPr>
      <w:r>
        <w:rPr>
          <w:rFonts w:cs="Helvetica"/>
          <w:color w:val="333333"/>
          <w:shd w:val="clear" w:color="auto" w:fill="FFFFFF"/>
        </w:rPr>
        <w:t xml:space="preserve">The genetic characteristics and pre-harvest factors of the plant from which a cut flower </w:t>
      </w:r>
      <w:r w:rsidRPr="00615041">
        <w:rPr>
          <w:rFonts w:cs="Helvetica"/>
          <w:color w:val="333333"/>
          <w:shd w:val="clear" w:color="auto" w:fill="FFFFFF"/>
        </w:rPr>
        <w:t xml:space="preserve">stem </w:t>
      </w:r>
      <w:r>
        <w:rPr>
          <w:rFonts w:cs="Helvetica"/>
          <w:color w:val="333333"/>
          <w:shd w:val="clear" w:color="auto" w:fill="FFFFFF"/>
        </w:rPr>
        <w:t>originated are not precisely known. This means it may not be possible to confirm if a cut flower stem is worthy to be propagated for commercial production and sale, hence there may not be sufficient incentive for commercial DFIU of imported cut flowers to propagation. In</w:t>
      </w:r>
      <w:r>
        <w:rPr>
          <w:rFonts w:eastAsia="Calibri" w:cs="Times New Roman"/>
        </w:rPr>
        <w:t xml:space="preserve"> addition, </w:t>
      </w:r>
      <w:r w:rsidR="00D0278D">
        <w:rPr>
          <w:rFonts w:eastAsia="Calibri" w:cs="Times New Roman"/>
        </w:rPr>
        <w:t xml:space="preserve">the </w:t>
      </w:r>
      <w:r>
        <w:rPr>
          <w:rFonts w:eastAsia="Calibri" w:cs="Times New Roman"/>
        </w:rPr>
        <w:t>Australian cut flower i</w:t>
      </w:r>
      <w:r w:rsidRPr="00616386">
        <w:rPr>
          <w:rFonts w:eastAsia="Calibri" w:cs="Times New Roman"/>
        </w:rPr>
        <w:t xml:space="preserve">ndustry </w:t>
      </w:r>
      <w:r>
        <w:rPr>
          <w:rFonts w:eastAsia="Calibri" w:cs="Times New Roman"/>
        </w:rPr>
        <w:t xml:space="preserve">is </w:t>
      </w:r>
      <w:r w:rsidRPr="00616386">
        <w:rPr>
          <w:rFonts w:eastAsia="Calibri" w:cs="Times New Roman"/>
        </w:rPr>
        <w:t xml:space="preserve">aware of Australia’s strong biosecurity </w:t>
      </w:r>
      <w:r>
        <w:rPr>
          <w:rFonts w:eastAsia="Calibri" w:cs="Times New Roman"/>
        </w:rPr>
        <w:t>protections and the strength of legislative and potential non-compliance actions taken by the department. The Australian cut flower industry is also aware of existing import processes for nursery stock, which</w:t>
      </w:r>
      <w:r w:rsidRPr="00616386">
        <w:rPr>
          <w:rFonts w:eastAsia="Calibri" w:cs="Times New Roman"/>
        </w:rPr>
        <w:t xml:space="preserve"> facilitates an efficient way to import new varieties of cut flower</w:t>
      </w:r>
      <w:r>
        <w:rPr>
          <w:rFonts w:eastAsia="Calibri" w:cs="Times New Roman"/>
        </w:rPr>
        <w:t>s</w:t>
      </w:r>
      <w:r w:rsidRPr="00616386">
        <w:rPr>
          <w:rFonts w:eastAsia="Calibri" w:cs="Times New Roman"/>
        </w:rPr>
        <w:t xml:space="preserve"> into Australia </w:t>
      </w:r>
      <w:r>
        <w:rPr>
          <w:rFonts w:eastAsia="Calibri" w:cs="Times New Roman"/>
          <w:noProof/>
        </w:rPr>
        <w:t>(DAFF 2020; Hegarty, Thomson &amp; Webster 2022; Smith 2022)</w:t>
      </w:r>
      <w:r w:rsidRPr="00BA50E0">
        <w:rPr>
          <w:rFonts w:eastAsia="Calibri" w:cs="Times New Roman"/>
        </w:rPr>
        <w:t>.</w:t>
      </w:r>
      <w:r>
        <w:rPr>
          <w:rFonts w:eastAsia="Calibri" w:cs="Times New Roman"/>
        </w:rPr>
        <w:t xml:space="preserve"> This may explain the lack of evidence for commercial DFIU of imported cut flowers to propagation occurring in Australia.</w:t>
      </w:r>
    </w:p>
    <w:p w14:paraId="4196D8B8" w14:textId="77777777" w:rsidR="004726BA" w:rsidRDefault="004726BA" w:rsidP="00800E7D">
      <w:pPr>
        <w:rPr>
          <w:rFonts w:eastAsia="Calibri" w:cs="Times New Roman"/>
        </w:rPr>
      </w:pPr>
    </w:p>
    <w:p w14:paraId="5304EB93" w14:textId="77777777" w:rsidR="004726BA" w:rsidRPr="00EF1A4D" w:rsidRDefault="004726BA" w:rsidP="00800E7D">
      <w:pPr>
        <w:pStyle w:val="Heading4"/>
      </w:pPr>
      <w:r w:rsidRPr="00EF1A4D">
        <w:lastRenderedPageBreak/>
        <w:t>Personal DFIU</w:t>
      </w:r>
    </w:p>
    <w:p w14:paraId="7ECE5358" w14:textId="77777777" w:rsidR="004726BA" w:rsidRDefault="004726BA" w:rsidP="00800E7D">
      <w:pPr>
        <w:rPr>
          <w:rFonts w:eastAsia="Calibri" w:cs="Times New Roman"/>
        </w:rPr>
      </w:pPr>
      <w:r>
        <w:rPr>
          <w:rFonts w:eastAsia="Calibri" w:cs="Times New Roman"/>
        </w:rPr>
        <w:t>There are a number of</w:t>
      </w:r>
      <w:r w:rsidRPr="00525379">
        <w:rPr>
          <w:rFonts w:eastAsia="Calibri" w:cs="Times New Roman"/>
        </w:rPr>
        <w:t xml:space="preserve"> websites and videos providing advice on how to propagate plants from cut flowers. </w:t>
      </w:r>
      <w:r>
        <w:rPr>
          <w:rFonts w:eastAsia="Calibri" w:cs="Times New Roman"/>
        </w:rPr>
        <w:t xml:space="preserve">Some of these sites feature unsound propagation practices, for example using petals </w:t>
      </w:r>
      <w:r w:rsidRPr="00366D4E">
        <w:rPr>
          <w:rFonts w:eastAsia="Calibri" w:cs="Times New Roman"/>
        </w:rPr>
        <w:t>or flower buds</w:t>
      </w:r>
      <w:r>
        <w:rPr>
          <w:rFonts w:eastAsia="Calibri" w:cs="Times New Roman"/>
        </w:rPr>
        <w:t xml:space="preserve"> for direct planting </w:t>
      </w:r>
      <w:r>
        <w:rPr>
          <w:rFonts w:eastAsia="Calibri" w:cs="Times New Roman"/>
          <w:noProof/>
        </w:rPr>
        <w:t>(Fraser Valley Rose Farm 2024)</w:t>
      </w:r>
      <w:r>
        <w:rPr>
          <w:rFonts w:eastAsia="Calibri" w:cs="Times New Roman"/>
        </w:rPr>
        <w:t>. These websites do not indicate the occurrence of DFIU</w:t>
      </w:r>
      <w:r w:rsidRPr="00525379">
        <w:rPr>
          <w:rFonts w:eastAsia="Calibri" w:cs="Times New Roman"/>
        </w:rPr>
        <w:t>.</w:t>
      </w:r>
      <w:r>
        <w:rPr>
          <w:rFonts w:eastAsia="Calibri" w:cs="Times New Roman"/>
        </w:rPr>
        <w:t xml:space="preserve"> It is possible that they may be viewed for entertainment and/or educational purposes.</w:t>
      </w:r>
    </w:p>
    <w:p w14:paraId="4C605B37" w14:textId="46C80ED5" w:rsidR="004726BA" w:rsidRDefault="004726BA" w:rsidP="00800E7D">
      <w:pPr>
        <w:rPr>
          <w:rFonts w:eastAsia="Calibri" w:cs="Times New Roman"/>
        </w:rPr>
      </w:pPr>
      <w:r>
        <w:rPr>
          <w:rFonts w:eastAsia="Calibri" w:cs="Times New Roman"/>
        </w:rPr>
        <w:t>To better understand</w:t>
      </w:r>
      <w:r w:rsidRPr="00525379">
        <w:rPr>
          <w:rFonts w:eastAsia="Calibri" w:cs="Times New Roman"/>
        </w:rPr>
        <w:t xml:space="preserve"> the prevalence of personal </w:t>
      </w:r>
      <w:r>
        <w:rPr>
          <w:rFonts w:eastAsia="Calibri" w:cs="Times New Roman"/>
        </w:rPr>
        <w:t>DFIU</w:t>
      </w:r>
      <w:r w:rsidRPr="00525379">
        <w:rPr>
          <w:rFonts w:eastAsia="Calibri" w:cs="Times New Roman"/>
        </w:rPr>
        <w:t xml:space="preserve"> of cut flowers</w:t>
      </w:r>
      <w:r>
        <w:rPr>
          <w:rFonts w:eastAsia="Calibri" w:cs="Times New Roman"/>
        </w:rPr>
        <w:t xml:space="preserve"> to</w:t>
      </w:r>
      <w:r w:rsidRPr="00525379">
        <w:rPr>
          <w:rFonts w:eastAsia="Calibri" w:cs="Times New Roman"/>
        </w:rPr>
        <w:t xml:space="preserve"> propagation</w:t>
      </w:r>
      <w:r>
        <w:rPr>
          <w:rFonts w:eastAsia="Calibri" w:cs="Times New Roman"/>
        </w:rPr>
        <w:t xml:space="preserve">, </w:t>
      </w:r>
      <w:r w:rsidRPr="00525379">
        <w:rPr>
          <w:rFonts w:eastAsia="Calibri" w:cs="Times New Roman"/>
        </w:rPr>
        <w:t xml:space="preserve">an </w:t>
      </w:r>
      <w:r>
        <w:rPr>
          <w:rFonts w:eastAsia="Calibri" w:cs="Times New Roman"/>
        </w:rPr>
        <w:t>analysis</w:t>
      </w:r>
      <w:r w:rsidRPr="00525379">
        <w:rPr>
          <w:rFonts w:eastAsia="Calibri" w:cs="Times New Roman"/>
        </w:rPr>
        <w:t xml:space="preserve"> </w:t>
      </w:r>
      <w:r>
        <w:rPr>
          <w:rFonts w:eastAsia="Calibri" w:cs="Times New Roman"/>
        </w:rPr>
        <w:t>of</w:t>
      </w:r>
      <w:r w:rsidRPr="00525379">
        <w:rPr>
          <w:rFonts w:eastAsia="Calibri" w:cs="Times New Roman"/>
        </w:rPr>
        <w:t xml:space="preserve"> </w:t>
      </w:r>
      <w:r>
        <w:rPr>
          <w:rFonts w:eastAsia="Calibri" w:cs="Times New Roman"/>
        </w:rPr>
        <w:t xml:space="preserve">online </w:t>
      </w:r>
      <w:r w:rsidRPr="00525379">
        <w:rPr>
          <w:rFonts w:eastAsia="Calibri" w:cs="Times New Roman"/>
        </w:rPr>
        <w:t xml:space="preserve">gardening forum </w:t>
      </w:r>
      <w:r>
        <w:rPr>
          <w:rFonts w:eastAsia="Calibri" w:cs="Times New Roman"/>
        </w:rPr>
        <w:t xml:space="preserve">posts </w:t>
      </w:r>
      <w:r w:rsidRPr="00525379">
        <w:rPr>
          <w:rFonts w:eastAsia="Calibri" w:cs="Times New Roman"/>
        </w:rPr>
        <w:t xml:space="preserve">was </w:t>
      </w:r>
      <w:r>
        <w:rPr>
          <w:rFonts w:eastAsia="Calibri" w:cs="Times New Roman"/>
        </w:rPr>
        <w:t>undertaken</w:t>
      </w:r>
      <w:r w:rsidRPr="00525379">
        <w:rPr>
          <w:rFonts w:eastAsia="Calibri" w:cs="Times New Roman"/>
        </w:rPr>
        <w:t>.</w:t>
      </w:r>
      <w:r>
        <w:rPr>
          <w:rFonts w:eastAsia="Calibri" w:cs="Times New Roman"/>
        </w:rPr>
        <w:t xml:space="preserve"> </w:t>
      </w:r>
      <w:r w:rsidRPr="00525379">
        <w:rPr>
          <w:rFonts w:eastAsia="Calibri" w:cs="Times New Roman"/>
        </w:rPr>
        <w:t>The analysis used an Application Programming Interface script to collect posts from gardening subforums from Reddit</w:t>
      </w:r>
      <w:r>
        <w:rPr>
          <w:rFonts w:eastAsia="Calibri" w:cs="Times New Roman"/>
        </w:rPr>
        <w:t xml:space="preserve"> </w:t>
      </w:r>
      <w:bookmarkStart w:id="38" w:name="_Hlk178689934"/>
      <w:r w:rsidRPr="00525379">
        <w:rPr>
          <w:rFonts w:eastAsia="Calibri" w:cs="Times New Roman"/>
        </w:rPr>
        <w:t>between October 2022 and April 2023</w:t>
      </w:r>
      <w:bookmarkEnd w:id="38"/>
      <w:r w:rsidRPr="00525379">
        <w:rPr>
          <w:rFonts w:eastAsia="Calibri" w:cs="Times New Roman"/>
        </w:rPr>
        <w:t xml:space="preserve">. Reddit is one of the world’s largest social forum platforms with over 55 million daily users which provides a unique, data-rich resource for behavioural studies </w:t>
      </w:r>
      <w:r>
        <w:rPr>
          <w:rFonts w:eastAsia="Calibri" w:cs="Times New Roman"/>
          <w:noProof/>
        </w:rPr>
        <w:t>(Medvedev, Lambiotte &amp; Delvenne 2017)</w:t>
      </w:r>
      <w:r w:rsidRPr="00E7625B">
        <w:rPr>
          <w:rFonts w:eastAsia="Calibri" w:cs="Times New Roman"/>
        </w:rPr>
        <w:t xml:space="preserve">. </w:t>
      </w:r>
      <w:r w:rsidRPr="004B30A0">
        <w:rPr>
          <w:rFonts w:eastAsia="Calibri" w:cs="Times New Roman"/>
        </w:rPr>
        <w:t xml:space="preserve">According </w:t>
      </w:r>
      <w:r w:rsidRPr="006A3866">
        <w:rPr>
          <w:rFonts w:eastAsia="Calibri" w:cs="Times New Roman"/>
        </w:rPr>
        <w:t xml:space="preserve">to </w:t>
      </w:r>
      <w:bookmarkStart w:id="39" w:name="_Hlk196228130"/>
      <w:r>
        <w:rPr>
          <w:rFonts w:eastAsia="Calibri" w:cs="Times New Roman"/>
          <w:noProof/>
        </w:rPr>
        <w:t>Similarweb (2025)</w:t>
      </w:r>
      <w:r w:rsidRPr="006A3866">
        <w:rPr>
          <w:rFonts w:eastAsia="Calibri" w:cs="Times New Roman"/>
        </w:rPr>
        <w:t>,</w:t>
      </w:r>
      <w:bookmarkEnd w:id="39"/>
      <w:r w:rsidRPr="004B30A0">
        <w:rPr>
          <w:rFonts w:eastAsia="Calibri" w:cs="Times New Roman"/>
        </w:rPr>
        <w:t xml:space="preserve"> more than half of the website</w:t>
      </w:r>
      <w:r>
        <w:rPr>
          <w:rFonts w:eastAsia="Calibri" w:cs="Times New Roman"/>
        </w:rPr>
        <w:t>’s</w:t>
      </w:r>
      <w:r w:rsidRPr="004B30A0">
        <w:rPr>
          <w:rFonts w:eastAsia="Calibri" w:cs="Times New Roman"/>
        </w:rPr>
        <w:t xml:space="preserve"> traffic comes from the United States, </w:t>
      </w:r>
      <w:r>
        <w:rPr>
          <w:rFonts w:eastAsia="Calibri" w:cs="Times New Roman"/>
        </w:rPr>
        <w:t>and approximately</w:t>
      </w:r>
      <w:r w:rsidRPr="004B30A0">
        <w:rPr>
          <w:rFonts w:eastAsia="Calibri" w:cs="Times New Roman"/>
        </w:rPr>
        <w:t xml:space="preserve"> 4% </w:t>
      </w:r>
      <w:r>
        <w:rPr>
          <w:rFonts w:eastAsia="Calibri" w:cs="Times New Roman"/>
        </w:rPr>
        <w:t>f</w:t>
      </w:r>
      <w:r w:rsidRPr="004B30A0">
        <w:rPr>
          <w:rFonts w:eastAsia="Calibri" w:cs="Times New Roman"/>
        </w:rPr>
        <w:t>rom Australia.</w:t>
      </w:r>
      <w:r>
        <w:rPr>
          <w:rFonts w:eastAsia="Calibri" w:cs="Times New Roman"/>
        </w:rPr>
        <w:t xml:space="preserve"> </w:t>
      </w:r>
      <w:r w:rsidRPr="00525379">
        <w:rPr>
          <w:rFonts w:eastAsia="Calibri" w:cs="Times New Roman"/>
        </w:rPr>
        <w:t xml:space="preserve">The gardening forums used within this analysis included over 5.8 million subscribers and thus provides an enormous dataset for the study. </w:t>
      </w:r>
      <w:r>
        <w:rPr>
          <w:rFonts w:eastAsia="Calibri" w:cs="Times New Roman"/>
        </w:rPr>
        <w:t xml:space="preserve">The time period of the Reddit posts collected for analysis coincided with peak import periods of cut flowers, Christmas and Valentine’s Day. </w:t>
      </w:r>
    </w:p>
    <w:bookmarkEnd w:id="37"/>
    <w:p w14:paraId="27983DC0" w14:textId="77777777" w:rsidR="004726BA" w:rsidRDefault="004726BA" w:rsidP="00800E7D">
      <w:pPr>
        <w:rPr>
          <w:rFonts w:eastAsia="Calibri" w:cs="Times New Roman"/>
        </w:rPr>
      </w:pPr>
      <w:r w:rsidRPr="00525379">
        <w:rPr>
          <w:rFonts w:eastAsia="Calibri" w:cs="Times New Roman"/>
        </w:rPr>
        <w:t>Analysis of 6066 posts</w:t>
      </w:r>
      <w:r>
        <w:rPr>
          <w:rFonts w:eastAsia="Calibri" w:cs="Times New Roman"/>
        </w:rPr>
        <w:t xml:space="preserve"> collected from relevant gardening subreddits or forums</w:t>
      </w:r>
      <w:r w:rsidRPr="00525379">
        <w:rPr>
          <w:rFonts w:eastAsia="Calibri" w:cs="Times New Roman"/>
        </w:rPr>
        <w:t xml:space="preserve"> </w:t>
      </w:r>
      <w:r>
        <w:rPr>
          <w:rFonts w:eastAsia="Calibri" w:cs="Times New Roman"/>
        </w:rPr>
        <w:t>between</w:t>
      </w:r>
      <w:r w:rsidRPr="00525379">
        <w:rPr>
          <w:rFonts w:eastAsia="Calibri" w:cs="Times New Roman"/>
        </w:rPr>
        <w:t xml:space="preserve"> October 2022 and April 2023</w:t>
      </w:r>
      <w:r>
        <w:rPr>
          <w:rFonts w:eastAsia="Calibri" w:cs="Times New Roman"/>
        </w:rPr>
        <w:t xml:space="preserve"> </w:t>
      </w:r>
      <w:r w:rsidRPr="00525379">
        <w:rPr>
          <w:rFonts w:eastAsia="Calibri" w:cs="Times New Roman"/>
        </w:rPr>
        <w:t xml:space="preserve">showed </w:t>
      </w:r>
      <w:r>
        <w:rPr>
          <w:rFonts w:eastAsia="Calibri" w:cs="Times New Roman"/>
        </w:rPr>
        <w:t xml:space="preserve">that </w:t>
      </w:r>
      <w:r>
        <w:t>o</w:t>
      </w:r>
      <w:r w:rsidRPr="00525379">
        <w:t>ut of all propagation</w:t>
      </w:r>
      <w:r>
        <w:t>-</w:t>
      </w:r>
      <w:r w:rsidRPr="00525379">
        <w:t xml:space="preserve">type posts, </w:t>
      </w:r>
      <w:r w:rsidRPr="00380370">
        <w:t xml:space="preserve">31 </w:t>
      </w:r>
      <w:r>
        <w:t>related to</w:t>
      </w:r>
      <w:r w:rsidRPr="00525379">
        <w:t xml:space="preserve"> propagation </w:t>
      </w:r>
      <w:r w:rsidRPr="00336EFB">
        <w:t>from cut flowers</w:t>
      </w:r>
      <w:r>
        <w:t xml:space="preserve"> (Figure 3.1)</w:t>
      </w:r>
      <w:r w:rsidRPr="00525379">
        <w:t>.</w:t>
      </w:r>
      <w:r>
        <w:t xml:space="preserve"> It is important to note that </w:t>
      </w:r>
      <w:r w:rsidRPr="00C60228">
        <w:t>these represent global figures</w:t>
      </w:r>
      <w:r>
        <w:t xml:space="preserve"> and</w:t>
      </w:r>
      <w:r w:rsidRPr="00C60228">
        <w:t xml:space="preserve"> are not specific to Australia; </w:t>
      </w:r>
      <w:r>
        <w:t>some of these 31 posts were questions that did not identify whether DFIU occurred; and the posts did not identify whether they were regarding imported cut flowers and/or locally produced cut flowers.</w:t>
      </w:r>
      <w:r w:rsidRPr="006E0F74">
        <w:rPr>
          <w:rFonts w:eastAsia="Calibri" w:cs="Times New Roman"/>
        </w:rPr>
        <w:t xml:space="preserve"> Of the 31 posts:</w:t>
      </w:r>
    </w:p>
    <w:p w14:paraId="1685B064" w14:textId="77777777" w:rsidR="004726BA" w:rsidRPr="006E0F74" w:rsidRDefault="004726BA" w:rsidP="00AB675C">
      <w:pPr>
        <w:pStyle w:val="ListBullet"/>
        <w:spacing w:before="0" w:after="200" w:line="276" w:lineRule="auto"/>
      </w:pPr>
      <w:r>
        <w:t>O</w:t>
      </w:r>
      <w:r w:rsidRPr="006E0F74">
        <w:t xml:space="preserve">nly </w:t>
      </w:r>
      <w:r>
        <w:t xml:space="preserve">4 posts </w:t>
      </w:r>
      <w:r w:rsidRPr="006E0F74">
        <w:t>noted successful propagation</w:t>
      </w:r>
      <w:r>
        <w:t xml:space="preserve"> of </w:t>
      </w:r>
      <w:r w:rsidRPr="006E0F74">
        <w:t xml:space="preserve">brassica </w:t>
      </w:r>
      <w:r>
        <w:t xml:space="preserve">(1 post) </w:t>
      </w:r>
      <w:r w:rsidRPr="006E0F74">
        <w:t>and pittosporum</w:t>
      </w:r>
      <w:r>
        <w:t xml:space="preserve"> (3 posts)</w:t>
      </w:r>
      <w:r w:rsidRPr="006E0F74">
        <w:t>.</w:t>
      </w:r>
      <w:r>
        <w:t xml:space="preserve"> However, neither brassica nor pittosporum </w:t>
      </w:r>
      <w:proofErr w:type="gramStart"/>
      <w:r>
        <w:t>is</w:t>
      </w:r>
      <w:proofErr w:type="gramEnd"/>
      <w:r>
        <w:t xml:space="preserve"> permitted to be imported into Australia as cut flowers. </w:t>
      </w:r>
    </w:p>
    <w:p w14:paraId="21CCA44D" w14:textId="77777777" w:rsidR="004726BA" w:rsidRDefault="004726BA" w:rsidP="00AB675C">
      <w:pPr>
        <w:pStyle w:val="ListBullet"/>
        <w:spacing w:before="0" w:after="200" w:line="276" w:lineRule="auto"/>
      </w:pPr>
      <w:r>
        <w:t>Other posters often commented that the attempt to propagate was likely to fail and/or that dedicated rooting hormone would be needed for success, and that the resulting plants were not likely to thrive unless they were placed onto specialised rootstocks.</w:t>
      </w:r>
    </w:p>
    <w:p w14:paraId="42C7EBC0" w14:textId="77777777" w:rsidR="004726BA" w:rsidRPr="006E0F74" w:rsidRDefault="004726BA" w:rsidP="00AB675C">
      <w:pPr>
        <w:pStyle w:val="ListBullet"/>
        <w:spacing w:before="0" w:after="200" w:line="276" w:lineRule="auto"/>
      </w:pPr>
      <w:r>
        <w:t xml:space="preserve">More than half (19 posts) were questioning if propagation of cut flowers is </w:t>
      </w:r>
      <w:proofErr w:type="gramStart"/>
      <w:r>
        <w:t>possible, and</w:t>
      </w:r>
      <w:proofErr w:type="gramEnd"/>
      <w:r>
        <w:t xml:space="preserve"> included no information on whether an attempt to propagate was made.</w:t>
      </w:r>
    </w:p>
    <w:p w14:paraId="0AABED0F" w14:textId="77777777" w:rsidR="004726BA" w:rsidRDefault="004726BA" w:rsidP="00AB675C">
      <w:pPr>
        <w:pStyle w:val="ListBullet"/>
        <w:spacing w:before="0" w:after="200" w:line="276" w:lineRule="auto"/>
      </w:pPr>
      <w:r>
        <w:t xml:space="preserve">The majority of posts were afterthoughts by the posters, who wanted to save the cut flowers once they had wilted or thought of propagating if by </w:t>
      </w:r>
      <w:proofErr w:type="gramStart"/>
      <w:r>
        <w:t>chance</w:t>
      </w:r>
      <w:proofErr w:type="gramEnd"/>
      <w:r>
        <w:t xml:space="preserve"> they observed shoots forming on the cut flowers.</w:t>
      </w:r>
    </w:p>
    <w:p w14:paraId="00B216CB" w14:textId="77777777" w:rsidR="004726BA" w:rsidRPr="00285212" w:rsidRDefault="004726BA" w:rsidP="00AB675C">
      <w:pPr>
        <w:pStyle w:val="ListBullet"/>
        <w:spacing w:before="0" w:after="200" w:line="276" w:lineRule="auto"/>
      </w:pPr>
      <w:r>
        <w:t xml:space="preserve">All attempts of propagation were performed via stem cuttings. Grafting techniques were mentioned within the comments as requiring specialist skills and knowledge. </w:t>
      </w:r>
    </w:p>
    <w:p w14:paraId="4B212204" w14:textId="77777777" w:rsidR="004726BA" w:rsidRDefault="004726BA" w:rsidP="00800E7D">
      <w:r>
        <w:t>According to the department’s method for PRA, likelihoods are assigned to each step of pest risk assessments. Six qualitative likelihood descriptors are used: High; Moderate; Low; Very Low; Extremely Low; and Negligible. Indicative ranges, on a scale of 0 to 1, are provided to illustrate the boundaries of the qualitative likelihood descriptors (Table A.1 in Appendix A).</w:t>
      </w:r>
    </w:p>
    <w:p w14:paraId="5122DD1A" w14:textId="374ED92E" w:rsidR="004726BA" w:rsidRPr="006C3D98" w:rsidRDefault="004726BA" w:rsidP="00800E7D">
      <w:r>
        <w:lastRenderedPageBreak/>
        <w:t>If</w:t>
      </w:r>
      <w:r w:rsidRPr="006C3D98">
        <w:t xml:space="preserve"> DFIU to propagation occurred in all the 31 Reddit posts, this equate</w:t>
      </w:r>
      <w:r>
        <w:t>s</w:t>
      </w:r>
      <w:r w:rsidRPr="006C3D98">
        <w:t xml:space="preserve"> to approximately 0.005 on a scale of 0 to 1, which is within the indicative range of the likelihood of very low (Table A.1 in Appendix A).</w:t>
      </w:r>
      <w:r>
        <w:t xml:space="preserve"> </w:t>
      </w:r>
      <w:r w:rsidR="00733982">
        <w:t>However, t</w:t>
      </w:r>
      <w:r w:rsidRPr="006C3D98">
        <w:t>he level of DFIU occurring globally could be lower than very low level</w:t>
      </w:r>
      <w:r>
        <w:t>s</w:t>
      </w:r>
      <w:r w:rsidRPr="006C3D98">
        <w:t xml:space="preserve"> because more than half of the </w:t>
      </w:r>
      <w:r w:rsidR="00492972">
        <w:t xml:space="preserve">31 </w:t>
      </w:r>
      <w:r w:rsidRPr="006C3D98">
        <w:t>posts were questi</w:t>
      </w:r>
      <w:r>
        <w:t>oni</w:t>
      </w:r>
      <w:r w:rsidRPr="006C3D98">
        <w:t>ng if propagation of cut flowers is possible, and it is not known whether an attempt to propagate was made.</w:t>
      </w:r>
      <w:r>
        <w:rPr>
          <w:highlight w:val="yellow"/>
        </w:rPr>
        <w:t xml:space="preserve">  </w:t>
      </w:r>
    </w:p>
    <w:p w14:paraId="41891818" w14:textId="77777777" w:rsidR="004726BA" w:rsidRPr="00D0144C" w:rsidRDefault="004726BA" w:rsidP="00800E7D">
      <w:r w:rsidRPr="006C3D98">
        <w:t xml:space="preserve">The analysis of the </w:t>
      </w:r>
      <w:r w:rsidRPr="006C3D98">
        <w:rPr>
          <w:rFonts w:eastAsia="Calibri" w:cs="Times New Roman"/>
        </w:rPr>
        <w:t xml:space="preserve">Reddit </w:t>
      </w:r>
      <w:r w:rsidRPr="006C3D98">
        <w:t xml:space="preserve">posts showed that personal DFIU of cut flowers to propagation </w:t>
      </w:r>
      <w:r>
        <w:t>may be</w:t>
      </w:r>
      <w:r w:rsidRPr="006C3D98">
        <w:t xml:space="preserve"> occurring globally</w:t>
      </w:r>
      <w:r>
        <w:t xml:space="preserve"> at or below very low levels</w:t>
      </w:r>
      <w:r w:rsidRPr="006C3D98">
        <w:t>, that attempts are usually an afterthought by the owner who wanted to ‘save’ a spent flower, and that propagation was rarely successful. In addition,</w:t>
      </w:r>
      <w:r w:rsidRPr="00D0144C">
        <w:t xml:space="preserve"> it is not known what proportion of the global DFIU is occurring in Australia, if any, and what proportion of the DFIU involved imported cut flowers as differentiated from locally produced cut flowers.</w:t>
      </w:r>
    </w:p>
    <w:p w14:paraId="436E2EE7" w14:textId="77777777" w:rsidR="004726BA" w:rsidRPr="00BF086B" w:rsidRDefault="004726BA" w:rsidP="00800E7D">
      <w:pPr>
        <w:contextualSpacing/>
      </w:pPr>
      <w:r w:rsidRPr="00D0144C">
        <w:t>Examples of individual reddit posts are provided in Appendix B.</w:t>
      </w:r>
    </w:p>
    <w:p w14:paraId="750A3A1E" w14:textId="77777777" w:rsidR="004726BA" w:rsidRPr="00BF086B" w:rsidRDefault="004726BA" w:rsidP="00800E7D">
      <w:pPr>
        <w:pStyle w:val="Caption"/>
      </w:pPr>
      <w:bookmarkStart w:id="40" w:name="_Toc202256545"/>
      <w:r w:rsidRPr="00525379">
        <w:t xml:space="preserve">Figure </w:t>
      </w:r>
      <w:r>
        <w:t xml:space="preserve">3.1 Species of cut flowers on the 31 posts discussed in Reddit between </w:t>
      </w:r>
      <w:r w:rsidRPr="00525379">
        <w:t>October 2022 and April 2023</w:t>
      </w:r>
      <w:r>
        <w:t xml:space="preserve"> that might be related to DFIU of </w:t>
      </w:r>
      <w:r w:rsidRPr="0070476C">
        <w:t>cut flowers</w:t>
      </w:r>
      <w:r>
        <w:t xml:space="preserve"> to propagation</w:t>
      </w:r>
      <w:bookmarkEnd w:id="40"/>
    </w:p>
    <w:p w14:paraId="246487D0" w14:textId="77777777" w:rsidR="004726BA" w:rsidRPr="00F87559" w:rsidRDefault="004726BA" w:rsidP="00800E7D">
      <w:pPr>
        <w:contextualSpacing/>
        <w:jc w:val="center"/>
        <w:rPr>
          <w:rFonts w:eastAsia="Calibri" w:cs="Times New Roman"/>
        </w:rPr>
      </w:pPr>
      <w:r w:rsidRPr="00525379">
        <w:rPr>
          <w:noProof/>
        </w:rPr>
        <w:drawing>
          <wp:inline distT="0" distB="0" distL="0" distR="0" wp14:anchorId="727469C8" wp14:editId="770B1A8F">
            <wp:extent cx="4572000" cy="2733675"/>
            <wp:effectExtent l="0" t="0" r="0" b="0"/>
            <wp:docPr id="132362384" name="Chart 1">
              <a:extLst xmlns:a="http://schemas.openxmlformats.org/drawingml/2006/main">
                <a:ext uri="{FF2B5EF4-FFF2-40B4-BE49-F238E27FC236}">
                  <a16:creationId xmlns:a16="http://schemas.microsoft.com/office/drawing/2014/main" id="{F1EF3E32-F65B-F09C-DD8E-5DCE9A08A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FBAF43B" w14:textId="77777777" w:rsidR="004726BA" w:rsidRPr="00A96119" w:rsidRDefault="004726BA" w:rsidP="00800E7D">
      <w:pPr>
        <w:pStyle w:val="Heading3"/>
      </w:pPr>
      <w:bookmarkStart w:id="41" w:name="_Toc197953570"/>
      <w:r w:rsidRPr="00BD53B0">
        <w:t xml:space="preserve">Evaluation of potential success of DFIU of </w:t>
      </w:r>
      <w:r>
        <w:t xml:space="preserve">imported </w:t>
      </w:r>
      <w:r w:rsidRPr="00BD53B0">
        <w:t>cut flowers to propagation</w:t>
      </w:r>
      <w:bookmarkEnd w:id="41"/>
      <w:r w:rsidRPr="00A96119">
        <w:t xml:space="preserve"> </w:t>
      </w:r>
    </w:p>
    <w:p w14:paraId="023841B8" w14:textId="77777777" w:rsidR="004726BA" w:rsidRDefault="004726BA" w:rsidP="00800E7D">
      <w:pPr>
        <w:rPr>
          <w:highlight w:val="yellow"/>
        </w:rPr>
      </w:pPr>
      <w:r w:rsidRPr="00051898">
        <w:t xml:space="preserve">There </w:t>
      </w:r>
      <w:r>
        <w:t>is</w:t>
      </w:r>
      <w:r w:rsidRPr="00051898">
        <w:t xml:space="preserve"> limited literature available on the success or effectiveness of propagation from cut flowers.</w:t>
      </w:r>
    </w:p>
    <w:p w14:paraId="433DF1DB" w14:textId="77777777" w:rsidR="004726BA" w:rsidRDefault="004726BA" w:rsidP="00800E7D">
      <w:r>
        <w:rPr>
          <w:rFonts w:eastAsia="Calibri" w:cs="Times New Roman"/>
        </w:rPr>
        <w:t>Should DFIU of</w:t>
      </w:r>
      <w:r w:rsidRPr="00BA4CC2">
        <w:rPr>
          <w:rFonts w:eastAsia="Calibri" w:cs="Times New Roman"/>
        </w:rPr>
        <w:t xml:space="preserve"> </w:t>
      </w:r>
      <w:r>
        <w:rPr>
          <w:rFonts w:eastAsia="Calibri" w:cs="Times New Roman"/>
        </w:rPr>
        <w:t xml:space="preserve">imported </w:t>
      </w:r>
      <w:r w:rsidRPr="00BA4CC2">
        <w:rPr>
          <w:rFonts w:eastAsia="Calibri" w:cs="Times New Roman"/>
        </w:rPr>
        <w:t xml:space="preserve">cut flowers </w:t>
      </w:r>
      <w:r>
        <w:rPr>
          <w:rFonts w:eastAsia="Calibri" w:cs="Times New Roman"/>
        </w:rPr>
        <w:t xml:space="preserve">to propagation occur, it would most likely </w:t>
      </w:r>
      <w:r w:rsidRPr="00BA4CC2">
        <w:rPr>
          <w:rFonts w:eastAsia="Calibri" w:cs="Times New Roman"/>
        </w:rPr>
        <w:t>involve stem cuttings.</w:t>
      </w:r>
      <w:r w:rsidRPr="006338AE">
        <w:rPr>
          <w:rFonts w:eastAsia="Calibri" w:cs="Times New Roman"/>
        </w:rPr>
        <w:t xml:space="preserve"> </w:t>
      </w:r>
      <w:r w:rsidRPr="00BA47EB">
        <w:t>Global</w:t>
      </w:r>
      <w:r w:rsidRPr="00B40B0E">
        <w:t xml:space="preserve"> trade in unrooted cuttings as propagative materials of various ornamental species suggests that viability for propagation of harvested plant stems could be maintained for variable duration. Studies on storability and quality of ornamental cuttings indicated that the duration the cuttings remain viable for propagation is dependent on species, cultivar and conditions of transportation and storage </w:t>
      </w:r>
      <w:r>
        <w:rPr>
          <w:noProof/>
        </w:rPr>
        <w:t>(Christiaens et al. 2019; Faust, Lewis &amp; Rapaka 2010; Hussein 2007; Khan 1983; Leatherwood 2008)</w:t>
      </w:r>
      <w:r w:rsidRPr="00B40B0E">
        <w:t>.</w:t>
      </w:r>
    </w:p>
    <w:p w14:paraId="3A743960" w14:textId="77777777" w:rsidR="004726BA" w:rsidRPr="00BF086B" w:rsidRDefault="004726BA" w:rsidP="00800E7D">
      <w:pPr>
        <w:rPr>
          <w:rFonts w:ascii="Aptos" w:hAnsi="Aptos"/>
          <w:color w:val="156082"/>
        </w:rPr>
      </w:pPr>
      <w:r w:rsidRPr="007F07F1">
        <w:t xml:space="preserve">The preparation, type and characteristics of the stems and conditions during </w:t>
      </w:r>
      <w:r>
        <w:t xml:space="preserve">storage and </w:t>
      </w:r>
      <w:r w:rsidRPr="007F07F1">
        <w:t xml:space="preserve">transportation are expected to differ between traded unrooted cuttings as propagative material and </w:t>
      </w:r>
      <w:r w:rsidRPr="007F07F1">
        <w:lastRenderedPageBreak/>
        <w:t>traded cut flowers.</w:t>
      </w:r>
      <w:r w:rsidRPr="00BA47EB">
        <w:t xml:space="preserve"> </w:t>
      </w:r>
      <w:r w:rsidRPr="00B253CC">
        <w:rPr>
          <w:rFonts w:eastAsia="Cambria" w:cs="Cambria"/>
        </w:rPr>
        <w:t xml:space="preserve">Therefore, information on </w:t>
      </w:r>
      <w:r>
        <w:rPr>
          <w:rFonts w:eastAsia="Cambria" w:cs="Cambria"/>
        </w:rPr>
        <w:t>the success or failure of propagation</w:t>
      </w:r>
      <w:r w:rsidRPr="00B253CC">
        <w:rPr>
          <w:rFonts w:eastAsia="Cambria" w:cs="Cambria"/>
        </w:rPr>
        <w:t xml:space="preserve"> </w:t>
      </w:r>
      <w:r>
        <w:rPr>
          <w:rFonts w:eastAsia="Cambria" w:cs="Cambria"/>
        </w:rPr>
        <w:t xml:space="preserve">for </w:t>
      </w:r>
      <w:r w:rsidRPr="00B253CC">
        <w:rPr>
          <w:rFonts w:eastAsia="Cambria" w:cs="Cambria"/>
        </w:rPr>
        <w:t xml:space="preserve">traded unrooted cuttings cannot be </w:t>
      </w:r>
      <w:r>
        <w:rPr>
          <w:rFonts w:eastAsia="Cambria" w:cs="Cambria"/>
        </w:rPr>
        <w:t xml:space="preserve">equally </w:t>
      </w:r>
      <w:r w:rsidRPr="00B253CC">
        <w:rPr>
          <w:rFonts w:eastAsia="Cambria" w:cs="Cambria"/>
        </w:rPr>
        <w:t>applied to traded cut flowers.</w:t>
      </w:r>
    </w:p>
    <w:p w14:paraId="17C9E80D" w14:textId="7A6DEA01" w:rsidR="004726BA" w:rsidRDefault="004726BA" w:rsidP="00800E7D">
      <w:pPr>
        <w:rPr>
          <w:highlight w:val="yellow"/>
        </w:rPr>
      </w:pPr>
      <w:r w:rsidRPr="00866EB4">
        <w:rPr>
          <w:rFonts w:eastAsia="Calibri" w:cs="Times New Roman"/>
        </w:rPr>
        <w:t xml:space="preserve">This section evaluates </w:t>
      </w:r>
      <w:r>
        <w:rPr>
          <w:rFonts w:eastAsia="Calibri" w:cs="Times New Roman"/>
        </w:rPr>
        <w:t>potential</w:t>
      </w:r>
      <w:r w:rsidRPr="00866EB4">
        <w:rPr>
          <w:rFonts w:eastAsia="Calibri" w:cs="Times New Roman"/>
        </w:rPr>
        <w:t xml:space="preserve"> success of </w:t>
      </w:r>
      <w:r>
        <w:rPr>
          <w:rFonts w:eastAsia="Calibri" w:cs="Times New Roman"/>
        </w:rPr>
        <w:t>DFIU of</w:t>
      </w:r>
      <w:r w:rsidRPr="00866EB4">
        <w:rPr>
          <w:rFonts w:eastAsia="Calibri" w:cs="Times New Roman"/>
        </w:rPr>
        <w:t xml:space="preserve"> cut flowers</w:t>
      </w:r>
      <w:r>
        <w:rPr>
          <w:rFonts w:eastAsia="Calibri" w:cs="Times New Roman"/>
        </w:rPr>
        <w:t xml:space="preserve"> to propagation</w:t>
      </w:r>
      <w:r w:rsidRPr="00866EB4">
        <w:rPr>
          <w:rFonts w:eastAsia="Calibri" w:cs="Times New Roman"/>
        </w:rPr>
        <w:t>, taking into consideration the physiolog</w:t>
      </w:r>
      <w:r>
        <w:rPr>
          <w:rFonts w:eastAsia="Calibri" w:cs="Times New Roman"/>
        </w:rPr>
        <w:t>ical and metabolic characteristics</w:t>
      </w:r>
      <w:r w:rsidRPr="00866EB4">
        <w:rPr>
          <w:rFonts w:eastAsia="Calibri" w:cs="Times New Roman"/>
        </w:rPr>
        <w:t xml:space="preserve"> of </w:t>
      </w:r>
      <w:r>
        <w:rPr>
          <w:rFonts w:eastAsia="Calibri" w:cs="Times New Roman"/>
        </w:rPr>
        <w:t xml:space="preserve">imported </w:t>
      </w:r>
      <w:r w:rsidRPr="00866EB4">
        <w:rPr>
          <w:rFonts w:eastAsia="Calibri" w:cs="Times New Roman"/>
        </w:rPr>
        <w:t>cut flowers</w:t>
      </w:r>
      <w:r>
        <w:rPr>
          <w:rFonts w:eastAsia="Calibri" w:cs="Times New Roman"/>
        </w:rPr>
        <w:t xml:space="preserve"> against </w:t>
      </w:r>
      <w:r w:rsidRPr="00866EB4">
        <w:rPr>
          <w:rFonts w:eastAsia="Calibri" w:cs="Times New Roman"/>
        </w:rPr>
        <w:t>key factors affecting the success of propagation</w:t>
      </w:r>
      <w:r>
        <w:rPr>
          <w:rFonts w:eastAsia="Calibri" w:cs="Times New Roman"/>
        </w:rPr>
        <w:t xml:space="preserve">. These include plant material used in propagation (i.e., cut flower stems </w:t>
      </w:r>
      <w:r w:rsidR="005D53D4">
        <w:rPr>
          <w:rFonts w:eastAsia="Calibri" w:cs="Times New Roman"/>
        </w:rPr>
        <w:t>compared to</w:t>
      </w:r>
      <w:r>
        <w:rPr>
          <w:rFonts w:eastAsia="Calibri" w:cs="Times New Roman"/>
        </w:rPr>
        <w:t xml:space="preserve"> cuttings selected and prepared as propagative material) (Section 3.3.1), time between harvest and point of propagation (Section 3.3.2) and </w:t>
      </w:r>
      <w:r w:rsidRPr="00165BDF">
        <w:rPr>
          <w:rFonts w:eastAsia="Calibri" w:cs="Times New Roman"/>
        </w:rPr>
        <w:t xml:space="preserve">environmental conditions </w:t>
      </w:r>
      <w:r>
        <w:rPr>
          <w:rFonts w:eastAsia="Calibri" w:cs="Times New Roman"/>
        </w:rPr>
        <w:t>and practices during propagation (Section 3.3.3)</w:t>
      </w:r>
      <w:r w:rsidRPr="00866EB4">
        <w:rPr>
          <w:rFonts w:eastAsia="Calibri" w:cs="Times New Roman"/>
        </w:rPr>
        <w:t>.</w:t>
      </w:r>
    </w:p>
    <w:p w14:paraId="37D7FBD6" w14:textId="77777777" w:rsidR="004726BA" w:rsidRDefault="004726BA" w:rsidP="00800E7D">
      <w:pPr>
        <w:pStyle w:val="Heading4"/>
      </w:pPr>
      <w:r w:rsidRPr="001D3B1A">
        <w:t>Plant material used in propagation</w:t>
      </w:r>
      <w:r>
        <w:t xml:space="preserve"> (cut flower stems vs cuttings selected and prepared as propagative material)</w:t>
      </w:r>
    </w:p>
    <w:p w14:paraId="73E514A9" w14:textId="77777777" w:rsidR="004726BA" w:rsidRDefault="004726BA" w:rsidP="00800E7D">
      <w:r w:rsidRPr="00615041">
        <w:rPr>
          <w:shd w:val="clear" w:color="auto" w:fill="FFFFFF"/>
        </w:rPr>
        <w:t xml:space="preserve">Vegetative propagation by stem cuttings is </w:t>
      </w:r>
      <w:r>
        <w:rPr>
          <w:shd w:val="clear" w:color="auto" w:fill="FFFFFF"/>
        </w:rPr>
        <w:t xml:space="preserve">one of </w:t>
      </w:r>
      <w:r w:rsidRPr="00615041">
        <w:rPr>
          <w:shd w:val="clear" w:color="auto" w:fill="FFFFFF"/>
        </w:rPr>
        <w:t>the commonly used method</w:t>
      </w:r>
      <w:r>
        <w:rPr>
          <w:shd w:val="clear" w:color="auto" w:fill="FFFFFF"/>
        </w:rPr>
        <w:t>s</w:t>
      </w:r>
      <w:r w:rsidRPr="00615041">
        <w:rPr>
          <w:shd w:val="clear" w:color="auto" w:fill="FFFFFF"/>
        </w:rPr>
        <w:t xml:space="preserve"> of </w:t>
      </w:r>
      <w:r>
        <w:rPr>
          <w:shd w:val="clear" w:color="auto" w:fill="FFFFFF"/>
        </w:rPr>
        <w:t>producing</w:t>
      </w:r>
      <w:r w:rsidRPr="00615041">
        <w:rPr>
          <w:shd w:val="clear" w:color="auto" w:fill="FFFFFF"/>
        </w:rPr>
        <w:t xml:space="preserve"> genetically identical plants. </w:t>
      </w:r>
      <w:r>
        <w:rPr>
          <w:shd w:val="clear" w:color="auto" w:fill="FFFFFF"/>
        </w:rPr>
        <w:t>T</w:t>
      </w:r>
      <w:r w:rsidRPr="00615041">
        <w:rPr>
          <w:shd w:val="clear" w:color="auto" w:fill="FFFFFF"/>
        </w:rPr>
        <w:t>hree main types of stem cuttings used in propagation</w:t>
      </w:r>
      <w:r>
        <w:rPr>
          <w:shd w:val="clear" w:color="auto" w:fill="FFFFFF"/>
        </w:rPr>
        <w:t xml:space="preserve"> are:</w:t>
      </w:r>
      <w:r w:rsidRPr="00615041">
        <w:rPr>
          <w:shd w:val="clear" w:color="auto" w:fill="FFFFFF"/>
        </w:rPr>
        <w:t xml:space="preserve"> hardwood</w:t>
      </w:r>
      <w:r>
        <w:rPr>
          <w:shd w:val="clear" w:color="auto" w:fill="FFFFFF"/>
        </w:rPr>
        <w:t>,</w:t>
      </w:r>
      <w:r w:rsidRPr="00615041">
        <w:rPr>
          <w:shd w:val="clear" w:color="auto" w:fill="FFFFFF"/>
        </w:rPr>
        <w:t xml:space="preserve"> semi</w:t>
      </w:r>
      <w:r>
        <w:rPr>
          <w:shd w:val="clear" w:color="auto" w:fill="FFFFFF"/>
        </w:rPr>
        <w:t>-</w:t>
      </w:r>
      <w:r w:rsidRPr="00615041">
        <w:rPr>
          <w:shd w:val="clear" w:color="auto" w:fill="FFFFFF"/>
        </w:rPr>
        <w:t xml:space="preserve">hardwood and </w:t>
      </w:r>
      <w:r>
        <w:rPr>
          <w:shd w:val="clear" w:color="auto" w:fill="FFFFFF"/>
        </w:rPr>
        <w:t>soft</w:t>
      </w:r>
      <w:r w:rsidRPr="00615041">
        <w:rPr>
          <w:shd w:val="clear" w:color="auto" w:fill="FFFFFF"/>
        </w:rPr>
        <w:t xml:space="preserve">wood cuttings. </w:t>
      </w:r>
      <w:r w:rsidRPr="00E400CB">
        <w:rPr>
          <w:rFonts w:eastAsia="Times New Roman" w:cs="Open Sans"/>
          <w:color w:val="101213"/>
        </w:rPr>
        <w:t xml:space="preserve">Hardwood </w:t>
      </w:r>
      <w:r w:rsidRPr="00615041">
        <w:rPr>
          <w:rFonts w:eastAsia="Times New Roman" w:cs="Open Sans"/>
          <w:color w:val="101213"/>
        </w:rPr>
        <w:t>c</w:t>
      </w:r>
      <w:r w:rsidRPr="00E400CB">
        <w:rPr>
          <w:rFonts w:eastAsia="Times New Roman" w:cs="Open Sans"/>
          <w:color w:val="101213"/>
        </w:rPr>
        <w:t>uttings</w:t>
      </w:r>
      <w:r w:rsidRPr="00615041">
        <w:rPr>
          <w:rFonts w:eastAsia="Times New Roman" w:cs="Open Sans"/>
          <w:color w:val="101213"/>
        </w:rPr>
        <w:t xml:space="preserve"> </w:t>
      </w:r>
      <w:r w:rsidRPr="00E400CB">
        <w:rPr>
          <w:rFonts w:eastAsia="Times New Roman" w:cs="Open Sans"/>
          <w:color w:val="101213"/>
        </w:rPr>
        <w:t xml:space="preserve">are generally </w:t>
      </w:r>
      <w:r>
        <w:rPr>
          <w:rFonts w:eastAsia="Times New Roman" w:cs="Open Sans"/>
          <w:color w:val="101213"/>
        </w:rPr>
        <w:t>harvested</w:t>
      </w:r>
      <w:r w:rsidRPr="00E400CB">
        <w:rPr>
          <w:rFonts w:eastAsia="Times New Roman" w:cs="Open Sans"/>
          <w:color w:val="101213"/>
        </w:rPr>
        <w:t xml:space="preserve"> </w:t>
      </w:r>
      <w:r>
        <w:rPr>
          <w:rFonts w:eastAsia="Times New Roman" w:cs="Open Sans"/>
          <w:color w:val="101213"/>
        </w:rPr>
        <w:t xml:space="preserve">during the dormant season </w:t>
      </w:r>
      <w:r w:rsidRPr="00615041">
        <w:rPr>
          <w:rFonts w:eastAsia="Times New Roman" w:cs="Open Sans"/>
          <w:color w:val="101213"/>
        </w:rPr>
        <w:t>from m</w:t>
      </w:r>
      <w:r w:rsidRPr="00615041">
        <w:t>ature, quiescent, lignified shoots after the leaves have abscised</w:t>
      </w:r>
      <w:r>
        <w:t xml:space="preserve"> </w:t>
      </w:r>
      <w:r>
        <w:rPr>
          <w:noProof/>
        </w:rPr>
        <w:t>(Costa &amp; Van de Pol 2003)</w:t>
      </w:r>
      <w:r>
        <w:t xml:space="preserve">. </w:t>
      </w:r>
      <w:r>
        <w:rPr>
          <w:rFonts w:eastAsia="Times New Roman" w:cs="Open Sans"/>
          <w:color w:val="101213"/>
        </w:rPr>
        <w:t>S</w:t>
      </w:r>
      <w:r w:rsidRPr="00E400CB">
        <w:rPr>
          <w:rFonts w:eastAsia="Times New Roman" w:cs="Open Sans"/>
          <w:color w:val="101213"/>
        </w:rPr>
        <w:t xml:space="preserve">emi-hardwood </w:t>
      </w:r>
      <w:r w:rsidRPr="00615041">
        <w:rPr>
          <w:rFonts w:eastAsia="Times New Roman" w:cs="Open Sans"/>
          <w:color w:val="101213"/>
        </w:rPr>
        <w:t>c</w:t>
      </w:r>
      <w:r w:rsidRPr="00E400CB">
        <w:rPr>
          <w:rFonts w:eastAsia="Times New Roman" w:cs="Open Sans"/>
          <w:color w:val="101213"/>
        </w:rPr>
        <w:t xml:space="preserve">uttings are </w:t>
      </w:r>
      <w:r>
        <w:rPr>
          <w:rFonts w:eastAsia="Times New Roman" w:cs="Open Sans"/>
          <w:color w:val="101213"/>
        </w:rPr>
        <w:t>partly lignified, harvested</w:t>
      </w:r>
      <w:r w:rsidRPr="00E400CB">
        <w:rPr>
          <w:rFonts w:eastAsia="Times New Roman" w:cs="Open Sans"/>
          <w:color w:val="101213"/>
        </w:rPr>
        <w:t xml:space="preserve"> </w:t>
      </w:r>
      <w:r>
        <w:rPr>
          <w:rFonts w:eastAsia="Times New Roman" w:cs="Open Sans"/>
          <w:color w:val="101213"/>
        </w:rPr>
        <w:t xml:space="preserve">late in the growing season, mostly </w:t>
      </w:r>
      <w:r w:rsidRPr="00E400CB">
        <w:rPr>
          <w:rFonts w:eastAsia="Times New Roman" w:cs="Open Sans"/>
          <w:color w:val="101213"/>
        </w:rPr>
        <w:t>mid-summer after flowering when the plant is putting on new growth and starting to harden.</w:t>
      </w:r>
      <w:r>
        <w:t xml:space="preserve"> </w:t>
      </w:r>
      <w:r w:rsidRPr="00615041">
        <w:rPr>
          <w:rFonts w:eastAsia="Times New Roman" w:cs="Open Sans"/>
          <w:color w:val="101213"/>
        </w:rPr>
        <w:t>Softwood cuttings </w:t>
      </w:r>
      <w:r>
        <w:rPr>
          <w:rFonts w:eastAsia="Times New Roman" w:cs="Open Sans"/>
          <w:color w:val="101213"/>
        </w:rPr>
        <w:t xml:space="preserve">have little lignification, are soft and fleshy with high water content and </w:t>
      </w:r>
      <w:r w:rsidRPr="00615041">
        <w:rPr>
          <w:rFonts w:eastAsia="Times New Roman" w:cs="Open Sans"/>
          <w:color w:val="101213"/>
        </w:rPr>
        <w:t xml:space="preserve">are generally </w:t>
      </w:r>
      <w:r>
        <w:rPr>
          <w:rFonts w:eastAsia="Times New Roman" w:cs="Open Sans"/>
          <w:color w:val="101213"/>
        </w:rPr>
        <w:t>harvested</w:t>
      </w:r>
      <w:r w:rsidRPr="00615041">
        <w:rPr>
          <w:rFonts w:eastAsia="Times New Roman" w:cs="Open Sans"/>
          <w:color w:val="101213"/>
        </w:rPr>
        <w:t xml:space="preserve"> </w:t>
      </w:r>
      <w:r>
        <w:rPr>
          <w:rFonts w:eastAsia="Times New Roman" w:cs="Open Sans"/>
          <w:color w:val="101213"/>
        </w:rPr>
        <w:t>early in the growing season, usually</w:t>
      </w:r>
      <w:r w:rsidRPr="00615041">
        <w:rPr>
          <w:rFonts w:eastAsia="Times New Roman" w:cs="Open Sans"/>
          <w:color w:val="101213"/>
        </w:rPr>
        <w:t xml:space="preserve"> in spring and early summer when the plant is </w:t>
      </w:r>
      <w:r>
        <w:rPr>
          <w:rFonts w:eastAsia="Times New Roman" w:cs="Open Sans"/>
          <w:color w:val="101213"/>
        </w:rPr>
        <w:t xml:space="preserve">actively growing </w:t>
      </w:r>
      <w:r>
        <w:rPr>
          <w:noProof/>
        </w:rPr>
        <w:t>(Costa &amp; Van de Pol 2003)</w:t>
      </w:r>
      <w:r>
        <w:rPr>
          <w:rFonts w:eastAsia="Times New Roman" w:cs="Open Sans"/>
          <w:color w:val="101213"/>
        </w:rPr>
        <w:t xml:space="preserve">. </w:t>
      </w:r>
    </w:p>
    <w:p w14:paraId="36568205" w14:textId="77777777" w:rsidR="004726BA" w:rsidRDefault="004726BA" w:rsidP="00800E7D">
      <w:pPr>
        <w:rPr>
          <w:rFonts w:cstheme="minorHAnsi"/>
          <w:color w:val="000000"/>
          <w:sz w:val="18"/>
          <w:szCs w:val="18"/>
          <w:shd w:val="clear" w:color="auto" w:fill="FFFFFF"/>
        </w:rPr>
      </w:pPr>
      <w:r>
        <w:rPr>
          <w:rFonts w:eastAsia="Calibri" w:cstheme="minorHAnsi"/>
        </w:rPr>
        <w:t>Some o</w:t>
      </w:r>
      <w:r w:rsidRPr="006941B8">
        <w:rPr>
          <w:rFonts w:eastAsia="Calibri" w:cstheme="minorHAnsi"/>
        </w:rPr>
        <w:t xml:space="preserve">rnamental plants such as roses can be propagated from all types of cuttings depending on species and cultivars. </w:t>
      </w:r>
      <w:r>
        <w:rPr>
          <w:rFonts w:eastAsia="Calibri" w:cstheme="minorHAnsi"/>
        </w:rPr>
        <w:t>For example, h</w:t>
      </w:r>
      <w:r w:rsidRPr="006941B8">
        <w:rPr>
          <w:rFonts w:eastAsia="Calibri" w:cstheme="minorHAnsi"/>
        </w:rPr>
        <w:t xml:space="preserve">ardwood cuttings are used for field propagation of rose rootstocks of </w:t>
      </w:r>
      <w:r w:rsidRPr="006941B8">
        <w:rPr>
          <w:rFonts w:eastAsia="Calibri" w:cstheme="minorHAnsi"/>
          <w:i/>
          <w:iCs/>
        </w:rPr>
        <w:t>Rosa multiflora</w:t>
      </w:r>
      <w:r w:rsidRPr="006941B8">
        <w:rPr>
          <w:rFonts w:eastAsia="Calibri" w:cstheme="minorHAnsi"/>
        </w:rPr>
        <w:t xml:space="preserve"> and </w:t>
      </w:r>
      <w:r w:rsidRPr="006941B8">
        <w:rPr>
          <w:rFonts w:eastAsia="Calibri" w:cstheme="minorHAnsi"/>
          <w:i/>
          <w:iCs/>
        </w:rPr>
        <w:t>Rosa chinensis</w:t>
      </w:r>
      <w:r w:rsidRPr="006941B8">
        <w:rPr>
          <w:rFonts w:eastAsia="Calibri" w:cstheme="minorHAnsi"/>
        </w:rPr>
        <w:t xml:space="preserve"> var Indica Major</w:t>
      </w:r>
      <w:r>
        <w:rPr>
          <w:rFonts w:eastAsia="Calibri" w:cstheme="minorHAnsi"/>
        </w:rPr>
        <w:t>;</w:t>
      </w:r>
      <w:r w:rsidRPr="006941B8">
        <w:rPr>
          <w:rFonts w:eastAsia="Calibri" w:cstheme="minorHAnsi"/>
        </w:rPr>
        <w:t xml:space="preserve"> </w:t>
      </w:r>
      <w:r>
        <w:rPr>
          <w:rFonts w:eastAsia="Calibri" w:cstheme="minorHAnsi"/>
        </w:rPr>
        <w:t>s</w:t>
      </w:r>
      <w:r w:rsidRPr="006941B8">
        <w:rPr>
          <w:rFonts w:eastAsia="Calibri" w:cstheme="minorHAnsi"/>
        </w:rPr>
        <w:t>emi-hardwood cuttings are used for propagating garden roses and cut roses</w:t>
      </w:r>
      <w:r>
        <w:rPr>
          <w:rFonts w:eastAsia="Calibri" w:cstheme="minorHAnsi"/>
        </w:rPr>
        <w:t>; and softwood cuttings are used for</w:t>
      </w:r>
      <w:r w:rsidRPr="006941B8">
        <w:rPr>
          <w:rFonts w:eastAsia="Calibri" w:cstheme="minorHAnsi"/>
        </w:rPr>
        <w:t xml:space="preserve"> miniature pot roses </w:t>
      </w:r>
      <w:r>
        <w:rPr>
          <w:noProof/>
        </w:rPr>
        <w:t>(Costa &amp; Van de Pol 2003)</w:t>
      </w:r>
      <w:r w:rsidRPr="006941B8">
        <w:rPr>
          <w:rFonts w:eastAsia="Calibri" w:cstheme="minorHAnsi"/>
        </w:rPr>
        <w:t xml:space="preserve">. Carnations and chrysanthemums are vegetatively propagated from terminal </w:t>
      </w:r>
      <w:r>
        <w:rPr>
          <w:rFonts w:eastAsia="Calibri" w:cstheme="minorHAnsi"/>
        </w:rPr>
        <w:t xml:space="preserve">or shoot tip </w:t>
      </w:r>
      <w:r w:rsidRPr="006941B8">
        <w:rPr>
          <w:rFonts w:eastAsia="Calibri" w:cstheme="minorHAnsi"/>
        </w:rPr>
        <w:t>cuttings (stem cuttings with a terminal bud and are usually young semi- or non-lignified stems</w:t>
      </w:r>
      <w:r>
        <w:rPr>
          <w:rFonts w:eastAsia="Calibri" w:cstheme="minorHAnsi"/>
        </w:rPr>
        <w:t>)</w:t>
      </w:r>
      <w:r w:rsidRPr="006941B8">
        <w:rPr>
          <w:rFonts w:eastAsia="Calibri" w:cstheme="minorHAnsi"/>
        </w:rPr>
        <w:t xml:space="preserve"> </w:t>
      </w:r>
      <w:r>
        <w:rPr>
          <w:rFonts w:eastAsia="Calibri" w:cstheme="minorHAnsi"/>
          <w:noProof/>
        </w:rPr>
        <w:t>(Larson 1980)</w:t>
      </w:r>
      <w:r w:rsidRPr="006941B8">
        <w:rPr>
          <w:rFonts w:eastAsia="Calibri" w:cstheme="minorHAnsi"/>
        </w:rPr>
        <w:t xml:space="preserve">. In the context of this review, DFIU of </w:t>
      </w:r>
      <w:r w:rsidRPr="006941B8">
        <w:rPr>
          <w:rFonts w:eastAsia="Calibri" w:cs="Times New Roman"/>
        </w:rPr>
        <w:t>cut flowers to propagation will involve stem cuttings</w:t>
      </w:r>
      <w:r w:rsidRPr="00E740DC">
        <w:rPr>
          <w:rFonts w:eastAsia="Calibri" w:cs="Times New Roman"/>
        </w:rPr>
        <w:t xml:space="preserve"> </w:t>
      </w:r>
      <w:r w:rsidRPr="003847EE">
        <w:rPr>
          <w:rFonts w:eastAsia="Calibri" w:cstheme="minorHAnsi"/>
        </w:rPr>
        <w:t xml:space="preserve">that are </w:t>
      </w:r>
      <w:r w:rsidRPr="003847EE">
        <w:rPr>
          <w:rFonts w:cstheme="minorHAnsi"/>
          <w:color w:val="000000"/>
          <w:shd w:val="clear" w:color="auto" w:fill="FFFFFF"/>
        </w:rPr>
        <w:t>young</w:t>
      </w:r>
      <w:r w:rsidRPr="008510E0">
        <w:rPr>
          <w:rFonts w:cstheme="minorHAnsi"/>
          <w:color w:val="000000"/>
          <w:shd w:val="clear" w:color="auto" w:fill="FFFFFF"/>
        </w:rPr>
        <w:t>,</w:t>
      </w:r>
      <w:r w:rsidRPr="003847EE">
        <w:rPr>
          <w:rFonts w:cstheme="minorHAnsi"/>
          <w:color w:val="000000"/>
          <w:shd w:val="clear" w:color="auto" w:fill="FFFFFF"/>
        </w:rPr>
        <w:t xml:space="preserve"> soft</w:t>
      </w:r>
      <w:r w:rsidRPr="008510E0">
        <w:rPr>
          <w:rFonts w:cstheme="minorHAnsi"/>
          <w:color w:val="000000"/>
          <w:shd w:val="clear" w:color="auto" w:fill="FFFFFF"/>
        </w:rPr>
        <w:t xml:space="preserve">, </w:t>
      </w:r>
      <w:r w:rsidRPr="003847EE">
        <w:rPr>
          <w:rFonts w:cstheme="minorHAnsi"/>
          <w:color w:val="000000"/>
          <w:shd w:val="clear" w:color="auto" w:fill="FFFFFF"/>
        </w:rPr>
        <w:t>succulent</w:t>
      </w:r>
      <w:r w:rsidRPr="008510E0">
        <w:rPr>
          <w:rFonts w:cstheme="minorHAnsi"/>
          <w:color w:val="000000"/>
          <w:shd w:val="clear" w:color="auto" w:fill="FFFFFF"/>
        </w:rPr>
        <w:t xml:space="preserve"> and</w:t>
      </w:r>
      <w:r w:rsidRPr="003847EE">
        <w:rPr>
          <w:rFonts w:cstheme="minorHAnsi"/>
          <w:color w:val="000000"/>
          <w:shd w:val="clear" w:color="auto" w:fill="FFFFFF"/>
        </w:rPr>
        <w:t xml:space="preserve"> </w:t>
      </w:r>
      <w:r w:rsidRPr="008510E0">
        <w:rPr>
          <w:rFonts w:cstheme="minorHAnsi"/>
          <w:color w:val="000000"/>
          <w:shd w:val="clear" w:color="auto" w:fill="FFFFFF"/>
        </w:rPr>
        <w:t xml:space="preserve">non-lignified stem </w:t>
      </w:r>
      <w:r w:rsidRPr="003847EE">
        <w:rPr>
          <w:rFonts w:cstheme="minorHAnsi"/>
          <w:color w:val="000000"/>
          <w:shd w:val="clear" w:color="auto" w:fill="FFFFFF"/>
        </w:rPr>
        <w:t>with leaves</w:t>
      </w:r>
      <w:r w:rsidRPr="008510E0">
        <w:rPr>
          <w:rFonts w:cstheme="minorHAnsi"/>
          <w:color w:val="000000"/>
          <w:shd w:val="clear" w:color="auto" w:fill="FFFFFF"/>
        </w:rPr>
        <w:t xml:space="preserve"> </w:t>
      </w:r>
      <w:r>
        <w:rPr>
          <w:rFonts w:cstheme="minorHAnsi"/>
          <w:color w:val="000000"/>
          <w:shd w:val="clear" w:color="auto" w:fill="FFFFFF"/>
        </w:rPr>
        <w:t xml:space="preserve">which </w:t>
      </w:r>
      <w:r w:rsidRPr="008510E0">
        <w:rPr>
          <w:rFonts w:cstheme="minorHAnsi"/>
          <w:color w:val="000000"/>
          <w:shd w:val="clear" w:color="auto" w:fill="FFFFFF"/>
        </w:rPr>
        <w:t xml:space="preserve">are considered </w:t>
      </w:r>
      <w:r>
        <w:rPr>
          <w:rFonts w:cstheme="minorHAnsi"/>
          <w:color w:val="000000"/>
          <w:shd w:val="clear" w:color="auto" w:fill="FFFFFF"/>
        </w:rPr>
        <w:t xml:space="preserve">comparable to either semi-hardwood or </w:t>
      </w:r>
      <w:r w:rsidRPr="008510E0">
        <w:rPr>
          <w:rFonts w:cstheme="minorHAnsi"/>
          <w:color w:val="000000"/>
          <w:shd w:val="clear" w:color="auto" w:fill="FFFFFF"/>
        </w:rPr>
        <w:t>softwood cuttings</w:t>
      </w:r>
      <w:r w:rsidRPr="00720B78">
        <w:rPr>
          <w:rFonts w:cstheme="minorHAnsi"/>
          <w:color w:val="000000"/>
          <w:sz w:val="18"/>
          <w:szCs w:val="18"/>
          <w:shd w:val="clear" w:color="auto" w:fill="FFFFFF"/>
        </w:rPr>
        <w:t>.</w:t>
      </w:r>
    </w:p>
    <w:p w14:paraId="2FC6BF93" w14:textId="77777777" w:rsidR="004726BA" w:rsidRDefault="004726BA" w:rsidP="00800E7D">
      <w:pPr>
        <w:rPr>
          <w:rFonts w:eastAsia="Calibri" w:cs="Times New Roman"/>
        </w:rPr>
      </w:pPr>
      <w:r w:rsidRPr="66EA02F4">
        <w:rPr>
          <w:rFonts w:eastAsia="Calibri" w:cs="Times New Roman"/>
        </w:rPr>
        <w:t>Commercial propagation of roses often uses grafting techniques which attach the</w:t>
      </w:r>
      <w:r>
        <w:rPr>
          <w:rFonts w:eastAsia="Calibri" w:cs="Times New Roman"/>
        </w:rPr>
        <w:t xml:space="preserve"> bud-eye or cutting of</w:t>
      </w:r>
      <w:r w:rsidRPr="66EA02F4">
        <w:rPr>
          <w:rFonts w:eastAsia="Calibri" w:cs="Times New Roman"/>
        </w:rPr>
        <w:t xml:space="preserve"> </w:t>
      </w:r>
      <w:r>
        <w:rPr>
          <w:rFonts w:eastAsia="Calibri" w:cs="Times New Roman"/>
        </w:rPr>
        <w:t xml:space="preserve">a </w:t>
      </w:r>
      <w:r w:rsidRPr="66EA02F4">
        <w:rPr>
          <w:rFonts w:eastAsia="Calibri" w:cs="Times New Roman"/>
        </w:rPr>
        <w:t xml:space="preserve">desired rose </w:t>
      </w:r>
      <w:r>
        <w:rPr>
          <w:rFonts w:eastAsia="Calibri" w:cs="Times New Roman"/>
        </w:rPr>
        <w:t>cultivar</w:t>
      </w:r>
      <w:r w:rsidRPr="66EA02F4">
        <w:rPr>
          <w:rFonts w:eastAsia="Calibri" w:cs="Times New Roman"/>
        </w:rPr>
        <w:t xml:space="preserve"> to a more vigorous growing variety of root stock </w:t>
      </w:r>
      <w:r>
        <w:rPr>
          <w:rFonts w:eastAsia="Calibri" w:cs="Times New Roman"/>
          <w:noProof/>
        </w:rPr>
        <w:t>(Izadi, Zarei &amp; Alizadeh 2014)</w:t>
      </w:r>
      <w:r w:rsidRPr="66EA02F4">
        <w:rPr>
          <w:rFonts w:eastAsia="Calibri" w:cs="Times New Roman"/>
        </w:rPr>
        <w:t xml:space="preserve">; however, this is not a requirement as many roses will grow well on their own roots </w:t>
      </w:r>
      <w:r>
        <w:rPr>
          <w:rFonts w:eastAsia="Calibri" w:cs="Times New Roman"/>
          <w:noProof/>
        </w:rPr>
        <w:t>(Thomson 2009)</w:t>
      </w:r>
      <w:r>
        <w:rPr>
          <w:rFonts w:eastAsia="Calibri" w:cs="Times New Roman"/>
        </w:rPr>
        <w:t>.</w:t>
      </w:r>
    </w:p>
    <w:p w14:paraId="76B0485C" w14:textId="77777777" w:rsidR="004726BA" w:rsidRDefault="004726BA" w:rsidP="00800E7D">
      <w:pPr>
        <w:rPr>
          <w:rFonts w:eastAsia="Calibri" w:cs="Times New Roman"/>
        </w:rPr>
      </w:pPr>
      <w:r>
        <w:rPr>
          <w:rFonts w:eastAsia="Calibri" w:cs="Times New Roman"/>
        </w:rPr>
        <w:t xml:space="preserve">Successful propagation of a stem cutting depends on the formation of adventitious roots at the base of the cutting and the development of shoot(s) via axillary bud(s) within leaf node(s) on the cutting </w:t>
      </w:r>
      <w:r>
        <w:rPr>
          <w:rFonts w:eastAsia="Calibri" w:cs="Times New Roman"/>
          <w:noProof/>
        </w:rPr>
        <w:t>(Justamante et al. 2019)</w:t>
      </w:r>
      <w:r>
        <w:rPr>
          <w:rFonts w:eastAsia="Calibri" w:cs="Times New Roman"/>
        </w:rPr>
        <w:t>.</w:t>
      </w:r>
    </w:p>
    <w:p w14:paraId="63D4E915" w14:textId="77777777" w:rsidR="004726BA" w:rsidRDefault="004726BA" w:rsidP="00800E7D">
      <w:pPr>
        <w:rPr>
          <w:rFonts w:eastAsia="Calibri" w:cs="Times New Roman"/>
        </w:rPr>
      </w:pPr>
      <w:r>
        <w:rPr>
          <w:rFonts w:eastAsia="Calibri" w:cs="Times New Roman"/>
        </w:rPr>
        <w:t xml:space="preserve">There is </w:t>
      </w:r>
      <w:r w:rsidRPr="00525379">
        <w:rPr>
          <w:rFonts w:eastAsia="Calibri" w:cs="Times New Roman"/>
        </w:rPr>
        <w:t xml:space="preserve">variance in the ability to propagate between different </w:t>
      </w:r>
      <w:r>
        <w:rPr>
          <w:rFonts w:eastAsia="Calibri" w:cs="Times New Roman"/>
        </w:rPr>
        <w:t>species, as well as</w:t>
      </w:r>
      <w:r w:rsidRPr="00525379">
        <w:rPr>
          <w:rFonts w:eastAsia="Calibri" w:cs="Times New Roman"/>
        </w:rPr>
        <w:t xml:space="preserve"> </w:t>
      </w:r>
      <w:r>
        <w:rPr>
          <w:rFonts w:eastAsia="Calibri" w:cs="Times New Roman"/>
        </w:rPr>
        <w:t>cultivars</w:t>
      </w:r>
      <w:r w:rsidRPr="00525379">
        <w:rPr>
          <w:rFonts w:eastAsia="Calibri" w:cs="Times New Roman"/>
        </w:rPr>
        <w:t xml:space="preserve"> </w:t>
      </w:r>
      <w:r>
        <w:rPr>
          <w:rFonts w:eastAsia="Calibri" w:cs="Times New Roman"/>
        </w:rPr>
        <w:t xml:space="preserve">within a species </w:t>
      </w:r>
      <w:r>
        <w:rPr>
          <w:rFonts w:eastAsia="Calibri" w:cs="Times New Roman"/>
          <w:noProof/>
        </w:rPr>
        <w:t>(Dubois &amp; de Vries 1991; Justamante et al. 2019; Nguyen, Winkelmann &amp; Debener 2020)</w:t>
      </w:r>
      <w:r w:rsidRPr="0070476C">
        <w:rPr>
          <w:rFonts w:eastAsia="Calibri" w:cs="Times New Roman"/>
        </w:rPr>
        <w:t>.</w:t>
      </w:r>
      <w:r>
        <w:rPr>
          <w:rFonts w:eastAsia="Calibri" w:cs="Times New Roman"/>
        </w:rPr>
        <w:t xml:space="preserve"> While some cultivars of rose, carnations and </w:t>
      </w:r>
      <w:r w:rsidRPr="00402470">
        <w:rPr>
          <w:rFonts w:eastAsia="Calibri" w:cs="Times New Roman"/>
        </w:rPr>
        <w:t>chrysanthemum</w:t>
      </w:r>
      <w:r>
        <w:rPr>
          <w:rFonts w:eastAsia="Calibri" w:cs="Times New Roman"/>
        </w:rPr>
        <w:t xml:space="preserve">s can be propagated relatively easily, others depend on specific plant material to be used and/or specialist techniques </w:t>
      </w:r>
      <w:r>
        <w:rPr>
          <w:rFonts w:eastAsia="Calibri" w:cs="Times New Roman"/>
          <w:noProof/>
        </w:rPr>
        <w:t>(Glady, Lang &amp; Runkle 2007; Izadi, Zarei &amp; Alizadeh 2014; Momin et al. 2015; Nazari, Khosh-Khui &amp; Salehi 2009; Zheng, Xiao &amp; Song 2020)</w:t>
      </w:r>
      <w:r w:rsidRPr="0070476C">
        <w:rPr>
          <w:rFonts w:eastAsia="Calibri" w:cs="Times New Roman"/>
        </w:rPr>
        <w:t>.</w:t>
      </w:r>
    </w:p>
    <w:p w14:paraId="79FEA79D" w14:textId="77777777" w:rsidR="004726BA" w:rsidRDefault="004726BA" w:rsidP="00800E7D">
      <w:pPr>
        <w:rPr>
          <w:rFonts w:eastAsia="Calibri" w:cs="Times New Roman"/>
        </w:rPr>
      </w:pPr>
      <w:r>
        <w:rPr>
          <w:rFonts w:eastAsia="Calibri" w:cs="Times New Roman"/>
        </w:rPr>
        <w:lastRenderedPageBreak/>
        <w:t>In general, a healthy vigorous stem cutting is important to the success of propagation. Other characteristics which contribute to propagation success include:</w:t>
      </w:r>
    </w:p>
    <w:p w14:paraId="39711BD6" w14:textId="77777777" w:rsidR="004726BA" w:rsidRPr="00E13AFB" w:rsidRDefault="004726BA" w:rsidP="00800E7D">
      <w:pPr>
        <w:pStyle w:val="ListParagraph"/>
        <w:numPr>
          <w:ilvl w:val="0"/>
          <w:numId w:val="12"/>
        </w:numPr>
      </w:pPr>
      <w:r w:rsidRPr="00175BE1">
        <w:rPr>
          <w:rFonts w:eastAsia="Calibri" w:cs="Times New Roman"/>
        </w:rPr>
        <w:t>leaf area and thickness and photosynthetic capacity (as affected by e.g. stomatal density and chlorophyll content</w:t>
      </w:r>
      <w:proofErr w:type="gramStart"/>
      <w:r w:rsidRPr="00175BE1">
        <w:rPr>
          <w:rFonts w:eastAsia="Calibri" w:cs="Times New Roman"/>
        </w:rPr>
        <w:t>);</w:t>
      </w:r>
      <w:proofErr w:type="gramEnd"/>
    </w:p>
    <w:p w14:paraId="4345A680" w14:textId="77777777" w:rsidR="004726BA" w:rsidRPr="00E13AFB" w:rsidRDefault="004726BA" w:rsidP="00800E7D">
      <w:pPr>
        <w:pStyle w:val="ListParagraph"/>
        <w:numPr>
          <w:ilvl w:val="0"/>
          <w:numId w:val="12"/>
        </w:numPr>
      </w:pPr>
      <w:r w:rsidRPr="00175BE1">
        <w:rPr>
          <w:rFonts w:eastAsia="Calibri" w:cs="Times New Roman"/>
        </w:rPr>
        <w:t xml:space="preserve">internode length and stem </w:t>
      </w:r>
      <w:proofErr w:type="gramStart"/>
      <w:r w:rsidRPr="00175BE1">
        <w:rPr>
          <w:rFonts w:eastAsia="Calibri" w:cs="Times New Roman"/>
        </w:rPr>
        <w:t>diameter;</w:t>
      </w:r>
      <w:proofErr w:type="gramEnd"/>
    </w:p>
    <w:p w14:paraId="62115A75" w14:textId="77777777" w:rsidR="004726BA" w:rsidRPr="00E13AFB" w:rsidRDefault="004726BA" w:rsidP="00800E7D">
      <w:pPr>
        <w:pStyle w:val="ListParagraph"/>
        <w:numPr>
          <w:ilvl w:val="0"/>
          <w:numId w:val="12"/>
        </w:numPr>
      </w:pPr>
      <w:r w:rsidRPr="00175BE1">
        <w:rPr>
          <w:rFonts w:eastAsia="Calibri" w:cs="Times New Roman"/>
        </w:rPr>
        <w:t xml:space="preserve">starch, soluble carbohydrate and nutrient contents in the leaf and </w:t>
      </w:r>
      <w:proofErr w:type="gramStart"/>
      <w:r w:rsidRPr="00175BE1">
        <w:rPr>
          <w:rFonts w:eastAsia="Calibri" w:cs="Times New Roman"/>
        </w:rPr>
        <w:t>stem;</w:t>
      </w:r>
      <w:proofErr w:type="gramEnd"/>
      <w:r w:rsidRPr="00175BE1">
        <w:rPr>
          <w:rFonts w:eastAsia="Calibri" w:cs="Times New Roman"/>
        </w:rPr>
        <w:t xml:space="preserve"> </w:t>
      </w:r>
    </w:p>
    <w:p w14:paraId="4EC8322A" w14:textId="77777777" w:rsidR="004726BA" w:rsidRPr="00AD7A4D" w:rsidRDefault="004726BA" w:rsidP="00800E7D">
      <w:pPr>
        <w:pStyle w:val="ListParagraph"/>
        <w:numPr>
          <w:ilvl w:val="0"/>
          <w:numId w:val="12"/>
        </w:numPr>
      </w:pPr>
      <w:r w:rsidRPr="00175BE1">
        <w:rPr>
          <w:rFonts w:eastAsia="Calibri" w:cs="Times New Roman"/>
        </w:rPr>
        <w:t>concentration of endogenous growth substances</w:t>
      </w:r>
      <w:r>
        <w:rPr>
          <w:rFonts w:eastAsia="Calibri" w:cs="Times New Roman"/>
        </w:rPr>
        <w:t>; and</w:t>
      </w:r>
    </w:p>
    <w:p w14:paraId="7139522B" w14:textId="77777777" w:rsidR="004726BA" w:rsidRDefault="004726BA" w:rsidP="00800E7D">
      <w:pPr>
        <w:pStyle w:val="ListParagraph"/>
        <w:numPr>
          <w:ilvl w:val="0"/>
          <w:numId w:val="12"/>
        </w:numPr>
      </w:pPr>
      <w:r>
        <w:rPr>
          <w:rFonts w:eastAsia="Calibri" w:cs="Times New Roman"/>
        </w:rPr>
        <w:t>p</w:t>
      </w:r>
      <w:r w:rsidRPr="00175BE1">
        <w:rPr>
          <w:rFonts w:eastAsia="Calibri" w:cs="Times New Roman"/>
        </w:rPr>
        <w:t xml:space="preserve">osition along the stem from which the cutting was taken and position of the stem within the plant’s canopy also influence rooting potential </w:t>
      </w:r>
      <w:r w:rsidRPr="00175BE1">
        <w:rPr>
          <w:rFonts w:eastAsia="Calibri" w:cs="Times New Roman"/>
          <w:noProof/>
        </w:rPr>
        <w:t>(Leakey, Newton &amp; Dick 1994)</w:t>
      </w:r>
      <w:r w:rsidRPr="00175BE1">
        <w:rPr>
          <w:rFonts w:eastAsia="Calibri" w:cs="Times New Roman"/>
        </w:rPr>
        <w:t>.</w:t>
      </w:r>
    </w:p>
    <w:p w14:paraId="3F121E74" w14:textId="77777777" w:rsidR="004726BA" w:rsidRDefault="004726BA" w:rsidP="00800E7D">
      <w:pPr>
        <w:rPr>
          <w:rFonts w:eastAsia="Calibri" w:cs="Times New Roman"/>
        </w:rPr>
      </w:pPr>
      <w:r>
        <w:rPr>
          <w:rFonts w:eastAsia="Calibri" w:cs="Times New Roman"/>
        </w:rPr>
        <w:t>In a rose stem</w:t>
      </w:r>
      <w:r w:rsidRPr="66EA02F4">
        <w:rPr>
          <w:rFonts w:eastAsia="Calibri" w:cs="Times New Roman"/>
        </w:rPr>
        <w:t xml:space="preserve">, axillary buds higher up the stem typically form more flowers and less vegetative </w:t>
      </w:r>
      <w:proofErr w:type="gramStart"/>
      <w:r w:rsidRPr="66EA02F4">
        <w:rPr>
          <w:rFonts w:eastAsia="Calibri" w:cs="Times New Roman"/>
        </w:rPr>
        <w:t>growth;</w:t>
      </w:r>
      <w:proofErr w:type="gramEnd"/>
      <w:r w:rsidRPr="66EA02F4">
        <w:rPr>
          <w:rFonts w:eastAsia="Calibri" w:cs="Times New Roman"/>
        </w:rPr>
        <w:t xml:space="preserve"> whereas axillary buds further down the stem form veget</w:t>
      </w:r>
      <w:r>
        <w:rPr>
          <w:rFonts w:eastAsia="Calibri" w:cs="Times New Roman"/>
        </w:rPr>
        <w:t>at</w:t>
      </w:r>
      <w:r w:rsidRPr="66EA02F4">
        <w:rPr>
          <w:rFonts w:eastAsia="Calibri" w:cs="Times New Roman"/>
        </w:rPr>
        <w:t xml:space="preserve">ive growth. Cuttings generated from higher up on the stem produce plantlets of poor quality and are generally avoided in commercial rose propagation </w:t>
      </w:r>
      <w:r>
        <w:rPr>
          <w:rFonts w:eastAsia="Calibri" w:cs="Times New Roman"/>
          <w:noProof/>
        </w:rPr>
        <w:t>(Marcelis-van Acker 1994)</w:t>
      </w:r>
      <w:r w:rsidRPr="66EA02F4">
        <w:rPr>
          <w:rFonts w:eastAsia="Calibri" w:cs="Times New Roman"/>
        </w:rPr>
        <w:t>.</w:t>
      </w:r>
    </w:p>
    <w:p w14:paraId="35271219" w14:textId="77777777" w:rsidR="004726BA" w:rsidRDefault="004726BA" w:rsidP="00800E7D">
      <w:pPr>
        <w:rPr>
          <w:rFonts w:eastAsia="Calibri" w:cs="Times New Roman"/>
        </w:rPr>
      </w:pPr>
      <w:r>
        <w:rPr>
          <w:rFonts w:eastAsia="Calibri" w:cs="Times New Roman"/>
        </w:rPr>
        <w:t>The presence and number of l</w:t>
      </w:r>
      <w:r w:rsidRPr="66EA02F4">
        <w:rPr>
          <w:rFonts w:eastAsia="Calibri" w:cs="Times New Roman"/>
        </w:rPr>
        <w:t xml:space="preserve">eaf nodes on cut flowers depend on </w:t>
      </w:r>
      <w:r>
        <w:rPr>
          <w:rFonts w:eastAsia="Calibri" w:cs="Times New Roman"/>
        </w:rPr>
        <w:t xml:space="preserve">the arrangement or </w:t>
      </w:r>
      <w:r w:rsidRPr="000805EE">
        <w:rPr>
          <w:rFonts w:cstheme="minorHAnsi"/>
        </w:rPr>
        <w:t xml:space="preserve">bouquet </w:t>
      </w:r>
      <w:r>
        <w:rPr>
          <w:rFonts w:cstheme="minorHAnsi"/>
        </w:rPr>
        <w:t xml:space="preserve">as well as </w:t>
      </w:r>
      <w:r w:rsidRPr="66EA02F4">
        <w:rPr>
          <w:rFonts w:eastAsia="Calibri" w:cs="Times New Roman"/>
        </w:rPr>
        <w:t xml:space="preserve">the </w:t>
      </w:r>
      <w:r>
        <w:rPr>
          <w:rFonts w:eastAsia="Calibri" w:cs="Times New Roman"/>
        </w:rPr>
        <w:t xml:space="preserve">size or grade </w:t>
      </w:r>
      <w:r w:rsidRPr="000805EE">
        <w:rPr>
          <w:rFonts w:cstheme="minorHAnsi"/>
        </w:rPr>
        <w:t>of</w:t>
      </w:r>
      <w:r>
        <w:rPr>
          <w:rFonts w:asciiTheme="minorHAnsi" w:hAnsiTheme="minorHAnsi" w:cstheme="minorHAnsi"/>
        </w:rPr>
        <w:t xml:space="preserve"> </w:t>
      </w:r>
      <w:r w:rsidRPr="000805EE">
        <w:rPr>
          <w:rFonts w:cstheme="minorHAnsi"/>
        </w:rPr>
        <w:t>the cut flowers</w:t>
      </w:r>
      <w:r>
        <w:rPr>
          <w:rFonts w:asciiTheme="minorHAnsi" w:hAnsiTheme="minorHAnsi" w:cstheme="minorHAnsi"/>
        </w:rPr>
        <w:t>.</w:t>
      </w:r>
      <w:r w:rsidRPr="66EA02F4">
        <w:rPr>
          <w:rFonts w:eastAsia="Calibri" w:cs="Times New Roman"/>
        </w:rPr>
        <w:t xml:space="preserve"> </w:t>
      </w:r>
      <w:r>
        <w:rPr>
          <w:rFonts w:eastAsia="Calibri" w:cs="Times New Roman"/>
        </w:rPr>
        <w:t>F</w:t>
      </w:r>
      <w:r w:rsidRPr="66EA02F4">
        <w:rPr>
          <w:rFonts w:eastAsia="Calibri" w:cs="Times New Roman"/>
        </w:rPr>
        <w:t xml:space="preserve">or example, </w:t>
      </w:r>
      <w:r>
        <w:rPr>
          <w:rFonts w:eastAsia="Calibri" w:cs="Times New Roman"/>
        </w:rPr>
        <w:t xml:space="preserve">number of </w:t>
      </w:r>
      <w:r w:rsidRPr="66EA02F4">
        <w:rPr>
          <w:rFonts w:eastAsia="Calibri" w:cs="Times New Roman"/>
        </w:rPr>
        <w:t xml:space="preserve">leaf nodes may be </w:t>
      </w:r>
      <w:r>
        <w:rPr>
          <w:rFonts w:eastAsia="Calibri" w:cs="Times New Roman"/>
        </w:rPr>
        <w:t xml:space="preserve">fewer </w:t>
      </w:r>
      <w:r w:rsidRPr="66EA02F4">
        <w:rPr>
          <w:rFonts w:eastAsia="Calibri" w:cs="Times New Roman"/>
        </w:rPr>
        <w:t xml:space="preserve">in </w:t>
      </w:r>
      <w:r>
        <w:rPr>
          <w:rFonts w:eastAsia="Calibri" w:cs="Times New Roman"/>
        </w:rPr>
        <w:t xml:space="preserve">a </w:t>
      </w:r>
      <w:r w:rsidRPr="66EA02F4">
        <w:rPr>
          <w:rFonts w:eastAsia="Calibri" w:cs="Times New Roman"/>
        </w:rPr>
        <w:t>small cut flower gift box (</w:t>
      </w:r>
      <w:r>
        <w:rPr>
          <w:rFonts w:eastAsia="Calibri" w:cs="Times New Roman"/>
        </w:rPr>
        <w:t xml:space="preserve">far right in </w:t>
      </w:r>
      <w:r w:rsidRPr="66EA02F4">
        <w:rPr>
          <w:rFonts w:eastAsia="Calibri" w:cs="Times New Roman"/>
        </w:rPr>
        <w:t>Figure 3.2)</w:t>
      </w:r>
      <w:r>
        <w:rPr>
          <w:rFonts w:eastAsia="Calibri" w:cs="Times New Roman"/>
        </w:rPr>
        <w:t xml:space="preserve"> or in mini grade (far left in Figure 3.3)</w:t>
      </w:r>
      <w:r w:rsidRPr="66EA02F4">
        <w:rPr>
          <w:rFonts w:eastAsia="Calibri" w:cs="Times New Roman"/>
        </w:rPr>
        <w:t>.</w:t>
      </w:r>
    </w:p>
    <w:p w14:paraId="36EE0746" w14:textId="77777777" w:rsidR="004726BA" w:rsidRPr="00BF086B" w:rsidRDefault="004726BA" w:rsidP="00800E7D">
      <w:pPr>
        <w:pStyle w:val="Caption"/>
      </w:pPr>
      <w:bookmarkStart w:id="42" w:name="_Toc202256546"/>
      <w:r w:rsidRPr="00C31E75">
        <w:t xml:space="preserve">Figure 3.2 </w:t>
      </w:r>
      <w:r w:rsidRPr="00641C5A">
        <w:t xml:space="preserve">Three different flower bouquets </w:t>
      </w:r>
      <w:r>
        <w:t xml:space="preserve">with </w:t>
      </w:r>
      <w:r w:rsidRPr="00641C5A">
        <w:t xml:space="preserve">reduced number of leaf nodes </w:t>
      </w:r>
      <w:r>
        <w:t xml:space="preserve">from </w:t>
      </w:r>
      <w:r w:rsidRPr="00641C5A">
        <w:t>left to right.</w:t>
      </w:r>
      <w:bookmarkEnd w:id="42"/>
    </w:p>
    <w:p w14:paraId="6499D920" w14:textId="77777777" w:rsidR="004726BA" w:rsidRPr="001B73C1" w:rsidRDefault="004726BA" w:rsidP="00800E7D">
      <w:pPr>
        <w:spacing w:after="0"/>
        <w:rPr>
          <w:rFonts w:eastAsia="Calibri" w:cs="Times New Roman"/>
          <w:i/>
          <w:iCs/>
        </w:rPr>
      </w:pPr>
      <w:r w:rsidRPr="001B73C1">
        <w:rPr>
          <w:rFonts w:eastAsia="Calibri" w:cs="Times New Roman"/>
          <w:i/>
          <w:iCs/>
          <w:noProof/>
        </w:rPr>
        <w:drawing>
          <wp:inline distT="0" distB="0" distL="0" distR="0" wp14:anchorId="0006D85D" wp14:editId="21A7175E">
            <wp:extent cx="3810000" cy="1387370"/>
            <wp:effectExtent l="0" t="0" r="0" b="3810"/>
            <wp:docPr id="1127278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2662" r="15993" b="10862"/>
                    <a:stretch/>
                  </pic:blipFill>
                  <pic:spPr bwMode="auto">
                    <a:xfrm>
                      <a:off x="0" y="0"/>
                      <a:ext cx="3829775" cy="1394571"/>
                    </a:xfrm>
                    <a:prstGeom prst="rect">
                      <a:avLst/>
                    </a:prstGeom>
                    <a:noFill/>
                    <a:ln>
                      <a:noFill/>
                    </a:ln>
                    <a:extLst>
                      <a:ext uri="{53640926-AAD7-44D8-BBD7-CCE9431645EC}">
                        <a14:shadowObscured xmlns:a14="http://schemas.microsoft.com/office/drawing/2010/main"/>
                      </a:ext>
                    </a:extLst>
                  </pic:spPr>
                </pic:pic>
              </a:graphicData>
            </a:graphic>
          </wp:inline>
        </w:drawing>
      </w:r>
    </w:p>
    <w:p w14:paraId="7D2B9283" w14:textId="77777777" w:rsidR="004726BA" w:rsidRDefault="004726BA" w:rsidP="00800E7D">
      <w:pPr>
        <w:pStyle w:val="FigureTableNoteSource"/>
      </w:pPr>
      <w:r w:rsidRPr="000A2A43">
        <w:t xml:space="preserve">Source: </w:t>
      </w:r>
      <w:r>
        <w:t>Photos adapted from adobe express under licence.</w:t>
      </w:r>
    </w:p>
    <w:p w14:paraId="0BA0AF64" w14:textId="77777777" w:rsidR="004726BA" w:rsidRPr="00BF086B" w:rsidRDefault="004726BA" w:rsidP="00800E7D">
      <w:pPr>
        <w:pStyle w:val="Caption"/>
      </w:pPr>
      <w:bookmarkStart w:id="43" w:name="_Toc202256547"/>
      <w:r w:rsidRPr="00C31E75">
        <w:lastRenderedPageBreak/>
        <w:t>Figure 3.</w:t>
      </w:r>
      <w:r>
        <w:t>3</w:t>
      </w:r>
      <w:r w:rsidRPr="00C31E75">
        <w:t xml:space="preserve"> </w:t>
      </w:r>
      <w:r w:rsidRPr="00641C5A">
        <w:t xml:space="preserve">Three different </w:t>
      </w:r>
      <w:r>
        <w:t>grades of roses</w:t>
      </w:r>
      <w:r w:rsidRPr="00641C5A">
        <w:t xml:space="preserve"> </w:t>
      </w:r>
      <w:r>
        <w:t>with increased</w:t>
      </w:r>
      <w:r w:rsidRPr="00641C5A">
        <w:t xml:space="preserve"> number of leaf nodes </w:t>
      </w:r>
      <w:r>
        <w:t xml:space="preserve">from </w:t>
      </w:r>
      <w:r w:rsidRPr="00641C5A">
        <w:t>left to right.</w:t>
      </w:r>
      <w:bookmarkEnd w:id="43"/>
      <w:r w:rsidRPr="00641C5A">
        <w:t xml:space="preserve"> </w:t>
      </w:r>
    </w:p>
    <w:p w14:paraId="2E755649" w14:textId="77777777" w:rsidR="004726BA" w:rsidRPr="000A2A43" w:rsidRDefault="004726BA" w:rsidP="00800E7D">
      <w:pPr>
        <w:rPr>
          <w:rFonts w:asciiTheme="minorHAnsi" w:eastAsia="Calibri" w:hAnsiTheme="minorHAnsi" w:cstheme="minorHAnsi"/>
          <w:sz w:val="18"/>
          <w:szCs w:val="18"/>
        </w:rPr>
      </w:pPr>
      <w:r>
        <w:rPr>
          <w:rFonts w:asciiTheme="minorHAnsi" w:eastAsia="Calibri" w:hAnsiTheme="minorHAnsi" w:cstheme="minorHAnsi"/>
          <w:noProof/>
          <w:sz w:val="18"/>
          <w:szCs w:val="18"/>
        </w:rPr>
        <w:drawing>
          <wp:inline distT="0" distB="0" distL="0" distR="0" wp14:anchorId="223831BD" wp14:editId="60D8F6CD">
            <wp:extent cx="2717800" cy="2865755"/>
            <wp:effectExtent l="0" t="0" r="6350" b="0"/>
            <wp:docPr id="277647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7800" cy="2865755"/>
                    </a:xfrm>
                    <a:prstGeom prst="rect">
                      <a:avLst/>
                    </a:prstGeom>
                    <a:noFill/>
                    <a:ln>
                      <a:noFill/>
                    </a:ln>
                  </pic:spPr>
                </pic:pic>
              </a:graphicData>
            </a:graphic>
          </wp:inline>
        </w:drawing>
      </w:r>
    </w:p>
    <w:p w14:paraId="667C08E2" w14:textId="77777777" w:rsidR="004726BA" w:rsidRDefault="004726BA" w:rsidP="00800E7D">
      <w:pPr>
        <w:pStyle w:val="FigureTableNoteSource"/>
      </w:pPr>
      <w:r w:rsidRPr="000A2A43">
        <w:t xml:space="preserve">Source: </w:t>
      </w:r>
      <w:r w:rsidRPr="00B91EA5">
        <w:rPr>
          <w:b/>
          <w:bCs/>
          <w:sz w:val="20"/>
          <w:szCs w:val="20"/>
        </w:rPr>
        <w:t xml:space="preserve"> </w:t>
      </w:r>
      <w:r w:rsidRPr="00B91EA5">
        <w:t>www.verdissimousa.com</w:t>
      </w:r>
    </w:p>
    <w:p w14:paraId="3F6DA230" w14:textId="77777777" w:rsidR="004726BA" w:rsidRDefault="004726BA" w:rsidP="00800E7D">
      <w:pPr>
        <w:rPr>
          <w:rFonts w:cs="Arial"/>
          <w:color w:val="1F1F1F"/>
          <w:shd w:val="clear" w:color="auto" w:fill="FFFFFF"/>
        </w:rPr>
      </w:pPr>
      <w:r w:rsidRPr="0094105E">
        <w:rPr>
          <w:rStyle w:val="uv3um"/>
          <w:rFonts w:cstheme="minorHAnsi"/>
          <w:color w:val="001D35"/>
          <w:shd w:val="clear" w:color="auto" w:fill="FFFFFF"/>
        </w:rPr>
        <w:t>Flowers</w:t>
      </w:r>
      <w:r w:rsidRPr="00B733D6">
        <w:rPr>
          <w:rFonts w:cs="Arial"/>
          <w:color w:val="040C28"/>
        </w:rPr>
        <w:t xml:space="preserve"> </w:t>
      </w:r>
      <w:r w:rsidRPr="0094105E">
        <w:rPr>
          <w:rFonts w:cs="Arial"/>
          <w:color w:val="040C28"/>
        </w:rPr>
        <w:t xml:space="preserve">are </w:t>
      </w:r>
      <w:r w:rsidRPr="00B733D6">
        <w:rPr>
          <w:color w:val="1F1F1F"/>
        </w:rPr>
        <w:t xml:space="preserve">active sink organs that require a continuous supply of carbohydrates as an energy source, as building blocks for cell wall synthesis and to maintain osmotic potential </w:t>
      </w:r>
      <w:r>
        <w:rPr>
          <w:noProof/>
        </w:rPr>
        <w:t>(Ranwala &amp; Miller 2009)</w:t>
      </w:r>
      <w:r w:rsidRPr="00B733D6">
        <w:rPr>
          <w:color w:val="1F1F1F"/>
        </w:rPr>
        <w:t xml:space="preserve">. They </w:t>
      </w:r>
      <w:r w:rsidRPr="00B733D6">
        <w:rPr>
          <w:rFonts w:cs="Arial"/>
          <w:color w:val="040C28"/>
        </w:rPr>
        <w:t>primarily receive carbohydrates and amino acids from other organs</w:t>
      </w:r>
      <w:r w:rsidRPr="0094105E">
        <w:rPr>
          <w:rFonts w:cs="Arial"/>
          <w:color w:val="040C28"/>
        </w:rPr>
        <w:t xml:space="preserve"> such as </w:t>
      </w:r>
      <w:r w:rsidRPr="00B733D6">
        <w:rPr>
          <w:rFonts w:cs="Arial"/>
          <w:color w:val="040C28"/>
        </w:rPr>
        <w:t>leaves</w:t>
      </w:r>
      <w:r w:rsidRPr="0094105E">
        <w:rPr>
          <w:rFonts w:cs="Arial"/>
          <w:color w:val="040C28"/>
        </w:rPr>
        <w:t xml:space="preserve">, sepals, stem and </w:t>
      </w:r>
      <w:r w:rsidRPr="00B733D6">
        <w:rPr>
          <w:rFonts w:cs="Arial"/>
          <w:color w:val="040C28"/>
        </w:rPr>
        <w:t>roots, where these metabolites are synthesi</w:t>
      </w:r>
      <w:r w:rsidRPr="0094105E">
        <w:rPr>
          <w:rFonts w:cs="Arial"/>
          <w:color w:val="040C28"/>
        </w:rPr>
        <w:t>s</w:t>
      </w:r>
      <w:r w:rsidRPr="00B733D6">
        <w:rPr>
          <w:rFonts w:cs="Arial"/>
          <w:color w:val="040C28"/>
        </w:rPr>
        <w:t>ed</w:t>
      </w:r>
      <w:r w:rsidRPr="0094105E">
        <w:rPr>
          <w:rFonts w:cs="Arial"/>
          <w:color w:val="040C28"/>
        </w:rPr>
        <w:t xml:space="preserve"> </w:t>
      </w:r>
      <w:r>
        <w:rPr>
          <w:rFonts w:cs="Arial"/>
          <w:noProof/>
          <w:color w:val="040C28"/>
        </w:rPr>
        <w:t>(Borghi &amp; Fernie 2021)</w:t>
      </w:r>
      <w:r w:rsidRPr="00B733D6">
        <w:rPr>
          <w:rFonts w:cs="Arial"/>
          <w:color w:val="1F1F1F"/>
          <w:shd w:val="clear" w:color="auto" w:fill="FFFFFF"/>
        </w:rPr>
        <w:t>.</w:t>
      </w:r>
    </w:p>
    <w:p w14:paraId="6BF3EE57" w14:textId="77777777" w:rsidR="004726BA" w:rsidRPr="0094105E" w:rsidRDefault="004726BA" w:rsidP="00800E7D">
      <w:pPr>
        <w:rPr>
          <w:rFonts w:eastAsia="Calibri" w:cstheme="minorHAnsi"/>
        </w:rPr>
      </w:pPr>
      <w:r w:rsidRPr="00B733D6">
        <w:rPr>
          <w:rFonts w:cs="Open Sans"/>
          <w:color w:val="333333"/>
        </w:rPr>
        <w:t xml:space="preserve">Once harvested from the plant, a cut flower </w:t>
      </w:r>
      <w:r>
        <w:rPr>
          <w:rFonts w:cs="Open Sans"/>
          <w:color w:val="333333"/>
        </w:rPr>
        <w:t xml:space="preserve">depends on metabolites synthesised and/or stored within a cut flower stem. </w:t>
      </w:r>
      <w:r>
        <w:t xml:space="preserve">Photosynthesis in leaves of cut flowers is very limited and does not provide enough carbohydrate </w:t>
      </w:r>
      <w:r>
        <w:rPr>
          <w:noProof/>
        </w:rPr>
        <w:t>(Ranwala &amp; Miller 2009)</w:t>
      </w:r>
      <w:r>
        <w:t xml:space="preserve"> and therefore postharvest quality and longevity of cut flowers are significantly shorter than those intact on a plant </w:t>
      </w:r>
      <w:r>
        <w:rPr>
          <w:noProof/>
        </w:rPr>
        <w:t>(Kondo et al. 2020)</w:t>
      </w:r>
      <w:r>
        <w:t xml:space="preserve">. This is expected to </w:t>
      </w:r>
      <w:r w:rsidRPr="007E799A">
        <w:t>subsequently</w:t>
      </w:r>
      <w:r>
        <w:t xml:space="preserve"> reduce </w:t>
      </w:r>
      <w:r w:rsidRPr="007E799A">
        <w:t>their viability for propagation</w:t>
      </w:r>
      <w:r>
        <w:t>.</w:t>
      </w:r>
    </w:p>
    <w:p w14:paraId="080B76D2" w14:textId="77777777" w:rsidR="004726BA" w:rsidRDefault="004726BA" w:rsidP="00800E7D">
      <w:pPr>
        <w:rPr>
          <w:rFonts w:eastAsia="Calibri" w:cs="Times New Roman"/>
        </w:rPr>
      </w:pPr>
      <w:r>
        <w:rPr>
          <w:rFonts w:eastAsia="Calibri" w:cs="Times New Roman"/>
        </w:rPr>
        <w:t>T</w:t>
      </w:r>
      <w:r w:rsidRPr="66EA02F4">
        <w:rPr>
          <w:rFonts w:eastAsia="Calibri" w:cs="Times New Roman"/>
        </w:rPr>
        <w:t xml:space="preserve">he process of flowering can </w:t>
      </w:r>
      <w:r>
        <w:rPr>
          <w:rFonts w:eastAsia="Calibri" w:cs="Times New Roman"/>
        </w:rPr>
        <w:t xml:space="preserve">also </w:t>
      </w:r>
      <w:r w:rsidRPr="66EA02F4">
        <w:rPr>
          <w:rFonts w:eastAsia="Calibri" w:cs="Times New Roman"/>
        </w:rPr>
        <w:t xml:space="preserve">lead to senescence and death of the plant parts involved for some species. These changes in plant physiology and metabolic pathways lead to reduced availability of essential nutrient and phytohormones </w:t>
      </w:r>
      <w:r>
        <w:rPr>
          <w:rFonts w:eastAsia="Calibri" w:cs="Times New Roman"/>
          <w:noProof/>
        </w:rPr>
        <w:t>(da Costa et al. 2021; da Silva 2006; Fanourakis et al. 2013)</w:t>
      </w:r>
      <w:r w:rsidRPr="66EA02F4">
        <w:rPr>
          <w:rFonts w:eastAsia="Calibri" w:cs="Times New Roman"/>
        </w:rPr>
        <w:t xml:space="preserve">, the elements that are pivotal to plant propagation </w:t>
      </w:r>
      <w:r>
        <w:rPr>
          <w:rFonts w:eastAsia="Calibri" w:cs="Times New Roman"/>
          <w:noProof/>
        </w:rPr>
        <w:t>(da Costa et al. 2021; Justamante et al. 2019; Kim et al. 2018; Leakey 2004; Otiende et al. 2021)</w:t>
      </w:r>
      <w:r w:rsidRPr="66EA02F4">
        <w:rPr>
          <w:rFonts w:eastAsia="Calibri" w:cs="Times New Roman"/>
        </w:rPr>
        <w:t>.</w:t>
      </w:r>
    </w:p>
    <w:p w14:paraId="3ADA0977" w14:textId="77777777" w:rsidR="004726BA" w:rsidRDefault="004726BA" w:rsidP="00800E7D">
      <w:pPr>
        <w:rPr>
          <w:rFonts w:eastAsia="Calibri" w:cs="Times New Roman"/>
        </w:rPr>
      </w:pPr>
      <w:r>
        <w:rPr>
          <w:rFonts w:eastAsia="Calibri" w:cs="Times New Roman"/>
        </w:rPr>
        <w:t xml:space="preserve">The information outlined in Section 3.3.1 means that cut flower stems, even at harvest, are generally less suitable (physically or metabolically) for plant propagation to produce viable and </w:t>
      </w:r>
      <w:r w:rsidRPr="002E3A78">
        <w:rPr>
          <w:rFonts w:eastAsia="Calibri" w:cs="Times New Roman"/>
        </w:rPr>
        <w:t>healthy plants</w:t>
      </w:r>
      <w:r>
        <w:rPr>
          <w:rFonts w:eastAsia="Calibri" w:cs="Times New Roman"/>
        </w:rPr>
        <w:t>, compared to cuttings selected and prepared as propagative material.</w:t>
      </w:r>
    </w:p>
    <w:p w14:paraId="59A9F664" w14:textId="77777777" w:rsidR="004726BA" w:rsidRDefault="004726BA" w:rsidP="00800E7D">
      <w:pPr>
        <w:pStyle w:val="Heading4"/>
      </w:pPr>
      <w:r>
        <w:t>Time between harvest and point of propagation</w:t>
      </w:r>
    </w:p>
    <w:p w14:paraId="685E4433" w14:textId="77777777" w:rsidR="004726BA" w:rsidRDefault="004726BA" w:rsidP="00800E7D">
      <w:r w:rsidRPr="002D1D51">
        <w:rPr>
          <w:rFonts w:eastAsia="Calibri"/>
        </w:rPr>
        <w:t>The time between harvest and propagation of plant material is critical to propagation success because following harvest, all plant materials, including cut flowers, have limited</w:t>
      </w:r>
      <w:r>
        <w:rPr>
          <w:rFonts w:eastAsia="Calibri"/>
        </w:rPr>
        <w:t xml:space="preserve"> longevity, which varies among species and cultivars </w:t>
      </w:r>
      <w:r>
        <w:rPr>
          <w:rFonts w:eastAsia="Calibri"/>
          <w:noProof/>
        </w:rPr>
        <w:t>(da Costa et al. 2021)</w:t>
      </w:r>
      <w:r>
        <w:rPr>
          <w:rFonts w:eastAsia="Calibri"/>
        </w:rPr>
        <w:t>.</w:t>
      </w:r>
    </w:p>
    <w:p w14:paraId="036B4B9F" w14:textId="77777777" w:rsidR="004726BA" w:rsidRDefault="004726BA" w:rsidP="00800E7D">
      <w:pPr>
        <w:rPr>
          <w:rFonts w:eastAsia="Calibri"/>
        </w:rPr>
      </w:pPr>
      <w:r w:rsidRPr="002D1D51">
        <w:rPr>
          <w:rFonts w:eastAsia="Calibri"/>
        </w:rPr>
        <w:t xml:space="preserve">Various </w:t>
      </w:r>
      <w:r>
        <w:rPr>
          <w:rFonts w:eastAsia="Calibri"/>
        </w:rPr>
        <w:t xml:space="preserve">factors associated with </w:t>
      </w:r>
      <w:r w:rsidRPr="002D1D51">
        <w:rPr>
          <w:rFonts w:eastAsia="Calibri"/>
        </w:rPr>
        <w:t xml:space="preserve">pre-harvest (such as genotype, growing conditions), during harvest (such as maturity stage, harvest method and time) and postharvest (such as pre-cooling, sorting, leaf </w:t>
      </w:r>
      <w:r w:rsidRPr="002D1D51">
        <w:rPr>
          <w:rFonts w:eastAsia="Calibri"/>
        </w:rPr>
        <w:lastRenderedPageBreak/>
        <w:t>removal, conditioning, and conditions during storage, transport and retail sale) affect postharvest</w:t>
      </w:r>
      <w:r>
        <w:t xml:space="preserve"> </w:t>
      </w:r>
      <w:r w:rsidRPr="002D1D51">
        <w:rPr>
          <w:rFonts w:eastAsia="Calibri"/>
        </w:rPr>
        <w:t xml:space="preserve">quality and longevity of cut flowers </w:t>
      </w:r>
      <w:r>
        <w:rPr>
          <w:rFonts w:eastAsia="Calibri"/>
          <w:noProof/>
        </w:rPr>
        <w:t>(Aydin 2023)</w:t>
      </w:r>
      <w:r>
        <w:rPr>
          <w:rFonts w:eastAsia="Calibri"/>
        </w:rPr>
        <w:t xml:space="preserve"> </w:t>
      </w:r>
      <w:r w:rsidRPr="002D1D51">
        <w:rPr>
          <w:rFonts w:eastAsia="Calibri"/>
        </w:rPr>
        <w:t>and subsequently their viability for propagation. About two-third</w:t>
      </w:r>
      <w:r>
        <w:rPr>
          <w:rFonts w:eastAsia="Calibri"/>
        </w:rPr>
        <w:t>s</w:t>
      </w:r>
      <w:r w:rsidRPr="002D1D51">
        <w:rPr>
          <w:rFonts w:eastAsia="Calibri"/>
        </w:rPr>
        <w:t xml:space="preserve"> of the </w:t>
      </w:r>
      <w:r>
        <w:rPr>
          <w:rFonts w:eastAsia="Calibri"/>
        </w:rPr>
        <w:t xml:space="preserve">shelf life of </w:t>
      </w:r>
      <w:r w:rsidRPr="002D1D51">
        <w:rPr>
          <w:rFonts w:eastAsia="Calibri"/>
        </w:rPr>
        <w:t xml:space="preserve">cut flowers depends on postharvest factors </w:t>
      </w:r>
      <w:r>
        <w:rPr>
          <w:rFonts w:eastAsia="Calibri"/>
          <w:noProof/>
        </w:rPr>
        <w:t>(Gast 1997)</w:t>
      </w:r>
      <w:r>
        <w:rPr>
          <w:rFonts w:eastAsia="Calibri"/>
        </w:rPr>
        <w:t>.</w:t>
      </w:r>
    </w:p>
    <w:p w14:paraId="4640C63D" w14:textId="77777777" w:rsidR="004726BA" w:rsidRDefault="004726BA" w:rsidP="00800E7D">
      <w:pPr>
        <w:rPr>
          <w:color w:val="282828"/>
        </w:rPr>
      </w:pPr>
      <w:r w:rsidRPr="00F374A0">
        <w:rPr>
          <w:color w:val="282828"/>
        </w:rPr>
        <w:t xml:space="preserve">Harvest and distribution </w:t>
      </w:r>
      <w:r>
        <w:rPr>
          <w:color w:val="282828"/>
        </w:rPr>
        <w:t xml:space="preserve">of cut flowers </w:t>
      </w:r>
      <w:r w:rsidRPr="00F374A0">
        <w:rPr>
          <w:color w:val="282828"/>
        </w:rPr>
        <w:t xml:space="preserve">often have a negative effect on the </w:t>
      </w:r>
      <w:r>
        <w:rPr>
          <w:color w:val="282828"/>
        </w:rPr>
        <w:t xml:space="preserve">status of </w:t>
      </w:r>
      <w:r w:rsidRPr="00F374A0">
        <w:rPr>
          <w:color w:val="282828"/>
        </w:rPr>
        <w:t xml:space="preserve">carbohydrate </w:t>
      </w:r>
      <w:r>
        <w:rPr>
          <w:color w:val="282828"/>
        </w:rPr>
        <w:t xml:space="preserve">(and other metabolites) </w:t>
      </w:r>
      <w:r w:rsidRPr="00F374A0">
        <w:rPr>
          <w:color w:val="282828"/>
        </w:rPr>
        <w:t>of cut flowers.</w:t>
      </w:r>
    </w:p>
    <w:p w14:paraId="3E01E3D5" w14:textId="77777777" w:rsidR="004726BA" w:rsidRPr="00E20AD8" w:rsidRDefault="004726BA" w:rsidP="004634D4">
      <w:pPr>
        <w:pStyle w:val="ListBullet"/>
        <w:spacing w:before="0" w:after="200" w:line="276" w:lineRule="auto"/>
      </w:pPr>
      <w:r w:rsidRPr="00E20AD8">
        <w:t xml:space="preserve">At harvest, cut flowers are excised from organs that are the source of carbohydrates (and other metabolites) such as bulbs, tubers, roots, and the bulk of leaves and stems. This generally results in the depletion of carbohydrates </w:t>
      </w:r>
      <w:r w:rsidRPr="00E20AD8">
        <w:rPr>
          <w:noProof/>
        </w:rPr>
        <w:t>(Verdonk et al. 2023)</w:t>
      </w:r>
      <w:r w:rsidRPr="00E20AD8">
        <w:t xml:space="preserve"> and increased respiration rates in cut flowers </w:t>
      </w:r>
      <w:r w:rsidRPr="00E20AD8">
        <w:rPr>
          <w:noProof/>
        </w:rPr>
        <w:t>(da Costa et al. 2021; da Silva 2006; Liu, Luo &amp; Liao 2024)</w:t>
      </w:r>
      <w:r w:rsidRPr="00E20AD8">
        <w:t>.</w:t>
      </w:r>
    </w:p>
    <w:p w14:paraId="698E3BC4" w14:textId="77777777" w:rsidR="004726BA" w:rsidRPr="00E20AD8" w:rsidRDefault="004726BA" w:rsidP="004634D4">
      <w:pPr>
        <w:pStyle w:val="ListBullet"/>
        <w:spacing w:before="0" w:after="200" w:line="276" w:lineRule="auto"/>
      </w:pPr>
      <w:r w:rsidRPr="00E20AD8">
        <w:rPr>
          <w:rFonts w:cs="Open Sans"/>
          <w:color w:val="333333"/>
        </w:rPr>
        <w:t xml:space="preserve">Once harvested from the plant, a cut flower undergoes several physiological changes such as disturbed water balance, alteration in carbohydrate metabolism, chlorophyll and chloroplast degradation and changes in antioxidant activity </w:t>
      </w:r>
      <w:r w:rsidRPr="00E20AD8">
        <w:rPr>
          <w:rFonts w:cs="Open Sans"/>
          <w:noProof/>
          <w:color w:val="333333"/>
        </w:rPr>
        <w:t>(Jhanji, Kaur &amp; Chumber 2025)</w:t>
      </w:r>
      <w:r w:rsidRPr="00E20AD8">
        <w:rPr>
          <w:rFonts w:cs="Open Sans"/>
          <w:color w:val="333333"/>
        </w:rPr>
        <w:t>.</w:t>
      </w:r>
    </w:p>
    <w:p w14:paraId="1097C2CB" w14:textId="77777777" w:rsidR="004726BA" w:rsidRPr="00E20AD8" w:rsidRDefault="004726BA" w:rsidP="004634D4">
      <w:pPr>
        <w:pStyle w:val="ListBullet"/>
        <w:spacing w:before="0" w:after="200" w:line="276" w:lineRule="auto"/>
      </w:pPr>
      <w:r w:rsidRPr="00E20AD8">
        <w:t>During transportation and storage, cut flowers are usually kept in the dark where photosynthesis is restricted, and the carbohydrate reserves are depleted by metabolic processes.</w:t>
      </w:r>
    </w:p>
    <w:p w14:paraId="2918B180" w14:textId="77777777" w:rsidR="004726BA" w:rsidRPr="00E20AD8" w:rsidRDefault="004726BA" w:rsidP="004634D4">
      <w:pPr>
        <w:pStyle w:val="ListBullet"/>
        <w:spacing w:before="0" w:after="200" w:line="276" w:lineRule="auto"/>
      </w:pPr>
      <w:r w:rsidRPr="00E20AD8">
        <w:t xml:space="preserve">During vase life, limited light, nutrient and water availability strongly impair photosynthesis, and carbohydrate availability is further reduced </w:t>
      </w:r>
      <w:r w:rsidRPr="00E20AD8">
        <w:rPr>
          <w:noProof/>
        </w:rPr>
        <w:t>(Verdonk et al. 2023)</w:t>
      </w:r>
      <w:r w:rsidRPr="00E20AD8">
        <w:t>. L</w:t>
      </w:r>
      <w:r>
        <w:t>imited photosynthetic activity and increased respiration rate also result in</w:t>
      </w:r>
      <w:r w:rsidRPr="0001418F">
        <w:t xml:space="preserve"> </w:t>
      </w:r>
      <w:r>
        <w:t xml:space="preserve">increased transpiration rate, water stress, </w:t>
      </w:r>
      <w:r w:rsidRPr="0001418F">
        <w:t>tempera</w:t>
      </w:r>
      <w:r>
        <w:t xml:space="preserve">ture rise </w:t>
      </w:r>
      <w:r w:rsidRPr="0001418F">
        <w:t>and ethylene accumulation leading to deterioration and reduced longevity</w:t>
      </w:r>
      <w:r>
        <w:t xml:space="preserve"> </w:t>
      </w:r>
      <w:r w:rsidRPr="00E20AD8">
        <w:rPr>
          <w:noProof/>
          <w:color w:val="000000" w:themeColor="text1"/>
        </w:rPr>
        <w:t>(da Costa et al. 2021; Gupta &amp; Dubey 2018; Verma &amp; Singh 2021)</w:t>
      </w:r>
      <w:r w:rsidRPr="0001418F">
        <w:t>.</w:t>
      </w:r>
    </w:p>
    <w:p w14:paraId="335E477A" w14:textId="77777777" w:rsidR="004726BA" w:rsidRPr="00E20AD8" w:rsidRDefault="004726BA" w:rsidP="004634D4">
      <w:pPr>
        <w:pStyle w:val="ListBullet"/>
        <w:spacing w:before="0" w:after="200" w:line="276" w:lineRule="auto"/>
      </w:pPr>
      <w:r w:rsidRPr="00E20AD8">
        <w:rPr>
          <w:rFonts w:eastAsia="Calibri"/>
        </w:rPr>
        <w:t xml:space="preserve">In addition, through the process of senescence, physiological changes within the stem slowly and progressively inhibit the uptake of water and nutrients </w:t>
      </w:r>
      <w:r w:rsidRPr="00E20AD8">
        <w:rPr>
          <w:rFonts w:eastAsia="Calibri"/>
          <w:noProof/>
        </w:rPr>
        <w:t>(da Costa et al. 2021; da Silva 2006; Fanourakis et al. 2013)</w:t>
      </w:r>
      <w:r w:rsidRPr="00E20AD8">
        <w:rPr>
          <w:rFonts w:eastAsia="Calibri"/>
        </w:rPr>
        <w:t>.</w:t>
      </w:r>
    </w:p>
    <w:p w14:paraId="42E8F434" w14:textId="77777777" w:rsidR="004726BA" w:rsidRPr="00131465" w:rsidRDefault="004726BA" w:rsidP="00800E7D">
      <w:pPr>
        <w:rPr>
          <w:color w:val="282828"/>
        </w:rPr>
      </w:pPr>
      <w:r w:rsidRPr="00131465">
        <w:rPr>
          <w:color w:val="282828"/>
        </w:rPr>
        <w:t xml:space="preserve">These negative circumstances for maintaining carbohydrate reserves can strongly reduce the quality and longevity of cut flowers </w:t>
      </w:r>
      <w:r>
        <w:rPr>
          <w:noProof/>
          <w:color w:val="282828"/>
        </w:rPr>
        <w:t>(Verdonk et al. 2023)</w:t>
      </w:r>
      <w:r w:rsidRPr="00131465">
        <w:rPr>
          <w:color w:val="282828"/>
        </w:rPr>
        <w:t xml:space="preserve">. </w:t>
      </w:r>
      <w:r>
        <w:t xml:space="preserve">This is expected to </w:t>
      </w:r>
      <w:r w:rsidRPr="007E799A">
        <w:t>subsequently</w:t>
      </w:r>
      <w:r>
        <w:t xml:space="preserve"> reduce </w:t>
      </w:r>
      <w:r w:rsidRPr="007E799A">
        <w:t>their viability for propagation</w:t>
      </w:r>
      <w:r>
        <w:t>.</w:t>
      </w:r>
    </w:p>
    <w:p w14:paraId="7DED4368" w14:textId="77777777" w:rsidR="004726BA" w:rsidRDefault="004726BA" w:rsidP="00800E7D">
      <w:pPr>
        <w:rPr>
          <w:rFonts w:eastAsia="Calibri"/>
        </w:rPr>
      </w:pPr>
      <w:r>
        <w:rPr>
          <w:rFonts w:eastAsia="Calibri"/>
        </w:rPr>
        <w:t>In addition to c</w:t>
      </w:r>
      <w:r w:rsidRPr="0096145A">
        <w:rPr>
          <w:rFonts w:eastAsia="Calibri"/>
        </w:rPr>
        <w:t>arbohydrates, macro</w:t>
      </w:r>
      <w:r>
        <w:rPr>
          <w:rFonts w:eastAsia="Calibri"/>
        </w:rPr>
        <w:t xml:space="preserve"> and </w:t>
      </w:r>
      <w:r w:rsidRPr="0096145A">
        <w:rPr>
          <w:rFonts w:eastAsia="Calibri"/>
        </w:rPr>
        <w:t>micronutrients</w:t>
      </w:r>
      <w:r>
        <w:rPr>
          <w:rFonts w:eastAsia="Calibri"/>
        </w:rPr>
        <w:t>,</w:t>
      </w:r>
      <w:r w:rsidRPr="0096145A">
        <w:rPr>
          <w:rFonts w:eastAsia="Calibri"/>
        </w:rPr>
        <w:t xml:space="preserve"> and plant hormones are al</w:t>
      </w:r>
      <w:r>
        <w:rPr>
          <w:rFonts w:eastAsia="Calibri"/>
        </w:rPr>
        <w:t>so</w:t>
      </w:r>
      <w:r w:rsidRPr="0096145A">
        <w:rPr>
          <w:rFonts w:eastAsia="Calibri"/>
        </w:rPr>
        <w:t xml:space="preserve"> needed for plant propagation </w:t>
      </w:r>
      <w:r>
        <w:rPr>
          <w:rFonts w:eastAsia="Calibri"/>
          <w:noProof/>
        </w:rPr>
        <w:t>(da Costa et al. 2021; Kim et al. 2018; Leakey 2004)</w:t>
      </w:r>
      <w:r>
        <w:rPr>
          <w:rFonts w:eastAsia="Calibri"/>
        </w:rPr>
        <w:t>. R</w:t>
      </w:r>
      <w:r w:rsidRPr="0096145A">
        <w:rPr>
          <w:rFonts w:eastAsia="Calibri"/>
        </w:rPr>
        <w:t>eserves of these elements are rapidly consumed</w:t>
      </w:r>
      <w:r>
        <w:rPr>
          <w:rFonts w:eastAsia="Calibri"/>
        </w:rPr>
        <w:t xml:space="preserve"> in a cut flower as it ages</w:t>
      </w:r>
      <w:r w:rsidRPr="0096145A">
        <w:rPr>
          <w:rFonts w:eastAsia="Calibri"/>
        </w:rPr>
        <w:t xml:space="preserve"> </w:t>
      </w:r>
      <w:r>
        <w:rPr>
          <w:rFonts w:eastAsia="Calibri"/>
          <w:noProof/>
        </w:rPr>
        <w:t>(da Costa et al. 2021; da Silva 2006; Fanourakis et al. 2013)</w:t>
      </w:r>
      <w:r>
        <w:rPr>
          <w:rFonts w:eastAsia="Calibri"/>
        </w:rPr>
        <w:t>.</w:t>
      </w:r>
    </w:p>
    <w:p w14:paraId="123FE8CA" w14:textId="77777777" w:rsidR="004726BA" w:rsidRDefault="004726BA" w:rsidP="00800E7D">
      <w:r>
        <w:rPr>
          <w:rFonts w:eastAsia="Calibri"/>
        </w:rPr>
        <w:t>T</w:t>
      </w:r>
      <w:r>
        <w:t>he longevity of cut flowers can be increased through the use of f</w:t>
      </w:r>
      <w:r w:rsidRPr="007E799A">
        <w:t>loral preservative</w:t>
      </w:r>
      <w:r>
        <w:t xml:space="preserve">s that include various elements to provide carbohydrates (sugar), </w:t>
      </w:r>
      <w:r w:rsidRPr="007E799A">
        <w:t>prevent the growth of microorganisms</w:t>
      </w:r>
      <w:r>
        <w:t xml:space="preserve"> (biocides),</w:t>
      </w:r>
      <w:r w:rsidRPr="007E799A">
        <w:t xml:space="preserve"> and prevent vascular blockage, inhibit ethylene biosynthesis and improve water and sugar uptake </w:t>
      </w:r>
      <w:r>
        <w:t xml:space="preserve">(various growth regulators) </w:t>
      </w:r>
      <w:r>
        <w:rPr>
          <w:noProof/>
        </w:rPr>
        <w:t>(Verma &amp; Singh 2021)</w:t>
      </w:r>
      <w:r>
        <w:t>.</w:t>
      </w:r>
    </w:p>
    <w:p w14:paraId="38D25889" w14:textId="77777777" w:rsidR="004726BA" w:rsidRPr="00994FA9" w:rsidRDefault="004726BA" w:rsidP="00800E7D">
      <w:pPr>
        <w:rPr>
          <w:rFonts w:eastAsia="Calibri"/>
        </w:rPr>
      </w:pPr>
      <w:r>
        <w:rPr>
          <w:rFonts w:eastAsia="Calibri"/>
        </w:rPr>
        <w:t xml:space="preserve">It is likely that relevant commercial sectors in the supply chain would apply various practices to optimise the longevity of the traded cut flowers. Nevertheless, </w:t>
      </w:r>
      <w:r>
        <w:rPr>
          <w:rFonts w:eastAsia="Calibri" w:cs="Times New Roman"/>
        </w:rPr>
        <w:t xml:space="preserve">in general, </w:t>
      </w:r>
      <w:r w:rsidRPr="00690375">
        <w:rPr>
          <w:rFonts w:eastAsia="Calibri" w:cs="Times New Roman"/>
        </w:rPr>
        <w:t>the physiolog</w:t>
      </w:r>
      <w:r>
        <w:rPr>
          <w:rFonts w:eastAsia="Calibri" w:cs="Times New Roman"/>
        </w:rPr>
        <w:t>ical</w:t>
      </w:r>
      <w:r w:rsidRPr="00690375">
        <w:rPr>
          <w:rFonts w:eastAsia="Calibri" w:cs="Times New Roman"/>
        </w:rPr>
        <w:t xml:space="preserve"> </w:t>
      </w:r>
      <w:r>
        <w:rPr>
          <w:rFonts w:eastAsia="Calibri" w:cs="Times New Roman"/>
        </w:rPr>
        <w:t xml:space="preserve">and metabolic status </w:t>
      </w:r>
      <w:r w:rsidRPr="00690375">
        <w:rPr>
          <w:rFonts w:eastAsia="Calibri" w:cs="Times New Roman"/>
        </w:rPr>
        <w:t xml:space="preserve">of </w:t>
      </w:r>
      <w:r>
        <w:rPr>
          <w:rFonts w:eastAsia="Calibri" w:cs="Times New Roman"/>
        </w:rPr>
        <w:t xml:space="preserve">imported cut </w:t>
      </w:r>
      <w:r w:rsidRPr="00690375">
        <w:rPr>
          <w:rFonts w:eastAsia="Calibri" w:cs="Times New Roman"/>
        </w:rPr>
        <w:t>flower</w:t>
      </w:r>
      <w:r>
        <w:rPr>
          <w:rFonts w:eastAsia="Calibri" w:cs="Times New Roman"/>
        </w:rPr>
        <w:t>s are expected to</w:t>
      </w:r>
      <w:r w:rsidRPr="00690375">
        <w:rPr>
          <w:rFonts w:eastAsia="Calibri" w:cs="Times New Roman"/>
        </w:rPr>
        <w:t xml:space="preserve"> </w:t>
      </w:r>
      <w:r>
        <w:rPr>
          <w:rFonts w:eastAsia="Calibri" w:cs="Times New Roman"/>
        </w:rPr>
        <w:t>have changed significantly</w:t>
      </w:r>
      <w:r w:rsidRPr="00690375">
        <w:rPr>
          <w:rFonts w:eastAsia="Calibri" w:cs="Times New Roman"/>
        </w:rPr>
        <w:t xml:space="preserve"> </w:t>
      </w:r>
      <w:r>
        <w:rPr>
          <w:rFonts w:eastAsia="Calibri" w:cs="Times New Roman"/>
        </w:rPr>
        <w:t>o</w:t>
      </w:r>
      <w:r w:rsidRPr="00690375">
        <w:rPr>
          <w:rFonts w:eastAsia="Calibri" w:cs="Times New Roman"/>
        </w:rPr>
        <w:t xml:space="preserve">ver </w:t>
      </w:r>
      <w:r>
        <w:rPr>
          <w:rFonts w:eastAsia="Calibri" w:cs="Times New Roman"/>
        </w:rPr>
        <w:t>the</w:t>
      </w:r>
      <w:r w:rsidRPr="00690375">
        <w:rPr>
          <w:rFonts w:eastAsia="Calibri" w:cs="Times New Roman"/>
        </w:rPr>
        <w:t xml:space="preserve"> </w:t>
      </w:r>
      <w:r>
        <w:rPr>
          <w:rFonts w:eastAsia="Calibri" w:cs="Times New Roman"/>
        </w:rPr>
        <w:t xml:space="preserve">time from harvest to retail sale, which will likely reduce their viability for </w:t>
      </w:r>
      <w:r w:rsidRPr="00690375">
        <w:rPr>
          <w:rFonts w:eastAsia="Calibri" w:cs="Times New Roman"/>
        </w:rPr>
        <w:t xml:space="preserve">propagation </w:t>
      </w:r>
      <w:r>
        <w:rPr>
          <w:rFonts w:eastAsia="Calibri" w:cs="Times New Roman"/>
        </w:rPr>
        <w:t>to produce viable and healthy plants</w:t>
      </w:r>
      <w:r w:rsidRPr="00690375">
        <w:rPr>
          <w:rFonts w:eastAsia="Calibri" w:cs="Times New Roman"/>
        </w:rPr>
        <w:t>.</w:t>
      </w:r>
      <w:r>
        <w:rPr>
          <w:rFonts w:eastAsia="Calibri" w:cs="Times New Roman"/>
        </w:rPr>
        <w:t xml:space="preserve"> </w:t>
      </w:r>
      <w:r w:rsidRPr="00474DEA">
        <w:rPr>
          <w:rFonts w:eastAsia="Calibri" w:cs="Times New Roman"/>
        </w:rPr>
        <w:t xml:space="preserve">Cuttings selected and prepared as propagative material are without flowers, are </w:t>
      </w:r>
      <w:r w:rsidRPr="00474DEA">
        <w:rPr>
          <w:rFonts w:eastAsia="Calibri" w:cs="Times New Roman"/>
        </w:rPr>
        <w:lastRenderedPageBreak/>
        <w:t>not expected to undergo the same metabolic and physiological changes as cut flowers and are expected to remain viable for propagation for a longer period.</w:t>
      </w:r>
      <w:r w:rsidRPr="007C626C">
        <w:rPr>
          <w:rFonts w:eastAsia="Calibri" w:cs="Times New Roman"/>
        </w:rPr>
        <w:t> </w:t>
      </w:r>
    </w:p>
    <w:p w14:paraId="789B60B9" w14:textId="77777777" w:rsidR="004726BA" w:rsidRPr="00EF1A4D" w:rsidRDefault="004726BA" w:rsidP="00800E7D">
      <w:pPr>
        <w:pStyle w:val="Heading4"/>
      </w:pPr>
      <w:r w:rsidRPr="00EF1A4D">
        <w:t>Environmental conditions and practices during propagation</w:t>
      </w:r>
    </w:p>
    <w:p w14:paraId="7BDA9B0E" w14:textId="77777777" w:rsidR="004726BA" w:rsidRDefault="004726BA" w:rsidP="00800E7D">
      <w:r w:rsidRPr="009357B5">
        <w:rPr>
          <w:rFonts w:eastAsia="Calibri" w:cs="Times New Roman"/>
        </w:rPr>
        <w:t xml:space="preserve">As outlined in Section 3.3.2, </w:t>
      </w:r>
      <w:r>
        <w:rPr>
          <w:rFonts w:eastAsia="Calibri" w:cs="Times New Roman"/>
        </w:rPr>
        <w:t xml:space="preserve">after harvest </w:t>
      </w:r>
      <w:r w:rsidRPr="009357B5">
        <w:rPr>
          <w:rFonts w:eastAsia="Calibri" w:cs="Times New Roman"/>
        </w:rPr>
        <w:t xml:space="preserve">cut flowers </w:t>
      </w:r>
      <w:r>
        <w:rPr>
          <w:rFonts w:eastAsia="Calibri" w:cs="Times New Roman"/>
        </w:rPr>
        <w:t xml:space="preserve">have </w:t>
      </w:r>
      <w:r w:rsidRPr="002D1D51">
        <w:rPr>
          <w:rFonts w:eastAsia="Calibri"/>
        </w:rPr>
        <w:t>limited</w:t>
      </w:r>
      <w:r>
        <w:rPr>
          <w:rFonts w:eastAsia="Calibri"/>
        </w:rPr>
        <w:t xml:space="preserve"> longevity and the changes in physiological and metabolic status over the period from harvest to retail sale likely reduce the viability of imported cut flowers for propagation. </w:t>
      </w:r>
      <w:r>
        <w:t>O</w:t>
      </w:r>
      <w:r w:rsidRPr="0001418F">
        <w:t xml:space="preserve">ptimum environmental conditions </w:t>
      </w:r>
      <w:r>
        <w:t xml:space="preserve">and practices during propagation </w:t>
      </w:r>
      <w:r w:rsidRPr="0001418F">
        <w:t xml:space="preserve">are </w:t>
      </w:r>
      <w:r>
        <w:t>essential</w:t>
      </w:r>
      <w:r w:rsidRPr="0001418F">
        <w:t xml:space="preserve"> </w:t>
      </w:r>
      <w:r>
        <w:rPr>
          <w:rFonts w:eastAsia="Calibri" w:cs="Times New Roman"/>
        </w:rPr>
        <w:t xml:space="preserve">to produce viable and </w:t>
      </w:r>
      <w:r w:rsidRPr="002E3A78">
        <w:rPr>
          <w:rFonts w:eastAsia="Calibri" w:cs="Times New Roman"/>
        </w:rPr>
        <w:t>healthy plants</w:t>
      </w:r>
      <w:r>
        <w:rPr>
          <w:rFonts w:eastAsia="Calibri" w:cs="Times New Roman"/>
        </w:rPr>
        <w:t xml:space="preserve"> from imported cut flowers.</w:t>
      </w:r>
    </w:p>
    <w:p w14:paraId="0C7B600D" w14:textId="77777777" w:rsidR="004726BA" w:rsidRDefault="004726BA" w:rsidP="00800E7D">
      <w:r>
        <w:t>Specific environmental parameters influencing the success of propagation from stem cuttings vary based on the species and cultivars. In general, environmental conditions such as</w:t>
      </w:r>
      <w:r w:rsidRPr="0001418F">
        <w:t xml:space="preserve"> temperature, light, humidity, water and nutrients are vital in supporting plant growth, rooting and establishment of plants</w:t>
      </w:r>
      <w:r>
        <w:t xml:space="preserve"> </w:t>
      </w:r>
      <w:r w:rsidRPr="0001418F">
        <w:t>propagated from stem cuttings</w:t>
      </w:r>
      <w:r>
        <w:t xml:space="preserve"> </w:t>
      </w:r>
      <w:r>
        <w:rPr>
          <w:noProof/>
        </w:rPr>
        <w:t>(Chen &amp; Stamps 2006; Faust, Dole &amp; Lopez 2016; Luna 2009; Owen &amp; Maynard 2007)</w:t>
      </w:r>
      <w:r w:rsidRPr="0001418F">
        <w:t xml:space="preserve">. </w:t>
      </w:r>
      <w:r>
        <w:t xml:space="preserve">Practices such as wounding, rooting hormone application, and control of the environmental conditions increase rooting percentages and root quality </w:t>
      </w:r>
      <w:r>
        <w:rPr>
          <w:noProof/>
        </w:rPr>
        <w:t>(Chen &amp; Stamps 2006; Luna 2009; Owen &amp; Maynard 2007; Susaj et al. 2020)</w:t>
      </w:r>
      <w:r>
        <w:t xml:space="preserve">. Applying mist irrigation or shade cloth or enclosing the propagules in polyethylene to increase relative humidity, decrease light, and lower air and leaf temperatures help maintain cell turgor in the absence of functional roots, retaining cell competence to form root initials </w:t>
      </w:r>
      <w:r>
        <w:rPr>
          <w:noProof/>
        </w:rPr>
        <w:t>(Chen &amp; Stamps 2006; Faust, Dole &amp; Lopez 2016; Luna 2009; Owen &amp; Maynard 2007)</w:t>
      </w:r>
      <w:r>
        <w:t>.</w:t>
      </w:r>
    </w:p>
    <w:p w14:paraId="74207EDA" w14:textId="740FD4DD" w:rsidR="004726BA" w:rsidRDefault="004726BA" w:rsidP="00800E7D">
      <w:r>
        <w:t xml:space="preserve">Achieving optimum environmental conditions and practices during propagation require some </w:t>
      </w:r>
      <w:r w:rsidRPr="00F05617">
        <w:t xml:space="preserve">specialist knowledge, </w:t>
      </w:r>
      <w:r>
        <w:t xml:space="preserve">experience and </w:t>
      </w:r>
      <w:r w:rsidRPr="00F05617">
        <w:t>equipment</w:t>
      </w:r>
      <w:r>
        <w:t xml:space="preserve">. In addition, successful propagation from imported cut flowers would require high </w:t>
      </w:r>
      <w:r w:rsidRPr="00F05617">
        <w:t>numbers of cuttings</w:t>
      </w:r>
      <w:r>
        <w:t xml:space="preserve"> to increase the probability of success. These are unlikely to be readily available for personal DFIU. </w:t>
      </w:r>
      <w:r w:rsidRPr="00646A23">
        <w:t xml:space="preserve">Therefore, </w:t>
      </w:r>
      <w:r>
        <w:t>the</w:t>
      </w:r>
      <w:r w:rsidRPr="00646A23">
        <w:t xml:space="preserve"> success in </w:t>
      </w:r>
      <w:r>
        <w:t>producing</w:t>
      </w:r>
      <w:r w:rsidRPr="00646A23">
        <w:t xml:space="preserve"> viable and healthy plants from </w:t>
      </w:r>
      <w:r>
        <w:t xml:space="preserve">personal DFIU of </w:t>
      </w:r>
      <w:r w:rsidRPr="00646A23">
        <w:t>imported cut flowers</w:t>
      </w:r>
      <w:r>
        <w:t xml:space="preserve"> is expected to be much lower compared to cuttings specifically selected and prepared as propagative material</w:t>
      </w:r>
      <w:r w:rsidRPr="00646A23">
        <w:t>.</w:t>
      </w:r>
    </w:p>
    <w:p w14:paraId="1DAF70E0" w14:textId="77777777" w:rsidR="004726BA" w:rsidRPr="0036491B" w:rsidRDefault="004726BA" w:rsidP="00800E7D">
      <w:pPr>
        <w:pStyle w:val="Heading3"/>
      </w:pPr>
      <w:bookmarkStart w:id="44" w:name="_Toc197938540"/>
      <w:bookmarkStart w:id="45" w:name="_Toc197953571"/>
      <w:r w:rsidRPr="0036491B">
        <w:t xml:space="preserve">Biosecurity risk of DFIU of </w:t>
      </w:r>
      <w:r>
        <w:t xml:space="preserve">imported </w:t>
      </w:r>
      <w:r w:rsidRPr="0036491B">
        <w:t>cut flowers</w:t>
      </w:r>
      <w:r>
        <w:t xml:space="preserve"> to propagation</w:t>
      </w:r>
      <w:bookmarkEnd w:id="44"/>
      <w:bookmarkEnd w:id="45"/>
    </w:p>
    <w:p w14:paraId="6E8A08A1" w14:textId="77777777" w:rsidR="004726BA" w:rsidRDefault="004726BA" w:rsidP="00800E7D">
      <w:r>
        <w:t xml:space="preserve">It is important to note that ISPM 1: </w:t>
      </w:r>
      <w:r w:rsidRPr="00EC1C3C">
        <w:rPr>
          <w:i/>
          <w:iCs/>
        </w:rPr>
        <w:t>Phytosanitary principles for the protection of plants and the application of phytosanitary measures in international trade</w:t>
      </w:r>
      <w:r>
        <w:t xml:space="preserve"> states that phytosanitary measures shall be </w:t>
      </w:r>
      <w:r w:rsidRPr="00522129">
        <w:t>technically justif</w:t>
      </w:r>
      <w:r>
        <w:t xml:space="preserve">ied </w:t>
      </w:r>
      <w:r w:rsidRPr="00522129">
        <w:t xml:space="preserve">on the basis of conclusions reached by using an appropriate </w:t>
      </w:r>
      <w:r>
        <w:t>PRA</w:t>
      </w:r>
      <w:r w:rsidRPr="00522129">
        <w:t xml:space="preserve"> or, where applicable, another comparable examination and evaluation of available scientific information</w:t>
      </w:r>
      <w:r>
        <w:t xml:space="preserve"> </w:t>
      </w:r>
      <w:r>
        <w:rPr>
          <w:noProof/>
        </w:rPr>
        <w:t>(FAO 2006)</w:t>
      </w:r>
      <w:r w:rsidRPr="00522129">
        <w:t>.</w:t>
      </w:r>
    </w:p>
    <w:p w14:paraId="4079FEBA" w14:textId="77777777" w:rsidR="004726BA" w:rsidRDefault="004726BA" w:rsidP="00800E7D">
      <w:r>
        <w:t>The b</w:t>
      </w:r>
      <w:r w:rsidRPr="00B060B5">
        <w:t xml:space="preserve">iosecurity risk </w:t>
      </w:r>
      <w:r>
        <w:t xml:space="preserve">of pathogens establishing and spreading in Australia </w:t>
      </w:r>
      <w:r w:rsidRPr="00B060B5">
        <w:t xml:space="preserve">is expected to be higher </w:t>
      </w:r>
      <w:r>
        <w:t xml:space="preserve">for imported cut flowers that are diverted from the intended use (which is time-limited decorative purposes) to propagation. </w:t>
      </w:r>
      <w:r w:rsidRPr="00B060B5">
        <w:t xml:space="preserve">This is because, if </w:t>
      </w:r>
      <w:r>
        <w:t xml:space="preserve">quarantine </w:t>
      </w:r>
      <w:r w:rsidRPr="00B060B5">
        <w:t xml:space="preserve">pathogens are present in the imported cut flowers </w:t>
      </w:r>
      <w:r>
        <w:t xml:space="preserve">that are diverted to propagation </w:t>
      </w:r>
      <w:r w:rsidRPr="00B060B5">
        <w:t>and the propagation is successful</w:t>
      </w:r>
      <w:r>
        <w:t xml:space="preserve"> </w:t>
      </w:r>
      <w:r>
        <w:rPr>
          <w:rFonts w:eastAsia="Calibri" w:cs="Times New Roman"/>
        </w:rPr>
        <w:t xml:space="preserve">in producing viable and </w:t>
      </w:r>
      <w:r w:rsidRPr="001F2706">
        <w:rPr>
          <w:rFonts w:eastAsia="Calibri" w:cs="Times New Roman"/>
        </w:rPr>
        <w:t>healthy</w:t>
      </w:r>
      <w:r>
        <w:rPr>
          <w:rFonts w:eastAsia="Calibri" w:cs="Times New Roman"/>
        </w:rPr>
        <w:t xml:space="preserve"> plants</w:t>
      </w:r>
      <w:r w:rsidRPr="00B060B5">
        <w:t xml:space="preserve">, the resulting plant will serve as a host </w:t>
      </w:r>
      <w:r>
        <w:t>for</w:t>
      </w:r>
      <w:r w:rsidRPr="00B060B5">
        <w:t xml:space="preserve"> the pathoge</w:t>
      </w:r>
      <w:r>
        <w:t xml:space="preserve">ns, allowing them to establish and potentially spread in Australia. </w:t>
      </w:r>
    </w:p>
    <w:p w14:paraId="232DF153" w14:textId="77777777" w:rsidR="004726BA" w:rsidRDefault="004726BA" w:rsidP="00800E7D">
      <w:r>
        <w:t>For imported cut flowers that are used according to the intended purpose</w:t>
      </w:r>
      <w:r w:rsidRPr="00212467">
        <w:t xml:space="preserve">, </w:t>
      </w:r>
      <w:r>
        <w:t xml:space="preserve">the </w:t>
      </w:r>
      <w:r w:rsidRPr="00212467">
        <w:t xml:space="preserve">pathogens will need to </w:t>
      </w:r>
      <w:r>
        <w:t>be transferred</w:t>
      </w:r>
      <w:r w:rsidRPr="00212467">
        <w:t xml:space="preserve"> from the imported cut flowers</w:t>
      </w:r>
      <w:r>
        <w:t xml:space="preserve"> (e.g. from cut flower waste that are discarded in the environment)</w:t>
      </w:r>
      <w:r w:rsidRPr="00212467">
        <w:t xml:space="preserve"> to a suitable host in Australia</w:t>
      </w:r>
      <w:r>
        <w:t>.  This is, in general, very unlikely and therefore significantly limit the likelihood of their establishing and spreading in Australia</w:t>
      </w:r>
      <w:r w:rsidRPr="00212467">
        <w:t>.</w:t>
      </w:r>
      <w:r>
        <w:t xml:space="preserve">    </w:t>
      </w:r>
    </w:p>
    <w:p w14:paraId="348FC921" w14:textId="77777777" w:rsidR="004726BA" w:rsidRDefault="004726BA" w:rsidP="00800E7D">
      <w:r>
        <w:lastRenderedPageBreak/>
        <w:t xml:space="preserve">The IPPC DFIU paper states that </w:t>
      </w:r>
      <w:r w:rsidRPr="001E00F4">
        <w:rPr>
          <w:rFonts w:cs="Calibri"/>
          <w:color w:val="000000" w:themeColor="text1"/>
        </w:rPr>
        <w:t>g</w:t>
      </w:r>
      <w:r w:rsidRPr="001E00F4">
        <w:rPr>
          <w:rFonts w:cs="Calibri"/>
        </w:rPr>
        <w:t>reater clarity around information and evidence for DFIU is required to support the measures</w:t>
      </w:r>
      <w:r>
        <w:rPr>
          <w:rFonts w:cs="Calibri"/>
        </w:rPr>
        <w:t>.</w:t>
      </w:r>
    </w:p>
    <w:p w14:paraId="0B23D7E0" w14:textId="77777777" w:rsidR="004726BA" w:rsidRDefault="004726BA" w:rsidP="00800E7D">
      <w:pPr>
        <w:rPr>
          <w:rFonts w:cstheme="minorHAnsi"/>
        </w:rPr>
      </w:pPr>
      <w:r w:rsidRPr="00271F33">
        <w:rPr>
          <w:rFonts w:eastAsia="Calibri" w:cs="Times New Roman"/>
        </w:rPr>
        <w:t xml:space="preserve">As outlined in Section 3.2, </w:t>
      </w:r>
      <w:r>
        <w:rPr>
          <w:rFonts w:eastAsia="Calibri" w:cs="Times New Roman"/>
        </w:rPr>
        <w:t xml:space="preserve">there is no </w:t>
      </w:r>
      <w:r w:rsidRPr="00271F33">
        <w:rPr>
          <w:rFonts w:eastAsia="Calibri" w:cs="Times New Roman"/>
        </w:rPr>
        <w:t>primary reference re</w:t>
      </w:r>
      <w:r>
        <w:rPr>
          <w:rFonts w:eastAsia="Calibri" w:cs="Times New Roman"/>
        </w:rPr>
        <w:t>gard</w:t>
      </w:r>
      <w:r w:rsidRPr="00271F33">
        <w:rPr>
          <w:rFonts w:eastAsia="Calibri" w:cs="Times New Roman"/>
        </w:rPr>
        <w:t>ing DFIU of imported cut flowers to propagation, either commercial DFIU or personal DFIU</w:t>
      </w:r>
      <w:r>
        <w:rPr>
          <w:rFonts w:eastAsia="Calibri" w:cs="Times New Roman"/>
        </w:rPr>
        <w:t xml:space="preserve">, and </w:t>
      </w:r>
      <w:r>
        <w:t>t</w:t>
      </w:r>
      <w:r w:rsidRPr="002C781C">
        <w:t xml:space="preserve">here </w:t>
      </w:r>
      <w:r>
        <w:t>is</w:t>
      </w:r>
      <w:r w:rsidRPr="002C781C">
        <w:t xml:space="preserve"> no </w:t>
      </w:r>
      <w:r w:rsidRPr="00271F33">
        <w:rPr>
          <w:rFonts w:eastAsia="Calibri" w:cs="Times New Roman"/>
        </w:rPr>
        <w:t xml:space="preserve">evidence </w:t>
      </w:r>
      <w:r>
        <w:rPr>
          <w:rFonts w:eastAsia="Calibri" w:cs="Times New Roman"/>
        </w:rPr>
        <w:t xml:space="preserve">from other sources of information to indicate that </w:t>
      </w:r>
      <w:r w:rsidRPr="00271F33">
        <w:rPr>
          <w:rFonts w:eastAsia="Calibri" w:cs="Times New Roman"/>
        </w:rPr>
        <w:t>commercial DFIU of cut flowers to propagation</w:t>
      </w:r>
      <w:r>
        <w:rPr>
          <w:rFonts w:eastAsia="Calibri" w:cs="Times New Roman"/>
        </w:rPr>
        <w:t xml:space="preserve"> is</w:t>
      </w:r>
      <w:r w:rsidRPr="00271F33">
        <w:rPr>
          <w:rFonts w:eastAsia="Calibri" w:cs="Times New Roman"/>
        </w:rPr>
        <w:t xml:space="preserve"> occurring</w:t>
      </w:r>
      <w:r>
        <w:rPr>
          <w:rFonts w:eastAsia="Calibri" w:cs="Times New Roman"/>
        </w:rPr>
        <w:t xml:space="preserve">. However, personal DFIU of cut flowers to propagation may be occurring globally at or below </w:t>
      </w:r>
      <w:r>
        <w:rPr>
          <w:rFonts w:cstheme="minorHAnsi"/>
        </w:rPr>
        <w:t>very low levels.</w:t>
      </w:r>
    </w:p>
    <w:p w14:paraId="791D5A87" w14:textId="77777777" w:rsidR="004726BA" w:rsidRDefault="004726BA" w:rsidP="00800E7D">
      <w:r>
        <w:t>This section assesses the unrestricted biosecurity risk (i.e., with no application of devitalisation requirements) of pathogens associated with personal DFIU (Section 3.4.1) and commercial DFIU (Section 3.4.2) of imported cut flowers to propagation. Evidence of and information to indicate or suggest the occurrence of personal DFIU and commercial DFIU are taken into consideration in the assessments.</w:t>
      </w:r>
    </w:p>
    <w:p w14:paraId="7626E90C" w14:textId="77777777" w:rsidR="004726BA" w:rsidRPr="00F45669" w:rsidRDefault="004726BA" w:rsidP="00800E7D">
      <w:pPr>
        <w:pStyle w:val="Heading4"/>
        <w:rPr>
          <w:sz w:val="26"/>
          <w:szCs w:val="26"/>
        </w:rPr>
      </w:pPr>
      <w:r w:rsidRPr="00F45669">
        <w:rPr>
          <w:sz w:val="26"/>
          <w:szCs w:val="26"/>
        </w:rPr>
        <w:t>Biosecurity risk of personal DFIU of imported cut flowers to propagation</w:t>
      </w:r>
    </w:p>
    <w:p w14:paraId="4DC762E0" w14:textId="77777777" w:rsidR="004726BA" w:rsidRPr="00AD0E32" w:rsidRDefault="004726BA" w:rsidP="00800E7D">
      <w:pPr>
        <w:pStyle w:val="Heading4"/>
        <w:numPr>
          <w:ilvl w:val="0"/>
          <w:numId w:val="0"/>
        </w:numPr>
      </w:pPr>
      <w:r w:rsidRPr="00AD0E32">
        <w:t xml:space="preserve">Likelihood of </w:t>
      </w:r>
      <w:r>
        <w:t>entry</w:t>
      </w:r>
    </w:p>
    <w:p w14:paraId="75290C67" w14:textId="77777777" w:rsidR="004726BA" w:rsidRPr="001D28A9" w:rsidRDefault="004726BA" w:rsidP="00800E7D">
      <w:r w:rsidRPr="001D28A9">
        <w:t>The likelihood of entry is considered in 2 parts, the likelihood of importation and likelihood of distribution, which consider pre-border and post-border issues, respectively.</w:t>
      </w:r>
    </w:p>
    <w:p w14:paraId="42CDD43D" w14:textId="77777777" w:rsidR="004726BA" w:rsidRPr="00144FF6" w:rsidRDefault="004726BA" w:rsidP="00800E7D">
      <w:pPr>
        <w:rPr>
          <w:b/>
          <w:bCs/>
        </w:rPr>
      </w:pPr>
      <w:r w:rsidRPr="00144FF6">
        <w:rPr>
          <w:b/>
          <w:bCs/>
        </w:rPr>
        <w:t>Likelihood of importation</w:t>
      </w:r>
    </w:p>
    <w:p w14:paraId="6D53F5B5" w14:textId="77777777" w:rsidR="004726BA" w:rsidRDefault="004726BA" w:rsidP="00800E7D">
      <w:pPr>
        <w:rPr>
          <w:b/>
          <w:bCs/>
        </w:rPr>
      </w:pPr>
      <w:r w:rsidRPr="00F05617">
        <w:t xml:space="preserve">The likelihood that </w:t>
      </w:r>
      <w:r>
        <w:t xml:space="preserve">quarantine </w:t>
      </w:r>
      <w:r w:rsidRPr="00F05617">
        <w:t>pathogen</w:t>
      </w:r>
      <w:r>
        <w:t>s</w:t>
      </w:r>
      <w:r w:rsidRPr="00F05617">
        <w:t xml:space="preserve"> will arrive in </w:t>
      </w:r>
      <w:sdt>
        <w:sdtPr>
          <w:alias w:val="Sample text. Enter text as appropriate for assessment region/s."/>
          <w:tag w:val="Sample text. Enter relevant text for assessment region/s."/>
          <w:id w:val="1689632069"/>
          <w:placeholder>
            <w:docPart w:val="60F3B1903FAD41AEAB8BCB3177E7D209"/>
          </w:placeholder>
        </w:sdtPr>
        <w:sdtEndPr/>
        <w:sdtContent>
          <w:r>
            <w:t>Australia</w:t>
          </w:r>
        </w:sdtContent>
      </w:sdt>
      <w:r w:rsidRPr="00F05617">
        <w:t xml:space="preserve"> in a viable state with the importation </w:t>
      </w:r>
      <w:r>
        <w:t xml:space="preserve">of </w:t>
      </w:r>
      <w:r w:rsidRPr="00F05617">
        <w:t xml:space="preserve">cut flowers </w:t>
      </w:r>
      <w:fldSimple w:instr="REF  country  \* MERGEFORMAT"/>
      <w:r w:rsidRPr="00F05617">
        <w:t xml:space="preserve">is assessed as: </w:t>
      </w:r>
      <w:r>
        <w:rPr>
          <w:b/>
          <w:bCs/>
        </w:rPr>
        <w:t>Extremely</w:t>
      </w:r>
      <w:r w:rsidRPr="00C0611C">
        <w:rPr>
          <w:b/>
          <w:bCs/>
        </w:rPr>
        <w:t xml:space="preserve"> low</w:t>
      </w:r>
      <w:r w:rsidRPr="00F05617">
        <w:rPr>
          <w:b/>
          <w:bCs/>
        </w:rPr>
        <w:t xml:space="preserve"> to High</w:t>
      </w:r>
      <w:r>
        <w:rPr>
          <w:b/>
          <w:bCs/>
        </w:rPr>
        <w:t>.</w:t>
      </w:r>
    </w:p>
    <w:p w14:paraId="490620E2" w14:textId="77777777" w:rsidR="004726BA" w:rsidRDefault="004726BA" w:rsidP="00800E7D">
      <w:r w:rsidRPr="00C50262">
        <w:t xml:space="preserve">The likelihood of importation is assessed as </w:t>
      </w:r>
      <w:r>
        <w:t>ranging from Extremely</w:t>
      </w:r>
      <w:r w:rsidRPr="00096CB8">
        <w:rPr>
          <w:b/>
          <w:bCs/>
        </w:rPr>
        <w:t xml:space="preserve"> </w:t>
      </w:r>
      <w:r w:rsidRPr="002D0AA2">
        <w:t>low</w:t>
      </w:r>
      <w:r>
        <w:t xml:space="preserve"> to </w:t>
      </w:r>
      <w:r w:rsidRPr="002D0AA2">
        <w:t>High</w:t>
      </w:r>
      <w:r w:rsidRPr="00C50262">
        <w:t xml:space="preserve"> because</w:t>
      </w:r>
      <w:r>
        <w:t xml:space="preserve"> the likelihood of importation varies among different pathogens, commodity type, prevalence of the pest and commercial production practices in the exporting country. Various pathogens, including quarantine pathogens, are associated with plant species produced and traded as cut flowers. Various steps used in production and export of cut flowers such as sourcing clean propagative material; in-field, harvest and post-harvest procedures; and pre-export inspection will likely reduce, but not eliminate, the likelihood of infected cut flowers being exported to Australia.   </w:t>
      </w:r>
    </w:p>
    <w:p w14:paraId="0B2848F5" w14:textId="77777777" w:rsidR="004726BA" w:rsidRPr="00BA4DFB" w:rsidRDefault="004726BA" w:rsidP="00800E7D">
      <w:r w:rsidRPr="00BA4DFB">
        <w:t>The following information supports the assigned likelihood range.</w:t>
      </w:r>
    </w:p>
    <w:p w14:paraId="2383A417" w14:textId="77777777" w:rsidR="004726BA" w:rsidRDefault="004726BA" w:rsidP="0085396A">
      <w:pPr>
        <w:pStyle w:val="ListBullet"/>
        <w:spacing w:before="0" w:after="200" w:line="276" w:lineRule="auto"/>
        <w:ind w:left="357" w:hanging="357"/>
      </w:pPr>
      <w:r>
        <w:t>Various p</w:t>
      </w:r>
      <w:r w:rsidRPr="00F05617">
        <w:t>athogen</w:t>
      </w:r>
      <w:r>
        <w:t>s, including quarantine pathogens,</w:t>
      </w:r>
      <w:r w:rsidRPr="00F05617">
        <w:t xml:space="preserve"> </w:t>
      </w:r>
      <w:r>
        <w:t xml:space="preserve">are associated with plant species produced and traded as cut flowers. Some pathogens can </w:t>
      </w:r>
      <w:r w:rsidRPr="00F05617">
        <w:t xml:space="preserve">infect a wide range of hosts </w:t>
      </w:r>
      <w:r>
        <w:t>and s</w:t>
      </w:r>
      <w:r w:rsidRPr="00F05617">
        <w:t>ome are very specific</w:t>
      </w:r>
      <w:r>
        <w:t xml:space="preserve">. </w:t>
      </w:r>
      <w:r w:rsidRPr="00F05617">
        <w:t xml:space="preserve"> </w:t>
      </w:r>
    </w:p>
    <w:p w14:paraId="0C3ACBF8" w14:textId="77777777" w:rsidR="004726BA" w:rsidRPr="00EF31CA" w:rsidRDefault="004726BA" w:rsidP="0085396A">
      <w:pPr>
        <w:pStyle w:val="ListBullet"/>
        <w:spacing w:before="0" w:after="200" w:line="276" w:lineRule="auto"/>
        <w:ind w:left="357" w:hanging="357"/>
      </w:pPr>
      <w:r w:rsidRPr="0085396A">
        <w:t>Imported cut flowers undergo various independent steps of quality control and inspections, which contribute to reducing likelihood of quarantine pathogens being imported into Australia. These steps include:</w:t>
      </w:r>
    </w:p>
    <w:p w14:paraId="46AF92C1" w14:textId="77777777" w:rsidR="004726BA" w:rsidRPr="00AB6243" w:rsidRDefault="004726BA" w:rsidP="00CD1E53">
      <w:pPr>
        <w:pStyle w:val="ListBullet"/>
        <w:numPr>
          <w:ilvl w:val="0"/>
          <w:numId w:val="35"/>
        </w:numPr>
        <w:spacing w:before="0" w:after="200" w:line="276" w:lineRule="auto"/>
      </w:pPr>
      <w:r w:rsidRPr="0085396A">
        <w:t>sourcing clean propagative material,</w:t>
      </w:r>
    </w:p>
    <w:p w14:paraId="589DCFA7" w14:textId="77777777" w:rsidR="004726BA" w:rsidRPr="00AB6243" w:rsidRDefault="004726BA" w:rsidP="00CD1E53">
      <w:pPr>
        <w:pStyle w:val="ListBullet"/>
        <w:numPr>
          <w:ilvl w:val="0"/>
          <w:numId w:val="35"/>
        </w:numPr>
        <w:spacing w:before="0" w:after="200" w:line="276" w:lineRule="auto"/>
      </w:pPr>
      <w:r w:rsidRPr="0085396A">
        <w:t xml:space="preserve">in-field monitoring of disease symptoms and vectors and apply integrated pest management controls (such as removing plants showing symptoms, applying chemical sprays and/or biological control agents, and maintaining hygiene) to reduce pest prevalence, </w:t>
      </w:r>
    </w:p>
    <w:p w14:paraId="393415D5" w14:textId="77777777" w:rsidR="004726BA" w:rsidRPr="00AB6243" w:rsidRDefault="004726BA" w:rsidP="00CD1E53">
      <w:pPr>
        <w:pStyle w:val="ListBullet"/>
        <w:numPr>
          <w:ilvl w:val="0"/>
          <w:numId w:val="35"/>
        </w:numPr>
        <w:spacing w:before="0" w:after="200" w:line="276" w:lineRule="auto"/>
      </w:pPr>
      <w:r w:rsidRPr="0085396A">
        <w:lastRenderedPageBreak/>
        <w:t xml:space="preserve">harvest and post-harvest procedures, and </w:t>
      </w:r>
    </w:p>
    <w:p w14:paraId="1E364FE4" w14:textId="77777777" w:rsidR="004726BA" w:rsidRPr="00AB6243" w:rsidRDefault="004726BA" w:rsidP="00CD1E53">
      <w:pPr>
        <w:pStyle w:val="ListBullet"/>
        <w:numPr>
          <w:ilvl w:val="0"/>
          <w:numId w:val="35"/>
        </w:numPr>
        <w:spacing w:before="0" w:after="200" w:line="276" w:lineRule="auto"/>
      </w:pPr>
      <w:r w:rsidRPr="0085396A">
        <w:t xml:space="preserve">pre-export phytosanitary inspection.  </w:t>
      </w:r>
    </w:p>
    <w:p w14:paraId="24A3AA8F" w14:textId="77777777" w:rsidR="004726BA" w:rsidRPr="004A4D86" w:rsidRDefault="004726BA" w:rsidP="0085396A">
      <w:pPr>
        <w:pStyle w:val="ListBullet"/>
        <w:spacing w:before="0" w:after="200" w:line="276" w:lineRule="auto"/>
        <w:ind w:left="357" w:hanging="357"/>
      </w:pPr>
      <w:r w:rsidRPr="0085396A">
        <w:t>However, most of these steps rely on symptom expression of the diseases caused by the pathogens and hence infected cut flowers showing no or mild symptoms may not be detected and may be exported.</w:t>
      </w:r>
    </w:p>
    <w:p w14:paraId="35D2E36D" w14:textId="77777777" w:rsidR="004726BA" w:rsidRPr="00A64907" w:rsidRDefault="004726BA" w:rsidP="0085396A">
      <w:pPr>
        <w:pStyle w:val="ListBullet"/>
        <w:spacing w:before="0" w:after="200" w:line="276" w:lineRule="auto"/>
        <w:ind w:left="357" w:hanging="357"/>
      </w:pPr>
      <w:r w:rsidRPr="0085396A">
        <w:t>Viability of pathogens is not expected to be affected by packaging, storage or transport used for the exported cut flowers.</w:t>
      </w:r>
    </w:p>
    <w:p w14:paraId="766B9E44" w14:textId="77777777" w:rsidR="004726BA" w:rsidRPr="00D22E10" w:rsidRDefault="004726BA" w:rsidP="0085396A">
      <w:pPr>
        <w:pStyle w:val="ListBullet"/>
        <w:spacing w:before="0" w:after="200" w:line="276" w:lineRule="auto"/>
        <w:ind w:left="357" w:hanging="357"/>
      </w:pPr>
      <w:r w:rsidRPr="0085396A">
        <w:t>Therefore, this report concludes that it is possible that some cut flowers imported into Australia may be infected with quarantine pathogens for Australia and these pathogens may still be viable when the imported cut flowers arrive in Australia.</w:t>
      </w:r>
    </w:p>
    <w:p w14:paraId="19A39675" w14:textId="77777777" w:rsidR="004726BA" w:rsidRPr="00290D32" w:rsidRDefault="004726BA" w:rsidP="00800E7D">
      <w:pPr>
        <w:rPr>
          <w:rFonts w:cs="Calibri"/>
        </w:rPr>
      </w:pPr>
      <w:r>
        <w:rPr>
          <w:rFonts w:cs="Calibri"/>
        </w:rPr>
        <w:t xml:space="preserve">For </w:t>
      </w:r>
      <w:r w:rsidRPr="00290D32">
        <w:rPr>
          <w:rFonts w:cs="Calibri"/>
        </w:rPr>
        <w:t xml:space="preserve">the reasons outlined, the likelihood that </w:t>
      </w:r>
      <w:r>
        <w:rPr>
          <w:rFonts w:cs="Calibri"/>
        </w:rPr>
        <w:t xml:space="preserve">quarantine pathogens </w:t>
      </w:r>
      <w:r w:rsidRPr="00290D32">
        <w:rPr>
          <w:rFonts w:cs="Calibri"/>
        </w:rPr>
        <w:t xml:space="preserve">will arrive in Australia in a viable state with the importation of </w:t>
      </w:r>
      <w:r>
        <w:rPr>
          <w:rFonts w:cs="Calibri"/>
        </w:rPr>
        <w:t>cut flowers</w:t>
      </w:r>
      <w:r w:rsidRPr="00290D32">
        <w:rPr>
          <w:rFonts w:cs="Calibri"/>
        </w:rPr>
        <w:t xml:space="preserve"> is assessed </w:t>
      </w:r>
      <w:r>
        <w:rPr>
          <w:rFonts w:cs="Calibri"/>
        </w:rPr>
        <w:t>ranging from ‘Extremely low’ to</w:t>
      </w:r>
      <w:r w:rsidRPr="00290D32">
        <w:rPr>
          <w:rFonts w:cs="Calibri"/>
        </w:rPr>
        <w:t xml:space="preserve"> ‘</w:t>
      </w:r>
      <w:r>
        <w:rPr>
          <w:rFonts w:cs="Calibri"/>
        </w:rPr>
        <w:t>High</w:t>
      </w:r>
      <w:r w:rsidRPr="00290D32">
        <w:rPr>
          <w:rFonts w:cs="Calibri"/>
        </w:rPr>
        <w:t>’.</w:t>
      </w:r>
    </w:p>
    <w:p w14:paraId="33CFD4CE" w14:textId="77777777" w:rsidR="004726BA" w:rsidRPr="00144FF6" w:rsidRDefault="004726BA" w:rsidP="00800E7D">
      <w:pPr>
        <w:rPr>
          <w:b/>
          <w:bCs/>
        </w:rPr>
      </w:pPr>
      <w:r w:rsidRPr="00144FF6">
        <w:rPr>
          <w:b/>
          <w:bCs/>
        </w:rPr>
        <w:t>Likelihood of distribution</w:t>
      </w:r>
    </w:p>
    <w:p w14:paraId="4723B58F" w14:textId="77777777" w:rsidR="004726BA" w:rsidRDefault="004726BA" w:rsidP="00800E7D">
      <w:pPr>
        <w:rPr>
          <w:rFonts w:cstheme="minorHAnsi"/>
          <w:b/>
        </w:rPr>
      </w:pPr>
      <w:r w:rsidRPr="00F05617">
        <w:rPr>
          <w:rFonts w:cstheme="minorHAnsi"/>
        </w:rPr>
        <w:t xml:space="preserve">The likelihood that </w:t>
      </w:r>
      <w:r>
        <w:rPr>
          <w:rFonts w:cstheme="minorHAnsi"/>
        </w:rPr>
        <w:t xml:space="preserve">quarantine </w:t>
      </w:r>
      <w:r w:rsidRPr="00F05617">
        <w:rPr>
          <w:rFonts w:cstheme="minorHAnsi"/>
        </w:rPr>
        <w:t>pathogen</w:t>
      </w:r>
      <w:r>
        <w:rPr>
          <w:rFonts w:cstheme="minorHAnsi"/>
        </w:rPr>
        <w:t>s</w:t>
      </w:r>
      <w:r w:rsidRPr="00F05617">
        <w:rPr>
          <w:rFonts w:cstheme="minorHAnsi"/>
        </w:rPr>
        <w:t xml:space="preserve"> </w:t>
      </w:r>
      <w:r>
        <w:rPr>
          <w:rFonts w:cstheme="minorHAnsi"/>
        </w:rPr>
        <w:t xml:space="preserve">associated with imported cut flowers (that are diverted to propagation) </w:t>
      </w:r>
      <w:r w:rsidRPr="00F05617">
        <w:rPr>
          <w:rFonts w:cstheme="minorHAnsi"/>
        </w:rPr>
        <w:t>will be distributed within Australia and subsequently transfer to a susceptible part of a hos</w:t>
      </w:r>
      <w:r>
        <w:rPr>
          <w:rFonts w:cstheme="minorHAnsi"/>
        </w:rPr>
        <w:t xml:space="preserve">t </w:t>
      </w:r>
      <w:r w:rsidRPr="00F05617">
        <w:rPr>
          <w:rFonts w:cstheme="minorHAnsi"/>
        </w:rPr>
        <w:t xml:space="preserve">in a viable state </w:t>
      </w:r>
      <w:r>
        <w:rPr>
          <w:rFonts w:cstheme="minorHAnsi"/>
        </w:rPr>
        <w:t xml:space="preserve">(in this case, be in a viable and healthy host plant </w:t>
      </w:r>
      <w:r w:rsidRPr="00F05617">
        <w:rPr>
          <w:rFonts w:cstheme="minorHAnsi"/>
        </w:rPr>
        <w:t xml:space="preserve">as a result of </w:t>
      </w:r>
      <w:r>
        <w:rPr>
          <w:rFonts w:cstheme="minorHAnsi"/>
        </w:rPr>
        <w:t>personal DFIU of</w:t>
      </w:r>
      <w:r w:rsidRPr="00F05617">
        <w:rPr>
          <w:rFonts w:cstheme="minorHAnsi"/>
        </w:rPr>
        <w:t xml:space="preserve"> </w:t>
      </w:r>
      <w:r>
        <w:rPr>
          <w:rFonts w:cstheme="minorHAnsi"/>
        </w:rPr>
        <w:t xml:space="preserve">the </w:t>
      </w:r>
      <w:r w:rsidRPr="00F05617">
        <w:rPr>
          <w:rFonts w:cstheme="minorHAnsi"/>
          <w:color w:val="000000" w:themeColor="text1"/>
        </w:rPr>
        <w:t>imported cut flower</w:t>
      </w:r>
      <w:r>
        <w:rPr>
          <w:rFonts w:cstheme="minorHAnsi"/>
          <w:color w:val="000000" w:themeColor="text1"/>
        </w:rPr>
        <w:t>s</w:t>
      </w:r>
      <w:r w:rsidRPr="00F05617">
        <w:rPr>
          <w:rFonts w:cstheme="minorHAnsi"/>
          <w:color w:val="000000" w:themeColor="text1"/>
        </w:rPr>
        <w:t xml:space="preserve"> to propagation</w:t>
      </w:r>
      <w:r>
        <w:rPr>
          <w:rFonts w:cstheme="minorHAnsi"/>
          <w:color w:val="000000" w:themeColor="text1"/>
        </w:rPr>
        <w:t>)</w:t>
      </w:r>
      <w:r w:rsidRPr="00F05617">
        <w:rPr>
          <w:rFonts w:cstheme="minorHAnsi"/>
          <w:color w:val="000000" w:themeColor="text1"/>
        </w:rPr>
        <w:fldChar w:fldCharType="begin"/>
      </w:r>
      <w:r w:rsidRPr="00F05617">
        <w:rPr>
          <w:rFonts w:cstheme="minorHAnsi"/>
          <w:color w:val="000000" w:themeColor="text1"/>
        </w:rPr>
        <w:instrText xml:space="preserve"> REF  country  \* MERGEFORMAT </w:instrText>
      </w:r>
      <w:r w:rsidRPr="00F05617">
        <w:rPr>
          <w:rFonts w:cstheme="minorHAnsi"/>
          <w:color w:val="000000" w:themeColor="text1"/>
        </w:rPr>
        <w:fldChar w:fldCharType="separate"/>
      </w:r>
      <w:r w:rsidRPr="00F05617">
        <w:rPr>
          <w:rFonts w:cstheme="minorHAnsi"/>
          <w:color w:val="000000" w:themeColor="text1"/>
        </w:rPr>
        <w:fldChar w:fldCharType="end"/>
      </w:r>
      <w:r w:rsidRPr="00F05617">
        <w:rPr>
          <w:rFonts w:cstheme="minorHAnsi"/>
        </w:rPr>
        <w:t xml:space="preserve"> is assessed as: </w:t>
      </w:r>
      <w:r>
        <w:rPr>
          <w:rFonts w:cstheme="minorHAnsi"/>
          <w:b/>
        </w:rPr>
        <w:t>E</w:t>
      </w:r>
      <w:r w:rsidRPr="00F05617">
        <w:rPr>
          <w:rFonts w:cstheme="minorHAnsi"/>
          <w:b/>
        </w:rPr>
        <w:t>xtremely low</w:t>
      </w:r>
      <w:r>
        <w:rPr>
          <w:rFonts w:cstheme="minorHAnsi"/>
          <w:b/>
        </w:rPr>
        <w:t>.</w:t>
      </w:r>
    </w:p>
    <w:p w14:paraId="3FF8F6CE" w14:textId="77777777" w:rsidR="004726BA" w:rsidRDefault="004726BA" w:rsidP="00800E7D">
      <w:pPr>
        <w:rPr>
          <w:rFonts w:cstheme="minorHAnsi"/>
        </w:rPr>
      </w:pPr>
      <w:r>
        <w:rPr>
          <w:rFonts w:cstheme="minorHAnsi"/>
        </w:rPr>
        <w:t xml:space="preserve">The likelihood of distribution is assessed as </w:t>
      </w:r>
      <w:r w:rsidRPr="007E2EFA">
        <w:rPr>
          <w:rFonts w:cstheme="minorHAnsi"/>
        </w:rPr>
        <w:t>Extremely low</w:t>
      </w:r>
      <w:r>
        <w:rPr>
          <w:rFonts w:cstheme="minorHAnsi"/>
        </w:rPr>
        <w:t xml:space="preserve"> because although there is information to suggest that </w:t>
      </w:r>
      <w:r>
        <w:rPr>
          <w:rFonts w:eastAsia="Calibri" w:cs="Times New Roman"/>
        </w:rPr>
        <w:t xml:space="preserve">personal DFIU of cut flowers to propagation may be occurring at or below </w:t>
      </w:r>
      <w:r>
        <w:rPr>
          <w:rFonts w:cstheme="minorHAnsi"/>
        </w:rPr>
        <w:t xml:space="preserve">very low levels, the likelihood of distribution is further reduced because not all personal DFIU of cut flowers </w:t>
      </w:r>
      <w:r>
        <w:t>will be successful in</w:t>
      </w:r>
      <w:r w:rsidRPr="000A6830">
        <w:t xml:space="preserve"> obtaining viable and healthy plants </w:t>
      </w:r>
      <w:r>
        <w:t xml:space="preserve">to serve as a host for quarantine pathogens. </w:t>
      </w:r>
      <w:r>
        <w:rPr>
          <w:rFonts w:cstheme="minorHAnsi"/>
        </w:rPr>
        <w:t xml:space="preserve"> </w:t>
      </w:r>
    </w:p>
    <w:p w14:paraId="4D211E18" w14:textId="77777777" w:rsidR="004726BA" w:rsidRPr="00F05617" w:rsidRDefault="004726BA" w:rsidP="00800E7D">
      <w:pPr>
        <w:rPr>
          <w:rFonts w:cstheme="minorHAnsi"/>
        </w:rPr>
      </w:pPr>
      <w:r w:rsidRPr="00F05617">
        <w:rPr>
          <w:rFonts w:cstheme="minorHAnsi"/>
        </w:rPr>
        <w:t>The following information support</w:t>
      </w:r>
      <w:r>
        <w:rPr>
          <w:rFonts w:cstheme="minorHAnsi"/>
        </w:rPr>
        <w:t>s the assigned likelihood range</w:t>
      </w:r>
      <w:r w:rsidRPr="00F05617">
        <w:rPr>
          <w:rFonts w:cstheme="minorHAnsi"/>
        </w:rPr>
        <w:t>.</w:t>
      </w:r>
    </w:p>
    <w:p w14:paraId="0A8C4FB8" w14:textId="77777777" w:rsidR="004726BA" w:rsidRPr="00F05617" w:rsidRDefault="004726BA" w:rsidP="00A472BD">
      <w:pPr>
        <w:pStyle w:val="ListBullet"/>
        <w:spacing w:before="0" w:after="200" w:line="276" w:lineRule="auto"/>
        <w:ind w:hanging="357"/>
      </w:pPr>
      <w:r>
        <w:t>It is expected that cut flowers imported into Australia could be</w:t>
      </w:r>
      <w:r w:rsidRPr="00F05617">
        <w:t xml:space="preserve"> distributed </w:t>
      </w:r>
      <w:r>
        <w:t>throughout Australia through</w:t>
      </w:r>
      <w:r w:rsidRPr="00F05617">
        <w:t xml:space="preserve"> wholesalers and retailers</w:t>
      </w:r>
      <w:r>
        <w:t xml:space="preserve"> and be displayed for sale to customers, with the majority likely to be in </w:t>
      </w:r>
      <w:r w:rsidRPr="00F05617">
        <w:t>florists and supermarkets</w:t>
      </w:r>
      <w:r>
        <w:t xml:space="preserve"> and a small proportion in markets or roadside stalls</w:t>
      </w:r>
      <w:r w:rsidRPr="00525379">
        <w:t>.</w:t>
      </w:r>
    </w:p>
    <w:p w14:paraId="43DB06E2" w14:textId="77777777" w:rsidR="004726BA" w:rsidRDefault="004726BA" w:rsidP="00A472BD">
      <w:pPr>
        <w:pStyle w:val="ListBullet"/>
        <w:spacing w:before="0" w:after="200" w:line="276" w:lineRule="auto"/>
        <w:ind w:hanging="357"/>
      </w:pPr>
      <w:r>
        <w:rPr>
          <w:rFonts w:eastAsia="Calibri" w:cs="Times New Roman"/>
        </w:rPr>
        <w:t xml:space="preserve">If imported cut flowers are diverted to propagation and the propagation is successful in producing viable and </w:t>
      </w:r>
      <w:r w:rsidRPr="001F2706">
        <w:rPr>
          <w:rFonts w:eastAsia="Calibri" w:cs="Times New Roman"/>
        </w:rPr>
        <w:t>healthy</w:t>
      </w:r>
      <w:r>
        <w:rPr>
          <w:rFonts w:eastAsia="Calibri" w:cs="Times New Roman"/>
        </w:rPr>
        <w:t xml:space="preserve"> plants, the plants will serve as a host of quarantine pathogens, if present and remain viable in the newly established plants.</w:t>
      </w:r>
    </w:p>
    <w:p w14:paraId="44A3D90E" w14:textId="77777777" w:rsidR="004726BA" w:rsidRDefault="004726BA" w:rsidP="00A472BD">
      <w:pPr>
        <w:pStyle w:val="ListBullet"/>
        <w:spacing w:before="0" w:after="200" w:line="276" w:lineRule="auto"/>
        <w:ind w:hanging="357"/>
      </w:pPr>
      <w:r>
        <w:rPr>
          <w:rFonts w:eastAsia="Calibri" w:cs="Times New Roman"/>
        </w:rPr>
        <w:t>A review of p</w:t>
      </w:r>
      <w:r w:rsidRPr="00525379">
        <w:rPr>
          <w:rFonts w:eastAsia="Calibri" w:cs="Times New Roman"/>
        </w:rPr>
        <w:t>ublished literature</w:t>
      </w:r>
      <w:r>
        <w:rPr>
          <w:rFonts w:eastAsia="Calibri" w:cs="Times New Roman"/>
        </w:rPr>
        <w:t xml:space="preserve"> found</w:t>
      </w:r>
      <w:r w:rsidRPr="00525379">
        <w:rPr>
          <w:rFonts w:eastAsia="Calibri" w:cs="Times New Roman"/>
        </w:rPr>
        <w:t xml:space="preserve"> </w:t>
      </w:r>
      <w:r>
        <w:rPr>
          <w:rFonts w:eastAsia="Calibri" w:cs="Times New Roman"/>
        </w:rPr>
        <w:t>n</w:t>
      </w:r>
      <w:r w:rsidRPr="00525379">
        <w:rPr>
          <w:rFonts w:eastAsia="Calibri" w:cs="Times New Roman"/>
        </w:rPr>
        <w:t xml:space="preserve">o </w:t>
      </w:r>
      <w:r>
        <w:rPr>
          <w:rFonts w:eastAsia="Calibri" w:cs="Times New Roman"/>
        </w:rPr>
        <w:t xml:space="preserve">primary </w:t>
      </w:r>
      <w:r w:rsidRPr="00525379">
        <w:rPr>
          <w:rFonts w:eastAsia="Calibri" w:cs="Times New Roman"/>
        </w:rPr>
        <w:t xml:space="preserve">reference </w:t>
      </w:r>
      <w:r>
        <w:rPr>
          <w:rFonts w:eastAsia="Calibri" w:cs="Times New Roman"/>
        </w:rPr>
        <w:t>relating to personal DFIU of imported cut flowers to propagation</w:t>
      </w:r>
      <w:r>
        <w:t xml:space="preserve"> occurring in Australia.</w:t>
      </w:r>
    </w:p>
    <w:p w14:paraId="5CCAB677" w14:textId="77777777" w:rsidR="004726BA" w:rsidRDefault="004726BA" w:rsidP="00A472BD">
      <w:pPr>
        <w:pStyle w:val="ListBullet"/>
        <w:spacing w:before="0" w:after="200" w:line="276" w:lineRule="auto"/>
        <w:ind w:hanging="357"/>
      </w:pPr>
      <w:r>
        <w:t xml:space="preserve">From examination of alternative sources of information, </w:t>
      </w:r>
      <w:r>
        <w:rPr>
          <w:rFonts w:eastAsia="Calibri" w:cs="Times New Roman"/>
        </w:rPr>
        <w:t xml:space="preserve">personal DFIU of cut flowers to propagation may be occurring globally at or below </w:t>
      </w:r>
      <w:r>
        <w:rPr>
          <w:rFonts w:cstheme="minorHAnsi"/>
        </w:rPr>
        <w:t>very low levels</w:t>
      </w:r>
      <w:r>
        <w:t>, with the majority of information being</w:t>
      </w:r>
      <w:r w:rsidRPr="00537C7E">
        <w:t xml:space="preserve"> </w:t>
      </w:r>
      <w:r>
        <w:t>‘</w:t>
      </w:r>
      <w:r w:rsidRPr="00537C7E">
        <w:t>afterthought</w:t>
      </w:r>
      <w:r>
        <w:t>s’ of people</w:t>
      </w:r>
      <w:r w:rsidRPr="00537C7E">
        <w:t xml:space="preserve"> want</w:t>
      </w:r>
      <w:r>
        <w:t>ing</w:t>
      </w:r>
      <w:r w:rsidRPr="00537C7E">
        <w:t xml:space="preserve"> to save a spent flower</w:t>
      </w:r>
      <w:r>
        <w:t xml:space="preserve"> (Section 3.2.2). However, there is uncertainty in information on DFIU occurrence.</w:t>
      </w:r>
    </w:p>
    <w:p w14:paraId="67C6DEE6" w14:textId="77777777" w:rsidR="004726BA" w:rsidRDefault="004726BA" w:rsidP="00A472BD">
      <w:pPr>
        <w:pStyle w:val="ListBullet2"/>
        <w:spacing w:before="0" w:after="200" w:line="276" w:lineRule="auto"/>
        <w:ind w:left="1117" w:hanging="357"/>
      </w:pPr>
      <w:r w:rsidRPr="00B6266F">
        <w:t>It is not known if and what proportion of these occurred in Australia</w:t>
      </w:r>
      <w:r>
        <w:t xml:space="preserve"> </w:t>
      </w:r>
      <w:r w:rsidRPr="00285953">
        <w:t>or if and what proportion of these involved imported cut flowers, i.e., not locally produced cut flowers</w:t>
      </w:r>
      <w:r w:rsidRPr="00B6266F">
        <w:t>.</w:t>
      </w:r>
    </w:p>
    <w:p w14:paraId="53621E6E" w14:textId="77777777" w:rsidR="004726BA" w:rsidRDefault="004726BA" w:rsidP="00A472BD">
      <w:pPr>
        <w:pStyle w:val="ListBullet2"/>
        <w:spacing w:before="0" w:after="200" w:line="276" w:lineRule="auto"/>
        <w:ind w:left="1117" w:hanging="357"/>
      </w:pPr>
      <w:r>
        <w:lastRenderedPageBreak/>
        <w:t xml:space="preserve">Some DFIU activities may not be documented or reported. </w:t>
      </w:r>
    </w:p>
    <w:p w14:paraId="76364BFB" w14:textId="77777777" w:rsidR="004726BA" w:rsidRPr="00F05617" w:rsidRDefault="004726BA" w:rsidP="00A472BD">
      <w:pPr>
        <w:pStyle w:val="ListBullet2"/>
        <w:spacing w:before="0" w:after="200" w:line="276" w:lineRule="auto"/>
        <w:ind w:left="1117" w:hanging="357"/>
      </w:pPr>
      <w:r>
        <w:t>If d</w:t>
      </w:r>
      <w:r w:rsidRPr="00F05617">
        <w:t xml:space="preserve">evitalisation </w:t>
      </w:r>
      <w:r>
        <w:t>requirements on imported cut flowers were removed</w:t>
      </w:r>
      <w:r w:rsidRPr="00F05617">
        <w:t xml:space="preserve">, there may be </w:t>
      </w:r>
      <w:r>
        <w:t>an</w:t>
      </w:r>
      <w:r w:rsidRPr="00F05617">
        <w:t xml:space="preserve"> increase </w:t>
      </w:r>
      <w:r>
        <w:t xml:space="preserve">in DFIU </w:t>
      </w:r>
      <w:r w:rsidRPr="00F05617">
        <w:t>to propagation.</w:t>
      </w:r>
      <w:r>
        <w:t xml:space="preserve"> </w:t>
      </w:r>
      <w:bookmarkStart w:id="46" w:name="_Hlk179539647"/>
      <w:r>
        <w:t>However, the increase is likely to be minor and temporary. This is because t</w:t>
      </w:r>
      <w:r w:rsidRPr="00A372C6">
        <w:t xml:space="preserve">he level of </w:t>
      </w:r>
      <w:r>
        <w:t xml:space="preserve">DFIU </w:t>
      </w:r>
      <w:r w:rsidRPr="00A372C6">
        <w:t xml:space="preserve">of cut flowers to propagation </w:t>
      </w:r>
      <w:r>
        <w:t>that may be occurring</w:t>
      </w:r>
      <w:r w:rsidRPr="00A372C6">
        <w:t xml:space="preserve"> </w:t>
      </w:r>
      <w:r>
        <w:t xml:space="preserve">globally is at or below </w:t>
      </w:r>
      <w:r w:rsidRPr="00A372C6">
        <w:t xml:space="preserve">very low </w:t>
      </w:r>
      <w:r>
        <w:t xml:space="preserve">levels even though all other countries, except Australia and New Zealand, </w:t>
      </w:r>
      <w:r w:rsidRPr="00A372C6">
        <w:t>do not require devitalisation</w:t>
      </w:r>
      <w:r>
        <w:t xml:space="preserve"> treatment on their imported cut flowers. </w:t>
      </w:r>
      <w:bookmarkEnd w:id="46"/>
      <w:r>
        <w:t>Noting that, in November 2024, New Zealand has proposed to remove devitalisation requirements for their imported cut flowers.</w:t>
      </w:r>
    </w:p>
    <w:p w14:paraId="1C0DDD36" w14:textId="77777777" w:rsidR="004726BA" w:rsidRPr="008563BA" w:rsidRDefault="004726BA" w:rsidP="00A472BD">
      <w:pPr>
        <w:pStyle w:val="ListBullet2"/>
        <w:spacing w:before="0" w:after="200" w:line="276" w:lineRule="auto"/>
        <w:ind w:left="1117" w:hanging="357"/>
      </w:pPr>
      <w:r w:rsidRPr="00285953">
        <w:t xml:space="preserve">To address </w:t>
      </w:r>
      <w:r>
        <w:t>the</w:t>
      </w:r>
      <w:r w:rsidRPr="00285953">
        <w:t xml:space="preserve"> uncertainty, this report assumes that personal DFIU of imported cut flowers </w:t>
      </w:r>
      <w:r>
        <w:t>may be occurring</w:t>
      </w:r>
      <w:r w:rsidRPr="00285953">
        <w:t xml:space="preserve"> in Australia at </w:t>
      </w:r>
      <w:r>
        <w:t>or below very low levels</w:t>
      </w:r>
      <w:r w:rsidRPr="00285953">
        <w:t>.</w:t>
      </w:r>
    </w:p>
    <w:p w14:paraId="5AEC325D" w14:textId="77777777" w:rsidR="004726BA" w:rsidRDefault="004726BA" w:rsidP="00A472BD">
      <w:pPr>
        <w:pStyle w:val="ListBullet"/>
        <w:spacing w:before="0" w:after="200" w:line="276" w:lineRule="auto"/>
        <w:ind w:hanging="357"/>
      </w:pPr>
      <w:r>
        <w:t xml:space="preserve">From examination of an alternative source of information, </w:t>
      </w:r>
      <w:r>
        <w:rPr>
          <w:rFonts w:eastAsia="Calibri" w:cs="Times New Roman"/>
        </w:rPr>
        <w:t xml:space="preserve">personal DFIU of cut flowers to propagation </w:t>
      </w:r>
      <w:r w:rsidRPr="006C3D98">
        <w:t>was rarely successful</w:t>
      </w:r>
      <w:r>
        <w:t xml:space="preserve"> and on species that is not permitted to be imported into Australia as cut flowers (Section 3.2.2). </w:t>
      </w:r>
    </w:p>
    <w:p w14:paraId="3254FA25" w14:textId="77777777" w:rsidR="004726BA" w:rsidRPr="000A6830" w:rsidRDefault="004726BA" w:rsidP="00A472BD">
      <w:pPr>
        <w:pStyle w:val="ListBullet"/>
        <w:spacing w:before="0" w:after="200" w:line="276" w:lineRule="auto"/>
        <w:ind w:hanging="357"/>
      </w:pPr>
      <w:r w:rsidRPr="00F05617">
        <w:t xml:space="preserve">The </w:t>
      </w:r>
      <w:r>
        <w:t>success of personal DFIU of imported c</w:t>
      </w:r>
      <w:r w:rsidRPr="00F05617">
        <w:t>ut flowers</w:t>
      </w:r>
      <w:r>
        <w:t xml:space="preserve"> to propagation, i.e. in producing viable and healthy plants </w:t>
      </w:r>
      <w:r w:rsidRPr="00076EA1">
        <w:t>can vary, for example, among species, cultivars, duration from the point of harvest to the point of DFIU, and</w:t>
      </w:r>
      <w:r>
        <w:t xml:space="preserve"> environmental conditions and practices during propagation</w:t>
      </w:r>
      <w:r w:rsidRPr="000A6830">
        <w:t>.</w:t>
      </w:r>
    </w:p>
    <w:p w14:paraId="010D278D" w14:textId="77777777" w:rsidR="004726BA" w:rsidRDefault="004726BA" w:rsidP="00A472BD">
      <w:pPr>
        <w:pStyle w:val="ListBullet"/>
        <w:spacing w:before="0" w:after="200" w:line="276" w:lineRule="auto"/>
        <w:ind w:hanging="357"/>
      </w:pPr>
      <w:r w:rsidRPr="000A6830">
        <w:t xml:space="preserve">Overall, the success of obtaining viable and healthy plants </w:t>
      </w:r>
      <w:r>
        <w:t xml:space="preserve">from personal DFIU </w:t>
      </w:r>
      <w:r w:rsidRPr="000A6830">
        <w:t xml:space="preserve">is </w:t>
      </w:r>
      <w:r>
        <w:t>expected to be much reduced due to the following reasons:</w:t>
      </w:r>
    </w:p>
    <w:p w14:paraId="70B2F1FC" w14:textId="77777777" w:rsidR="004726BA" w:rsidRPr="00285953" w:rsidRDefault="004726BA" w:rsidP="00A472BD">
      <w:pPr>
        <w:pStyle w:val="ListBullet2"/>
        <w:spacing w:before="0" w:after="200" w:line="276" w:lineRule="auto"/>
        <w:ind w:left="1117" w:hanging="357"/>
      </w:pPr>
      <w:r w:rsidRPr="00285953">
        <w:t>cut flower stems are generally not considered physically or metabolically suitable for plant propagation even at harvest (Section 3.3.1)</w:t>
      </w:r>
    </w:p>
    <w:p w14:paraId="1BFA3F5F" w14:textId="77777777" w:rsidR="004726BA" w:rsidRPr="00285953" w:rsidRDefault="004726BA" w:rsidP="00A472BD">
      <w:pPr>
        <w:pStyle w:val="ListBullet2"/>
        <w:spacing w:before="0" w:after="200" w:line="276" w:lineRule="auto"/>
        <w:ind w:left="1117" w:hanging="357"/>
      </w:pPr>
      <w:r w:rsidRPr="00285953">
        <w:t>the physiological and metabolic status of imported cut flowers are expected to have changed significantly over the period from harvest to retail sale, which will likely reduce their viability for propagation to produce viable and healthy plants (Section 3.3.2)</w:t>
      </w:r>
    </w:p>
    <w:p w14:paraId="6A5DD109" w14:textId="77777777" w:rsidR="004726BA" w:rsidRDefault="004726BA" w:rsidP="00A472BD">
      <w:pPr>
        <w:pStyle w:val="ListBullet2"/>
        <w:spacing w:before="0" w:after="200" w:line="276" w:lineRule="auto"/>
        <w:ind w:left="1117" w:hanging="357"/>
      </w:pPr>
      <w:r w:rsidRPr="00285953">
        <w:t>with reduced viability of imported cut flowers for propagation, o</w:t>
      </w:r>
      <w:r w:rsidRPr="0001418F">
        <w:t xml:space="preserve">ptimum environmental conditions </w:t>
      </w:r>
      <w:r>
        <w:t xml:space="preserve">and practices during propagation </w:t>
      </w:r>
      <w:r w:rsidRPr="0001418F">
        <w:t xml:space="preserve">are </w:t>
      </w:r>
      <w:r>
        <w:t>essential</w:t>
      </w:r>
      <w:r w:rsidRPr="0001418F">
        <w:t xml:space="preserve"> </w:t>
      </w:r>
      <w:r w:rsidRPr="00285953">
        <w:t xml:space="preserve">to produce viable and healthy plants (Section 3.3.3). </w:t>
      </w:r>
      <w:r>
        <w:t xml:space="preserve">Achieving optimum environmental conditions and practices during propagation require some </w:t>
      </w:r>
      <w:r w:rsidRPr="00F05617">
        <w:t xml:space="preserve">specialist knowledge, </w:t>
      </w:r>
      <w:r>
        <w:t xml:space="preserve">experience and </w:t>
      </w:r>
      <w:r w:rsidRPr="00F05617">
        <w:t>equipment</w:t>
      </w:r>
      <w:r>
        <w:t xml:space="preserve">. In addition, successful propagation from imported cut flowers would likely involve high </w:t>
      </w:r>
      <w:r w:rsidRPr="00F05617">
        <w:t>numbers of cuttings</w:t>
      </w:r>
      <w:r>
        <w:t>. These are unlikely to be readily available for personal DFIU.</w:t>
      </w:r>
    </w:p>
    <w:p w14:paraId="2C2948F2" w14:textId="77777777" w:rsidR="004726BA" w:rsidRDefault="004726BA" w:rsidP="00800E7D">
      <w:pPr>
        <w:rPr>
          <w:rFonts w:cs="Calibri"/>
        </w:rPr>
      </w:pPr>
      <w:r w:rsidRPr="00130A89">
        <w:rPr>
          <w:rFonts w:cs="Calibri"/>
        </w:rPr>
        <w:t xml:space="preserve">For the reasons outlined, the likelihood that </w:t>
      </w:r>
      <w:r>
        <w:rPr>
          <w:rFonts w:cs="Calibri"/>
        </w:rPr>
        <w:t xml:space="preserve">quarantine pathogens associated with imported cut flowers </w:t>
      </w:r>
      <w:r>
        <w:rPr>
          <w:rFonts w:cstheme="minorHAnsi"/>
        </w:rPr>
        <w:t xml:space="preserve">(that are diverted to propagation) </w:t>
      </w:r>
      <w:r w:rsidRPr="00F05617">
        <w:rPr>
          <w:rFonts w:cstheme="minorHAnsi"/>
        </w:rPr>
        <w:t>will be distributed within Australia and subsequently</w:t>
      </w:r>
      <w:r>
        <w:rPr>
          <w:rFonts w:cstheme="minorHAnsi"/>
        </w:rPr>
        <w:t xml:space="preserve"> be in</w:t>
      </w:r>
      <w:r w:rsidRPr="00F05617">
        <w:rPr>
          <w:rFonts w:cstheme="minorHAnsi"/>
        </w:rPr>
        <w:t xml:space="preserve"> </w:t>
      </w:r>
      <w:r>
        <w:rPr>
          <w:rFonts w:cstheme="minorHAnsi"/>
        </w:rPr>
        <w:t xml:space="preserve">viable and healthy </w:t>
      </w:r>
      <w:r w:rsidRPr="00F05617">
        <w:rPr>
          <w:rFonts w:cstheme="minorHAnsi"/>
        </w:rPr>
        <w:t>hos</w:t>
      </w:r>
      <w:r>
        <w:rPr>
          <w:rFonts w:cstheme="minorHAnsi"/>
        </w:rPr>
        <w:t xml:space="preserve">t plants </w:t>
      </w:r>
      <w:r w:rsidRPr="00F05617">
        <w:rPr>
          <w:rFonts w:cstheme="minorHAnsi"/>
        </w:rPr>
        <w:t xml:space="preserve">as a result of </w:t>
      </w:r>
      <w:r>
        <w:rPr>
          <w:rFonts w:cstheme="minorHAnsi"/>
        </w:rPr>
        <w:t>personal DFIU of</w:t>
      </w:r>
      <w:r w:rsidRPr="00F05617">
        <w:rPr>
          <w:rFonts w:cstheme="minorHAnsi"/>
        </w:rPr>
        <w:t xml:space="preserve"> </w:t>
      </w:r>
      <w:r>
        <w:rPr>
          <w:rFonts w:cstheme="minorHAnsi"/>
        </w:rPr>
        <w:t xml:space="preserve">the </w:t>
      </w:r>
      <w:r w:rsidRPr="00F05617">
        <w:rPr>
          <w:rFonts w:cstheme="minorHAnsi"/>
          <w:color w:val="000000" w:themeColor="text1"/>
        </w:rPr>
        <w:t>imported cut flower</w:t>
      </w:r>
      <w:r>
        <w:rPr>
          <w:rFonts w:cstheme="minorHAnsi"/>
          <w:color w:val="000000" w:themeColor="text1"/>
        </w:rPr>
        <w:t>s</w:t>
      </w:r>
      <w:r w:rsidRPr="00F05617">
        <w:rPr>
          <w:rFonts w:cstheme="minorHAnsi"/>
          <w:color w:val="000000" w:themeColor="text1"/>
        </w:rPr>
        <w:t xml:space="preserve"> to propagation</w:t>
      </w:r>
      <w:r w:rsidRPr="00F05617">
        <w:rPr>
          <w:rFonts w:cstheme="minorHAnsi"/>
          <w:color w:val="000000" w:themeColor="text1"/>
        </w:rPr>
        <w:fldChar w:fldCharType="begin"/>
      </w:r>
      <w:r w:rsidRPr="00F05617">
        <w:rPr>
          <w:rFonts w:cstheme="minorHAnsi"/>
          <w:color w:val="000000" w:themeColor="text1"/>
        </w:rPr>
        <w:instrText xml:space="preserve"> REF  country  \* MERGEFORMAT </w:instrText>
      </w:r>
      <w:r w:rsidRPr="00F05617">
        <w:rPr>
          <w:rFonts w:cstheme="minorHAnsi"/>
          <w:color w:val="000000" w:themeColor="text1"/>
        </w:rPr>
        <w:fldChar w:fldCharType="separate"/>
      </w:r>
      <w:r w:rsidRPr="00F05617">
        <w:rPr>
          <w:rFonts w:cstheme="minorHAnsi"/>
          <w:color w:val="000000" w:themeColor="text1"/>
        </w:rPr>
        <w:fldChar w:fldCharType="end"/>
      </w:r>
      <w:r w:rsidRPr="00F05617">
        <w:rPr>
          <w:rFonts w:cstheme="minorHAnsi"/>
        </w:rPr>
        <w:t xml:space="preserve"> is assessed as</w:t>
      </w:r>
      <w:r w:rsidRPr="00130A89">
        <w:rPr>
          <w:rFonts w:cs="Calibri"/>
        </w:rPr>
        <w:t xml:space="preserve"> ‘</w:t>
      </w:r>
      <w:r>
        <w:rPr>
          <w:rFonts w:cs="Calibri"/>
        </w:rPr>
        <w:t>Extremely</w:t>
      </w:r>
      <w:r w:rsidRPr="00130A89">
        <w:rPr>
          <w:rFonts w:cs="Calibri"/>
        </w:rPr>
        <w:t xml:space="preserve"> Low’</w:t>
      </w:r>
    </w:p>
    <w:p w14:paraId="46E03D5C" w14:textId="77777777" w:rsidR="004726BA" w:rsidRPr="00144FF6" w:rsidRDefault="004726BA" w:rsidP="00800E7D">
      <w:pPr>
        <w:rPr>
          <w:b/>
          <w:bCs/>
        </w:rPr>
      </w:pPr>
      <w:r w:rsidRPr="00F05617">
        <w:rPr>
          <w:rFonts w:cstheme="minorHAnsi"/>
          <w:color w:val="000000" w:themeColor="text1"/>
        </w:rPr>
        <w:fldChar w:fldCharType="begin"/>
      </w:r>
      <w:r w:rsidRPr="00F05617">
        <w:rPr>
          <w:rFonts w:cstheme="minorHAnsi"/>
          <w:color w:val="000000" w:themeColor="text1"/>
        </w:rPr>
        <w:instrText xml:space="preserve"> REF  country  \* MERGEFORMAT </w:instrText>
      </w:r>
      <w:r w:rsidRPr="00F05617">
        <w:rPr>
          <w:rFonts w:cstheme="minorHAnsi"/>
          <w:color w:val="000000" w:themeColor="text1"/>
        </w:rPr>
        <w:fldChar w:fldCharType="separate"/>
      </w:r>
      <w:r w:rsidRPr="00F05617">
        <w:rPr>
          <w:rFonts w:cstheme="minorHAnsi"/>
          <w:color w:val="000000" w:themeColor="text1"/>
        </w:rPr>
        <w:fldChar w:fldCharType="end"/>
      </w:r>
      <w:r w:rsidRPr="00144FF6">
        <w:rPr>
          <w:b/>
          <w:bCs/>
        </w:rPr>
        <w:t>Overall likelihood of entry</w:t>
      </w:r>
    </w:p>
    <w:p w14:paraId="239EDD46" w14:textId="77777777" w:rsidR="004726BA" w:rsidRPr="00DB1D67" w:rsidRDefault="004726BA" w:rsidP="00800E7D">
      <w:pPr>
        <w:rPr>
          <w:rFonts w:cstheme="minorHAnsi"/>
        </w:rPr>
      </w:pPr>
      <w:r w:rsidRPr="00DB1D67">
        <w:rPr>
          <w:rFonts w:cstheme="minorHAnsi"/>
        </w:rPr>
        <w:t>The overall likelihood of entry [En] is determined by combining the likelihood of importation [I] with the likelihood of distribution [D] using the matrix of rules shown in Table A.1 in Appendix A.</w:t>
      </w:r>
    </w:p>
    <w:p w14:paraId="209B7AA8" w14:textId="77777777" w:rsidR="004726BA" w:rsidRPr="00DB1D67" w:rsidRDefault="004726BA" w:rsidP="00800E7D">
      <w:pPr>
        <w:rPr>
          <w:rFonts w:cstheme="minorHAnsi"/>
        </w:rPr>
      </w:pPr>
      <w:r w:rsidRPr="00DB1D67">
        <w:rPr>
          <w:rFonts w:cstheme="minorHAnsi"/>
        </w:rPr>
        <w:t xml:space="preserve">[I] = </w:t>
      </w:r>
      <w:r>
        <w:rPr>
          <w:rFonts w:cstheme="minorHAnsi"/>
          <w:b/>
          <w:bCs/>
        </w:rPr>
        <w:t>Extremely</w:t>
      </w:r>
      <w:r w:rsidRPr="00DB1D67">
        <w:rPr>
          <w:rFonts w:cstheme="minorHAnsi"/>
          <w:b/>
          <w:bCs/>
        </w:rPr>
        <w:t xml:space="preserve"> low</w:t>
      </w:r>
      <w:r w:rsidRPr="00DB1D67">
        <w:rPr>
          <w:rFonts w:cstheme="minorHAnsi"/>
        </w:rPr>
        <w:t xml:space="preserve"> to </w:t>
      </w:r>
      <w:r w:rsidRPr="00DB1D67">
        <w:rPr>
          <w:rFonts w:cstheme="minorHAnsi"/>
          <w:b/>
          <w:bCs/>
        </w:rPr>
        <w:t>High</w:t>
      </w:r>
    </w:p>
    <w:p w14:paraId="07BD49AA" w14:textId="77777777" w:rsidR="004726BA" w:rsidRPr="00DB1D67" w:rsidRDefault="004726BA" w:rsidP="00800E7D">
      <w:pPr>
        <w:rPr>
          <w:rFonts w:cstheme="minorHAnsi"/>
        </w:rPr>
      </w:pPr>
      <w:r w:rsidRPr="00DB1D67">
        <w:rPr>
          <w:rFonts w:cstheme="minorHAnsi"/>
        </w:rPr>
        <w:lastRenderedPageBreak/>
        <w:t xml:space="preserve">[D] = </w:t>
      </w:r>
      <w:r w:rsidRPr="00DB1D67">
        <w:rPr>
          <w:rFonts w:cstheme="minorHAnsi"/>
          <w:b/>
          <w:bCs/>
        </w:rPr>
        <w:t>Extremely low</w:t>
      </w:r>
    </w:p>
    <w:p w14:paraId="03BFAEF1" w14:textId="77777777" w:rsidR="004726BA" w:rsidRPr="00DB1D67" w:rsidRDefault="004726BA" w:rsidP="00800E7D">
      <w:pPr>
        <w:rPr>
          <w:rFonts w:cstheme="minorHAnsi"/>
        </w:rPr>
      </w:pPr>
      <w:r w:rsidRPr="00DB1D67">
        <w:rPr>
          <w:rFonts w:cstheme="minorHAnsi"/>
        </w:rPr>
        <w:t xml:space="preserve">[En] = [I] x [D] </w:t>
      </w:r>
    </w:p>
    <w:p w14:paraId="6BA6FF28" w14:textId="77777777" w:rsidR="004726BA" w:rsidRPr="00DB1D67" w:rsidRDefault="004726BA" w:rsidP="00800E7D">
      <w:r w:rsidRPr="00DB1D67">
        <w:rPr>
          <w:rFonts w:cstheme="minorHAnsi"/>
        </w:rPr>
        <w:t xml:space="preserve">[En] = </w:t>
      </w:r>
      <w:r>
        <w:rPr>
          <w:b/>
          <w:bCs/>
        </w:rPr>
        <w:t>Extremely</w:t>
      </w:r>
      <w:r w:rsidRPr="00DB1D67">
        <w:rPr>
          <w:b/>
          <w:bCs/>
        </w:rPr>
        <w:t xml:space="preserve"> low</w:t>
      </w:r>
      <w:r w:rsidRPr="00DB1D67">
        <w:t xml:space="preserve"> to </w:t>
      </w:r>
      <w:r w:rsidRPr="00DB1D67">
        <w:rPr>
          <w:b/>
          <w:bCs/>
        </w:rPr>
        <w:t>High</w:t>
      </w:r>
      <w:r w:rsidRPr="00DB1D67">
        <w:t xml:space="preserve"> x </w:t>
      </w:r>
      <w:r w:rsidRPr="00DB1D67">
        <w:rPr>
          <w:b/>
          <w:bCs/>
        </w:rPr>
        <w:t>Extremely low</w:t>
      </w:r>
      <w:r w:rsidRPr="00DB1D67">
        <w:t xml:space="preserve"> = </w:t>
      </w:r>
      <w:r w:rsidRPr="00DF5FEE">
        <w:rPr>
          <w:b/>
          <w:bCs/>
        </w:rPr>
        <w:t>Negligible</w:t>
      </w:r>
      <w:r>
        <w:t xml:space="preserve"> to </w:t>
      </w:r>
      <w:r w:rsidRPr="00DB1D67">
        <w:rPr>
          <w:b/>
          <w:bCs/>
        </w:rPr>
        <w:t>Extremely low</w:t>
      </w:r>
      <w:r w:rsidRPr="00DB1D67">
        <w:tab/>
      </w:r>
    </w:p>
    <w:p w14:paraId="009796CC" w14:textId="77777777" w:rsidR="004726BA" w:rsidRDefault="004726BA" w:rsidP="00800E7D">
      <w:pPr>
        <w:rPr>
          <w:rFonts w:cstheme="minorHAnsi"/>
        </w:rPr>
      </w:pPr>
      <w:r>
        <w:rPr>
          <w:rFonts w:cstheme="minorHAnsi"/>
        </w:rPr>
        <w:t>That is the o</w:t>
      </w:r>
      <w:r w:rsidRPr="00DB1D67">
        <w:rPr>
          <w:rFonts w:cstheme="minorHAnsi"/>
        </w:rPr>
        <w:t xml:space="preserve">verall likelihood of entry </w:t>
      </w:r>
      <w:r>
        <w:rPr>
          <w:rFonts w:cstheme="minorHAnsi"/>
        </w:rPr>
        <w:t>is</w:t>
      </w:r>
      <w:r w:rsidRPr="00DB1D67">
        <w:rPr>
          <w:rFonts w:cstheme="minorHAnsi"/>
        </w:rPr>
        <w:t xml:space="preserve"> </w:t>
      </w:r>
      <w:r w:rsidRPr="00DF5FEE">
        <w:rPr>
          <w:b/>
          <w:bCs/>
        </w:rPr>
        <w:t>Negligible</w:t>
      </w:r>
      <w:r>
        <w:t xml:space="preserve"> to </w:t>
      </w:r>
      <w:r w:rsidRPr="00DB1D67">
        <w:rPr>
          <w:b/>
          <w:bCs/>
        </w:rPr>
        <w:t>Extremely low</w:t>
      </w:r>
      <w:r>
        <w:rPr>
          <w:b/>
          <w:bCs/>
        </w:rPr>
        <w:t>.</w:t>
      </w:r>
    </w:p>
    <w:p w14:paraId="5280CDED" w14:textId="77777777" w:rsidR="004726BA" w:rsidRPr="00A85B36" w:rsidRDefault="004726BA" w:rsidP="00800E7D">
      <w:pPr>
        <w:pStyle w:val="Heading4"/>
        <w:numPr>
          <w:ilvl w:val="0"/>
          <w:numId w:val="0"/>
        </w:numPr>
        <w:rPr>
          <w:rFonts w:eastAsia="Calibri" w:cs="Times New Roman"/>
        </w:rPr>
      </w:pPr>
      <w:bookmarkStart w:id="47" w:name="_Hlk124344373"/>
      <w:r>
        <w:t>L</w:t>
      </w:r>
      <w:r w:rsidRPr="00A85B36">
        <w:t>ikelihood</w:t>
      </w:r>
      <w:r>
        <w:t>s</w:t>
      </w:r>
      <w:r w:rsidRPr="00A85B36">
        <w:t xml:space="preserve"> of establishment</w:t>
      </w:r>
      <w:r>
        <w:t xml:space="preserve"> and </w:t>
      </w:r>
      <w:r w:rsidRPr="00A85B36">
        <w:t>spread</w:t>
      </w:r>
    </w:p>
    <w:p w14:paraId="3268D152" w14:textId="77777777" w:rsidR="004726BA" w:rsidRDefault="004726BA" w:rsidP="00800E7D">
      <w:pPr>
        <w:autoSpaceDE w:val="0"/>
        <w:autoSpaceDN w:val="0"/>
        <w:adjustRightInd w:val="0"/>
        <w:rPr>
          <w:color w:val="000000" w:themeColor="text1"/>
        </w:rPr>
      </w:pPr>
      <w:r>
        <w:rPr>
          <w:rFonts w:cstheme="minorHAnsi"/>
          <w:color w:val="000000"/>
        </w:rPr>
        <w:t xml:space="preserve">Likelihood of establishment </w:t>
      </w:r>
      <w:r>
        <w:rPr>
          <w:color w:val="000000" w:themeColor="text1"/>
        </w:rPr>
        <w:t xml:space="preserve">varies for different pathogens. For example, likelihood of establishment was previously assessed by the department as </w:t>
      </w:r>
      <w:r w:rsidRPr="00AB5A70">
        <w:rPr>
          <w:b/>
          <w:bCs/>
          <w:color w:val="000000" w:themeColor="text1"/>
        </w:rPr>
        <w:t>Low</w:t>
      </w:r>
      <w:r>
        <w:rPr>
          <w:color w:val="000000" w:themeColor="text1"/>
        </w:rPr>
        <w:t xml:space="preserve"> for Tomato ringspot virus </w:t>
      </w:r>
      <w:r>
        <w:rPr>
          <w:noProof/>
          <w:color w:val="000000" w:themeColor="text1"/>
        </w:rPr>
        <w:t>(Biosecurity Australia 2011)</w:t>
      </w:r>
      <w:r>
        <w:rPr>
          <w:color w:val="000000" w:themeColor="text1"/>
        </w:rPr>
        <w:t xml:space="preserve">, </w:t>
      </w:r>
      <w:r w:rsidRPr="008C50E1">
        <w:rPr>
          <w:b/>
          <w:bCs/>
          <w:color w:val="000000" w:themeColor="text1"/>
        </w:rPr>
        <w:t>Moderate</w:t>
      </w:r>
      <w:r w:rsidRPr="008C50E1">
        <w:rPr>
          <w:color w:val="000000" w:themeColor="text1"/>
        </w:rPr>
        <w:t xml:space="preserve">, for several </w:t>
      </w:r>
      <w:proofErr w:type="spellStart"/>
      <w:r w:rsidRPr="005875DB">
        <w:rPr>
          <w:color w:val="000000" w:themeColor="text1"/>
        </w:rPr>
        <w:t>orthotospoviruses</w:t>
      </w:r>
      <w:proofErr w:type="spellEnd"/>
      <w:r w:rsidRPr="005875DB">
        <w:rPr>
          <w:color w:val="000000" w:themeColor="text1"/>
        </w:rPr>
        <w:t xml:space="preserve"> </w:t>
      </w:r>
      <w:r>
        <w:rPr>
          <w:noProof/>
          <w:color w:val="000000" w:themeColor="text1"/>
        </w:rPr>
        <w:t>(DAWR 2017)</w:t>
      </w:r>
      <w:r w:rsidRPr="008C50E1">
        <w:rPr>
          <w:b/>
          <w:bCs/>
          <w:color w:val="000000" w:themeColor="text1"/>
        </w:rPr>
        <w:t xml:space="preserve"> </w:t>
      </w:r>
      <w:r>
        <w:rPr>
          <w:color w:val="000000" w:themeColor="text1"/>
        </w:rPr>
        <w:t>and</w:t>
      </w:r>
      <w:r w:rsidRPr="008C50E1">
        <w:rPr>
          <w:b/>
          <w:bCs/>
          <w:color w:val="000000" w:themeColor="text1"/>
        </w:rPr>
        <w:t xml:space="preserve"> High</w:t>
      </w:r>
      <w:r w:rsidRPr="008C50E1">
        <w:rPr>
          <w:color w:val="000000" w:themeColor="text1"/>
        </w:rPr>
        <w:t xml:space="preserve"> for </w:t>
      </w:r>
      <w:r w:rsidRPr="00BA6978">
        <w:rPr>
          <w:i/>
          <w:iCs/>
          <w:color w:val="000000" w:themeColor="text1"/>
        </w:rPr>
        <w:t xml:space="preserve">Erwinia </w:t>
      </w:r>
      <w:proofErr w:type="spellStart"/>
      <w:r w:rsidRPr="00BA6978">
        <w:rPr>
          <w:i/>
          <w:iCs/>
          <w:color w:val="000000" w:themeColor="text1"/>
        </w:rPr>
        <w:t>amylovora</w:t>
      </w:r>
      <w:proofErr w:type="spellEnd"/>
      <w:r w:rsidRPr="008C50E1">
        <w:rPr>
          <w:color w:val="000000" w:themeColor="text1"/>
        </w:rPr>
        <w:t xml:space="preserve"> </w:t>
      </w:r>
      <w:r>
        <w:rPr>
          <w:noProof/>
          <w:color w:val="000000" w:themeColor="text1"/>
        </w:rPr>
        <w:t>(DAFF 2022b)</w:t>
      </w:r>
      <w:r>
        <w:rPr>
          <w:color w:val="000000" w:themeColor="text1"/>
        </w:rPr>
        <w:t>, ‘</w:t>
      </w:r>
      <w:r w:rsidRPr="00616170">
        <w:rPr>
          <w:i/>
        </w:rPr>
        <w:t xml:space="preserve">Candidatus </w:t>
      </w:r>
      <w:r w:rsidRPr="00616170">
        <w:rPr>
          <w:iCs/>
        </w:rPr>
        <w:t xml:space="preserve">Phytoplasma </w:t>
      </w:r>
      <w:proofErr w:type="spellStart"/>
      <w:r w:rsidRPr="00616170">
        <w:rPr>
          <w:iCs/>
        </w:rPr>
        <w:t>asteris</w:t>
      </w:r>
      <w:proofErr w:type="spellEnd"/>
      <w:r>
        <w:rPr>
          <w:iCs/>
        </w:rPr>
        <w:t>’</w:t>
      </w:r>
      <w:r>
        <w:rPr>
          <w:color w:val="000000" w:themeColor="text1"/>
        </w:rPr>
        <w:t xml:space="preserve"> </w:t>
      </w:r>
      <w:r>
        <w:rPr>
          <w:noProof/>
          <w:color w:val="000000" w:themeColor="text1"/>
        </w:rPr>
        <w:t>(Biosecurity Australia 2010)</w:t>
      </w:r>
      <w:r>
        <w:rPr>
          <w:color w:val="000000" w:themeColor="text1"/>
        </w:rPr>
        <w:t xml:space="preserve"> and </w:t>
      </w:r>
      <w:r w:rsidRPr="00C11E37">
        <w:rPr>
          <w:i/>
          <w:iCs/>
          <w:color w:val="000000" w:themeColor="text1"/>
        </w:rPr>
        <w:t>Xylella</w:t>
      </w:r>
      <w:r>
        <w:rPr>
          <w:color w:val="000000" w:themeColor="text1"/>
        </w:rPr>
        <w:t xml:space="preserve"> </w:t>
      </w:r>
      <w:r w:rsidRPr="000E37EF">
        <w:rPr>
          <w:i/>
          <w:iCs/>
          <w:color w:val="000000" w:themeColor="text1"/>
        </w:rPr>
        <w:t>fastidiosa</w:t>
      </w:r>
      <w:r>
        <w:rPr>
          <w:color w:val="000000" w:themeColor="text1"/>
        </w:rPr>
        <w:t xml:space="preserve"> </w:t>
      </w:r>
      <w:r>
        <w:rPr>
          <w:noProof/>
          <w:color w:val="000000" w:themeColor="text1"/>
        </w:rPr>
        <w:t>(DAFF 2022a)</w:t>
      </w:r>
      <w:r>
        <w:rPr>
          <w:color w:val="000000" w:themeColor="text1"/>
        </w:rPr>
        <w:t>.</w:t>
      </w:r>
    </w:p>
    <w:p w14:paraId="7A32FC05" w14:textId="77777777" w:rsidR="004726BA" w:rsidRDefault="004726BA" w:rsidP="00800E7D">
      <w:pPr>
        <w:autoSpaceDE w:val="0"/>
        <w:autoSpaceDN w:val="0"/>
        <w:adjustRightInd w:val="0"/>
        <w:rPr>
          <w:color w:val="000000" w:themeColor="text1"/>
        </w:rPr>
      </w:pPr>
      <w:r>
        <w:rPr>
          <w:color w:val="000000" w:themeColor="text1"/>
        </w:rPr>
        <w:t xml:space="preserve">Similarly, likelihood of spread varies for different pathogens. For example, likelihood of spread was previously assessed by the department as </w:t>
      </w:r>
      <w:r>
        <w:rPr>
          <w:b/>
          <w:bCs/>
          <w:color w:val="000000" w:themeColor="text1"/>
        </w:rPr>
        <w:t>Moderate</w:t>
      </w:r>
      <w:r w:rsidRPr="00E50138">
        <w:rPr>
          <w:color w:val="000000" w:themeColor="text1"/>
        </w:rPr>
        <w:t xml:space="preserve"> for </w:t>
      </w:r>
      <w:r>
        <w:rPr>
          <w:color w:val="000000" w:themeColor="text1"/>
        </w:rPr>
        <w:t xml:space="preserve">Tomato ringspot virus </w:t>
      </w:r>
      <w:r>
        <w:rPr>
          <w:noProof/>
          <w:color w:val="000000" w:themeColor="text1"/>
        </w:rPr>
        <w:t>(Biosecurity Australia 2011</w:t>
      </w:r>
      <w:proofErr w:type="gramStart"/>
      <w:r>
        <w:rPr>
          <w:noProof/>
          <w:color w:val="000000" w:themeColor="text1"/>
        </w:rPr>
        <w:t>)</w:t>
      </w:r>
      <w:r w:rsidRPr="004B6DE2" w:rsidDel="005875DB">
        <w:rPr>
          <w:color w:val="000000" w:themeColor="text1"/>
        </w:rPr>
        <w:t xml:space="preserve"> </w:t>
      </w:r>
      <w:r>
        <w:rPr>
          <w:color w:val="000000" w:themeColor="text1"/>
        </w:rPr>
        <w:t xml:space="preserve"> and</w:t>
      </w:r>
      <w:proofErr w:type="gramEnd"/>
      <w:r>
        <w:rPr>
          <w:color w:val="000000" w:themeColor="text1"/>
        </w:rPr>
        <w:t xml:space="preserve"> ‘</w:t>
      </w:r>
      <w:r w:rsidRPr="00DD2057">
        <w:rPr>
          <w:i/>
        </w:rPr>
        <w:t xml:space="preserve">Candidatus </w:t>
      </w:r>
      <w:r w:rsidRPr="00DD2057">
        <w:rPr>
          <w:iCs/>
        </w:rPr>
        <w:t xml:space="preserve">Phytoplasma </w:t>
      </w:r>
      <w:proofErr w:type="spellStart"/>
      <w:r w:rsidRPr="00DD2057">
        <w:rPr>
          <w:iCs/>
        </w:rPr>
        <w:t>asteris</w:t>
      </w:r>
      <w:proofErr w:type="spellEnd"/>
      <w:r>
        <w:rPr>
          <w:iCs/>
        </w:rPr>
        <w:t>’</w:t>
      </w:r>
      <w:r w:rsidRPr="00E50138">
        <w:rPr>
          <w:color w:val="000000" w:themeColor="text1"/>
        </w:rPr>
        <w:t xml:space="preserve"> </w:t>
      </w:r>
      <w:r>
        <w:rPr>
          <w:noProof/>
          <w:color w:val="000000" w:themeColor="text1"/>
        </w:rPr>
        <w:t>(Biosecurity Australia 2010</w:t>
      </w:r>
      <w:proofErr w:type="gramStart"/>
      <w:r>
        <w:rPr>
          <w:noProof/>
          <w:color w:val="000000" w:themeColor="text1"/>
        </w:rPr>
        <w:t>)</w:t>
      </w:r>
      <w:r w:rsidRPr="004B6DE2" w:rsidDel="005875DB">
        <w:rPr>
          <w:color w:val="000000" w:themeColor="text1"/>
        </w:rPr>
        <w:t xml:space="preserve"> </w:t>
      </w:r>
      <w:r w:rsidRPr="00E50138">
        <w:rPr>
          <w:b/>
          <w:bCs/>
          <w:color w:val="000000" w:themeColor="text1"/>
        </w:rPr>
        <w:t xml:space="preserve"> </w:t>
      </w:r>
      <w:r w:rsidRPr="00A0159A">
        <w:rPr>
          <w:color w:val="000000" w:themeColor="text1"/>
        </w:rPr>
        <w:t>and</w:t>
      </w:r>
      <w:proofErr w:type="gramEnd"/>
      <w:r w:rsidRPr="00A0159A">
        <w:rPr>
          <w:color w:val="000000" w:themeColor="text1"/>
        </w:rPr>
        <w:t xml:space="preserve"> </w:t>
      </w:r>
      <w:r w:rsidRPr="00E50138">
        <w:rPr>
          <w:b/>
          <w:bCs/>
          <w:color w:val="000000" w:themeColor="text1"/>
        </w:rPr>
        <w:t>High</w:t>
      </w:r>
      <w:r w:rsidRPr="00E50138">
        <w:rPr>
          <w:color w:val="000000" w:themeColor="text1"/>
        </w:rPr>
        <w:t xml:space="preserve"> for </w:t>
      </w:r>
      <w:r>
        <w:rPr>
          <w:color w:val="000000" w:themeColor="text1"/>
        </w:rPr>
        <w:t xml:space="preserve">several </w:t>
      </w:r>
      <w:proofErr w:type="spellStart"/>
      <w:r>
        <w:rPr>
          <w:color w:val="000000" w:themeColor="text1"/>
        </w:rPr>
        <w:t>orthotospoviruses</w:t>
      </w:r>
      <w:proofErr w:type="spellEnd"/>
      <w:r>
        <w:rPr>
          <w:color w:val="000000" w:themeColor="text1"/>
        </w:rPr>
        <w:t xml:space="preserve"> </w:t>
      </w:r>
      <w:r>
        <w:rPr>
          <w:noProof/>
          <w:color w:val="000000" w:themeColor="text1"/>
        </w:rPr>
        <w:t>(DAWR 2017)</w:t>
      </w:r>
      <w:r>
        <w:rPr>
          <w:color w:val="000000" w:themeColor="text1"/>
        </w:rPr>
        <w:t>,</w:t>
      </w:r>
      <w:r w:rsidRPr="008C50E1">
        <w:rPr>
          <w:b/>
          <w:bCs/>
          <w:color w:val="000000" w:themeColor="text1"/>
        </w:rPr>
        <w:t xml:space="preserve"> </w:t>
      </w:r>
      <w:r w:rsidRPr="004A1606">
        <w:rPr>
          <w:i/>
          <w:iCs/>
          <w:color w:val="000000" w:themeColor="text1"/>
        </w:rPr>
        <w:t xml:space="preserve">Erwinia </w:t>
      </w:r>
      <w:proofErr w:type="spellStart"/>
      <w:r w:rsidRPr="004A1606">
        <w:rPr>
          <w:i/>
          <w:iCs/>
          <w:color w:val="000000" w:themeColor="text1"/>
        </w:rPr>
        <w:t>amylovora</w:t>
      </w:r>
      <w:proofErr w:type="spellEnd"/>
      <w:r>
        <w:rPr>
          <w:i/>
          <w:iCs/>
          <w:color w:val="000000" w:themeColor="text1"/>
        </w:rPr>
        <w:t xml:space="preserve"> </w:t>
      </w:r>
      <w:r>
        <w:rPr>
          <w:noProof/>
          <w:color w:val="000000" w:themeColor="text1"/>
        </w:rPr>
        <w:t>(DAFF 2022b)</w:t>
      </w:r>
      <w:r>
        <w:rPr>
          <w:color w:val="000000" w:themeColor="text1"/>
        </w:rPr>
        <w:t xml:space="preserve">, and </w:t>
      </w:r>
      <w:r w:rsidRPr="000E37EF">
        <w:rPr>
          <w:i/>
          <w:iCs/>
          <w:color w:val="000000" w:themeColor="text1"/>
        </w:rPr>
        <w:t>Xylella</w:t>
      </w:r>
      <w:r>
        <w:rPr>
          <w:color w:val="000000" w:themeColor="text1"/>
        </w:rPr>
        <w:t xml:space="preserve"> </w:t>
      </w:r>
      <w:r w:rsidRPr="000E37EF">
        <w:rPr>
          <w:i/>
          <w:iCs/>
          <w:color w:val="000000" w:themeColor="text1"/>
        </w:rPr>
        <w:t>fastidiosa</w:t>
      </w:r>
      <w:r>
        <w:rPr>
          <w:color w:val="000000" w:themeColor="text1"/>
        </w:rPr>
        <w:t xml:space="preserve"> </w:t>
      </w:r>
      <w:r>
        <w:rPr>
          <w:noProof/>
          <w:color w:val="000000" w:themeColor="text1"/>
        </w:rPr>
        <w:t>(DAFF 2022a)</w:t>
      </w:r>
      <w:r w:rsidRPr="00E50138">
        <w:rPr>
          <w:color w:val="000000" w:themeColor="text1"/>
        </w:rPr>
        <w:t>.</w:t>
      </w:r>
    </w:p>
    <w:p w14:paraId="10FB45BA" w14:textId="77777777" w:rsidR="004726BA" w:rsidRDefault="004726BA" w:rsidP="00800E7D">
      <w:pPr>
        <w:autoSpaceDE w:val="0"/>
        <w:autoSpaceDN w:val="0"/>
        <w:adjustRightInd w:val="0"/>
      </w:pPr>
      <w:r>
        <w:t xml:space="preserve">Likelihoods of establishment and spread will be comparable between risk assessments, regardless of the </w:t>
      </w:r>
      <w:r>
        <w:rPr>
          <w:color w:val="000000" w:themeColor="text1"/>
        </w:rPr>
        <w:t xml:space="preserve">import </w:t>
      </w:r>
      <w:r>
        <w:t xml:space="preserve">pathway through which the pest </w:t>
      </w:r>
      <w:r>
        <w:rPr>
          <w:color w:val="000000" w:themeColor="text1"/>
        </w:rPr>
        <w:t>has entered the PRA area</w:t>
      </w:r>
      <w:r>
        <w:t xml:space="preserve">. This is because these likelihoods relate specifically to conditions and events that occur in the PRA area and are independent of the import pathway. </w:t>
      </w:r>
    </w:p>
    <w:p w14:paraId="12AEB86E" w14:textId="77777777" w:rsidR="004726BA" w:rsidRPr="00C81186" w:rsidRDefault="004726BA" w:rsidP="00800E7D">
      <w:pPr>
        <w:pStyle w:val="Heading4"/>
        <w:numPr>
          <w:ilvl w:val="0"/>
          <w:numId w:val="0"/>
        </w:numPr>
        <w:ind w:left="794" w:hanging="794"/>
      </w:pPr>
      <w:r w:rsidRPr="00C81186">
        <w:t>Overall likelihood of entry, establishment and spread</w:t>
      </w:r>
    </w:p>
    <w:p w14:paraId="53E60EDB" w14:textId="77777777" w:rsidR="004726BA" w:rsidRPr="00DB1D67" w:rsidRDefault="004726BA" w:rsidP="00800E7D">
      <w:pPr>
        <w:rPr>
          <w:rFonts w:cstheme="minorHAnsi"/>
        </w:rPr>
      </w:pPr>
      <w:r w:rsidRPr="00DB1D67">
        <w:rPr>
          <w:rFonts w:cstheme="minorHAnsi"/>
        </w:rPr>
        <w:t>The overall likelihood of entry, establishment and spread [EES] is determined by combining the overall likelihood of entry [En] with the likelihood of establishment [Es] and likelihood of spread [S] using the matrix of rules shown in Table A.1 in Appendix A.</w:t>
      </w:r>
    </w:p>
    <w:p w14:paraId="3BD4B88F" w14:textId="77777777" w:rsidR="004726BA" w:rsidRPr="00DB1D67" w:rsidRDefault="004726BA" w:rsidP="00800E7D">
      <w:pPr>
        <w:rPr>
          <w:rFonts w:cstheme="minorHAnsi"/>
        </w:rPr>
      </w:pPr>
      <w:r w:rsidRPr="00DB1D67">
        <w:rPr>
          <w:rFonts w:cstheme="minorHAnsi"/>
        </w:rPr>
        <w:t xml:space="preserve">[En] = </w:t>
      </w:r>
      <w:r w:rsidRPr="00DF5FEE">
        <w:rPr>
          <w:b/>
          <w:bCs/>
        </w:rPr>
        <w:t>Negligible</w:t>
      </w:r>
      <w:r>
        <w:t xml:space="preserve"> to </w:t>
      </w:r>
      <w:r w:rsidRPr="00DB1D67">
        <w:rPr>
          <w:rFonts w:cstheme="minorHAnsi"/>
          <w:b/>
          <w:bCs/>
        </w:rPr>
        <w:t>Extremely low</w:t>
      </w:r>
    </w:p>
    <w:p w14:paraId="6AB906FC" w14:textId="77777777" w:rsidR="004726BA" w:rsidRPr="00DB1D67" w:rsidRDefault="004726BA" w:rsidP="00800E7D">
      <w:pPr>
        <w:rPr>
          <w:rFonts w:cstheme="minorHAnsi"/>
        </w:rPr>
      </w:pPr>
      <w:r w:rsidRPr="00DB1D67">
        <w:rPr>
          <w:rFonts w:cstheme="minorHAnsi"/>
        </w:rPr>
        <w:t xml:space="preserve">[Es] = </w:t>
      </w:r>
      <w:r w:rsidRPr="00DB1D67">
        <w:rPr>
          <w:rFonts w:cstheme="minorHAnsi"/>
          <w:b/>
          <w:bCs/>
        </w:rPr>
        <w:t>Low</w:t>
      </w:r>
      <w:r w:rsidRPr="00DB1D67">
        <w:rPr>
          <w:rFonts w:cstheme="minorHAnsi"/>
        </w:rPr>
        <w:t xml:space="preserve"> to </w:t>
      </w:r>
      <w:r w:rsidRPr="00DB1D67">
        <w:rPr>
          <w:rFonts w:cstheme="minorHAnsi"/>
          <w:b/>
          <w:bCs/>
        </w:rPr>
        <w:t>High</w:t>
      </w:r>
    </w:p>
    <w:p w14:paraId="574DE4DC" w14:textId="77777777" w:rsidR="004726BA" w:rsidRPr="00DB1D67" w:rsidRDefault="004726BA" w:rsidP="00800E7D">
      <w:pPr>
        <w:rPr>
          <w:rFonts w:cstheme="minorHAnsi"/>
        </w:rPr>
      </w:pPr>
      <w:r w:rsidRPr="00DB1D67">
        <w:rPr>
          <w:rFonts w:cstheme="minorHAnsi"/>
        </w:rPr>
        <w:t xml:space="preserve">[En] x [Es] = </w:t>
      </w:r>
      <w:r w:rsidRPr="00DF5FEE">
        <w:rPr>
          <w:b/>
          <w:bCs/>
        </w:rPr>
        <w:t>Negligible</w:t>
      </w:r>
      <w:r>
        <w:t xml:space="preserve"> to </w:t>
      </w:r>
      <w:r w:rsidRPr="00DB1D67">
        <w:rPr>
          <w:rFonts w:cstheme="minorHAnsi"/>
          <w:b/>
          <w:bCs/>
        </w:rPr>
        <w:t>Extremely low</w:t>
      </w:r>
      <w:r w:rsidRPr="00DB1D67">
        <w:rPr>
          <w:rFonts w:cstheme="minorHAnsi"/>
        </w:rPr>
        <w:t xml:space="preserve"> x </w:t>
      </w:r>
      <w:r w:rsidRPr="00DB1D67">
        <w:rPr>
          <w:rFonts w:cstheme="minorHAnsi"/>
          <w:b/>
          <w:bCs/>
        </w:rPr>
        <w:t>Low</w:t>
      </w:r>
      <w:r w:rsidRPr="00DB1D67">
        <w:rPr>
          <w:rFonts w:cstheme="minorHAnsi"/>
        </w:rPr>
        <w:t xml:space="preserve"> to </w:t>
      </w:r>
      <w:r w:rsidRPr="00DB1D67">
        <w:rPr>
          <w:rFonts w:cstheme="minorHAnsi"/>
          <w:b/>
          <w:bCs/>
        </w:rPr>
        <w:t>High</w:t>
      </w:r>
      <w:r w:rsidRPr="00DB1D67">
        <w:rPr>
          <w:rFonts w:cstheme="minorHAnsi"/>
        </w:rPr>
        <w:t xml:space="preserve"> = </w:t>
      </w:r>
      <w:r w:rsidRPr="00DF5FEE">
        <w:rPr>
          <w:b/>
          <w:bCs/>
        </w:rPr>
        <w:t>Negligible</w:t>
      </w:r>
      <w:r>
        <w:t xml:space="preserve"> to</w:t>
      </w:r>
      <w:r w:rsidRPr="00DB1D67">
        <w:rPr>
          <w:rFonts w:cstheme="minorHAnsi"/>
          <w:b/>
          <w:bCs/>
        </w:rPr>
        <w:t xml:space="preserve"> Extremely low</w:t>
      </w:r>
    </w:p>
    <w:p w14:paraId="6251BAAA" w14:textId="77777777" w:rsidR="004726BA" w:rsidRPr="00DB1D67" w:rsidRDefault="004726BA" w:rsidP="00800E7D">
      <w:pPr>
        <w:rPr>
          <w:rFonts w:cstheme="minorHAnsi"/>
        </w:rPr>
      </w:pPr>
      <w:r w:rsidRPr="00DB1D67">
        <w:rPr>
          <w:rFonts w:cstheme="minorHAnsi"/>
        </w:rPr>
        <w:t xml:space="preserve">[S] = </w:t>
      </w:r>
      <w:r w:rsidRPr="00DB1D67">
        <w:rPr>
          <w:rFonts w:cstheme="minorHAnsi"/>
          <w:b/>
          <w:bCs/>
        </w:rPr>
        <w:t>Moderate</w:t>
      </w:r>
      <w:r w:rsidRPr="00DB1D67">
        <w:rPr>
          <w:rFonts w:cstheme="minorHAnsi"/>
        </w:rPr>
        <w:t xml:space="preserve"> to </w:t>
      </w:r>
      <w:r w:rsidRPr="00DB1D67">
        <w:rPr>
          <w:rFonts w:cstheme="minorHAnsi"/>
          <w:b/>
          <w:bCs/>
        </w:rPr>
        <w:t>High</w:t>
      </w:r>
    </w:p>
    <w:p w14:paraId="7472F76D" w14:textId="77777777" w:rsidR="004726BA" w:rsidRPr="00DB1D67" w:rsidRDefault="004726BA" w:rsidP="00800E7D">
      <w:pPr>
        <w:rPr>
          <w:rFonts w:cstheme="minorHAnsi"/>
        </w:rPr>
      </w:pPr>
      <w:r w:rsidRPr="00DB1D67">
        <w:rPr>
          <w:rFonts w:cstheme="minorHAnsi"/>
        </w:rPr>
        <w:t xml:space="preserve">[EES] = [En]x[Es]x[S] = </w:t>
      </w:r>
      <w:r w:rsidRPr="00DF5FEE">
        <w:rPr>
          <w:b/>
          <w:bCs/>
        </w:rPr>
        <w:t>Negligible</w:t>
      </w:r>
      <w:r>
        <w:t xml:space="preserve"> to</w:t>
      </w:r>
      <w:r w:rsidRPr="00DB1D67">
        <w:rPr>
          <w:rFonts w:cstheme="minorHAnsi"/>
          <w:b/>
          <w:bCs/>
        </w:rPr>
        <w:t xml:space="preserve"> Extremely low</w:t>
      </w:r>
      <w:r w:rsidRPr="00DB1D67">
        <w:rPr>
          <w:rFonts w:cstheme="minorHAnsi"/>
        </w:rPr>
        <w:t xml:space="preserve"> x </w:t>
      </w:r>
      <w:r w:rsidRPr="00DB1D67">
        <w:rPr>
          <w:rFonts w:cstheme="minorHAnsi"/>
          <w:b/>
          <w:bCs/>
        </w:rPr>
        <w:t>Moderate</w:t>
      </w:r>
      <w:r w:rsidRPr="00DB1D67">
        <w:rPr>
          <w:rFonts w:cstheme="minorHAnsi"/>
        </w:rPr>
        <w:t xml:space="preserve"> to </w:t>
      </w:r>
      <w:r w:rsidRPr="00DB1D67">
        <w:rPr>
          <w:rFonts w:cstheme="minorHAnsi"/>
          <w:b/>
          <w:bCs/>
        </w:rPr>
        <w:t>High</w:t>
      </w:r>
      <w:r w:rsidRPr="00DB1D67">
        <w:rPr>
          <w:rFonts w:cstheme="minorHAnsi"/>
        </w:rPr>
        <w:t xml:space="preserve"> = </w:t>
      </w:r>
      <w:r w:rsidRPr="00DF5FEE">
        <w:rPr>
          <w:b/>
          <w:bCs/>
        </w:rPr>
        <w:t>Negligible</w:t>
      </w:r>
      <w:r>
        <w:t xml:space="preserve"> to</w:t>
      </w:r>
      <w:r w:rsidRPr="00DB1D67">
        <w:rPr>
          <w:rFonts w:cstheme="minorHAnsi"/>
          <w:b/>
          <w:bCs/>
        </w:rPr>
        <w:t xml:space="preserve"> Extremely low</w:t>
      </w:r>
    </w:p>
    <w:p w14:paraId="798B1179" w14:textId="77777777" w:rsidR="004726BA" w:rsidRPr="00DB1D67" w:rsidRDefault="004726BA" w:rsidP="00800E7D">
      <w:pPr>
        <w:rPr>
          <w:rFonts w:cstheme="minorHAnsi"/>
          <w:b/>
          <w:bCs/>
        </w:rPr>
      </w:pPr>
      <w:r>
        <w:rPr>
          <w:rFonts w:cstheme="minorHAnsi"/>
        </w:rPr>
        <w:t>That is the o</w:t>
      </w:r>
      <w:r w:rsidRPr="00DB1D67">
        <w:rPr>
          <w:rFonts w:cstheme="minorHAnsi"/>
        </w:rPr>
        <w:t xml:space="preserve">verall likelihood of entry, establishment and spread </w:t>
      </w:r>
      <w:r>
        <w:rPr>
          <w:rFonts w:cstheme="minorHAnsi"/>
        </w:rPr>
        <w:t>is</w:t>
      </w:r>
      <w:r w:rsidRPr="00DB1D67">
        <w:rPr>
          <w:rFonts w:cstheme="minorHAnsi"/>
        </w:rPr>
        <w:t xml:space="preserve"> </w:t>
      </w:r>
      <w:r w:rsidRPr="00DF5FEE">
        <w:rPr>
          <w:b/>
          <w:bCs/>
        </w:rPr>
        <w:t>Negligible</w:t>
      </w:r>
      <w:r>
        <w:t xml:space="preserve"> to</w:t>
      </w:r>
      <w:r w:rsidRPr="00DB1D67">
        <w:rPr>
          <w:rFonts w:cstheme="minorHAnsi"/>
          <w:b/>
          <w:bCs/>
        </w:rPr>
        <w:t xml:space="preserve"> Extremely low</w:t>
      </w:r>
      <w:r>
        <w:rPr>
          <w:rFonts w:cstheme="minorHAnsi"/>
          <w:b/>
          <w:bCs/>
        </w:rPr>
        <w:t>.</w:t>
      </w:r>
    </w:p>
    <w:p w14:paraId="672A38FA" w14:textId="77777777" w:rsidR="004726BA" w:rsidRPr="00B012B1" w:rsidRDefault="004726BA" w:rsidP="00800E7D">
      <w:pPr>
        <w:pStyle w:val="Heading4"/>
        <w:numPr>
          <w:ilvl w:val="0"/>
          <w:numId w:val="0"/>
        </w:numPr>
      </w:pPr>
      <w:r w:rsidRPr="00B012B1">
        <w:t>Overall consequences</w:t>
      </w:r>
      <w:bookmarkStart w:id="48" w:name="_Hlk178086405"/>
    </w:p>
    <w:bookmarkEnd w:id="48"/>
    <w:p w14:paraId="59D8CFEC" w14:textId="77777777" w:rsidR="004726BA" w:rsidRDefault="004726BA" w:rsidP="00800E7D">
      <w:pPr>
        <w:autoSpaceDE w:val="0"/>
        <w:autoSpaceDN w:val="0"/>
        <w:adjustRightInd w:val="0"/>
        <w:rPr>
          <w:color w:val="000000" w:themeColor="text1"/>
        </w:rPr>
      </w:pPr>
      <w:r>
        <w:rPr>
          <w:rFonts w:cstheme="minorHAnsi"/>
          <w:color w:val="000000"/>
        </w:rPr>
        <w:t xml:space="preserve">Overall consequences also vary for different pathogens. </w:t>
      </w:r>
      <w:r>
        <w:rPr>
          <w:color w:val="000000" w:themeColor="text1"/>
        </w:rPr>
        <w:t xml:space="preserve">Overall consequences were previously assessed by the department as </w:t>
      </w:r>
      <w:r w:rsidRPr="00396CCD">
        <w:rPr>
          <w:b/>
          <w:bCs/>
          <w:color w:val="000000" w:themeColor="text1"/>
        </w:rPr>
        <w:t>Low</w:t>
      </w:r>
      <w:r>
        <w:rPr>
          <w:color w:val="000000" w:themeColor="text1"/>
        </w:rPr>
        <w:t xml:space="preserve"> for ‘</w:t>
      </w:r>
      <w:r w:rsidRPr="00DD2057">
        <w:rPr>
          <w:i/>
        </w:rPr>
        <w:t xml:space="preserve">Candidatus </w:t>
      </w:r>
      <w:r w:rsidRPr="00DD2057">
        <w:rPr>
          <w:iCs/>
        </w:rPr>
        <w:t xml:space="preserve">Phytoplasma </w:t>
      </w:r>
      <w:proofErr w:type="spellStart"/>
      <w:r w:rsidRPr="00DD2057">
        <w:rPr>
          <w:iCs/>
        </w:rPr>
        <w:t>asteris</w:t>
      </w:r>
      <w:proofErr w:type="spellEnd"/>
      <w:r>
        <w:rPr>
          <w:iCs/>
        </w:rPr>
        <w:t>’</w:t>
      </w:r>
      <w:r w:rsidRPr="00E50138">
        <w:rPr>
          <w:color w:val="000000" w:themeColor="text1"/>
        </w:rPr>
        <w:t xml:space="preserve"> </w:t>
      </w:r>
      <w:r>
        <w:rPr>
          <w:noProof/>
          <w:color w:val="000000" w:themeColor="text1"/>
        </w:rPr>
        <w:t>(Biosecurity Australia 2010)</w:t>
      </w:r>
      <w:r>
        <w:rPr>
          <w:b/>
          <w:bCs/>
          <w:color w:val="000000" w:themeColor="text1"/>
        </w:rPr>
        <w:t>,</w:t>
      </w:r>
      <w:r>
        <w:rPr>
          <w:color w:val="000000" w:themeColor="text1"/>
        </w:rPr>
        <w:t xml:space="preserve"> </w:t>
      </w:r>
      <w:r>
        <w:rPr>
          <w:b/>
          <w:bCs/>
          <w:color w:val="000000" w:themeColor="text1"/>
        </w:rPr>
        <w:t>Moderate</w:t>
      </w:r>
      <w:r w:rsidRPr="0069601C">
        <w:rPr>
          <w:color w:val="000000" w:themeColor="text1"/>
        </w:rPr>
        <w:t xml:space="preserve"> for </w:t>
      </w:r>
      <w:r>
        <w:rPr>
          <w:color w:val="000000" w:themeColor="text1"/>
        </w:rPr>
        <w:t xml:space="preserve">Tomato ringspot virus </w:t>
      </w:r>
      <w:r>
        <w:rPr>
          <w:noProof/>
          <w:color w:val="000000" w:themeColor="text1"/>
        </w:rPr>
        <w:t>(Biosecurity Australia 2011</w:t>
      </w:r>
      <w:proofErr w:type="gramStart"/>
      <w:r>
        <w:rPr>
          <w:noProof/>
          <w:color w:val="000000" w:themeColor="text1"/>
        </w:rPr>
        <w:t>)</w:t>
      </w:r>
      <w:r w:rsidRPr="004B6DE2" w:rsidDel="005875DB">
        <w:rPr>
          <w:color w:val="000000" w:themeColor="text1"/>
        </w:rPr>
        <w:t xml:space="preserve"> </w:t>
      </w:r>
      <w:r w:rsidRPr="00562AA2" w:rsidDel="00D92B82">
        <w:rPr>
          <w:i/>
        </w:rPr>
        <w:t xml:space="preserve"> </w:t>
      </w:r>
      <w:r>
        <w:rPr>
          <w:iCs/>
        </w:rPr>
        <w:t>and</w:t>
      </w:r>
      <w:proofErr w:type="gramEnd"/>
      <w:r>
        <w:rPr>
          <w:iCs/>
        </w:rPr>
        <w:t xml:space="preserve"> several </w:t>
      </w:r>
      <w:proofErr w:type="spellStart"/>
      <w:r>
        <w:rPr>
          <w:iCs/>
        </w:rPr>
        <w:t>orthotospoviruses</w:t>
      </w:r>
      <w:proofErr w:type="spellEnd"/>
      <w:r>
        <w:rPr>
          <w:iCs/>
        </w:rPr>
        <w:t xml:space="preserve"> </w:t>
      </w:r>
      <w:r>
        <w:rPr>
          <w:noProof/>
          <w:color w:val="000000" w:themeColor="text1"/>
        </w:rPr>
        <w:t>(DAWR 2017)</w:t>
      </w:r>
      <w:r w:rsidRPr="009A3166">
        <w:rPr>
          <w:b/>
          <w:bCs/>
          <w:color w:val="000000" w:themeColor="text1"/>
        </w:rPr>
        <w:t xml:space="preserve"> </w:t>
      </w:r>
      <w:r>
        <w:rPr>
          <w:color w:val="000000" w:themeColor="text1"/>
        </w:rPr>
        <w:t>and</w:t>
      </w:r>
      <w:r w:rsidRPr="009A3166">
        <w:rPr>
          <w:b/>
          <w:bCs/>
          <w:color w:val="000000" w:themeColor="text1"/>
        </w:rPr>
        <w:t xml:space="preserve"> High</w:t>
      </w:r>
      <w:r>
        <w:rPr>
          <w:color w:val="000000" w:themeColor="text1"/>
        </w:rPr>
        <w:t xml:space="preserve"> for </w:t>
      </w:r>
      <w:r w:rsidRPr="004A1606">
        <w:rPr>
          <w:i/>
          <w:iCs/>
          <w:color w:val="000000" w:themeColor="text1"/>
        </w:rPr>
        <w:t xml:space="preserve">Erwinia </w:t>
      </w:r>
      <w:proofErr w:type="spellStart"/>
      <w:r w:rsidRPr="004A1606">
        <w:rPr>
          <w:i/>
          <w:iCs/>
          <w:color w:val="000000" w:themeColor="text1"/>
        </w:rPr>
        <w:t>amylovora</w:t>
      </w:r>
      <w:proofErr w:type="spellEnd"/>
      <w:r>
        <w:rPr>
          <w:i/>
          <w:iCs/>
          <w:color w:val="000000" w:themeColor="text1"/>
        </w:rPr>
        <w:t xml:space="preserve"> </w:t>
      </w:r>
      <w:r>
        <w:rPr>
          <w:noProof/>
          <w:color w:val="000000" w:themeColor="text1"/>
        </w:rPr>
        <w:t>(DAFF 2022b)</w:t>
      </w:r>
      <w:r>
        <w:rPr>
          <w:color w:val="000000" w:themeColor="text1"/>
        </w:rPr>
        <w:t xml:space="preserve"> and </w:t>
      </w:r>
      <w:r w:rsidRPr="000E37EF">
        <w:rPr>
          <w:i/>
          <w:iCs/>
          <w:color w:val="000000" w:themeColor="text1"/>
        </w:rPr>
        <w:t>Xylella</w:t>
      </w:r>
      <w:r>
        <w:rPr>
          <w:color w:val="000000" w:themeColor="text1"/>
        </w:rPr>
        <w:t xml:space="preserve"> </w:t>
      </w:r>
      <w:r w:rsidRPr="000E37EF">
        <w:rPr>
          <w:i/>
          <w:iCs/>
          <w:color w:val="000000" w:themeColor="text1"/>
        </w:rPr>
        <w:t>fastidiosa</w:t>
      </w:r>
      <w:r>
        <w:rPr>
          <w:color w:val="000000" w:themeColor="text1"/>
        </w:rPr>
        <w:t xml:space="preserve"> </w:t>
      </w:r>
      <w:r>
        <w:rPr>
          <w:noProof/>
          <w:color w:val="000000" w:themeColor="text1"/>
        </w:rPr>
        <w:t>(DAFF 2022a)</w:t>
      </w:r>
      <w:r>
        <w:rPr>
          <w:color w:val="000000" w:themeColor="text1"/>
        </w:rPr>
        <w:t>.</w:t>
      </w:r>
    </w:p>
    <w:p w14:paraId="6DAD694C" w14:textId="77777777" w:rsidR="004726BA" w:rsidRDefault="004726BA" w:rsidP="00800E7D">
      <w:pPr>
        <w:autoSpaceDE w:val="0"/>
        <w:autoSpaceDN w:val="0"/>
        <w:adjustRightInd w:val="0"/>
      </w:pPr>
      <w:r>
        <w:lastRenderedPageBreak/>
        <w:t xml:space="preserve">Similar to likelihoods of establishment and spread, overall consequences of a pathogen are also independent of the </w:t>
      </w:r>
      <w:r>
        <w:rPr>
          <w:color w:val="000000" w:themeColor="text1"/>
        </w:rPr>
        <w:t xml:space="preserve">import </w:t>
      </w:r>
      <w:r>
        <w:t>pathway.</w:t>
      </w:r>
    </w:p>
    <w:bookmarkEnd w:id="47"/>
    <w:p w14:paraId="30AD7D46" w14:textId="77777777" w:rsidR="004726BA" w:rsidRPr="00A85B36" w:rsidRDefault="004726BA" w:rsidP="00800E7D">
      <w:pPr>
        <w:pStyle w:val="Heading4"/>
        <w:numPr>
          <w:ilvl w:val="0"/>
          <w:numId w:val="0"/>
        </w:numPr>
        <w:ind w:left="794" w:hanging="794"/>
      </w:pPr>
      <w:r>
        <w:t>Unrestricted r</w:t>
      </w:r>
      <w:r w:rsidRPr="00A85B36">
        <w:t>isk estimate</w:t>
      </w:r>
    </w:p>
    <w:p w14:paraId="0AABB93B" w14:textId="77777777" w:rsidR="004726BA" w:rsidRPr="00A85B36" w:rsidRDefault="004726BA" w:rsidP="00800E7D">
      <w:r>
        <w:t>Unrestricted risk estimate of pathogens associated with personal DFIU of cut flowers to propagation is determined by using a risk estimation matrix (</w:t>
      </w:r>
      <w:r w:rsidRPr="00330BFF">
        <w:fldChar w:fldCharType="begin"/>
      </w:r>
      <w:r w:rsidRPr="00330BFF">
        <w:instrText xml:space="preserve"> REF _Ref524355015 \h  \* MERGEFORMAT </w:instrText>
      </w:r>
      <w:r w:rsidRPr="00330BFF">
        <w:fldChar w:fldCharType="separate"/>
      </w:r>
      <w:r w:rsidRPr="00330BFF">
        <w:t xml:space="preserve">Table </w:t>
      </w:r>
      <w:r w:rsidRPr="00330BFF">
        <w:fldChar w:fldCharType="end"/>
      </w:r>
      <w:r w:rsidRPr="00330BFF">
        <w:t>A.2 in Appendix A</w:t>
      </w:r>
      <w:r>
        <w:t>) to combine the overall likelihood of entry, establishment and spread and the overall consequences of the pests.</w:t>
      </w:r>
    </w:p>
    <w:tbl>
      <w:tblPr>
        <w:tblStyle w:val="TableGrid11"/>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205"/>
        <w:gridCol w:w="2845"/>
      </w:tblGrid>
      <w:tr w:rsidR="004726BA" w14:paraId="52419254" w14:textId="77777777" w:rsidTr="00800E7D">
        <w:tc>
          <w:tcPr>
            <w:tcW w:w="5000" w:type="pct"/>
            <w:gridSpan w:val="2"/>
            <w:shd w:val="clear" w:color="auto" w:fill="BFBFBF" w:themeFill="background1" w:themeFillShade="BF"/>
          </w:tcPr>
          <w:p w14:paraId="78EDB4E4" w14:textId="77777777" w:rsidR="004726BA" w:rsidRPr="006E0CC2" w:rsidRDefault="004726BA" w:rsidP="009C6A98">
            <w:pPr>
              <w:pStyle w:val="TableHeading"/>
              <w:spacing w:before="120" w:after="120"/>
            </w:pPr>
            <w:r>
              <w:t xml:space="preserve">Unrestricted risk </w:t>
            </w:r>
            <w:proofErr w:type="gramStart"/>
            <w:r w:rsidRPr="006E0CC2">
              <w:t>estimate</w:t>
            </w:r>
            <w:proofErr w:type="gramEnd"/>
            <w:r>
              <w:t xml:space="preserve"> </w:t>
            </w:r>
            <w:r w:rsidRPr="006E0CC2">
              <w:t xml:space="preserve">for pathogens </w:t>
            </w:r>
            <w:r>
              <w:t>associated with personal DFIU of imported cut flowers to propagation</w:t>
            </w:r>
          </w:p>
        </w:tc>
      </w:tr>
      <w:tr w:rsidR="004726BA" w14:paraId="6C2F7991" w14:textId="77777777" w:rsidTr="00800E7D">
        <w:trPr>
          <w:trHeight w:val="180"/>
        </w:trPr>
        <w:tc>
          <w:tcPr>
            <w:tcW w:w="3428" w:type="pct"/>
          </w:tcPr>
          <w:p w14:paraId="389771F7" w14:textId="77777777" w:rsidR="004726BA" w:rsidRPr="00A85B36" w:rsidRDefault="004726BA" w:rsidP="009C6A98">
            <w:pPr>
              <w:pStyle w:val="TableText"/>
              <w:spacing w:before="120" w:after="120"/>
            </w:pPr>
            <w:r w:rsidRPr="00A85B36">
              <w:t>Overall likelihood of entry, establishment and spread</w:t>
            </w:r>
          </w:p>
        </w:tc>
        <w:tc>
          <w:tcPr>
            <w:tcW w:w="1572" w:type="pct"/>
          </w:tcPr>
          <w:p w14:paraId="24FBD538" w14:textId="77777777" w:rsidR="004726BA" w:rsidRPr="00A85B36" w:rsidRDefault="004726BA" w:rsidP="009C6A98">
            <w:pPr>
              <w:pStyle w:val="TableText"/>
              <w:spacing w:before="120" w:after="120"/>
            </w:pPr>
            <w:r w:rsidRPr="00E93F9F">
              <w:t xml:space="preserve">Negligible </w:t>
            </w:r>
            <w:r>
              <w:t>to</w:t>
            </w:r>
            <w:r w:rsidRPr="006E0CC2">
              <w:t xml:space="preserve"> Extremely Low</w:t>
            </w:r>
          </w:p>
        </w:tc>
      </w:tr>
      <w:tr w:rsidR="004726BA" w14:paraId="178FC9CF" w14:textId="77777777" w:rsidTr="00800E7D">
        <w:tc>
          <w:tcPr>
            <w:tcW w:w="3428" w:type="pct"/>
          </w:tcPr>
          <w:p w14:paraId="7457A0AA" w14:textId="77777777" w:rsidR="004726BA" w:rsidRPr="00A85B36" w:rsidRDefault="004726BA" w:rsidP="009C6A98">
            <w:pPr>
              <w:pStyle w:val="TableText"/>
              <w:spacing w:before="120" w:after="120"/>
            </w:pPr>
            <w:r w:rsidRPr="00A85B36">
              <w:t>Consequences</w:t>
            </w:r>
          </w:p>
        </w:tc>
        <w:tc>
          <w:tcPr>
            <w:tcW w:w="1572" w:type="pct"/>
          </w:tcPr>
          <w:p w14:paraId="60BB96A9" w14:textId="77777777" w:rsidR="004726BA" w:rsidRPr="00A85B36" w:rsidRDefault="004726BA" w:rsidP="009C6A98">
            <w:pPr>
              <w:pStyle w:val="TableText"/>
              <w:spacing w:before="120" w:after="120"/>
            </w:pPr>
            <w:r>
              <w:t>Low</w:t>
            </w:r>
            <w:r w:rsidRPr="004663FC">
              <w:t xml:space="preserve"> to High</w:t>
            </w:r>
          </w:p>
        </w:tc>
      </w:tr>
      <w:tr w:rsidR="004726BA" w14:paraId="3DD64681" w14:textId="77777777" w:rsidTr="00800E7D">
        <w:tc>
          <w:tcPr>
            <w:tcW w:w="3428" w:type="pct"/>
          </w:tcPr>
          <w:p w14:paraId="023DB9B5" w14:textId="77777777" w:rsidR="004726BA" w:rsidRPr="00A85B36" w:rsidRDefault="004726BA" w:rsidP="009C6A98">
            <w:pPr>
              <w:pStyle w:val="TableText"/>
              <w:spacing w:before="120" w:after="120"/>
            </w:pPr>
            <w:r>
              <w:t>Unrestricted r</w:t>
            </w:r>
            <w:r w:rsidRPr="006E0CC2">
              <w:t xml:space="preserve">isk </w:t>
            </w:r>
            <w:r>
              <w:t>estimate</w:t>
            </w:r>
          </w:p>
        </w:tc>
        <w:tc>
          <w:tcPr>
            <w:tcW w:w="1572" w:type="pct"/>
          </w:tcPr>
          <w:p w14:paraId="150A0E60" w14:textId="77777777" w:rsidR="004726BA" w:rsidRPr="004663FC" w:rsidRDefault="004726BA" w:rsidP="009C6A98">
            <w:pPr>
              <w:pStyle w:val="TableText"/>
              <w:spacing w:before="120" w:after="120"/>
              <w:rPr>
                <w:b/>
                <w:bCs/>
              </w:rPr>
            </w:pPr>
            <w:r>
              <w:rPr>
                <w:b/>
                <w:bCs/>
              </w:rPr>
              <w:t>Negligible</w:t>
            </w:r>
            <w:r w:rsidRPr="004663FC">
              <w:rPr>
                <w:b/>
                <w:bCs/>
              </w:rPr>
              <w:t xml:space="preserve"> to Very </w:t>
            </w:r>
            <w:r>
              <w:rPr>
                <w:b/>
                <w:bCs/>
              </w:rPr>
              <w:t>l</w:t>
            </w:r>
            <w:r w:rsidRPr="004663FC">
              <w:rPr>
                <w:b/>
                <w:bCs/>
              </w:rPr>
              <w:t>ow</w:t>
            </w:r>
          </w:p>
        </w:tc>
      </w:tr>
    </w:tbl>
    <w:p w14:paraId="605B943C" w14:textId="77777777" w:rsidR="004726BA" w:rsidRDefault="004726BA" w:rsidP="00800E7D">
      <w:pPr>
        <w:spacing w:before="200"/>
      </w:pPr>
      <w:r>
        <w:t xml:space="preserve">The unrestricted risk estimate of pathogens associated with personal DFIU of imported cut flowers to propagation is </w:t>
      </w:r>
      <w:r>
        <w:rPr>
          <w:b/>
          <w:bCs/>
        </w:rPr>
        <w:t>Negligible</w:t>
      </w:r>
      <w:r w:rsidRPr="00CA7CE3">
        <w:rPr>
          <w:b/>
          <w:bCs/>
        </w:rPr>
        <w:t xml:space="preserve"> to Very </w:t>
      </w:r>
      <w:r>
        <w:rPr>
          <w:b/>
          <w:bCs/>
        </w:rPr>
        <w:t>l</w:t>
      </w:r>
      <w:r w:rsidRPr="00CA7CE3">
        <w:rPr>
          <w:b/>
          <w:bCs/>
        </w:rPr>
        <w:t>ow</w:t>
      </w:r>
      <w:r>
        <w:t>, which achieve the appropriate level of protection (ALOP) for Australia. Therefore, specific risk management</w:t>
      </w:r>
      <w:r w:rsidRPr="00F91CE3">
        <w:t xml:space="preserve"> </w:t>
      </w:r>
      <w:r>
        <w:t xml:space="preserve">measures for personal DFIU are not required for the importation of cut flowers into Australia. </w:t>
      </w:r>
    </w:p>
    <w:p w14:paraId="3452A5AD" w14:textId="77777777" w:rsidR="004726BA" w:rsidRPr="00F45669" w:rsidRDefault="004726BA" w:rsidP="00800E7D">
      <w:pPr>
        <w:pStyle w:val="Heading4"/>
        <w:rPr>
          <w:sz w:val="26"/>
          <w:szCs w:val="26"/>
        </w:rPr>
      </w:pPr>
      <w:bookmarkStart w:id="49" w:name="_Toc197938541"/>
      <w:bookmarkStart w:id="50" w:name="_Toc197953572"/>
      <w:r w:rsidRPr="00C96E4F">
        <w:rPr>
          <w:sz w:val="26"/>
          <w:szCs w:val="26"/>
        </w:rPr>
        <w:t>Biosecurity risk of commercial DFIU of imported cut flowers to propagation</w:t>
      </w:r>
      <w:bookmarkEnd w:id="49"/>
      <w:bookmarkEnd w:id="50"/>
    </w:p>
    <w:p w14:paraId="61AABC8E" w14:textId="77777777" w:rsidR="004726BA" w:rsidRPr="00AD0E32" w:rsidRDefault="004726BA" w:rsidP="00800E7D">
      <w:pPr>
        <w:pStyle w:val="Heading4"/>
        <w:numPr>
          <w:ilvl w:val="0"/>
          <w:numId w:val="0"/>
        </w:numPr>
      </w:pPr>
      <w:r w:rsidRPr="00AD0E32">
        <w:t xml:space="preserve">Likelihood of </w:t>
      </w:r>
      <w:r>
        <w:t>entry</w:t>
      </w:r>
    </w:p>
    <w:p w14:paraId="6E108433" w14:textId="77777777" w:rsidR="004726BA" w:rsidRPr="001D28A9" w:rsidRDefault="004726BA" w:rsidP="00800E7D">
      <w:r w:rsidRPr="001D28A9">
        <w:t>The likelihood of entry is considered in 2 parts, the likelihood of importation and likelihood of distribution, which consider pre-border and post-border issues, respectively.</w:t>
      </w:r>
    </w:p>
    <w:p w14:paraId="0AAC98F5" w14:textId="77777777" w:rsidR="004726BA" w:rsidRPr="00144FF6" w:rsidRDefault="004726BA" w:rsidP="00800E7D">
      <w:pPr>
        <w:rPr>
          <w:b/>
          <w:bCs/>
        </w:rPr>
      </w:pPr>
      <w:r w:rsidRPr="00144FF6">
        <w:rPr>
          <w:b/>
          <w:bCs/>
        </w:rPr>
        <w:t>Likelihood of importation</w:t>
      </w:r>
    </w:p>
    <w:p w14:paraId="1A74AF5F" w14:textId="77777777" w:rsidR="004726BA" w:rsidRDefault="004726BA" w:rsidP="00800E7D">
      <w:pPr>
        <w:rPr>
          <w:b/>
          <w:bCs/>
        </w:rPr>
      </w:pPr>
      <w:r>
        <w:t>As indicated in Section 3.4.1, t</w:t>
      </w:r>
      <w:r w:rsidRPr="00F05617">
        <w:t xml:space="preserve">he likelihood that </w:t>
      </w:r>
      <w:r>
        <w:t xml:space="preserve">quarantine </w:t>
      </w:r>
      <w:r w:rsidRPr="00F05617">
        <w:t>pathogen</w:t>
      </w:r>
      <w:r>
        <w:t>s</w:t>
      </w:r>
      <w:r w:rsidRPr="00F05617">
        <w:t xml:space="preserve"> will arrive in </w:t>
      </w:r>
      <w:sdt>
        <w:sdtPr>
          <w:alias w:val="Sample text. Enter text as appropriate for assessment region/s."/>
          <w:tag w:val="Sample text. Enter relevant text for assessment region/s."/>
          <w:id w:val="744845374"/>
          <w:placeholder>
            <w:docPart w:val="170D3794C82C4F63892B657B3BE7A463"/>
          </w:placeholder>
        </w:sdtPr>
        <w:sdtEndPr/>
        <w:sdtContent>
          <w:r>
            <w:t>Australia</w:t>
          </w:r>
        </w:sdtContent>
      </w:sdt>
      <w:r w:rsidRPr="00F05617">
        <w:t xml:space="preserve"> in a viable state with the importation </w:t>
      </w:r>
      <w:r>
        <w:t xml:space="preserve">of </w:t>
      </w:r>
      <w:r w:rsidRPr="00F05617">
        <w:t>cut flowers</w:t>
      </w:r>
      <w:r>
        <w:t xml:space="preserve"> </w:t>
      </w:r>
      <w:fldSimple w:instr="REF  country  \* MERGEFORMAT"/>
      <w:r w:rsidRPr="00F05617">
        <w:t xml:space="preserve">is assessed as: </w:t>
      </w:r>
      <w:r>
        <w:rPr>
          <w:b/>
          <w:bCs/>
        </w:rPr>
        <w:t>Extremely</w:t>
      </w:r>
      <w:r w:rsidRPr="00C0611C">
        <w:rPr>
          <w:b/>
          <w:bCs/>
        </w:rPr>
        <w:t xml:space="preserve"> low</w:t>
      </w:r>
      <w:r w:rsidRPr="00F05617">
        <w:rPr>
          <w:b/>
          <w:bCs/>
        </w:rPr>
        <w:t xml:space="preserve"> to High</w:t>
      </w:r>
      <w:r>
        <w:rPr>
          <w:b/>
          <w:bCs/>
        </w:rPr>
        <w:t>.</w:t>
      </w:r>
    </w:p>
    <w:p w14:paraId="0978841D" w14:textId="77777777" w:rsidR="004726BA" w:rsidRPr="00144FF6" w:rsidRDefault="004726BA" w:rsidP="00800E7D">
      <w:pPr>
        <w:rPr>
          <w:b/>
          <w:bCs/>
        </w:rPr>
      </w:pPr>
      <w:r w:rsidRPr="00144FF6">
        <w:rPr>
          <w:b/>
          <w:bCs/>
        </w:rPr>
        <w:t>Likelihood of distribution</w:t>
      </w:r>
    </w:p>
    <w:p w14:paraId="6F7113A4" w14:textId="77777777" w:rsidR="004726BA" w:rsidRDefault="004726BA" w:rsidP="00800E7D">
      <w:pPr>
        <w:rPr>
          <w:rFonts w:cstheme="minorHAnsi"/>
          <w:b/>
        </w:rPr>
      </w:pPr>
      <w:r w:rsidRPr="00F05617">
        <w:rPr>
          <w:rFonts w:cstheme="minorHAnsi"/>
        </w:rPr>
        <w:t xml:space="preserve">The likelihood that </w:t>
      </w:r>
      <w:r>
        <w:rPr>
          <w:rFonts w:cstheme="minorHAnsi"/>
        </w:rPr>
        <w:t xml:space="preserve">quarantine </w:t>
      </w:r>
      <w:r w:rsidRPr="00F05617">
        <w:rPr>
          <w:rFonts w:cstheme="minorHAnsi"/>
        </w:rPr>
        <w:t>pathogen</w:t>
      </w:r>
      <w:r>
        <w:rPr>
          <w:rFonts w:cstheme="minorHAnsi"/>
        </w:rPr>
        <w:t>s</w:t>
      </w:r>
      <w:r w:rsidRPr="00F05617">
        <w:rPr>
          <w:rFonts w:cstheme="minorHAnsi"/>
        </w:rPr>
        <w:t xml:space="preserve"> </w:t>
      </w:r>
      <w:r>
        <w:rPr>
          <w:rFonts w:cstheme="minorHAnsi"/>
        </w:rPr>
        <w:t xml:space="preserve">associated with imported cut flowers (that are diverted to propagation) </w:t>
      </w:r>
      <w:r w:rsidRPr="00F05617">
        <w:rPr>
          <w:rFonts w:cstheme="minorHAnsi"/>
        </w:rPr>
        <w:t>will be distributed within Australia and subsequently transfer to a susceptible part of a hos</w:t>
      </w:r>
      <w:r>
        <w:rPr>
          <w:rFonts w:cstheme="minorHAnsi"/>
        </w:rPr>
        <w:t xml:space="preserve">t </w:t>
      </w:r>
      <w:r w:rsidRPr="00F05617">
        <w:rPr>
          <w:rFonts w:cstheme="minorHAnsi"/>
        </w:rPr>
        <w:t xml:space="preserve">in a viable state </w:t>
      </w:r>
      <w:r>
        <w:rPr>
          <w:rFonts w:cstheme="minorHAnsi"/>
        </w:rPr>
        <w:t xml:space="preserve">(in this case, be in a viable and healthy host plant </w:t>
      </w:r>
      <w:r w:rsidRPr="00F05617">
        <w:rPr>
          <w:rFonts w:cstheme="minorHAnsi"/>
        </w:rPr>
        <w:t xml:space="preserve">as a result of </w:t>
      </w:r>
      <w:r>
        <w:rPr>
          <w:rFonts w:cstheme="minorHAnsi"/>
        </w:rPr>
        <w:t>commercial DFIU of</w:t>
      </w:r>
      <w:r w:rsidRPr="00F05617">
        <w:rPr>
          <w:rFonts w:cstheme="minorHAnsi"/>
        </w:rPr>
        <w:t xml:space="preserve"> </w:t>
      </w:r>
      <w:r>
        <w:rPr>
          <w:rFonts w:cstheme="minorHAnsi"/>
        </w:rPr>
        <w:t xml:space="preserve">the </w:t>
      </w:r>
      <w:r w:rsidRPr="00F05617">
        <w:rPr>
          <w:rFonts w:cstheme="minorHAnsi"/>
          <w:color w:val="000000" w:themeColor="text1"/>
        </w:rPr>
        <w:t>imported cut flower</w:t>
      </w:r>
      <w:r>
        <w:rPr>
          <w:rFonts w:cstheme="minorHAnsi"/>
          <w:color w:val="000000" w:themeColor="text1"/>
        </w:rPr>
        <w:t>s</w:t>
      </w:r>
      <w:r w:rsidRPr="00F05617">
        <w:rPr>
          <w:rFonts w:cstheme="minorHAnsi"/>
          <w:color w:val="000000" w:themeColor="text1"/>
        </w:rPr>
        <w:t xml:space="preserve"> to propagation</w:t>
      </w:r>
      <w:r>
        <w:rPr>
          <w:rFonts w:cstheme="minorHAnsi"/>
          <w:color w:val="000000" w:themeColor="text1"/>
        </w:rPr>
        <w:t>)</w:t>
      </w:r>
      <w:r w:rsidRPr="00F05617">
        <w:rPr>
          <w:rFonts w:cstheme="minorHAnsi"/>
          <w:color w:val="000000" w:themeColor="text1"/>
        </w:rPr>
        <w:fldChar w:fldCharType="begin"/>
      </w:r>
      <w:r w:rsidRPr="00F05617">
        <w:rPr>
          <w:rFonts w:cstheme="minorHAnsi"/>
          <w:color w:val="000000" w:themeColor="text1"/>
        </w:rPr>
        <w:instrText xml:space="preserve"> REF  country  \* MERGEFORMAT </w:instrText>
      </w:r>
      <w:r w:rsidRPr="00F05617">
        <w:rPr>
          <w:rFonts w:cstheme="minorHAnsi"/>
          <w:color w:val="000000" w:themeColor="text1"/>
        </w:rPr>
        <w:fldChar w:fldCharType="separate"/>
      </w:r>
      <w:r w:rsidRPr="00F05617">
        <w:rPr>
          <w:rFonts w:cstheme="minorHAnsi"/>
          <w:color w:val="000000" w:themeColor="text1"/>
        </w:rPr>
        <w:fldChar w:fldCharType="end"/>
      </w:r>
      <w:r w:rsidRPr="00F05617">
        <w:rPr>
          <w:rFonts w:cstheme="minorHAnsi"/>
        </w:rPr>
        <w:t xml:space="preserve"> is assessed as: </w:t>
      </w:r>
      <w:r>
        <w:rPr>
          <w:rFonts w:cstheme="minorHAnsi"/>
          <w:b/>
        </w:rPr>
        <w:t>Negligible.</w:t>
      </w:r>
    </w:p>
    <w:p w14:paraId="600B62E0" w14:textId="77777777" w:rsidR="004726BA" w:rsidRDefault="004726BA" w:rsidP="00800E7D">
      <w:pPr>
        <w:rPr>
          <w:rFonts w:cstheme="minorHAnsi"/>
        </w:rPr>
      </w:pPr>
      <w:r>
        <w:rPr>
          <w:rFonts w:cstheme="minorHAnsi"/>
        </w:rPr>
        <w:t>The likelihood of distribution is assessed as Negligible because there is no evidence or any information to indicate that commercial</w:t>
      </w:r>
      <w:r>
        <w:rPr>
          <w:rFonts w:eastAsia="Calibri" w:cs="Times New Roman"/>
        </w:rPr>
        <w:t xml:space="preserve"> DFIU of cut flowers to propagation may be occurring in Australia</w:t>
      </w:r>
      <w:r>
        <w:t xml:space="preserve">. </w:t>
      </w:r>
      <w:r>
        <w:rPr>
          <w:rFonts w:cstheme="minorHAnsi"/>
        </w:rPr>
        <w:t xml:space="preserve"> </w:t>
      </w:r>
    </w:p>
    <w:p w14:paraId="2FDD2596" w14:textId="77777777" w:rsidR="004726BA" w:rsidRPr="00F05617" w:rsidRDefault="004726BA" w:rsidP="00800E7D">
      <w:pPr>
        <w:rPr>
          <w:rFonts w:cstheme="minorHAnsi"/>
        </w:rPr>
      </w:pPr>
      <w:r w:rsidRPr="00F05617">
        <w:rPr>
          <w:rFonts w:cstheme="minorHAnsi"/>
        </w:rPr>
        <w:t>The following information support</w:t>
      </w:r>
      <w:r>
        <w:rPr>
          <w:rFonts w:cstheme="minorHAnsi"/>
        </w:rPr>
        <w:t>s the assigned likelihood range</w:t>
      </w:r>
      <w:r w:rsidRPr="00F05617">
        <w:rPr>
          <w:rFonts w:cstheme="minorHAnsi"/>
        </w:rPr>
        <w:t>.</w:t>
      </w:r>
    </w:p>
    <w:p w14:paraId="51F7A8C8" w14:textId="77777777" w:rsidR="004726BA" w:rsidRPr="00F05617" w:rsidRDefault="004726BA" w:rsidP="00D80C59">
      <w:pPr>
        <w:pStyle w:val="ListBullet"/>
        <w:spacing w:before="0" w:after="200" w:line="276" w:lineRule="auto"/>
        <w:ind w:hanging="357"/>
      </w:pPr>
      <w:r>
        <w:t>It is expected that cut flowers imported into Australia could be</w:t>
      </w:r>
      <w:r w:rsidRPr="00F05617">
        <w:t xml:space="preserve"> distributed </w:t>
      </w:r>
      <w:r>
        <w:t>throughout Australia through</w:t>
      </w:r>
      <w:r w:rsidRPr="00F05617">
        <w:t xml:space="preserve"> wholesalers and retailers</w:t>
      </w:r>
      <w:r>
        <w:t xml:space="preserve"> and be displayed for sale to customers, with the majority likely to be in </w:t>
      </w:r>
      <w:r w:rsidRPr="00F05617">
        <w:t>florists and supermarkets</w:t>
      </w:r>
      <w:r>
        <w:t xml:space="preserve"> and a small proportion in markets or roadside stalls</w:t>
      </w:r>
      <w:r w:rsidRPr="00525379">
        <w:t>.</w:t>
      </w:r>
    </w:p>
    <w:p w14:paraId="2512F0D3" w14:textId="77777777" w:rsidR="004726BA" w:rsidRDefault="004726BA" w:rsidP="00D80C59">
      <w:pPr>
        <w:pStyle w:val="ListBullet"/>
        <w:spacing w:before="0" w:after="200" w:line="276" w:lineRule="auto"/>
        <w:ind w:hanging="357"/>
      </w:pPr>
      <w:r>
        <w:rPr>
          <w:rFonts w:eastAsia="Calibri" w:cs="Times New Roman"/>
        </w:rPr>
        <w:lastRenderedPageBreak/>
        <w:t xml:space="preserve">If imported cut flowers are diverted to propagation and the propagation is successful in producing viable and </w:t>
      </w:r>
      <w:r w:rsidRPr="001F2706">
        <w:rPr>
          <w:rFonts w:eastAsia="Calibri" w:cs="Times New Roman"/>
        </w:rPr>
        <w:t>healthy</w:t>
      </w:r>
      <w:r>
        <w:rPr>
          <w:rFonts w:eastAsia="Calibri" w:cs="Times New Roman"/>
        </w:rPr>
        <w:t xml:space="preserve"> plants, the plants will serve as a host of quarantine pathogens, if present and remain viable in the newly established plants.</w:t>
      </w:r>
    </w:p>
    <w:p w14:paraId="62ADA545" w14:textId="77777777" w:rsidR="004726BA" w:rsidRDefault="004726BA" w:rsidP="00D80C59">
      <w:pPr>
        <w:pStyle w:val="ListBullet"/>
        <w:spacing w:before="0" w:after="200" w:line="276" w:lineRule="auto"/>
        <w:ind w:hanging="357"/>
      </w:pPr>
      <w:r>
        <w:rPr>
          <w:rFonts w:eastAsia="Calibri" w:cs="Times New Roman"/>
        </w:rPr>
        <w:t>A review of p</w:t>
      </w:r>
      <w:r w:rsidRPr="00525379">
        <w:rPr>
          <w:rFonts w:eastAsia="Calibri" w:cs="Times New Roman"/>
        </w:rPr>
        <w:t>ublished literature</w:t>
      </w:r>
      <w:r>
        <w:rPr>
          <w:rFonts w:eastAsia="Calibri" w:cs="Times New Roman"/>
        </w:rPr>
        <w:t xml:space="preserve"> found</w:t>
      </w:r>
      <w:r w:rsidRPr="00525379">
        <w:rPr>
          <w:rFonts w:eastAsia="Calibri" w:cs="Times New Roman"/>
        </w:rPr>
        <w:t xml:space="preserve"> </w:t>
      </w:r>
      <w:r>
        <w:rPr>
          <w:rFonts w:eastAsia="Calibri" w:cs="Times New Roman"/>
        </w:rPr>
        <w:t>n</w:t>
      </w:r>
      <w:r w:rsidRPr="00525379">
        <w:rPr>
          <w:rFonts w:eastAsia="Calibri" w:cs="Times New Roman"/>
        </w:rPr>
        <w:t xml:space="preserve">o </w:t>
      </w:r>
      <w:r>
        <w:rPr>
          <w:rFonts w:eastAsia="Calibri" w:cs="Times New Roman"/>
        </w:rPr>
        <w:t xml:space="preserve">primary </w:t>
      </w:r>
      <w:r w:rsidRPr="00525379">
        <w:rPr>
          <w:rFonts w:eastAsia="Calibri" w:cs="Times New Roman"/>
        </w:rPr>
        <w:t xml:space="preserve">reference </w:t>
      </w:r>
      <w:r>
        <w:rPr>
          <w:rFonts w:eastAsia="Calibri" w:cs="Times New Roman"/>
        </w:rPr>
        <w:t>relating to commercial DFIU of imported cut flowers to propagation</w:t>
      </w:r>
      <w:r>
        <w:t xml:space="preserve"> occurring in Australia.</w:t>
      </w:r>
    </w:p>
    <w:p w14:paraId="3AAA2102" w14:textId="77777777" w:rsidR="004726BA" w:rsidRDefault="004726BA" w:rsidP="00D80C59">
      <w:pPr>
        <w:pStyle w:val="ListBullet"/>
        <w:spacing w:before="0" w:after="200" w:line="276" w:lineRule="auto"/>
        <w:ind w:hanging="357"/>
      </w:pPr>
      <w:r>
        <w:t xml:space="preserve">From examination of </w:t>
      </w:r>
      <w:r w:rsidRPr="00D328A2">
        <w:rPr>
          <w:rFonts w:eastAsia="Calibri" w:cs="Times New Roman"/>
        </w:rPr>
        <w:t xml:space="preserve">biosecurity compliance on the </w:t>
      </w:r>
      <w:r>
        <w:rPr>
          <w:rFonts w:eastAsia="Calibri" w:cs="Times New Roman"/>
        </w:rPr>
        <w:t xml:space="preserve">imported </w:t>
      </w:r>
      <w:r w:rsidRPr="00D328A2">
        <w:rPr>
          <w:rFonts w:eastAsia="Calibri" w:cs="Times New Roman"/>
        </w:rPr>
        <w:t>cut flower</w:t>
      </w:r>
      <w:r>
        <w:rPr>
          <w:rFonts w:eastAsia="Calibri" w:cs="Times New Roman"/>
        </w:rPr>
        <w:t>s</w:t>
      </w:r>
      <w:r w:rsidRPr="00D328A2">
        <w:rPr>
          <w:rFonts w:eastAsia="Calibri" w:cs="Times New Roman"/>
        </w:rPr>
        <w:t xml:space="preserve"> in Australia</w:t>
      </w:r>
      <w:r>
        <w:t>, there are no departmental records documenting instances of commercial DFIU of imported cut flowers to</w:t>
      </w:r>
      <w:r w:rsidRPr="00B07855">
        <w:t xml:space="preserve"> propagation</w:t>
      </w:r>
      <w:r>
        <w:t>.</w:t>
      </w:r>
    </w:p>
    <w:p w14:paraId="2BC11482" w14:textId="77777777" w:rsidR="004726BA" w:rsidRDefault="004726BA" w:rsidP="00D80C59">
      <w:pPr>
        <w:pStyle w:val="ListBullet"/>
        <w:spacing w:before="0" w:after="200" w:line="276" w:lineRule="auto"/>
        <w:ind w:hanging="357"/>
      </w:pPr>
      <w:r>
        <w:t>From examination of PVR infringement in the EU, n</w:t>
      </w:r>
      <w:r>
        <w:rPr>
          <w:rFonts w:eastAsia="Calibri" w:cs="Times New Roman"/>
        </w:rPr>
        <w:t xml:space="preserve">o records of PVR infringement related to </w:t>
      </w:r>
      <w:r w:rsidRPr="007638A9">
        <w:rPr>
          <w:rFonts w:eastAsia="Calibri" w:cs="Times New Roman"/>
        </w:rPr>
        <w:t xml:space="preserve">DFIU of cut flowers to propagation, despite </w:t>
      </w:r>
      <w:r>
        <w:rPr>
          <w:rFonts w:eastAsia="Calibri" w:cs="Times New Roman"/>
        </w:rPr>
        <w:t xml:space="preserve">more than half of the </w:t>
      </w:r>
      <w:r w:rsidRPr="007638A9">
        <w:rPr>
          <w:rFonts w:eastAsia="Calibri" w:cs="Times New Roman"/>
        </w:rPr>
        <w:t xml:space="preserve">case decisions </w:t>
      </w:r>
      <w:r>
        <w:rPr>
          <w:rFonts w:eastAsia="Calibri" w:cs="Times New Roman"/>
        </w:rPr>
        <w:t xml:space="preserve">being related to ornamental plant species. </w:t>
      </w:r>
      <w:r>
        <w:rPr>
          <w:rFonts w:eastAsia="Calibri" w:cs="Calibri"/>
        </w:rPr>
        <w:t xml:space="preserve">Records of PVR infringement involve </w:t>
      </w:r>
      <w:r w:rsidRPr="002C5715">
        <w:rPr>
          <w:rFonts w:eastAsia="Calibri" w:cs="Calibri"/>
          <w:color w:val="000000" w:themeColor="text1"/>
        </w:rPr>
        <w:t xml:space="preserve">direct propagation from propagative materials, </w:t>
      </w:r>
      <w:r w:rsidRPr="00945979">
        <w:rPr>
          <w:rFonts w:eastAsia="Calibri" w:cs="Calibri"/>
          <w:color w:val="000000" w:themeColor="text1"/>
        </w:rPr>
        <w:t>including whole plants, seeds, bulbs and fresh cuttings</w:t>
      </w:r>
      <w:r>
        <w:rPr>
          <w:rFonts w:eastAsia="Calibri" w:cs="Calibri"/>
          <w:color w:val="000000" w:themeColor="text1"/>
        </w:rPr>
        <w:t>.</w:t>
      </w:r>
    </w:p>
    <w:p w14:paraId="293C7D58" w14:textId="77777777" w:rsidR="004726BA" w:rsidRPr="00A856B0" w:rsidRDefault="004726BA" w:rsidP="00D80C59">
      <w:pPr>
        <w:pStyle w:val="ListBullet2"/>
        <w:spacing w:before="0" w:after="200" w:line="276" w:lineRule="auto"/>
        <w:ind w:left="1117" w:hanging="357"/>
      </w:pPr>
      <w:r>
        <w:rPr>
          <w:rFonts w:cs="Calibri"/>
          <w:color w:val="000000" w:themeColor="text1"/>
        </w:rPr>
        <w:t>PVR infringement in the EU has been examined because t</w:t>
      </w:r>
      <w:r w:rsidRPr="00B97ED8">
        <w:rPr>
          <w:rFonts w:eastAsia="Calibri" w:cs="Calibri"/>
        </w:rPr>
        <w:t>he EU is the world’s largest market for both cut flowers and ornamental plants and does not require devitalisation treatment for cut flowers imported into the EU</w:t>
      </w:r>
      <w:r>
        <w:rPr>
          <w:rFonts w:eastAsia="Calibri" w:cs="Calibri"/>
        </w:rPr>
        <w:t xml:space="preserve">. </w:t>
      </w:r>
    </w:p>
    <w:p w14:paraId="10A162B4" w14:textId="77777777" w:rsidR="004726BA" w:rsidRPr="00A856B0" w:rsidRDefault="004726BA" w:rsidP="00D80C59">
      <w:pPr>
        <w:pStyle w:val="ListBullet2"/>
        <w:spacing w:before="0" w:after="200" w:line="276" w:lineRule="auto"/>
        <w:ind w:left="1117" w:hanging="357"/>
      </w:pPr>
      <w:r>
        <w:rPr>
          <w:rFonts w:cs="Calibri"/>
          <w:color w:val="000000" w:themeColor="text1"/>
        </w:rPr>
        <w:t xml:space="preserve">PVR infringement </w:t>
      </w:r>
      <w:r w:rsidRPr="004D668C">
        <w:rPr>
          <w:rFonts w:eastAsia="Calibri" w:cs="Calibri"/>
        </w:rPr>
        <w:t xml:space="preserve">could provide insight on </w:t>
      </w:r>
      <w:r>
        <w:rPr>
          <w:rFonts w:eastAsia="Calibri" w:cs="Calibri"/>
        </w:rPr>
        <w:t xml:space="preserve">whether </w:t>
      </w:r>
      <w:r w:rsidRPr="004D668C">
        <w:rPr>
          <w:rFonts w:eastAsia="Calibri" w:cs="Calibri"/>
        </w:rPr>
        <w:t xml:space="preserve">DFIU of cut flowers to propagation </w:t>
      </w:r>
      <w:r>
        <w:rPr>
          <w:rFonts w:eastAsia="Calibri" w:cs="Calibri"/>
        </w:rPr>
        <w:t xml:space="preserve">has been </w:t>
      </w:r>
      <w:r w:rsidRPr="004D668C">
        <w:rPr>
          <w:rFonts w:eastAsia="Calibri" w:cs="Calibri"/>
        </w:rPr>
        <w:t xml:space="preserve">used as a means to circumvent </w:t>
      </w:r>
      <w:r>
        <w:rPr>
          <w:rFonts w:eastAsia="Calibri" w:cs="Calibri"/>
        </w:rPr>
        <w:t xml:space="preserve">plant variety right in the EU. </w:t>
      </w:r>
    </w:p>
    <w:p w14:paraId="1A543CAE" w14:textId="77777777" w:rsidR="004726BA" w:rsidRDefault="004726BA" w:rsidP="00D80C59">
      <w:pPr>
        <w:pStyle w:val="ListBullet2"/>
        <w:spacing w:before="0" w:after="200" w:line="276" w:lineRule="auto"/>
        <w:ind w:left="1117" w:hanging="357"/>
      </w:pPr>
      <w:r>
        <w:rPr>
          <w:rFonts w:eastAsia="Calibri" w:cs="Calibri"/>
        </w:rPr>
        <w:t xml:space="preserve">PVR infringement could also provide insight whether DFIU of imported cut flowers may be used as a means to circumvent plant breeder right </w:t>
      </w:r>
      <w:r w:rsidRPr="004D668C">
        <w:rPr>
          <w:rFonts w:eastAsia="Calibri" w:cs="Calibri"/>
        </w:rPr>
        <w:t xml:space="preserve">in Australia should Australia remove devitalisation </w:t>
      </w:r>
      <w:r>
        <w:rPr>
          <w:rFonts w:eastAsia="Calibri" w:cs="Calibri"/>
        </w:rPr>
        <w:t>treatment</w:t>
      </w:r>
      <w:r w:rsidRPr="004D668C">
        <w:rPr>
          <w:rFonts w:eastAsia="Calibri" w:cs="Calibri"/>
        </w:rPr>
        <w:t xml:space="preserve"> for imported cut flowers</w:t>
      </w:r>
      <w:r w:rsidRPr="00B6266F">
        <w:t>.</w:t>
      </w:r>
    </w:p>
    <w:p w14:paraId="2CA895E9" w14:textId="77777777" w:rsidR="004726BA" w:rsidRDefault="004726BA" w:rsidP="00D80C59">
      <w:pPr>
        <w:pStyle w:val="ListBullet"/>
        <w:spacing w:before="0" w:after="200" w:line="276" w:lineRule="auto"/>
        <w:ind w:hanging="357"/>
      </w:pPr>
      <w:r w:rsidRPr="00945979">
        <w:t xml:space="preserve">Commercial DFIU </w:t>
      </w:r>
      <w:r>
        <w:t xml:space="preserve">of imported cut flowers to propagation </w:t>
      </w:r>
      <w:r w:rsidRPr="00945979">
        <w:t xml:space="preserve">in Australia is </w:t>
      </w:r>
      <w:r>
        <w:t>considered highly</w:t>
      </w:r>
      <w:r w:rsidRPr="00945979">
        <w:t xml:space="preserve"> unlikely because</w:t>
      </w:r>
      <w:r>
        <w:t>:</w:t>
      </w:r>
    </w:p>
    <w:p w14:paraId="5A8BD60C" w14:textId="77777777" w:rsidR="004726BA" w:rsidRPr="007F55C7" w:rsidRDefault="004726BA" w:rsidP="00D80C59">
      <w:pPr>
        <w:pStyle w:val="ListBullet"/>
        <w:numPr>
          <w:ilvl w:val="0"/>
          <w:numId w:val="30"/>
        </w:numPr>
        <w:spacing w:before="0" w:after="200" w:line="276" w:lineRule="auto"/>
        <w:ind w:hanging="357"/>
      </w:pPr>
      <w:r>
        <w:rPr>
          <w:rFonts w:cs="Helvetica"/>
          <w:color w:val="333333"/>
          <w:shd w:val="clear" w:color="auto" w:fill="FFFFFF"/>
        </w:rPr>
        <w:t>there may not be sufficient incentive as it may not be possible to confirm if a cut flower stem is worthy to be propagated for commercial production and sale,</w:t>
      </w:r>
    </w:p>
    <w:p w14:paraId="419F725C" w14:textId="77777777" w:rsidR="004726BA" w:rsidRPr="00C603A9" w:rsidRDefault="004726BA" w:rsidP="00D80C59">
      <w:pPr>
        <w:pStyle w:val="ListBullet"/>
        <w:numPr>
          <w:ilvl w:val="0"/>
          <w:numId w:val="30"/>
        </w:numPr>
        <w:spacing w:before="0" w:after="200" w:line="276" w:lineRule="auto"/>
        <w:ind w:hanging="357"/>
      </w:pPr>
      <w:r>
        <w:rPr>
          <w:rFonts w:eastAsia="Calibri" w:cs="Times New Roman"/>
        </w:rPr>
        <w:t>the Australian cut flower i</w:t>
      </w:r>
      <w:r w:rsidRPr="00616386">
        <w:rPr>
          <w:rFonts w:eastAsia="Calibri" w:cs="Times New Roman"/>
        </w:rPr>
        <w:t xml:space="preserve">ndustry </w:t>
      </w:r>
      <w:r>
        <w:rPr>
          <w:rFonts w:eastAsia="Calibri" w:cs="Times New Roman"/>
        </w:rPr>
        <w:t xml:space="preserve">is </w:t>
      </w:r>
      <w:r w:rsidRPr="00616386">
        <w:rPr>
          <w:rFonts w:eastAsia="Calibri" w:cs="Times New Roman"/>
        </w:rPr>
        <w:t xml:space="preserve">aware of </w:t>
      </w:r>
      <w:r>
        <w:rPr>
          <w:rFonts w:eastAsia="Calibri" w:cs="Times New Roman"/>
        </w:rPr>
        <w:t xml:space="preserve">the importance of biosecurity on plant, animal, human and the environment and </w:t>
      </w:r>
      <w:r w:rsidRPr="00616386">
        <w:rPr>
          <w:rFonts w:eastAsia="Calibri" w:cs="Times New Roman"/>
        </w:rPr>
        <w:t xml:space="preserve">Australia’s strong biosecurity </w:t>
      </w:r>
      <w:r>
        <w:rPr>
          <w:rFonts w:eastAsia="Calibri" w:cs="Times New Roman"/>
        </w:rPr>
        <w:t>protections and the strength of legislative and potential non-compliance actions taken by the department,</w:t>
      </w:r>
    </w:p>
    <w:p w14:paraId="1CF311C2" w14:textId="77777777" w:rsidR="004726BA" w:rsidRPr="00945979" w:rsidRDefault="004726BA" w:rsidP="00D80C59">
      <w:pPr>
        <w:pStyle w:val="ListBullet"/>
        <w:numPr>
          <w:ilvl w:val="0"/>
          <w:numId w:val="30"/>
        </w:numPr>
        <w:spacing w:before="0" w:after="200" w:line="276" w:lineRule="auto"/>
        <w:ind w:hanging="357"/>
      </w:pPr>
      <w:r>
        <w:rPr>
          <w:rFonts w:eastAsia="Calibri" w:cs="Times New Roman"/>
        </w:rPr>
        <w:t>the Australian cut flower industry is also aware of existing import processes for nursery stock, which</w:t>
      </w:r>
      <w:r w:rsidRPr="00616386">
        <w:rPr>
          <w:rFonts w:eastAsia="Calibri" w:cs="Times New Roman"/>
        </w:rPr>
        <w:t xml:space="preserve"> facilitates an efficient way to import new varieties of cut flower</w:t>
      </w:r>
      <w:r>
        <w:rPr>
          <w:rFonts w:eastAsia="Calibri" w:cs="Times New Roman"/>
        </w:rPr>
        <w:t>s</w:t>
      </w:r>
      <w:r w:rsidRPr="00616386">
        <w:rPr>
          <w:rFonts w:eastAsia="Calibri" w:cs="Times New Roman"/>
        </w:rPr>
        <w:t xml:space="preserve"> into Australia</w:t>
      </w:r>
      <w:r>
        <w:rPr>
          <w:rFonts w:eastAsia="Calibri" w:cs="Times New Roman"/>
        </w:rPr>
        <w:t>, and</w:t>
      </w:r>
    </w:p>
    <w:p w14:paraId="33FD0D41" w14:textId="77777777" w:rsidR="004726BA" w:rsidRDefault="004726BA" w:rsidP="00D80C59">
      <w:pPr>
        <w:pStyle w:val="ListBullet"/>
        <w:numPr>
          <w:ilvl w:val="0"/>
          <w:numId w:val="28"/>
        </w:numPr>
        <w:spacing w:before="0" w:after="200" w:line="276" w:lineRule="auto"/>
        <w:ind w:hanging="357"/>
      </w:pPr>
      <w:r>
        <w:t xml:space="preserve">the lack of records of </w:t>
      </w:r>
      <w:r>
        <w:rPr>
          <w:rFonts w:eastAsia="Calibri" w:cs="Times New Roman"/>
        </w:rPr>
        <w:t>PVR infringement related to DFIU of cut flowers to propagation, while there are records of infringement involving propagative materials, support that DFIU of cut flowers to propagation is unlikely to be worthy for commercial production and sale</w:t>
      </w:r>
      <w:r>
        <w:t xml:space="preserve">. </w:t>
      </w:r>
    </w:p>
    <w:p w14:paraId="0DF23EEC" w14:textId="77777777" w:rsidR="004726BA" w:rsidRDefault="004726BA" w:rsidP="00800E7D">
      <w:pPr>
        <w:rPr>
          <w:rFonts w:cs="Calibri"/>
        </w:rPr>
      </w:pPr>
      <w:r w:rsidRPr="00130A89">
        <w:rPr>
          <w:rFonts w:cs="Calibri"/>
        </w:rPr>
        <w:t xml:space="preserve">For the reasons outlined, the likelihood that </w:t>
      </w:r>
      <w:r>
        <w:rPr>
          <w:rFonts w:cs="Calibri"/>
        </w:rPr>
        <w:t xml:space="preserve">quarantine pathogens associated with imported cut flowers </w:t>
      </w:r>
      <w:r>
        <w:rPr>
          <w:rFonts w:cstheme="minorHAnsi"/>
        </w:rPr>
        <w:t xml:space="preserve">(that are diverted to propagation) </w:t>
      </w:r>
      <w:r w:rsidRPr="00F05617">
        <w:rPr>
          <w:rFonts w:cstheme="minorHAnsi"/>
        </w:rPr>
        <w:t>will be distributed within Australia and subsequently</w:t>
      </w:r>
      <w:r>
        <w:rPr>
          <w:rFonts w:cstheme="minorHAnsi"/>
        </w:rPr>
        <w:t xml:space="preserve"> be in</w:t>
      </w:r>
      <w:r w:rsidRPr="00F05617">
        <w:rPr>
          <w:rFonts w:cstheme="minorHAnsi"/>
        </w:rPr>
        <w:t xml:space="preserve"> </w:t>
      </w:r>
      <w:r>
        <w:rPr>
          <w:rFonts w:cstheme="minorHAnsi"/>
        </w:rPr>
        <w:lastRenderedPageBreak/>
        <w:t xml:space="preserve">viable and healthy </w:t>
      </w:r>
      <w:r w:rsidRPr="00F05617">
        <w:rPr>
          <w:rFonts w:cstheme="minorHAnsi"/>
        </w:rPr>
        <w:t>hos</w:t>
      </w:r>
      <w:r>
        <w:rPr>
          <w:rFonts w:cstheme="minorHAnsi"/>
        </w:rPr>
        <w:t xml:space="preserve">t plants </w:t>
      </w:r>
      <w:r w:rsidRPr="00F05617">
        <w:rPr>
          <w:rFonts w:cstheme="minorHAnsi"/>
        </w:rPr>
        <w:t xml:space="preserve">as a result of </w:t>
      </w:r>
      <w:r>
        <w:rPr>
          <w:rFonts w:cstheme="minorHAnsi"/>
        </w:rPr>
        <w:t>commercial DFIU of</w:t>
      </w:r>
      <w:r w:rsidRPr="00F05617">
        <w:rPr>
          <w:rFonts w:cstheme="minorHAnsi"/>
        </w:rPr>
        <w:t xml:space="preserve"> </w:t>
      </w:r>
      <w:r>
        <w:rPr>
          <w:rFonts w:cstheme="minorHAnsi"/>
        </w:rPr>
        <w:t xml:space="preserve">the </w:t>
      </w:r>
      <w:r w:rsidRPr="00F05617">
        <w:rPr>
          <w:rFonts w:cstheme="minorHAnsi"/>
          <w:color w:val="000000" w:themeColor="text1"/>
        </w:rPr>
        <w:t>imported cut flower</w:t>
      </w:r>
      <w:r>
        <w:rPr>
          <w:rFonts w:cstheme="minorHAnsi"/>
          <w:color w:val="000000" w:themeColor="text1"/>
        </w:rPr>
        <w:t>s</w:t>
      </w:r>
      <w:r w:rsidRPr="00F05617">
        <w:rPr>
          <w:rFonts w:cstheme="minorHAnsi"/>
          <w:color w:val="000000" w:themeColor="text1"/>
        </w:rPr>
        <w:t xml:space="preserve"> to propagation</w:t>
      </w:r>
      <w:r w:rsidRPr="00F05617">
        <w:rPr>
          <w:rFonts w:cstheme="minorHAnsi"/>
          <w:color w:val="000000" w:themeColor="text1"/>
        </w:rPr>
        <w:fldChar w:fldCharType="begin"/>
      </w:r>
      <w:r w:rsidRPr="00F05617">
        <w:rPr>
          <w:rFonts w:cstheme="minorHAnsi"/>
          <w:color w:val="000000" w:themeColor="text1"/>
        </w:rPr>
        <w:instrText xml:space="preserve"> REF  country  \* MERGEFORMAT </w:instrText>
      </w:r>
      <w:r w:rsidRPr="00F05617">
        <w:rPr>
          <w:rFonts w:cstheme="minorHAnsi"/>
          <w:color w:val="000000" w:themeColor="text1"/>
        </w:rPr>
        <w:fldChar w:fldCharType="separate"/>
      </w:r>
      <w:r w:rsidRPr="00F05617">
        <w:rPr>
          <w:rFonts w:cstheme="minorHAnsi"/>
          <w:color w:val="000000" w:themeColor="text1"/>
        </w:rPr>
        <w:fldChar w:fldCharType="end"/>
      </w:r>
      <w:r w:rsidRPr="00F05617">
        <w:rPr>
          <w:rFonts w:cstheme="minorHAnsi"/>
        </w:rPr>
        <w:t xml:space="preserve"> is assessed as</w:t>
      </w:r>
      <w:r w:rsidRPr="00130A89">
        <w:rPr>
          <w:rFonts w:cs="Calibri"/>
        </w:rPr>
        <w:t xml:space="preserve"> ‘</w:t>
      </w:r>
      <w:r>
        <w:rPr>
          <w:rFonts w:cs="Calibri"/>
        </w:rPr>
        <w:t>Negligible</w:t>
      </w:r>
      <w:r w:rsidRPr="00130A89">
        <w:rPr>
          <w:rFonts w:cs="Calibri"/>
        </w:rPr>
        <w:t>’</w:t>
      </w:r>
    </w:p>
    <w:p w14:paraId="2164A214" w14:textId="77777777" w:rsidR="004726BA" w:rsidRPr="00144FF6" w:rsidRDefault="004726BA" w:rsidP="00800E7D">
      <w:pPr>
        <w:rPr>
          <w:b/>
          <w:bCs/>
        </w:rPr>
      </w:pPr>
      <w:r w:rsidRPr="00F05617">
        <w:rPr>
          <w:rFonts w:cstheme="minorHAnsi"/>
          <w:color w:val="000000" w:themeColor="text1"/>
        </w:rPr>
        <w:fldChar w:fldCharType="begin"/>
      </w:r>
      <w:r w:rsidRPr="00F05617">
        <w:rPr>
          <w:rFonts w:cstheme="minorHAnsi"/>
          <w:color w:val="000000" w:themeColor="text1"/>
        </w:rPr>
        <w:instrText xml:space="preserve"> REF  country  \* MERGEFORMAT </w:instrText>
      </w:r>
      <w:r w:rsidRPr="00F05617">
        <w:rPr>
          <w:rFonts w:cstheme="minorHAnsi"/>
          <w:color w:val="000000" w:themeColor="text1"/>
        </w:rPr>
        <w:fldChar w:fldCharType="separate"/>
      </w:r>
      <w:r w:rsidRPr="00F05617">
        <w:rPr>
          <w:rFonts w:cstheme="minorHAnsi"/>
          <w:color w:val="000000" w:themeColor="text1"/>
        </w:rPr>
        <w:fldChar w:fldCharType="end"/>
      </w:r>
      <w:r w:rsidRPr="00144FF6">
        <w:rPr>
          <w:b/>
          <w:bCs/>
        </w:rPr>
        <w:t>Overall likelihood of entry</w:t>
      </w:r>
    </w:p>
    <w:p w14:paraId="2CAA918A" w14:textId="77777777" w:rsidR="004726BA" w:rsidRPr="00DB1D67" w:rsidRDefault="004726BA" w:rsidP="00800E7D">
      <w:pPr>
        <w:rPr>
          <w:rFonts w:cstheme="minorHAnsi"/>
        </w:rPr>
      </w:pPr>
      <w:r w:rsidRPr="00DB1D67">
        <w:rPr>
          <w:rFonts w:cstheme="minorHAnsi"/>
        </w:rPr>
        <w:t>The overall likelihood of entry [En] is determined by combining the likelihood of importation [I] with the likelihood of distribution [D] using the matrix of rules shown in Table A.1 in Appendix A.</w:t>
      </w:r>
    </w:p>
    <w:p w14:paraId="269E1E6C" w14:textId="77777777" w:rsidR="004726BA" w:rsidRPr="00DB1D67" w:rsidRDefault="004726BA" w:rsidP="00800E7D">
      <w:pPr>
        <w:rPr>
          <w:rFonts w:cstheme="minorHAnsi"/>
        </w:rPr>
      </w:pPr>
      <w:r w:rsidRPr="00DB1D67">
        <w:rPr>
          <w:rFonts w:cstheme="minorHAnsi"/>
        </w:rPr>
        <w:t xml:space="preserve">[I] = </w:t>
      </w:r>
      <w:r>
        <w:rPr>
          <w:rFonts w:cstheme="minorHAnsi"/>
          <w:b/>
          <w:bCs/>
        </w:rPr>
        <w:t>Extremely</w:t>
      </w:r>
      <w:r w:rsidRPr="00DB1D67">
        <w:rPr>
          <w:rFonts w:cstheme="minorHAnsi"/>
          <w:b/>
          <w:bCs/>
        </w:rPr>
        <w:t xml:space="preserve"> low</w:t>
      </w:r>
      <w:r w:rsidRPr="00DB1D67">
        <w:rPr>
          <w:rFonts w:cstheme="minorHAnsi"/>
        </w:rPr>
        <w:t xml:space="preserve"> to </w:t>
      </w:r>
      <w:r w:rsidRPr="00DB1D67">
        <w:rPr>
          <w:rFonts w:cstheme="minorHAnsi"/>
          <w:b/>
          <w:bCs/>
        </w:rPr>
        <w:t>High</w:t>
      </w:r>
    </w:p>
    <w:p w14:paraId="1B01CD0F" w14:textId="77777777" w:rsidR="004726BA" w:rsidRPr="00DB1D67" w:rsidRDefault="004726BA" w:rsidP="00800E7D">
      <w:pPr>
        <w:rPr>
          <w:rFonts w:cstheme="minorHAnsi"/>
        </w:rPr>
      </w:pPr>
      <w:r w:rsidRPr="00DB1D67">
        <w:rPr>
          <w:rFonts w:cstheme="minorHAnsi"/>
        </w:rPr>
        <w:t xml:space="preserve">[D] = </w:t>
      </w:r>
      <w:r w:rsidRPr="00CD0018">
        <w:rPr>
          <w:rFonts w:cstheme="minorHAnsi"/>
          <w:b/>
          <w:bCs/>
        </w:rPr>
        <w:t>Negligible</w:t>
      </w:r>
    </w:p>
    <w:p w14:paraId="2F24784A" w14:textId="77777777" w:rsidR="004726BA" w:rsidRPr="00DB1D67" w:rsidRDefault="004726BA" w:rsidP="00800E7D">
      <w:pPr>
        <w:rPr>
          <w:rFonts w:cstheme="minorHAnsi"/>
        </w:rPr>
      </w:pPr>
      <w:r w:rsidRPr="00DB1D67">
        <w:rPr>
          <w:rFonts w:cstheme="minorHAnsi"/>
        </w:rPr>
        <w:t xml:space="preserve">[En] = [I] x [D] </w:t>
      </w:r>
    </w:p>
    <w:p w14:paraId="25277F6F" w14:textId="77777777" w:rsidR="004726BA" w:rsidRPr="00DB1D67" w:rsidRDefault="004726BA" w:rsidP="00800E7D">
      <w:r w:rsidRPr="00DB1D67">
        <w:rPr>
          <w:rFonts w:cstheme="minorHAnsi"/>
        </w:rPr>
        <w:t xml:space="preserve">[En] = </w:t>
      </w:r>
      <w:r>
        <w:rPr>
          <w:b/>
          <w:bCs/>
        </w:rPr>
        <w:t>Extremely</w:t>
      </w:r>
      <w:r w:rsidRPr="00DB1D67">
        <w:rPr>
          <w:b/>
          <w:bCs/>
        </w:rPr>
        <w:t xml:space="preserve"> low</w:t>
      </w:r>
      <w:r w:rsidRPr="00DB1D67">
        <w:t xml:space="preserve"> to </w:t>
      </w:r>
      <w:r w:rsidRPr="00DB1D67">
        <w:rPr>
          <w:b/>
          <w:bCs/>
        </w:rPr>
        <w:t>High</w:t>
      </w:r>
      <w:r w:rsidRPr="00DB1D67">
        <w:t xml:space="preserve"> x </w:t>
      </w:r>
      <w:r>
        <w:rPr>
          <w:b/>
          <w:bCs/>
        </w:rPr>
        <w:t>Negligible</w:t>
      </w:r>
      <w:r w:rsidRPr="00DB1D67">
        <w:t xml:space="preserve"> = </w:t>
      </w:r>
      <w:r w:rsidRPr="00DF5FEE">
        <w:rPr>
          <w:b/>
          <w:bCs/>
        </w:rPr>
        <w:t>Negligible</w:t>
      </w:r>
    </w:p>
    <w:p w14:paraId="775082EA" w14:textId="77777777" w:rsidR="004726BA" w:rsidRDefault="004726BA" w:rsidP="00800E7D">
      <w:pPr>
        <w:rPr>
          <w:rFonts w:cstheme="minorHAnsi"/>
        </w:rPr>
      </w:pPr>
      <w:r>
        <w:rPr>
          <w:rFonts w:cstheme="minorHAnsi"/>
        </w:rPr>
        <w:t>That is the o</w:t>
      </w:r>
      <w:r w:rsidRPr="00DB1D67">
        <w:rPr>
          <w:rFonts w:cstheme="minorHAnsi"/>
        </w:rPr>
        <w:t xml:space="preserve">verall likelihood of entry </w:t>
      </w:r>
      <w:r>
        <w:rPr>
          <w:rFonts w:cstheme="minorHAnsi"/>
        </w:rPr>
        <w:t>is</w:t>
      </w:r>
      <w:r w:rsidRPr="00DB1D67">
        <w:rPr>
          <w:rFonts w:cstheme="minorHAnsi"/>
        </w:rPr>
        <w:t xml:space="preserve"> </w:t>
      </w:r>
      <w:r w:rsidRPr="00DF5FEE">
        <w:rPr>
          <w:b/>
          <w:bCs/>
        </w:rPr>
        <w:t>Negligible</w:t>
      </w:r>
      <w:r>
        <w:rPr>
          <w:b/>
          <w:bCs/>
        </w:rPr>
        <w:t>.</w:t>
      </w:r>
    </w:p>
    <w:p w14:paraId="66BB30AF" w14:textId="77777777" w:rsidR="004726BA" w:rsidRPr="00A85B36" w:rsidRDefault="004726BA" w:rsidP="00800E7D">
      <w:pPr>
        <w:pStyle w:val="Heading4"/>
        <w:numPr>
          <w:ilvl w:val="0"/>
          <w:numId w:val="0"/>
        </w:numPr>
        <w:rPr>
          <w:rFonts w:eastAsia="Calibri" w:cs="Times New Roman"/>
        </w:rPr>
      </w:pPr>
      <w:r>
        <w:t>L</w:t>
      </w:r>
      <w:r w:rsidRPr="00A85B36">
        <w:t>ikelihood</w:t>
      </w:r>
      <w:r>
        <w:t>s</w:t>
      </w:r>
      <w:r w:rsidRPr="00A85B36">
        <w:t xml:space="preserve"> of establishment</w:t>
      </w:r>
      <w:r>
        <w:t xml:space="preserve"> and </w:t>
      </w:r>
      <w:r w:rsidRPr="00A85B36">
        <w:t>spread</w:t>
      </w:r>
    </w:p>
    <w:p w14:paraId="36479625" w14:textId="77777777" w:rsidR="004726BA" w:rsidRDefault="004726BA" w:rsidP="00800E7D">
      <w:pPr>
        <w:autoSpaceDE w:val="0"/>
        <w:autoSpaceDN w:val="0"/>
        <w:adjustRightInd w:val="0"/>
      </w:pPr>
      <w:r>
        <w:rPr>
          <w:rFonts w:cstheme="minorHAnsi"/>
          <w:color w:val="000000"/>
        </w:rPr>
        <w:t xml:space="preserve">As indicated in Section 3.4.1, likelihood of establishment and likelihood of spread </w:t>
      </w:r>
      <w:r>
        <w:rPr>
          <w:color w:val="000000" w:themeColor="text1"/>
        </w:rPr>
        <w:t>vary for different pathogens. The l</w:t>
      </w:r>
      <w:r>
        <w:t xml:space="preserve">ikelihoods of establishment and spread will be comparable between risk assessments, regardless of the </w:t>
      </w:r>
      <w:r>
        <w:rPr>
          <w:color w:val="000000" w:themeColor="text1"/>
        </w:rPr>
        <w:t xml:space="preserve">import </w:t>
      </w:r>
      <w:r>
        <w:t xml:space="preserve">pathway through which the pest </w:t>
      </w:r>
      <w:r>
        <w:rPr>
          <w:color w:val="000000" w:themeColor="text1"/>
        </w:rPr>
        <w:t>has entered the PRA area</w:t>
      </w:r>
      <w:r>
        <w:t xml:space="preserve">. This is because these likelihoods relate specifically to conditions and events that occur in the PRA area and are independent of the import pathway. </w:t>
      </w:r>
    </w:p>
    <w:p w14:paraId="7357EAD8" w14:textId="77777777" w:rsidR="004726BA" w:rsidRDefault="004726BA" w:rsidP="00800E7D">
      <w:pPr>
        <w:autoSpaceDE w:val="0"/>
        <w:autoSpaceDN w:val="0"/>
        <w:adjustRightInd w:val="0"/>
      </w:pPr>
      <w:r>
        <w:t xml:space="preserve">That is the likelihood of establishment is </w:t>
      </w:r>
      <w:r w:rsidRPr="0059240C">
        <w:rPr>
          <w:b/>
          <w:bCs/>
        </w:rPr>
        <w:t>Low</w:t>
      </w:r>
      <w:r>
        <w:t xml:space="preserve"> to </w:t>
      </w:r>
      <w:r w:rsidRPr="0059240C">
        <w:rPr>
          <w:b/>
          <w:bCs/>
        </w:rPr>
        <w:t>High</w:t>
      </w:r>
      <w:r>
        <w:t xml:space="preserve">, and the likelihood of spread is </w:t>
      </w:r>
      <w:r w:rsidRPr="0059240C">
        <w:rPr>
          <w:b/>
          <w:bCs/>
        </w:rPr>
        <w:t>Moderate</w:t>
      </w:r>
      <w:r>
        <w:t xml:space="preserve"> to </w:t>
      </w:r>
      <w:r w:rsidRPr="0059240C">
        <w:rPr>
          <w:b/>
          <w:bCs/>
        </w:rPr>
        <w:t>High</w:t>
      </w:r>
      <w:r>
        <w:t>.</w:t>
      </w:r>
    </w:p>
    <w:p w14:paraId="0ED965C5" w14:textId="77777777" w:rsidR="004726BA" w:rsidRPr="00C81186" w:rsidRDefault="004726BA" w:rsidP="00800E7D">
      <w:pPr>
        <w:pStyle w:val="Heading4"/>
        <w:numPr>
          <w:ilvl w:val="0"/>
          <w:numId w:val="0"/>
        </w:numPr>
        <w:ind w:left="794" w:hanging="794"/>
      </w:pPr>
      <w:r w:rsidRPr="00C81186">
        <w:t>Overall likelihood of entry, establishment and spread</w:t>
      </w:r>
    </w:p>
    <w:p w14:paraId="4521EF70" w14:textId="77777777" w:rsidR="004726BA" w:rsidRPr="00DB1D67" w:rsidRDefault="004726BA" w:rsidP="00800E7D">
      <w:pPr>
        <w:rPr>
          <w:rFonts w:cstheme="minorHAnsi"/>
        </w:rPr>
      </w:pPr>
      <w:r w:rsidRPr="00DB1D67">
        <w:rPr>
          <w:rFonts w:cstheme="minorHAnsi"/>
        </w:rPr>
        <w:t>The overall likelihood of entry, establishment and spread [EES] is determined by combining the overall likelihood of entry [En] with the likelihood of establishment [Es] and likelihood of spread [S] using the matrix of rules shown in Table A.1 in Appendix A.</w:t>
      </w:r>
    </w:p>
    <w:p w14:paraId="41EB705B" w14:textId="77777777" w:rsidR="004726BA" w:rsidRPr="00DB1D67" w:rsidRDefault="004726BA" w:rsidP="00800E7D">
      <w:pPr>
        <w:rPr>
          <w:rFonts w:cstheme="minorHAnsi"/>
        </w:rPr>
      </w:pPr>
      <w:r w:rsidRPr="00DB1D67">
        <w:rPr>
          <w:rFonts w:cstheme="minorHAnsi"/>
        </w:rPr>
        <w:t xml:space="preserve">[En] = </w:t>
      </w:r>
      <w:r w:rsidRPr="00DF5FEE">
        <w:rPr>
          <w:b/>
          <w:bCs/>
        </w:rPr>
        <w:t>Negligible</w:t>
      </w:r>
    </w:p>
    <w:p w14:paraId="004236A4" w14:textId="77777777" w:rsidR="004726BA" w:rsidRPr="00DB1D67" w:rsidRDefault="004726BA" w:rsidP="00800E7D">
      <w:pPr>
        <w:rPr>
          <w:rFonts w:cstheme="minorHAnsi"/>
        </w:rPr>
      </w:pPr>
      <w:r w:rsidRPr="00DB1D67">
        <w:rPr>
          <w:rFonts w:cstheme="minorHAnsi"/>
        </w:rPr>
        <w:t xml:space="preserve">[Es] = </w:t>
      </w:r>
      <w:r w:rsidRPr="00DB1D67">
        <w:rPr>
          <w:rFonts w:cstheme="minorHAnsi"/>
          <w:b/>
          <w:bCs/>
        </w:rPr>
        <w:t>Low</w:t>
      </w:r>
      <w:r w:rsidRPr="00DB1D67">
        <w:rPr>
          <w:rFonts w:cstheme="minorHAnsi"/>
        </w:rPr>
        <w:t xml:space="preserve"> to </w:t>
      </w:r>
      <w:r w:rsidRPr="00DB1D67">
        <w:rPr>
          <w:rFonts w:cstheme="minorHAnsi"/>
          <w:b/>
          <w:bCs/>
        </w:rPr>
        <w:t>High</w:t>
      </w:r>
    </w:p>
    <w:p w14:paraId="0736F46B" w14:textId="77777777" w:rsidR="004726BA" w:rsidRPr="00DB1D67" w:rsidRDefault="004726BA" w:rsidP="00800E7D">
      <w:pPr>
        <w:rPr>
          <w:rFonts w:cstheme="minorHAnsi"/>
        </w:rPr>
      </w:pPr>
      <w:r w:rsidRPr="00DB1D67">
        <w:rPr>
          <w:rFonts w:cstheme="minorHAnsi"/>
        </w:rPr>
        <w:t xml:space="preserve">[En] x [Es] = </w:t>
      </w:r>
      <w:r w:rsidRPr="00DF5FEE">
        <w:rPr>
          <w:b/>
          <w:bCs/>
        </w:rPr>
        <w:t>Negligible</w:t>
      </w:r>
      <w:r>
        <w:t xml:space="preserve"> </w:t>
      </w:r>
      <w:r w:rsidRPr="00DB1D67">
        <w:rPr>
          <w:rFonts w:cstheme="minorHAnsi"/>
        </w:rPr>
        <w:t xml:space="preserve">x </w:t>
      </w:r>
      <w:r w:rsidRPr="00DB1D67">
        <w:rPr>
          <w:rFonts w:cstheme="minorHAnsi"/>
          <w:b/>
          <w:bCs/>
        </w:rPr>
        <w:t>Low</w:t>
      </w:r>
      <w:r w:rsidRPr="00DB1D67">
        <w:rPr>
          <w:rFonts w:cstheme="minorHAnsi"/>
        </w:rPr>
        <w:t xml:space="preserve"> to </w:t>
      </w:r>
      <w:r w:rsidRPr="00DB1D67">
        <w:rPr>
          <w:rFonts w:cstheme="minorHAnsi"/>
          <w:b/>
          <w:bCs/>
        </w:rPr>
        <w:t>High</w:t>
      </w:r>
      <w:r w:rsidRPr="00DB1D67">
        <w:rPr>
          <w:rFonts w:cstheme="minorHAnsi"/>
        </w:rPr>
        <w:t xml:space="preserve"> = </w:t>
      </w:r>
      <w:r w:rsidRPr="00DF5FEE">
        <w:rPr>
          <w:b/>
          <w:bCs/>
        </w:rPr>
        <w:t>Negligible</w:t>
      </w:r>
      <w:r>
        <w:t xml:space="preserve"> </w:t>
      </w:r>
    </w:p>
    <w:p w14:paraId="624B613F" w14:textId="77777777" w:rsidR="004726BA" w:rsidRPr="00DB1D67" w:rsidRDefault="004726BA" w:rsidP="00800E7D">
      <w:pPr>
        <w:rPr>
          <w:rFonts w:cstheme="minorHAnsi"/>
        </w:rPr>
      </w:pPr>
      <w:r w:rsidRPr="00DB1D67">
        <w:rPr>
          <w:rFonts w:cstheme="minorHAnsi"/>
        </w:rPr>
        <w:t xml:space="preserve">[S] = </w:t>
      </w:r>
      <w:r w:rsidRPr="00DB1D67">
        <w:rPr>
          <w:rFonts w:cstheme="minorHAnsi"/>
          <w:b/>
          <w:bCs/>
        </w:rPr>
        <w:t>Moderate</w:t>
      </w:r>
      <w:r w:rsidRPr="00DB1D67">
        <w:rPr>
          <w:rFonts w:cstheme="minorHAnsi"/>
        </w:rPr>
        <w:t xml:space="preserve"> to </w:t>
      </w:r>
      <w:r w:rsidRPr="00DB1D67">
        <w:rPr>
          <w:rFonts w:cstheme="minorHAnsi"/>
          <w:b/>
          <w:bCs/>
        </w:rPr>
        <w:t>High</w:t>
      </w:r>
    </w:p>
    <w:p w14:paraId="00DE94D5" w14:textId="77777777" w:rsidR="004726BA" w:rsidRPr="00DB1D67" w:rsidRDefault="004726BA" w:rsidP="00800E7D">
      <w:pPr>
        <w:rPr>
          <w:rFonts w:cstheme="minorHAnsi"/>
        </w:rPr>
      </w:pPr>
      <w:r w:rsidRPr="00DB1D67">
        <w:rPr>
          <w:rFonts w:cstheme="minorHAnsi"/>
        </w:rPr>
        <w:t xml:space="preserve">[EES] = [En]x[Es]x[S] = </w:t>
      </w:r>
      <w:r w:rsidRPr="00DF5FEE">
        <w:rPr>
          <w:b/>
          <w:bCs/>
        </w:rPr>
        <w:t>Negligible</w:t>
      </w:r>
      <w:r>
        <w:t xml:space="preserve"> </w:t>
      </w:r>
      <w:r w:rsidRPr="00DB1D67">
        <w:rPr>
          <w:rFonts w:cstheme="minorHAnsi"/>
        </w:rPr>
        <w:t xml:space="preserve">x </w:t>
      </w:r>
      <w:r w:rsidRPr="00DB1D67">
        <w:rPr>
          <w:rFonts w:cstheme="minorHAnsi"/>
          <w:b/>
          <w:bCs/>
        </w:rPr>
        <w:t>Moderate</w:t>
      </w:r>
      <w:r w:rsidRPr="00DB1D67">
        <w:rPr>
          <w:rFonts w:cstheme="minorHAnsi"/>
        </w:rPr>
        <w:t xml:space="preserve"> to </w:t>
      </w:r>
      <w:r w:rsidRPr="00DB1D67">
        <w:rPr>
          <w:rFonts w:cstheme="minorHAnsi"/>
          <w:b/>
          <w:bCs/>
        </w:rPr>
        <w:t>High</w:t>
      </w:r>
      <w:r w:rsidRPr="00DB1D67">
        <w:rPr>
          <w:rFonts w:cstheme="minorHAnsi"/>
        </w:rPr>
        <w:t xml:space="preserve"> = </w:t>
      </w:r>
      <w:r w:rsidRPr="00DF5FEE">
        <w:rPr>
          <w:b/>
          <w:bCs/>
        </w:rPr>
        <w:t>Negligible</w:t>
      </w:r>
    </w:p>
    <w:p w14:paraId="76006998" w14:textId="77777777" w:rsidR="004726BA" w:rsidRPr="00DB1D67" w:rsidRDefault="004726BA" w:rsidP="00800E7D">
      <w:pPr>
        <w:rPr>
          <w:rFonts w:cstheme="minorHAnsi"/>
          <w:b/>
          <w:bCs/>
        </w:rPr>
      </w:pPr>
      <w:r>
        <w:rPr>
          <w:rFonts w:cstheme="minorHAnsi"/>
        </w:rPr>
        <w:t>That is the o</w:t>
      </w:r>
      <w:r w:rsidRPr="00DB1D67">
        <w:rPr>
          <w:rFonts w:cstheme="minorHAnsi"/>
        </w:rPr>
        <w:t xml:space="preserve">verall likelihood of entry, establishment and spread </w:t>
      </w:r>
      <w:r>
        <w:rPr>
          <w:rFonts w:cstheme="minorHAnsi"/>
        </w:rPr>
        <w:t>is</w:t>
      </w:r>
      <w:r w:rsidRPr="00DB1D67">
        <w:rPr>
          <w:rFonts w:cstheme="minorHAnsi"/>
        </w:rPr>
        <w:t xml:space="preserve"> </w:t>
      </w:r>
      <w:r w:rsidRPr="00DF5FEE">
        <w:rPr>
          <w:b/>
          <w:bCs/>
        </w:rPr>
        <w:t>Negligible</w:t>
      </w:r>
      <w:r>
        <w:rPr>
          <w:rFonts w:cstheme="minorHAnsi"/>
          <w:b/>
          <w:bCs/>
        </w:rPr>
        <w:t>.</w:t>
      </w:r>
    </w:p>
    <w:p w14:paraId="08DFF199" w14:textId="77777777" w:rsidR="004726BA" w:rsidRPr="00B012B1" w:rsidRDefault="004726BA" w:rsidP="00800E7D">
      <w:pPr>
        <w:pStyle w:val="Heading4"/>
        <w:numPr>
          <w:ilvl w:val="0"/>
          <w:numId w:val="0"/>
        </w:numPr>
      </w:pPr>
      <w:r w:rsidRPr="00B012B1">
        <w:t>Overall consequences</w:t>
      </w:r>
    </w:p>
    <w:p w14:paraId="12441F86" w14:textId="77777777" w:rsidR="004726BA" w:rsidRDefault="004726BA" w:rsidP="00800E7D">
      <w:pPr>
        <w:autoSpaceDE w:val="0"/>
        <w:autoSpaceDN w:val="0"/>
        <w:adjustRightInd w:val="0"/>
      </w:pPr>
      <w:r>
        <w:rPr>
          <w:rFonts w:cstheme="minorHAnsi"/>
          <w:color w:val="000000"/>
        </w:rPr>
        <w:t>As indicated in Section 3.4.1, overall consequences also vary for different pathogens and s</w:t>
      </w:r>
      <w:r>
        <w:t xml:space="preserve">imilar to likelihoods of establishment and spread, overall consequences of a pathogen are also independent of the </w:t>
      </w:r>
      <w:r>
        <w:rPr>
          <w:color w:val="000000" w:themeColor="text1"/>
        </w:rPr>
        <w:t xml:space="preserve">import </w:t>
      </w:r>
      <w:r>
        <w:t>pathway.</w:t>
      </w:r>
    </w:p>
    <w:p w14:paraId="5A7A2036" w14:textId="77777777" w:rsidR="004726BA" w:rsidRDefault="004726BA" w:rsidP="00800E7D">
      <w:pPr>
        <w:autoSpaceDE w:val="0"/>
        <w:autoSpaceDN w:val="0"/>
        <w:adjustRightInd w:val="0"/>
      </w:pPr>
      <w:r>
        <w:lastRenderedPageBreak/>
        <w:t xml:space="preserve">That is the overall consequences is </w:t>
      </w:r>
      <w:r w:rsidRPr="00411E36">
        <w:rPr>
          <w:b/>
          <w:bCs/>
        </w:rPr>
        <w:t>Low</w:t>
      </w:r>
      <w:r>
        <w:t xml:space="preserve"> to </w:t>
      </w:r>
      <w:r w:rsidRPr="00411E36">
        <w:rPr>
          <w:b/>
          <w:bCs/>
        </w:rPr>
        <w:t>High</w:t>
      </w:r>
      <w:r>
        <w:t>.</w:t>
      </w:r>
    </w:p>
    <w:p w14:paraId="1A328ADD" w14:textId="77777777" w:rsidR="004726BA" w:rsidRPr="00A85B36" w:rsidRDefault="004726BA" w:rsidP="00800E7D">
      <w:pPr>
        <w:pStyle w:val="Heading4"/>
        <w:numPr>
          <w:ilvl w:val="0"/>
          <w:numId w:val="0"/>
        </w:numPr>
        <w:ind w:left="794" w:hanging="794"/>
      </w:pPr>
      <w:r>
        <w:t>Unrestricted r</w:t>
      </w:r>
      <w:r w:rsidRPr="00A85B36">
        <w:t>isk estimate</w:t>
      </w:r>
    </w:p>
    <w:p w14:paraId="2006128F" w14:textId="77777777" w:rsidR="004726BA" w:rsidRPr="00A85B36" w:rsidRDefault="004726BA" w:rsidP="00800E7D">
      <w:r>
        <w:t>Unrestricted risk estimate of pathogens associated with commercial DFIU of cut flowers to propagation is determined by using a risk estimation matrix (</w:t>
      </w:r>
      <w:r w:rsidRPr="00330BFF">
        <w:fldChar w:fldCharType="begin"/>
      </w:r>
      <w:r w:rsidRPr="00330BFF">
        <w:instrText xml:space="preserve"> REF _Ref524355015 \h  \* MERGEFORMAT </w:instrText>
      </w:r>
      <w:r w:rsidRPr="00330BFF">
        <w:fldChar w:fldCharType="separate"/>
      </w:r>
      <w:r w:rsidRPr="00330BFF">
        <w:t xml:space="preserve">Table </w:t>
      </w:r>
      <w:r w:rsidRPr="00330BFF">
        <w:fldChar w:fldCharType="end"/>
      </w:r>
      <w:r w:rsidRPr="00330BFF">
        <w:t>A.2 in Appendix A</w:t>
      </w:r>
      <w:r>
        <w:t>) to combine the overall likelihood of entry, establishment and spread and the overall consequences of the pests.</w:t>
      </w:r>
    </w:p>
    <w:tbl>
      <w:tblPr>
        <w:tblStyle w:val="TableGrid11"/>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205"/>
        <w:gridCol w:w="2845"/>
      </w:tblGrid>
      <w:tr w:rsidR="004726BA" w14:paraId="1800E90B" w14:textId="77777777" w:rsidTr="00800E7D">
        <w:tc>
          <w:tcPr>
            <w:tcW w:w="5000" w:type="pct"/>
            <w:gridSpan w:val="2"/>
            <w:shd w:val="clear" w:color="auto" w:fill="BFBFBF" w:themeFill="background1" w:themeFillShade="BF"/>
          </w:tcPr>
          <w:p w14:paraId="2402BC5C" w14:textId="77777777" w:rsidR="004726BA" w:rsidRPr="006E0CC2" w:rsidRDefault="004726BA" w:rsidP="00E96CBC">
            <w:pPr>
              <w:pStyle w:val="TableHeading"/>
              <w:spacing w:before="120" w:after="120"/>
            </w:pPr>
            <w:r>
              <w:t xml:space="preserve">Unrestricted risk </w:t>
            </w:r>
            <w:proofErr w:type="gramStart"/>
            <w:r w:rsidRPr="006E0CC2">
              <w:t>estimate</w:t>
            </w:r>
            <w:proofErr w:type="gramEnd"/>
            <w:r>
              <w:t xml:space="preserve"> </w:t>
            </w:r>
            <w:r w:rsidRPr="006E0CC2">
              <w:t xml:space="preserve">for pathogens </w:t>
            </w:r>
            <w:r>
              <w:t>associated with commercial DFIU of imported cut flowers to propagation</w:t>
            </w:r>
          </w:p>
        </w:tc>
      </w:tr>
      <w:tr w:rsidR="004726BA" w14:paraId="4F993F3A" w14:textId="77777777" w:rsidTr="00800E7D">
        <w:trPr>
          <w:trHeight w:val="180"/>
        </w:trPr>
        <w:tc>
          <w:tcPr>
            <w:tcW w:w="3428" w:type="pct"/>
          </w:tcPr>
          <w:p w14:paraId="75F919BE" w14:textId="77777777" w:rsidR="004726BA" w:rsidRPr="00A85B36" w:rsidRDefault="004726BA" w:rsidP="00E96CBC">
            <w:pPr>
              <w:pStyle w:val="TableText"/>
              <w:spacing w:before="120" w:after="120"/>
            </w:pPr>
            <w:r w:rsidRPr="00A85B36">
              <w:t>Overall likelihood of entry, establishment and spread</w:t>
            </w:r>
          </w:p>
        </w:tc>
        <w:tc>
          <w:tcPr>
            <w:tcW w:w="1572" w:type="pct"/>
          </w:tcPr>
          <w:p w14:paraId="705D8A8D" w14:textId="77777777" w:rsidR="004726BA" w:rsidRPr="00A85B36" w:rsidRDefault="004726BA" w:rsidP="00E96CBC">
            <w:pPr>
              <w:pStyle w:val="TableText"/>
              <w:spacing w:before="120" w:after="120"/>
            </w:pPr>
            <w:r w:rsidRPr="00E93F9F">
              <w:t xml:space="preserve">Negligible </w:t>
            </w:r>
          </w:p>
        </w:tc>
      </w:tr>
      <w:tr w:rsidR="004726BA" w14:paraId="05449345" w14:textId="77777777" w:rsidTr="00800E7D">
        <w:tc>
          <w:tcPr>
            <w:tcW w:w="3428" w:type="pct"/>
          </w:tcPr>
          <w:p w14:paraId="451B8596" w14:textId="77777777" w:rsidR="004726BA" w:rsidRPr="00A85B36" w:rsidRDefault="004726BA" w:rsidP="00E96CBC">
            <w:pPr>
              <w:pStyle w:val="TableText"/>
              <w:spacing w:before="120" w:after="120"/>
            </w:pPr>
            <w:r w:rsidRPr="00A85B36">
              <w:t>Consequences</w:t>
            </w:r>
          </w:p>
        </w:tc>
        <w:tc>
          <w:tcPr>
            <w:tcW w:w="1572" w:type="pct"/>
          </w:tcPr>
          <w:p w14:paraId="4BE0AC73" w14:textId="77777777" w:rsidR="004726BA" w:rsidRPr="00A85B36" w:rsidRDefault="004726BA" w:rsidP="00E96CBC">
            <w:pPr>
              <w:pStyle w:val="TableText"/>
              <w:spacing w:before="120" w:after="120"/>
            </w:pPr>
            <w:r>
              <w:t>Low</w:t>
            </w:r>
            <w:r w:rsidRPr="004663FC">
              <w:t xml:space="preserve"> to High</w:t>
            </w:r>
          </w:p>
        </w:tc>
      </w:tr>
      <w:tr w:rsidR="004726BA" w14:paraId="38106826" w14:textId="77777777" w:rsidTr="00800E7D">
        <w:tc>
          <w:tcPr>
            <w:tcW w:w="3428" w:type="pct"/>
          </w:tcPr>
          <w:p w14:paraId="32D2693A" w14:textId="77777777" w:rsidR="004726BA" w:rsidRPr="00A85B36" w:rsidRDefault="004726BA" w:rsidP="00E96CBC">
            <w:pPr>
              <w:pStyle w:val="TableText"/>
              <w:spacing w:before="120" w:after="120"/>
            </w:pPr>
            <w:r>
              <w:t>Unrestricted r</w:t>
            </w:r>
            <w:r w:rsidRPr="006E0CC2">
              <w:t xml:space="preserve">isk </w:t>
            </w:r>
            <w:r>
              <w:t>estimate</w:t>
            </w:r>
          </w:p>
        </w:tc>
        <w:tc>
          <w:tcPr>
            <w:tcW w:w="1572" w:type="pct"/>
          </w:tcPr>
          <w:p w14:paraId="4D1BA186" w14:textId="77777777" w:rsidR="004726BA" w:rsidRPr="004663FC" w:rsidRDefault="004726BA" w:rsidP="00E96CBC">
            <w:pPr>
              <w:pStyle w:val="TableText"/>
              <w:spacing w:before="120" w:after="120"/>
              <w:rPr>
                <w:b/>
                <w:bCs/>
              </w:rPr>
            </w:pPr>
            <w:r>
              <w:rPr>
                <w:b/>
                <w:bCs/>
              </w:rPr>
              <w:t>Negligible</w:t>
            </w:r>
          </w:p>
        </w:tc>
      </w:tr>
    </w:tbl>
    <w:p w14:paraId="687844CE" w14:textId="77777777" w:rsidR="004726BA" w:rsidRDefault="004726BA" w:rsidP="00800E7D">
      <w:pPr>
        <w:spacing w:before="200"/>
      </w:pPr>
      <w:r>
        <w:t xml:space="preserve">The unrestricted risk estimate of pathogens associated with commercial DFIU of imported cut flowers to propagation is </w:t>
      </w:r>
      <w:r>
        <w:rPr>
          <w:b/>
          <w:bCs/>
        </w:rPr>
        <w:t>Negligible</w:t>
      </w:r>
      <w:r>
        <w:t xml:space="preserve">, which achieve the appropriate level of protection (ALOP) for Australia. Therefore, specific risk management measures for commercial DFIU are not required for the importation of cut flowers into Australia. </w:t>
      </w:r>
    </w:p>
    <w:p w14:paraId="68F48C38" w14:textId="77777777" w:rsidR="004726BA" w:rsidRPr="00F45669" w:rsidRDefault="004726BA" w:rsidP="00800E7D">
      <w:pPr>
        <w:pStyle w:val="Heading4"/>
        <w:rPr>
          <w:sz w:val="26"/>
          <w:szCs w:val="26"/>
        </w:rPr>
      </w:pPr>
      <w:r>
        <w:rPr>
          <w:sz w:val="26"/>
          <w:szCs w:val="26"/>
        </w:rPr>
        <w:t>Important bases and notes relating to pest risk assessments of personal DFIU and commercial DFIU</w:t>
      </w:r>
    </w:p>
    <w:p w14:paraId="08B42414" w14:textId="77777777" w:rsidR="004726BA" w:rsidRDefault="004726BA" w:rsidP="00800E7D">
      <w:r>
        <w:t>It is important to note the following:</w:t>
      </w:r>
    </w:p>
    <w:p w14:paraId="01D8BDAE" w14:textId="77777777" w:rsidR="004726BA" w:rsidRDefault="004726BA" w:rsidP="00825472">
      <w:pPr>
        <w:pStyle w:val="ListBullet"/>
        <w:spacing w:before="0" w:after="200" w:line="276" w:lineRule="auto"/>
        <w:ind w:hanging="357"/>
      </w:pPr>
      <w:r>
        <w:t>The unrestricted risk estimate of achieving the ALOP for personal DFIU and commercial DFIU assessed here is based on the information that:</w:t>
      </w:r>
    </w:p>
    <w:p w14:paraId="72F16857" w14:textId="77777777" w:rsidR="004726BA" w:rsidRDefault="004726BA" w:rsidP="00825472">
      <w:pPr>
        <w:pStyle w:val="ListBullet"/>
        <w:numPr>
          <w:ilvl w:val="0"/>
          <w:numId w:val="28"/>
        </w:numPr>
        <w:spacing w:before="0" w:after="200" w:line="276" w:lineRule="auto"/>
        <w:ind w:hanging="357"/>
      </w:pPr>
      <w:r>
        <w:t xml:space="preserve">personal </w:t>
      </w:r>
      <w:r w:rsidRPr="00537C7E">
        <w:t xml:space="preserve">DFIU of </w:t>
      </w:r>
      <w:r>
        <w:t xml:space="preserve">imported </w:t>
      </w:r>
      <w:r w:rsidRPr="00537C7E">
        <w:t xml:space="preserve">cut flowers to propagation </w:t>
      </w:r>
      <w:r>
        <w:t xml:space="preserve">may be </w:t>
      </w:r>
      <w:r w:rsidRPr="00537C7E">
        <w:t>occur</w:t>
      </w:r>
      <w:r>
        <w:t xml:space="preserve">ring in Australia at or below very low levels </w:t>
      </w:r>
    </w:p>
    <w:p w14:paraId="323CD149" w14:textId="77777777" w:rsidR="004726BA" w:rsidRDefault="004726BA" w:rsidP="00825472">
      <w:pPr>
        <w:pStyle w:val="ListBullet"/>
        <w:numPr>
          <w:ilvl w:val="0"/>
          <w:numId w:val="28"/>
        </w:numPr>
        <w:spacing w:before="0" w:after="200" w:line="276" w:lineRule="auto"/>
        <w:ind w:hanging="357"/>
      </w:pPr>
      <w:r>
        <w:t xml:space="preserve">commercial </w:t>
      </w:r>
      <w:r w:rsidRPr="00537C7E">
        <w:t xml:space="preserve">DFIU of </w:t>
      </w:r>
      <w:r>
        <w:t xml:space="preserve">imported </w:t>
      </w:r>
      <w:r w:rsidRPr="00537C7E">
        <w:t xml:space="preserve">cut flowers to propagation </w:t>
      </w:r>
      <w:r>
        <w:t xml:space="preserve">does not </w:t>
      </w:r>
      <w:r w:rsidRPr="00537C7E">
        <w:t>occur</w:t>
      </w:r>
      <w:r>
        <w:t xml:space="preserve"> in Australia.</w:t>
      </w:r>
    </w:p>
    <w:p w14:paraId="6235BBDA" w14:textId="77777777" w:rsidR="004726BA" w:rsidRDefault="004726BA" w:rsidP="00825472">
      <w:pPr>
        <w:pStyle w:val="ListBullet"/>
        <w:spacing w:before="0" w:after="200" w:line="276" w:lineRule="auto"/>
        <w:ind w:hanging="357"/>
      </w:pPr>
      <w:r>
        <w:t>The unrestricted risk estimate will be applicable to all imported propagable cut flowers because:</w:t>
      </w:r>
    </w:p>
    <w:p w14:paraId="42748E56" w14:textId="77777777" w:rsidR="004726BA" w:rsidRDefault="004726BA" w:rsidP="00825472">
      <w:pPr>
        <w:pStyle w:val="ListBullet2"/>
        <w:spacing w:before="0" w:after="200" w:line="276" w:lineRule="auto"/>
        <w:ind w:left="1117" w:hanging="357"/>
      </w:pPr>
      <w:r>
        <w:t>the highest possible rating of High for likelihoods of importation, establishment and spread have been taken into consideration in the assessments, and</w:t>
      </w:r>
    </w:p>
    <w:p w14:paraId="0C85418D" w14:textId="77777777" w:rsidR="004726BA" w:rsidRDefault="004726BA" w:rsidP="00825472">
      <w:pPr>
        <w:pStyle w:val="ListBullet2"/>
        <w:spacing w:before="0" w:after="200" w:line="276" w:lineRule="auto"/>
        <w:ind w:left="1117" w:hanging="357"/>
      </w:pPr>
      <w:r>
        <w:t xml:space="preserve">although the highest possible rating of Extreme for overall consequences has not been taken into consideration in the assessment, only </w:t>
      </w:r>
      <w:r w:rsidRPr="00285953">
        <w:rPr>
          <w:i/>
          <w:iCs/>
        </w:rPr>
        <w:t xml:space="preserve">Phytophthora </w:t>
      </w:r>
      <w:proofErr w:type="spellStart"/>
      <w:r w:rsidRPr="00285953">
        <w:rPr>
          <w:i/>
          <w:iCs/>
        </w:rPr>
        <w:t>ramorum</w:t>
      </w:r>
      <w:proofErr w:type="spellEnd"/>
      <w:r>
        <w:t xml:space="preserve"> (pathogen causing sudden oak death, SOD) is assessed as having Extreme consequences and cut flower species that are SOD hosts are not permitted to be imported from countries known to have SOD. The next highest possible rating of High for overall consequences has been taken into consideration in the assessments. </w:t>
      </w:r>
    </w:p>
    <w:p w14:paraId="6F307C8F" w14:textId="77777777" w:rsidR="004726BA" w:rsidRDefault="004726BA" w:rsidP="00825472">
      <w:pPr>
        <w:pStyle w:val="ListBullet"/>
        <w:spacing w:before="0" w:after="200" w:line="276" w:lineRule="auto"/>
        <w:ind w:hanging="357"/>
      </w:pPr>
      <w:r>
        <w:t>In accordance with Australia’s method for pest risk analysis (Appendix A), where unrestricted risk estimate achieves the ALOP for Australia, specific risk management measures are not required for the imported commodity.</w:t>
      </w:r>
    </w:p>
    <w:p w14:paraId="32277EF3" w14:textId="77777777" w:rsidR="004726BA" w:rsidRDefault="004726BA" w:rsidP="00825472">
      <w:pPr>
        <w:pStyle w:val="ListBullet"/>
        <w:spacing w:before="0" w:after="200" w:line="276" w:lineRule="auto"/>
        <w:ind w:hanging="357"/>
      </w:pPr>
      <w:r>
        <w:lastRenderedPageBreak/>
        <w:t>C</w:t>
      </w:r>
      <w:r w:rsidRPr="001F0A8B">
        <w:t xml:space="preserve">ommercial DFIU of imported cut flowers to propagation, if </w:t>
      </w:r>
      <w:r>
        <w:t xml:space="preserve">it </w:t>
      </w:r>
      <w:r w:rsidRPr="001F0A8B">
        <w:t>occur</w:t>
      </w:r>
      <w:r>
        <w:t>s</w:t>
      </w:r>
      <w:r w:rsidRPr="001F0A8B">
        <w:t xml:space="preserve">, has the potential to pose </w:t>
      </w:r>
      <w:r>
        <w:t xml:space="preserve">a </w:t>
      </w:r>
      <w:r w:rsidRPr="001F0A8B">
        <w:t>biosecurity risk of pathogens that do not achieve the ALOP for Australia. This is because commercial DFIU of imported cut flowers to propagation</w:t>
      </w:r>
      <w:r>
        <w:t xml:space="preserve"> is expected to be more successful </w:t>
      </w:r>
      <w:r w:rsidRPr="001F0A8B">
        <w:t xml:space="preserve">in producing viable and healthy plants than personal DFIU </w:t>
      </w:r>
      <w:r>
        <w:t>for</w:t>
      </w:r>
      <w:r w:rsidRPr="001F0A8B">
        <w:t xml:space="preserve"> the following reasons:</w:t>
      </w:r>
    </w:p>
    <w:p w14:paraId="303DF3A4" w14:textId="77777777" w:rsidR="004726BA" w:rsidRDefault="004726BA" w:rsidP="00825472">
      <w:pPr>
        <w:pStyle w:val="ListBullet"/>
        <w:numPr>
          <w:ilvl w:val="0"/>
          <w:numId w:val="29"/>
        </w:numPr>
        <w:spacing w:before="0" w:after="200" w:line="276" w:lineRule="auto"/>
        <w:ind w:hanging="357"/>
        <w:rPr>
          <w:rFonts w:eastAsia="Calibri"/>
        </w:rPr>
      </w:pPr>
      <w:r>
        <w:t>c</w:t>
      </w:r>
      <w:r w:rsidRPr="001F0A8B">
        <w:t>ommercial DFIU can commence sooner than personal DFIU, reducing t</w:t>
      </w:r>
      <w:r w:rsidRPr="001F0A8B">
        <w:rPr>
          <w:rFonts w:eastAsia="Calibri"/>
        </w:rPr>
        <w:t>he time between harvest and point of propagation</w:t>
      </w:r>
      <w:r>
        <w:rPr>
          <w:rFonts w:eastAsia="Calibri"/>
        </w:rPr>
        <w:t>,</w:t>
      </w:r>
    </w:p>
    <w:p w14:paraId="53B8995E" w14:textId="77777777" w:rsidR="004726BA" w:rsidRDefault="004726BA" w:rsidP="00825472">
      <w:pPr>
        <w:pStyle w:val="ListBullet"/>
        <w:numPr>
          <w:ilvl w:val="0"/>
          <w:numId w:val="29"/>
        </w:numPr>
        <w:spacing w:before="0" w:after="200" w:line="276" w:lineRule="auto"/>
        <w:ind w:hanging="357"/>
      </w:pPr>
      <w:r>
        <w:rPr>
          <w:rFonts w:eastAsia="Calibri"/>
        </w:rPr>
        <w:t>commercial DFIU</w:t>
      </w:r>
      <w:r w:rsidRPr="001F0A8B">
        <w:rPr>
          <w:rFonts w:eastAsia="Calibri"/>
        </w:rPr>
        <w:t xml:space="preserve"> can </w:t>
      </w:r>
      <w:r w:rsidRPr="001F0A8B">
        <w:t>involve high numbers of cutting</w:t>
      </w:r>
      <w:r>
        <w:t>s, and</w:t>
      </w:r>
    </w:p>
    <w:p w14:paraId="6BE08D3A" w14:textId="77777777" w:rsidR="004726BA" w:rsidRDefault="004726BA" w:rsidP="00825472">
      <w:pPr>
        <w:pStyle w:val="ListBullet"/>
        <w:numPr>
          <w:ilvl w:val="0"/>
          <w:numId w:val="29"/>
        </w:numPr>
        <w:spacing w:before="0" w:after="200" w:line="276" w:lineRule="auto"/>
        <w:ind w:hanging="357"/>
      </w:pPr>
      <w:r>
        <w:t>a</w:t>
      </w:r>
      <w:r w:rsidRPr="001F0A8B">
        <w:t xml:space="preserve">chieving optimum environmental conditions and practices during propagation is possible with </w:t>
      </w:r>
      <w:r>
        <w:t xml:space="preserve">the availability of </w:t>
      </w:r>
      <w:r w:rsidRPr="001F0A8B">
        <w:t>specialist knowledge, experience and equipment</w:t>
      </w:r>
      <w:r>
        <w:t>.</w:t>
      </w:r>
    </w:p>
    <w:p w14:paraId="2096E15C" w14:textId="77777777" w:rsidR="004726BA" w:rsidRDefault="004726BA" w:rsidP="00825472">
      <w:pPr>
        <w:pStyle w:val="ListBullet"/>
        <w:spacing w:before="0" w:after="200" w:line="276" w:lineRule="auto"/>
        <w:ind w:hanging="357"/>
      </w:pPr>
      <w:r>
        <w:t xml:space="preserve">Any biosecurity risk identified following the entry into Australia of the imported commodity, including DFIU, will be managed in accordance with the </w:t>
      </w:r>
      <w:r w:rsidRPr="00D91CFB">
        <w:rPr>
          <w:i/>
          <w:iCs/>
        </w:rPr>
        <w:t>Act</w:t>
      </w:r>
      <w:r>
        <w:t xml:space="preserve">. </w:t>
      </w:r>
    </w:p>
    <w:p w14:paraId="5750407D" w14:textId="77777777" w:rsidR="004726BA" w:rsidRDefault="004726BA" w:rsidP="00825472">
      <w:pPr>
        <w:pStyle w:val="ListBullet"/>
        <w:numPr>
          <w:ilvl w:val="0"/>
          <w:numId w:val="31"/>
        </w:numPr>
        <w:spacing w:before="0" w:after="200" w:line="276" w:lineRule="auto"/>
        <w:ind w:hanging="357"/>
      </w:pPr>
      <w:r>
        <w:t xml:space="preserve">DFIU is a breach of Australia’s import regulation and the </w:t>
      </w:r>
      <w:r w:rsidRPr="00D91CFB">
        <w:rPr>
          <w:i/>
          <w:iCs/>
        </w:rPr>
        <w:t>Act</w:t>
      </w:r>
      <w:r>
        <w:t xml:space="preserve">. </w:t>
      </w:r>
    </w:p>
    <w:p w14:paraId="3CC6F2D9" w14:textId="76B06E3E" w:rsidR="004726BA" w:rsidRPr="00825472" w:rsidRDefault="004726BA" w:rsidP="00825472">
      <w:pPr>
        <w:pStyle w:val="ListBullet"/>
        <w:numPr>
          <w:ilvl w:val="0"/>
          <w:numId w:val="31"/>
        </w:numPr>
        <w:spacing w:before="0" w:after="200" w:line="276" w:lineRule="auto"/>
        <w:ind w:hanging="357"/>
      </w:pPr>
      <w:r w:rsidRPr="00825472">
        <w:t xml:space="preserve">The department has powers under the </w:t>
      </w:r>
      <w:r w:rsidRPr="00825472">
        <w:rPr>
          <w:i/>
          <w:iCs/>
        </w:rPr>
        <w:t>Act</w:t>
      </w:r>
      <w:r w:rsidRPr="00825472">
        <w:t xml:space="preserve"> to investigate suspected DFIU, undertake an assessment of biosecurity risk, and </w:t>
      </w:r>
      <w:proofErr w:type="gramStart"/>
      <w:r w:rsidRPr="00825472">
        <w:t>take action</w:t>
      </w:r>
      <w:proofErr w:type="gramEnd"/>
      <w:r w:rsidRPr="00825472">
        <w:t xml:space="preserve"> where required. Action can include education and warnings, significant fines, revocation of permits and/or other approvals </w:t>
      </w:r>
      <w:r w:rsidR="003F174D">
        <w:t>from the</w:t>
      </w:r>
      <w:r w:rsidRPr="00825472">
        <w:t xml:space="preserve"> department, criminal prosecution or civil litigation.</w:t>
      </w:r>
    </w:p>
    <w:p w14:paraId="375F36D7" w14:textId="77777777" w:rsidR="004726BA" w:rsidRDefault="004726BA" w:rsidP="00800E7D">
      <w:pPr>
        <w:pStyle w:val="Heading2"/>
      </w:pPr>
      <w:bookmarkStart w:id="51" w:name="_Toc197938542"/>
      <w:bookmarkStart w:id="52" w:name="_Toc197953573"/>
      <w:r>
        <w:lastRenderedPageBreak/>
        <w:t>Proposals</w:t>
      </w:r>
      <w:bookmarkEnd w:id="51"/>
      <w:bookmarkEnd w:id="52"/>
    </w:p>
    <w:p w14:paraId="5AC79EEF" w14:textId="77777777" w:rsidR="004726BA" w:rsidRPr="00B91BF4" w:rsidRDefault="004726BA" w:rsidP="00800E7D">
      <w:r w:rsidRPr="00B91BF4">
        <w:t>This chapter provides proposals on Australia’s existing devitalisation requirements (Section 4.1) and important notes associated with the proposals (Section 4.2).</w:t>
      </w:r>
      <w:bookmarkStart w:id="53" w:name="_Toc197938543"/>
    </w:p>
    <w:p w14:paraId="372925F2" w14:textId="77777777" w:rsidR="004726BA" w:rsidRDefault="004726BA" w:rsidP="00800E7D">
      <w:pPr>
        <w:pStyle w:val="Heading3"/>
      </w:pPr>
      <w:bookmarkStart w:id="54" w:name="_Toc197953574"/>
      <w:r>
        <w:t>Proposals on Australia’s existing devitalisation requirements for imported propagable cut flowers</w:t>
      </w:r>
      <w:bookmarkEnd w:id="53"/>
      <w:bookmarkEnd w:id="54"/>
    </w:p>
    <w:p w14:paraId="40A176B4" w14:textId="77777777" w:rsidR="004726BA" w:rsidRDefault="004726BA" w:rsidP="00800E7D">
      <w:pPr>
        <w:rPr>
          <w:rFonts w:eastAsia="Calibri" w:cs="Times New Roman"/>
        </w:rPr>
      </w:pPr>
      <w:r>
        <w:t>This draft report concludes that biosecurity risks associated with personal DFIU (Section 3.4.1) and commercial DFIU (Section 3.4.2) achieves the ALOP for Australia. Important bases and notes relating the pest risk assessments are outlined in Section 3.4.3. Therefore, specific risk management measures are not required for either personal DFIU or commercial DFIU for the importation of cut flowers into Australia. As such, current devitalisation requirements to manage biosecurity risks of DFIU of imported cut flowers to propagation are not technically justified.</w:t>
      </w:r>
      <w:r>
        <w:rPr>
          <w:rFonts w:eastAsia="Calibri" w:cs="Times New Roman"/>
        </w:rPr>
        <w:t xml:space="preserve"> </w:t>
      </w:r>
    </w:p>
    <w:p w14:paraId="0D539D4D" w14:textId="77777777" w:rsidR="004726BA" w:rsidRDefault="004726BA" w:rsidP="00800E7D">
      <w:r>
        <w:rPr>
          <w:rFonts w:eastAsia="Times New Roman" w:cstheme="minorHAnsi"/>
          <w:bdr w:val="none" w:sz="0" w:space="0" w:color="auto" w:frame="1"/>
          <w:lang w:eastAsia="en-AU"/>
        </w:rPr>
        <w:t xml:space="preserve">As a </w:t>
      </w:r>
      <w:r w:rsidRPr="00F06C85">
        <w:rPr>
          <w:rFonts w:eastAsia="Times New Roman" w:cstheme="minorHAnsi"/>
          <w:bdr w:val="none" w:sz="0" w:space="0" w:color="auto" w:frame="1"/>
          <w:lang w:eastAsia="en-AU"/>
        </w:rPr>
        <w:t>signatory to the W</w:t>
      </w:r>
      <w:r>
        <w:rPr>
          <w:rFonts w:eastAsia="Times New Roman" w:cstheme="minorHAnsi"/>
          <w:bdr w:val="none" w:sz="0" w:space="0" w:color="auto" w:frame="1"/>
          <w:lang w:eastAsia="en-AU"/>
        </w:rPr>
        <w:t>TO, Australia is obligated under the SPS Agreement to ensure that phytosanitary measures are only required where necessary, have minimal impact on trade and are technically justified.</w:t>
      </w:r>
    </w:p>
    <w:p w14:paraId="5BC65881" w14:textId="77777777" w:rsidR="004726BA" w:rsidRDefault="004726BA" w:rsidP="00800E7D">
      <w:r>
        <w:rPr>
          <w:rFonts w:eastAsia="Calibri" w:cs="Times New Roman"/>
        </w:rPr>
        <w:t>Australia’s</w:t>
      </w:r>
      <w:r w:rsidRPr="00ED7DCA">
        <w:rPr>
          <w:rFonts w:eastAsia="Calibri" w:cs="Times New Roman"/>
        </w:rPr>
        <w:t xml:space="preserve"> current devitalisation requirements </w:t>
      </w:r>
      <w:r>
        <w:rPr>
          <w:rFonts w:eastAsia="Calibri" w:cs="Times New Roman"/>
        </w:rPr>
        <w:t xml:space="preserve">for imported cut flowers are not </w:t>
      </w:r>
      <w:proofErr w:type="gramStart"/>
      <w:r>
        <w:rPr>
          <w:rFonts w:eastAsia="Calibri" w:cs="Times New Roman"/>
        </w:rPr>
        <w:t>align</w:t>
      </w:r>
      <w:proofErr w:type="gramEnd"/>
      <w:r>
        <w:rPr>
          <w:rFonts w:eastAsia="Calibri" w:cs="Times New Roman"/>
        </w:rPr>
        <w:t xml:space="preserve"> with </w:t>
      </w:r>
      <w:r>
        <w:rPr>
          <w:rFonts w:eastAsia="Times New Roman" w:cstheme="minorHAnsi"/>
          <w:bdr w:val="none" w:sz="0" w:space="0" w:color="auto" w:frame="1"/>
          <w:lang w:eastAsia="en-AU"/>
        </w:rPr>
        <w:t>the SPS Agreement. Therefore, t</w:t>
      </w:r>
      <w:r>
        <w:t>his draft report proposes that the devitalisation requirements be removed from the following import pathways:</w:t>
      </w:r>
    </w:p>
    <w:p w14:paraId="633E3C48" w14:textId="08AEC47A" w:rsidR="004726BA" w:rsidRDefault="002D0659" w:rsidP="00800E7D">
      <w:pPr>
        <w:pStyle w:val="ListBullet"/>
      </w:pPr>
      <w:r>
        <w:t>M</w:t>
      </w:r>
      <w:r w:rsidR="004726BA">
        <w:t>ore than 6 small boxes, bouquets or equivalent from all permitted countries:</w:t>
      </w:r>
    </w:p>
    <w:p w14:paraId="659B73D1" w14:textId="77777777" w:rsidR="004726BA" w:rsidRDefault="004726BA" w:rsidP="00800E7D">
      <w:pPr>
        <w:pStyle w:val="ListParagraph"/>
        <w:ind w:left="794"/>
      </w:pPr>
      <w:r>
        <w:t xml:space="preserve">Glyphosate dip of the </w:t>
      </w:r>
      <w:r w:rsidRPr="00916FE3">
        <w:rPr>
          <w:i/>
          <w:iCs/>
        </w:rPr>
        <w:t>Brunia</w:t>
      </w:r>
      <w:r w:rsidRPr="00D00338">
        <w:t xml:space="preserve"> spp., </w:t>
      </w:r>
      <w:r w:rsidRPr="00916FE3">
        <w:rPr>
          <w:i/>
          <w:iCs/>
        </w:rPr>
        <w:t>Calathea insignis</w:t>
      </w:r>
      <w:r w:rsidRPr="00D00338">
        <w:t xml:space="preserve">, </w:t>
      </w:r>
      <w:r w:rsidRPr="00916FE3">
        <w:rPr>
          <w:i/>
          <w:iCs/>
        </w:rPr>
        <w:t>Calathea lancifolia</w:t>
      </w:r>
      <w:r w:rsidRPr="00D00338">
        <w:t xml:space="preserve">, </w:t>
      </w:r>
      <w:r w:rsidRPr="00916FE3">
        <w:rPr>
          <w:i/>
          <w:iCs/>
        </w:rPr>
        <w:t>Callistephus chinensis</w:t>
      </w:r>
      <w:r w:rsidRPr="00D00338">
        <w:t xml:space="preserve">, </w:t>
      </w:r>
      <w:r w:rsidRPr="00916FE3">
        <w:rPr>
          <w:i/>
          <w:iCs/>
        </w:rPr>
        <w:t>Chrysanthemum</w:t>
      </w:r>
      <w:r w:rsidRPr="00D00338">
        <w:t xml:space="preserve"> spp., </w:t>
      </w:r>
      <w:r w:rsidRPr="00916FE3">
        <w:rPr>
          <w:i/>
          <w:iCs/>
        </w:rPr>
        <w:t>Cordyline</w:t>
      </w:r>
      <w:r w:rsidRPr="00D00338">
        <w:t xml:space="preserve"> spp., </w:t>
      </w:r>
      <w:r w:rsidRPr="00916FE3">
        <w:rPr>
          <w:i/>
          <w:iCs/>
        </w:rPr>
        <w:t>Dianthus</w:t>
      </w:r>
      <w:r w:rsidRPr="00D00338">
        <w:t xml:space="preserve"> spp., </w:t>
      </w:r>
      <w:r w:rsidRPr="00916FE3">
        <w:rPr>
          <w:i/>
          <w:iCs/>
        </w:rPr>
        <w:t>Oxypetalum</w:t>
      </w:r>
      <w:r w:rsidRPr="00D00338">
        <w:t xml:space="preserve"> spp., </w:t>
      </w:r>
      <w:r w:rsidRPr="00916FE3">
        <w:rPr>
          <w:i/>
          <w:iCs/>
        </w:rPr>
        <w:t>Hypericum</w:t>
      </w:r>
      <w:r w:rsidRPr="00D00338">
        <w:t xml:space="preserve"> spp., </w:t>
      </w:r>
      <w:r w:rsidRPr="00916FE3">
        <w:rPr>
          <w:i/>
          <w:iCs/>
        </w:rPr>
        <w:t>Rhapis</w:t>
      </w:r>
      <w:r w:rsidRPr="00D00338">
        <w:t xml:space="preserve"> spp., </w:t>
      </w:r>
      <w:r w:rsidRPr="00916FE3">
        <w:rPr>
          <w:i/>
          <w:iCs/>
        </w:rPr>
        <w:t>Rosa</w:t>
      </w:r>
      <w:r w:rsidRPr="00C35F2A">
        <w:t xml:space="preserve"> </w:t>
      </w:r>
      <w:r w:rsidRPr="00D00338">
        <w:t xml:space="preserve">spp., </w:t>
      </w:r>
      <w:r w:rsidRPr="00916FE3">
        <w:rPr>
          <w:i/>
          <w:iCs/>
        </w:rPr>
        <w:t>Viburnum</w:t>
      </w:r>
      <w:r w:rsidRPr="00D00338">
        <w:t xml:space="preserve"> spp., </w:t>
      </w:r>
      <w:r w:rsidRPr="00916FE3">
        <w:rPr>
          <w:i/>
          <w:iCs/>
        </w:rPr>
        <w:t>Viola</w:t>
      </w:r>
      <w:r w:rsidRPr="00D00338">
        <w:t xml:space="preserve"> spp., </w:t>
      </w:r>
      <w:r w:rsidRPr="00916FE3">
        <w:rPr>
          <w:i/>
          <w:iCs/>
        </w:rPr>
        <w:t>Codiaeum variegatum</w:t>
      </w:r>
      <w:r w:rsidRPr="00C35F2A">
        <w:t xml:space="preserve"> </w:t>
      </w:r>
      <w:r w:rsidRPr="00D00338">
        <w:t xml:space="preserve">and </w:t>
      </w:r>
      <w:r w:rsidRPr="00916FE3">
        <w:rPr>
          <w:i/>
          <w:iCs/>
        </w:rPr>
        <w:t>Dracaena</w:t>
      </w:r>
      <w:r w:rsidRPr="00D00338">
        <w:t xml:space="preserve"> spp.</w:t>
      </w:r>
    </w:p>
    <w:p w14:paraId="17B6F4B7" w14:textId="2D6CD91A" w:rsidR="004726BA" w:rsidRDefault="002D0659" w:rsidP="00800E7D">
      <w:pPr>
        <w:pStyle w:val="ListBullet"/>
      </w:pPr>
      <w:r>
        <w:t>M</w:t>
      </w:r>
      <w:r w:rsidR="004726BA">
        <w:t>ore than 6 small boxes, bouquets or equivalent from Vietnam:</w:t>
      </w:r>
    </w:p>
    <w:p w14:paraId="60D6D783" w14:textId="77777777" w:rsidR="004726BA" w:rsidRDefault="004726BA" w:rsidP="00800E7D">
      <w:pPr>
        <w:pStyle w:val="ListParagraph"/>
        <w:ind w:left="794"/>
      </w:pPr>
      <w:r>
        <w:t xml:space="preserve">Metsulfuron-methyl dip of the </w:t>
      </w:r>
      <w:r w:rsidRPr="00916FE3">
        <w:rPr>
          <w:i/>
          <w:iCs/>
        </w:rPr>
        <w:t>Chrysanthemum</w:t>
      </w:r>
      <w:r w:rsidRPr="00D00338">
        <w:t xml:space="preserve"> spp.</w:t>
      </w:r>
    </w:p>
    <w:p w14:paraId="2D169DEC" w14:textId="0D97B50B" w:rsidR="004726BA" w:rsidRDefault="004726BA" w:rsidP="00800E7D">
      <w:pPr>
        <w:pStyle w:val="ListBullet"/>
      </w:pPr>
      <w:r w:rsidRPr="003C08A9">
        <w:t>6 or less small boxes, bouquets or equivalent</w:t>
      </w:r>
      <w:r w:rsidR="002D0659">
        <w:t xml:space="preserve"> from all permitted countries</w:t>
      </w:r>
      <w:r>
        <w:t>:</w:t>
      </w:r>
    </w:p>
    <w:p w14:paraId="57B53EB3" w14:textId="77777777" w:rsidR="004726BA" w:rsidRDefault="004726BA" w:rsidP="00800E7D">
      <w:pPr>
        <w:pStyle w:val="ListParagraph"/>
        <w:ind w:left="794"/>
      </w:pPr>
      <w:r>
        <w:t>M</w:t>
      </w:r>
      <w:r w:rsidRPr="003C08A9">
        <w:t>anual removal of the auxiliary buds of all the nodes on stems; or cutting the stems to 5 cm below the flower heads.</w:t>
      </w:r>
    </w:p>
    <w:p w14:paraId="5F333C4E" w14:textId="77777777" w:rsidR="004726BA" w:rsidRPr="007C2B9D" w:rsidRDefault="004726BA" w:rsidP="00800E7D">
      <w:pPr>
        <w:pStyle w:val="Heading3"/>
      </w:pPr>
      <w:bookmarkStart w:id="55" w:name="_Toc197938544"/>
      <w:bookmarkStart w:id="56" w:name="_Toc197953575"/>
      <w:r>
        <w:t>Important notes associated with the proposals</w:t>
      </w:r>
      <w:bookmarkEnd w:id="55"/>
      <w:bookmarkEnd w:id="56"/>
      <w:r w:rsidRPr="007C2B9D">
        <w:t xml:space="preserve"> </w:t>
      </w:r>
    </w:p>
    <w:p w14:paraId="4B9D7006" w14:textId="77777777" w:rsidR="004726BA" w:rsidRDefault="004726BA" w:rsidP="00800E7D">
      <w:r>
        <w:t>It is important to note that DFIU of imported cut flowers to propagation, particularly commercial DFIU, has the potential to introduce exotic pathogens into Australia, causing harm to human, animal or plant health, the environment, economic or community activities.</w:t>
      </w:r>
    </w:p>
    <w:p w14:paraId="71DF8166" w14:textId="77777777" w:rsidR="004726BA" w:rsidRDefault="004726BA" w:rsidP="00800E7D">
      <w:r>
        <w:t>The biosecurity risk associated with an imported commodity differs significantly for different intended uses of the commodity. As a result, phytosanitary measures to manage the biosecurity risk also differ significantly for different intended uses of the commodity.</w:t>
      </w:r>
    </w:p>
    <w:p w14:paraId="2674237D" w14:textId="77777777" w:rsidR="004726BA" w:rsidRDefault="004726BA" w:rsidP="00800E7D">
      <w:r>
        <w:t xml:space="preserve">For example, </w:t>
      </w:r>
      <w:r w:rsidRPr="008E1A09">
        <w:t xml:space="preserve">imported nursery stock </w:t>
      </w:r>
      <w:r>
        <w:t>is intended for</w:t>
      </w:r>
      <w:r w:rsidRPr="008E1A09">
        <w:t xml:space="preserve"> </w:t>
      </w:r>
      <w:r>
        <w:t xml:space="preserve">planting and is </w:t>
      </w:r>
      <w:r w:rsidRPr="008E1A09">
        <w:t xml:space="preserve">associated with a higher likelihood of a pathogen establishing than the intended use of time-limited decorative purposes for </w:t>
      </w:r>
      <w:r w:rsidRPr="008E1A09">
        <w:lastRenderedPageBreak/>
        <w:t xml:space="preserve">imported cut flowers. This is because the plants imported for planting </w:t>
      </w:r>
      <w:r>
        <w:t>(</w:t>
      </w:r>
      <w:r w:rsidRPr="008E1A09">
        <w:t>or the plants produced from imported cuttings, budwoods or tissue culture, etc.</w:t>
      </w:r>
      <w:r>
        <w:t>)</w:t>
      </w:r>
      <w:r w:rsidRPr="008E1A09">
        <w:t xml:space="preserve"> will serve as a host of </w:t>
      </w:r>
      <w:r>
        <w:t xml:space="preserve">quarantine </w:t>
      </w:r>
      <w:r w:rsidRPr="008E1A09">
        <w:t>pathogens that may be present in the imported nursery stock</w:t>
      </w:r>
      <w:r>
        <w:t>, allowing the pathogens to establish and potentially spread in Australia</w:t>
      </w:r>
      <w:r w:rsidRPr="008E1A09">
        <w:t xml:space="preserve">. </w:t>
      </w:r>
      <w:r>
        <w:t>As such, imported nursery stock, with the exception of tissue culture for some plant species, are required to undergo post entry quarantine for disease screening and if quarantine pathogens are not detected, they are released from biosecurity control.</w:t>
      </w:r>
    </w:p>
    <w:p w14:paraId="50822895" w14:textId="38283BF7" w:rsidR="004726BA" w:rsidRDefault="004726BA" w:rsidP="00800E7D">
      <w:r w:rsidRPr="008E1A09">
        <w:t>In contra</w:t>
      </w:r>
      <w:r>
        <w:t>st</w:t>
      </w:r>
      <w:r w:rsidRPr="008E1A09">
        <w:t xml:space="preserve">, pathogens that may be present in imported cut flowers will need to </w:t>
      </w:r>
      <w:r>
        <w:t xml:space="preserve">be transferred </w:t>
      </w:r>
      <w:r w:rsidRPr="008E1A09">
        <w:t>from the imported cut flowers to a suitable host in Australia</w:t>
      </w:r>
      <w:r>
        <w:t>, which is very unlikely, hence significantly limit</w:t>
      </w:r>
      <w:r w:rsidR="00390A5E">
        <w:t>ing</w:t>
      </w:r>
      <w:r>
        <w:t xml:space="preserve"> the likelihood of the pathogens establishing and spreading in Australia</w:t>
      </w:r>
      <w:r w:rsidRPr="008E1A09">
        <w:t xml:space="preserve">. </w:t>
      </w:r>
      <w:r>
        <w:t>As such</w:t>
      </w:r>
      <w:r w:rsidRPr="008E1A09">
        <w:t xml:space="preserve">, risk management measures </w:t>
      </w:r>
      <w:r>
        <w:t xml:space="preserve">required </w:t>
      </w:r>
      <w:r w:rsidRPr="008E1A09">
        <w:t xml:space="preserve">for imported </w:t>
      </w:r>
      <w:r>
        <w:t xml:space="preserve">cut flowers </w:t>
      </w:r>
      <w:r w:rsidRPr="008E1A09">
        <w:t xml:space="preserve">are </w:t>
      </w:r>
      <w:r>
        <w:t xml:space="preserve">very </w:t>
      </w:r>
      <w:r w:rsidRPr="008E1A09">
        <w:t xml:space="preserve">different from those for imported </w:t>
      </w:r>
      <w:r>
        <w:t>nursery stock</w:t>
      </w:r>
      <w:r w:rsidRPr="008E1A09">
        <w:t>.</w:t>
      </w:r>
    </w:p>
    <w:p w14:paraId="2C5BC27C" w14:textId="2038E0D9" w:rsidR="004726BA" w:rsidRDefault="004726BA" w:rsidP="00800E7D">
      <w:r>
        <w:t xml:space="preserve">The phytosanitary measures determined to be effective to manage biosecurity risk to achieve the ALOP for Australia are based on the biosecurity risk associated with specific intended use. DFIU of any imported commodity, including imported cut flowers, is a breach of Australia’s import regulation and the </w:t>
      </w:r>
      <w:r w:rsidRPr="00D14F2E">
        <w:rPr>
          <w:i/>
          <w:iCs/>
        </w:rPr>
        <w:t>Act</w:t>
      </w:r>
      <w:r>
        <w:rPr>
          <w:i/>
          <w:iCs/>
        </w:rPr>
        <w:t>.</w:t>
      </w:r>
      <w:r>
        <w:t xml:space="preserve"> </w:t>
      </w:r>
      <w:r w:rsidRPr="00364582">
        <w:t xml:space="preserve">The department has powers under the </w:t>
      </w:r>
      <w:r w:rsidRPr="00364582">
        <w:rPr>
          <w:i/>
          <w:iCs/>
        </w:rPr>
        <w:t>Act</w:t>
      </w:r>
      <w:r w:rsidRPr="00364582">
        <w:t xml:space="preserve"> to investigate suspected DFIU, undertake an assessment of biosecurity risk, and </w:t>
      </w:r>
      <w:proofErr w:type="gramStart"/>
      <w:r w:rsidRPr="00364582">
        <w:t>take action</w:t>
      </w:r>
      <w:proofErr w:type="gramEnd"/>
      <w:r w:rsidRPr="00364582">
        <w:t xml:space="preserve"> where required. Action can include education and warnings, significant fines, revocation of permits and/or other approvals </w:t>
      </w:r>
      <w:r w:rsidR="00364582" w:rsidRPr="00364582">
        <w:t>from the</w:t>
      </w:r>
      <w:r w:rsidRPr="00364582">
        <w:t xml:space="preserve"> department, criminal prosecution or civil litigation.</w:t>
      </w:r>
    </w:p>
    <w:p w14:paraId="5740C72B" w14:textId="77777777" w:rsidR="004726BA" w:rsidRDefault="004726BA" w:rsidP="00800E7D">
      <w:r>
        <w:t xml:space="preserve">It is also important to note that </w:t>
      </w:r>
      <w:r w:rsidRPr="00A7354A">
        <w:t xml:space="preserve">Australia’s national biosecurity system is built on shared responsibility </w:t>
      </w:r>
      <w:r>
        <w:t xml:space="preserve">whereby </w:t>
      </w:r>
      <w:r w:rsidRPr="005658AA">
        <w:t>all stakeholders</w:t>
      </w:r>
      <w:r>
        <w:t>,</w:t>
      </w:r>
      <w:r w:rsidRPr="005658AA">
        <w:t xml:space="preserve"> including Australian governments, industry and the broader community</w:t>
      </w:r>
      <w:r>
        <w:t xml:space="preserve">, </w:t>
      </w:r>
      <w:r w:rsidRPr="005658AA">
        <w:t>have important roles and responsibilities in the management of biosecurity risks in Australia</w:t>
      </w:r>
      <w:r>
        <w:t xml:space="preserve"> </w:t>
      </w:r>
      <w:r>
        <w:rPr>
          <w:noProof/>
        </w:rPr>
        <w:t>(Craik, Palmer &amp; Sheldrake 2017)</w:t>
      </w:r>
      <w:r w:rsidRPr="00A7354A">
        <w:t>.</w:t>
      </w:r>
      <w:r>
        <w:t xml:space="preserve"> </w:t>
      </w:r>
      <w:proofErr w:type="gramStart"/>
      <w:r w:rsidRPr="00A7354A">
        <w:t>The term ‘shared responsibility’,</w:t>
      </w:r>
      <w:proofErr w:type="gramEnd"/>
      <w:r w:rsidRPr="00A7354A">
        <w:t xml:space="preserve"> was created in the 1996 Nairn review ‘Australian Quarantine, a shared responsibility’ </w:t>
      </w:r>
      <w:r>
        <w:rPr>
          <w:noProof/>
        </w:rPr>
        <w:t>(Nairn et al. 1996)</w:t>
      </w:r>
      <w:r w:rsidRPr="00A7354A">
        <w:t>.</w:t>
      </w:r>
      <w:r>
        <w:t xml:space="preserve"> </w:t>
      </w:r>
      <w:r w:rsidRPr="00A7354A">
        <w:t xml:space="preserve">The </w:t>
      </w:r>
      <w:r>
        <w:t xml:space="preserve">term ‘shared responsibility’ is defined to </w:t>
      </w:r>
      <w:r w:rsidRPr="00A7354A">
        <w:t>mean everyone takes responsibility for biosecurity matters, whether under their direct control or not. Everyone has an obligation to take action to protect Australia from pests and diseases</w:t>
      </w:r>
      <w:r>
        <w:t xml:space="preserve"> </w:t>
      </w:r>
      <w:r>
        <w:rPr>
          <w:noProof/>
        </w:rPr>
        <w:t>(Craik, Palmer &amp; Sheldrake 2017)</w:t>
      </w:r>
      <w:r w:rsidRPr="00A7354A">
        <w:t>.</w:t>
      </w:r>
    </w:p>
    <w:p w14:paraId="6B259855" w14:textId="77777777" w:rsidR="004726BA" w:rsidRPr="00525379" w:rsidRDefault="004726BA" w:rsidP="00800E7D">
      <w:pPr>
        <w:pStyle w:val="Heading3"/>
      </w:pPr>
      <w:bookmarkStart w:id="57" w:name="_Toc69215858"/>
      <w:bookmarkStart w:id="58" w:name="_Toc197938545"/>
      <w:bookmarkStart w:id="59" w:name="_Toc197953576"/>
      <w:r w:rsidRPr="00525379">
        <w:t>Review of processes</w:t>
      </w:r>
      <w:bookmarkEnd w:id="57"/>
      <w:bookmarkEnd w:id="58"/>
      <w:bookmarkEnd w:id="59"/>
    </w:p>
    <w:p w14:paraId="1C51DB4F" w14:textId="77777777" w:rsidR="004726BA" w:rsidRPr="00525379" w:rsidRDefault="004726BA" w:rsidP="00800E7D">
      <w:r>
        <w:t>T</w:t>
      </w:r>
      <w:r w:rsidRPr="00525379">
        <w:t>he department reserves the right to review the import policy as deemed necessary, including if there is reason to believe that</w:t>
      </w:r>
      <w:r>
        <w:t xml:space="preserve"> the occurrence of either commercial or personal DFIU of imported cut flowers to propagation and/or associated biosecurity risk has changed.</w:t>
      </w:r>
    </w:p>
    <w:p w14:paraId="0B5724DE" w14:textId="77777777" w:rsidR="004726BA" w:rsidRDefault="004726BA" w:rsidP="00800E7D">
      <w:pPr>
        <w:pStyle w:val="Heading2"/>
      </w:pPr>
      <w:bookmarkStart w:id="60" w:name="_Toc69215859"/>
      <w:bookmarkStart w:id="61" w:name="_Toc197938546"/>
      <w:bookmarkStart w:id="62" w:name="_Toc197953577"/>
      <w:r>
        <w:lastRenderedPageBreak/>
        <w:t>Conclusion</w:t>
      </w:r>
      <w:bookmarkEnd w:id="60"/>
      <w:bookmarkEnd w:id="61"/>
      <w:bookmarkEnd w:id="62"/>
    </w:p>
    <w:p w14:paraId="292E10D9" w14:textId="3C93C1A9" w:rsidR="004726BA" w:rsidRDefault="004726BA" w:rsidP="00800E7D">
      <w:pPr>
        <w:rPr>
          <w:color w:val="000000" w:themeColor="text1"/>
        </w:rPr>
      </w:pPr>
      <w:r>
        <w:t>This d</w:t>
      </w:r>
      <w:r w:rsidRPr="00281817">
        <w:t xml:space="preserve">raft </w:t>
      </w:r>
      <w:r>
        <w:t xml:space="preserve">report to </w:t>
      </w:r>
      <w:r w:rsidRPr="00281817">
        <w:t xml:space="preserve">review </w:t>
      </w:r>
      <w:r>
        <w:t>current</w:t>
      </w:r>
      <w:r w:rsidRPr="00281817">
        <w:t xml:space="preserve"> devitalisation </w:t>
      </w:r>
      <w:r>
        <w:t xml:space="preserve">requirements for cut flowers imported into Australia was conducted </w:t>
      </w:r>
      <w:r w:rsidR="00832C80" w:rsidRPr="00832C80">
        <w:t xml:space="preserve">in accordance with the </w:t>
      </w:r>
      <w:r w:rsidR="00832C80" w:rsidRPr="00832C80">
        <w:rPr>
          <w:i/>
          <w:iCs/>
        </w:rPr>
        <w:t>Biosecurity Act 2015</w:t>
      </w:r>
      <w:r w:rsidR="00832C80" w:rsidRPr="00832C80">
        <w:t xml:space="preserve"> </w:t>
      </w:r>
      <w:r>
        <w:t xml:space="preserve">to identify if the requirements align with </w:t>
      </w:r>
      <w:r w:rsidRPr="00ED7DCA">
        <w:rPr>
          <w:rFonts w:eastAsia="Calibri" w:cs="Times New Roman"/>
        </w:rPr>
        <w:t xml:space="preserve">the </w:t>
      </w:r>
      <w:r w:rsidRPr="26CEEC15">
        <w:rPr>
          <w:rFonts w:eastAsia="Times New Roman"/>
          <w:bdr w:val="none" w:sz="0" w:space="0" w:color="auto" w:frame="1"/>
          <w:lang w:eastAsia="en-AU"/>
        </w:rPr>
        <w:t>key principles of the SPS Agreement</w:t>
      </w:r>
      <w:r w:rsidR="009545CC">
        <w:rPr>
          <w:rFonts w:eastAsia="Times New Roman"/>
          <w:bdr w:val="none" w:sz="0" w:space="0" w:color="auto" w:frame="1"/>
          <w:lang w:eastAsia="en-AU"/>
        </w:rPr>
        <w:t xml:space="preserve"> </w:t>
      </w:r>
      <w:r w:rsidR="009545CC" w:rsidRPr="009545CC">
        <w:rPr>
          <w:rFonts w:eastAsia="Times New Roman"/>
          <w:bdr w:val="none" w:sz="0" w:space="0" w:color="auto" w:frame="1"/>
          <w:lang w:eastAsia="en-AU"/>
        </w:rPr>
        <w:t>in the context of achieving Australia’s ALOP</w:t>
      </w:r>
      <w:r w:rsidRPr="26CEEC15">
        <w:rPr>
          <w:rFonts w:eastAsia="Times New Roman"/>
          <w:bdr w:val="none" w:sz="0" w:space="0" w:color="auto" w:frame="1"/>
          <w:lang w:eastAsia="en-AU"/>
        </w:rPr>
        <w:t>.</w:t>
      </w:r>
    </w:p>
    <w:p w14:paraId="67491126" w14:textId="77777777" w:rsidR="004726BA" w:rsidRDefault="004726BA" w:rsidP="00800E7D">
      <w:r>
        <w:t>This draft report proposes that the current devitalisation requirements for imported cut flowers be removed.</w:t>
      </w:r>
    </w:p>
    <w:p w14:paraId="7923C11C" w14:textId="77777777" w:rsidR="004726BA" w:rsidRDefault="004726BA" w:rsidP="00800E7D">
      <w:r>
        <w:t>The findings of this draft report are based on the analysis of scientific literature and other relevant information.</w:t>
      </w:r>
    </w:p>
    <w:p w14:paraId="6BB434FF" w14:textId="77777777" w:rsidR="004726BA" w:rsidRDefault="004726BA" w:rsidP="00800E7D">
      <w:r>
        <w:t>The department considers that the proposals provided in this draft report meet Australia’s international obligations and will manage biosecurity risk associated with DFIU of cut flowers to an acceptable level.</w:t>
      </w:r>
    </w:p>
    <w:p w14:paraId="7B621524" w14:textId="77777777" w:rsidR="004726BA" w:rsidRDefault="004726BA" w:rsidP="00800E7D">
      <w:r w:rsidRPr="00036697">
        <w:t xml:space="preserve">All </w:t>
      </w:r>
      <w:r>
        <w:t xml:space="preserve">cut flowers </w:t>
      </w:r>
      <w:r w:rsidRPr="00036697">
        <w:t>have been determined by the Director of Biosecurity to be conditionally non-prohibited goods under s174 of the</w:t>
      </w:r>
      <w:r>
        <w:t xml:space="preserve"> </w:t>
      </w:r>
      <w:r w:rsidRPr="00D14F2E">
        <w:rPr>
          <w:i/>
          <w:iCs/>
        </w:rPr>
        <w:t>Act</w:t>
      </w:r>
      <w:r w:rsidRPr="00036697">
        <w:t xml:space="preserve">. Conditionally non-prohibited goods cannot be brought or imported into Australia unless they meet specific import conditions. This report, upon its finalisation, provides the basis for </w:t>
      </w:r>
      <w:r>
        <w:t xml:space="preserve">changing current </w:t>
      </w:r>
      <w:r w:rsidRPr="00036697">
        <w:t xml:space="preserve">import conditions for </w:t>
      </w:r>
      <w:r>
        <w:t>cut flowers</w:t>
      </w:r>
      <w:r w:rsidRPr="00036697">
        <w:t xml:space="preserve">. The </w:t>
      </w:r>
      <w:r>
        <w:t xml:space="preserve">changes in </w:t>
      </w:r>
      <w:r w:rsidRPr="00036697">
        <w:t>import conditions will be communicated on BICON.</w:t>
      </w:r>
    </w:p>
    <w:p w14:paraId="7CD205AD" w14:textId="77777777" w:rsidR="004726BA" w:rsidRDefault="004726BA" w:rsidP="00800E7D">
      <w:pPr>
        <w:sectPr w:rsidR="004726BA" w:rsidSect="004726BA">
          <w:headerReference w:type="even" r:id="rId59"/>
          <w:headerReference w:type="default" r:id="rId60"/>
          <w:footerReference w:type="even" r:id="rId61"/>
          <w:footerReference w:type="default" r:id="rId62"/>
          <w:headerReference w:type="first" r:id="rId63"/>
          <w:footerReference w:type="first" r:id="rId64"/>
          <w:pgSz w:w="11906" w:h="16838"/>
          <w:pgMar w:top="1418" w:right="1418" w:bottom="1418" w:left="1418" w:header="567" w:footer="850" w:gutter="0"/>
          <w:cols w:space="708"/>
          <w:docGrid w:linePitch="360"/>
        </w:sectPr>
      </w:pPr>
    </w:p>
    <w:p w14:paraId="2030CAF1" w14:textId="77777777" w:rsidR="004726BA" w:rsidRPr="001B30BE" w:rsidRDefault="004726BA" w:rsidP="00800E7D">
      <w:pPr>
        <w:pStyle w:val="Heading2"/>
        <w:numPr>
          <w:ilvl w:val="0"/>
          <w:numId w:val="0"/>
        </w:numPr>
        <w:ind w:left="794" w:hanging="794"/>
        <w:rPr>
          <w:rFonts w:asciiTheme="minorHAnsi" w:hAnsiTheme="minorHAnsi" w:cstheme="minorHAnsi"/>
        </w:rPr>
      </w:pPr>
      <w:bookmarkStart w:id="63" w:name="_Toc197938547"/>
      <w:bookmarkStart w:id="64" w:name="_Toc197953578"/>
      <w:r w:rsidRPr="001B30BE">
        <w:rPr>
          <w:rFonts w:asciiTheme="minorHAnsi" w:hAnsiTheme="minorHAnsi" w:cstheme="minorHAnsi"/>
        </w:rPr>
        <w:lastRenderedPageBreak/>
        <w:t xml:space="preserve">Appendix A: Method for pest risk </w:t>
      </w:r>
      <w:r>
        <w:rPr>
          <w:rFonts w:asciiTheme="minorHAnsi" w:hAnsiTheme="minorHAnsi" w:cstheme="minorHAnsi"/>
        </w:rPr>
        <w:t>assessment of pathogens associated with diversion of intended use of imported cut flowers to propagation</w:t>
      </w:r>
      <w:bookmarkEnd w:id="63"/>
      <w:bookmarkEnd w:id="64"/>
    </w:p>
    <w:p w14:paraId="0AE6343B" w14:textId="77777777" w:rsidR="004726BA" w:rsidRDefault="004726BA" w:rsidP="00800E7D">
      <w:pPr>
        <w:rPr>
          <w:rFonts w:cstheme="minorHAnsi"/>
          <w:color w:val="000000" w:themeColor="text1"/>
        </w:rPr>
      </w:pPr>
      <w:r w:rsidRPr="001B30BE">
        <w:rPr>
          <w:rFonts w:cstheme="minorHAnsi"/>
          <w:color w:val="000000" w:themeColor="text1"/>
        </w:rPr>
        <w:t xml:space="preserve">This section sets out the method for the pest risk </w:t>
      </w:r>
      <w:r>
        <w:rPr>
          <w:rFonts w:cstheme="minorHAnsi"/>
          <w:color w:val="000000" w:themeColor="text1"/>
        </w:rPr>
        <w:t>assessment</w:t>
      </w:r>
      <w:r w:rsidRPr="001B30BE">
        <w:rPr>
          <w:rFonts w:cstheme="minorHAnsi"/>
          <w:color w:val="000000" w:themeColor="text1"/>
        </w:rPr>
        <w:t xml:space="preserve"> used by the Department of Agriculture, Fisheries and Forestry (the department). This method is consistent with the International Standards for Phytosanitary Measures (ISPMs), including ISPM 2: </w:t>
      </w:r>
      <w:r w:rsidRPr="001B30BE">
        <w:rPr>
          <w:rFonts w:cstheme="minorHAnsi"/>
          <w:i/>
          <w:iCs/>
          <w:color w:val="000000" w:themeColor="text1"/>
        </w:rPr>
        <w:t>Framework for pest risk analysis</w:t>
      </w:r>
      <w:r w:rsidRPr="001B30BE">
        <w:rPr>
          <w:rFonts w:cstheme="minorHAnsi"/>
          <w:color w:val="000000" w:themeColor="text1"/>
        </w:rPr>
        <w:t xml:space="preserve"> </w:t>
      </w:r>
      <w:r>
        <w:rPr>
          <w:rFonts w:cstheme="minorHAnsi"/>
          <w:noProof/>
          <w:color w:val="000000" w:themeColor="text1"/>
        </w:rPr>
        <w:t>(FAO 2019a)</w:t>
      </w:r>
      <w:r w:rsidRPr="001B30BE">
        <w:rPr>
          <w:rFonts w:cstheme="minorHAnsi"/>
          <w:color w:val="000000" w:themeColor="text1"/>
        </w:rPr>
        <w:t xml:space="preserve"> and ISPM 11: </w:t>
      </w:r>
      <w:r w:rsidRPr="001B30BE">
        <w:rPr>
          <w:rFonts w:cstheme="minorHAnsi"/>
          <w:i/>
          <w:iCs/>
          <w:color w:val="000000" w:themeColor="text1"/>
        </w:rPr>
        <w:t>Pest risk analysis for quarantine pests</w:t>
      </w:r>
      <w:r w:rsidRPr="001B30BE">
        <w:rPr>
          <w:rFonts w:cstheme="minorHAnsi"/>
          <w:color w:val="000000" w:themeColor="text1"/>
        </w:rPr>
        <w:t xml:space="preserve"> </w:t>
      </w:r>
      <w:r>
        <w:rPr>
          <w:rFonts w:cstheme="minorHAnsi"/>
          <w:noProof/>
          <w:color w:val="000000" w:themeColor="text1"/>
        </w:rPr>
        <w:t>(FAO 2019b)</w:t>
      </w:r>
      <w:r w:rsidRPr="001B30BE">
        <w:rPr>
          <w:rFonts w:cstheme="minorHAnsi"/>
          <w:color w:val="000000" w:themeColor="text1"/>
        </w:rPr>
        <w:t xml:space="preserve"> and the WTO Agreement on the Application of Sanitary and Phytosanitary Measures </w:t>
      </w:r>
      <w:r>
        <w:rPr>
          <w:rFonts w:cstheme="minorHAnsi"/>
          <w:noProof/>
          <w:color w:val="000000" w:themeColor="text1"/>
        </w:rPr>
        <w:t>(WTO 1995)</w:t>
      </w:r>
      <w:r w:rsidRPr="001B30BE">
        <w:rPr>
          <w:rFonts w:cstheme="minorHAnsi"/>
          <w:color w:val="000000" w:themeColor="text1"/>
        </w:rPr>
        <w:t>.</w:t>
      </w:r>
    </w:p>
    <w:p w14:paraId="3C6E6325" w14:textId="77777777" w:rsidR="004726BA" w:rsidRDefault="004726BA" w:rsidP="00800E7D">
      <w:pPr>
        <w:rPr>
          <w:rFonts w:cstheme="minorHAnsi"/>
          <w:color w:val="000000" w:themeColor="text1"/>
        </w:rPr>
      </w:pPr>
      <w:r w:rsidRPr="00FD310E">
        <w:rPr>
          <w:rFonts w:cstheme="minorHAnsi"/>
          <w:color w:val="000000" w:themeColor="text1"/>
        </w:rPr>
        <w:t>Biosecurity risk consists of 2 major components: the likelihood of a pest entering, establishing and spreading in Australia for a defined import pathway; and the consequences should this happen. These 2 components are combined to give an overall estimate of the pest risk for the defined import pathway.</w:t>
      </w:r>
    </w:p>
    <w:p w14:paraId="71DE669E" w14:textId="77777777" w:rsidR="004726BA" w:rsidRDefault="004726BA" w:rsidP="00800E7D">
      <w:r>
        <w:t xml:space="preserve">Unrestricted risk is estimated </w:t>
      </w:r>
      <w:proofErr w:type="gramStart"/>
      <w:r>
        <w:t>taking into account</w:t>
      </w:r>
      <w:proofErr w:type="gramEnd"/>
      <w:r>
        <w: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7C13B5FA" w14:textId="77777777" w:rsidR="004726BA" w:rsidRPr="001B30BE" w:rsidRDefault="004726BA" w:rsidP="00800E7D">
      <w:pPr>
        <w:pStyle w:val="Heading3-Appendix"/>
      </w:pPr>
      <w:r w:rsidRPr="006375B8">
        <w:t>Initiation</w:t>
      </w:r>
    </w:p>
    <w:p w14:paraId="1B393E52" w14:textId="77777777" w:rsidR="004726BA" w:rsidRDefault="004726BA" w:rsidP="00800E7D">
      <w:pPr>
        <w:rPr>
          <w:rFonts w:cstheme="minorHAnsi"/>
          <w:color w:val="000000" w:themeColor="text1"/>
        </w:rPr>
      </w:pPr>
      <w:r>
        <w:rPr>
          <w:rFonts w:cstheme="minorHAnsi"/>
          <w:color w:val="000000" w:themeColor="text1"/>
        </w:rPr>
        <w:t>The department initiated this review to examine and evaluate the currently required devitalisation for specific imported cut flowers species. This is to fulfill Australia’s obligation, as a signatory to the WTO, under the SPS Agreement in that phytosanitary measures should be justified by an appropriate pest risk analysis.</w:t>
      </w:r>
    </w:p>
    <w:p w14:paraId="7E18850F" w14:textId="77777777" w:rsidR="004726BA" w:rsidRDefault="004726BA" w:rsidP="00800E7D">
      <w:pPr>
        <w:rPr>
          <w:rFonts w:cstheme="minorHAnsi"/>
        </w:rPr>
      </w:pPr>
      <w:r w:rsidRPr="00771F15">
        <w:rPr>
          <w:rFonts w:cstheme="minorHAnsi"/>
        </w:rPr>
        <w:t xml:space="preserve">For this review, the ‘PRA area’ is </w:t>
      </w:r>
      <w:r w:rsidRPr="00771F15">
        <w:rPr>
          <w:rFonts w:cstheme="minorHAnsi"/>
          <w:color w:val="212121"/>
        </w:rPr>
        <w:t xml:space="preserve">defined as Australia </w:t>
      </w:r>
      <w:r w:rsidRPr="00771F15">
        <w:rPr>
          <w:rFonts w:cstheme="minorHAnsi"/>
        </w:rPr>
        <w:t>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0DB59646" w14:textId="77777777" w:rsidR="004726BA" w:rsidRPr="001B30BE" w:rsidRDefault="004726BA" w:rsidP="00800E7D">
      <w:pPr>
        <w:pStyle w:val="Heading3-Appendix"/>
      </w:pPr>
      <w:r w:rsidRPr="000E2796">
        <w:t>Assessment of the likelihood of entry, establishment and spread</w:t>
      </w:r>
    </w:p>
    <w:p w14:paraId="0A52BECB" w14:textId="77777777" w:rsidR="004726BA" w:rsidRDefault="004726BA" w:rsidP="00800E7D">
      <w:pPr>
        <w:rPr>
          <w:rFonts w:cstheme="minorHAnsi"/>
        </w:rPr>
      </w:pPr>
      <w:r w:rsidRPr="00A01670">
        <w:rPr>
          <w:rFonts w:cstheme="minorHAnsi"/>
        </w:rPr>
        <w:t xml:space="preserve">ISPM 11 </w:t>
      </w:r>
      <w:r>
        <w:rPr>
          <w:rFonts w:cstheme="minorHAnsi"/>
          <w:noProof/>
        </w:rPr>
        <w:t>(FAO 2019b)</w:t>
      </w:r>
      <w:r w:rsidRPr="00A01670">
        <w:rPr>
          <w:rFonts w:cstheme="minorHAnsi"/>
        </w:rPr>
        <w:t xml:space="preserve"> provides details of how to assess the ‘probability of entry’, ‘probability of establishment’ and ‘probability of spread’ of a pest. The SPS Agreement </w:t>
      </w:r>
      <w:r>
        <w:rPr>
          <w:rFonts w:cstheme="minorHAnsi"/>
          <w:noProof/>
        </w:rPr>
        <w:t>(WTO 1995)</w:t>
      </w:r>
      <w:r w:rsidRPr="00A01670">
        <w:rPr>
          <w:rFonts w:cstheme="minorHAnsi"/>
        </w:rPr>
        <w:t xml:space="preserve"> uses the term ‘likelihood’ rather than ‘probability’ for these estimates. In qualitative PRAs, the department uses the term ‘likelihood’ as the descriptor. The use of the term ‘probability’ is limited to the direct quotation of ISPM definitions.</w:t>
      </w:r>
    </w:p>
    <w:p w14:paraId="236E308A" w14:textId="77777777" w:rsidR="004726BA" w:rsidRDefault="004726BA" w:rsidP="00800E7D">
      <w:pPr>
        <w:rPr>
          <w:rFonts w:cstheme="minorHAnsi"/>
        </w:rPr>
      </w:pPr>
      <w:r w:rsidRPr="001B30BE">
        <w:rPr>
          <w:rFonts w:cstheme="minorHAnsi"/>
        </w:rPr>
        <w:t xml:space="preserve">A summary of the assessment process is given here, followed by a description of the qualitative methodology used in this </w:t>
      </w:r>
      <w:r>
        <w:rPr>
          <w:rFonts w:cstheme="minorHAnsi"/>
        </w:rPr>
        <w:t>review</w:t>
      </w:r>
      <w:r w:rsidRPr="001B30BE">
        <w:rPr>
          <w:rFonts w:cstheme="minorHAnsi"/>
        </w:rPr>
        <w:t>.</w:t>
      </w:r>
    </w:p>
    <w:p w14:paraId="5548D9DA" w14:textId="77777777" w:rsidR="004726BA" w:rsidRPr="001B30BE" w:rsidRDefault="004726BA" w:rsidP="00800E7D">
      <w:pPr>
        <w:pStyle w:val="Heading4-Appendix"/>
        <w:tabs>
          <w:tab w:val="clear" w:pos="794"/>
        </w:tabs>
        <w:ind w:left="360" w:hanging="360"/>
      </w:pPr>
      <w:r w:rsidRPr="001B30BE">
        <w:t>Likelihood of entry</w:t>
      </w:r>
    </w:p>
    <w:p w14:paraId="66DA511E" w14:textId="77777777" w:rsidR="004726BA" w:rsidRPr="001B30BE" w:rsidRDefault="004726BA" w:rsidP="00800E7D">
      <w:pPr>
        <w:rPr>
          <w:rFonts w:cstheme="minorHAnsi"/>
        </w:rPr>
      </w:pPr>
      <w:r w:rsidRPr="001B30BE">
        <w:rPr>
          <w:rFonts w:cstheme="minorHAnsi"/>
        </w:rPr>
        <w:t xml:space="preserve">The likelihood of entry describes the likelihood that a quarantine pest will enter Australia </w:t>
      </w:r>
      <w:r w:rsidRPr="001B30BE">
        <w:rPr>
          <w:rFonts w:cstheme="minorHAnsi"/>
          <w:color w:val="000000" w:themeColor="text1"/>
        </w:rPr>
        <w:t>when</w:t>
      </w:r>
      <w:r w:rsidRPr="001B30BE">
        <w:rPr>
          <w:rFonts w:cstheme="minorHAnsi"/>
          <w:strike/>
        </w:rPr>
        <w:t xml:space="preserve"> </w:t>
      </w:r>
      <w:r w:rsidRPr="001B30BE">
        <w:rPr>
          <w:rFonts w:cstheme="minorHAnsi"/>
        </w:rPr>
        <w:t xml:space="preserve">a given commodity </w:t>
      </w:r>
      <w:r w:rsidRPr="001B30BE">
        <w:rPr>
          <w:rFonts w:cstheme="minorHAnsi"/>
          <w:color w:val="000000" w:themeColor="text1"/>
        </w:rPr>
        <w:t>is imported</w:t>
      </w:r>
      <w:r w:rsidRPr="001B30BE">
        <w:rPr>
          <w:rFonts w:cstheme="minorHAnsi"/>
        </w:rPr>
        <w:t xml:space="preserve">, be distributed in a viable state in the PRA area and subsequently be transferred to a </w:t>
      </w:r>
      <w:r>
        <w:rPr>
          <w:rFonts w:cstheme="minorHAnsi"/>
        </w:rPr>
        <w:t xml:space="preserve">suitable </w:t>
      </w:r>
      <w:r w:rsidRPr="001B30BE">
        <w:rPr>
          <w:rFonts w:cstheme="minorHAnsi"/>
        </w:rPr>
        <w:t>host.</w:t>
      </w:r>
    </w:p>
    <w:p w14:paraId="6066CC54" w14:textId="77777777" w:rsidR="004726BA" w:rsidRDefault="004726BA" w:rsidP="00800E7D">
      <w:pPr>
        <w:rPr>
          <w:rFonts w:cstheme="minorHAnsi"/>
        </w:rPr>
      </w:pPr>
      <w:r>
        <w:rPr>
          <w:rFonts w:cstheme="minorHAnsi"/>
        </w:rPr>
        <w:lastRenderedPageBreak/>
        <w:t xml:space="preserve">For the purpose of </w:t>
      </w:r>
      <w:r w:rsidRPr="001B30BE">
        <w:rPr>
          <w:rFonts w:cstheme="minorHAnsi"/>
        </w:rPr>
        <w:t>considering the likelihood of entry, the department divides this step into 2 components:</w:t>
      </w:r>
    </w:p>
    <w:p w14:paraId="62B9A9F3" w14:textId="77777777" w:rsidR="004726BA" w:rsidRPr="001B30BE" w:rsidRDefault="004726BA" w:rsidP="00800E7D">
      <w:pPr>
        <w:pStyle w:val="ListBullet"/>
        <w:rPr>
          <w:rFonts w:cstheme="minorHAnsi"/>
        </w:rPr>
      </w:pPr>
      <w:r w:rsidRPr="001B30BE">
        <w:rPr>
          <w:rStyle w:val="Strong"/>
          <w:rFonts w:cstheme="minorHAnsi"/>
        </w:rPr>
        <w:t>Likelihood of importation</w:t>
      </w:r>
      <w:r w:rsidRPr="001B30BE">
        <w:rPr>
          <w:rFonts w:cstheme="minorHAnsi"/>
        </w:rPr>
        <w:t xml:space="preserve"> – the likelihood that a pest will arrive in Australia in a viable state when a given commodity</w:t>
      </w:r>
      <w:r>
        <w:rPr>
          <w:rFonts w:cstheme="minorHAnsi"/>
        </w:rPr>
        <w:t xml:space="preserve"> </w:t>
      </w:r>
      <w:r w:rsidRPr="001B30BE">
        <w:rPr>
          <w:rFonts w:cstheme="minorHAnsi"/>
        </w:rPr>
        <w:t>is imported</w:t>
      </w:r>
    </w:p>
    <w:p w14:paraId="07B9BDA7" w14:textId="77777777" w:rsidR="004726BA" w:rsidRDefault="004726BA" w:rsidP="00800E7D">
      <w:pPr>
        <w:pStyle w:val="ListBullet"/>
        <w:rPr>
          <w:rFonts w:cstheme="minorHAnsi"/>
        </w:rPr>
      </w:pPr>
      <w:r w:rsidRPr="001B30BE">
        <w:rPr>
          <w:rStyle w:val="Strong"/>
          <w:rFonts w:cstheme="minorHAnsi"/>
        </w:rPr>
        <w:t>Likelihood of distribution</w:t>
      </w:r>
      <w:r w:rsidRPr="001B30BE">
        <w:rPr>
          <w:rFonts w:cstheme="minorHAnsi"/>
        </w:rPr>
        <w:t xml:space="preserve"> – the likelihood that the pest will be distributed in a viable state, as a result of the processing, sale</w:t>
      </w:r>
      <w:r>
        <w:rPr>
          <w:rFonts w:cstheme="minorHAnsi"/>
        </w:rPr>
        <w:t>,</w:t>
      </w:r>
      <w:r w:rsidRPr="001B30BE">
        <w:rPr>
          <w:rFonts w:cstheme="minorHAnsi"/>
        </w:rPr>
        <w:t xml:space="preserve"> </w:t>
      </w:r>
      <w:r>
        <w:rPr>
          <w:rFonts w:cstheme="minorHAnsi"/>
        </w:rPr>
        <w:t xml:space="preserve">use, </w:t>
      </w:r>
      <w:r w:rsidRPr="001B30BE">
        <w:rPr>
          <w:rFonts w:cstheme="minorHAnsi"/>
        </w:rPr>
        <w:t xml:space="preserve">or disposal of the commodity, in the PRA area and subsequently transfer to a susceptible </w:t>
      </w:r>
      <w:r w:rsidRPr="002B7F96">
        <w:rPr>
          <w:rFonts w:cstheme="minorHAnsi"/>
        </w:rPr>
        <w:t>part of a</w:t>
      </w:r>
      <w:r w:rsidRPr="001B30BE">
        <w:rPr>
          <w:rFonts w:cstheme="minorHAnsi"/>
        </w:rPr>
        <w:t xml:space="preserve"> host.</w:t>
      </w:r>
    </w:p>
    <w:p w14:paraId="7BAD5222" w14:textId="77777777" w:rsidR="004726BA" w:rsidRDefault="004726BA" w:rsidP="00800E7D">
      <w:pPr>
        <w:pStyle w:val="ListBullet"/>
        <w:rPr>
          <w:rFonts w:cstheme="minorHAnsi"/>
        </w:rPr>
      </w:pPr>
      <w:r>
        <w:rPr>
          <w:rFonts w:cstheme="minorHAnsi"/>
        </w:rPr>
        <w:t>In this review, the likelihood of distribution is considered as the likelihood that the pest will be distributed in a viable state, as a result of the processing, sale and diversion of the intended use of the imported cut flowers to propagation, in the PRA area and the likelihood that the propagation will be successful in producing a viable and healthy plant to serve as a host.</w:t>
      </w:r>
    </w:p>
    <w:p w14:paraId="4334D178" w14:textId="77777777" w:rsidR="004726BA" w:rsidRPr="001B30BE" w:rsidRDefault="004726BA" w:rsidP="00800E7D">
      <w:pPr>
        <w:pStyle w:val="Heading4-Appendix"/>
        <w:tabs>
          <w:tab w:val="clear" w:pos="794"/>
        </w:tabs>
        <w:ind w:left="360" w:hanging="360"/>
      </w:pPr>
      <w:r w:rsidRPr="001B30BE">
        <w:t>Likelihood of establishment</w:t>
      </w:r>
    </w:p>
    <w:p w14:paraId="5C54D0D1" w14:textId="77777777" w:rsidR="004726BA" w:rsidRDefault="004726BA" w:rsidP="00800E7D">
      <w:pPr>
        <w:rPr>
          <w:rFonts w:cstheme="minorHAnsi"/>
        </w:rPr>
      </w:pPr>
      <w:r w:rsidRPr="001B30BE">
        <w:rPr>
          <w:rFonts w:cstheme="minorHAnsi"/>
        </w:rPr>
        <w:t xml:space="preserve">Establishment is defined as the ‘perpetuation, for the foreseeable future, of a pest within an area after entry’ </w:t>
      </w:r>
      <w:r>
        <w:rPr>
          <w:rFonts w:cstheme="minorHAnsi"/>
          <w:noProof/>
        </w:rPr>
        <w:t>(FAO 2024)</w:t>
      </w:r>
      <w:r w:rsidRPr="001B30BE">
        <w:rPr>
          <w:rFonts w:cstheme="minorHAnsi"/>
        </w:rPr>
        <w:t>. In order to estimate the likelihood of establishment of a pest, reliable biological information</w:t>
      </w:r>
      <w:r>
        <w:rPr>
          <w:rFonts w:cstheme="minorHAnsi"/>
        </w:rPr>
        <w:t xml:space="preserve"> of the pest such as</w:t>
      </w:r>
      <w:r w:rsidRPr="001B30BE">
        <w:rPr>
          <w:rFonts w:cstheme="minorHAnsi"/>
        </w:rPr>
        <w:t xml:space="preserve"> </w:t>
      </w:r>
      <w:r w:rsidRPr="00D904DB">
        <w:rPr>
          <w:rFonts w:cstheme="minorHAnsi"/>
        </w:rPr>
        <w:t>availability of suitable hosts, alternate hosts and vectors</w:t>
      </w:r>
      <w:r>
        <w:rPr>
          <w:rFonts w:cstheme="minorHAnsi"/>
        </w:rPr>
        <w:t xml:space="preserve">, </w:t>
      </w:r>
      <w:r w:rsidRPr="001B30BE">
        <w:rPr>
          <w:rFonts w:cstheme="minorHAnsi"/>
        </w:rPr>
        <w:t>suitability of environment</w:t>
      </w:r>
      <w:r>
        <w:rPr>
          <w:rFonts w:cstheme="minorHAnsi"/>
        </w:rPr>
        <w:t xml:space="preserve"> in the PRA area,</w:t>
      </w:r>
      <w:r w:rsidRPr="00D904DB">
        <w:rPr>
          <w:rFonts w:cstheme="minorHAnsi"/>
        </w:rPr>
        <w:t xml:space="preserve"> </w:t>
      </w:r>
      <w:r w:rsidRPr="001B30BE">
        <w:rPr>
          <w:rFonts w:cstheme="minorHAnsi"/>
        </w:rPr>
        <w:t>cultural practices and control measures in the PRA area</w:t>
      </w:r>
      <w:r>
        <w:rPr>
          <w:rFonts w:cstheme="minorHAnsi"/>
        </w:rPr>
        <w:t>, reproductive strategies and adaptation mechanisms will be considered in comparison to the country/area origin of the pest.</w:t>
      </w:r>
    </w:p>
    <w:p w14:paraId="3CDBD52A" w14:textId="77777777" w:rsidR="004726BA" w:rsidRDefault="004726BA" w:rsidP="00800E7D">
      <w:r>
        <w:t>Factors to be considered in the likelihood of establishment in the PRA area may include:</w:t>
      </w:r>
    </w:p>
    <w:p w14:paraId="588D9408" w14:textId="77777777" w:rsidR="004726BA" w:rsidRDefault="004726BA" w:rsidP="00800E7D">
      <w:pPr>
        <w:pStyle w:val="ListBullet"/>
        <w:tabs>
          <w:tab w:val="left" w:pos="720"/>
        </w:tabs>
        <w:ind w:left="737"/>
      </w:pPr>
      <w:r>
        <w:t>availability of suitable hosts, alternate hosts and vectors in the PRA areas</w:t>
      </w:r>
    </w:p>
    <w:p w14:paraId="4A74E6B3" w14:textId="77777777" w:rsidR="004726BA" w:rsidRDefault="004726BA" w:rsidP="00800E7D">
      <w:pPr>
        <w:pStyle w:val="ListBullet2"/>
        <w:numPr>
          <w:ilvl w:val="1"/>
          <w:numId w:val="1"/>
        </w:numPr>
        <w:ind w:left="1077" w:hanging="397"/>
      </w:pPr>
      <w:r>
        <w:t>prevalence of hosts and alternate hosts in the PRA area</w:t>
      </w:r>
    </w:p>
    <w:p w14:paraId="01C33B2C" w14:textId="77777777" w:rsidR="004726BA" w:rsidRDefault="004726BA" w:rsidP="00800E7D">
      <w:pPr>
        <w:pStyle w:val="ListBullet2"/>
        <w:numPr>
          <w:ilvl w:val="1"/>
          <w:numId w:val="1"/>
        </w:numPr>
        <w:ind w:left="1077" w:hanging="397"/>
      </w:pPr>
      <w:r>
        <w:t>whether hosts and alternate hosts occur within sufficient geographic proximity to allow the pest to complete its life cycle</w:t>
      </w:r>
    </w:p>
    <w:p w14:paraId="39C1A7CE" w14:textId="77777777" w:rsidR="004726BA" w:rsidRDefault="004726BA" w:rsidP="00800E7D">
      <w:pPr>
        <w:pStyle w:val="ListBullet2"/>
        <w:numPr>
          <w:ilvl w:val="1"/>
          <w:numId w:val="1"/>
        </w:numPr>
        <w:ind w:left="1077" w:hanging="397"/>
      </w:pPr>
      <w:r>
        <w:t>whether there are other plant species, which could prove to be suitable hosts in the absence of usual host species</w:t>
      </w:r>
    </w:p>
    <w:p w14:paraId="554F52BE" w14:textId="77777777" w:rsidR="004726BA" w:rsidRDefault="004726BA" w:rsidP="00800E7D">
      <w:pPr>
        <w:pStyle w:val="ListBullet2"/>
        <w:numPr>
          <w:ilvl w:val="1"/>
          <w:numId w:val="1"/>
        </w:numPr>
        <w:ind w:left="1077" w:hanging="397"/>
      </w:pPr>
      <w:r>
        <w:t>whether a vector, if needed for dispersal of the pest, is already present in the PRA area or likely to be introduced</w:t>
      </w:r>
    </w:p>
    <w:p w14:paraId="5F2629C0" w14:textId="77777777" w:rsidR="004726BA" w:rsidRDefault="004726BA" w:rsidP="00800E7D">
      <w:pPr>
        <w:pStyle w:val="ListBullet"/>
        <w:tabs>
          <w:tab w:val="left" w:pos="720"/>
        </w:tabs>
        <w:ind w:left="737"/>
      </w:pPr>
      <w:r>
        <w:t>suitability of environment in the PRA area</w:t>
      </w:r>
    </w:p>
    <w:p w14:paraId="561C85B6" w14:textId="77777777" w:rsidR="004726BA" w:rsidRDefault="004726BA" w:rsidP="00800E7D">
      <w:pPr>
        <w:pStyle w:val="ListBullet2"/>
        <w:numPr>
          <w:ilvl w:val="1"/>
          <w:numId w:val="1"/>
        </w:numPr>
        <w:ind w:left="1077" w:hanging="397"/>
      </w:pPr>
      <w:r>
        <w:t>factors in the environment in the PRA area (for example, suitability of climate, soil, pest and host competition) that are critical to the development of the pest, its host and if applicable its vector, and to their ability to survive periods of climatic stress and complete their life cycles</w:t>
      </w:r>
    </w:p>
    <w:p w14:paraId="1F428497" w14:textId="77777777" w:rsidR="004726BA" w:rsidRDefault="004726BA" w:rsidP="00800E7D">
      <w:pPr>
        <w:pStyle w:val="ListBullet"/>
        <w:tabs>
          <w:tab w:val="left" w:pos="720"/>
        </w:tabs>
        <w:ind w:left="737"/>
      </w:pPr>
      <w:r>
        <w:t>cultural practices and control measures in the PRA area that may influence the ability of the pest to establish</w:t>
      </w:r>
    </w:p>
    <w:p w14:paraId="55E556CB" w14:textId="77777777" w:rsidR="004726BA" w:rsidRDefault="004726BA" w:rsidP="00800E7D">
      <w:pPr>
        <w:pStyle w:val="ListBullet"/>
        <w:tabs>
          <w:tab w:val="left" w:pos="720"/>
        </w:tabs>
        <w:ind w:left="737"/>
      </w:pPr>
      <w:r>
        <w:t>other characteristics of the pest</w:t>
      </w:r>
    </w:p>
    <w:p w14:paraId="5A3F7D97" w14:textId="77777777" w:rsidR="004726BA" w:rsidRDefault="004726BA" w:rsidP="00800E7D">
      <w:pPr>
        <w:pStyle w:val="ListBullet2"/>
        <w:numPr>
          <w:ilvl w:val="1"/>
          <w:numId w:val="1"/>
        </w:numPr>
        <w:ind w:left="1077" w:hanging="397"/>
      </w:pPr>
      <w:r>
        <w:t>reproductive strategy of the pest and method of pest survival</w:t>
      </w:r>
    </w:p>
    <w:p w14:paraId="50C1ED82" w14:textId="77777777" w:rsidR="004726BA" w:rsidRDefault="004726BA" w:rsidP="00800E7D">
      <w:pPr>
        <w:pStyle w:val="ListBullet2"/>
        <w:numPr>
          <w:ilvl w:val="1"/>
          <w:numId w:val="1"/>
        </w:numPr>
        <w:ind w:left="1077" w:hanging="397"/>
      </w:pPr>
      <w:r>
        <w:t>potential for adaptation of the pest</w:t>
      </w:r>
    </w:p>
    <w:p w14:paraId="3AC18465" w14:textId="77777777" w:rsidR="004726BA" w:rsidRDefault="004726BA" w:rsidP="00800E7D">
      <w:pPr>
        <w:pStyle w:val="ListBullet2"/>
        <w:numPr>
          <w:ilvl w:val="1"/>
          <w:numId w:val="1"/>
        </w:numPr>
        <w:ind w:left="1077" w:hanging="397"/>
      </w:pPr>
      <w:r>
        <w:t>minimum population needed for establishment.</w:t>
      </w:r>
    </w:p>
    <w:p w14:paraId="2D00ED4F" w14:textId="77777777" w:rsidR="004726BA" w:rsidRPr="001B30BE" w:rsidRDefault="004726BA" w:rsidP="00800E7D">
      <w:pPr>
        <w:pStyle w:val="Heading4-Appendix"/>
        <w:tabs>
          <w:tab w:val="clear" w:pos="794"/>
        </w:tabs>
        <w:ind w:left="360" w:hanging="360"/>
      </w:pPr>
      <w:r w:rsidRPr="001B30BE">
        <w:lastRenderedPageBreak/>
        <w:t>Likelihood of spread</w:t>
      </w:r>
    </w:p>
    <w:p w14:paraId="179CC8A4" w14:textId="77777777" w:rsidR="004726BA" w:rsidRDefault="004726BA" w:rsidP="00800E7D">
      <w:r w:rsidRPr="001B30BE">
        <w:rPr>
          <w:rFonts w:cstheme="minorHAnsi"/>
        </w:rPr>
        <w:t xml:space="preserve">Spread is defined as ‘the expansion of the geographical distribution of a pest within an area’ </w:t>
      </w:r>
      <w:r>
        <w:rPr>
          <w:rFonts w:cstheme="minorHAnsi"/>
          <w:noProof/>
        </w:rPr>
        <w:t>(FAO 2024)</w:t>
      </w:r>
      <w:r w:rsidRPr="001B30BE">
        <w:rPr>
          <w:rFonts w:cstheme="minorHAnsi"/>
        </w:rPr>
        <w:t>. The likelihood of spread considers the factors relevant to the movement of the pest, after est</w:t>
      </w:r>
      <w:r>
        <w:rPr>
          <w:rFonts w:cstheme="minorHAnsi"/>
        </w:rPr>
        <w:t>a</w:t>
      </w:r>
      <w:r w:rsidRPr="001B30BE">
        <w:rPr>
          <w:rFonts w:cstheme="minorHAnsi"/>
        </w:rPr>
        <w:t xml:space="preserve">blishment on a host plant </w:t>
      </w:r>
      <w:r w:rsidRPr="006375B8">
        <w:rPr>
          <w:rFonts w:cstheme="minorHAnsi"/>
        </w:rPr>
        <w:t xml:space="preserve">or </w:t>
      </w:r>
      <w:r w:rsidRPr="002B7AC6">
        <w:rPr>
          <w:rFonts w:cstheme="minorHAnsi"/>
        </w:rPr>
        <w:t>plants,</w:t>
      </w:r>
      <w:r>
        <w:rPr>
          <w:rFonts w:cstheme="minorHAnsi"/>
        </w:rPr>
        <w:t xml:space="preserve"> </w:t>
      </w:r>
      <w:r w:rsidRPr="001B30BE">
        <w:rPr>
          <w:rFonts w:cstheme="minorHAnsi"/>
        </w:rPr>
        <w:t>to other susceptible host plants</w:t>
      </w:r>
      <w:r>
        <w:rPr>
          <w:rFonts w:cstheme="minorHAnsi"/>
        </w:rPr>
        <w:t xml:space="preserve"> </w:t>
      </w:r>
      <w:r>
        <w:t>of the same or different species in other areas.</w:t>
      </w:r>
      <w:r w:rsidRPr="001B30BE">
        <w:rPr>
          <w:rFonts w:cstheme="minorHAnsi"/>
        </w:rPr>
        <w:t xml:space="preserve"> </w:t>
      </w:r>
      <w:r>
        <w:t>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74CA065B" w14:textId="77777777" w:rsidR="004726BA" w:rsidRDefault="004726BA" w:rsidP="00800E7D">
      <w:r>
        <w:t>Factors to be considered in the likelihood of spread may include:</w:t>
      </w:r>
    </w:p>
    <w:p w14:paraId="0562B58B" w14:textId="77777777" w:rsidR="004726BA" w:rsidRDefault="004726BA" w:rsidP="00800E7D">
      <w:pPr>
        <w:pStyle w:val="ListBullet"/>
        <w:tabs>
          <w:tab w:val="left" w:pos="720"/>
        </w:tabs>
        <w:ind w:left="737"/>
        <w:jc w:val="both"/>
      </w:pPr>
      <w:r>
        <w:t>suitability of the natural and/or managed environment for natural spread of the pest</w:t>
      </w:r>
    </w:p>
    <w:p w14:paraId="36DB38F0" w14:textId="77777777" w:rsidR="004726BA" w:rsidRDefault="004726BA" w:rsidP="00800E7D">
      <w:pPr>
        <w:pStyle w:val="ListBullet"/>
        <w:tabs>
          <w:tab w:val="left" w:pos="720"/>
        </w:tabs>
        <w:ind w:left="737"/>
        <w:jc w:val="both"/>
      </w:pPr>
      <w:r>
        <w:t>presence of natural barriers</w:t>
      </w:r>
    </w:p>
    <w:p w14:paraId="132425CF" w14:textId="77777777" w:rsidR="004726BA" w:rsidRDefault="004726BA" w:rsidP="00800E7D">
      <w:pPr>
        <w:pStyle w:val="ListBullet"/>
        <w:tabs>
          <w:tab w:val="left" w:pos="720"/>
        </w:tabs>
        <w:ind w:left="737"/>
        <w:jc w:val="both"/>
      </w:pPr>
      <w:r>
        <w:t>potential for movement with commodities, conveyances or by vectors</w:t>
      </w:r>
    </w:p>
    <w:p w14:paraId="6CCB28C6" w14:textId="77777777" w:rsidR="004726BA" w:rsidRDefault="004726BA" w:rsidP="00800E7D">
      <w:pPr>
        <w:pStyle w:val="ListBullet"/>
        <w:tabs>
          <w:tab w:val="left" w:pos="720"/>
        </w:tabs>
        <w:ind w:left="737"/>
        <w:jc w:val="both"/>
      </w:pPr>
      <w:r>
        <w:t>intended use of the commodity</w:t>
      </w:r>
    </w:p>
    <w:p w14:paraId="48E82512" w14:textId="77777777" w:rsidR="004726BA" w:rsidRDefault="004726BA" w:rsidP="00800E7D">
      <w:pPr>
        <w:pStyle w:val="ListBullet"/>
        <w:tabs>
          <w:tab w:val="left" w:pos="720"/>
        </w:tabs>
        <w:ind w:left="737"/>
        <w:jc w:val="both"/>
      </w:pPr>
      <w:r>
        <w:t>potential vectors of the pest in the PRA area</w:t>
      </w:r>
    </w:p>
    <w:p w14:paraId="0CE3082C" w14:textId="77777777" w:rsidR="004726BA" w:rsidRDefault="004726BA" w:rsidP="00800E7D">
      <w:pPr>
        <w:pStyle w:val="ListBullet"/>
        <w:tabs>
          <w:tab w:val="left" w:pos="720"/>
        </w:tabs>
        <w:ind w:left="737"/>
        <w:jc w:val="both"/>
      </w:pPr>
      <w:r>
        <w:t>potential natural enemies of the pest in the PRA area.</w:t>
      </w:r>
    </w:p>
    <w:p w14:paraId="7CBD3149" w14:textId="77777777" w:rsidR="004726BA" w:rsidRPr="001B30BE" w:rsidRDefault="004726BA" w:rsidP="00800E7D">
      <w:pPr>
        <w:pStyle w:val="Heading4-Appendix"/>
        <w:tabs>
          <w:tab w:val="clear" w:pos="794"/>
        </w:tabs>
        <w:ind w:left="360" w:hanging="360"/>
      </w:pPr>
      <w:r w:rsidRPr="001B30BE">
        <w:t>Assigning likelihoods for entry, establishment and spread</w:t>
      </w:r>
    </w:p>
    <w:p w14:paraId="0118AB4B" w14:textId="77777777" w:rsidR="004726BA" w:rsidRDefault="004726BA" w:rsidP="00800E7D">
      <w:pPr>
        <w:rPr>
          <w:rFonts w:cstheme="minorHAnsi"/>
        </w:rPr>
      </w:pPr>
      <w:r w:rsidRPr="00BC4114">
        <w:rPr>
          <w:rFonts w:cstheme="minorHAnsi"/>
        </w:rPr>
        <w:t>Likelihoods are assigned to each step of entry, establishment and spread. Six qualitative</w:t>
      </w:r>
      <w:r w:rsidRPr="001B30BE">
        <w:rPr>
          <w:rFonts w:cstheme="minorHAnsi"/>
        </w:rPr>
        <w:t xml:space="preserve"> likelihood descriptors are used: High; Moderate; Low; Very Low; Extremely Low; and Negligible. Definitions for these descriptors and their indicative ranges are given in </w:t>
      </w:r>
      <w:r w:rsidRPr="001B30BE">
        <w:rPr>
          <w:rFonts w:cstheme="minorHAnsi"/>
        </w:rPr>
        <w:fldChar w:fldCharType="begin"/>
      </w:r>
      <w:r w:rsidRPr="001B30BE">
        <w:rPr>
          <w:rFonts w:cstheme="minorHAnsi"/>
        </w:rPr>
        <w:instrText xml:space="preserve"> REF _Ref524354931 \h  \* MERGEFORMAT </w:instrText>
      </w:r>
      <w:r w:rsidRPr="001B30BE">
        <w:rPr>
          <w:rFonts w:cstheme="minorHAnsi"/>
        </w:rPr>
      </w:r>
      <w:r w:rsidRPr="001B30BE">
        <w:rPr>
          <w:rFonts w:cstheme="minorHAnsi"/>
        </w:rPr>
        <w:fldChar w:fldCharType="separate"/>
      </w:r>
      <w:r w:rsidRPr="001B30BE">
        <w:rPr>
          <w:rFonts w:cstheme="minorHAnsi"/>
        </w:rPr>
        <w:t xml:space="preserve">Table </w:t>
      </w:r>
      <w:r w:rsidRPr="001B30BE">
        <w:rPr>
          <w:rFonts w:cstheme="minorHAnsi"/>
          <w:noProof/>
        </w:rPr>
        <w:t>A</w:t>
      </w:r>
      <w:r w:rsidRPr="001B30BE">
        <w:rPr>
          <w:rFonts w:cstheme="minorHAnsi"/>
        </w:rPr>
        <w:t>.</w:t>
      </w:r>
      <w:r>
        <w:rPr>
          <w:rFonts w:cstheme="minorHAnsi"/>
        </w:rPr>
        <w:t>1</w:t>
      </w:r>
      <w:r w:rsidRPr="001B30BE">
        <w:rPr>
          <w:rFonts w:cstheme="minorHAnsi"/>
        </w:rPr>
        <w:fldChar w:fldCharType="end"/>
      </w:r>
      <w:r w:rsidRPr="001B30BE">
        <w:rPr>
          <w:rFonts w:cstheme="minorHAnsi"/>
        </w:rPr>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2A7013C5" w14:textId="77777777" w:rsidR="004726BA" w:rsidRPr="001B30BE" w:rsidRDefault="004726BA" w:rsidP="00800E7D">
      <w:pPr>
        <w:pStyle w:val="Tablecaption"/>
        <w:rPr>
          <w:rFonts w:cstheme="minorHAnsi"/>
        </w:rPr>
      </w:pPr>
      <w:bookmarkStart w:id="65" w:name="_Ref524354931"/>
      <w:bookmarkStart w:id="66" w:name="_Ref457826303"/>
      <w:bookmarkStart w:id="67" w:name="_Toc6906414"/>
      <w:bookmarkStart w:id="68" w:name="_Toc202256550"/>
      <w:r w:rsidRPr="001B30BE">
        <w:rPr>
          <w:rFonts w:cstheme="minorHAnsi"/>
        </w:rPr>
        <w:t>Table A.</w:t>
      </w:r>
      <w:r w:rsidRPr="001B30BE">
        <w:rPr>
          <w:rFonts w:cstheme="minorHAnsi"/>
        </w:rPr>
        <w:fldChar w:fldCharType="begin"/>
      </w:r>
      <w:r w:rsidRPr="001B30BE">
        <w:rPr>
          <w:rFonts w:cstheme="minorHAnsi"/>
        </w:rPr>
        <w:instrText xml:space="preserve"> SEQ Table \* ARABIC \s 2 </w:instrText>
      </w:r>
      <w:r w:rsidRPr="001B30BE">
        <w:rPr>
          <w:rFonts w:cstheme="minorHAnsi"/>
        </w:rPr>
        <w:fldChar w:fldCharType="separate"/>
      </w:r>
      <w:r>
        <w:rPr>
          <w:rFonts w:cstheme="minorHAnsi"/>
          <w:noProof/>
        </w:rPr>
        <w:t>1</w:t>
      </w:r>
      <w:r w:rsidRPr="001B30BE">
        <w:rPr>
          <w:rFonts w:cstheme="minorHAnsi"/>
          <w:noProof/>
        </w:rPr>
        <w:fldChar w:fldCharType="end"/>
      </w:r>
      <w:bookmarkEnd w:id="65"/>
      <w:r w:rsidRPr="001B30BE">
        <w:rPr>
          <w:rFonts w:cstheme="minorHAnsi"/>
        </w:rPr>
        <w:t xml:space="preserve"> Nomenclature of likelihoods</w:t>
      </w:r>
      <w:bookmarkEnd w:id="66"/>
      <w:bookmarkEnd w:id="67"/>
      <w:bookmarkEnd w:id="68"/>
    </w:p>
    <w:tbl>
      <w:tblPr>
        <w:tblW w:w="4976" w:type="pct"/>
        <w:tblBorders>
          <w:top w:val="single" w:sz="4" w:space="0" w:color="auto"/>
          <w:bottom w:val="single" w:sz="4" w:space="0" w:color="auto"/>
        </w:tblBorders>
        <w:tblLook w:val="04A0" w:firstRow="1" w:lastRow="0" w:firstColumn="1" w:lastColumn="0" w:noHBand="0" w:noVBand="1"/>
      </w:tblPr>
      <w:tblGrid>
        <w:gridCol w:w="1893"/>
        <w:gridCol w:w="4111"/>
        <w:gridCol w:w="3003"/>
      </w:tblGrid>
      <w:tr w:rsidR="004726BA" w:rsidRPr="001B30BE" w14:paraId="0CEA7FEB" w14:textId="77777777" w:rsidTr="00800E7D">
        <w:tc>
          <w:tcPr>
            <w:tcW w:w="1051" w:type="pct"/>
            <w:tcBorders>
              <w:top w:val="single" w:sz="8" w:space="0" w:color="auto"/>
              <w:left w:val="single" w:sz="8" w:space="0" w:color="auto"/>
              <w:bottom w:val="single" w:sz="4" w:space="0" w:color="auto"/>
            </w:tcBorders>
            <w:shd w:val="clear" w:color="auto" w:fill="BFBFBF" w:themeFill="background1" w:themeFillShade="BF"/>
          </w:tcPr>
          <w:p w14:paraId="28B336E6" w14:textId="77777777" w:rsidR="004726BA" w:rsidRPr="00BC4114" w:rsidRDefault="004726BA" w:rsidP="00800E7D">
            <w:pPr>
              <w:pStyle w:val="TableHeading"/>
              <w:rPr>
                <w:rFonts w:cstheme="minorHAnsi"/>
              </w:rPr>
            </w:pPr>
            <w:r w:rsidRPr="00BC4114">
              <w:rPr>
                <w:rFonts w:cstheme="minorHAnsi"/>
              </w:rPr>
              <w:t>Likelihood</w:t>
            </w:r>
          </w:p>
        </w:tc>
        <w:tc>
          <w:tcPr>
            <w:tcW w:w="2282" w:type="pct"/>
            <w:tcBorders>
              <w:top w:val="single" w:sz="8" w:space="0" w:color="auto"/>
              <w:bottom w:val="single" w:sz="4" w:space="0" w:color="auto"/>
            </w:tcBorders>
            <w:shd w:val="clear" w:color="auto" w:fill="BFBFBF" w:themeFill="background1" w:themeFillShade="BF"/>
          </w:tcPr>
          <w:p w14:paraId="7E4DDBB9" w14:textId="77777777" w:rsidR="004726BA" w:rsidRPr="00BC4114" w:rsidRDefault="004726BA" w:rsidP="00800E7D">
            <w:pPr>
              <w:pStyle w:val="TableHeading"/>
              <w:rPr>
                <w:rFonts w:cstheme="minorHAnsi"/>
              </w:rPr>
            </w:pPr>
            <w:r w:rsidRPr="00BC4114">
              <w:rPr>
                <w:rFonts w:cstheme="minorHAnsi"/>
              </w:rPr>
              <w:t>Descriptive definition</w:t>
            </w:r>
          </w:p>
        </w:tc>
        <w:tc>
          <w:tcPr>
            <w:tcW w:w="1667" w:type="pct"/>
            <w:tcBorders>
              <w:top w:val="single" w:sz="8" w:space="0" w:color="auto"/>
              <w:bottom w:val="single" w:sz="4" w:space="0" w:color="auto"/>
              <w:right w:val="single" w:sz="8" w:space="0" w:color="auto"/>
            </w:tcBorders>
            <w:shd w:val="clear" w:color="auto" w:fill="BFBFBF" w:themeFill="background1" w:themeFillShade="BF"/>
          </w:tcPr>
          <w:p w14:paraId="0BF33951" w14:textId="77777777" w:rsidR="004726BA" w:rsidRPr="00BC4114" w:rsidRDefault="004726BA" w:rsidP="00800E7D">
            <w:pPr>
              <w:pStyle w:val="TableHeading"/>
              <w:rPr>
                <w:rFonts w:cstheme="minorHAnsi"/>
              </w:rPr>
            </w:pPr>
            <w:r w:rsidRPr="00BC4114">
              <w:rPr>
                <w:rFonts w:cstheme="minorHAnsi"/>
              </w:rPr>
              <w:t>Indicative range</w:t>
            </w:r>
          </w:p>
        </w:tc>
      </w:tr>
      <w:tr w:rsidR="004726BA" w:rsidRPr="001B30BE" w14:paraId="7DF3DC3F" w14:textId="77777777" w:rsidTr="00800E7D">
        <w:tc>
          <w:tcPr>
            <w:tcW w:w="1051" w:type="pct"/>
            <w:tcBorders>
              <w:top w:val="single" w:sz="4" w:space="0" w:color="auto"/>
              <w:left w:val="single" w:sz="8" w:space="0" w:color="auto"/>
            </w:tcBorders>
          </w:tcPr>
          <w:p w14:paraId="1B3A0349" w14:textId="77777777" w:rsidR="004726BA" w:rsidRPr="001B30BE" w:rsidRDefault="004726BA" w:rsidP="00800E7D">
            <w:pPr>
              <w:pStyle w:val="TableText"/>
              <w:rPr>
                <w:rFonts w:cstheme="minorHAnsi"/>
              </w:rPr>
            </w:pPr>
            <w:r w:rsidRPr="001B30BE">
              <w:rPr>
                <w:rFonts w:cstheme="minorHAnsi"/>
              </w:rPr>
              <w:t>High</w:t>
            </w:r>
          </w:p>
        </w:tc>
        <w:tc>
          <w:tcPr>
            <w:tcW w:w="2282" w:type="pct"/>
            <w:tcBorders>
              <w:top w:val="single" w:sz="4" w:space="0" w:color="auto"/>
            </w:tcBorders>
          </w:tcPr>
          <w:p w14:paraId="1B9CC1BE" w14:textId="77777777" w:rsidR="004726BA" w:rsidRPr="001B30BE" w:rsidRDefault="004726BA" w:rsidP="00800E7D">
            <w:pPr>
              <w:pStyle w:val="TableText"/>
              <w:rPr>
                <w:rFonts w:cstheme="minorHAnsi"/>
              </w:rPr>
            </w:pPr>
            <w:r w:rsidRPr="001B30BE">
              <w:rPr>
                <w:rFonts w:cstheme="minorHAnsi"/>
              </w:rPr>
              <w:t>The event would be very likely to occur</w:t>
            </w:r>
          </w:p>
        </w:tc>
        <w:tc>
          <w:tcPr>
            <w:tcW w:w="1667" w:type="pct"/>
            <w:tcBorders>
              <w:top w:val="single" w:sz="4" w:space="0" w:color="auto"/>
              <w:right w:val="single" w:sz="8" w:space="0" w:color="auto"/>
            </w:tcBorders>
          </w:tcPr>
          <w:p w14:paraId="67C14EAB" w14:textId="77777777" w:rsidR="004726BA" w:rsidRPr="001B30BE" w:rsidRDefault="004726BA" w:rsidP="00800E7D">
            <w:pPr>
              <w:pStyle w:val="TableText"/>
              <w:rPr>
                <w:rFonts w:cstheme="minorHAnsi"/>
              </w:rPr>
            </w:pPr>
            <w:r w:rsidRPr="001B30BE">
              <w:rPr>
                <w:rFonts w:cstheme="minorHAnsi"/>
              </w:rPr>
              <w:t>0.7 &lt; to ≤ 1</w:t>
            </w:r>
          </w:p>
        </w:tc>
      </w:tr>
      <w:tr w:rsidR="004726BA" w:rsidRPr="001B30BE" w14:paraId="3263DCD5" w14:textId="77777777" w:rsidTr="00800E7D">
        <w:tc>
          <w:tcPr>
            <w:tcW w:w="1051" w:type="pct"/>
            <w:tcBorders>
              <w:left w:val="single" w:sz="8" w:space="0" w:color="auto"/>
            </w:tcBorders>
          </w:tcPr>
          <w:p w14:paraId="0F554CD5" w14:textId="77777777" w:rsidR="004726BA" w:rsidRPr="001B30BE" w:rsidRDefault="004726BA" w:rsidP="00800E7D">
            <w:pPr>
              <w:pStyle w:val="TableText"/>
              <w:rPr>
                <w:rFonts w:cstheme="minorHAnsi"/>
              </w:rPr>
            </w:pPr>
            <w:r w:rsidRPr="001B30BE">
              <w:rPr>
                <w:rFonts w:cstheme="minorHAnsi"/>
              </w:rPr>
              <w:t>Moderate</w:t>
            </w:r>
          </w:p>
        </w:tc>
        <w:tc>
          <w:tcPr>
            <w:tcW w:w="2282" w:type="pct"/>
          </w:tcPr>
          <w:p w14:paraId="5671493D" w14:textId="77777777" w:rsidR="004726BA" w:rsidRPr="001B30BE" w:rsidRDefault="004726BA" w:rsidP="00800E7D">
            <w:pPr>
              <w:pStyle w:val="TableText"/>
              <w:rPr>
                <w:rFonts w:cstheme="minorHAnsi"/>
              </w:rPr>
            </w:pPr>
            <w:r w:rsidRPr="001B30BE">
              <w:rPr>
                <w:rFonts w:cstheme="minorHAnsi"/>
              </w:rPr>
              <w:t>The event would occur with an even likelihood</w:t>
            </w:r>
          </w:p>
        </w:tc>
        <w:tc>
          <w:tcPr>
            <w:tcW w:w="1667" w:type="pct"/>
            <w:tcBorders>
              <w:right w:val="single" w:sz="8" w:space="0" w:color="auto"/>
            </w:tcBorders>
          </w:tcPr>
          <w:p w14:paraId="53139C66" w14:textId="77777777" w:rsidR="004726BA" w:rsidRPr="001B30BE" w:rsidRDefault="004726BA" w:rsidP="00800E7D">
            <w:pPr>
              <w:pStyle w:val="TableText"/>
              <w:rPr>
                <w:rFonts w:cstheme="minorHAnsi"/>
              </w:rPr>
            </w:pPr>
            <w:r w:rsidRPr="001B30BE">
              <w:rPr>
                <w:rFonts w:cstheme="minorHAnsi"/>
              </w:rPr>
              <w:t>0.3 &lt; to ≤ 0.7</w:t>
            </w:r>
          </w:p>
        </w:tc>
      </w:tr>
      <w:tr w:rsidR="004726BA" w:rsidRPr="001B30BE" w14:paraId="040AD54B" w14:textId="77777777" w:rsidTr="00800E7D">
        <w:tc>
          <w:tcPr>
            <w:tcW w:w="1051" w:type="pct"/>
            <w:tcBorders>
              <w:left w:val="single" w:sz="8" w:space="0" w:color="auto"/>
            </w:tcBorders>
          </w:tcPr>
          <w:p w14:paraId="3C1BA0CF" w14:textId="77777777" w:rsidR="004726BA" w:rsidRPr="001B30BE" w:rsidRDefault="004726BA" w:rsidP="00800E7D">
            <w:pPr>
              <w:pStyle w:val="TableText"/>
              <w:rPr>
                <w:rFonts w:cstheme="minorHAnsi"/>
              </w:rPr>
            </w:pPr>
            <w:r w:rsidRPr="001B30BE">
              <w:rPr>
                <w:rFonts w:cstheme="minorHAnsi"/>
              </w:rPr>
              <w:t>Low</w:t>
            </w:r>
          </w:p>
        </w:tc>
        <w:tc>
          <w:tcPr>
            <w:tcW w:w="2282" w:type="pct"/>
          </w:tcPr>
          <w:p w14:paraId="0AF4FF57" w14:textId="77777777" w:rsidR="004726BA" w:rsidRPr="001B30BE" w:rsidRDefault="004726BA" w:rsidP="00800E7D">
            <w:pPr>
              <w:pStyle w:val="TableText"/>
              <w:rPr>
                <w:rFonts w:cstheme="minorHAnsi"/>
              </w:rPr>
            </w:pPr>
            <w:r w:rsidRPr="001B30BE">
              <w:rPr>
                <w:rFonts w:cstheme="minorHAnsi"/>
              </w:rPr>
              <w:t>The event would be unlikely to occur</w:t>
            </w:r>
          </w:p>
        </w:tc>
        <w:tc>
          <w:tcPr>
            <w:tcW w:w="1667" w:type="pct"/>
            <w:tcBorders>
              <w:right w:val="single" w:sz="8" w:space="0" w:color="auto"/>
            </w:tcBorders>
          </w:tcPr>
          <w:p w14:paraId="73F473C9" w14:textId="77777777" w:rsidR="004726BA" w:rsidRPr="001B30BE" w:rsidRDefault="004726BA" w:rsidP="00800E7D">
            <w:pPr>
              <w:pStyle w:val="TableText"/>
              <w:rPr>
                <w:rFonts w:cstheme="minorHAnsi"/>
              </w:rPr>
            </w:pPr>
            <w:r w:rsidRPr="001B30BE">
              <w:rPr>
                <w:rFonts w:cstheme="minorHAnsi"/>
              </w:rPr>
              <w:t>0.05 &lt; to ≤ 0.3</w:t>
            </w:r>
          </w:p>
        </w:tc>
      </w:tr>
      <w:tr w:rsidR="004726BA" w:rsidRPr="001B30BE" w14:paraId="34C9610B" w14:textId="77777777" w:rsidTr="00800E7D">
        <w:tc>
          <w:tcPr>
            <w:tcW w:w="1051" w:type="pct"/>
            <w:tcBorders>
              <w:left w:val="single" w:sz="8" w:space="0" w:color="auto"/>
            </w:tcBorders>
          </w:tcPr>
          <w:p w14:paraId="2EA547AF" w14:textId="77777777" w:rsidR="004726BA" w:rsidRPr="001B30BE" w:rsidRDefault="004726BA" w:rsidP="00800E7D">
            <w:pPr>
              <w:pStyle w:val="TableText"/>
              <w:rPr>
                <w:rFonts w:cstheme="minorHAnsi"/>
              </w:rPr>
            </w:pPr>
            <w:r w:rsidRPr="001B30BE">
              <w:rPr>
                <w:rFonts w:cstheme="minorHAnsi"/>
              </w:rPr>
              <w:t>Very Low</w:t>
            </w:r>
          </w:p>
        </w:tc>
        <w:tc>
          <w:tcPr>
            <w:tcW w:w="2282" w:type="pct"/>
          </w:tcPr>
          <w:p w14:paraId="15BBC936" w14:textId="77777777" w:rsidR="004726BA" w:rsidRPr="001B30BE" w:rsidRDefault="004726BA" w:rsidP="00800E7D">
            <w:pPr>
              <w:pStyle w:val="TableText"/>
              <w:rPr>
                <w:rFonts w:cstheme="minorHAnsi"/>
              </w:rPr>
            </w:pPr>
            <w:r w:rsidRPr="001B30BE">
              <w:rPr>
                <w:rFonts w:cstheme="minorHAnsi"/>
              </w:rPr>
              <w:t>The event would be very unlikely to occur</w:t>
            </w:r>
          </w:p>
        </w:tc>
        <w:tc>
          <w:tcPr>
            <w:tcW w:w="1667" w:type="pct"/>
            <w:tcBorders>
              <w:right w:val="single" w:sz="8" w:space="0" w:color="auto"/>
            </w:tcBorders>
          </w:tcPr>
          <w:p w14:paraId="6022DEC7" w14:textId="77777777" w:rsidR="004726BA" w:rsidRPr="001B30BE" w:rsidRDefault="004726BA" w:rsidP="00800E7D">
            <w:pPr>
              <w:pStyle w:val="TableText"/>
              <w:rPr>
                <w:rFonts w:cstheme="minorHAnsi"/>
              </w:rPr>
            </w:pPr>
            <w:r w:rsidRPr="001B30BE">
              <w:rPr>
                <w:rFonts w:cstheme="minorHAnsi"/>
              </w:rPr>
              <w:t>0.001 &lt; to ≤ 0.05</w:t>
            </w:r>
          </w:p>
        </w:tc>
      </w:tr>
      <w:tr w:rsidR="004726BA" w:rsidRPr="001B30BE" w14:paraId="650374E2" w14:textId="77777777" w:rsidTr="00800E7D">
        <w:tc>
          <w:tcPr>
            <w:tcW w:w="1051" w:type="pct"/>
            <w:tcBorders>
              <w:left w:val="single" w:sz="8" w:space="0" w:color="auto"/>
            </w:tcBorders>
          </w:tcPr>
          <w:p w14:paraId="2C9CBA4A" w14:textId="77777777" w:rsidR="004726BA" w:rsidRPr="001B30BE" w:rsidRDefault="004726BA" w:rsidP="00800E7D">
            <w:pPr>
              <w:pStyle w:val="TableText"/>
              <w:rPr>
                <w:rFonts w:cstheme="minorHAnsi"/>
              </w:rPr>
            </w:pPr>
            <w:r w:rsidRPr="001B30BE">
              <w:rPr>
                <w:rFonts w:cstheme="minorHAnsi"/>
              </w:rPr>
              <w:t>Extremely Low</w:t>
            </w:r>
          </w:p>
        </w:tc>
        <w:tc>
          <w:tcPr>
            <w:tcW w:w="2282" w:type="pct"/>
          </w:tcPr>
          <w:p w14:paraId="13A373D0" w14:textId="77777777" w:rsidR="004726BA" w:rsidRPr="001B30BE" w:rsidRDefault="004726BA" w:rsidP="00800E7D">
            <w:pPr>
              <w:pStyle w:val="TableText"/>
              <w:rPr>
                <w:rFonts w:cstheme="minorHAnsi"/>
              </w:rPr>
            </w:pPr>
            <w:r w:rsidRPr="001B30BE">
              <w:rPr>
                <w:rFonts w:cstheme="minorHAnsi"/>
              </w:rPr>
              <w:t>The event would be extremely unlikely to occur</w:t>
            </w:r>
          </w:p>
        </w:tc>
        <w:tc>
          <w:tcPr>
            <w:tcW w:w="1667" w:type="pct"/>
            <w:tcBorders>
              <w:right w:val="single" w:sz="8" w:space="0" w:color="auto"/>
            </w:tcBorders>
          </w:tcPr>
          <w:p w14:paraId="009EBE9E" w14:textId="77777777" w:rsidR="004726BA" w:rsidRPr="001B30BE" w:rsidRDefault="004726BA" w:rsidP="00800E7D">
            <w:pPr>
              <w:pStyle w:val="TableText"/>
              <w:rPr>
                <w:rFonts w:cstheme="minorHAnsi"/>
              </w:rPr>
            </w:pPr>
            <w:r w:rsidRPr="001B30BE">
              <w:rPr>
                <w:rFonts w:cstheme="minorHAnsi"/>
              </w:rPr>
              <w:t>0.000001 &lt; to ≤ 0.001</w:t>
            </w:r>
          </w:p>
        </w:tc>
      </w:tr>
      <w:tr w:rsidR="004726BA" w:rsidRPr="001B30BE" w14:paraId="021206DA" w14:textId="77777777" w:rsidTr="00800E7D">
        <w:tc>
          <w:tcPr>
            <w:tcW w:w="1051" w:type="pct"/>
            <w:tcBorders>
              <w:left w:val="single" w:sz="8" w:space="0" w:color="auto"/>
              <w:bottom w:val="single" w:sz="8" w:space="0" w:color="auto"/>
            </w:tcBorders>
          </w:tcPr>
          <w:p w14:paraId="50A7F8DD" w14:textId="77777777" w:rsidR="004726BA" w:rsidRPr="001B30BE" w:rsidRDefault="004726BA" w:rsidP="00800E7D">
            <w:pPr>
              <w:pStyle w:val="TableText"/>
              <w:rPr>
                <w:rFonts w:cstheme="minorHAnsi"/>
              </w:rPr>
            </w:pPr>
            <w:r w:rsidRPr="001B30BE">
              <w:rPr>
                <w:rFonts w:cstheme="minorHAnsi"/>
              </w:rPr>
              <w:t>Negligible</w:t>
            </w:r>
          </w:p>
        </w:tc>
        <w:tc>
          <w:tcPr>
            <w:tcW w:w="2282" w:type="pct"/>
            <w:tcBorders>
              <w:bottom w:val="single" w:sz="8" w:space="0" w:color="auto"/>
            </w:tcBorders>
          </w:tcPr>
          <w:p w14:paraId="570317C4" w14:textId="77777777" w:rsidR="004726BA" w:rsidRPr="001B30BE" w:rsidRDefault="004726BA" w:rsidP="00800E7D">
            <w:pPr>
              <w:pStyle w:val="TableText"/>
              <w:rPr>
                <w:rFonts w:cstheme="minorHAnsi"/>
              </w:rPr>
            </w:pPr>
            <w:r w:rsidRPr="001B30BE">
              <w:rPr>
                <w:rFonts w:cstheme="minorHAnsi"/>
              </w:rPr>
              <w:t>The event would almost certainly not occur</w:t>
            </w:r>
          </w:p>
        </w:tc>
        <w:tc>
          <w:tcPr>
            <w:tcW w:w="1667" w:type="pct"/>
            <w:tcBorders>
              <w:bottom w:val="single" w:sz="8" w:space="0" w:color="auto"/>
              <w:right w:val="single" w:sz="8" w:space="0" w:color="auto"/>
            </w:tcBorders>
          </w:tcPr>
          <w:p w14:paraId="2CB3A01B" w14:textId="77777777" w:rsidR="004726BA" w:rsidRPr="001B30BE" w:rsidRDefault="004726BA" w:rsidP="00800E7D">
            <w:pPr>
              <w:pStyle w:val="TableText"/>
              <w:rPr>
                <w:rFonts w:cstheme="minorHAnsi"/>
              </w:rPr>
            </w:pPr>
            <w:r w:rsidRPr="001B30BE">
              <w:rPr>
                <w:rFonts w:cstheme="minorHAnsi"/>
              </w:rPr>
              <w:t>0 &lt; to ≤ 0.000001</w:t>
            </w:r>
          </w:p>
        </w:tc>
      </w:tr>
    </w:tbl>
    <w:p w14:paraId="089D80E9" w14:textId="77777777" w:rsidR="004726BA" w:rsidRPr="001B30BE" w:rsidRDefault="004726BA" w:rsidP="00800E7D">
      <w:pPr>
        <w:pStyle w:val="Heading4-Appendix"/>
        <w:tabs>
          <w:tab w:val="clear" w:pos="794"/>
        </w:tabs>
        <w:ind w:left="360" w:hanging="360"/>
      </w:pPr>
      <w:r w:rsidRPr="001B30BE">
        <w:t>Combining likelihoods</w:t>
      </w:r>
    </w:p>
    <w:p w14:paraId="1D672877" w14:textId="77777777" w:rsidR="004726BA" w:rsidRPr="001B30BE" w:rsidRDefault="004726BA" w:rsidP="00800E7D">
      <w:pPr>
        <w:rPr>
          <w:rFonts w:cstheme="minorHAnsi"/>
        </w:rPr>
      </w:pPr>
      <w:r w:rsidRPr="001B30BE">
        <w:rPr>
          <w:rFonts w:cstheme="minorHAnsi"/>
        </w:rPr>
        <w:t>The likelihood of entry is determined by combining the likelihood that the pest will be imported into the PRA area and the likelihood that the pest will be distributed within the PRA area, using a matrix of rules (</w:t>
      </w:r>
      <w:r w:rsidRPr="001B30BE">
        <w:rPr>
          <w:rFonts w:cstheme="minorHAnsi"/>
        </w:rPr>
        <w:fldChar w:fldCharType="begin"/>
      </w:r>
      <w:r w:rsidRPr="001B30BE">
        <w:rPr>
          <w:rFonts w:cstheme="minorHAnsi"/>
        </w:rPr>
        <w:instrText xml:space="preserve"> REF _Ref524354947 \h  \* MERGEFORMAT </w:instrText>
      </w:r>
      <w:r w:rsidRPr="001B30BE">
        <w:rPr>
          <w:rFonts w:cstheme="minorHAnsi"/>
        </w:rPr>
      </w:r>
      <w:r w:rsidRPr="001B30BE">
        <w:rPr>
          <w:rFonts w:cstheme="minorHAnsi"/>
        </w:rPr>
        <w:fldChar w:fldCharType="separate"/>
      </w:r>
      <w:r w:rsidRPr="001B30BE">
        <w:rPr>
          <w:rFonts w:cstheme="minorHAnsi"/>
        </w:rPr>
        <w:t xml:space="preserve">Table </w:t>
      </w:r>
      <w:r w:rsidRPr="001B30BE">
        <w:rPr>
          <w:rFonts w:cstheme="minorHAnsi"/>
          <w:noProof/>
        </w:rPr>
        <w:t>A.</w:t>
      </w:r>
      <w:r>
        <w:rPr>
          <w:rFonts w:cstheme="minorHAnsi"/>
          <w:noProof/>
        </w:rPr>
        <w:t>2</w:t>
      </w:r>
      <w:r w:rsidRPr="001B30BE">
        <w:rPr>
          <w:rFonts w:cstheme="minorHAnsi"/>
        </w:rPr>
        <w:fldChar w:fldCharType="end"/>
      </w:r>
      <w:r w:rsidRPr="001B30BE">
        <w:rPr>
          <w:rFonts w:cstheme="minorHAnsi"/>
        </w:rP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19882215" w14:textId="77777777" w:rsidR="004726BA" w:rsidRPr="001B30BE" w:rsidRDefault="004726BA" w:rsidP="00800E7D">
      <w:pPr>
        <w:rPr>
          <w:rFonts w:cstheme="minorHAnsi"/>
        </w:rPr>
      </w:pPr>
      <w:r w:rsidRPr="001B30BE">
        <w:rPr>
          <w:rFonts w:cstheme="minorHAnsi"/>
        </w:rPr>
        <w:t xml:space="preserve">For example, if a descriptor of Low is assigned for the likelihood of importation, Moderate for the likelihood of distribution, High for the likelihood of establishment and Very Low for the likelihood of </w:t>
      </w:r>
      <w:r w:rsidRPr="001B30BE">
        <w:rPr>
          <w:rFonts w:cstheme="minorHAnsi"/>
        </w:rPr>
        <w:lastRenderedPageBreak/>
        <w:t>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16904773" w14:textId="77777777" w:rsidR="004726BA" w:rsidRPr="001B30BE" w:rsidRDefault="004726BA" w:rsidP="00800E7D">
      <w:pPr>
        <w:tabs>
          <w:tab w:val="left" w:pos="4395"/>
        </w:tabs>
        <w:rPr>
          <w:rFonts w:cstheme="minorHAnsi"/>
        </w:rPr>
      </w:pPr>
      <w:r w:rsidRPr="001B30BE">
        <w:rPr>
          <w:rFonts w:cstheme="minorHAnsi"/>
        </w:rPr>
        <w:t>importation x distribution = entry [E]</w:t>
      </w:r>
      <w:r w:rsidRPr="001B30BE">
        <w:rPr>
          <w:rFonts w:cstheme="minorHAnsi"/>
        </w:rPr>
        <w:tab/>
      </w:r>
      <w:r w:rsidRPr="001B30BE">
        <w:rPr>
          <w:rStyle w:val="Strong"/>
          <w:rFonts w:cstheme="minorHAnsi"/>
        </w:rPr>
        <w:t>Low x Moderate = Low</w:t>
      </w:r>
    </w:p>
    <w:p w14:paraId="3811D15F" w14:textId="77777777" w:rsidR="004726BA" w:rsidRPr="001B30BE" w:rsidRDefault="004726BA" w:rsidP="00800E7D">
      <w:pPr>
        <w:tabs>
          <w:tab w:val="left" w:pos="4395"/>
        </w:tabs>
        <w:rPr>
          <w:rFonts w:cstheme="minorHAnsi"/>
        </w:rPr>
      </w:pPr>
      <w:r w:rsidRPr="001B30BE">
        <w:rPr>
          <w:rFonts w:cstheme="minorHAnsi"/>
        </w:rPr>
        <w:t>entry x establishment = [EE]</w:t>
      </w:r>
      <w:r w:rsidRPr="001B30BE">
        <w:rPr>
          <w:rFonts w:cstheme="minorHAnsi"/>
        </w:rPr>
        <w:tab/>
      </w:r>
      <w:r w:rsidRPr="001B30BE">
        <w:rPr>
          <w:rStyle w:val="Strong"/>
          <w:rFonts w:cstheme="minorHAnsi"/>
        </w:rPr>
        <w:t>Low x High = Low</w:t>
      </w:r>
    </w:p>
    <w:p w14:paraId="1E99E964" w14:textId="77777777" w:rsidR="004726BA" w:rsidRPr="001B30BE" w:rsidRDefault="004726BA" w:rsidP="00800E7D">
      <w:pPr>
        <w:tabs>
          <w:tab w:val="left" w:pos="4395"/>
        </w:tabs>
        <w:rPr>
          <w:rStyle w:val="Strong"/>
          <w:rFonts w:cstheme="minorHAnsi"/>
        </w:rPr>
      </w:pPr>
      <w:r w:rsidRPr="001B30BE">
        <w:rPr>
          <w:rFonts w:cstheme="minorHAnsi"/>
        </w:rPr>
        <w:t>[EE] x spread = [EES]</w:t>
      </w:r>
      <w:r w:rsidRPr="001B30BE">
        <w:rPr>
          <w:rFonts w:cstheme="minorHAnsi"/>
        </w:rPr>
        <w:tab/>
      </w:r>
      <w:r w:rsidRPr="001B30BE">
        <w:rPr>
          <w:rStyle w:val="Strong"/>
          <w:rFonts w:cstheme="minorHAnsi"/>
        </w:rPr>
        <w:t>Low x Very Low = Very Low</w:t>
      </w:r>
    </w:p>
    <w:p w14:paraId="119B6238" w14:textId="77777777" w:rsidR="004726BA" w:rsidRPr="001B30BE" w:rsidRDefault="004726BA" w:rsidP="00800E7D">
      <w:pPr>
        <w:pStyle w:val="Tablecaption"/>
        <w:rPr>
          <w:rFonts w:cstheme="minorHAnsi"/>
        </w:rPr>
      </w:pPr>
      <w:bookmarkStart w:id="69" w:name="_Ref524354947"/>
      <w:bookmarkStart w:id="70" w:name="_Ref457826328"/>
      <w:bookmarkStart w:id="71" w:name="_Toc6906415"/>
      <w:bookmarkStart w:id="72" w:name="_Toc202256551"/>
      <w:r w:rsidRPr="001B30BE">
        <w:rPr>
          <w:rFonts w:cstheme="minorHAnsi"/>
        </w:rPr>
        <w:t xml:space="preserve">Table </w:t>
      </w:r>
      <w:r w:rsidRPr="001B30BE">
        <w:rPr>
          <w:rFonts w:cstheme="minorHAnsi"/>
          <w:noProof/>
        </w:rPr>
        <w:t>A.</w:t>
      </w:r>
      <w:r w:rsidRPr="001B30BE">
        <w:rPr>
          <w:rFonts w:cstheme="minorHAnsi"/>
          <w:noProof/>
        </w:rPr>
        <w:fldChar w:fldCharType="begin"/>
      </w:r>
      <w:r w:rsidRPr="001B30BE">
        <w:rPr>
          <w:rFonts w:cstheme="minorHAnsi"/>
          <w:noProof/>
        </w:rPr>
        <w:instrText xml:space="preserve"> SEQ Table \* ARABIC \s 2 </w:instrText>
      </w:r>
      <w:r w:rsidRPr="001B30BE">
        <w:rPr>
          <w:rFonts w:cstheme="minorHAnsi"/>
          <w:noProof/>
        </w:rPr>
        <w:fldChar w:fldCharType="separate"/>
      </w:r>
      <w:r>
        <w:rPr>
          <w:rFonts w:cstheme="minorHAnsi"/>
          <w:noProof/>
        </w:rPr>
        <w:t>2</w:t>
      </w:r>
      <w:r w:rsidRPr="001B30BE">
        <w:rPr>
          <w:rFonts w:cstheme="minorHAnsi"/>
          <w:noProof/>
        </w:rPr>
        <w:fldChar w:fldCharType="end"/>
      </w:r>
      <w:bookmarkEnd w:id="69"/>
      <w:r w:rsidRPr="001B30BE">
        <w:rPr>
          <w:rFonts w:cstheme="minorHAnsi"/>
        </w:rPr>
        <w:t xml:space="preserve"> Matrix of rules for combining likelihoods</w:t>
      </w:r>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264"/>
        <w:gridCol w:w="1298"/>
        <w:gridCol w:w="1298"/>
        <w:gridCol w:w="1298"/>
        <w:gridCol w:w="1298"/>
        <w:gridCol w:w="1298"/>
        <w:gridCol w:w="1296"/>
      </w:tblGrid>
      <w:tr w:rsidR="004726BA" w:rsidRPr="001B30BE" w14:paraId="752201AE" w14:textId="77777777" w:rsidTr="00800E7D">
        <w:trPr>
          <w:cantSplit/>
          <w:trHeight w:val="75"/>
        </w:trPr>
        <w:tc>
          <w:tcPr>
            <w:tcW w:w="698" w:type="pct"/>
            <w:tcBorders>
              <w:top w:val="single" w:sz="8" w:space="0" w:color="auto"/>
              <w:left w:val="single" w:sz="8" w:space="0" w:color="auto"/>
              <w:bottom w:val="nil"/>
              <w:right w:val="nil"/>
              <w:tl2br w:val="single" w:sz="4" w:space="0" w:color="C0C0C0"/>
            </w:tcBorders>
          </w:tcPr>
          <w:p w14:paraId="1113BD5D" w14:textId="77777777" w:rsidR="004726BA" w:rsidRPr="001B30BE" w:rsidRDefault="004726BA" w:rsidP="00800E7D">
            <w:pPr>
              <w:pStyle w:val="TableText"/>
              <w:rPr>
                <w:rFonts w:cstheme="minorHAnsi"/>
              </w:rPr>
            </w:pPr>
          </w:p>
        </w:tc>
        <w:tc>
          <w:tcPr>
            <w:tcW w:w="717" w:type="pct"/>
            <w:tcBorders>
              <w:top w:val="single" w:sz="8" w:space="0" w:color="auto"/>
              <w:left w:val="nil"/>
              <w:bottom w:val="single" w:sz="8" w:space="0" w:color="C0C0C0"/>
            </w:tcBorders>
          </w:tcPr>
          <w:p w14:paraId="3D54430C" w14:textId="77777777" w:rsidR="004726BA" w:rsidRPr="001B30BE" w:rsidRDefault="004726BA" w:rsidP="00800E7D">
            <w:pPr>
              <w:pStyle w:val="TableText"/>
              <w:rPr>
                <w:rFonts w:cstheme="minorHAnsi"/>
              </w:rPr>
            </w:pPr>
            <w:r w:rsidRPr="001B30BE">
              <w:rPr>
                <w:rFonts w:cstheme="minorHAnsi"/>
              </w:rPr>
              <w:t>High</w:t>
            </w:r>
          </w:p>
        </w:tc>
        <w:tc>
          <w:tcPr>
            <w:tcW w:w="717" w:type="pct"/>
            <w:tcBorders>
              <w:top w:val="single" w:sz="8" w:space="0" w:color="auto"/>
              <w:bottom w:val="single" w:sz="8" w:space="0" w:color="C0C0C0"/>
            </w:tcBorders>
          </w:tcPr>
          <w:p w14:paraId="649CE7EB" w14:textId="77777777" w:rsidR="004726BA" w:rsidRPr="001B30BE" w:rsidRDefault="004726BA" w:rsidP="00800E7D">
            <w:pPr>
              <w:pStyle w:val="TableText"/>
              <w:rPr>
                <w:rFonts w:cstheme="minorHAnsi"/>
              </w:rPr>
            </w:pPr>
            <w:r w:rsidRPr="001B30BE">
              <w:rPr>
                <w:rFonts w:cstheme="minorHAnsi"/>
              </w:rPr>
              <w:t>Moderate</w:t>
            </w:r>
          </w:p>
        </w:tc>
        <w:tc>
          <w:tcPr>
            <w:tcW w:w="717" w:type="pct"/>
            <w:tcBorders>
              <w:top w:val="single" w:sz="8" w:space="0" w:color="auto"/>
              <w:bottom w:val="single" w:sz="8" w:space="0" w:color="C0C0C0"/>
            </w:tcBorders>
          </w:tcPr>
          <w:p w14:paraId="727A03ED" w14:textId="77777777" w:rsidR="004726BA" w:rsidRPr="001B30BE" w:rsidRDefault="004726BA" w:rsidP="00800E7D">
            <w:pPr>
              <w:pStyle w:val="TableText"/>
              <w:rPr>
                <w:rFonts w:cstheme="minorHAnsi"/>
              </w:rPr>
            </w:pPr>
            <w:r w:rsidRPr="001B30BE">
              <w:rPr>
                <w:rFonts w:cstheme="minorHAnsi"/>
              </w:rPr>
              <w:t>Low</w:t>
            </w:r>
          </w:p>
        </w:tc>
        <w:tc>
          <w:tcPr>
            <w:tcW w:w="717" w:type="pct"/>
            <w:tcBorders>
              <w:top w:val="single" w:sz="8" w:space="0" w:color="auto"/>
              <w:bottom w:val="single" w:sz="8" w:space="0" w:color="C0C0C0"/>
            </w:tcBorders>
          </w:tcPr>
          <w:p w14:paraId="4DF587F8" w14:textId="77777777" w:rsidR="004726BA" w:rsidRPr="001B30BE" w:rsidRDefault="004726BA" w:rsidP="00800E7D">
            <w:pPr>
              <w:pStyle w:val="TableText"/>
              <w:rPr>
                <w:rFonts w:cstheme="minorHAnsi"/>
              </w:rPr>
            </w:pPr>
            <w:r w:rsidRPr="001B30BE">
              <w:rPr>
                <w:rFonts w:cstheme="minorHAnsi"/>
              </w:rPr>
              <w:t>Very Low</w:t>
            </w:r>
          </w:p>
        </w:tc>
        <w:tc>
          <w:tcPr>
            <w:tcW w:w="717" w:type="pct"/>
            <w:tcBorders>
              <w:top w:val="single" w:sz="8" w:space="0" w:color="auto"/>
              <w:bottom w:val="single" w:sz="8" w:space="0" w:color="C0C0C0"/>
            </w:tcBorders>
          </w:tcPr>
          <w:p w14:paraId="5F6E0C15" w14:textId="77777777" w:rsidR="004726BA" w:rsidRPr="001B30BE" w:rsidRDefault="004726BA" w:rsidP="00800E7D">
            <w:pPr>
              <w:pStyle w:val="TableText"/>
              <w:rPr>
                <w:rFonts w:cstheme="minorHAnsi"/>
              </w:rPr>
            </w:pPr>
            <w:r w:rsidRPr="001B30BE">
              <w:rPr>
                <w:rFonts w:cstheme="minorHAnsi"/>
              </w:rPr>
              <w:t>Extremely Low</w:t>
            </w:r>
          </w:p>
        </w:tc>
        <w:tc>
          <w:tcPr>
            <w:tcW w:w="716" w:type="pct"/>
            <w:tcBorders>
              <w:top w:val="single" w:sz="8" w:space="0" w:color="auto"/>
              <w:bottom w:val="single" w:sz="8" w:space="0" w:color="C0C0C0"/>
              <w:right w:val="single" w:sz="8" w:space="0" w:color="auto"/>
            </w:tcBorders>
          </w:tcPr>
          <w:p w14:paraId="1BD27D6A" w14:textId="77777777" w:rsidR="004726BA" w:rsidRPr="001B30BE" w:rsidRDefault="004726BA" w:rsidP="00800E7D">
            <w:pPr>
              <w:pStyle w:val="TableText"/>
              <w:rPr>
                <w:rFonts w:cstheme="minorHAnsi"/>
              </w:rPr>
            </w:pPr>
            <w:r w:rsidRPr="001B30BE">
              <w:rPr>
                <w:rFonts w:cstheme="minorHAnsi"/>
              </w:rPr>
              <w:t>Negligible</w:t>
            </w:r>
          </w:p>
        </w:tc>
      </w:tr>
      <w:tr w:rsidR="004726BA" w:rsidRPr="001B30BE" w14:paraId="546691F0" w14:textId="77777777" w:rsidTr="00800E7D">
        <w:trPr>
          <w:cantSplit/>
        </w:trPr>
        <w:tc>
          <w:tcPr>
            <w:tcW w:w="698" w:type="pct"/>
            <w:tcBorders>
              <w:top w:val="nil"/>
              <w:left w:val="single" w:sz="8" w:space="0" w:color="auto"/>
              <w:bottom w:val="single" w:sz="8" w:space="0" w:color="C0C0C0"/>
            </w:tcBorders>
            <w:vAlign w:val="center"/>
          </w:tcPr>
          <w:p w14:paraId="34A75690" w14:textId="77777777" w:rsidR="004726BA" w:rsidRPr="001B30BE" w:rsidRDefault="004726BA" w:rsidP="00800E7D">
            <w:pPr>
              <w:pStyle w:val="TableText"/>
              <w:rPr>
                <w:rFonts w:cstheme="minorHAnsi"/>
              </w:rPr>
            </w:pPr>
            <w:r w:rsidRPr="001B30BE">
              <w:rPr>
                <w:rFonts w:cstheme="minorHAnsi"/>
              </w:rPr>
              <w:t>High</w:t>
            </w:r>
          </w:p>
        </w:tc>
        <w:tc>
          <w:tcPr>
            <w:tcW w:w="717" w:type="pct"/>
            <w:tcBorders>
              <w:top w:val="single" w:sz="8" w:space="0" w:color="C0C0C0"/>
              <w:bottom w:val="single" w:sz="8" w:space="0" w:color="C0C0C0"/>
            </w:tcBorders>
            <w:shd w:val="clear" w:color="auto" w:fill="FF99CC"/>
            <w:vAlign w:val="center"/>
          </w:tcPr>
          <w:p w14:paraId="12B0B0F3" w14:textId="77777777" w:rsidR="004726BA" w:rsidRPr="001B30BE" w:rsidRDefault="004726BA" w:rsidP="00800E7D">
            <w:pPr>
              <w:pStyle w:val="TableText"/>
              <w:rPr>
                <w:rFonts w:cstheme="minorHAnsi"/>
                <w:snapToGrid w:val="0"/>
              </w:rPr>
            </w:pPr>
            <w:r w:rsidRPr="001B30BE">
              <w:rPr>
                <w:rFonts w:cstheme="minorHAnsi"/>
                <w:snapToGrid w:val="0"/>
              </w:rPr>
              <w:t>High</w:t>
            </w:r>
          </w:p>
        </w:tc>
        <w:tc>
          <w:tcPr>
            <w:tcW w:w="717" w:type="pct"/>
            <w:tcBorders>
              <w:top w:val="single" w:sz="8" w:space="0" w:color="C0C0C0"/>
            </w:tcBorders>
            <w:shd w:val="clear" w:color="auto" w:fill="FFCC99"/>
            <w:vAlign w:val="center"/>
          </w:tcPr>
          <w:p w14:paraId="1F811D91" w14:textId="77777777" w:rsidR="004726BA" w:rsidRPr="001B30BE" w:rsidRDefault="004726BA" w:rsidP="00800E7D">
            <w:pPr>
              <w:pStyle w:val="TableText"/>
              <w:rPr>
                <w:rFonts w:cstheme="minorHAnsi"/>
                <w:snapToGrid w:val="0"/>
              </w:rPr>
            </w:pPr>
            <w:r w:rsidRPr="001B30BE">
              <w:rPr>
                <w:rFonts w:cstheme="minorHAnsi"/>
                <w:snapToGrid w:val="0"/>
              </w:rPr>
              <w:t>Moderate</w:t>
            </w:r>
          </w:p>
        </w:tc>
        <w:tc>
          <w:tcPr>
            <w:tcW w:w="717" w:type="pct"/>
            <w:tcBorders>
              <w:top w:val="single" w:sz="8" w:space="0" w:color="C0C0C0"/>
            </w:tcBorders>
            <w:shd w:val="clear" w:color="auto" w:fill="FFFF99"/>
            <w:vAlign w:val="center"/>
          </w:tcPr>
          <w:p w14:paraId="3757FB80" w14:textId="77777777" w:rsidR="004726BA" w:rsidRPr="001B30BE" w:rsidRDefault="004726BA" w:rsidP="00800E7D">
            <w:pPr>
              <w:pStyle w:val="TableText"/>
              <w:rPr>
                <w:rFonts w:cstheme="minorHAnsi"/>
                <w:snapToGrid w:val="0"/>
              </w:rPr>
            </w:pPr>
            <w:r w:rsidRPr="001B30BE">
              <w:rPr>
                <w:rFonts w:cstheme="minorHAnsi"/>
                <w:snapToGrid w:val="0"/>
              </w:rPr>
              <w:t>Low</w:t>
            </w:r>
          </w:p>
        </w:tc>
        <w:tc>
          <w:tcPr>
            <w:tcW w:w="717" w:type="pct"/>
            <w:tcBorders>
              <w:top w:val="single" w:sz="8" w:space="0" w:color="C0C0C0"/>
            </w:tcBorders>
            <w:shd w:val="clear" w:color="auto" w:fill="CCFFCC"/>
            <w:vAlign w:val="center"/>
          </w:tcPr>
          <w:p w14:paraId="45581D57" w14:textId="77777777" w:rsidR="004726BA" w:rsidRPr="001B30BE" w:rsidRDefault="004726BA" w:rsidP="00800E7D">
            <w:pPr>
              <w:pStyle w:val="TableText"/>
              <w:rPr>
                <w:rFonts w:cstheme="minorHAnsi"/>
                <w:snapToGrid w:val="0"/>
              </w:rPr>
            </w:pPr>
            <w:r w:rsidRPr="001B30BE">
              <w:rPr>
                <w:rFonts w:cstheme="minorHAnsi"/>
                <w:snapToGrid w:val="0"/>
              </w:rPr>
              <w:t>Very Low</w:t>
            </w:r>
          </w:p>
        </w:tc>
        <w:tc>
          <w:tcPr>
            <w:tcW w:w="717" w:type="pct"/>
            <w:tcBorders>
              <w:top w:val="single" w:sz="8" w:space="0" w:color="C0C0C0"/>
            </w:tcBorders>
            <w:shd w:val="clear" w:color="auto" w:fill="CCFFFF"/>
            <w:vAlign w:val="center"/>
          </w:tcPr>
          <w:p w14:paraId="606A6327" w14:textId="77777777" w:rsidR="004726BA" w:rsidRPr="001B30BE" w:rsidRDefault="004726BA" w:rsidP="00800E7D">
            <w:pPr>
              <w:pStyle w:val="TableText"/>
              <w:rPr>
                <w:rFonts w:cstheme="minorHAnsi"/>
                <w:snapToGrid w:val="0"/>
              </w:rPr>
            </w:pPr>
            <w:r w:rsidRPr="001B30BE">
              <w:rPr>
                <w:rFonts w:cstheme="minorHAnsi"/>
                <w:snapToGrid w:val="0"/>
              </w:rPr>
              <w:t>Extremely Low</w:t>
            </w:r>
          </w:p>
        </w:tc>
        <w:tc>
          <w:tcPr>
            <w:tcW w:w="716" w:type="pct"/>
            <w:tcBorders>
              <w:top w:val="single" w:sz="8" w:space="0" w:color="C0C0C0"/>
              <w:right w:val="single" w:sz="8" w:space="0" w:color="auto"/>
            </w:tcBorders>
            <w:shd w:val="clear" w:color="auto" w:fill="F2F2F2" w:themeFill="background1" w:themeFillShade="F2"/>
            <w:vAlign w:val="center"/>
          </w:tcPr>
          <w:p w14:paraId="6C6AB31F" w14:textId="77777777" w:rsidR="004726BA" w:rsidRPr="001B30BE" w:rsidRDefault="004726BA" w:rsidP="00800E7D">
            <w:pPr>
              <w:pStyle w:val="TableText"/>
              <w:rPr>
                <w:rFonts w:cstheme="minorHAnsi"/>
                <w:snapToGrid w:val="0"/>
                <w:szCs w:val="18"/>
              </w:rPr>
            </w:pPr>
            <w:r w:rsidRPr="001B30BE">
              <w:rPr>
                <w:rFonts w:cstheme="minorHAnsi"/>
                <w:snapToGrid w:val="0"/>
                <w:szCs w:val="18"/>
              </w:rPr>
              <w:t>Negligible</w:t>
            </w:r>
          </w:p>
        </w:tc>
      </w:tr>
      <w:tr w:rsidR="004726BA" w:rsidRPr="001B30BE" w14:paraId="1D1A8BC2" w14:textId="77777777" w:rsidTr="00800E7D">
        <w:trPr>
          <w:cantSplit/>
        </w:trPr>
        <w:tc>
          <w:tcPr>
            <w:tcW w:w="698" w:type="pct"/>
            <w:tcBorders>
              <w:top w:val="single" w:sz="8" w:space="0" w:color="C0C0C0"/>
              <w:left w:val="single" w:sz="8" w:space="0" w:color="auto"/>
              <w:bottom w:val="single" w:sz="8" w:space="0" w:color="C0C0C0"/>
              <w:right w:val="nil"/>
            </w:tcBorders>
            <w:vAlign w:val="center"/>
          </w:tcPr>
          <w:p w14:paraId="7DF990C1" w14:textId="77777777" w:rsidR="004726BA" w:rsidRPr="001B30BE" w:rsidRDefault="004726BA" w:rsidP="00800E7D">
            <w:pPr>
              <w:pStyle w:val="TableText"/>
              <w:rPr>
                <w:rFonts w:cstheme="minorHAnsi"/>
              </w:rPr>
            </w:pPr>
            <w:r w:rsidRPr="001B30BE">
              <w:rPr>
                <w:rFonts w:cstheme="minorHAnsi"/>
              </w:rPr>
              <w:t>Moderate</w:t>
            </w:r>
          </w:p>
        </w:tc>
        <w:tc>
          <w:tcPr>
            <w:tcW w:w="717" w:type="pct"/>
            <w:tcBorders>
              <w:top w:val="single" w:sz="8" w:space="0" w:color="C0C0C0"/>
              <w:left w:val="nil"/>
              <w:bottom w:val="single" w:sz="8" w:space="0" w:color="C0C0C0"/>
            </w:tcBorders>
            <w:vAlign w:val="center"/>
          </w:tcPr>
          <w:p w14:paraId="6A3343E2" w14:textId="77777777" w:rsidR="004726BA" w:rsidRPr="001B30BE" w:rsidRDefault="004726BA" w:rsidP="00800E7D">
            <w:pPr>
              <w:pStyle w:val="TableText"/>
              <w:rPr>
                <w:rFonts w:cstheme="minorHAnsi"/>
              </w:rPr>
            </w:pPr>
            <w:r w:rsidRPr="001B30BE">
              <w:rPr>
                <w:rFonts w:cstheme="minorHAnsi"/>
              </w:rPr>
              <w:t>–</w:t>
            </w:r>
          </w:p>
        </w:tc>
        <w:tc>
          <w:tcPr>
            <w:tcW w:w="717" w:type="pct"/>
            <w:tcBorders>
              <w:bottom w:val="single" w:sz="8" w:space="0" w:color="C0C0C0"/>
            </w:tcBorders>
            <w:shd w:val="clear" w:color="auto" w:fill="FFFF99"/>
            <w:vAlign w:val="center"/>
          </w:tcPr>
          <w:p w14:paraId="4BC01409" w14:textId="77777777" w:rsidR="004726BA" w:rsidRPr="001B30BE" w:rsidRDefault="004726BA" w:rsidP="00800E7D">
            <w:pPr>
              <w:pStyle w:val="TableText"/>
              <w:rPr>
                <w:rFonts w:cstheme="minorHAnsi"/>
                <w:snapToGrid w:val="0"/>
              </w:rPr>
            </w:pPr>
            <w:r w:rsidRPr="001B30BE">
              <w:rPr>
                <w:rFonts w:cstheme="minorHAnsi"/>
                <w:snapToGrid w:val="0"/>
              </w:rPr>
              <w:t>Low</w:t>
            </w:r>
          </w:p>
        </w:tc>
        <w:tc>
          <w:tcPr>
            <w:tcW w:w="717" w:type="pct"/>
            <w:shd w:val="clear" w:color="auto" w:fill="FFFF99"/>
            <w:vAlign w:val="center"/>
          </w:tcPr>
          <w:p w14:paraId="22CD7C6E" w14:textId="77777777" w:rsidR="004726BA" w:rsidRPr="001B30BE" w:rsidRDefault="004726BA" w:rsidP="00800E7D">
            <w:pPr>
              <w:pStyle w:val="TableText"/>
              <w:rPr>
                <w:rFonts w:cstheme="minorHAnsi"/>
                <w:snapToGrid w:val="0"/>
              </w:rPr>
            </w:pPr>
            <w:r w:rsidRPr="001B30BE">
              <w:rPr>
                <w:rFonts w:cstheme="minorHAnsi"/>
                <w:snapToGrid w:val="0"/>
              </w:rPr>
              <w:t>Low</w:t>
            </w:r>
          </w:p>
        </w:tc>
        <w:tc>
          <w:tcPr>
            <w:tcW w:w="717" w:type="pct"/>
            <w:shd w:val="clear" w:color="auto" w:fill="CCFFCC"/>
            <w:vAlign w:val="center"/>
          </w:tcPr>
          <w:p w14:paraId="402B55A9" w14:textId="77777777" w:rsidR="004726BA" w:rsidRPr="001B30BE" w:rsidRDefault="004726BA" w:rsidP="00800E7D">
            <w:pPr>
              <w:pStyle w:val="TableText"/>
              <w:rPr>
                <w:rFonts w:cstheme="minorHAnsi"/>
                <w:snapToGrid w:val="0"/>
              </w:rPr>
            </w:pPr>
            <w:r w:rsidRPr="001B30BE">
              <w:rPr>
                <w:rFonts w:cstheme="minorHAnsi"/>
                <w:snapToGrid w:val="0"/>
              </w:rPr>
              <w:t>Very Low</w:t>
            </w:r>
          </w:p>
        </w:tc>
        <w:tc>
          <w:tcPr>
            <w:tcW w:w="717" w:type="pct"/>
            <w:shd w:val="clear" w:color="auto" w:fill="CCFFFF"/>
            <w:vAlign w:val="center"/>
          </w:tcPr>
          <w:p w14:paraId="59821C18" w14:textId="77777777" w:rsidR="004726BA" w:rsidRPr="001B30BE" w:rsidRDefault="004726BA" w:rsidP="00800E7D">
            <w:pPr>
              <w:pStyle w:val="TableText"/>
              <w:rPr>
                <w:rFonts w:cstheme="minorHAnsi"/>
                <w:snapToGrid w:val="0"/>
              </w:rPr>
            </w:pPr>
            <w:r w:rsidRPr="001B30BE">
              <w:rPr>
                <w:rFonts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6F7CAD8A" w14:textId="77777777" w:rsidR="004726BA" w:rsidRPr="001B30BE" w:rsidRDefault="004726BA" w:rsidP="00800E7D">
            <w:pPr>
              <w:pStyle w:val="TableText"/>
              <w:rPr>
                <w:rFonts w:cstheme="minorHAnsi"/>
                <w:snapToGrid w:val="0"/>
                <w:szCs w:val="18"/>
              </w:rPr>
            </w:pPr>
            <w:r w:rsidRPr="001B30BE">
              <w:rPr>
                <w:rFonts w:cstheme="minorHAnsi"/>
                <w:snapToGrid w:val="0"/>
                <w:szCs w:val="18"/>
              </w:rPr>
              <w:t>Negligible</w:t>
            </w:r>
          </w:p>
        </w:tc>
      </w:tr>
      <w:tr w:rsidR="004726BA" w:rsidRPr="001B30BE" w14:paraId="4858C16E" w14:textId="77777777" w:rsidTr="00800E7D">
        <w:trPr>
          <w:cantSplit/>
        </w:trPr>
        <w:tc>
          <w:tcPr>
            <w:tcW w:w="698" w:type="pct"/>
            <w:tcBorders>
              <w:top w:val="single" w:sz="8" w:space="0" w:color="C0C0C0"/>
              <w:left w:val="single" w:sz="8" w:space="0" w:color="auto"/>
              <w:bottom w:val="single" w:sz="8" w:space="0" w:color="C0C0C0"/>
              <w:right w:val="nil"/>
            </w:tcBorders>
            <w:vAlign w:val="center"/>
          </w:tcPr>
          <w:p w14:paraId="1E705870" w14:textId="77777777" w:rsidR="004726BA" w:rsidRPr="001B30BE" w:rsidRDefault="004726BA" w:rsidP="00800E7D">
            <w:pPr>
              <w:pStyle w:val="TableText"/>
              <w:rPr>
                <w:rFonts w:cstheme="minorHAnsi"/>
              </w:rPr>
            </w:pPr>
            <w:r w:rsidRPr="001B30BE">
              <w:rPr>
                <w:rFonts w:cstheme="minorHAnsi"/>
              </w:rPr>
              <w:t>Low</w:t>
            </w:r>
          </w:p>
        </w:tc>
        <w:tc>
          <w:tcPr>
            <w:tcW w:w="717" w:type="pct"/>
            <w:tcBorders>
              <w:top w:val="single" w:sz="8" w:space="0" w:color="C0C0C0"/>
              <w:left w:val="nil"/>
              <w:bottom w:val="single" w:sz="8" w:space="0" w:color="C0C0C0"/>
              <w:right w:val="nil"/>
            </w:tcBorders>
            <w:vAlign w:val="center"/>
          </w:tcPr>
          <w:p w14:paraId="56FD74B0"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tcBorders>
            <w:vAlign w:val="center"/>
          </w:tcPr>
          <w:p w14:paraId="54726006" w14:textId="77777777" w:rsidR="004726BA" w:rsidRPr="001B30BE" w:rsidRDefault="004726BA" w:rsidP="00800E7D">
            <w:pPr>
              <w:pStyle w:val="TableText"/>
              <w:rPr>
                <w:rFonts w:cstheme="minorHAnsi"/>
              </w:rPr>
            </w:pPr>
            <w:r w:rsidRPr="001B30BE">
              <w:rPr>
                <w:rFonts w:cstheme="minorHAnsi"/>
              </w:rPr>
              <w:t>–</w:t>
            </w:r>
          </w:p>
        </w:tc>
        <w:tc>
          <w:tcPr>
            <w:tcW w:w="717" w:type="pct"/>
            <w:tcBorders>
              <w:bottom w:val="single" w:sz="8" w:space="0" w:color="C0C0C0"/>
            </w:tcBorders>
            <w:shd w:val="clear" w:color="auto" w:fill="CCFFCC"/>
            <w:vAlign w:val="center"/>
          </w:tcPr>
          <w:p w14:paraId="42DAA916" w14:textId="77777777" w:rsidR="004726BA" w:rsidRPr="001B30BE" w:rsidRDefault="004726BA" w:rsidP="00800E7D">
            <w:pPr>
              <w:pStyle w:val="TableText"/>
              <w:rPr>
                <w:rFonts w:cstheme="minorHAnsi"/>
                <w:snapToGrid w:val="0"/>
              </w:rPr>
            </w:pPr>
            <w:r w:rsidRPr="001B30BE">
              <w:rPr>
                <w:rFonts w:cstheme="minorHAnsi"/>
                <w:snapToGrid w:val="0"/>
              </w:rPr>
              <w:t>Very Low</w:t>
            </w:r>
          </w:p>
        </w:tc>
        <w:tc>
          <w:tcPr>
            <w:tcW w:w="717" w:type="pct"/>
            <w:shd w:val="clear" w:color="auto" w:fill="CCFFCC"/>
            <w:vAlign w:val="center"/>
          </w:tcPr>
          <w:p w14:paraId="599581D7" w14:textId="77777777" w:rsidR="004726BA" w:rsidRPr="001B30BE" w:rsidRDefault="004726BA" w:rsidP="00800E7D">
            <w:pPr>
              <w:pStyle w:val="TableText"/>
              <w:rPr>
                <w:rFonts w:cstheme="minorHAnsi"/>
                <w:snapToGrid w:val="0"/>
              </w:rPr>
            </w:pPr>
            <w:r w:rsidRPr="001B30BE">
              <w:rPr>
                <w:rFonts w:cstheme="minorHAnsi"/>
                <w:snapToGrid w:val="0"/>
              </w:rPr>
              <w:t>Very Low</w:t>
            </w:r>
          </w:p>
        </w:tc>
        <w:tc>
          <w:tcPr>
            <w:tcW w:w="717" w:type="pct"/>
            <w:shd w:val="clear" w:color="auto" w:fill="CCFFFF"/>
            <w:vAlign w:val="center"/>
          </w:tcPr>
          <w:p w14:paraId="57A2EE92" w14:textId="77777777" w:rsidR="004726BA" w:rsidRPr="001B30BE" w:rsidRDefault="004726BA" w:rsidP="00800E7D">
            <w:pPr>
              <w:pStyle w:val="TableText"/>
              <w:rPr>
                <w:rFonts w:cstheme="minorHAnsi"/>
                <w:snapToGrid w:val="0"/>
              </w:rPr>
            </w:pPr>
            <w:r w:rsidRPr="001B30BE">
              <w:rPr>
                <w:rFonts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20A72C3C" w14:textId="77777777" w:rsidR="004726BA" w:rsidRPr="001B30BE" w:rsidRDefault="004726BA" w:rsidP="00800E7D">
            <w:pPr>
              <w:pStyle w:val="TableText"/>
              <w:rPr>
                <w:rFonts w:cstheme="minorHAnsi"/>
                <w:snapToGrid w:val="0"/>
                <w:szCs w:val="18"/>
              </w:rPr>
            </w:pPr>
            <w:r w:rsidRPr="001B30BE">
              <w:rPr>
                <w:rFonts w:cstheme="minorHAnsi"/>
                <w:snapToGrid w:val="0"/>
                <w:szCs w:val="18"/>
              </w:rPr>
              <w:t>Negligible</w:t>
            </w:r>
          </w:p>
        </w:tc>
      </w:tr>
      <w:tr w:rsidR="004726BA" w:rsidRPr="001B30BE" w14:paraId="10F64524" w14:textId="77777777" w:rsidTr="00800E7D">
        <w:trPr>
          <w:cantSplit/>
        </w:trPr>
        <w:tc>
          <w:tcPr>
            <w:tcW w:w="698" w:type="pct"/>
            <w:tcBorders>
              <w:top w:val="single" w:sz="8" w:space="0" w:color="C0C0C0"/>
              <w:left w:val="single" w:sz="8" w:space="0" w:color="auto"/>
              <w:bottom w:val="single" w:sz="8" w:space="0" w:color="C0C0C0"/>
              <w:right w:val="nil"/>
            </w:tcBorders>
            <w:vAlign w:val="center"/>
          </w:tcPr>
          <w:p w14:paraId="10016551" w14:textId="77777777" w:rsidR="004726BA" w:rsidRPr="001B30BE" w:rsidRDefault="004726BA" w:rsidP="00800E7D">
            <w:pPr>
              <w:pStyle w:val="TableText"/>
              <w:rPr>
                <w:rFonts w:cstheme="minorHAnsi"/>
              </w:rPr>
            </w:pPr>
            <w:r w:rsidRPr="001B30BE">
              <w:rPr>
                <w:rFonts w:cstheme="minorHAnsi"/>
              </w:rPr>
              <w:t>Very Low</w:t>
            </w:r>
          </w:p>
        </w:tc>
        <w:tc>
          <w:tcPr>
            <w:tcW w:w="717" w:type="pct"/>
            <w:tcBorders>
              <w:top w:val="single" w:sz="8" w:space="0" w:color="C0C0C0"/>
              <w:left w:val="nil"/>
              <w:bottom w:val="single" w:sz="8" w:space="0" w:color="C0C0C0"/>
              <w:right w:val="nil"/>
            </w:tcBorders>
            <w:vAlign w:val="center"/>
          </w:tcPr>
          <w:p w14:paraId="20988B6D"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right w:val="nil"/>
            </w:tcBorders>
            <w:vAlign w:val="center"/>
          </w:tcPr>
          <w:p w14:paraId="17299484"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tcBorders>
            <w:vAlign w:val="center"/>
          </w:tcPr>
          <w:p w14:paraId="31333D1B" w14:textId="77777777" w:rsidR="004726BA" w:rsidRPr="001B30BE" w:rsidRDefault="004726BA" w:rsidP="00800E7D">
            <w:pPr>
              <w:pStyle w:val="TableText"/>
              <w:rPr>
                <w:rFonts w:cstheme="minorHAnsi"/>
              </w:rPr>
            </w:pPr>
            <w:r w:rsidRPr="001B30BE">
              <w:rPr>
                <w:rFonts w:cstheme="minorHAnsi"/>
              </w:rPr>
              <w:t>–</w:t>
            </w:r>
          </w:p>
        </w:tc>
        <w:tc>
          <w:tcPr>
            <w:tcW w:w="717" w:type="pct"/>
            <w:tcBorders>
              <w:bottom w:val="single" w:sz="8" w:space="0" w:color="C0C0C0"/>
            </w:tcBorders>
            <w:shd w:val="clear" w:color="auto" w:fill="CCFFFF"/>
            <w:vAlign w:val="center"/>
          </w:tcPr>
          <w:p w14:paraId="15BC14A5" w14:textId="77777777" w:rsidR="004726BA" w:rsidRPr="001B30BE" w:rsidRDefault="004726BA" w:rsidP="00800E7D">
            <w:pPr>
              <w:pStyle w:val="TableText"/>
              <w:rPr>
                <w:rFonts w:cstheme="minorHAnsi"/>
                <w:snapToGrid w:val="0"/>
              </w:rPr>
            </w:pPr>
            <w:r w:rsidRPr="001B30BE">
              <w:rPr>
                <w:rFonts w:cstheme="minorHAnsi"/>
                <w:snapToGrid w:val="0"/>
              </w:rPr>
              <w:t>Extremely Low</w:t>
            </w:r>
          </w:p>
        </w:tc>
        <w:tc>
          <w:tcPr>
            <w:tcW w:w="717" w:type="pct"/>
            <w:shd w:val="clear" w:color="auto" w:fill="CCFFFF"/>
            <w:vAlign w:val="center"/>
          </w:tcPr>
          <w:p w14:paraId="6B70BDA1" w14:textId="77777777" w:rsidR="004726BA" w:rsidRPr="001B30BE" w:rsidRDefault="004726BA" w:rsidP="00800E7D">
            <w:pPr>
              <w:pStyle w:val="TableText"/>
              <w:rPr>
                <w:rFonts w:cstheme="minorHAnsi"/>
                <w:snapToGrid w:val="0"/>
              </w:rPr>
            </w:pPr>
            <w:r w:rsidRPr="001B30BE">
              <w:rPr>
                <w:rFonts w:cstheme="minorHAnsi"/>
                <w:snapToGrid w:val="0"/>
              </w:rPr>
              <w:t>Extremely Low</w:t>
            </w:r>
          </w:p>
        </w:tc>
        <w:tc>
          <w:tcPr>
            <w:tcW w:w="716" w:type="pct"/>
            <w:tcBorders>
              <w:right w:val="single" w:sz="8" w:space="0" w:color="auto"/>
            </w:tcBorders>
            <w:shd w:val="clear" w:color="auto" w:fill="F2F2F2" w:themeFill="background1" w:themeFillShade="F2"/>
            <w:vAlign w:val="center"/>
          </w:tcPr>
          <w:p w14:paraId="5F27B276" w14:textId="77777777" w:rsidR="004726BA" w:rsidRPr="001B30BE" w:rsidRDefault="004726BA" w:rsidP="00800E7D">
            <w:pPr>
              <w:pStyle w:val="TableText"/>
              <w:rPr>
                <w:rFonts w:cstheme="minorHAnsi"/>
                <w:snapToGrid w:val="0"/>
                <w:szCs w:val="18"/>
              </w:rPr>
            </w:pPr>
            <w:r w:rsidRPr="001B30BE">
              <w:rPr>
                <w:rFonts w:cstheme="minorHAnsi"/>
                <w:snapToGrid w:val="0"/>
                <w:szCs w:val="18"/>
              </w:rPr>
              <w:t>Negligible</w:t>
            </w:r>
          </w:p>
        </w:tc>
      </w:tr>
      <w:tr w:rsidR="004726BA" w:rsidRPr="001B30BE" w14:paraId="4C2782B9" w14:textId="77777777" w:rsidTr="00800E7D">
        <w:trPr>
          <w:cantSplit/>
        </w:trPr>
        <w:tc>
          <w:tcPr>
            <w:tcW w:w="698" w:type="pct"/>
            <w:tcBorders>
              <w:top w:val="single" w:sz="8" w:space="0" w:color="C0C0C0"/>
              <w:left w:val="single" w:sz="8" w:space="0" w:color="auto"/>
              <w:bottom w:val="single" w:sz="8" w:space="0" w:color="C0C0C0"/>
              <w:right w:val="nil"/>
            </w:tcBorders>
            <w:vAlign w:val="center"/>
          </w:tcPr>
          <w:p w14:paraId="52C73B9C" w14:textId="77777777" w:rsidR="004726BA" w:rsidRPr="001B30BE" w:rsidRDefault="004726BA" w:rsidP="00800E7D">
            <w:pPr>
              <w:pStyle w:val="TableText"/>
              <w:rPr>
                <w:rFonts w:cstheme="minorHAnsi"/>
              </w:rPr>
            </w:pPr>
            <w:r w:rsidRPr="001B30BE">
              <w:rPr>
                <w:rFonts w:cstheme="minorHAnsi"/>
              </w:rPr>
              <w:t>Extremely Low</w:t>
            </w:r>
          </w:p>
        </w:tc>
        <w:tc>
          <w:tcPr>
            <w:tcW w:w="717" w:type="pct"/>
            <w:tcBorders>
              <w:top w:val="single" w:sz="8" w:space="0" w:color="C0C0C0"/>
              <w:left w:val="nil"/>
              <w:bottom w:val="single" w:sz="8" w:space="0" w:color="C0C0C0"/>
              <w:right w:val="nil"/>
            </w:tcBorders>
            <w:vAlign w:val="center"/>
          </w:tcPr>
          <w:p w14:paraId="4046BF17"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right w:val="nil"/>
            </w:tcBorders>
            <w:vAlign w:val="center"/>
          </w:tcPr>
          <w:p w14:paraId="751DB303"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right w:val="nil"/>
            </w:tcBorders>
            <w:vAlign w:val="center"/>
          </w:tcPr>
          <w:p w14:paraId="0F697C3E"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C0C0C0"/>
            </w:tcBorders>
            <w:vAlign w:val="center"/>
          </w:tcPr>
          <w:p w14:paraId="5CD01DA1" w14:textId="77777777" w:rsidR="004726BA" w:rsidRPr="001B30BE" w:rsidRDefault="004726BA" w:rsidP="00800E7D">
            <w:pPr>
              <w:pStyle w:val="TableText"/>
              <w:rPr>
                <w:rFonts w:cstheme="minorHAnsi"/>
              </w:rPr>
            </w:pPr>
            <w:r w:rsidRPr="001B30BE">
              <w:rPr>
                <w:rFonts w:cstheme="minorHAnsi"/>
              </w:rPr>
              <w:t>–</w:t>
            </w:r>
          </w:p>
        </w:tc>
        <w:tc>
          <w:tcPr>
            <w:tcW w:w="717" w:type="pct"/>
            <w:tcBorders>
              <w:bottom w:val="single" w:sz="8" w:space="0" w:color="C0C0C0"/>
            </w:tcBorders>
            <w:shd w:val="clear" w:color="auto" w:fill="F2F2F2" w:themeFill="background1" w:themeFillShade="F2"/>
            <w:vAlign w:val="center"/>
          </w:tcPr>
          <w:p w14:paraId="370D91CA" w14:textId="77777777" w:rsidR="004726BA" w:rsidRPr="001B30BE" w:rsidRDefault="004726BA" w:rsidP="00800E7D">
            <w:pPr>
              <w:pStyle w:val="TableText"/>
              <w:rPr>
                <w:rFonts w:cstheme="minorHAnsi"/>
                <w:snapToGrid w:val="0"/>
              </w:rPr>
            </w:pPr>
            <w:r w:rsidRPr="001B30BE">
              <w:rPr>
                <w:rFonts w:cstheme="minorHAnsi"/>
                <w:snapToGrid w:val="0"/>
              </w:rPr>
              <w:t>Negligible</w:t>
            </w:r>
          </w:p>
        </w:tc>
        <w:tc>
          <w:tcPr>
            <w:tcW w:w="716" w:type="pct"/>
            <w:tcBorders>
              <w:right w:val="single" w:sz="8" w:space="0" w:color="auto"/>
            </w:tcBorders>
            <w:shd w:val="clear" w:color="auto" w:fill="F2F2F2" w:themeFill="background1" w:themeFillShade="F2"/>
            <w:vAlign w:val="center"/>
          </w:tcPr>
          <w:p w14:paraId="1E9EC63B" w14:textId="77777777" w:rsidR="004726BA" w:rsidRPr="001B30BE" w:rsidRDefault="004726BA" w:rsidP="00800E7D">
            <w:pPr>
              <w:pStyle w:val="TableText"/>
              <w:rPr>
                <w:rFonts w:cstheme="minorHAnsi"/>
                <w:snapToGrid w:val="0"/>
                <w:szCs w:val="18"/>
              </w:rPr>
            </w:pPr>
            <w:r w:rsidRPr="001B30BE">
              <w:rPr>
                <w:rFonts w:cstheme="minorHAnsi"/>
                <w:snapToGrid w:val="0"/>
                <w:szCs w:val="18"/>
              </w:rPr>
              <w:t>Negligible</w:t>
            </w:r>
          </w:p>
        </w:tc>
      </w:tr>
      <w:tr w:rsidR="004726BA" w:rsidRPr="001B30BE" w14:paraId="50A08FF0" w14:textId="77777777" w:rsidTr="00800E7D">
        <w:trPr>
          <w:cantSplit/>
        </w:trPr>
        <w:tc>
          <w:tcPr>
            <w:tcW w:w="698" w:type="pct"/>
            <w:tcBorders>
              <w:top w:val="single" w:sz="8" w:space="0" w:color="C0C0C0"/>
              <w:left w:val="single" w:sz="8" w:space="0" w:color="auto"/>
              <w:bottom w:val="single" w:sz="8" w:space="0" w:color="auto"/>
              <w:right w:val="nil"/>
            </w:tcBorders>
            <w:vAlign w:val="center"/>
          </w:tcPr>
          <w:p w14:paraId="22CEE360" w14:textId="77777777" w:rsidR="004726BA" w:rsidRPr="001B30BE" w:rsidRDefault="004726BA" w:rsidP="00800E7D">
            <w:pPr>
              <w:pStyle w:val="TableText"/>
              <w:rPr>
                <w:rFonts w:cstheme="minorHAnsi"/>
              </w:rPr>
            </w:pPr>
            <w:r w:rsidRPr="001B30BE">
              <w:rPr>
                <w:rFonts w:cstheme="minorHAnsi"/>
              </w:rPr>
              <w:t>Negligible</w:t>
            </w:r>
          </w:p>
        </w:tc>
        <w:tc>
          <w:tcPr>
            <w:tcW w:w="717" w:type="pct"/>
            <w:tcBorders>
              <w:top w:val="single" w:sz="8" w:space="0" w:color="C0C0C0"/>
              <w:left w:val="nil"/>
              <w:bottom w:val="single" w:sz="8" w:space="0" w:color="auto"/>
              <w:right w:val="nil"/>
            </w:tcBorders>
            <w:vAlign w:val="center"/>
          </w:tcPr>
          <w:p w14:paraId="75F5B07D"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right w:val="nil"/>
            </w:tcBorders>
            <w:vAlign w:val="center"/>
          </w:tcPr>
          <w:p w14:paraId="6D80AAB6"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right w:val="nil"/>
            </w:tcBorders>
            <w:vAlign w:val="center"/>
          </w:tcPr>
          <w:p w14:paraId="7C21F955"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right w:val="nil"/>
            </w:tcBorders>
            <w:vAlign w:val="center"/>
          </w:tcPr>
          <w:p w14:paraId="3E671D67" w14:textId="77777777" w:rsidR="004726BA" w:rsidRPr="001B30BE" w:rsidRDefault="004726BA" w:rsidP="00800E7D">
            <w:pPr>
              <w:pStyle w:val="TableText"/>
              <w:rPr>
                <w:rFonts w:cstheme="minorHAnsi"/>
              </w:rPr>
            </w:pPr>
            <w:r w:rsidRPr="001B30BE">
              <w:rPr>
                <w:rFonts w:cstheme="minorHAnsi"/>
              </w:rPr>
              <w:t>–</w:t>
            </w:r>
          </w:p>
        </w:tc>
        <w:tc>
          <w:tcPr>
            <w:tcW w:w="717" w:type="pct"/>
            <w:tcBorders>
              <w:top w:val="single" w:sz="8" w:space="0" w:color="C0C0C0"/>
              <w:left w:val="nil"/>
              <w:bottom w:val="single" w:sz="8" w:space="0" w:color="auto"/>
            </w:tcBorders>
            <w:vAlign w:val="center"/>
          </w:tcPr>
          <w:p w14:paraId="14DFC513" w14:textId="77777777" w:rsidR="004726BA" w:rsidRPr="001B30BE" w:rsidRDefault="004726BA" w:rsidP="00800E7D">
            <w:pPr>
              <w:pStyle w:val="TableText"/>
              <w:rPr>
                <w:rFonts w:cstheme="minorHAnsi"/>
              </w:rPr>
            </w:pPr>
            <w:r w:rsidRPr="001B30BE">
              <w:rPr>
                <w:rFonts w:cstheme="minorHAnsi"/>
              </w:rPr>
              <w:t>–</w:t>
            </w:r>
          </w:p>
        </w:tc>
        <w:tc>
          <w:tcPr>
            <w:tcW w:w="716" w:type="pct"/>
            <w:tcBorders>
              <w:bottom w:val="single" w:sz="8" w:space="0" w:color="auto"/>
              <w:right w:val="single" w:sz="8" w:space="0" w:color="auto"/>
            </w:tcBorders>
            <w:shd w:val="clear" w:color="auto" w:fill="F2F2F2" w:themeFill="background1" w:themeFillShade="F2"/>
            <w:vAlign w:val="center"/>
          </w:tcPr>
          <w:p w14:paraId="67981668" w14:textId="77777777" w:rsidR="004726BA" w:rsidRPr="001B30BE" w:rsidRDefault="004726BA" w:rsidP="00800E7D">
            <w:pPr>
              <w:pStyle w:val="TableText"/>
              <w:rPr>
                <w:rFonts w:cstheme="minorHAnsi"/>
                <w:szCs w:val="18"/>
              </w:rPr>
            </w:pPr>
            <w:r w:rsidRPr="001B30BE">
              <w:rPr>
                <w:rFonts w:cstheme="minorHAnsi"/>
                <w:snapToGrid w:val="0"/>
                <w:szCs w:val="18"/>
              </w:rPr>
              <w:t>Negligible</w:t>
            </w:r>
          </w:p>
        </w:tc>
      </w:tr>
    </w:tbl>
    <w:p w14:paraId="3ABEC334" w14:textId="77777777" w:rsidR="004726BA" w:rsidRPr="00375EFA" w:rsidRDefault="004726BA" w:rsidP="00800E7D">
      <w:pPr>
        <w:pStyle w:val="Heading5"/>
        <w:rPr>
          <w:rFonts w:asciiTheme="minorHAnsi" w:hAnsiTheme="minorHAnsi" w:cstheme="minorHAnsi"/>
        </w:rPr>
      </w:pPr>
      <w:r w:rsidRPr="00375EFA">
        <w:rPr>
          <w:rFonts w:asciiTheme="minorHAnsi" w:hAnsiTheme="minorHAnsi" w:cstheme="minorHAnsi"/>
        </w:rPr>
        <w:t>Time and volume of trade</w:t>
      </w:r>
    </w:p>
    <w:p w14:paraId="435373A3" w14:textId="77777777" w:rsidR="004726BA" w:rsidRPr="00942524" w:rsidRDefault="004726BA" w:rsidP="00800E7D">
      <w:pPr>
        <w:pStyle w:val="Heading5"/>
        <w:rPr>
          <w:rFonts w:cstheme="minorHAnsi"/>
          <w:b w:val="0"/>
          <w:bCs/>
        </w:rPr>
      </w:pPr>
      <w:r w:rsidRPr="00942524">
        <w:rPr>
          <w:rFonts w:cstheme="minorHAnsi"/>
          <w:b w:val="0"/>
          <w:bCs/>
        </w:rPr>
        <w:t>One factor affecting the likelihood of entry is the volume and duration of trade. If all other conditions remain the same, the overall likelihood of entry will increase as time passes and the overall volume of trade increases.</w:t>
      </w:r>
    </w:p>
    <w:p w14:paraId="73881492" w14:textId="77777777" w:rsidR="004726BA" w:rsidRDefault="004726BA" w:rsidP="00800E7D">
      <w:r w:rsidRPr="00C412B4">
        <w:rPr>
          <w:rFonts w:cstheme="minorHAnsi"/>
        </w:rPr>
        <w:t>The department normally considers the likelihood of entry on the basis of the estimated volume of one year’s trade.</w:t>
      </w:r>
      <w:r>
        <w:rPr>
          <w:rFonts w:cstheme="minorHAnsi"/>
          <w:b/>
          <w:bCs/>
        </w:rPr>
        <w:t xml:space="preserve"> </w:t>
      </w:r>
      <w:r>
        <w:t xml:space="preserve">This is a convenient value for the analysis that is relatively easy to estimate and allows for expert consideration of seasonal variations in pest presence, incidence and behaviour to be </w:t>
      </w:r>
      <w:proofErr w:type="gramStart"/>
      <w:r>
        <w:t>taken into account</w:t>
      </w:r>
      <w:proofErr w:type="gramEnd"/>
      <w:r>
        <w:t xml:space="preserve">. The consideration of the likelihood of entry, establishment and spread and subsequent consequences </w:t>
      </w:r>
      <w:proofErr w:type="gramStart"/>
      <w:r>
        <w:t>takes into account</w:t>
      </w:r>
      <w:proofErr w:type="gramEnd"/>
      <w:r>
        <w:t xml:space="preserve">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68A1582" w14:textId="77777777" w:rsidR="004726BA" w:rsidRDefault="004726BA" w:rsidP="00800E7D">
      <w:r>
        <w:t xml:space="preserve">The use of a </w:t>
      </w:r>
      <w:proofErr w:type="gramStart"/>
      <w:r>
        <w:t>one year</w:t>
      </w:r>
      <w:proofErr w:type="gramEnd"/>
      <w:r>
        <w:t xml:space="preserve"> volume of trade has been </w:t>
      </w:r>
      <w:proofErr w:type="gramStart"/>
      <w:r>
        <w:t>taken into account</w:t>
      </w:r>
      <w:proofErr w:type="gramEnd"/>
      <w:r>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w:t>
      </w:r>
      <w:r>
        <w:lastRenderedPageBreak/>
        <w:t>substantial changes in the volume and nature of the trade in specific commodities then the department will review the risk analysis and, if necessary, provide updated policy advice.</w:t>
      </w:r>
    </w:p>
    <w:sdt>
      <w:sdtPr>
        <w:rPr>
          <w:b w:val="0"/>
        </w:rPr>
        <w:alias w:val="Include, or delete this text, on a case-by-case basis."/>
        <w:tag w:val="Include, or delete this text, on a case-by-case basis."/>
        <w:id w:val="-1878232288"/>
        <w:placeholder>
          <w:docPart w:val="169C129538194E10AEB28928938346B7"/>
        </w:placeholder>
        <w:dropDownList>
          <w:listItem w:value="Choose an item."/>
          <w:listItem w:displayText="In assessing the volume of trade in this risk analysis, the department assumed that a substantial volume of trade will occur." w:value="In assessing the volume of trade in this risk analysis, the department assumed that a substantial volume of trade will occur."/>
        </w:dropDownList>
      </w:sdtPr>
      <w:sdtEndPr/>
      <w:sdtContent>
        <w:p w14:paraId="3A67E86E" w14:textId="77777777" w:rsidR="004726BA" w:rsidRPr="00942524" w:rsidRDefault="004726BA" w:rsidP="00800E7D">
          <w:pPr>
            <w:pStyle w:val="Heading5"/>
            <w:rPr>
              <w:rFonts w:cstheme="minorHAnsi"/>
              <w:b w:val="0"/>
              <w:bCs/>
              <w:strike/>
            </w:rPr>
          </w:pPr>
          <w:r w:rsidRPr="00942524">
            <w:rPr>
              <w:rFonts w:cstheme="minorHAnsi"/>
              <w:b w:val="0"/>
              <w:bCs/>
            </w:rPr>
            <w:t>In assessing the volume of trade in this risk analysis, the department assumed that a substantial volume of trade will occur.</w:t>
          </w:r>
        </w:p>
      </w:sdtContent>
    </w:sdt>
    <w:p w14:paraId="3F4C9363" w14:textId="77777777" w:rsidR="004726BA" w:rsidRPr="001B30BE" w:rsidRDefault="004726BA" w:rsidP="00800E7D">
      <w:pPr>
        <w:pStyle w:val="Heading3-Appendix"/>
      </w:pPr>
      <w:r w:rsidRPr="00866372">
        <w:t>Assessment of potential consequences</w:t>
      </w:r>
    </w:p>
    <w:p w14:paraId="77BF051E" w14:textId="77777777" w:rsidR="004726BA" w:rsidRDefault="004726BA" w:rsidP="00800E7D">
      <w:pPr>
        <w:rPr>
          <w:rFonts w:cstheme="minorHAnsi"/>
          <w:color w:val="000000" w:themeColor="text1"/>
        </w:rPr>
      </w:pPr>
      <w:r w:rsidRPr="001B30BE">
        <w:rPr>
          <w:rFonts w:cstheme="minorHAnsi"/>
          <w:color w:val="000000" w:themeColor="text1"/>
        </w:rPr>
        <w:t xml:space="preserve">In estimating the potential consequences of a pest if the pest were to enter, establish and spread in Australia, the department uses a 2-step process. In the first step, a qualitative descriptor of the impact is assigned to each of the direct and indirect criteria in terms of the </w:t>
      </w:r>
      <w:r w:rsidRPr="001B30BE">
        <w:rPr>
          <w:rStyle w:val="Emphasis"/>
          <w:rFonts w:cstheme="minorHAnsi"/>
          <w:color w:val="000000" w:themeColor="text1"/>
        </w:rPr>
        <w:t>level of impact</w:t>
      </w:r>
      <w:r w:rsidRPr="001B30BE">
        <w:rPr>
          <w:rFonts w:cstheme="minorHAnsi"/>
          <w:color w:val="000000" w:themeColor="text1"/>
        </w:rPr>
        <w:t xml:space="preserve"> and the </w:t>
      </w:r>
      <w:r w:rsidRPr="001B30BE">
        <w:rPr>
          <w:rStyle w:val="Emphasis"/>
          <w:rFonts w:cstheme="minorHAnsi"/>
          <w:color w:val="000000" w:themeColor="text1"/>
        </w:rPr>
        <w:t>magnitude of impact</w:t>
      </w:r>
      <w:r w:rsidRPr="001B30BE">
        <w:rPr>
          <w:rFonts w:cstheme="minorHAnsi"/>
          <w:color w:val="000000" w:themeColor="text1"/>
        </w:rPr>
        <w:t>. The second step involves combining the impacts for each of the criteria to obtain an ‘overall consequences’ estimation.</w:t>
      </w:r>
    </w:p>
    <w:p w14:paraId="76344D07" w14:textId="77777777" w:rsidR="004726BA" w:rsidRPr="001B30BE" w:rsidRDefault="004726BA" w:rsidP="00800E7D">
      <w:pPr>
        <w:rPr>
          <w:rFonts w:cstheme="minorHAnsi"/>
          <w:b/>
          <w:bCs/>
        </w:rPr>
      </w:pPr>
      <w:r w:rsidRPr="001B30BE">
        <w:rPr>
          <w:rStyle w:val="Strong"/>
          <w:rFonts w:cstheme="minorHAnsi"/>
        </w:rPr>
        <w:t>Step 1: Assessing direct and indirect impacts</w:t>
      </w:r>
    </w:p>
    <w:p w14:paraId="4F7BEC92" w14:textId="77777777" w:rsidR="004726BA" w:rsidRPr="001B30BE" w:rsidRDefault="004726BA" w:rsidP="00800E7D">
      <w:pPr>
        <w:rPr>
          <w:rFonts w:cstheme="minorHAnsi"/>
        </w:rPr>
      </w:pPr>
      <w:r w:rsidRPr="001B30BE">
        <w:rPr>
          <w:rFonts w:cstheme="minorHAnsi"/>
        </w:rPr>
        <w:t>Direct pest impacts are considered in the context of the impacts on:</w:t>
      </w:r>
    </w:p>
    <w:p w14:paraId="602F6D96" w14:textId="77777777" w:rsidR="004726BA" w:rsidRPr="001B30BE" w:rsidRDefault="004726BA" w:rsidP="00800E7D">
      <w:pPr>
        <w:pStyle w:val="ListBullet"/>
        <w:rPr>
          <w:rFonts w:cstheme="minorHAnsi"/>
        </w:rPr>
      </w:pPr>
      <w:bookmarkStart w:id="73" w:name="_Ref524354990"/>
      <w:bookmarkStart w:id="74" w:name="_Toc6906416"/>
      <w:r w:rsidRPr="001B30BE">
        <w:rPr>
          <w:rFonts w:cstheme="minorHAnsi"/>
        </w:rPr>
        <w:t>the life or health of plants and plant products</w:t>
      </w:r>
    </w:p>
    <w:p w14:paraId="168BF773" w14:textId="77777777" w:rsidR="004726BA" w:rsidRPr="001B30BE" w:rsidRDefault="004726BA" w:rsidP="00800E7D">
      <w:pPr>
        <w:pStyle w:val="ListBullet"/>
        <w:rPr>
          <w:rFonts w:cstheme="minorHAnsi"/>
        </w:rPr>
      </w:pPr>
      <w:r w:rsidRPr="001B30BE">
        <w:rPr>
          <w:rFonts w:cstheme="minorHAnsi"/>
        </w:rPr>
        <w:t>This may include pest impacts on the life or health of the plants and production effects (yield or quality) either at harvest or during storage.</w:t>
      </w:r>
    </w:p>
    <w:p w14:paraId="12A0B618" w14:textId="77777777" w:rsidR="004726BA" w:rsidRPr="001B30BE" w:rsidRDefault="004726BA" w:rsidP="00800E7D">
      <w:pPr>
        <w:pStyle w:val="ListBullet2"/>
        <w:numPr>
          <w:ilvl w:val="1"/>
          <w:numId w:val="1"/>
        </w:numPr>
        <w:ind w:left="794" w:hanging="397"/>
        <w:rPr>
          <w:rFonts w:cstheme="minorHAnsi"/>
        </w:rPr>
      </w:pPr>
      <w:r w:rsidRPr="001B30BE">
        <w:rPr>
          <w:rFonts w:cstheme="minorHAnsi"/>
        </w:rPr>
        <w:t>Where applicable, pest impacts on the life or health of humans or of animals and animal products may also be considered.</w:t>
      </w:r>
    </w:p>
    <w:p w14:paraId="3A767CDA" w14:textId="77777777" w:rsidR="004726BA" w:rsidRPr="001B30BE" w:rsidRDefault="004726BA" w:rsidP="00800E7D">
      <w:pPr>
        <w:pStyle w:val="ListBullet"/>
        <w:rPr>
          <w:rFonts w:cstheme="minorHAnsi"/>
        </w:rPr>
      </w:pPr>
      <w:r w:rsidRPr="001B30BE">
        <w:rPr>
          <w:rFonts w:cstheme="minorHAnsi"/>
        </w:rPr>
        <w:t>other aspects of the environment.</w:t>
      </w:r>
    </w:p>
    <w:p w14:paraId="6EA091A2" w14:textId="77777777" w:rsidR="004726BA" w:rsidRPr="001B30BE" w:rsidRDefault="004726BA" w:rsidP="00800E7D">
      <w:pPr>
        <w:rPr>
          <w:rFonts w:cstheme="minorHAnsi"/>
        </w:rPr>
      </w:pPr>
      <w:r w:rsidRPr="001B30BE">
        <w:rPr>
          <w:rFonts w:cstheme="minorHAnsi"/>
        </w:rPr>
        <w:t xml:space="preserve">Indirect pest </w:t>
      </w:r>
      <w:r w:rsidRPr="001B30BE">
        <w:rPr>
          <w:rFonts w:cstheme="minorHAnsi"/>
          <w:color w:val="000000" w:themeColor="text1"/>
        </w:rPr>
        <w:t>impacts</w:t>
      </w:r>
      <w:r w:rsidRPr="001B30BE">
        <w:rPr>
          <w:rFonts w:cstheme="minorHAnsi"/>
        </w:rPr>
        <w:t xml:space="preserve"> are considered in the context of the </w:t>
      </w:r>
      <w:r w:rsidRPr="001B30BE">
        <w:rPr>
          <w:rFonts w:cstheme="minorHAnsi"/>
          <w:color w:val="000000" w:themeColor="text1"/>
        </w:rPr>
        <w:t>impacts</w:t>
      </w:r>
      <w:r w:rsidRPr="001B30BE">
        <w:rPr>
          <w:rFonts w:cstheme="minorHAnsi"/>
        </w:rPr>
        <w:t xml:space="preserve"> on:</w:t>
      </w:r>
    </w:p>
    <w:p w14:paraId="20FFD6E9"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eradication and control</w:t>
      </w:r>
    </w:p>
    <w:p w14:paraId="11E46138"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 xml:space="preserve">This may include pest impacts on new or modified </w:t>
      </w:r>
      <w:r w:rsidRPr="001B30BE">
        <w:rPr>
          <w:rFonts w:cstheme="minorHAnsi"/>
        </w:rPr>
        <w:t>eradication, control</w:t>
      </w:r>
      <w:r w:rsidRPr="001B30BE">
        <w:rPr>
          <w:rFonts w:cstheme="minorHAnsi"/>
          <w:color w:val="000000" w:themeColor="text1"/>
        </w:rPr>
        <w:t>, surveillance or monitoring and compensation strategies or programs.</w:t>
      </w:r>
    </w:p>
    <w:p w14:paraId="01725A25" w14:textId="77777777" w:rsidR="004726BA" w:rsidRPr="001B30BE" w:rsidRDefault="004726BA" w:rsidP="00800E7D">
      <w:pPr>
        <w:pStyle w:val="ListBullet"/>
        <w:rPr>
          <w:rFonts w:cstheme="minorHAnsi"/>
          <w:color w:val="000000" w:themeColor="text1"/>
        </w:rPr>
      </w:pPr>
      <w:r w:rsidRPr="001B30BE">
        <w:rPr>
          <w:rFonts w:cstheme="minorHAnsi"/>
        </w:rPr>
        <w:t>domestic trade</w:t>
      </w:r>
    </w:p>
    <w:p w14:paraId="1AF8E4C8"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 xml:space="preserve">This may include pest impacts on domestic trade or industry, including changes in domestic consumer demand </w:t>
      </w:r>
      <w:r w:rsidRPr="001B30BE">
        <w:rPr>
          <w:rFonts w:cstheme="minorHAnsi"/>
        </w:rPr>
        <w:t>for a product resulting from quality changes</w:t>
      </w:r>
      <w:r w:rsidRPr="001B30BE">
        <w:rPr>
          <w:rFonts w:cstheme="minorHAnsi"/>
          <w:color w:val="3A7C22" w:themeColor="accent6" w:themeShade="BF"/>
        </w:rPr>
        <w:t xml:space="preserve"> </w:t>
      </w:r>
      <w:r w:rsidRPr="001B30BE">
        <w:rPr>
          <w:rFonts w:cstheme="minorHAnsi"/>
          <w:color w:val="000000" w:themeColor="text1"/>
        </w:rPr>
        <w:t>and effects on other industries supplying inputs to, or using outputs from, directly affected industries.</w:t>
      </w:r>
    </w:p>
    <w:p w14:paraId="596D8DFE" w14:textId="77777777" w:rsidR="004726BA" w:rsidRPr="001B30BE" w:rsidRDefault="004726BA" w:rsidP="00800E7D">
      <w:pPr>
        <w:pStyle w:val="ListBullet"/>
        <w:rPr>
          <w:rFonts w:cstheme="minorHAnsi"/>
        </w:rPr>
      </w:pPr>
      <w:r w:rsidRPr="001B30BE">
        <w:rPr>
          <w:rFonts w:cstheme="minorHAnsi"/>
        </w:rPr>
        <w:t>international trade</w:t>
      </w:r>
    </w:p>
    <w:p w14:paraId="5AED3D99" w14:textId="77777777" w:rsidR="004726BA" w:rsidRPr="001B30BE" w:rsidRDefault="004726BA" w:rsidP="00800E7D">
      <w:pPr>
        <w:pStyle w:val="ListBullet"/>
        <w:rPr>
          <w:rFonts w:cstheme="minorHAnsi"/>
        </w:rPr>
      </w:pPr>
      <w:r w:rsidRPr="001B30BE">
        <w:rPr>
          <w:rFonts w:cstheme="minorHAnsi"/>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5A610387"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 xml:space="preserve">non-commercial and </w:t>
      </w:r>
      <w:r w:rsidRPr="001B30BE">
        <w:rPr>
          <w:rFonts w:cstheme="minorHAnsi"/>
        </w:rPr>
        <w:t>environment</w:t>
      </w:r>
    </w:p>
    <w:p w14:paraId="56D12FED"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This may include pest impacts on the community and environment, including reduced tourism, reduced rural and regional economic viability, loss of social amenity, and any ‘side effects’ of control measures.</w:t>
      </w:r>
    </w:p>
    <w:p w14:paraId="322887CA" w14:textId="77777777" w:rsidR="004726BA" w:rsidRPr="001B30BE" w:rsidRDefault="004726BA" w:rsidP="00800E7D">
      <w:pPr>
        <w:rPr>
          <w:rFonts w:cstheme="minorHAnsi"/>
        </w:rPr>
      </w:pPr>
      <w:r w:rsidRPr="001B30BE">
        <w:rPr>
          <w:rFonts w:cstheme="minorHAnsi"/>
        </w:rPr>
        <w:t xml:space="preserve">For </w:t>
      </w:r>
      <w:r w:rsidRPr="001B30BE">
        <w:rPr>
          <w:rFonts w:cstheme="minorHAnsi"/>
          <w:color w:val="000000" w:themeColor="text1"/>
        </w:rPr>
        <w:t>each</w:t>
      </w:r>
      <w:r w:rsidRPr="001B30BE">
        <w:rPr>
          <w:rFonts w:cstheme="minorHAnsi"/>
        </w:rPr>
        <w:t xml:space="preserve"> of these </w:t>
      </w:r>
      <w:r w:rsidRPr="001B30BE">
        <w:rPr>
          <w:rFonts w:cstheme="minorHAnsi"/>
          <w:color w:val="000000" w:themeColor="text1"/>
        </w:rPr>
        <w:t xml:space="preserve">direct and indirect </w:t>
      </w:r>
      <w:r w:rsidRPr="001B30BE">
        <w:rPr>
          <w:rFonts w:cstheme="minorHAnsi"/>
        </w:rPr>
        <w:t xml:space="preserve">criteria, the </w:t>
      </w:r>
      <w:r w:rsidRPr="001B30BE">
        <w:rPr>
          <w:rFonts w:cstheme="minorHAnsi"/>
          <w:color w:val="000000" w:themeColor="text1"/>
        </w:rPr>
        <w:t xml:space="preserve">level of impact is </w:t>
      </w:r>
      <w:r w:rsidRPr="001B30BE">
        <w:rPr>
          <w:rFonts w:cstheme="minorHAnsi"/>
        </w:rPr>
        <w:t>estimated over 4 geographic levels, defined as:</w:t>
      </w:r>
    </w:p>
    <w:p w14:paraId="57EE316A" w14:textId="77777777" w:rsidR="004726BA" w:rsidRPr="001B30BE" w:rsidRDefault="004726BA" w:rsidP="00800E7D">
      <w:pPr>
        <w:pStyle w:val="ListBullet"/>
        <w:rPr>
          <w:rFonts w:cstheme="minorHAnsi"/>
        </w:rPr>
      </w:pPr>
      <w:r w:rsidRPr="001B30BE">
        <w:rPr>
          <w:rStyle w:val="Strong"/>
          <w:rFonts w:cstheme="minorHAnsi"/>
        </w:rPr>
        <w:t>Local</w:t>
      </w:r>
      <w:r w:rsidRPr="001B30BE">
        <w:rPr>
          <w:rFonts w:cstheme="minorHAnsi"/>
        </w:rPr>
        <w:t>–an aggregate of households or enterprises (a rural community, a town or a local government area)</w:t>
      </w:r>
    </w:p>
    <w:p w14:paraId="67EA91F6" w14:textId="77777777" w:rsidR="004726BA" w:rsidRPr="001B30BE" w:rsidRDefault="004726BA" w:rsidP="00800E7D">
      <w:pPr>
        <w:pStyle w:val="ListBullet"/>
        <w:rPr>
          <w:rFonts w:cstheme="minorHAnsi"/>
        </w:rPr>
      </w:pPr>
      <w:r w:rsidRPr="001B30BE">
        <w:rPr>
          <w:rStyle w:val="Strong"/>
          <w:rFonts w:cstheme="minorHAnsi"/>
        </w:rPr>
        <w:lastRenderedPageBreak/>
        <w:t>District</w:t>
      </w:r>
      <w:r w:rsidRPr="001B30BE">
        <w:rPr>
          <w:rFonts w:cstheme="minorHAnsi"/>
        </w:rPr>
        <w:t>–a geographically or geopolitically associated collection of aggregates (generally a recognised section of a state or territory, such as ‘Far North Queensland’)</w:t>
      </w:r>
    </w:p>
    <w:p w14:paraId="2CEE7E22" w14:textId="77777777" w:rsidR="004726BA" w:rsidRPr="001B30BE" w:rsidRDefault="004726BA" w:rsidP="00800E7D">
      <w:pPr>
        <w:pStyle w:val="ListBullet"/>
        <w:rPr>
          <w:rFonts w:cstheme="minorHAnsi"/>
        </w:rPr>
      </w:pPr>
      <w:r w:rsidRPr="001B30BE">
        <w:rPr>
          <w:rStyle w:val="Strong"/>
          <w:rFonts w:cstheme="minorHAnsi"/>
        </w:rPr>
        <w:t>Regional</w:t>
      </w:r>
      <w:r w:rsidRPr="001B30BE">
        <w:rPr>
          <w:rFonts w:cstheme="minorHAnsi"/>
        </w:rPr>
        <w:t>–a geographically or geopolitically associated collection of districts in a geographic area (generally a state or territory, although there may be exceptions with larger states such as Western Australia)</w:t>
      </w:r>
    </w:p>
    <w:p w14:paraId="5469AA2E" w14:textId="77777777" w:rsidR="004726BA" w:rsidRPr="001B30BE" w:rsidRDefault="004726BA" w:rsidP="00800E7D">
      <w:pPr>
        <w:pStyle w:val="ListBullet"/>
        <w:rPr>
          <w:rFonts w:cstheme="minorHAnsi"/>
        </w:rPr>
      </w:pPr>
      <w:r w:rsidRPr="001B30BE">
        <w:rPr>
          <w:rStyle w:val="Strong"/>
          <w:rFonts w:cstheme="minorHAnsi"/>
        </w:rPr>
        <w:t>National</w:t>
      </w:r>
      <w:r w:rsidRPr="001B30BE">
        <w:rPr>
          <w:rFonts w:cstheme="minorHAnsi"/>
        </w:rPr>
        <w:t>–Australia wide (Australian mainland states and territories and Tasmania).</w:t>
      </w:r>
    </w:p>
    <w:p w14:paraId="74B279A7" w14:textId="77777777" w:rsidR="004726BA" w:rsidRPr="001B30BE" w:rsidRDefault="004726BA" w:rsidP="00800E7D">
      <w:pPr>
        <w:rPr>
          <w:rFonts w:cstheme="minorHAnsi"/>
        </w:rPr>
      </w:pPr>
      <w:r w:rsidRPr="001B30BE">
        <w:rPr>
          <w:rFonts w:cstheme="minorHAnsi"/>
        </w:rPr>
        <w:t xml:space="preserve">For each criterion, the magnitude of </w:t>
      </w:r>
      <w:r w:rsidRPr="001B30BE">
        <w:rPr>
          <w:rFonts w:cstheme="minorHAnsi"/>
          <w:color w:val="000000" w:themeColor="text1"/>
        </w:rPr>
        <w:t xml:space="preserve">impact </w:t>
      </w:r>
      <w:r w:rsidRPr="001B30BE">
        <w:rPr>
          <w:rFonts w:cstheme="minorHAnsi"/>
        </w:rPr>
        <w:t xml:space="preserve">at each of these </w:t>
      </w:r>
      <w:r w:rsidRPr="001B30BE">
        <w:rPr>
          <w:rFonts w:cstheme="minorHAnsi"/>
          <w:color w:val="000000" w:themeColor="text1"/>
        </w:rPr>
        <w:t>geographic</w:t>
      </w:r>
      <w:r w:rsidRPr="001B30BE">
        <w:rPr>
          <w:rFonts w:cstheme="minorHAnsi"/>
          <w:color w:val="3A7C22" w:themeColor="accent6" w:themeShade="BF"/>
        </w:rPr>
        <w:t xml:space="preserve"> </w:t>
      </w:r>
      <w:r w:rsidRPr="001B30BE">
        <w:rPr>
          <w:rFonts w:cstheme="minorHAnsi"/>
        </w:rPr>
        <w:t>levels is described using 4 categories, defined as:</w:t>
      </w:r>
    </w:p>
    <w:p w14:paraId="7DF1FECA" w14:textId="77777777" w:rsidR="004726BA" w:rsidRPr="001B30BE" w:rsidRDefault="004726BA" w:rsidP="00800E7D">
      <w:pPr>
        <w:pStyle w:val="ListBullet"/>
        <w:rPr>
          <w:rFonts w:cstheme="minorHAnsi"/>
          <w:color w:val="000000" w:themeColor="text1"/>
        </w:rPr>
      </w:pPr>
      <w:r w:rsidRPr="001B30BE">
        <w:rPr>
          <w:rStyle w:val="Strong"/>
          <w:rFonts w:cstheme="minorHAnsi"/>
          <w:color w:val="000000" w:themeColor="text1"/>
        </w:rPr>
        <w:t xml:space="preserve">Unlikely to be </w:t>
      </w:r>
      <w:r w:rsidRPr="001B30BE">
        <w:rPr>
          <w:rStyle w:val="Strong"/>
          <w:rFonts w:cstheme="minorHAnsi"/>
        </w:rPr>
        <w:t>discernible</w:t>
      </w:r>
      <w:r w:rsidRPr="001B30BE">
        <w:rPr>
          <w:rFonts w:cstheme="minorHAnsi"/>
        </w:rPr>
        <w:t xml:space="preserve">–pest impact </w:t>
      </w:r>
      <w:r w:rsidRPr="001B30BE">
        <w:rPr>
          <w:rFonts w:cstheme="minorHAnsi"/>
          <w:color w:val="000000" w:themeColor="text1"/>
        </w:rPr>
        <w:t>is not usually distinguishable from normal day-to-day variation in the criterion</w:t>
      </w:r>
    </w:p>
    <w:p w14:paraId="47C886CA" w14:textId="77777777" w:rsidR="004726BA" w:rsidRPr="001B30BE" w:rsidRDefault="004726BA" w:rsidP="00800E7D">
      <w:pPr>
        <w:pStyle w:val="ListBullet"/>
        <w:rPr>
          <w:rFonts w:cstheme="minorHAnsi"/>
        </w:rPr>
      </w:pPr>
      <w:r w:rsidRPr="001B30BE">
        <w:rPr>
          <w:rStyle w:val="Strong"/>
          <w:rFonts w:cstheme="minorHAnsi"/>
        </w:rPr>
        <w:t>Minor significance</w:t>
      </w:r>
      <w:r w:rsidRPr="001B30BE">
        <w:rPr>
          <w:rFonts w:cstheme="minorHAnsi"/>
        </w:rP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72E7D383" w14:textId="77777777" w:rsidR="004726BA" w:rsidRPr="001B30BE" w:rsidRDefault="004726BA" w:rsidP="00800E7D">
      <w:pPr>
        <w:pStyle w:val="ListBullet"/>
        <w:rPr>
          <w:rFonts w:cstheme="minorHAnsi"/>
        </w:rPr>
      </w:pPr>
      <w:proofErr w:type="gramStart"/>
      <w:r w:rsidRPr="001B30BE">
        <w:rPr>
          <w:rFonts w:cstheme="minorHAnsi"/>
          <w:b/>
        </w:rPr>
        <w:t>Significant</w:t>
      </w:r>
      <w:r w:rsidRPr="001B30BE">
        <w:rPr>
          <w:rFonts w:cstheme="minorHAnsi"/>
        </w:rPr>
        <w:t>–expected</w:t>
      </w:r>
      <w:proofErr w:type="gramEnd"/>
      <w:r w:rsidRPr="001B30BE">
        <w:rPr>
          <w:rFonts w:cstheme="minorHAnsi"/>
        </w:rPr>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2AA4A84" w14:textId="77777777" w:rsidR="004726BA" w:rsidRPr="001B30BE" w:rsidRDefault="004726BA" w:rsidP="00800E7D">
      <w:pPr>
        <w:pStyle w:val="ListBullet"/>
        <w:rPr>
          <w:rFonts w:cstheme="minorHAnsi"/>
        </w:rPr>
      </w:pPr>
      <w:r w:rsidRPr="001B30BE">
        <w:rPr>
          <w:rFonts w:cstheme="minorHAnsi"/>
          <w:b/>
        </w:rPr>
        <w:t>Major significance</w:t>
      </w:r>
      <w:r w:rsidRPr="001B30BE">
        <w:rPr>
          <w:rFonts w:cstheme="minorHAnsi"/>
        </w:rPr>
        <w:t>–expected to threaten the economic viability through a large increase in mortality/morbidity of hosts, or a large decrease in production. Expected to severely or irreversibly damage the intrinsic ‘value’ of non-commercial criteria.</w:t>
      </w:r>
    </w:p>
    <w:p w14:paraId="19F98299" w14:textId="77777777" w:rsidR="004726BA" w:rsidRPr="001B30BE" w:rsidRDefault="004726BA" w:rsidP="00800E7D">
      <w:pPr>
        <w:rPr>
          <w:rFonts w:cstheme="minorHAnsi"/>
          <w:color w:val="000000" w:themeColor="text1"/>
        </w:rPr>
      </w:pPr>
      <w:r w:rsidRPr="001B30BE">
        <w:rPr>
          <w:rFonts w:cstheme="minorHAnsi"/>
          <w:color w:val="000000" w:themeColor="text1"/>
        </w:rPr>
        <w:t xml:space="preserve">Each individual direct or indirect impact is given an </w:t>
      </w:r>
      <w:r w:rsidRPr="001B30BE">
        <w:rPr>
          <w:rFonts w:cstheme="minorHAnsi"/>
        </w:rPr>
        <w:t xml:space="preserve">impact score (A–G) using </w:t>
      </w:r>
      <w:r w:rsidRPr="001B30BE">
        <w:rPr>
          <w:rFonts w:cstheme="minorHAnsi"/>
          <w:color w:val="000000" w:themeColor="text1"/>
        </w:rPr>
        <w:t xml:space="preserve">the decision rules in </w:t>
      </w:r>
      <w:r w:rsidRPr="001B30BE">
        <w:rPr>
          <w:rFonts w:cstheme="minorHAnsi"/>
          <w:color w:val="000000" w:themeColor="text1"/>
        </w:rPr>
        <w:fldChar w:fldCharType="begin"/>
      </w:r>
      <w:r w:rsidRPr="001B30BE">
        <w:rPr>
          <w:rFonts w:cstheme="minorHAnsi"/>
          <w:color w:val="000000" w:themeColor="text1"/>
        </w:rPr>
        <w:instrText xml:space="preserve"> REF _Ref90446454 \h </w:instrText>
      </w:r>
      <w:r>
        <w:rPr>
          <w:rFonts w:cstheme="minorHAnsi"/>
          <w:color w:val="000000" w:themeColor="text1"/>
        </w:rPr>
        <w:instrText xml:space="preserve"> \* MERGEFORMAT </w:instrText>
      </w:r>
      <w:r w:rsidRPr="001B30BE">
        <w:rPr>
          <w:rFonts w:cstheme="minorHAnsi"/>
          <w:color w:val="000000" w:themeColor="text1"/>
        </w:rPr>
      </w:r>
      <w:r w:rsidRPr="001B30BE">
        <w:rPr>
          <w:rFonts w:cstheme="minorHAnsi"/>
          <w:color w:val="000000" w:themeColor="text1"/>
        </w:rPr>
        <w:fldChar w:fldCharType="separate"/>
      </w:r>
      <w:r w:rsidRPr="001B30BE">
        <w:rPr>
          <w:rFonts w:cstheme="minorHAnsi"/>
        </w:rPr>
        <w:t>Figure A.</w:t>
      </w:r>
      <w:r>
        <w:rPr>
          <w:rFonts w:cstheme="minorHAnsi"/>
          <w:noProof/>
        </w:rPr>
        <w:t>1</w:t>
      </w:r>
      <w:r w:rsidRPr="001B30BE">
        <w:rPr>
          <w:rFonts w:cstheme="minorHAnsi"/>
          <w:color w:val="000000" w:themeColor="text1"/>
        </w:rPr>
        <w:fldChar w:fldCharType="end"/>
      </w:r>
      <w:r w:rsidRPr="001B30BE">
        <w:rPr>
          <w:rFonts w:cstheme="minorHAnsi"/>
          <w:color w:val="000000" w:themeColor="text1"/>
        </w:rPr>
        <w:t xml:space="preserve">. This is done by determining which of the shaded cells with bold font in </w:t>
      </w:r>
      <w:r w:rsidRPr="001B30BE">
        <w:rPr>
          <w:rFonts w:cstheme="minorHAnsi"/>
          <w:color w:val="000000" w:themeColor="text1"/>
        </w:rPr>
        <w:fldChar w:fldCharType="begin"/>
      </w:r>
      <w:r w:rsidRPr="001B30BE">
        <w:rPr>
          <w:rFonts w:cstheme="minorHAnsi"/>
          <w:color w:val="000000" w:themeColor="text1"/>
        </w:rPr>
        <w:instrText xml:space="preserve"> REF _Ref90446454 \h </w:instrText>
      </w:r>
      <w:r>
        <w:rPr>
          <w:rFonts w:cstheme="minorHAnsi"/>
          <w:color w:val="000000" w:themeColor="text1"/>
        </w:rPr>
        <w:instrText xml:space="preserve"> \* MERGEFORMAT </w:instrText>
      </w:r>
      <w:r w:rsidRPr="001B30BE">
        <w:rPr>
          <w:rFonts w:cstheme="minorHAnsi"/>
          <w:color w:val="000000" w:themeColor="text1"/>
        </w:rPr>
      </w:r>
      <w:r w:rsidRPr="001B30BE">
        <w:rPr>
          <w:rFonts w:cstheme="minorHAnsi"/>
          <w:color w:val="000000" w:themeColor="text1"/>
        </w:rPr>
        <w:fldChar w:fldCharType="separate"/>
      </w:r>
      <w:r w:rsidRPr="001B30BE">
        <w:rPr>
          <w:rFonts w:cstheme="minorHAnsi"/>
        </w:rPr>
        <w:t>Figure A.</w:t>
      </w:r>
      <w:r>
        <w:rPr>
          <w:rFonts w:cstheme="minorHAnsi"/>
          <w:noProof/>
        </w:rPr>
        <w:t>1</w:t>
      </w:r>
      <w:r w:rsidRPr="001B30BE">
        <w:rPr>
          <w:rFonts w:cstheme="minorHAnsi"/>
          <w:color w:val="000000" w:themeColor="text1"/>
        </w:rPr>
        <w:fldChar w:fldCharType="end"/>
      </w:r>
      <w:r w:rsidRPr="001B30BE">
        <w:rPr>
          <w:rFonts w:cstheme="minorHAnsi"/>
          <w:color w:val="000000" w:themeColor="text1"/>
        </w:rPr>
        <w:t xml:space="preserve"> correspond to the level and magnitude of the particular impact.</w:t>
      </w:r>
    </w:p>
    <w:p w14:paraId="1413D67D" w14:textId="77777777" w:rsidR="004726BA" w:rsidRPr="001B30BE" w:rsidRDefault="004726BA" w:rsidP="00800E7D">
      <w:pPr>
        <w:rPr>
          <w:rFonts w:cstheme="minorHAnsi"/>
          <w:color w:val="000000" w:themeColor="text1"/>
        </w:rPr>
      </w:pPr>
      <w:r w:rsidRPr="001B30BE">
        <w:rPr>
          <w:rFonts w:cstheme="minorHAnsi"/>
          <w:color w:val="000000" w:themeColor="text1"/>
        </w:rPr>
        <w:t>The following are considered during this process:</w:t>
      </w:r>
    </w:p>
    <w:p w14:paraId="58184802"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368F6352" w14:textId="77777777" w:rsidR="004726BA" w:rsidRPr="001B30BE" w:rsidRDefault="004726BA" w:rsidP="00800E7D">
      <w:pPr>
        <w:pStyle w:val="ListBullet"/>
        <w:rPr>
          <w:rFonts w:cstheme="minorHAnsi"/>
          <w:color w:val="000000" w:themeColor="text1"/>
        </w:rPr>
      </w:pPr>
      <w:r w:rsidRPr="001B30BE">
        <w:rPr>
          <w:rFonts w:cstheme="minorHAnsi"/>
          <w:color w:val="000000" w:themeColor="text1"/>
        </w:rPr>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bookmarkStart w:id="75" w:name="_Ref17718804"/>
    </w:p>
    <w:p w14:paraId="35E21E86" w14:textId="77777777" w:rsidR="004726BA" w:rsidRPr="00BF086B" w:rsidRDefault="004726BA" w:rsidP="00800E7D">
      <w:pPr>
        <w:pStyle w:val="ListBullet"/>
        <w:rPr>
          <w:rFonts w:cstheme="minorHAnsi"/>
          <w:color w:val="000000" w:themeColor="text1"/>
        </w:rPr>
      </w:pPr>
      <w:r w:rsidRPr="001B30BE">
        <w:rPr>
          <w:rFonts w:cstheme="minorHAnsi"/>
          <w:color w:val="000000" w:themeColor="text1"/>
        </w:rPr>
        <w:t>The geographic distribution of an impact does not necessarily determine the impact. For example, an outbreak could occur on one orchard/farm, but the impact could potentially still be considered at a state or national level.</w:t>
      </w:r>
    </w:p>
    <w:p w14:paraId="3EB9DD70" w14:textId="77777777" w:rsidR="004726BA" w:rsidRPr="001B30BE" w:rsidRDefault="004726BA" w:rsidP="00800E7D">
      <w:pPr>
        <w:pStyle w:val="Caption"/>
        <w:rPr>
          <w:rFonts w:cstheme="minorHAnsi"/>
        </w:rPr>
      </w:pPr>
      <w:bookmarkStart w:id="76" w:name="_Ref90446454"/>
      <w:bookmarkStart w:id="77" w:name="_Toc202256548"/>
      <w:r w:rsidRPr="001B30BE">
        <w:rPr>
          <w:rFonts w:cstheme="minorHAnsi"/>
        </w:rPr>
        <w:lastRenderedPageBreak/>
        <w:t>Figure A.</w:t>
      </w:r>
      <w:r w:rsidRPr="001B30BE">
        <w:rPr>
          <w:rFonts w:cstheme="minorHAnsi"/>
        </w:rPr>
        <w:fldChar w:fldCharType="begin"/>
      </w:r>
      <w:r w:rsidRPr="001B30BE">
        <w:rPr>
          <w:rFonts w:cstheme="minorHAnsi"/>
        </w:rPr>
        <w:instrText xml:space="preserve"> SEQ Figure \* ARABIC \s 2 </w:instrText>
      </w:r>
      <w:r w:rsidRPr="001B30BE">
        <w:rPr>
          <w:rFonts w:cstheme="minorHAnsi"/>
        </w:rPr>
        <w:fldChar w:fldCharType="separate"/>
      </w:r>
      <w:r>
        <w:rPr>
          <w:rFonts w:cstheme="minorHAnsi"/>
          <w:noProof/>
        </w:rPr>
        <w:t>1</w:t>
      </w:r>
      <w:r w:rsidRPr="001B30BE">
        <w:rPr>
          <w:rFonts w:cstheme="minorHAnsi"/>
          <w:noProof/>
        </w:rPr>
        <w:fldChar w:fldCharType="end"/>
      </w:r>
      <w:bookmarkEnd w:id="76"/>
      <w:r w:rsidRPr="001B30BE">
        <w:rPr>
          <w:rFonts w:cstheme="minorHAnsi"/>
        </w:rPr>
        <w:t xml:space="preserve"> Decision rules for determining the impact score for each direct and indirect criterion, based on the </w:t>
      </w:r>
      <w:r w:rsidRPr="001B30BE">
        <w:rPr>
          <w:rFonts w:cstheme="minorHAnsi"/>
          <w:i/>
          <w:iCs/>
        </w:rPr>
        <w:t>level of impact</w:t>
      </w:r>
      <w:r w:rsidRPr="001B30BE">
        <w:rPr>
          <w:rFonts w:cstheme="minorHAnsi"/>
        </w:rPr>
        <w:t xml:space="preserve"> and the </w:t>
      </w:r>
      <w:r w:rsidRPr="001B30BE">
        <w:rPr>
          <w:rFonts w:cstheme="minorHAnsi"/>
          <w:i/>
          <w:iCs/>
        </w:rPr>
        <w:t>magnitude of impact</w:t>
      </w:r>
      <w:bookmarkEnd w:id="77"/>
    </w:p>
    <w:p w14:paraId="7B70D498" w14:textId="77777777" w:rsidR="004726BA" w:rsidRPr="001B30BE" w:rsidRDefault="004726BA" w:rsidP="00800E7D">
      <w:pPr>
        <w:pStyle w:val="FigureTableNoteSource"/>
        <w:rPr>
          <w:rFonts w:asciiTheme="minorHAnsi" w:hAnsiTheme="minorHAnsi" w:cstheme="minorHAnsi"/>
        </w:rPr>
      </w:pPr>
      <w:r w:rsidRPr="00D0560B">
        <w:rPr>
          <w:rFonts w:asciiTheme="minorHAnsi" w:hAnsiTheme="minorHAnsi" w:cstheme="minorHAnsi"/>
          <w:noProof/>
        </w:rPr>
        <w:drawing>
          <wp:inline distT="0" distB="0" distL="0" distR="0" wp14:anchorId="7E80F9D3" wp14:editId="34FD0E50">
            <wp:extent cx="5760000" cy="5054400"/>
            <wp:effectExtent l="0" t="0" r="0" b="0"/>
            <wp:docPr id="70046853"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853"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65"/>
                    <a:stretch>
                      <a:fillRect/>
                    </a:stretch>
                  </pic:blipFill>
                  <pic:spPr>
                    <a:xfrm>
                      <a:off x="0" y="0"/>
                      <a:ext cx="5760000" cy="5054400"/>
                    </a:xfrm>
                    <a:prstGeom prst="rect">
                      <a:avLst/>
                    </a:prstGeom>
                  </pic:spPr>
                </pic:pic>
              </a:graphicData>
            </a:graphic>
          </wp:inline>
        </w:drawing>
      </w:r>
    </w:p>
    <w:p w14:paraId="3298D34A" w14:textId="77777777" w:rsidR="004726BA" w:rsidRPr="001B30BE" w:rsidRDefault="004726BA" w:rsidP="00800E7D">
      <w:pPr>
        <w:pStyle w:val="FigureTableNoteSource"/>
        <w:rPr>
          <w:rFonts w:asciiTheme="minorHAnsi" w:hAnsiTheme="minorHAnsi" w:cstheme="minorHAnsi"/>
        </w:rPr>
      </w:pPr>
      <w:r w:rsidRPr="001B30BE">
        <w:rPr>
          <w:rFonts w:asciiTheme="minorHAnsi" w:hAnsiTheme="minorHAnsi" w:cstheme="minorHAnsi"/>
        </w:rPr>
        <w:t>For each criterion:</w:t>
      </w:r>
    </w:p>
    <w:p w14:paraId="2BEE9254" w14:textId="77777777" w:rsidR="004726BA" w:rsidRPr="001B30BE" w:rsidRDefault="004726BA" w:rsidP="00800E7D">
      <w:pPr>
        <w:pStyle w:val="FigureTableNoteSource"/>
        <w:numPr>
          <w:ilvl w:val="0"/>
          <w:numId w:val="10"/>
        </w:numPr>
        <w:rPr>
          <w:rStyle w:val="Emphasis"/>
          <w:rFonts w:asciiTheme="minorHAnsi" w:hAnsiTheme="minorHAnsi" w:cstheme="minorHAnsi"/>
          <w:i w:val="0"/>
          <w:iCs w:val="0"/>
        </w:rPr>
      </w:pPr>
      <w:r w:rsidRPr="001B30BE">
        <w:rPr>
          <w:rFonts w:asciiTheme="minorHAnsi" w:hAnsiTheme="minorHAnsi" w:cstheme="minorHAnsi"/>
        </w:rPr>
        <w:t xml:space="preserve">the </w:t>
      </w:r>
      <w:r w:rsidRPr="001B30BE">
        <w:rPr>
          <w:rStyle w:val="Emphasis"/>
          <w:rFonts w:asciiTheme="minorHAnsi" w:hAnsiTheme="minorHAnsi" w:cstheme="minorHAnsi"/>
        </w:rPr>
        <w:t>level of impact is estimated over 4 geographic levels: local, district, regional and national</w:t>
      </w:r>
    </w:p>
    <w:p w14:paraId="7A706F30" w14:textId="77777777" w:rsidR="004726BA" w:rsidRPr="001B30BE" w:rsidRDefault="004726BA" w:rsidP="00800E7D">
      <w:pPr>
        <w:pStyle w:val="FigureTableNoteSource"/>
        <w:numPr>
          <w:ilvl w:val="0"/>
          <w:numId w:val="10"/>
        </w:numPr>
        <w:rPr>
          <w:rFonts w:asciiTheme="minorHAnsi" w:hAnsiTheme="minorHAnsi" w:cstheme="minorHAnsi"/>
        </w:rPr>
      </w:pPr>
      <w:r w:rsidRPr="001B30BE">
        <w:rPr>
          <w:rFonts w:asciiTheme="minorHAnsi" w:hAnsiTheme="minorHAnsi" w:cstheme="minorHAnsi"/>
        </w:rPr>
        <w:t xml:space="preserve">the </w:t>
      </w:r>
      <w:r w:rsidRPr="001B30BE">
        <w:rPr>
          <w:rFonts w:asciiTheme="minorHAnsi" w:hAnsiTheme="minorHAnsi" w:cstheme="minorHAnsi"/>
          <w:i/>
          <w:iCs/>
        </w:rPr>
        <w:t xml:space="preserve">magnitude of impact </w:t>
      </w:r>
      <w:r w:rsidRPr="001B30BE">
        <w:rPr>
          <w:rFonts w:asciiTheme="minorHAnsi" w:hAnsiTheme="minorHAnsi" w:cstheme="minorHAnsi"/>
        </w:rPr>
        <w:t>at each of the 4 geographic levels is described using 4 categories: unlikely to be discernible, minor significance, significant and major significance</w:t>
      </w:r>
    </w:p>
    <w:p w14:paraId="46667A00" w14:textId="77777777" w:rsidR="004726BA" w:rsidRPr="001B30BE" w:rsidRDefault="004726BA" w:rsidP="00800E7D">
      <w:pPr>
        <w:pStyle w:val="FigureTableNoteSource"/>
        <w:numPr>
          <w:ilvl w:val="0"/>
          <w:numId w:val="10"/>
        </w:numPr>
        <w:rPr>
          <w:rFonts w:asciiTheme="minorHAnsi" w:hAnsiTheme="minorHAnsi" w:cstheme="minorHAnsi"/>
        </w:rPr>
      </w:pPr>
      <w:r w:rsidRPr="001B30BE">
        <w:rPr>
          <w:rFonts w:asciiTheme="minorHAnsi" w:hAnsiTheme="minorHAnsi" w:cstheme="minorHAnsi"/>
        </w:rPr>
        <w:t>an impact score (A–G) is assigned by determining which of the shaded cells with bold font correspond to the level and magnitude of impact.</w:t>
      </w:r>
    </w:p>
    <w:p w14:paraId="64632BB0" w14:textId="77777777" w:rsidR="004726BA" w:rsidRPr="001B30BE" w:rsidRDefault="004726BA" w:rsidP="00800E7D">
      <w:pPr>
        <w:rPr>
          <w:rStyle w:val="Strong"/>
          <w:rFonts w:cstheme="minorHAnsi"/>
        </w:rPr>
      </w:pPr>
      <w:bookmarkStart w:id="78" w:name="_Hlk195624757"/>
      <w:r w:rsidRPr="001B30BE">
        <w:rPr>
          <w:rStyle w:val="Strong"/>
          <w:rFonts w:cstheme="minorHAnsi"/>
        </w:rPr>
        <w:t>Step 2: Combining direct and indirect impacts</w:t>
      </w:r>
    </w:p>
    <w:p w14:paraId="4B8FE909" w14:textId="77777777" w:rsidR="004726BA" w:rsidRPr="001B30BE" w:rsidRDefault="004726BA" w:rsidP="00800E7D">
      <w:pPr>
        <w:jc w:val="both"/>
        <w:rPr>
          <w:rFonts w:cstheme="minorHAnsi"/>
          <w:color w:val="000000" w:themeColor="text1"/>
        </w:rPr>
      </w:pPr>
      <w:r w:rsidRPr="001B30BE">
        <w:rPr>
          <w:rFonts w:cstheme="minorHAnsi"/>
        </w:rPr>
        <w:t xml:space="preserve">The overall consequence for each pest </w:t>
      </w:r>
      <w:r w:rsidRPr="001B30BE">
        <w:rPr>
          <w:rFonts w:cstheme="minorHAnsi"/>
          <w:color w:val="000000" w:themeColor="text1"/>
        </w:rPr>
        <w:t xml:space="preserve">or each group of pests </w:t>
      </w:r>
      <w:r w:rsidRPr="001B30BE">
        <w:rPr>
          <w:rFonts w:cstheme="minorHAnsi"/>
        </w:rPr>
        <w:t xml:space="preserve">is achieved by combining the impact scores (A–G) for each direct and indirect </w:t>
      </w:r>
      <w:r w:rsidRPr="001B30BE">
        <w:rPr>
          <w:rFonts w:cstheme="minorHAnsi"/>
          <w:color w:val="000000" w:themeColor="text1"/>
        </w:rPr>
        <w:t>criterion</w:t>
      </w:r>
      <w:r w:rsidRPr="001B30BE">
        <w:rPr>
          <w:rFonts w:cstheme="minorHAnsi"/>
          <w:color w:val="3A7C22" w:themeColor="accent6" w:themeShade="BF"/>
        </w:rPr>
        <w:t xml:space="preserve"> </w:t>
      </w:r>
      <w:r w:rsidRPr="001B30BE">
        <w:rPr>
          <w:rFonts w:cstheme="minorHAnsi"/>
        </w:rPr>
        <w:t xml:space="preserve">using </w:t>
      </w:r>
      <w:r w:rsidRPr="001B30BE">
        <w:rPr>
          <w:rFonts w:cstheme="minorHAnsi"/>
          <w:color w:val="000000" w:themeColor="text1"/>
        </w:rPr>
        <w:t>the</w:t>
      </w:r>
      <w:r w:rsidRPr="001B30BE">
        <w:rPr>
          <w:rFonts w:cstheme="minorHAnsi"/>
        </w:rPr>
        <w:t xml:space="preserve"> decision rules </w:t>
      </w:r>
      <w:r w:rsidRPr="001B30BE">
        <w:rPr>
          <w:rFonts w:cstheme="minorHAnsi"/>
          <w:color w:val="000000" w:themeColor="text1"/>
        </w:rPr>
        <w:t>in</w:t>
      </w:r>
      <w:r w:rsidRPr="001B30BE">
        <w:rPr>
          <w:rFonts w:cstheme="minorHAnsi"/>
          <w:color w:val="3A7C22" w:themeColor="accent6" w:themeShade="BF"/>
        </w:rPr>
        <w:t xml:space="preserve"> </w:t>
      </w:r>
      <w:r w:rsidRPr="001B30BE">
        <w:rPr>
          <w:rFonts w:cstheme="minorHAnsi"/>
        </w:rPr>
        <w:fldChar w:fldCharType="begin"/>
      </w:r>
      <w:r w:rsidRPr="001B30BE">
        <w:rPr>
          <w:rFonts w:cstheme="minorHAnsi"/>
        </w:rPr>
        <w:instrText xml:space="preserve"> REF _Ref524355002 \h  \* MERGEFORMAT </w:instrText>
      </w:r>
      <w:r w:rsidRPr="001B30BE">
        <w:rPr>
          <w:rFonts w:cstheme="minorHAnsi"/>
        </w:rPr>
      </w:r>
      <w:r w:rsidRPr="001B30BE">
        <w:rPr>
          <w:rFonts w:cstheme="minorHAnsi"/>
        </w:rPr>
        <w:fldChar w:fldCharType="separate"/>
      </w:r>
      <w:r w:rsidRPr="001B30BE">
        <w:rPr>
          <w:rFonts w:cstheme="minorHAnsi"/>
        </w:rPr>
        <w:t xml:space="preserve">Table </w:t>
      </w:r>
      <w:r w:rsidRPr="001B30BE">
        <w:rPr>
          <w:rFonts w:cstheme="minorHAnsi"/>
          <w:noProof/>
        </w:rPr>
        <w:t>A.</w:t>
      </w:r>
      <w:r w:rsidRPr="0013494F">
        <w:rPr>
          <w:rFonts w:cstheme="minorHAnsi"/>
          <w:noProof/>
          <w:color w:val="000000" w:themeColor="text1"/>
        </w:rPr>
        <w:t>3</w:t>
      </w:r>
      <w:r w:rsidRPr="001B30BE">
        <w:rPr>
          <w:rFonts w:cstheme="minorHAnsi"/>
        </w:rPr>
        <w:fldChar w:fldCharType="end"/>
      </w:r>
      <w:r w:rsidRPr="001B30BE">
        <w:rPr>
          <w:rFonts w:cstheme="minorHAnsi"/>
        </w:rPr>
        <w:t xml:space="preserve">. These rules are mutually </w:t>
      </w:r>
      <w:proofErr w:type="gramStart"/>
      <w:r w:rsidRPr="001B30BE">
        <w:rPr>
          <w:rFonts w:cstheme="minorHAnsi"/>
        </w:rPr>
        <w:t>exclusive, and</w:t>
      </w:r>
      <w:proofErr w:type="gramEnd"/>
      <w:r w:rsidRPr="001B30BE">
        <w:rPr>
          <w:rFonts w:cstheme="minorHAnsi"/>
        </w:rPr>
        <w:t xml:space="preserve"> are assessed in numerical order until one applies. </w:t>
      </w:r>
      <w:r w:rsidRPr="001B30BE">
        <w:rPr>
          <w:rFonts w:cstheme="minorHAnsi"/>
          <w:color w:val="000000" w:themeColor="text1"/>
        </w:rPr>
        <w:t>For example, if the first rule does not apply, the second rule is considered, and so on.</w:t>
      </w:r>
    </w:p>
    <w:p w14:paraId="6AEBDFE6" w14:textId="77777777" w:rsidR="004726BA" w:rsidRPr="001B30BE" w:rsidRDefault="004726BA" w:rsidP="00800E7D">
      <w:pPr>
        <w:pStyle w:val="Tablecaption"/>
        <w:rPr>
          <w:rFonts w:cstheme="minorHAnsi"/>
        </w:rPr>
      </w:pPr>
      <w:bookmarkStart w:id="79" w:name="_Ref524355002"/>
      <w:bookmarkStart w:id="80" w:name="_Toc6906417"/>
      <w:bookmarkStart w:id="81" w:name="_Toc202256552"/>
      <w:bookmarkEnd w:id="73"/>
      <w:bookmarkEnd w:id="74"/>
      <w:bookmarkEnd w:id="75"/>
      <w:bookmarkEnd w:id="78"/>
      <w:r w:rsidRPr="001B30BE">
        <w:rPr>
          <w:rFonts w:cstheme="minorHAnsi"/>
        </w:rPr>
        <w:lastRenderedPageBreak/>
        <w:t xml:space="preserve">Table </w:t>
      </w:r>
      <w:r w:rsidRPr="001B30BE">
        <w:rPr>
          <w:rFonts w:cstheme="minorHAnsi"/>
          <w:noProof/>
        </w:rPr>
        <w:t>A.</w:t>
      </w:r>
      <w:r w:rsidRPr="001B30BE">
        <w:rPr>
          <w:rFonts w:cstheme="minorHAnsi"/>
          <w:noProof/>
        </w:rPr>
        <w:fldChar w:fldCharType="begin"/>
      </w:r>
      <w:r w:rsidRPr="001B30BE">
        <w:rPr>
          <w:rFonts w:cstheme="minorHAnsi"/>
          <w:noProof/>
        </w:rPr>
        <w:instrText xml:space="preserve"> SEQ Table \* ARABIC \s 2 </w:instrText>
      </w:r>
      <w:r w:rsidRPr="001B30BE">
        <w:rPr>
          <w:rFonts w:cstheme="minorHAnsi"/>
          <w:noProof/>
        </w:rPr>
        <w:fldChar w:fldCharType="separate"/>
      </w:r>
      <w:r>
        <w:rPr>
          <w:rFonts w:cstheme="minorHAnsi"/>
          <w:noProof/>
        </w:rPr>
        <w:t>3</w:t>
      </w:r>
      <w:r w:rsidRPr="001B30BE">
        <w:rPr>
          <w:rFonts w:cstheme="minorHAnsi"/>
          <w:noProof/>
        </w:rPr>
        <w:fldChar w:fldCharType="end"/>
      </w:r>
      <w:bookmarkEnd w:id="79"/>
      <w:r w:rsidRPr="001B30BE">
        <w:rPr>
          <w:rFonts w:cstheme="minorHAnsi"/>
        </w:rPr>
        <w:t xml:space="preserve"> Decision rules for determining the overall consequence rating for each pest</w:t>
      </w:r>
      <w:bookmarkEnd w:id="80"/>
      <w:bookmarkEnd w:id="81"/>
    </w:p>
    <w:tbl>
      <w:tblPr>
        <w:tblW w:w="5000" w:type="pct"/>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796"/>
        <w:gridCol w:w="5803"/>
        <w:gridCol w:w="2451"/>
      </w:tblGrid>
      <w:tr w:rsidR="004726BA" w:rsidRPr="001B30BE" w14:paraId="0E3A33AA" w14:textId="77777777" w:rsidTr="00800E7D">
        <w:trPr>
          <w:trHeight w:val="414"/>
        </w:trPr>
        <w:tc>
          <w:tcPr>
            <w:tcW w:w="440" w:type="pct"/>
            <w:tcBorders>
              <w:bottom w:val="single" w:sz="8" w:space="0" w:color="auto"/>
            </w:tcBorders>
            <w:shd w:val="clear" w:color="auto" w:fill="BFBFBF" w:themeFill="background1" w:themeFillShade="BF"/>
          </w:tcPr>
          <w:p w14:paraId="75F96E64" w14:textId="77777777" w:rsidR="004726BA" w:rsidRPr="001B30BE" w:rsidRDefault="004726BA" w:rsidP="00800E7D">
            <w:pPr>
              <w:pStyle w:val="TableHeading"/>
              <w:rPr>
                <w:rFonts w:cstheme="minorHAnsi"/>
              </w:rPr>
            </w:pPr>
            <w:r w:rsidRPr="001B30BE">
              <w:rPr>
                <w:rFonts w:cstheme="minorHAnsi"/>
              </w:rPr>
              <w:t>Rule</w:t>
            </w:r>
          </w:p>
        </w:tc>
        <w:tc>
          <w:tcPr>
            <w:tcW w:w="3206" w:type="pct"/>
            <w:tcBorders>
              <w:bottom w:val="single" w:sz="8" w:space="0" w:color="auto"/>
            </w:tcBorders>
            <w:shd w:val="clear" w:color="auto" w:fill="BFBFBF" w:themeFill="background1" w:themeFillShade="BF"/>
          </w:tcPr>
          <w:p w14:paraId="7D0CEBA2" w14:textId="77777777" w:rsidR="004726BA" w:rsidRPr="001B30BE" w:rsidRDefault="004726BA" w:rsidP="00800E7D">
            <w:pPr>
              <w:pStyle w:val="TableHeading"/>
              <w:rPr>
                <w:rFonts w:cstheme="minorHAnsi"/>
              </w:rPr>
            </w:pPr>
            <w:r w:rsidRPr="001B30BE">
              <w:rPr>
                <w:rFonts w:cstheme="minorHAnsi"/>
              </w:rPr>
              <w:t>The impact scores for consequences of direct and indirect criteria</w:t>
            </w:r>
          </w:p>
        </w:tc>
        <w:tc>
          <w:tcPr>
            <w:tcW w:w="1354" w:type="pct"/>
            <w:tcBorders>
              <w:bottom w:val="single" w:sz="8" w:space="0" w:color="auto"/>
            </w:tcBorders>
            <w:shd w:val="clear" w:color="auto" w:fill="BFBFBF" w:themeFill="background1" w:themeFillShade="BF"/>
          </w:tcPr>
          <w:p w14:paraId="73B8A90C" w14:textId="77777777" w:rsidR="004726BA" w:rsidRPr="001B30BE" w:rsidRDefault="004726BA" w:rsidP="00800E7D">
            <w:pPr>
              <w:pStyle w:val="TableHeading"/>
              <w:rPr>
                <w:rFonts w:cstheme="minorHAnsi"/>
              </w:rPr>
            </w:pPr>
            <w:r w:rsidRPr="001B30BE">
              <w:rPr>
                <w:rFonts w:cstheme="minorHAnsi"/>
              </w:rPr>
              <w:t>Overall consequence rating</w:t>
            </w:r>
          </w:p>
        </w:tc>
      </w:tr>
      <w:tr w:rsidR="004726BA" w:rsidRPr="001B30BE" w14:paraId="5EAB93CB" w14:textId="77777777" w:rsidTr="00800E7D">
        <w:trPr>
          <w:trHeight w:val="414"/>
        </w:trPr>
        <w:tc>
          <w:tcPr>
            <w:tcW w:w="440" w:type="pct"/>
            <w:tcBorders>
              <w:bottom w:val="dashSmallGap" w:sz="2" w:space="0" w:color="auto"/>
            </w:tcBorders>
          </w:tcPr>
          <w:p w14:paraId="69DCAF70" w14:textId="77777777" w:rsidR="004726BA" w:rsidRPr="001B30BE" w:rsidRDefault="004726BA" w:rsidP="00800E7D">
            <w:pPr>
              <w:pStyle w:val="TableText"/>
              <w:keepNext/>
              <w:rPr>
                <w:rFonts w:cstheme="minorHAnsi"/>
              </w:rPr>
            </w:pPr>
            <w:r w:rsidRPr="001B30BE">
              <w:rPr>
                <w:rFonts w:cstheme="minorHAnsi"/>
              </w:rPr>
              <w:t>1</w:t>
            </w:r>
          </w:p>
        </w:tc>
        <w:tc>
          <w:tcPr>
            <w:tcW w:w="3206" w:type="pct"/>
            <w:tcBorders>
              <w:bottom w:val="dashSmallGap" w:sz="2" w:space="0" w:color="auto"/>
            </w:tcBorders>
          </w:tcPr>
          <w:p w14:paraId="52433BBF" w14:textId="77777777" w:rsidR="004726BA" w:rsidRPr="001B30BE" w:rsidRDefault="004726BA" w:rsidP="00800E7D">
            <w:pPr>
              <w:pStyle w:val="TableText"/>
              <w:keepNext/>
              <w:rPr>
                <w:rFonts w:cstheme="minorHAnsi"/>
              </w:rPr>
            </w:pPr>
            <w:r w:rsidRPr="001B30BE">
              <w:rPr>
                <w:rFonts w:cstheme="minorHAnsi"/>
              </w:rPr>
              <w:t>Any criterion has an impact of ‘G’; or</w:t>
            </w:r>
            <w:r w:rsidRPr="001B30BE">
              <w:rPr>
                <w:rFonts w:cstheme="minorHAnsi"/>
              </w:rPr>
              <w:br/>
              <w:t>more than one criterion has an impact of ‘F’; or</w:t>
            </w:r>
            <w:r w:rsidRPr="001B30BE">
              <w:rPr>
                <w:rFonts w:cstheme="minorHAnsi"/>
              </w:rPr>
              <w:br/>
              <w:t>a single criterion has an impact of ‘F’ and each remaining criterion an ‘E’.</w:t>
            </w:r>
          </w:p>
        </w:tc>
        <w:tc>
          <w:tcPr>
            <w:tcW w:w="1354" w:type="pct"/>
            <w:tcBorders>
              <w:bottom w:val="dashSmallGap" w:sz="2" w:space="0" w:color="auto"/>
            </w:tcBorders>
          </w:tcPr>
          <w:p w14:paraId="7857E2FA" w14:textId="77777777" w:rsidR="004726BA" w:rsidRPr="001B30BE" w:rsidRDefault="004726BA" w:rsidP="00800E7D">
            <w:pPr>
              <w:pStyle w:val="TableText"/>
              <w:keepNext/>
              <w:rPr>
                <w:rFonts w:cstheme="minorHAnsi"/>
              </w:rPr>
            </w:pPr>
            <w:r w:rsidRPr="001B30BE">
              <w:rPr>
                <w:rFonts w:cstheme="minorHAnsi"/>
              </w:rPr>
              <w:t>Extreme</w:t>
            </w:r>
          </w:p>
        </w:tc>
      </w:tr>
      <w:tr w:rsidR="004726BA" w:rsidRPr="001B30BE" w14:paraId="1AC3FEFE" w14:textId="77777777" w:rsidTr="00800E7D">
        <w:trPr>
          <w:trHeight w:val="414"/>
        </w:trPr>
        <w:tc>
          <w:tcPr>
            <w:tcW w:w="440" w:type="pct"/>
            <w:tcBorders>
              <w:top w:val="dashSmallGap" w:sz="2" w:space="0" w:color="auto"/>
              <w:bottom w:val="dashSmallGap" w:sz="2" w:space="0" w:color="auto"/>
            </w:tcBorders>
          </w:tcPr>
          <w:p w14:paraId="7751C010" w14:textId="77777777" w:rsidR="004726BA" w:rsidRPr="001B30BE" w:rsidRDefault="004726BA" w:rsidP="00800E7D">
            <w:pPr>
              <w:pStyle w:val="TableText"/>
              <w:keepNext/>
              <w:rPr>
                <w:rFonts w:cstheme="minorHAnsi"/>
              </w:rPr>
            </w:pPr>
            <w:r w:rsidRPr="001B30BE">
              <w:rPr>
                <w:rFonts w:cstheme="minorHAnsi"/>
              </w:rPr>
              <w:t>2</w:t>
            </w:r>
          </w:p>
        </w:tc>
        <w:tc>
          <w:tcPr>
            <w:tcW w:w="3206" w:type="pct"/>
            <w:tcBorders>
              <w:top w:val="dashSmallGap" w:sz="2" w:space="0" w:color="auto"/>
              <w:bottom w:val="dashSmallGap" w:sz="2" w:space="0" w:color="auto"/>
            </w:tcBorders>
          </w:tcPr>
          <w:p w14:paraId="1642268B" w14:textId="77777777" w:rsidR="004726BA" w:rsidRPr="001B30BE" w:rsidRDefault="004726BA" w:rsidP="00800E7D">
            <w:pPr>
              <w:pStyle w:val="TableText"/>
              <w:keepNext/>
              <w:rPr>
                <w:rFonts w:cstheme="minorHAnsi"/>
              </w:rPr>
            </w:pPr>
            <w:r w:rsidRPr="001B30BE">
              <w:rPr>
                <w:rFonts w:cstheme="minorHAnsi"/>
              </w:rPr>
              <w:t>A single criterion has an impact of ‘F’; or</w:t>
            </w:r>
            <w:r w:rsidRPr="001B30BE">
              <w:rPr>
                <w:rFonts w:cstheme="minorHAnsi"/>
              </w:rPr>
              <w:br/>
              <w:t>all criteria have an impact of ‘E’.</w:t>
            </w:r>
          </w:p>
        </w:tc>
        <w:tc>
          <w:tcPr>
            <w:tcW w:w="1354" w:type="pct"/>
            <w:tcBorders>
              <w:top w:val="dashSmallGap" w:sz="2" w:space="0" w:color="auto"/>
              <w:bottom w:val="dashSmallGap" w:sz="2" w:space="0" w:color="auto"/>
            </w:tcBorders>
          </w:tcPr>
          <w:p w14:paraId="02CD5860" w14:textId="77777777" w:rsidR="004726BA" w:rsidRPr="001B30BE" w:rsidRDefault="004726BA" w:rsidP="00800E7D">
            <w:pPr>
              <w:pStyle w:val="TableText"/>
              <w:keepNext/>
              <w:rPr>
                <w:rFonts w:cstheme="minorHAnsi"/>
              </w:rPr>
            </w:pPr>
            <w:r w:rsidRPr="001B30BE">
              <w:rPr>
                <w:rFonts w:cstheme="minorHAnsi"/>
              </w:rPr>
              <w:t>High</w:t>
            </w:r>
          </w:p>
        </w:tc>
      </w:tr>
      <w:tr w:rsidR="004726BA" w:rsidRPr="001B30BE" w14:paraId="3411A1D6" w14:textId="77777777" w:rsidTr="00800E7D">
        <w:trPr>
          <w:trHeight w:val="414"/>
        </w:trPr>
        <w:tc>
          <w:tcPr>
            <w:tcW w:w="440" w:type="pct"/>
            <w:tcBorders>
              <w:top w:val="dashSmallGap" w:sz="2" w:space="0" w:color="auto"/>
              <w:bottom w:val="dashSmallGap" w:sz="2" w:space="0" w:color="auto"/>
            </w:tcBorders>
          </w:tcPr>
          <w:p w14:paraId="6C1A1EE1" w14:textId="77777777" w:rsidR="004726BA" w:rsidRPr="001B30BE" w:rsidRDefault="004726BA" w:rsidP="00800E7D">
            <w:pPr>
              <w:pStyle w:val="TableText"/>
              <w:keepNext/>
              <w:rPr>
                <w:rFonts w:cstheme="minorHAnsi"/>
              </w:rPr>
            </w:pPr>
            <w:r w:rsidRPr="001B30BE">
              <w:rPr>
                <w:rFonts w:cstheme="minorHAnsi"/>
              </w:rPr>
              <w:t>3</w:t>
            </w:r>
          </w:p>
        </w:tc>
        <w:tc>
          <w:tcPr>
            <w:tcW w:w="3206" w:type="pct"/>
            <w:tcBorders>
              <w:top w:val="dashSmallGap" w:sz="2" w:space="0" w:color="auto"/>
              <w:bottom w:val="dashSmallGap" w:sz="2" w:space="0" w:color="auto"/>
            </w:tcBorders>
          </w:tcPr>
          <w:p w14:paraId="411F8EF5" w14:textId="77777777" w:rsidR="004726BA" w:rsidRPr="001B30BE" w:rsidRDefault="004726BA" w:rsidP="00800E7D">
            <w:pPr>
              <w:pStyle w:val="TableText"/>
              <w:keepNext/>
              <w:rPr>
                <w:rFonts w:cstheme="minorHAnsi"/>
              </w:rPr>
            </w:pPr>
            <w:r w:rsidRPr="001B30BE">
              <w:rPr>
                <w:rFonts w:cstheme="minorHAnsi"/>
              </w:rPr>
              <w:t>One or more criteria have an impact of ‘E’; or</w:t>
            </w:r>
            <w:r w:rsidRPr="001B30BE">
              <w:rPr>
                <w:rFonts w:cstheme="minorHAnsi"/>
              </w:rPr>
              <w:br/>
              <w:t>all criteria have an impact of ‘D’.</w:t>
            </w:r>
          </w:p>
        </w:tc>
        <w:tc>
          <w:tcPr>
            <w:tcW w:w="1354" w:type="pct"/>
            <w:tcBorders>
              <w:top w:val="dashSmallGap" w:sz="2" w:space="0" w:color="auto"/>
              <w:bottom w:val="dashSmallGap" w:sz="2" w:space="0" w:color="auto"/>
            </w:tcBorders>
          </w:tcPr>
          <w:p w14:paraId="72BC1229" w14:textId="77777777" w:rsidR="004726BA" w:rsidRPr="001B30BE" w:rsidRDefault="004726BA" w:rsidP="00800E7D">
            <w:pPr>
              <w:pStyle w:val="TableText"/>
              <w:keepNext/>
              <w:rPr>
                <w:rFonts w:cstheme="minorHAnsi"/>
              </w:rPr>
            </w:pPr>
            <w:r w:rsidRPr="001B30BE">
              <w:rPr>
                <w:rFonts w:cstheme="minorHAnsi"/>
              </w:rPr>
              <w:t>Moderate</w:t>
            </w:r>
          </w:p>
        </w:tc>
      </w:tr>
      <w:tr w:rsidR="004726BA" w:rsidRPr="001B30BE" w14:paraId="793B0933" w14:textId="77777777" w:rsidTr="00800E7D">
        <w:trPr>
          <w:trHeight w:val="414"/>
        </w:trPr>
        <w:tc>
          <w:tcPr>
            <w:tcW w:w="440" w:type="pct"/>
            <w:tcBorders>
              <w:top w:val="dashSmallGap" w:sz="2" w:space="0" w:color="auto"/>
              <w:bottom w:val="dashSmallGap" w:sz="2" w:space="0" w:color="auto"/>
            </w:tcBorders>
          </w:tcPr>
          <w:p w14:paraId="237A5ACC" w14:textId="77777777" w:rsidR="004726BA" w:rsidRPr="001B30BE" w:rsidRDefault="004726BA" w:rsidP="00800E7D">
            <w:pPr>
              <w:pStyle w:val="TableText"/>
              <w:keepNext/>
              <w:rPr>
                <w:rFonts w:cstheme="minorHAnsi"/>
              </w:rPr>
            </w:pPr>
            <w:r w:rsidRPr="001B30BE">
              <w:rPr>
                <w:rFonts w:cstheme="minorHAnsi"/>
              </w:rPr>
              <w:t>4</w:t>
            </w:r>
          </w:p>
        </w:tc>
        <w:tc>
          <w:tcPr>
            <w:tcW w:w="3206" w:type="pct"/>
            <w:tcBorders>
              <w:top w:val="dashSmallGap" w:sz="2" w:space="0" w:color="auto"/>
              <w:bottom w:val="dashSmallGap" w:sz="2" w:space="0" w:color="auto"/>
            </w:tcBorders>
          </w:tcPr>
          <w:p w14:paraId="27FA0599" w14:textId="77777777" w:rsidR="004726BA" w:rsidRPr="001B30BE" w:rsidRDefault="004726BA" w:rsidP="00800E7D">
            <w:pPr>
              <w:pStyle w:val="TableText"/>
              <w:keepNext/>
              <w:rPr>
                <w:rFonts w:cstheme="minorHAnsi"/>
              </w:rPr>
            </w:pPr>
            <w:r w:rsidRPr="001B30BE">
              <w:rPr>
                <w:rFonts w:cstheme="minorHAnsi"/>
              </w:rPr>
              <w:t>One or more criteria have an impact of ‘D’; or</w:t>
            </w:r>
            <w:r w:rsidRPr="001B30BE">
              <w:rPr>
                <w:rFonts w:cstheme="minorHAnsi"/>
              </w:rPr>
              <w:br/>
              <w:t>all criteria have an impact of ‘C’.</w:t>
            </w:r>
          </w:p>
        </w:tc>
        <w:tc>
          <w:tcPr>
            <w:tcW w:w="1354" w:type="pct"/>
            <w:tcBorders>
              <w:top w:val="dashSmallGap" w:sz="2" w:space="0" w:color="auto"/>
              <w:bottom w:val="dashSmallGap" w:sz="2" w:space="0" w:color="auto"/>
            </w:tcBorders>
          </w:tcPr>
          <w:p w14:paraId="3DB58EFB" w14:textId="77777777" w:rsidR="004726BA" w:rsidRPr="001B30BE" w:rsidRDefault="004726BA" w:rsidP="00800E7D">
            <w:pPr>
              <w:pStyle w:val="TableText"/>
              <w:keepNext/>
              <w:rPr>
                <w:rFonts w:cstheme="minorHAnsi"/>
              </w:rPr>
            </w:pPr>
            <w:r w:rsidRPr="001B30BE">
              <w:rPr>
                <w:rFonts w:cstheme="minorHAnsi"/>
              </w:rPr>
              <w:t>Low</w:t>
            </w:r>
          </w:p>
        </w:tc>
      </w:tr>
      <w:tr w:rsidR="004726BA" w:rsidRPr="001B30BE" w14:paraId="2BC2DCD2" w14:textId="77777777" w:rsidTr="00800E7D">
        <w:trPr>
          <w:trHeight w:val="414"/>
        </w:trPr>
        <w:tc>
          <w:tcPr>
            <w:tcW w:w="440" w:type="pct"/>
            <w:tcBorders>
              <w:top w:val="dashSmallGap" w:sz="2" w:space="0" w:color="auto"/>
              <w:bottom w:val="dashSmallGap" w:sz="2" w:space="0" w:color="auto"/>
            </w:tcBorders>
          </w:tcPr>
          <w:p w14:paraId="68DCD772" w14:textId="77777777" w:rsidR="004726BA" w:rsidRPr="001B30BE" w:rsidRDefault="004726BA" w:rsidP="00800E7D">
            <w:pPr>
              <w:pStyle w:val="TableText"/>
              <w:keepNext/>
              <w:rPr>
                <w:rFonts w:cstheme="minorHAnsi"/>
              </w:rPr>
            </w:pPr>
            <w:r w:rsidRPr="001B30BE">
              <w:rPr>
                <w:rFonts w:cstheme="minorHAnsi"/>
              </w:rPr>
              <w:t>5</w:t>
            </w:r>
          </w:p>
        </w:tc>
        <w:tc>
          <w:tcPr>
            <w:tcW w:w="3206" w:type="pct"/>
            <w:tcBorders>
              <w:top w:val="dashSmallGap" w:sz="2" w:space="0" w:color="auto"/>
              <w:bottom w:val="dashSmallGap" w:sz="2" w:space="0" w:color="auto"/>
            </w:tcBorders>
          </w:tcPr>
          <w:p w14:paraId="7B421C3C" w14:textId="77777777" w:rsidR="004726BA" w:rsidRPr="001B30BE" w:rsidRDefault="004726BA" w:rsidP="00800E7D">
            <w:pPr>
              <w:pStyle w:val="TableText"/>
              <w:keepNext/>
              <w:rPr>
                <w:rFonts w:cstheme="minorHAnsi"/>
              </w:rPr>
            </w:pPr>
            <w:r w:rsidRPr="001B30BE">
              <w:rPr>
                <w:rFonts w:cstheme="minorHAnsi"/>
              </w:rPr>
              <w:t>One or more criteria have an impact of ‘C’; or</w:t>
            </w:r>
            <w:r w:rsidRPr="001B30BE">
              <w:rPr>
                <w:rFonts w:cstheme="minorHAnsi"/>
              </w:rPr>
              <w:br/>
              <w:t>all criteria have an impact of ‘B’.</w:t>
            </w:r>
          </w:p>
        </w:tc>
        <w:tc>
          <w:tcPr>
            <w:tcW w:w="1354" w:type="pct"/>
            <w:tcBorders>
              <w:top w:val="dashSmallGap" w:sz="2" w:space="0" w:color="auto"/>
              <w:bottom w:val="dashSmallGap" w:sz="2" w:space="0" w:color="auto"/>
            </w:tcBorders>
          </w:tcPr>
          <w:p w14:paraId="32421240" w14:textId="77777777" w:rsidR="004726BA" w:rsidRPr="001B30BE" w:rsidRDefault="004726BA" w:rsidP="00800E7D">
            <w:pPr>
              <w:pStyle w:val="TableText"/>
              <w:keepNext/>
              <w:rPr>
                <w:rFonts w:cstheme="minorHAnsi"/>
              </w:rPr>
            </w:pPr>
            <w:r w:rsidRPr="001B30BE">
              <w:rPr>
                <w:rFonts w:cstheme="minorHAnsi"/>
              </w:rPr>
              <w:t>Very Low</w:t>
            </w:r>
          </w:p>
        </w:tc>
      </w:tr>
      <w:tr w:rsidR="004726BA" w:rsidRPr="001B30BE" w14:paraId="6E188C45" w14:textId="77777777" w:rsidTr="00800E7D">
        <w:trPr>
          <w:trHeight w:val="414"/>
        </w:trPr>
        <w:tc>
          <w:tcPr>
            <w:tcW w:w="440" w:type="pct"/>
            <w:tcBorders>
              <w:top w:val="dashSmallGap" w:sz="2" w:space="0" w:color="auto"/>
            </w:tcBorders>
          </w:tcPr>
          <w:p w14:paraId="6D9E2746" w14:textId="77777777" w:rsidR="004726BA" w:rsidRPr="001B30BE" w:rsidRDefault="004726BA" w:rsidP="00800E7D">
            <w:pPr>
              <w:pStyle w:val="TableText"/>
              <w:rPr>
                <w:rFonts w:cstheme="minorHAnsi"/>
              </w:rPr>
            </w:pPr>
            <w:r w:rsidRPr="001B30BE">
              <w:rPr>
                <w:rFonts w:cstheme="minorHAnsi"/>
              </w:rPr>
              <w:t>6</w:t>
            </w:r>
          </w:p>
        </w:tc>
        <w:tc>
          <w:tcPr>
            <w:tcW w:w="3206" w:type="pct"/>
            <w:tcBorders>
              <w:top w:val="dashSmallGap" w:sz="2" w:space="0" w:color="auto"/>
            </w:tcBorders>
          </w:tcPr>
          <w:p w14:paraId="6755911A" w14:textId="77777777" w:rsidR="004726BA" w:rsidRPr="001B30BE" w:rsidRDefault="004726BA" w:rsidP="00800E7D">
            <w:pPr>
              <w:pStyle w:val="TableText"/>
              <w:keepNext/>
              <w:rPr>
                <w:rFonts w:cstheme="minorHAnsi"/>
              </w:rPr>
            </w:pPr>
            <w:r w:rsidRPr="001B30BE">
              <w:rPr>
                <w:rFonts w:cstheme="minorHAnsi"/>
              </w:rPr>
              <w:t>One or more but not all criteria have an impact of ‘B’, and all remaining criteria have an impact of ‘A’; or</w:t>
            </w:r>
            <w:r w:rsidRPr="001B30BE">
              <w:rPr>
                <w:rFonts w:cstheme="minorHAnsi"/>
              </w:rPr>
              <w:br/>
              <w:t>all criteria have an impact of ‘A’.</w:t>
            </w:r>
          </w:p>
        </w:tc>
        <w:tc>
          <w:tcPr>
            <w:tcW w:w="1354" w:type="pct"/>
            <w:tcBorders>
              <w:top w:val="dashSmallGap" w:sz="2" w:space="0" w:color="auto"/>
            </w:tcBorders>
          </w:tcPr>
          <w:p w14:paraId="58AC8935" w14:textId="77777777" w:rsidR="004726BA" w:rsidRPr="001B30BE" w:rsidRDefault="004726BA" w:rsidP="00800E7D">
            <w:pPr>
              <w:pStyle w:val="TableText"/>
              <w:keepNext/>
              <w:rPr>
                <w:rFonts w:cstheme="minorHAnsi"/>
              </w:rPr>
            </w:pPr>
            <w:r w:rsidRPr="001B30BE">
              <w:rPr>
                <w:rFonts w:cstheme="minorHAnsi"/>
              </w:rPr>
              <w:t>Negligible</w:t>
            </w:r>
          </w:p>
        </w:tc>
      </w:tr>
    </w:tbl>
    <w:p w14:paraId="3ECA20FD" w14:textId="77777777" w:rsidR="004726BA" w:rsidRPr="001B30BE" w:rsidRDefault="004726BA" w:rsidP="00800E7D">
      <w:pPr>
        <w:pStyle w:val="Heading3-Appendix"/>
      </w:pPr>
      <w:r w:rsidRPr="006375B8">
        <w:t>Estimation of the unrestricted risk</w:t>
      </w:r>
    </w:p>
    <w:p w14:paraId="6B604F5E" w14:textId="77777777" w:rsidR="004726BA" w:rsidRPr="001B30BE" w:rsidRDefault="004726BA" w:rsidP="00800E7D">
      <w:pPr>
        <w:rPr>
          <w:rFonts w:cstheme="minorHAnsi"/>
        </w:rPr>
      </w:pPr>
      <w:r w:rsidRPr="001B30BE">
        <w:rPr>
          <w:rFonts w:cstheme="minorHAnsi"/>
        </w:rPr>
        <w:t>Once the assessment of the likelihood of entry, establishment and spread and for potential consequences are completed, the unrestricted risk can be determined for each pest or each group of pests. This is determined by using a risk estimation matrix (</w:t>
      </w:r>
      <w:r w:rsidRPr="001B30BE">
        <w:rPr>
          <w:rFonts w:cstheme="minorHAnsi"/>
        </w:rPr>
        <w:fldChar w:fldCharType="begin"/>
      </w:r>
      <w:r w:rsidRPr="001B30BE">
        <w:rPr>
          <w:rFonts w:cstheme="minorHAnsi"/>
        </w:rPr>
        <w:instrText xml:space="preserve"> REF _Ref524355015 \h  \* MERGEFORMAT </w:instrText>
      </w:r>
      <w:r w:rsidRPr="001B30BE">
        <w:rPr>
          <w:rFonts w:cstheme="minorHAnsi"/>
        </w:rPr>
      </w:r>
      <w:r w:rsidRPr="001B30BE">
        <w:rPr>
          <w:rFonts w:cstheme="minorHAnsi"/>
        </w:rPr>
        <w:fldChar w:fldCharType="separate"/>
      </w:r>
      <w:r w:rsidRPr="001B30BE">
        <w:rPr>
          <w:rFonts w:cstheme="minorHAnsi"/>
        </w:rPr>
        <w:t xml:space="preserve">Table </w:t>
      </w:r>
      <w:r w:rsidRPr="001B30BE">
        <w:rPr>
          <w:rFonts w:cstheme="minorHAnsi"/>
          <w:noProof/>
        </w:rPr>
        <w:t>A.</w:t>
      </w:r>
      <w:r>
        <w:rPr>
          <w:rFonts w:cstheme="minorHAnsi"/>
          <w:noProof/>
        </w:rPr>
        <w:t>4</w:t>
      </w:r>
      <w:r w:rsidRPr="001B30BE">
        <w:rPr>
          <w:rFonts w:cstheme="minorHAnsi"/>
        </w:rPr>
        <w:fldChar w:fldCharType="end"/>
      </w:r>
      <w:r w:rsidRPr="001B30BE">
        <w:rPr>
          <w:rFonts w:cstheme="minorHAnsi"/>
        </w:rPr>
        <w:t>) to combine the estimates of the likelihood of entry, establishment and spread and the overall consequences of pest establishment and spread.</w:t>
      </w:r>
    </w:p>
    <w:p w14:paraId="68D1B199" w14:textId="77777777" w:rsidR="004726BA" w:rsidRPr="001B30BE" w:rsidRDefault="004726BA" w:rsidP="00800E7D">
      <w:pPr>
        <w:rPr>
          <w:rFonts w:cstheme="minorHAnsi"/>
        </w:rPr>
      </w:pPr>
      <w:r w:rsidRPr="001B30BE">
        <w:rPr>
          <w:rFonts w:cstheme="minorHAnsi"/>
        </w:rP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w:t>
      </w:r>
      <w:proofErr w:type="gramStart"/>
      <w:r w:rsidRPr="001B30BE">
        <w:rPr>
          <w:rFonts w:cstheme="minorHAnsi"/>
        </w:rPr>
        <w:t>High</w:t>
      </w:r>
      <w:proofErr w:type="gramEnd"/>
      <w:r w:rsidRPr="001B30BE">
        <w:rPr>
          <w:rFonts w:cstheme="minorHAnsi"/>
        </w:rPr>
        <w:t xml:space="preserve"> likelihood combined with Low consequences—the matrix is not symmetrical. For example, the former combination would give an unrestricted risk rating of Moderate, whereas the latter would give a Low rating.</w:t>
      </w:r>
      <w:bookmarkStart w:id="82" w:name="_Toc384979280"/>
    </w:p>
    <w:p w14:paraId="4F971C83" w14:textId="77777777" w:rsidR="004726BA" w:rsidRPr="001B30BE" w:rsidRDefault="004726BA" w:rsidP="00800E7D">
      <w:pPr>
        <w:pStyle w:val="Tablecaption"/>
        <w:rPr>
          <w:rFonts w:cstheme="minorHAnsi"/>
        </w:rPr>
      </w:pPr>
      <w:bookmarkStart w:id="83" w:name="_Ref524355015"/>
      <w:bookmarkStart w:id="84" w:name="_Toc6906418"/>
      <w:bookmarkStart w:id="85" w:name="_Toc202256553"/>
      <w:bookmarkEnd w:id="82"/>
      <w:r w:rsidRPr="001B30BE">
        <w:rPr>
          <w:rFonts w:cstheme="minorHAnsi"/>
        </w:rPr>
        <w:lastRenderedPageBreak/>
        <w:t xml:space="preserve">Table </w:t>
      </w:r>
      <w:r w:rsidRPr="001B30BE">
        <w:rPr>
          <w:rFonts w:cstheme="minorHAnsi"/>
          <w:noProof/>
        </w:rPr>
        <w:t>A.</w:t>
      </w:r>
      <w:r w:rsidRPr="001B30BE">
        <w:rPr>
          <w:rFonts w:cstheme="minorHAnsi"/>
          <w:noProof/>
        </w:rPr>
        <w:fldChar w:fldCharType="begin"/>
      </w:r>
      <w:r w:rsidRPr="001B30BE">
        <w:rPr>
          <w:rFonts w:cstheme="minorHAnsi"/>
          <w:noProof/>
        </w:rPr>
        <w:instrText xml:space="preserve"> SEQ Table \* ARABIC \s 2 </w:instrText>
      </w:r>
      <w:r w:rsidRPr="001B30BE">
        <w:rPr>
          <w:rFonts w:cstheme="minorHAnsi"/>
          <w:noProof/>
        </w:rPr>
        <w:fldChar w:fldCharType="separate"/>
      </w:r>
      <w:r>
        <w:rPr>
          <w:rFonts w:cstheme="minorHAnsi"/>
          <w:noProof/>
        </w:rPr>
        <w:t>4</w:t>
      </w:r>
      <w:r w:rsidRPr="001B30BE">
        <w:rPr>
          <w:rFonts w:cstheme="minorHAnsi"/>
          <w:noProof/>
        </w:rPr>
        <w:fldChar w:fldCharType="end"/>
      </w:r>
      <w:bookmarkEnd w:id="83"/>
      <w:r w:rsidRPr="001B30BE">
        <w:rPr>
          <w:rFonts w:cstheme="minorHAnsi"/>
        </w:rPr>
        <w:t xml:space="preserve"> Risk estimation matrix</w:t>
      </w:r>
      <w:bookmarkEnd w:id="84"/>
      <w:bookmarkEnd w:id="85"/>
    </w:p>
    <w:tbl>
      <w:tblPr>
        <w:tblW w:w="5000" w:type="pct"/>
        <w:tblLook w:val="0000" w:firstRow="0" w:lastRow="0" w:firstColumn="0" w:lastColumn="0" w:noHBand="0" w:noVBand="0"/>
      </w:tblPr>
      <w:tblGrid>
        <w:gridCol w:w="1434"/>
        <w:gridCol w:w="1269"/>
        <w:gridCol w:w="1269"/>
        <w:gridCol w:w="1271"/>
        <w:gridCol w:w="1269"/>
        <w:gridCol w:w="1269"/>
        <w:gridCol w:w="1269"/>
      </w:tblGrid>
      <w:tr w:rsidR="004726BA" w:rsidRPr="001B30BE" w14:paraId="354AD7AF" w14:textId="77777777" w:rsidTr="00800E7D">
        <w:trPr>
          <w:cantSplit/>
          <w:trHeight w:val="551"/>
        </w:trPr>
        <w:tc>
          <w:tcPr>
            <w:tcW w:w="793" w:type="pct"/>
            <w:vMerge w:val="restart"/>
            <w:tcBorders>
              <w:top w:val="single" w:sz="8" w:space="0" w:color="auto"/>
              <w:left w:val="single" w:sz="8" w:space="0" w:color="auto"/>
              <w:bottom w:val="single" w:sz="4" w:space="0" w:color="BFBFBF" w:themeColor="background1" w:themeShade="BF"/>
            </w:tcBorders>
            <w:vAlign w:val="bottom"/>
          </w:tcPr>
          <w:p w14:paraId="732DB6F0" w14:textId="77777777" w:rsidR="004726BA" w:rsidRPr="001B30BE" w:rsidRDefault="004726BA" w:rsidP="00800E7D">
            <w:pPr>
              <w:pStyle w:val="TableText"/>
              <w:keepNext/>
              <w:rPr>
                <w:rFonts w:cstheme="minorHAnsi"/>
              </w:rPr>
            </w:pPr>
            <w:r w:rsidRPr="001B30BE">
              <w:rPr>
                <w:rFonts w:cstheme="minorHAnsi"/>
              </w:rPr>
              <w:t>Likelihood of pest entry, establishment and spread</w:t>
            </w:r>
          </w:p>
        </w:tc>
        <w:tc>
          <w:tcPr>
            <w:tcW w:w="4207" w:type="pct"/>
            <w:gridSpan w:val="6"/>
            <w:tcBorders>
              <w:top w:val="single" w:sz="8" w:space="0" w:color="auto"/>
              <w:left w:val="nil"/>
              <w:bottom w:val="single" w:sz="4" w:space="0" w:color="BFBFBF" w:themeColor="background1" w:themeShade="BF"/>
              <w:right w:val="single" w:sz="8" w:space="0" w:color="auto"/>
            </w:tcBorders>
            <w:vAlign w:val="bottom"/>
          </w:tcPr>
          <w:p w14:paraId="3BCFFDDD" w14:textId="77777777" w:rsidR="004726BA" w:rsidRPr="001B30BE" w:rsidRDefault="004726BA" w:rsidP="00800E7D">
            <w:pPr>
              <w:pStyle w:val="TableText"/>
              <w:keepNext/>
              <w:rPr>
                <w:rFonts w:cstheme="minorHAnsi"/>
              </w:rPr>
            </w:pPr>
            <w:r w:rsidRPr="001B30BE">
              <w:rPr>
                <w:rFonts w:cstheme="minorHAnsi"/>
              </w:rPr>
              <w:t>Consequences of pest entry, establishment and spread</w:t>
            </w:r>
          </w:p>
        </w:tc>
      </w:tr>
      <w:tr w:rsidR="004726BA" w:rsidRPr="001B30BE" w14:paraId="467C3F06" w14:textId="77777777" w:rsidTr="00800E7D">
        <w:trPr>
          <w:cantSplit/>
        </w:trPr>
        <w:tc>
          <w:tcPr>
            <w:tcW w:w="793" w:type="pct"/>
            <w:vMerge/>
            <w:tcBorders>
              <w:top w:val="single" w:sz="4" w:space="0" w:color="BFBFBF" w:themeColor="background1" w:themeShade="BF"/>
              <w:left w:val="single" w:sz="8" w:space="0" w:color="auto"/>
              <w:bottom w:val="single" w:sz="4" w:space="0" w:color="BFBFBF" w:themeColor="background1" w:themeShade="BF"/>
            </w:tcBorders>
          </w:tcPr>
          <w:p w14:paraId="13412A98" w14:textId="77777777" w:rsidR="004726BA" w:rsidRPr="001B30BE" w:rsidRDefault="004726BA" w:rsidP="00800E7D">
            <w:pPr>
              <w:pStyle w:val="TableText"/>
              <w:keepNext/>
              <w:rPr>
                <w:rFonts w:cstheme="minorHAnsi"/>
                <w:color w:val="FFFFFF" w:themeColor="background1"/>
              </w:rPr>
            </w:pPr>
          </w:p>
        </w:tc>
        <w:tc>
          <w:tcPr>
            <w:tcW w:w="701" w:type="pct"/>
            <w:tcBorders>
              <w:top w:val="single" w:sz="4" w:space="0" w:color="BFBFBF" w:themeColor="background1" w:themeShade="BF"/>
              <w:left w:val="nil"/>
              <w:bottom w:val="single" w:sz="8" w:space="0" w:color="C0C0C0"/>
            </w:tcBorders>
            <w:vAlign w:val="bottom"/>
          </w:tcPr>
          <w:p w14:paraId="460BD0C6" w14:textId="77777777" w:rsidR="004726BA" w:rsidRPr="001B30BE" w:rsidRDefault="004726BA" w:rsidP="00800E7D">
            <w:pPr>
              <w:pStyle w:val="TableText"/>
              <w:keepNext/>
              <w:rPr>
                <w:rFonts w:cstheme="minorHAnsi"/>
              </w:rPr>
            </w:pPr>
            <w:r w:rsidRPr="001B30BE">
              <w:rPr>
                <w:rFonts w:cstheme="minorHAnsi"/>
              </w:rPr>
              <w:t xml:space="preserve">Negligible </w:t>
            </w:r>
          </w:p>
        </w:tc>
        <w:tc>
          <w:tcPr>
            <w:tcW w:w="701" w:type="pct"/>
            <w:tcBorders>
              <w:top w:val="single" w:sz="4" w:space="0" w:color="BFBFBF" w:themeColor="background1" w:themeShade="BF"/>
              <w:bottom w:val="single" w:sz="8" w:space="0" w:color="C0C0C0"/>
            </w:tcBorders>
            <w:vAlign w:val="bottom"/>
          </w:tcPr>
          <w:p w14:paraId="4E5527AD" w14:textId="77777777" w:rsidR="004726BA" w:rsidRPr="001B30BE" w:rsidRDefault="004726BA" w:rsidP="00800E7D">
            <w:pPr>
              <w:pStyle w:val="TableText"/>
              <w:keepNext/>
              <w:rPr>
                <w:rFonts w:cstheme="minorHAnsi"/>
              </w:rPr>
            </w:pPr>
            <w:r w:rsidRPr="001B30BE">
              <w:rPr>
                <w:rFonts w:cstheme="minorHAnsi"/>
              </w:rPr>
              <w:t>Very Low</w:t>
            </w:r>
          </w:p>
        </w:tc>
        <w:tc>
          <w:tcPr>
            <w:tcW w:w="702" w:type="pct"/>
            <w:tcBorders>
              <w:top w:val="single" w:sz="4" w:space="0" w:color="BFBFBF" w:themeColor="background1" w:themeShade="BF"/>
              <w:bottom w:val="single" w:sz="8" w:space="0" w:color="C0C0C0"/>
            </w:tcBorders>
            <w:vAlign w:val="bottom"/>
          </w:tcPr>
          <w:p w14:paraId="33DFF955" w14:textId="77777777" w:rsidR="004726BA" w:rsidRPr="001B30BE" w:rsidRDefault="004726BA" w:rsidP="00800E7D">
            <w:pPr>
              <w:pStyle w:val="TableText"/>
              <w:keepNext/>
              <w:rPr>
                <w:rFonts w:cstheme="minorHAnsi"/>
              </w:rPr>
            </w:pPr>
            <w:r w:rsidRPr="001B30BE">
              <w:rPr>
                <w:rFonts w:cstheme="minorHAnsi"/>
              </w:rPr>
              <w:t xml:space="preserve">Low </w:t>
            </w:r>
          </w:p>
        </w:tc>
        <w:tc>
          <w:tcPr>
            <w:tcW w:w="701" w:type="pct"/>
            <w:tcBorders>
              <w:top w:val="single" w:sz="4" w:space="0" w:color="BFBFBF" w:themeColor="background1" w:themeShade="BF"/>
              <w:bottom w:val="single" w:sz="8" w:space="0" w:color="C0C0C0"/>
            </w:tcBorders>
            <w:vAlign w:val="bottom"/>
          </w:tcPr>
          <w:p w14:paraId="326CF16B" w14:textId="77777777" w:rsidR="004726BA" w:rsidRPr="001B30BE" w:rsidRDefault="004726BA" w:rsidP="00800E7D">
            <w:pPr>
              <w:pStyle w:val="TableText"/>
              <w:keepNext/>
              <w:rPr>
                <w:rFonts w:cstheme="minorHAnsi"/>
              </w:rPr>
            </w:pPr>
            <w:r w:rsidRPr="001B30BE">
              <w:rPr>
                <w:rFonts w:cstheme="minorHAnsi"/>
              </w:rPr>
              <w:t>Moderate</w:t>
            </w:r>
          </w:p>
        </w:tc>
        <w:tc>
          <w:tcPr>
            <w:tcW w:w="701" w:type="pct"/>
            <w:tcBorders>
              <w:top w:val="single" w:sz="4" w:space="0" w:color="BFBFBF" w:themeColor="background1" w:themeShade="BF"/>
              <w:bottom w:val="single" w:sz="8" w:space="0" w:color="C0C0C0"/>
            </w:tcBorders>
            <w:vAlign w:val="bottom"/>
          </w:tcPr>
          <w:p w14:paraId="187670E9" w14:textId="77777777" w:rsidR="004726BA" w:rsidRPr="001B30BE" w:rsidRDefault="004726BA" w:rsidP="00800E7D">
            <w:pPr>
              <w:pStyle w:val="TableText"/>
              <w:keepNext/>
              <w:rPr>
                <w:rFonts w:cstheme="minorHAnsi"/>
              </w:rPr>
            </w:pPr>
            <w:r w:rsidRPr="001B30BE">
              <w:rPr>
                <w:rFonts w:cstheme="minorHAnsi"/>
              </w:rPr>
              <w:t>High</w:t>
            </w:r>
          </w:p>
        </w:tc>
        <w:tc>
          <w:tcPr>
            <w:tcW w:w="701" w:type="pct"/>
            <w:tcBorders>
              <w:top w:val="single" w:sz="4" w:space="0" w:color="BFBFBF" w:themeColor="background1" w:themeShade="BF"/>
              <w:bottom w:val="single" w:sz="8" w:space="0" w:color="C0C0C0"/>
              <w:right w:val="single" w:sz="8" w:space="0" w:color="auto"/>
            </w:tcBorders>
            <w:vAlign w:val="bottom"/>
          </w:tcPr>
          <w:p w14:paraId="12D668B9" w14:textId="77777777" w:rsidR="004726BA" w:rsidRPr="001B30BE" w:rsidRDefault="004726BA" w:rsidP="00800E7D">
            <w:pPr>
              <w:pStyle w:val="TableText"/>
              <w:keepNext/>
              <w:rPr>
                <w:rFonts w:cstheme="minorHAnsi"/>
              </w:rPr>
            </w:pPr>
            <w:r w:rsidRPr="001B30BE">
              <w:rPr>
                <w:rFonts w:cstheme="minorHAnsi"/>
              </w:rPr>
              <w:t xml:space="preserve">Extreme </w:t>
            </w:r>
          </w:p>
        </w:tc>
      </w:tr>
      <w:tr w:rsidR="004726BA" w:rsidRPr="001B30BE" w14:paraId="32866E96" w14:textId="77777777" w:rsidTr="00800E7D">
        <w:trPr>
          <w:cantSplit/>
        </w:trPr>
        <w:tc>
          <w:tcPr>
            <w:tcW w:w="793" w:type="pct"/>
            <w:tcBorders>
              <w:top w:val="single" w:sz="4" w:space="0" w:color="BFBFBF" w:themeColor="background1" w:themeShade="BF"/>
              <w:left w:val="single" w:sz="8" w:space="0" w:color="auto"/>
              <w:bottom w:val="single" w:sz="4" w:space="0" w:color="BFBFBF" w:themeColor="background1" w:themeShade="BF"/>
              <w:right w:val="single" w:sz="4" w:space="0" w:color="D9D9D9" w:themeColor="background1" w:themeShade="D9"/>
            </w:tcBorders>
          </w:tcPr>
          <w:p w14:paraId="278A9D67" w14:textId="77777777" w:rsidR="004726BA" w:rsidRPr="001B30BE" w:rsidRDefault="004726BA" w:rsidP="00800E7D">
            <w:pPr>
              <w:pStyle w:val="TableText"/>
              <w:keepNext/>
              <w:rPr>
                <w:rFonts w:cstheme="minorHAnsi"/>
              </w:rPr>
            </w:pPr>
            <w:r w:rsidRPr="001B30BE">
              <w:rPr>
                <w:rFonts w:cstheme="minorHAnsi"/>
              </w:rP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0BC53231"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27233700" w14:textId="77777777" w:rsidR="004726BA" w:rsidRPr="001B30BE" w:rsidRDefault="004726BA" w:rsidP="00800E7D">
            <w:pPr>
              <w:pStyle w:val="TableText"/>
              <w:keepNext/>
              <w:rPr>
                <w:rFonts w:cstheme="minorHAnsi"/>
                <w:color w:val="FFFFFF"/>
              </w:rPr>
            </w:pPr>
            <w:r w:rsidRPr="001B30BE">
              <w:rPr>
                <w:rFonts w:cstheme="minorHAnsi"/>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D01D37E" w14:textId="77777777" w:rsidR="004726BA" w:rsidRPr="001B30BE" w:rsidRDefault="004726BA" w:rsidP="00800E7D">
            <w:pPr>
              <w:pStyle w:val="TableText"/>
              <w:keepNext/>
              <w:rPr>
                <w:rFonts w:cstheme="minorHAnsi"/>
              </w:rPr>
            </w:pPr>
            <w:r w:rsidRPr="001B30BE">
              <w:rPr>
                <w:rFonts w:cstheme="minorHAnsi"/>
              </w:rP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A1B501C" w14:textId="77777777" w:rsidR="004726BA" w:rsidRPr="001B30BE" w:rsidRDefault="004726BA" w:rsidP="00800E7D">
            <w:pPr>
              <w:pStyle w:val="TableText"/>
              <w:keepNext/>
              <w:rPr>
                <w:rFonts w:cstheme="minorHAnsi"/>
              </w:rPr>
            </w:pPr>
            <w:r w:rsidRPr="001B30BE">
              <w:rPr>
                <w:rFonts w:cstheme="minorHAnsi"/>
              </w:rP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4DCF2A7" w14:textId="77777777" w:rsidR="004726BA" w:rsidRPr="001B30BE" w:rsidRDefault="004726BA" w:rsidP="00800E7D">
            <w:pPr>
              <w:pStyle w:val="TableText"/>
              <w:keepNext/>
              <w:rPr>
                <w:rFonts w:cstheme="minorHAnsi"/>
              </w:rPr>
            </w:pPr>
            <w:r w:rsidRPr="001B30BE">
              <w:rPr>
                <w:rFonts w:cstheme="minorHAnsi"/>
              </w:rPr>
              <w:t>High risk</w:t>
            </w:r>
          </w:p>
        </w:tc>
        <w:tc>
          <w:tcPr>
            <w:tcW w:w="701" w:type="pct"/>
            <w:tcBorders>
              <w:top w:val="single" w:sz="4" w:space="0" w:color="D9D9D9" w:themeColor="background1" w:themeShade="D9"/>
              <w:left w:val="single" w:sz="8" w:space="0" w:color="C0C0C0"/>
              <w:bottom w:val="single" w:sz="8" w:space="0" w:color="C0C0C0"/>
              <w:right w:val="single" w:sz="8" w:space="0" w:color="auto"/>
            </w:tcBorders>
            <w:shd w:val="clear" w:color="auto" w:fill="FF99CC"/>
          </w:tcPr>
          <w:p w14:paraId="4B55B826" w14:textId="77777777" w:rsidR="004726BA" w:rsidRPr="001B30BE" w:rsidRDefault="004726BA" w:rsidP="00800E7D">
            <w:pPr>
              <w:pStyle w:val="TableText"/>
              <w:keepNext/>
              <w:rPr>
                <w:rFonts w:cstheme="minorHAnsi"/>
              </w:rPr>
            </w:pPr>
            <w:r w:rsidRPr="001B30BE">
              <w:rPr>
                <w:rFonts w:cstheme="minorHAnsi"/>
              </w:rPr>
              <w:t>Extreme risk</w:t>
            </w:r>
          </w:p>
        </w:tc>
      </w:tr>
      <w:tr w:rsidR="004726BA" w:rsidRPr="001B30BE" w14:paraId="1CFAB5AE" w14:textId="77777777" w:rsidTr="00800E7D">
        <w:trPr>
          <w:cantSplit/>
        </w:trPr>
        <w:tc>
          <w:tcPr>
            <w:tcW w:w="793" w:type="pct"/>
            <w:tcBorders>
              <w:top w:val="single" w:sz="4" w:space="0" w:color="BFBFBF" w:themeColor="background1" w:themeShade="BF"/>
              <w:left w:val="single" w:sz="8" w:space="0" w:color="auto"/>
              <w:bottom w:val="single" w:sz="4" w:space="0" w:color="BFBFBF" w:themeColor="background1" w:themeShade="BF"/>
              <w:right w:val="single" w:sz="4" w:space="0" w:color="D9D9D9" w:themeColor="background1" w:themeShade="D9"/>
            </w:tcBorders>
          </w:tcPr>
          <w:p w14:paraId="6A4D2FBB" w14:textId="77777777" w:rsidR="004726BA" w:rsidRPr="001B30BE" w:rsidRDefault="004726BA" w:rsidP="00800E7D">
            <w:pPr>
              <w:pStyle w:val="TableText"/>
              <w:keepNext/>
              <w:rPr>
                <w:rFonts w:cstheme="minorHAnsi"/>
              </w:rPr>
            </w:pPr>
            <w:r w:rsidRPr="001B30BE">
              <w:rPr>
                <w:rFonts w:cstheme="minorHAnsi"/>
              </w:rP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E2CFE76"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F2AD36E" w14:textId="77777777" w:rsidR="004726BA" w:rsidRPr="001B30BE" w:rsidRDefault="004726BA" w:rsidP="00800E7D">
            <w:pPr>
              <w:pStyle w:val="TableText"/>
              <w:keepNext/>
              <w:rPr>
                <w:rFonts w:cstheme="minorHAnsi"/>
                <w:color w:val="FFFFFF"/>
              </w:rPr>
            </w:pPr>
            <w:r w:rsidRPr="001B30BE">
              <w:rPr>
                <w:rFonts w:cstheme="minorHAnsi"/>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78FDDF46" w14:textId="77777777" w:rsidR="004726BA" w:rsidRPr="001B30BE" w:rsidRDefault="004726BA" w:rsidP="00800E7D">
            <w:pPr>
              <w:pStyle w:val="TableText"/>
              <w:keepNext/>
              <w:rPr>
                <w:rFonts w:cstheme="minorHAnsi"/>
              </w:rPr>
            </w:pPr>
            <w:r w:rsidRPr="001B30BE">
              <w:rPr>
                <w:rFonts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3E6B8919" w14:textId="77777777" w:rsidR="004726BA" w:rsidRPr="001B30BE" w:rsidRDefault="004726BA" w:rsidP="00800E7D">
            <w:pPr>
              <w:pStyle w:val="TableText"/>
              <w:keepNext/>
              <w:rPr>
                <w:rFonts w:cstheme="minorHAnsi"/>
              </w:rPr>
            </w:pPr>
            <w:r w:rsidRPr="001B30BE">
              <w:rPr>
                <w:rFonts w:cstheme="minorHAnsi"/>
              </w:rP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3E7769E9" w14:textId="77777777" w:rsidR="004726BA" w:rsidRPr="001B30BE" w:rsidRDefault="004726BA" w:rsidP="00800E7D">
            <w:pPr>
              <w:pStyle w:val="TableText"/>
              <w:keepNext/>
              <w:rPr>
                <w:rFonts w:cstheme="minorHAnsi"/>
              </w:rPr>
            </w:pPr>
            <w:r w:rsidRPr="001B30BE">
              <w:rPr>
                <w:rFonts w:cstheme="minorHAnsi"/>
              </w:rPr>
              <w:t>High risk</w:t>
            </w:r>
          </w:p>
        </w:tc>
        <w:tc>
          <w:tcPr>
            <w:tcW w:w="701" w:type="pct"/>
            <w:tcBorders>
              <w:top w:val="single" w:sz="8" w:space="0" w:color="C0C0C0"/>
              <w:left w:val="single" w:sz="8" w:space="0" w:color="C0C0C0"/>
              <w:bottom w:val="single" w:sz="8" w:space="0" w:color="C0C0C0"/>
              <w:right w:val="single" w:sz="8" w:space="0" w:color="auto"/>
            </w:tcBorders>
            <w:shd w:val="clear" w:color="auto" w:fill="FF99CC"/>
          </w:tcPr>
          <w:p w14:paraId="0626E3B8" w14:textId="77777777" w:rsidR="004726BA" w:rsidRPr="001B30BE" w:rsidRDefault="004726BA" w:rsidP="00800E7D">
            <w:pPr>
              <w:pStyle w:val="TableText"/>
              <w:keepNext/>
              <w:rPr>
                <w:rFonts w:cstheme="minorHAnsi"/>
              </w:rPr>
            </w:pPr>
            <w:r w:rsidRPr="001B30BE">
              <w:rPr>
                <w:rFonts w:cstheme="minorHAnsi"/>
              </w:rPr>
              <w:t>Extreme risk</w:t>
            </w:r>
          </w:p>
        </w:tc>
      </w:tr>
      <w:tr w:rsidR="004726BA" w:rsidRPr="001B30BE" w14:paraId="41FA557D" w14:textId="77777777" w:rsidTr="00800E7D">
        <w:trPr>
          <w:cantSplit/>
        </w:trPr>
        <w:tc>
          <w:tcPr>
            <w:tcW w:w="793" w:type="pct"/>
            <w:tcBorders>
              <w:top w:val="single" w:sz="4" w:space="0" w:color="BFBFBF" w:themeColor="background1" w:themeShade="BF"/>
              <w:left w:val="single" w:sz="8" w:space="0" w:color="auto"/>
              <w:bottom w:val="single" w:sz="4" w:space="0" w:color="BFBFBF" w:themeColor="background1" w:themeShade="BF"/>
              <w:right w:val="single" w:sz="4" w:space="0" w:color="D9D9D9" w:themeColor="background1" w:themeShade="D9"/>
            </w:tcBorders>
          </w:tcPr>
          <w:p w14:paraId="591891A7" w14:textId="77777777" w:rsidR="004726BA" w:rsidRPr="001B30BE" w:rsidRDefault="004726BA" w:rsidP="00800E7D">
            <w:pPr>
              <w:pStyle w:val="TableText"/>
              <w:keepNext/>
              <w:rPr>
                <w:rFonts w:cstheme="minorHAnsi"/>
              </w:rPr>
            </w:pPr>
            <w:r w:rsidRPr="001B30BE">
              <w:rPr>
                <w:rFonts w:cstheme="minorHAnsi"/>
              </w:rP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E988B69"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D290985" w14:textId="77777777" w:rsidR="004726BA" w:rsidRPr="001B30BE" w:rsidRDefault="004726BA" w:rsidP="00800E7D">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0A5F0D02" w14:textId="77777777" w:rsidR="004726BA" w:rsidRPr="001B30BE" w:rsidRDefault="004726BA" w:rsidP="00800E7D">
            <w:pPr>
              <w:pStyle w:val="TableText"/>
              <w:keepNext/>
              <w:rPr>
                <w:rFonts w:cstheme="minorHAnsi"/>
                <w:color w:val="FFFFFF"/>
              </w:rPr>
            </w:pPr>
            <w:r w:rsidRPr="001B30BE">
              <w:rPr>
                <w:rFonts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7B82C975" w14:textId="77777777" w:rsidR="004726BA" w:rsidRPr="001B30BE" w:rsidRDefault="004726BA" w:rsidP="00800E7D">
            <w:pPr>
              <w:pStyle w:val="TableText"/>
              <w:keepNext/>
              <w:rPr>
                <w:rFonts w:cstheme="minorHAnsi"/>
              </w:rPr>
            </w:pPr>
            <w:r w:rsidRPr="001B30BE">
              <w:rPr>
                <w:rFonts w:cstheme="minorHAnsi"/>
              </w:rP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6377957F" w14:textId="77777777" w:rsidR="004726BA" w:rsidRPr="001B30BE" w:rsidRDefault="004726BA" w:rsidP="00800E7D">
            <w:pPr>
              <w:pStyle w:val="TableText"/>
              <w:keepNext/>
              <w:rPr>
                <w:rFonts w:cstheme="minorHAnsi"/>
              </w:rPr>
            </w:pPr>
            <w:r w:rsidRPr="001B30BE">
              <w:rPr>
                <w:rFonts w:cstheme="minorHAnsi"/>
              </w:rPr>
              <w:t>Moderate risk</w:t>
            </w:r>
          </w:p>
        </w:tc>
        <w:tc>
          <w:tcPr>
            <w:tcW w:w="701" w:type="pct"/>
            <w:tcBorders>
              <w:top w:val="single" w:sz="8" w:space="0" w:color="C0C0C0"/>
              <w:left w:val="single" w:sz="8" w:space="0" w:color="C0C0C0"/>
              <w:bottom w:val="single" w:sz="8" w:space="0" w:color="C0C0C0"/>
              <w:right w:val="single" w:sz="8" w:space="0" w:color="auto"/>
            </w:tcBorders>
            <w:shd w:val="clear" w:color="auto" w:fill="FFCC99"/>
          </w:tcPr>
          <w:p w14:paraId="7DAF1D0C" w14:textId="77777777" w:rsidR="004726BA" w:rsidRPr="001B30BE" w:rsidRDefault="004726BA" w:rsidP="00800E7D">
            <w:pPr>
              <w:pStyle w:val="TableText"/>
              <w:keepNext/>
              <w:rPr>
                <w:rFonts w:cstheme="minorHAnsi"/>
              </w:rPr>
            </w:pPr>
            <w:r w:rsidRPr="001B30BE">
              <w:rPr>
                <w:rFonts w:cstheme="minorHAnsi"/>
              </w:rPr>
              <w:t>High risk</w:t>
            </w:r>
          </w:p>
        </w:tc>
      </w:tr>
      <w:tr w:rsidR="004726BA" w:rsidRPr="001B30BE" w14:paraId="517E8809" w14:textId="77777777" w:rsidTr="00800E7D">
        <w:trPr>
          <w:cantSplit/>
        </w:trPr>
        <w:tc>
          <w:tcPr>
            <w:tcW w:w="793" w:type="pct"/>
            <w:tcBorders>
              <w:top w:val="single" w:sz="4" w:space="0" w:color="BFBFBF" w:themeColor="background1" w:themeShade="BF"/>
              <w:left w:val="single" w:sz="8" w:space="0" w:color="auto"/>
              <w:bottom w:val="single" w:sz="4" w:space="0" w:color="BFBFBF" w:themeColor="background1" w:themeShade="BF"/>
              <w:right w:val="single" w:sz="4" w:space="0" w:color="D9D9D9" w:themeColor="background1" w:themeShade="D9"/>
            </w:tcBorders>
          </w:tcPr>
          <w:p w14:paraId="3BAE6744" w14:textId="77777777" w:rsidR="004726BA" w:rsidRPr="001B30BE" w:rsidRDefault="004726BA" w:rsidP="00800E7D">
            <w:pPr>
              <w:pStyle w:val="TableText"/>
              <w:keepNext/>
              <w:rPr>
                <w:rFonts w:cstheme="minorHAnsi"/>
              </w:rPr>
            </w:pPr>
            <w:r w:rsidRPr="001B30BE">
              <w:rPr>
                <w:rFonts w:cstheme="minorHAnsi"/>
              </w:rP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CBC60CA"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1D9EAFE" w14:textId="77777777" w:rsidR="004726BA" w:rsidRPr="001B30BE" w:rsidRDefault="004726BA" w:rsidP="00800E7D">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018E24C"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5AE5726" w14:textId="77777777" w:rsidR="004726BA" w:rsidRPr="001B30BE" w:rsidRDefault="004726BA" w:rsidP="00800E7D">
            <w:pPr>
              <w:pStyle w:val="TableText"/>
              <w:keepNext/>
              <w:rPr>
                <w:rFonts w:cstheme="minorHAnsi"/>
                <w:color w:val="FFFFFF"/>
              </w:rPr>
            </w:pPr>
            <w:r w:rsidRPr="001B30BE">
              <w:rPr>
                <w:rFonts w:cstheme="minorHAnsi"/>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C5228F7" w14:textId="77777777" w:rsidR="004726BA" w:rsidRPr="001B30BE" w:rsidRDefault="004726BA" w:rsidP="00800E7D">
            <w:pPr>
              <w:pStyle w:val="TableText"/>
              <w:keepNext/>
              <w:rPr>
                <w:rFonts w:cstheme="minorHAnsi"/>
              </w:rPr>
            </w:pPr>
            <w:r w:rsidRPr="001B30BE">
              <w:rPr>
                <w:rFonts w:cstheme="minorHAnsi"/>
              </w:rPr>
              <w:t>Low risk</w:t>
            </w:r>
          </w:p>
        </w:tc>
        <w:tc>
          <w:tcPr>
            <w:tcW w:w="701" w:type="pct"/>
            <w:tcBorders>
              <w:top w:val="single" w:sz="8" w:space="0" w:color="C0C0C0"/>
              <w:left w:val="single" w:sz="8" w:space="0" w:color="C0C0C0"/>
              <w:bottom w:val="single" w:sz="8" w:space="0" w:color="C0C0C0"/>
              <w:right w:val="single" w:sz="8" w:space="0" w:color="auto"/>
            </w:tcBorders>
            <w:shd w:val="clear" w:color="auto" w:fill="FFFF99"/>
          </w:tcPr>
          <w:p w14:paraId="06FA759C" w14:textId="77777777" w:rsidR="004726BA" w:rsidRPr="001B30BE" w:rsidRDefault="004726BA" w:rsidP="00800E7D">
            <w:pPr>
              <w:pStyle w:val="TableText"/>
              <w:keepNext/>
              <w:rPr>
                <w:rFonts w:cstheme="minorHAnsi"/>
              </w:rPr>
            </w:pPr>
            <w:r w:rsidRPr="001B30BE">
              <w:rPr>
                <w:rFonts w:cstheme="minorHAnsi"/>
              </w:rPr>
              <w:t>Moderate risk</w:t>
            </w:r>
          </w:p>
        </w:tc>
      </w:tr>
      <w:tr w:rsidR="004726BA" w:rsidRPr="001B30BE" w14:paraId="5A001084" w14:textId="77777777" w:rsidTr="00800E7D">
        <w:trPr>
          <w:cantSplit/>
        </w:trPr>
        <w:tc>
          <w:tcPr>
            <w:tcW w:w="793" w:type="pct"/>
            <w:tcBorders>
              <w:top w:val="single" w:sz="4" w:space="0" w:color="BFBFBF" w:themeColor="background1" w:themeShade="BF"/>
              <w:left w:val="single" w:sz="8" w:space="0" w:color="auto"/>
              <w:bottom w:val="single" w:sz="4" w:space="0" w:color="BFBFBF" w:themeColor="background1" w:themeShade="BF"/>
              <w:right w:val="single" w:sz="4" w:space="0" w:color="D9D9D9" w:themeColor="background1" w:themeShade="D9"/>
            </w:tcBorders>
          </w:tcPr>
          <w:p w14:paraId="7E359B1B" w14:textId="77777777" w:rsidR="004726BA" w:rsidRPr="001B30BE" w:rsidRDefault="004726BA" w:rsidP="00800E7D">
            <w:pPr>
              <w:pStyle w:val="TableText"/>
              <w:keepNext/>
              <w:rPr>
                <w:rFonts w:cstheme="minorHAnsi"/>
              </w:rPr>
            </w:pPr>
            <w:r w:rsidRPr="001B30BE">
              <w:rPr>
                <w:rFonts w:cstheme="minorHAnsi"/>
              </w:rP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698C52D7"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7530202" w14:textId="77777777" w:rsidR="004726BA" w:rsidRPr="001B30BE" w:rsidRDefault="004726BA" w:rsidP="00800E7D">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680E2E3"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98D0857"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285BE56" w14:textId="77777777" w:rsidR="004726BA" w:rsidRPr="001B30BE" w:rsidRDefault="004726BA" w:rsidP="00800E7D">
            <w:pPr>
              <w:pStyle w:val="TableText"/>
              <w:keepNext/>
              <w:rPr>
                <w:rFonts w:cstheme="minorHAnsi"/>
                <w:color w:val="FFFFFF"/>
              </w:rPr>
            </w:pPr>
            <w:r w:rsidRPr="001B30BE">
              <w:rPr>
                <w:rFonts w:cstheme="minorHAnsi"/>
                <w:color w:val="FFFFFF"/>
              </w:rPr>
              <w:t>Very Low risk</w:t>
            </w:r>
          </w:p>
        </w:tc>
        <w:tc>
          <w:tcPr>
            <w:tcW w:w="701" w:type="pct"/>
            <w:tcBorders>
              <w:top w:val="single" w:sz="8" w:space="0" w:color="C0C0C0"/>
              <w:left w:val="single" w:sz="8" w:space="0" w:color="C0C0C0"/>
              <w:bottom w:val="single" w:sz="8" w:space="0" w:color="C0C0C0"/>
              <w:right w:val="single" w:sz="8" w:space="0" w:color="auto"/>
            </w:tcBorders>
            <w:shd w:val="clear" w:color="auto" w:fill="CCFFCC"/>
          </w:tcPr>
          <w:p w14:paraId="7FE39CB7" w14:textId="77777777" w:rsidR="004726BA" w:rsidRPr="001B30BE" w:rsidRDefault="004726BA" w:rsidP="00800E7D">
            <w:pPr>
              <w:pStyle w:val="TableText"/>
              <w:keepNext/>
              <w:rPr>
                <w:rFonts w:cstheme="minorHAnsi"/>
              </w:rPr>
            </w:pPr>
            <w:r w:rsidRPr="001B30BE">
              <w:rPr>
                <w:rFonts w:cstheme="minorHAnsi"/>
              </w:rPr>
              <w:t>Low risk</w:t>
            </w:r>
          </w:p>
        </w:tc>
      </w:tr>
      <w:tr w:rsidR="004726BA" w:rsidRPr="001B30BE" w14:paraId="1FF74BBD" w14:textId="77777777" w:rsidTr="00800E7D">
        <w:trPr>
          <w:cantSplit/>
        </w:trPr>
        <w:tc>
          <w:tcPr>
            <w:tcW w:w="793" w:type="pct"/>
            <w:tcBorders>
              <w:top w:val="single" w:sz="4" w:space="0" w:color="BFBFBF" w:themeColor="background1" w:themeShade="BF"/>
              <w:left w:val="single" w:sz="8" w:space="0" w:color="auto"/>
              <w:bottom w:val="single" w:sz="8" w:space="0" w:color="auto"/>
              <w:right w:val="single" w:sz="4" w:space="0" w:color="D9D9D9" w:themeColor="background1" w:themeShade="D9"/>
            </w:tcBorders>
          </w:tcPr>
          <w:p w14:paraId="4F86717E" w14:textId="77777777" w:rsidR="004726BA" w:rsidRPr="001B30BE" w:rsidRDefault="004726BA" w:rsidP="00800E7D">
            <w:pPr>
              <w:pStyle w:val="TableText"/>
              <w:rPr>
                <w:rFonts w:cstheme="minorHAnsi"/>
              </w:rPr>
            </w:pPr>
            <w:r w:rsidRPr="001B30BE">
              <w:rPr>
                <w:rFonts w:cstheme="minorHAnsi"/>
              </w:rPr>
              <w:t xml:space="preserve">Negligible </w:t>
            </w:r>
          </w:p>
        </w:tc>
        <w:tc>
          <w:tcPr>
            <w:tcW w:w="701" w:type="pct"/>
            <w:tcBorders>
              <w:top w:val="single" w:sz="8" w:space="0" w:color="C0C0C0"/>
              <w:left w:val="single" w:sz="4" w:space="0" w:color="D9D9D9" w:themeColor="background1" w:themeShade="D9"/>
              <w:bottom w:val="single" w:sz="8" w:space="0" w:color="auto"/>
              <w:right w:val="single" w:sz="8" w:space="0" w:color="C0C0C0"/>
            </w:tcBorders>
            <w:shd w:val="clear" w:color="auto" w:fill="F2F2F2" w:themeFill="background1" w:themeFillShade="F2"/>
          </w:tcPr>
          <w:p w14:paraId="73BCCAEF"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auto"/>
              <w:right w:val="single" w:sz="8" w:space="0" w:color="C0C0C0"/>
            </w:tcBorders>
            <w:shd w:val="clear" w:color="auto" w:fill="F2F2F2" w:themeFill="background1" w:themeFillShade="F2"/>
          </w:tcPr>
          <w:p w14:paraId="2CC21CB3" w14:textId="77777777" w:rsidR="004726BA" w:rsidRPr="001B30BE" w:rsidRDefault="004726BA" w:rsidP="00800E7D">
            <w:pPr>
              <w:pStyle w:val="TableText"/>
              <w:keepNext/>
              <w:rPr>
                <w:rFonts w:cstheme="minorHAnsi"/>
              </w:rPr>
            </w:pPr>
            <w:r w:rsidRPr="001B30BE">
              <w:rPr>
                <w:rFonts w:cstheme="minorHAnsi"/>
              </w:rPr>
              <w:t>Negligible risk</w:t>
            </w:r>
          </w:p>
        </w:tc>
        <w:tc>
          <w:tcPr>
            <w:tcW w:w="702" w:type="pct"/>
            <w:tcBorders>
              <w:top w:val="single" w:sz="8" w:space="0" w:color="C0C0C0"/>
              <w:left w:val="single" w:sz="8" w:space="0" w:color="C0C0C0"/>
              <w:bottom w:val="single" w:sz="8" w:space="0" w:color="auto"/>
              <w:right w:val="single" w:sz="8" w:space="0" w:color="C0C0C0"/>
            </w:tcBorders>
            <w:shd w:val="clear" w:color="auto" w:fill="F2F2F2" w:themeFill="background1" w:themeFillShade="F2"/>
          </w:tcPr>
          <w:p w14:paraId="2DD3CBD5"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auto"/>
              <w:right w:val="single" w:sz="8" w:space="0" w:color="C0C0C0"/>
            </w:tcBorders>
            <w:shd w:val="clear" w:color="auto" w:fill="F2F2F2" w:themeFill="background1" w:themeFillShade="F2"/>
          </w:tcPr>
          <w:p w14:paraId="313F64D3"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auto"/>
              <w:right w:val="single" w:sz="8" w:space="0" w:color="C0C0C0"/>
            </w:tcBorders>
            <w:shd w:val="clear" w:color="auto" w:fill="F2F2F2" w:themeFill="background1" w:themeFillShade="F2"/>
          </w:tcPr>
          <w:p w14:paraId="680BC033" w14:textId="77777777" w:rsidR="004726BA" w:rsidRPr="001B30BE" w:rsidRDefault="004726BA" w:rsidP="00800E7D">
            <w:pPr>
              <w:pStyle w:val="TableText"/>
              <w:keepNext/>
              <w:rPr>
                <w:rFonts w:cstheme="minorHAnsi"/>
              </w:rPr>
            </w:pPr>
            <w:r w:rsidRPr="001B30BE">
              <w:rPr>
                <w:rFonts w:cstheme="minorHAnsi"/>
              </w:rPr>
              <w:t>Negligible risk</w:t>
            </w:r>
          </w:p>
        </w:tc>
        <w:tc>
          <w:tcPr>
            <w:tcW w:w="701" w:type="pct"/>
            <w:tcBorders>
              <w:top w:val="single" w:sz="8" w:space="0" w:color="C0C0C0"/>
              <w:left w:val="single" w:sz="8" w:space="0" w:color="C0C0C0"/>
              <w:bottom w:val="single" w:sz="8" w:space="0" w:color="auto"/>
              <w:right w:val="single" w:sz="8" w:space="0" w:color="auto"/>
            </w:tcBorders>
            <w:shd w:val="clear" w:color="auto" w:fill="000000"/>
          </w:tcPr>
          <w:p w14:paraId="25D964A8" w14:textId="77777777" w:rsidR="004726BA" w:rsidRPr="001B30BE" w:rsidRDefault="004726BA" w:rsidP="00800E7D">
            <w:pPr>
              <w:pStyle w:val="TableText"/>
              <w:keepNext/>
              <w:rPr>
                <w:rFonts w:cstheme="minorHAnsi"/>
                <w:color w:val="FFFFFF"/>
              </w:rPr>
            </w:pPr>
            <w:r w:rsidRPr="001B30BE">
              <w:rPr>
                <w:rFonts w:cstheme="minorHAnsi"/>
                <w:color w:val="FFFFFF"/>
              </w:rPr>
              <w:t>Very Low risk</w:t>
            </w:r>
          </w:p>
        </w:tc>
      </w:tr>
    </w:tbl>
    <w:p w14:paraId="6D2148CE" w14:textId="77777777" w:rsidR="004726BA" w:rsidRPr="001B30BE" w:rsidRDefault="004726BA" w:rsidP="00800E7D">
      <w:pPr>
        <w:pStyle w:val="Heading3-Appendix"/>
      </w:pPr>
      <w:r w:rsidRPr="006375B8">
        <w:t>The appropriate level of protection (ALOP) for Australia</w:t>
      </w:r>
    </w:p>
    <w:p w14:paraId="30F2FB0D" w14:textId="77777777" w:rsidR="004726BA" w:rsidRPr="001B30BE" w:rsidRDefault="004726BA" w:rsidP="00800E7D">
      <w:pPr>
        <w:rPr>
          <w:rFonts w:cstheme="minorHAnsi"/>
        </w:rPr>
      </w:pPr>
      <w:r w:rsidRPr="001B30BE">
        <w:rPr>
          <w:rFonts w:cstheme="minorHAnsi"/>
        </w:rP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7495F112" w14:textId="77777777" w:rsidR="004726BA" w:rsidRPr="001B30BE" w:rsidRDefault="004726BA" w:rsidP="00800E7D">
      <w:pPr>
        <w:rPr>
          <w:rFonts w:cstheme="minorHAnsi"/>
        </w:rPr>
      </w:pPr>
      <w:r w:rsidRPr="001B30BE">
        <w:rPr>
          <w:rFonts w:cstheme="minorHAnsi"/>
        </w:rP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Pr="001B30BE">
        <w:rPr>
          <w:rFonts w:cstheme="minorHAnsi"/>
        </w:rPr>
        <w:fldChar w:fldCharType="begin"/>
      </w:r>
      <w:r w:rsidRPr="001B30BE">
        <w:rPr>
          <w:rFonts w:cstheme="minorHAnsi"/>
        </w:rPr>
        <w:instrText xml:space="preserve"> REF _Ref524355015 \h  \* MERGEFORMAT </w:instrText>
      </w:r>
      <w:r w:rsidRPr="001B30BE">
        <w:rPr>
          <w:rFonts w:cstheme="minorHAnsi"/>
        </w:rPr>
      </w:r>
      <w:r w:rsidRPr="001B30BE">
        <w:rPr>
          <w:rFonts w:cstheme="minorHAnsi"/>
        </w:rPr>
        <w:fldChar w:fldCharType="separate"/>
      </w:r>
      <w:r w:rsidRPr="001B30BE">
        <w:rPr>
          <w:rFonts w:cstheme="minorHAnsi"/>
        </w:rPr>
        <w:t xml:space="preserve">Table </w:t>
      </w:r>
      <w:r w:rsidRPr="001B30BE">
        <w:rPr>
          <w:rFonts w:cstheme="minorHAnsi"/>
          <w:noProof/>
        </w:rPr>
        <w:t>A.</w:t>
      </w:r>
      <w:r>
        <w:rPr>
          <w:rFonts w:cstheme="minorHAnsi"/>
          <w:noProof/>
        </w:rPr>
        <w:t>4</w:t>
      </w:r>
      <w:r w:rsidRPr="001B30BE">
        <w:rPr>
          <w:rFonts w:cstheme="minorHAnsi"/>
        </w:rPr>
        <w:fldChar w:fldCharType="end"/>
      </w:r>
      <w:r w:rsidRPr="001B30BE">
        <w:rPr>
          <w:rFonts w:cstheme="minorHAnsi"/>
        </w:rPr>
        <w:t xml:space="preserve"> marked ‘Very Low risk’ represents the ALOP for Australia.</w:t>
      </w:r>
    </w:p>
    <w:p w14:paraId="374E2717" w14:textId="77777777" w:rsidR="004726BA" w:rsidRPr="006375B8" w:rsidRDefault="004726BA" w:rsidP="00800E7D">
      <w:pPr>
        <w:pStyle w:val="Heading3-Appendix"/>
      </w:pPr>
      <w:bookmarkStart w:id="86" w:name="_Ref524681905"/>
      <w:r w:rsidRPr="006375B8">
        <w:t>Adoption of outcomes from previous assessments</w:t>
      </w:r>
      <w:bookmarkEnd w:id="86"/>
    </w:p>
    <w:p w14:paraId="4C3E7865" w14:textId="77777777" w:rsidR="004726BA" w:rsidRDefault="004726BA" w:rsidP="00800E7D">
      <w:pPr>
        <w:rPr>
          <w:rFonts w:cstheme="minorHAnsi"/>
        </w:rPr>
      </w:pPr>
      <w:r w:rsidRPr="001B30BE">
        <w:rPr>
          <w:rFonts w:cstheme="minorHAnsi"/>
        </w:rPr>
        <w:t>Outcomes of previous risk assessments have been adopted in this assessment for pests for which the risk profile is assessed as comparable to previously assessed situations.</w:t>
      </w:r>
    </w:p>
    <w:p w14:paraId="139D88C5" w14:textId="77777777" w:rsidR="004726BA" w:rsidRDefault="004726BA" w:rsidP="00800E7D">
      <w: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Pr>
          <w:color w:val="000000" w:themeColor="text1"/>
        </w:rPr>
        <w:t>the ways the imported produce will be distributed within Australia as a result of the processing, sale or disposal of the imported produc</w:t>
      </w:r>
      <w:r>
        <w:t xml:space="preserve">e, and the time of year when importation </w:t>
      </w:r>
      <w:r>
        <w:rPr>
          <w:color w:val="000000" w:themeColor="text1"/>
        </w:rPr>
        <w:t>occurs</w:t>
      </w:r>
      <w:r>
        <w:rPr>
          <w:color w:val="3A7C22" w:themeColor="accent6" w:themeShade="BF"/>
        </w:rPr>
        <w:t xml:space="preserve"> </w:t>
      </w:r>
      <w:r>
        <w:rPr>
          <w:color w:val="000000" w:themeColor="text1"/>
        </w:rPr>
        <w:t>and</w:t>
      </w:r>
      <w:r>
        <w:t xml:space="preserve"> the availability and susceptibility of hosts at that time. After comparing these factors and reviewing the latest literature, previously determined ratings may be adopted if the department considers the likelihoods for the pathway being assessed to be comparable to those assigned in the previous assessment(s), and there is no new information to suggest that the ratings assigned in the previous assessment(s) have changed.</w:t>
      </w:r>
    </w:p>
    <w:p w14:paraId="1D94AB62" w14:textId="77777777" w:rsidR="004726BA" w:rsidRDefault="004726BA" w:rsidP="00800E7D">
      <w:r>
        <w:lastRenderedPageBreak/>
        <w:t xml:space="preserve">In this review, likelihood of importation is assessed for pathogens that have the potential to be associated with imported cut flowers, taking into consideration the differences in commodity type, prevalence of the pest and commercial production practices in the exporting country/region. </w:t>
      </w:r>
    </w:p>
    <w:p w14:paraId="6B7FA2D2" w14:textId="77777777" w:rsidR="004726BA" w:rsidRDefault="004726BA" w:rsidP="00800E7D">
      <w:pPr>
        <w:pStyle w:val="ListBullet"/>
        <w:spacing w:before="0" w:after="200"/>
        <w:rPr>
          <w:rFonts w:cstheme="minorHAnsi"/>
        </w:rPr>
      </w:pPr>
      <w:r>
        <w:t xml:space="preserve">In this review, likelihood of distribution is assessed for pathogens that have the potential to be associated with imported cut flowers, taking into consideration </w:t>
      </w:r>
      <w:r>
        <w:rPr>
          <w:color w:val="000000" w:themeColor="text1"/>
        </w:rPr>
        <w:t>the ways the imported produce will be distributed within Australia,</w:t>
      </w:r>
      <w:r>
        <w:t xml:space="preserve"> the occurrence (or lack of) and level (if occurred) of </w:t>
      </w:r>
      <w:r>
        <w:rPr>
          <w:rFonts w:cstheme="minorHAnsi"/>
        </w:rPr>
        <w:t xml:space="preserve">diversion of the intended use of the imported cut flowers to propagation in the PRA area, and the likelihood that the propagation will be successful in producing a viable and healthy plant to serve as a host.   </w:t>
      </w:r>
    </w:p>
    <w:p w14:paraId="1A96326D" w14:textId="77777777" w:rsidR="004726BA" w:rsidRDefault="004726BA" w:rsidP="00800E7D">
      <w:r>
        <w:t xml:space="preserve">The likelihoods of establishment and of spread of a pest species in the PRA area will be comparable between risk assessments, regardless of the </w:t>
      </w:r>
      <w:r>
        <w:rPr>
          <w:color w:val="000000" w:themeColor="text1"/>
        </w:rPr>
        <w:t xml:space="preserve">import </w:t>
      </w:r>
      <w:r>
        <w:t xml:space="preserve">pathway through which the pest </w:t>
      </w:r>
      <w:r>
        <w:rPr>
          <w:color w:val="000000" w:themeColor="text1"/>
        </w:rPr>
        <w:t>has entered the PRA area</w:t>
      </w:r>
      <w:r>
        <w:t xml:space="preserve">. This is because these likelihoods relate specifically to conditions and events that occur in the PRA </w:t>
      </w:r>
      <w:proofErr w:type="gramStart"/>
      <w:r>
        <w:t>area, and</w:t>
      </w:r>
      <w:proofErr w:type="gramEnd"/>
      <w:r>
        <w:t xml:space="preserve">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Pr>
          <w:color w:val="3A7C22" w:themeColor="accent6" w:themeShade="BF"/>
        </w:rPr>
        <w:t xml:space="preserve">. </w:t>
      </w:r>
      <w:r>
        <w:rPr>
          <w:color w:val="000000" w:themeColor="text1"/>
        </w:rPr>
        <w:t>If there is no new information available that would significantly change the ratings for establishment or spread or the consequences the pests may cause, the ratings assigned in the previous assessments for these components</w:t>
      </w:r>
      <w:r>
        <w:t xml:space="preserve"> may be adopted with confidence.</w:t>
      </w:r>
    </w:p>
    <w:p w14:paraId="0F1934E0" w14:textId="77777777" w:rsidR="004726BA" w:rsidRDefault="004726BA" w:rsidP="00800E7D">
      <w:pPr>
        <w:pStyle w:val="Heading2"/>
        <w:numPr>
          <w:ilvl w:val="0"/>
          <w:numId w:val="0"/>
        </w:numPr>
        <w:ind w:left="794" w:hanging="794"/>
      </w:pPr>
      <w:bookmarkStart w:id="87" w:name="_Toc197938548"/>
      <w:bookmarkStart w:id="88" w:name="_Toc197953579"/>
      <w:r>
        <w:lastRenderedPageBreak/>
        <w:t>Appendix B:</w:t>
      </w:r>
      <w:r w:rsidRPr="00285212">
        <w:t xml:space="preserve"> Examples of Reddit posts</w:t>
      </w:r>
      <w:bookmarkEnd w:id="87"/>
      <w:bookmarkEnd w:id="88"/>
    </w:p>
    <w:p w14:paraId="550E2E78" w14:textId="77777777" w:rsidR="004726BA" w:rsidRDefault="004726BA" w:rsidP="00800E7D">
      <w:pPr>
        <w:spacing w:after="160" w:line="259" w:lineRule="auto"/>
      </w:pPr>
      <w:r>
        <w:rPr>
          <w:noProof/>
          <w14:ligatures w14:val="standardContextual"/>
        </w:rPr>
        <w:drawing>
          <wp:inline distT="0" distB="0" distL="0" distR="0" wp14:anchorId="6B1AD3E0" wp14:editId="7F3F16C8">
            <wp:extent cx="5759450" cy="7058025"/>
            <wp:effectExtent l="0" t="0" r="0" b="9525"/>
            <wp:docPr id="1217512481" name="Picture 2" descr="A collage of a flower in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2481" name="Picture 2" descr="A collage of a flower in a vase&#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7058025"/>
                    </a:xfrm>
                    <a:prstGeom prst="rect">
                      <a:avLst/>
                    </a:prstGeom>
                  </pic:spPr>
                </pic:pic>
              </a:graphicData>
            </a:graphic>
          </wp:inline>
        </w:drawing>
      </w:r>
    </w:p>
    <w:p w14:paraId="1C199B2C" w14:textId="77777777" w:rsidR="004726BA" w:rsidRDefault="004726BA" w:rsidP="00800E7D">
      <w:pPr>
        <w:spacing w:after="160" w:line="259" w:lineRule="auto"/>
      </w:pPr>
    </w:p>
    <w:p w14:paraId="1D6297D7" w14:textId="77777777" w:rsidR="004726BA" w:rsidRDefault="004726BA" w:rsidP="00800E7D">
      <w:pPr>
        <w:spacing w:after="160" w:line="259" w:lineRule="auto"/>
      </w:pPr>
      <w:r>
        <w:rPr>
          <w:noProof/>
        </w:rPr>
        <mc:AlternateContent>
          <mc:Choice Requires="wps">
            <w:drawing>
              <wp:anchor distT="45720" distB="45720" distL="114300" distR="114300" simplePos="0" relativeHeight="251658241" behindDoc="0" locked="0" layoutInCell="1" allowOverlap="1" wp14:anchorId="3259F1C4" wp14:editId="3F9CB077">
                <wp:simplePos x="0" y="0"/>
                <wp:positionH relativeFrom="column">
                  <wp:posOffset>52070</wp:posOffset>
                </wp:positionH>
                <wp:positionV relativeFrom="paragraph">
                  <wp:posOffset>201930</wp:posOffset>
                </wp:positionV>
                <wp:extent cx="387350" cy="304800"/>
                <wp:effectExtent l="0" t="0" r="0" b="0"/>
                <wp:wrapSquare wrapText="bothSides"/>
                <wp:docPr id="1627030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04800"/>
                        </a:xfrm>
                        <a:prstGeom prst="rect">
                          <a:avLst/>
                        </a:prstGeom>
                        <a:noFill/>
                        <a:ln w="9525">
                          <a:noFill/>
                          <a:miter lim="800000"/>
                          <a:headEnd/>
                          <a:tailEnd/>
                        </a:ln>
                      </wps:spPr>
                      <wps:txbx>
                        <w:txbxContent>
                          <w:p w14:paraId="19069DEE" w14:textId="77777777" w:rsidR="004726BA" w:rsidRPr="00890B9E" w:rsidRDefault="004726BA">
                            <w:pPr>
                              <w:rPr>
                                <w:b/>
                                <w:bCs/>
                                <w:color w:val="FFFFFF" w:themeColor="background1"/>
                              </w:rPr>
                            </w:pPr>
                            <w:r w:rsidRPr="00890B9E">
                              <w:rPr>
                                <w:b/>
                                <w:bCs/>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9F1C4" id="_x0000_t202" coordsize="21600,21600" o:spt="202" path="m,l,21600r21600,l21600,xe">
                <v:stroke joinstyle="miter"/>
                <v:path gradientshapeok="t" o:connecttype="rect"/>
              </v:shapetype>
              <v:shape id="Text Box 2" o:spid="_x0000_s1026" type="#_x0000_t202" style="position:absolute;margin-left:4.1pt;margin-top:15.9pt;width:30.5pt;height:2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" filled="f" stroked="f">
                <v:textbox>
                  <w:txbxContent>
                    <w:p w14:paraId="19069DEE" w14:textId="77777777" w:rsidR="004726BA" w:rsidRPr="00890B9E" w:rsidRDefault="004726BA">
                      <w:pPr>
                        <w:rPr>
                          <w:b/>
                          <w:bCs/>
                          <w:color w:val="FFFFFF" w:themeColor="background1"/>
                        </w:rPr>
                      </w:pPr>
                      <w:r w:rsidRPr="00890B9E">
                        <w:rPr>
                          <w:b/>
                          <w:bCs/>
                          <w:color w:val="FFFFFF" w:themeColor="background1"/>
                        </w:rPr>
                        <w:t>(a)</w:t>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792A8AE9" wp14:editId="702009FF">
                <wp:simplePos x="0" y="0"/>
                <wp:positionH relativeFrom="column">
                  <wp:posOffset>52070</wp:posOffset>
                </wp:positionH>
                <wp:positionV relativeFrom="paragraph">
                  <wp:posOffset>3129280</wp:posOffset>
                </wp:positionV>
                <wp:extent cx="450850" cy="304800"/>
                <wp:effectExtent l="0" t="0" r="0" b="0"/>
                <wp:wrapSquare wrapText="bothSides"/>
                <wp:docPr id="1380748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04800"/>
                        </a:xfrm>
                        <a:prstGeom prst="rect">
                          <a:avLst/>
                        </a:prstGeom>
                        <a:noFill/>
                        <a:ln w="9525">
                          <a:noFill/>
                          <a:miter lim="800000"/>
                          <a:headEnd/>
                          <a:tailEnd/>
                        </a:ln>
                      </wps:spPr>
                      <wps:txbx>
                        <w:txbxContent>
                          <w:p w14:paraId="5529512B" w14:textId="77777777" w:rsidR="004726BA" w:rsidRPr="00285212" w:rsidRDefault="004726BA" w:rsidP="00800E7D">
                            <w:pPr>
                              <w:rPr>
                                <w:b/>
                                <w:bCs/>
                                <w:color w:val="FFFFFF" w:themeColor="background1"/>
                              </w:rPr>
                            </w:pPr>
                            <w:r w:rsidRPr="00285212">
                              <w:rPr>
                                <w:b/>
                                <w:bCs/>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A8AE9" id="_x0000_s1027" type="#_x0000_t202" style="position:absolute;margin-left:4.1pt;margin-top:246.4pt;width:35.5pt;height:2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" filled="f" stroked="f">
                <v:textbox>
                  <w:txbxContent>
                    <w:p w14:paraId="5529512B" w14:textId="77777777" w:rsidR="004726BA" w:rsidRPr="00285212" w:rsidRDefault="004726BA" w:rsidP="00800E7D">
                      <w:pPr>
                        <w:rPr>
                          <w:b/>
                          <w:bCs/>
                          <w:color w:val="FFFFFF" w:themeColor="background1"/>
                        </w:rPr>
                      </w:pPr>
                      <w:r w:rsidRPr="00285212">
                        <w:rPr>
                          <w:b/>
                          <w:bCs/>
                          <w:color w:val="FFFFFF" w:themeColor="background1"/>
                        </w:rPr>
                        <w:t>(b)</w:t>
                      </w:r>
                    </w:p>
                  </w:txbxContent>
                </v:textbox>
                <w10:wrap type="square"/>
              </v:shape>
            </w:pict>
          </mc:Fallback>
        </mc:AlternateContent>
      </w:r>
    </w:p>
    <w:p w14:paraId="6A67D710" w14:textId="77777777" w:rsidR="004726BA" w:rsidRDefault="004726BA" w:rsidP="00800E7D">
      <w:pPr>
        <w:spacing w:after="160" w:line="259" w:lineRule="auto"/>
      </w:pPr>
      <w:r>
        <w:rPr>
          <w:noProof/>
          <w14:ligatures w14:val="standardContextual"/>
        </w:rPr>
        <w:lastRenderedPageBreak/>
        <w:drawing>
          <wp:inline distT="0" distB="0" distL="0" distR="0" wp14:anchorId="182C777F" wp14:editId="7CF1005A">
            <wp:extent cx="5759450" cy="6457315"/>
            <wp:effectExtent l="0" t="0" r="0" b="635"/>
            <wp:docPr id="167316727" name="Picture 3" descr="A collage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6727" name="Picture 3" descr="A collage of a plant&#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6457315"/>
                    </a:xfrm>
                    <a:prstGeom prst="rect">
                      <a:avLst/>
                    </a:prstGeom>
                  </pic:spPr>
                </pic:pic>
              </a:graphicData>
            </a:graphic>
          </wp:inline>
        </w:drawing>
      </w:r>
    </w:p>
    <w:p w14:paraId="2CB2775A" w14:textId="77777777" w:rsidR="004726BA" w:rsidRDefault="004726BA" w:rsidP="00800E7D">
      <w:pPr>
        <w:spacing w:after="160" w:line="259" w:lineRule="auto"/>
      </w:pPr>
    </w:p>
    <w:p w14:paraId="559978CF" w14:textId="77777777" w:rsidR="004726BA" w:rsidRDefault="004726BA" w:rsidP="00800E7D">
      <w:pPr>
        <w:spacing w:after="160" w:line="259" w:lineRule="auto"/>
      </w:pPr>
    </w:p>
    <w:p w14:paraId="7BBC711E" w14:textId="77777777" w:rsidR="004726BA" w:rsidRDefault="004726BA" w:rsidP="00800E7D">
      <w:pPr>
        <w:spacing w:after="160" w:line="259" w:lineRule="auto"/>
      </w:pPr>
    </w:p>
    <w:p w14:paraId="074C7686" w14:textId="77777777" w:rsidR="004726BA" w:rsidRDefault="004726BA" w:rsidP="00800E7D">
      <w:pPr>
        <w:spacing w:after="160" w:line="259" w:lineRule="auto"/>
      </w:pPr>
    </w:p>
    <w:p w14:paraId="1B6BB871" w14:textId="77777777" w:rsidR="004726BA" w:rsidRDefault="004726BA" w:rsidP="00800E7D">
      <w:pPr>
        <w:spacing w:after="160" w:line="259" w:lineRule="auto"/>
      </w:pPr>
    </w:p>
    <w:p w14:paraId="0E8F7EA7" w14:textId="77777777" w:rsidR="004726BA" w:rsidRDefault="004726BA" w:rsidP="00800E7D">
      <w:pPr>
        <w:spacing w:after="160" w:line="259" w:lineRule="auto"/>
      </w:pPr>
    </w:p>
    <w:p w14:paraId="31FA779A" w14:textId="77777777" w:rsidR="004726BA" w:rsidRDefault="004726BA" w:rsidP="00800E7D">
      <w:pPr>
        <w:spacing w:after="160" w:line="259" w:lineRule="auto"/>
      </w:pPr>
    </w:p>
    <w:p w14:paraId="70CB2BDB" w14:textId="77777777" w:rsidR="004726BA" w:rsidRDefault="004726BA" w:rsidP="00800E7D">
      <w:pPr>
        <w:spacing w:after="160" w:line="259" w:lineRule="auto"/>
      </w:pPr>
    </w:p>
    <w:p w14:paraId="3D5E5364" w14:textId="77777777" w:rsidR="004726BA" w:rsidRDefault="004726BA" w:rsidP="00800E7D">
      <w:pPr>
        <w:spacing w:after="160" w:line="259" w:lineRule="auto"/>
      </w:pPr>
      <w:r>
        <w:rPr>
          <w:noProof/>
          <w14:ligatures w14:val="standardContextual"/>
        </w:rPr>
        <w:lastRenderedPageBreak/>
        <w:drawing>
          <wp:inline distT="0" distB="0" distL="0" distR="0" wp14:anchorId="44A765E5" wp14:editId="64FCDCED">
            <wp:extent cx="5759450" cy="7051040"/>
            <wp:effectExtent l="0" t="0" r="0" b="0"/>
            <wp:docPr id="1703439347" name="Picture 4" descr="A collage of a r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39347" name="Picture 4" descr="A collage of a rose&#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7051040"/>
                    </a:xfrm>
                    <a:prstGeom prst="rect">
                      <a:avLst/>
                    </a:prstGeom>
                  </pic:spPr>
                </pic:pic>
              </a:graphicData>
            </a:graphic>
          </wp:inline>
        </w:drawing>
      </w:r>
    </w:p>
    <w:p w14:paraId="66B1ED48" w14:textId="77777777" w:rsidR="004726BA" w:rsidRDefault="004726BA" w:rsidP="00800E7D">
      <w:pPr>
        <w:spacing w:after="160" w:line="259" w:lineRule="auto"/>
      </w:pPr>
      <w:r w:rsidRPr="00285212">
        <w:rPr>
          <w:sz w:val="18"/>
          <w:szCs w:val="18"/>
        </w:rPr>
        <w:t xml:space="preserve">Source: </w:t>
      </w:r>
      <w:r>
        <w:rPr>
          <w:sz w:val="18"/>
          <w:szCs w:val="18"/>
        </w:rPr>
        <w:t>(a)</w:t>
      </w:r>
      <w:r>
        <w:t xml:space="preserve"> </w:t>
      </w:r>
      <w:hyperlink r:id="rId69" w:history="1">
        <w:r w:rsidRPr="0051436E">
          <w:rPr>
            <w:rStyle w:val="Hyperlink"/>
            <w:sz w:val="16"/>
            <w:szCs w:val="16"/>
          </w:rPr>
          <w:t>https://www.reddit.com/r/propagation/comments/11i23p5/week_2_of_propagating_roses_and_carnations_from_a/</w:t>
        </w:r>
      </w:hyperlink>
      <w:r>
        <w:rPr>
          <w:sz w:val="16"/>
          <w:szCs w:val="16"/>
        </w:rPr>
        <w:t xml:space="preserve"> (b) </w:t>
      </w:r>
      <w:hyperlink r:id="rId70" w:history="1">
        <w:r w:rsidRPr="00285212">
          <w:rPr>
            <w:rStyle w:val="Hyperlink"/>
            <w:sz w:val="16"/>
            <w:szCs w:val="16"/>
          </w:rPr>
          <w:t>https://www.reddit.com/gallery/11h0ker</w:t>
        </w:r>
      </w:hyperlink>
      <w:r>
        <w:rPr>
          <w:sz w:val="16"/>
          <w:szCs w:val="16"/>
        </w:rPr>
        <w:t xml:space="preserve"> (c)</w:t>
      </w:r>
      <w:hyperlink r:id="rId71" w:history="1">
        <w:r w:rsidRPr="0051436E">
          <w:rPr>
            <w:rStyle w:val="Hyperlink"/>
            <w:sz w:val="16"/>
            <w:szCs w:val="16"/>
          </w:rPr>
          <w:t>https://www.reddit.com/media?url=https%3A%2F%2Fi.redd.it%2F8scf0yg5imka1.jpg</w:t>
        </w:r>
      </w:hyperlink>
      <w:r>
        <w:rPr>
          <w:sz w:val="16"/>
          <w:szCs w:val="16"/>
        </w:rPr>
        <w:t xml:space="preserve"> (d)</w:t>
      </w:r>
      <w:hyperlink r:id="rId72" w:history="1">
        <w:r w:rsidRPr="0051436E">
          <w:rPr>
            <w:rStyle w:val="Hyperlink"/>
            <w:sz w:val="16"/>
            <w:szCs w:val="16"/>
          </w:rPr>
          <w:t>https://www.reddit.com/r/propagation/comments/zudgwx/anyone_with_experience_with_butchers_broom_plants/</w:t>
        </w:r>
      </w:hyperlink>
      <w:r>
        <w:rPr>
          <w:sz w:val="16"/>
          <w:szCs w:val="16"/>
        </w:rPr>
        <w:t xml:space="preserve"> (e)</w:t>
      </w:r>
      <w:hyperlink r:id="rId73" w:history="1">
        <w:r w:rsidRPr="00285212">
          <w:rPr>
            <w:rStyle w:val="Hyperlink"/>
            <w:sz w:val="16"/>
            <w:szCs w:val="16"/>
          </w:rPr>
          <w:t>https://www.reddit.com/r/propagation/comments/zbr6zn/what_kind_of_orchid_is_this_and_can_it_be/</w:t>
        </w:r>
      </w:hyperlink>
      <w:r>
        <w:rPr>
          <w:sz w:val="16"/>
          <w:szCs w:val="16"/>
        </w:rPr>
        <w:t xml:space="preserve"> (f)</w:t>
      </w:r>
      <w:hyperlink r:id="rId74" w:history="1">
        <w:r w:rsidRPr="00285212">
          <w:rPr>
            <w:rStyle w:val="Hyperlink"/>
            <w:sz w:val="16"/>
            <w:szCs w:val="16"/>
          </w:rPr>
          <w:t>https://www.reddit.com/r/proplifting/comments/11gj3te/can_i_propagate_these_theyre_store_bought_red/</w:t>
        </w:r>
      </w:hyperlink>
      <w:r>
        <w:rPr>
          <w:sz w:val="16"/>
          <w:szCs w:val="16"/>
        </w:rPr>
        <w:t xml:space="preserve"> (g)</w:t>
      </w:r>
      <w:hyperlink r:id="rId75" w:history="1">
        <w:r w:rsidRPr="0051436E">
          <w:rPr>
            <w:rStyle w:val="Hyperlink"/>
            <w:sz w:val="16"/>
            <w:szCs w:val="16"/>
          </w:rPr>
          <w:t>https://www.reddit.com/gallery/110cqz3</w:t>
        </w:r>
      </w:hyperlink>
    </w:p>
    <w:p w14:paraId="52E8C7B6" w14:textId="77777777" w:rsidR="004726BA" w:rsidRPr="00525379" w:rsidRDefault="004726BA" w:rsidP="00800E7D">
      <w:pPr>
        <w:pStyle w:val="Heading2"/>
        <w:numPr>
          <w:ilvl w:val="0"/>
          <w:numId w:val="0"/>
        </w:numPr>
        <w:ind w:left="794" w:hanging="794"/>
      </w:pPr>
      <w:bookmarkStart w:id="89" w:name="_Toc197938549"/>
      <w:bookmarkStart w:id="90" w:name="_Toc197953580"/>
      <w:r w:rsidRPr="00525379">
        <w:lastRenderedPageBreak/>
        <w:t>Glossary, acronyms and abbreviations</w:t>
      </w:r>
      <w:bookmarkEnd w:id="89"/>
      <w:bookmarkEnd w:id="90"/>
    </w:p>
    <w:tbl>
      <w:tblPr>
        <w:tblW w:w="5000" w:type="pct"/>
        <w:tblBorders>
          <w:top w:val="single" w:sz="8" w:space="0" w:color="auto"/>
          <w:left w:val="single" w:sz="8" w:space="0" w:color="auto"/>
          <w:bottom w:val="single" w:sz="8" w:space="0" w:color="auto"/>
          <w:right w:val="single" w:sz="8" w:space="0" w:color="auto"/>
          <w:insideH w:val="single" w:sz="4" w:space="0" w:color="auto"/>
        </w:tblBorders>
        <w:tblLook w:val="04A0" w:firstRow="1" w:lastRow="0" w:firstColumn="1" w:lastColumn="0" w:noHBand="0" w:noVBand="1"/>
      </w:tblPr>
      <w:tblGrid>
        <w:gridCol w:w="2731"/>
        <w:gridCol w:w="6319"/>
      </w:tblGrid>
      <w:tr w:rsidR="004726BA" w14:paraId="5A2DF193" w14:textId="77777777" w:rsidTr="00800E7D">
        <w:trPr>
          <w:cantSplit/>
          <w:tblHeader/>
        </w:trPr>
        <w:tc>
          <w:tcPr>
            <w:tcW w:w="1509" w:type="pct"/>
            <w:shd w:val="clear" w:color="auto" w:fill="BFBFBF" w:themeFill="background1" w:themeFillShade="BF"/>
          </w:tcPr>
          <w:p w14:paraId="474261D1" w14:textId="77777777" w:rsidR="004726BA" w:rsidRPr="007E2345" w:rsidRDefault="004726BA" w:rsidP="00800E7D">
            <w:pPr>
              <w:pStyle w:val="TableHeading"/>
            </w:pPr>
            <w:r w:rsidRPr="007E2345">
              <w:t>Term or abbreviation</w:t>
            </w:r>
          </w:p>
        </w:tc>
        <w:tc>
          <w:tcPr>
            <w:tcW w:w="3491" w:type="pct"/>
            <w:shd w:val="clear" w:color="auto" w:fill="BFBFBF" w:themeFill="background1" w:themeFillShade="BF"/>
          </w:tcPr>
          <w:p w14:paraId="58AF5A74" w14:textId="77777777" w:rsidR="004726BA" w:rsidRPr="007E2345" w:rsidRDefault="004726BA" w:rsidP="00800E7D">
            <w:pPr>
              <w:pStyle w:val="TableHeading"/>
            </w:pPr>
            <w:r w:rsidRPr="007E2345">
              <w:t>Definition</w:t>
            </w:r>
          </w:p>
        </w:tc>
      </w:tr>
      <w:tr w:rsidR="004726BA" w14:paraId="032F033D" w14:textId="77777777" w:rsidTr="00800E7D">
        <w:tc>
          <w:tcPr>
            <w:tcW w:w="1509" w:type="pct"/>
          </w:tcPr>
          <w:p w14:paraId="2F9981A6" w14:textId="77777777" w:rsidR="004726BA" w:rsidRDefault="004726BA" w:rsidP="00800E7D">
            <w:pPr>
              <w:pStyle w:val="TableText"/>
            </w:pPr>
            <w:r>
              <w:t>(the) Act</w:t>
            </w:r>
          </w:p>
        </w:tc>
        <w:tc>
          <w:tcPr>
            <w:tcW w:w="3491" w:type="pct"/>
          </w:tcPr>
          <w:p w14:paraId="2F0F90B4" w14:textId="77777777" w:rsidR="004726BA" w:rsidRDefault="004726BA" w:rsidP="00800E7D">
            <w:pPr>
              <w:pStyle w:val="TableText"/>
            </w:pPr>
            <w:r>
              <w:t xml:space="preserve">The </w:t>
            </w:r>
            <w:r w:rsidRPr="00A2748F">
              <w:rPr>
                <w:i/>
                <w:iCs/>
              </w:rPr>
              <w:t>Biosecurity Act 2015</w:t>
            </w:r>
          </w:p>
        </w:tc>
      </w:tr>
      <w:tr w:rsidR="004726BA" w14:paraId="06F6542E" w14:textId="77777777" w:rsidTr="00800E7D">
        <w:tc>
          <w:tcPr>
            <w:tcW w:w="1509" w:type="pct"/>
          </w:tcPr>
          <w:p w14:paraId="3D9BF754" w14:textId="77777777" w:rsidR="004726BA" w:rsidRPr="00A11F8D" w:rsidRDefault="004726BA" w:rsidP="00800E7D">
            <w:pPr>
              <w:pStyle w:val="TableText"/>
            </w:pPr>
            <w:r>
              <w:t>Appropriate level of protection (ALOP) for Australia</w:t>
            </w:r>
          </w:p>
        </w:tc>
        <w:tc>
          <w:tcPr>
            <w:tcW w:w="3491" w:type="pct"/>
          </w:tcPr>
          <w:p w14:paraId="236C25E4" w14:textId="77777777" w:rsidR="004726BA" w:rsidRPr="00A11F8D" w:rsidRDefault="004726BA" w:rsidP="00800E7D">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4726BA" w14:paraId="429C154E" w14:textId="77777777" w:rsidTr="00800E7D">
        <w:tc>
          <w:tcPr>
            <w:tcW w:w="1509" w:type="pct"/>
          </w:tcPr>
          <w:p w14:paraId="33080C9A" w14:textId="77777777" w:rsidR="004726BA" w:rsidRPr="00A11F8D" w:rsidRDefault="004726BA" w:rsidP="00800E7D">
            <w:pPr>
              <w:pStyle w:val="TableText"/>
            </w:pPr>
            <w:r>
              <w:t>Biosecurity risk</w:t>
            </w:r>
          </w:p>
        </w:tc>
        <w:tc>
          <w:tcPr>
            <w:tcW w:w="3491" w:type="pct"/>
          </w:tcPr>
          <w:p w14:paraId="56D84A02" w14:textId="77777777" w:rsidR="004726BA" w:rsidRPr="00A11F8D" w:rsidRDefault="004726BA" w:rsidP="00800E7D">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4726BA" w14:paraId="161AF0FB" w14:textId="77777777" w:rsidTr="00800E7D">
        <w:tc>
          <w:tcPr>
            <w:tcW w:w="1509" w:type="pct"/>
          </w:tcPr>
          <w:p w14:paraId="78EA1E5C" w14:textId="77777777" w:rsidR="004726BA" w:rsidRPr="00A11F8D" w:rsidRDefault="004726BA" w:rsidP="00800E7D">
            <w:pPr>
              <w:pStyle w:val="TableText"/>
            </w:pPr>
            <w:r w:rsidRPr="00A11F8D">
              <w:t>Consignment</w:t>
            </w:r>
          </w:p>
        </w:tc>
        <w:tc>
          <w:tcPr>
            <w:tcW w:w="3491" w:type="pct"/>
          </w:tcPr>
          <w:p w14:paraId="489BA522" w14:textId="77777777" w:rsidR="004726BA" w:rsidRPr="00A11F8D" w:rsidRDefault="004726BA" w:rsidP="00800E7D">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2022)</w:t>
            </w:r>
            <w:r w:rsidRPr="00A11F8D">
              <w:t>.</w:t>
            </w:r>
          </w:p>
        </w:tc>
      </w:tr>
      <w:tr w:rsidR="004726BA" w14:paraId="326E98DE" w14:textId="77777777" w:rsidTr="00800E7D">
        <w:tc>
          <w:tcPr>
            <w:tcW w:w="1509" w:type="pct"/>
          </w:tcPr>
          <w:p w14:paraId="229B88AE" w14:textId="77777777" w:rsidR="004726BA" w:rsidRPr="00A11F8D" w:rsidRDefault="004726BA" w:rsidP="00800E7D">
            <w:pPr>
              <w:pStyle w:val="TableText"/>
            </w:pPr>
            <w:r>
              <w:t>(t</w:t>
            </w:r>
            <w:r w:rsidRPr="00A11F8D">
              <w:t>he</w:t>
            </w:r>
            <w:r>
              <w:t>)</w:t>
            </w:r>
            <w:r w:rsidRPr="00A11F8D">
              <w:t xml:space="preserve"> department</w:t>
            </w:r>
          </w:p>
        </w:tc>
        <w:tc>
          <w:tcPr>
            <w:tcW w:w="3491" w:type="pct"/>
          </w:tcPr>
          <w:p w14:paraId="43D7373B" w14:textId="77777777" w:rsidR="004726BA" w:rsidRPr="00A11F8D" w:rsidRDefault="004726BA" w:rsidP="00800E7D">
            <w:pPr>
              <w:pStyle w:val="TableText"/>
            </w:pPr>
            <w:r>
              <w:t>(the)</w:t>
            </w:r>
            <w:r w:rsidRPr="00A11F8D">
              <w:t xml:space="preserve"> </w:t>
            </w:r>
            <w:r w:rsidRPr="00C66F01">
              <w:t>Department of Agriculture, Fisheries and Forestry</w:t>
            </w:r>
            <w:r w:rsidRPr="00A11F8D">
              <w:t>.</w:t>
            </w:r>
          </w:p>
        </w:tc>
      </w:tr>
      <w:tr w:rsidR="004726BA" w14:paraId="386A2474" w14:textId="77777777" w:rsidTr="00800E7D">
        <w:tc>
          <w:tcPr>
            <w:tcW w:w="1509" w:type="pct"/>
          </w:tcPr>
          <w:p w14:paraId="57EB4C99" w14:textId="77777777" w:rsidR="004726BA" w:rsidRPr="003B5095" w:rsidRDefault="004726BA" w:rsidP="00800E7D">
            <w:pPr>
              <w:pStyle w:val="TableText"/>
            </w:pPr>
            <w:r w:rsidRPr="003B5095">
              <w:t>Devitalisation</w:t>
            </w:r>
          </w:p>
        </w:tc>
        <w:tc>
          <w:tcPr>
            <w:tcW w:w="3491" w:type="pct"/>
          </w:tcPr>
          <w:p w14:paraId="78E65C26" w14:textId="77777777" w:rsidR="004726BA" w:rsidRPr="00A11F8D" w:rsidRDefault="004726BA" w:rsidP="00800E7D">
            <w:pPr>
              <w:pStyle w:val="TableText"/>
            </w:pPr>
            <w:r>
              <w:t>The application of a treatment which renders plant material incapable of propagation</w:t>
            </w:r>
          </w:p>
        </w:tc>
      </w:tr>
      <w:tr w:rsidR="004726BA" w14:paraId="3540BCF8" w14:textId="77777777" w:rsidTr="00800E7D">
        <w:tc>
          <w:tcPr>
            <w:tcW w:w="1509" w:type="pct"/>
          </w:tcPr>
          <w:p w14:paraId="5B05395A" w14:textId="77777777" w:rsidR="004726BA" w:rsidRPr="003B5095" w:rsidRDefault="004726BA" w:rsidP="00800E7D">
            <w:pPr>
              <w:pStyle w:val="TableText"/>
            </w:pPr>
            <w:r w:rsidRPr="003B5095">
              <w:t>Diversion from intended use (DFIU)</w:t>
            </w:r>
          </w:p>
        </w:tc>
        <w:tc>
          <w:tcPr>
            <w:tcW w:w="3491" w:type="pct"/>
          </w:tcPr>
          <w:p w14:paraId="727608E9" w14:textId="77777777" w:rsidR="004726BA" w:rsidRPr="00A11F8D" w:rsidRDefault="004726BA" w:rsidP="00800E7D">
            <w:pPr>
              <w:pStyle w:val="TableText"/>
            </w:pPr>
            <w:r w:rsidRPr="00941B5C">
              <w:t>The practice of diversion from intended us</w:t>
            </w:r>
            <w:r>
              <w:t xml:space="preserve">e (declared purpose </w:t>
            </w:r>
            <w:r w:rsidRPr="00A11F8D">
              <w:t>for which plants, plant products, or other articles are imported, produced or used</w:t>
            </w:r>
            <w:r>
              <w:t>), for example, time-limited decorative purposes in the case of imported cut flowers</w:t>
            </w:r>
          </w:p>
        </w:tc>
      </w:tr>
      <w:tr w:rsidR="004726BA" w14:paraId="2540D086" w14:textId="77777777" w:rsidTr="00800E7D">
        <w:tc>
          <w:tcPr>
            <w:tcW w:w="1509" w:type="pct"/>
          </w:tcPr>
          <w:p w14:paraId="0F9E4658" w14:textId="77777777" w:rsidR="004726BA" w:rsidRPr="00A11F8D" w:rsidRDefault="004726BA" w:rsidP="00800E7D">
            <w:pPr>
              <w:pStyle w:val="TableText"/>
            </w:pPr>
            <w:r w:rsidRPr="00A11F8D">
              <w:t>Establishment (of a pest)</w:t>
            </w:r>
          </w:p>
        </w:tc>
        <w:tc>
          <w:tcPr>
            <w:tcW w:w="3491" w:type="pct"/>
          </w:tcPr>
          <w:p w14:paraId="45FD660D" w14:textId="77777777" w:rsidR="004726BA" w:rsidRPr="00A11F8D" w:rsidRDefault="004726BA" w:rsidP="00800E7D">
            <w:pPr>
              <w:pStyle w:val="TableText"/>
            </w:pPr>
            <w:r w:rsidRPr="00A11F8D">
              <w:t xml:space="preserve">Perpetuation, for the foreseeable future, of a pest within an area after entry </w:t>
            </w:r>
            <w:r>
              <w:rPr>
                <w:noProof/>
              </w:rPr>
              <w:t>(FAO 2022)</w:t>
            </w:r>
            <w:r w:rsidRPr="00A11F8D">
              <w:t>.</w:t>
            </w:r>
          </w:p>
        </w:tc>
      </w:tr>
      <w:tr w:rsidR="004726BA" w14:paraId="65F0053D" w14:textId="77777777" w:rsidTr="00800E7D">
        <w:tc>
          <w:tcPr>
            <w:tcW w:w="1509" w:type="pct"/>
          </w:tcPr>
          <w:p w14:paraId="428C6950" w14:textId="77777777" w:rsidR="004726BA" w:rsidRPr="00A11F8D" w:rsidRDefault="004726BA" w:rsidP="00800E7D">
            <w:pPr>
              <w:pStyle w:val="TableText"/>
            </w:pPr>
            <w:r w:rsidRPr="00A11F8D">
              <w:t>Fresh</w:t>
            </w:r>
          </w:p>
        </w:tc>
        <w:tc>
          <w:tcPr>
            <w:tcW w:w="3491" w:type="pct"/>
          </w:tcPr>
          <w:p w14:paraId="1FB10A97" w14:textId="77777777" w:rsidR="004726BA" w:rsidRPr="00A11F8D" w:rsidRDefault="004726BA" w:rsidP="00800E7D">
            <w:pPr>
              <w:pStyle w:val="TableText"/>
            </w:pPr>
            <w:r w:rsidRPr="00A11F8D">
              <w:t xml:space="preserve">Living; not dried, deep-frozen or otherwise conserved </w:t>
            </w:r>
            <w:r>
              <w:rPr>
                <w:noProof/>
              </w:rPr>
              <w:t>(FAO 2022)</w:t>
            </w:r>
            <w:r w:rsidRPr="00A11F8D">
              <w:t>.</w:t>
            </w:r>
          </w:p>
        </w:tc>
      </w:tr>
      <w:tr w:rsidR="004726BA" w14:paraId="60B0CB9C" w14:textId="77777777" w:rsidTr="00800E7D">
        <w:tc>
          <w:tcPr>
            <w:tcW w:w="1509" w:type="pct"/>
          </w:tcPr>
          <w:p w14:paraId="4405F2D1" w14:textId="77777777" w:rsidR="004726BA" w:rsidRPr="00A11F8D" w:rsidRDefault="004726BA" w:rsidP="00800E7D">
            <w:pPr>
              <w:pStyle w:val="TableText"/>
            </w:pPr>
            <w:r>
              <w:t>Goods</w:t>
            </w:r>
          </w:p>
        </w:tc>
        <w:tc>
          <w:tcPr>
            <w:tcW w:w="3491" w:type="pct"/>
          </w:tcPr>
          <w:p w14:paraId="334106DB" w14:textId="77777777" w:rsidR="004726BA" w:rsidRPr="00A11F8D" w:rsidRDefault="004726BA" w:rsidP="00800E7D">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4726BA" w14:paraId="6455E8F2" w14:textId="77777777" w:rsidTr="00800E7D">
        <w:tc>
          <w:tcPr>
            <w:tcW w:w="1509" w:type="pct"/>
          </w:tcPr>
          <w:p w14:paraId="79800785" w14:textId="77777777" w:rsidR="004726BA" w:rsidRDefault="004726BA" w:rsidP="00800E7D">
            <w:pPr>
              <w:pStyle w:val="TableText"/>
            </w:pPr>
            <w:r>
              <w:t>Imported cut flowers</w:t>
            </w:r>
          </w:p>
          <w:p w14:paraId="3FAD7014" w14:textId="77777777" w:rsidR="004726BA" w:rsidRPr="00A11F8D" w:rsidRDefault="004726BA" w:rsidP="00800E7D">
            <w:pPr>
              <w:pStyle w:val="TableText"/>
            </w:pPr>
          </w:p>
        </w:tc>
        <w:tc>
          <w:tcPr>
            <w:tcW w:w="3491" w:type="pct"/>
          </w:tcPr>
          <w:p w14:paraId="7BB1855B" w14:textId="77777777" w:rsidR="004726BA" w:rsidRPr="00A11F8D" w:rsidRDefault="004726BA" w:rsidP="00800E7D">
            <w:pPr>
              <w:pStyle w:val="TableText"/>
            </w:pPr>
            <w:r>
              <w:t xml:space="preserve">(for the purpose of this report) Commercially produced fresh </w:t>
            </w:r>
            <w:r w:rsidRPr="00525379">
              <w:t xml:space="preserve">cut flowers and foliage </w:t>
            </w:r>
            <w:r>
              <w:t>without propagules (for example, bulbils, fruit and seed), imported for time-limited decorative purposes in Australia.</w:t>
            </w:r>
          </w:p>
        </w:tc>
      </w:tr>
      <w:tr w:rsidR="004726BA" w14:paraId="77E50A4A" w14:textId="77777777" w:rsidTr="00800E7D">
        <w:tc>
          <w:tcPr>
            <w:tcW w:w="1509" w:type="pct"/>
          </w:tcPr>
          <w:p w14:paraId="4ED6738A" w14:textId="77777777" w:rsidR="004726BA" w:rsidRPr="00A11F8D" w:rsidRDefault="004726BA" w:rsidP="00800E7D">
            <w:pPr>
              <w:pStyle w:val="TableText"/>
            </w:pPr>
            <w:r w:rsidRPr="00A11F8D">
              <w:t>Import permit</w:t>
            </w:r>
          </w:p>
        </w:tc>
        <w:tc>
          <w:tcPr>
            <w:tcW w:w="3491" w:type="pct"/>
          </w:tcPr>
          <w:p w14:paraId="141B56FE" w14:textId="77777777" w:rsidR="004726BA" w:rsidRPr="00A11F8D" w:rsidRDefault="004726BA" w:rsidP="00800E7D">
            <w:pPr>
              <w:pStyle w:val="TableText"/>
            </w:pPr>
            <w:r w:rsidRPr="00A11F8D">
              <w:t xml:space="preserve">Official document authorising importation of a commodity in accordance with specified phytosanitary import requirements </w:t>
            </w:r>
            <w:r>
              <w:rPr>
                <w:noProof/>
              </w:rPr>
              <w:t>(FAO 2022)</w:t>
            </w:r>
            <w:r w:rsidRPr="00A11F8D">
              <w:t>.</w:t>
            </w:r>
          </w:p>
        </w:tc>
      </w:tr>
      <w:tr w:rsidR="004726BA" w14:paraId="003FFB78" w14:textId="77777777" w:rsidTr="00800E7D">
        <w:tc>
          <w:tcPr>
            <w:tcW w:w="1509" w:type="pct"/>
          </w:tcPr>
          <w:p w14:paraId="28C8A5AE" w14:textId="77777777" w:rsidR="004726BA" w:rsidRPr="00A11F8D" w:rsidRDefault="004726BA" w:rsidP="00800E7D">
            <w:pPr>
              <w:pStyle w:val="TableText"/>
            </w:pPr>
            <w:r w:rsidRPr="00A11F8D">
              <w:t>Inspection</w:t>
            </w:r>
          </w:p>
        </w:tc>
        <w:tc>
          <w:tcPr>
            <w:tcW w:w="3491" w:type="pct"/>
          </w:tcPr>
          <w:p w14:paraId="3488D429" w14:textId="77777777" w:rsidR="004726BA" w:rsidRPr="00A11F8D" w:rsidRDefault="004726BA" w:rsidP="00800E7D">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2022)</w:t>
            </w:r>
            <w:r w:rsidRPr="00A11F8D">
              <w:t>.</w:t>
            </w:r>
          </w:p>
        </w:tc>
      </w:tr>
      <w:tr w:rsidR="004726BA" w14:paraId="2A99D3FE" w14:textId="77777777" w:rsidTr="00800E7D">
        <w:tc>
          <w:tcPr>
            <w:tcW w:w="1509" w:type="pct"/>
          </w:tcPr>
          <w:p w14:paraId="319EE484" w14:textId="77777777" w:rsidR="004726BA" w:rsidRPr="00A11F8D" w:rsidRDefault="004726BA" w:rsidP="00800E7D">
            <w:pPr>
              <w:pStyle w:val="TableText"/>
            </w:pPr>
            <w:r w:rsidRPr="00A11F8D">
              <w:t>Intended use</w:t>
            </w:r>
          </w:p>
        </w:tc>
        <w:tc>
          <w:tcPr>
            <w:tcW w:w="3491" w:type="pct"/>
          </w:tcPr>
          <w:p w14:paraId="37B15F17" w14:textId="77777777" w:rsidR="004726BA" w:rsidRPr="00A11F8D" w:rsidRDefault="004726BA" w:rsidP="00800E7D">
            <w:pPr>
              <w:pStyle w:val="TableText"/>
            </w:pPr>
            <w:r w:rsidRPr="00A11F8D">
              <w:t xml:space="preserve">Declared purpose for which plants, plant products, or other articles are imported, produced or used </w:t>
            </w:r>
            <w:r>
              <w:rPr>
                <w:noProof/>
              </w:rPr>
              <w:t>(FAO 2022)</w:t>
            </w:r>
            <w:r w:rsidRPr="00A11F8D">
              <w:t>.</w:t>
            </w:r>
          </w:p>
        </w:tc>
      </w:tr>
      <w:tr w:rsidR="004726BA" w14:paraId="4657648E" w14:textId="77777777" w:rsidTr="00800E7D">
        <w:tc>
          <w:tcPr>
            <w:tcW w:w="1509" w:type="pct"/>
          </w:tcPr>
          <w:p w14:paraId="6A667A8F" w14:textId="77777777" w:rsidR="004726BA" w:rsidRPr="00A11F8D" w:rsidRDefault="004726BA" w:rsidP="00800E7D">
            <w:pPr>
              <w:pStyle w:val="TableText"/>
            </w:pPr>
            <w:r>
              <w:t>International Plant Protection Convention (IPPC)</w:t>
            </w:r>
          </w:p>
        </w:tc>
        <w:tc>
          <w:tcPr>
            <w:tcW w:w="3491" w:type="pct"/>
          </w:tcPr>
          <w:p w14:paraId="78789E22" w14:textId="77777777" w:rsidR="004726BA" w:rsidRPr="00A11F8D" w:rsidRDefault="004726BA" w:rsidP="00800E7D">
            <w:pPr>
              <w:pStyle w:val="TableText"/>
            </w:pPr>
            <w:r w:rsidRPr="4E855290">
              <w:rPr>
                <w:lang w:val="en-US"/>
              </w:rPr>
              <w:t xml:space="preserve">The IPPC is an international plant health agreement, established in 1952, that aims to protect </w:t>
            </w:r>
            <w:proofErr w:type="gramStart"/>
            <w:r w:rsidRPr="4E855290">
              <w:rPr>
                <w:lang w:val="en-US"/>
              </w:rPr>
              <w:t>cultivated and</w:t>
            </w:r>
            <w:proofErr w:type="gramEnd"/>
            <w:r w:rsidRPr="4E855290">
              <w:rPr>
                <w:lang w:val="en-US"/>
              </w:rPr>
              <w:t xml:space="preserve"> wild plants by preventing the introduction and spread of pests. The IPPC provides an international framework for plant protection that includes developing International Standards for Phytosanitary Measures (ISPMs) for safeguarding plant resources.</w:t>
            </w:r>
          </w:p>
        </w:tc>
      </w:tr>
      <w:tr w:rsidR="004726BA" w14:paraId="0F5AEE04" w14:textId="77777777" w:rsidTr="00800E7D">
        <w:tc>
          <w:tcPr>
            <w:tcW w:w="1509" w:type="pct"/>
          </w:tcPr>
          <w:p w14:paraId="21B96C23" w14:textId="77777777" w:rsidR="004726BA" w:rsidRPr="00A11F8D" w:rsidRDefault="004726BA" w:rsidP="00800E7D">
            <w:pPr>
              <w:pStyle w:val="TableText"/>
            </w:pPr>
            <w:r w:rsidRPr="00A11F8D">
              <w:t>International Standard for Phytosanitary Measures (ISPM)</w:t>
            </w:r>
          </w:p>
        </w:tc>
        <w:tc>
          <w:tcPr>
            <w:tcW w:w="3491" w:type="pct"/>
          </w:tcPr>
          <w:p w14:paraId="6176384E" w14:textId="77777777" w:rsidR="004726BA" w:rsidRPr="00A11F8D" w:rsidRDefault="004726BA" w:rsidP="00800E7D">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2022)</w:t>
            </w:r>
            <w:r w:rsidRPr="00A11F8D">
              <w:t>.</w:t>
            </w:r>
          </w:p>
        </w:tc>
      </w:tr>
      <w:tr w:rsidR="004726BA" w14:paraId="33D74E84" w14:textId="77777777" w:rsidTr="00800E7D">
        <w:tc>
          <w:tcPr>
            <w:tcW w:w="1509" w:type="pct"/>
          </w:tcPr>
          <w:p w14:paraId="2E69D596" w14:textId="77777777" w:rsidR="004726BA" w:rsidRPr="00A11F8D" w:rsidRDefault="004726BA" w:rsidP="00800E7D">
            <w:pPr>
              <w:pStyle w:val="TableText"/>
            </w:pPr>
            <w:r w:rsidRPr="00F17D27">
              <w:t>National Plant Protection Organization (NPPO)</w:t>
            </w:r>
          </w:p>
        </w:tc>
        <w:tc>
          <w:tcPr>
            <w:tcW w:w="3491" w:type="pct"/>
          </w:tcPr>
          <w:p w14:paraId="2D33B5EF" w14:textId="77777777" w:rsidR="004726BA" w:rsidRPr="00A11F8D" w:rsidRDefault="004726BA" w:rsidP="00800E7D">
            <w:pPr>
              <w:pStyle w:val="TableText"/>
            </w:pPr>
            <w:r w:rsidRPr="00A11F8D">
              <w:t xml:space="preserve">Official service established by a government to discharge the functions specified by the IPPC </w:t>
            </w:r>
            <w:r>
              <w:rPr>
                <w:noProof/>
              </w:rPr>
              <w:t>(FAO 2022)</w:t>
            </w:r>
            <w:r w:rsidRPr="00A11F8D">
              <w:t>.</w:t>
            </w:r>
          </w:p>
        </w:tc>
      </w:tr>
      <w:tr w:rsidR="004726BA" w14:paraId="57A7470B" w14:textId="77777777" w:rsidTr="00800E7D">
        <w:tc>
          <w:tcPr>
            <w:tcW w:w="1509" w:type="pct"/>
          </w:tcPr>
          <w:p w14:paraId="65EBFCBC" w14:textId="77777777" w:rsidR="004726BA" w:rsidRPr="00A11F8D" w:rsidRDefault="004726BA" w:rsidP="00800E7D">
            <w:pPr>
              <w:pStyle w:val="TableText"/>
            </w:pPr>
            <w:r w:rsidRPr="00A11F8D">
              <w:t>Pathogen</w:t>
            </w:r>
          </w:p>
        </w:tc>
        <w:tc>
          <w:tcPr>
            <w:tcW w:w="3491" w:type="pct"/>
          </w:tcPr>
          <w:p w14:paraId="294BAFE2" w14:textId="77777777" w:rsidR="004726BA" w:rsidRPr="00A11F8D" w:rsidRDefault="004726BA" w:rsidP="00800E7D">
            <w:pPr>
              <w:pStyle w:val="TableText"/>
            </w:pPr>
            <w:r w:rsidRPr="00A11F8D">
              <w:t>A biological agent that can cause disease to its host.</w:t>
            </w:r>
          </w:p>
        </w:tc>
      </w:tr>
      <w:tr w:rsidR="004726BA" w14:paraId="2420AFC4" w14:textId="77777777" w:rsidTr="00800E7D">
        <w:tc>
          <w:tcPr>
            <w:tcW w:w="1509" w:type="pct"/>
          </w:tcPr>
          <w:p w14:paraId="475D57F3" w14:textId="77777777" w:rsidR="004726BA" w:rsidRPr="00FE6756" w:rsidRDefault="004726BA" w:rsidP="00800E7D">
            <w:pPr>
              <w:pStyle w:val="TableText"/>
            </w:pPr>
            <w:r w:rsidRPr="00FE6756">
              <w:t>Pathway</w:t>
            </w:r>
          </w:p>
        </w:tc>
        <w:tc>
          <w:tcPr>
            <w:tcW w:w="3491" w:type="pct"/>
          </w:tcPr>
          <w:p w14:paraId="6303CEC8" w14:textId="77777777" w:rsidR="004726BA" w:rsidRPr="00FE6756" w:rsidRDefault="004726BA" w:rsidP="00800E7D">
            <w:pPr>
              <w:pStyle w:val="TableText"/>
            </w:pPr>
            <w:r w:rsidRPr="00FE6756">
              <w:t xml:space="preserve">Any means that </w:t>
            </w:r>
            <w:proofErr w:type="gramStart"/>
            <w:r w:rsidRPr="00FE6756">
              <w:t>allows</w:t>
            </w:r>
            <w:proofErr w:type="gramEnd"/>
            <w:r w:rsidRPr="00FE6756">
              <w:t xml:space="preserve"> the entry or spread of a pest </w:t>
            </w:r>
            <w:r>
              <w:rPr>
                <w:noProof/>
              </w:rPr>
              <w:t>(FAO 2022)</w:t>
            </w:r>
            <w:r w:rsidRPr="00FE6756">
              <w:t>.</w:t>
            </w:r>
          </w:p>
        </w:tc>
      </w:tr>
      <w:tr w:rsidR="004726BA" w14:paraId="230B21C0" w14:textId="77777777" w:rsidTr="00800E7D">
        <w:tc>
          <w:tcPr>
            <w:tcW w:w="1509" w:type="pct"/>
          </w:tcPr>
          <w:p w14:paraId="1503B544" w14:textId="77777777" w:rsidR="004726BA" w:rsidRPr="00FE6756" w:rsidRDefault="004726BA" w:rsidP="00800E7D">
            <w:pPr>
              <w:pStyle w:val="TableText"/>
            </w:pPr>
            <w:r w:rsidRPr="00FE6756">
              <w:lastRenderedPageBreak/>
              <w:t>Pest</w:t>
            </w:r>
          </w:p>
        </w:tc>
        <w:tc>
          <w:tcPr>
            <w:tcW w:w="3491" w:type="pct"/>
          </w:tcPr>
          <w:p w14:paraId="4A4DBAFC" w14:textId="77777777" w:rsidR="004726BA" w:rsidRPr="00FE6756" w:rsidRDefault="004726BA" w:rsidP="00800E7D">
            <w:pPr>
              <w:pStyle w:val="TableText"/>
            </w:pPr>
            <w:r w:rsidRPr="00FE6756">
              <w:t xml:space="preserve">Any species, strain or biotype of plant, animal, or pathogenic agent injurious to plants or plant products </w:t>
            </w:r>
            <w:r>
              <w:rPr>
                <w:noProof/>
              </w:rPr>
              <w:t>(FAO 2022)</w:t>
            </w:r>
            <w:r w:rsidRPr="00FE6756">
              <w:t>.</w:t>
            </w:r>
          </w:p>
        </w:tc>
      </w:tr>
      <w:tr w:rsidR="004726BA" w14:paraId="1CC27BB5" w14:textId="77777777" w:rsidTr="00800E7D">
        <w:tc>
          <w:tcPr>
            <w:tcW w:w="1509" w:type="pct"/>
          </w:tcPr>
          <w:p w14:paraId="7D1A922C" w14:textId="77777777" w:rsidR="004726BA" w:rsidRPr="00A11F8D" w:rsidRDefault="004726BA" w:rsidP="00800E7D">
            <w:pPr>
              <w:pStyle w:val="TableText"/>
            </w:pPr>
            <w:r w:rsidRPr="00A11F8D">
              <w:t>Pest risk analysis (PRA)</w:t>
            </w:r>
          </w:p>
        </w:tc>
        <w:tc>
          <w:tcPr>
            <w:tcW w:w="3491" w:type="pct"/>
          </w:tcPr>
          <w:p w14:paraId="7F669080" w14:textId="77777777" w:rsidR="004726BA" w:rsidRPr="00A11F8D" w:rsidRDefault="004726BA" w:rsidP="00800E7D">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2022)</w:t>
            </w:r>
            <w:r w:rsidRPr="00A11F8D">
              <w:t>.</w:t>
            </w:r>
          </w:p>
        </w:tc>
      </w:tr>
      <w:tr w:rsidR="004726BA" w14:paraId="21AC370C" w14:textId="77777777" w:rsidTr="00800E7D">
        <w:tc>
          <w:tcPr>
            <w:tcW w:w="1509" w:type="pct"/>
          </w:tcPr>
          <w:p w14:paraId="6C10964F" w14:textId="77777777" w:rsidR="004726BA" w:rsidRPr="00FE6756" w:rsidRDefault="004726BA" w:rsidP="00800E7D">
            <w:pPr>
              <w:pStyle w:val="TableText"/>
            </w:pPr>
            <w:r w:rsidRPr="00FE6756">
              <w:t>Phytosanitary measure</w:t>
            </w:r>
          </w:p>
        </w:tc>
        <w:tc>
          <w:tcPr>
            <w:tcW w:w="3491" w:type="pct"/>
          </w:tcPr>
          <w:p w14:paraId="53634072" w14:textId="77777777" w:rsidR="004726BA" w:rsidRPr="00FE6756" w:rsidRDefault="004726BA" w:rsidP="00800E7D">
            <w:pPr>
              <w:pStyle w:val="TableText"/>
            </w:pPr>
            <w:r w:rsidRPr="00FE6756">
              <w:t xml:space="preserve">Phytosanitary relates to the health of plants. Any legislation, regulation or official procedure having the purpose to prevent the introduction or spread of quarantine pests, or to limit the economic impact of regulated non-quarantine pests </w:t>
            </w:r>
            <w:r>
              <w:rPr>
                <w:noProof/>
              </w:rPr>
              <w:t>(FAO 2022)</w:t>
            </w:r>
            <w:r w:rsidRPr="00FE6756">
              <w:t>. In this risk analysis the term ‘phytosanitary measure’ and ‘risk management measure’ may be used interchangeably.</w:t>
            </w:r>
          </w:p>
        </w:tc>
      </w:tr>
      <w:tr w:rsidR="004726BA" w14:paraId="590884F5" w14:textId="77777777" w:rsidTr="00800E7D">
        <w:tc>
          <w:tcPr>
            <w:tcW w:w="1509" w:type="pct"/>
          </w:tcPr>
          <w:p w14:paraId="66C894D5" w14:textId="77777777" w:rsidR="004726BA" w:rsidRPr="003F5AB8" w:rsidRDefault="004726BA" w:rsidP="00800E7D">
            <w:pPr>
              <w:pStyle w:val="TableText"/>
            </w:pPr>
            <w:r w:rsidRPr="003F5AB8">
              <w:t>Propagation (for plants)</w:t>
            </w:r>
          </w:p>
        </w:tc>
        <w:tc>
          <w:tcPr>
            <w:tcW w:w="3491" w:type="pct"/>
          </w:tcPr>
          <w:p w14:paraId="3802A88A" w14:textId="77777777" w:rsidR="004726BA" w:rsidRPr="00A11F8D" w:rsidRDefault="004726BA" w:rsidP="00800E7D">
            <w:pPr>
              <w:pStyle w:val="TableText"/>
            </w:pPr>
            <w:r>
              <w:t>T</w:t>
            </w:r>
            <w:r w:rsidRPr="0050564E">
              <w:t>he process of creating new plant</w:t>
            </w:r>
            <w:r>
              <w:t>(</w:t>
            </w:r>
            <w:r w:rsidRPr="0050564E">
              <w:t>s</w:t>
            </w:r>
            <w:r>
              <w:t>)</w:t>
            </w:r>
            <w:r w:rsidRPr="0050564E">
              <w:t xml:space="preserve"> </w:t>
            </w:r>
          </w:p>
        </w:tc>
      </w:tr>
      <w:tr w:rsidR="004726BA" w14:paraId="353B85A8" w14:textId="77777777" w:rsidTr="00800E7D">
        <w:tc>
          <w:tcPr>
            <w:tcW w:w="1509" w:type="pct"/>
          </w:tcPr>
          <w:p w14:paraId="36E18824" w14:textId="77777777" w:rsidR="004726BA" w:rsidRPr="003F5AB8" w:rsidRDefault="004726BA" w:rsidP="00800E7D">
            <w:pPr>
              <w:pStyle w:val="TableText"/>
            </w:pPr>
            <w:r w:rsidRPr="003F5AB8">
              <w:t>Propagable</w:t>
            </w:r>
          </w:p>
        </w:tc>
        <w:tc>
          <w:tcPr>
            <w:tcW w:w="3491" w:type="pct"/>
          </w:tcPr>
          <w:p w14:paraId="05309E74" w14:textId="77777777" w:rsidR="004726BA" w:rsidRPr="00A11F8D" w:rsidRDefault="004726BA" w:rsidP="00800E7D">
            <w:pPr>
              <w:pStyle w:val="TableText"/>
            </w:pPr>
            <w:r>
              <w:t>Capable of being propagated.</w:t>
            </w:r>
          </w:p>
        </w:tc>
      </w:tr>
      <w:tr w:rsidR="004726BA" w14:paraId="5E1610DB" w14:textId="77777777" w:rsidTr="00800E7D">
        <w:tc>
          <w:tcPr>
            <w:tcW w:w="1509" w:type="pct"/>
          </w:tcPr>
          <w:p w14:paraId="47835CBE" w14:textId="77777777" w:rsidR="004726BA" w:rsidRPr="00A11F8D" w:rsidRDefault="004726BA" w:rsidP="00800E7D">
            <w:pPr>
              <w:pStyle w:val="TableText"/>
            </w:pPr>
            <w:r w:rsidRPr="00A11F8D">
              <w:t>SPS Agreement</w:t>
            </w:r>
          </w:p>
        </w:tc>
        <w:tc>
          <w:tcPr>
            <w:tcW w:w="3491" w:type="pct"/>
          </w:tcPr>
          <w:p w14:paraId="1589AF48" w14:textId="77777777" w:rsidR="004726BA" w:rsidRPr="00A11F8D" w:rsidRDefault="004726BA" w:rsidP="00800E7D">
            <w:pPr>
              <w:pStyle w:val="TableText"/>
            </w:pPr>
            <w:r w:rsidRPr="00A11F8D">
              <w:t>WTO Agreement on the Application of Sanitary and Phytosanitary Measures.</w:t>
            </w:r>
          </w:p>
        </w:tc>
      </w:tr>
      <w:tr w:rsidR="004726BA" w14:paraId="41050F5F" w14:textId="77777777" w:rsidTr="00800E7D">
        <w:tc>
          <w:tcPr>
            <w:tcW w:w="1509" w:type="pct"/>
          </w:tcPr>
          <w:p w14:paraId="0F918824" w14:textId="77777777" w:rsidR="004726BA" w:rsidRPr="00A11F8D" w:rsidRDefault="004726BA" w:rsidP="00800E7D">
            <w:pPr>
              <w:pStyle w:val="TableText"/>
            </w:pPr>
            <w:r w:rsidRPr="00A11F8D">
              <w:t>Treatment</w:t>
            </w:r>
            <w:r>
              <w:t xml:space="preserve"> (as a phytosanitary measure)</w:t>
            </w:r>
          </w:p>
        </w:tc>
        <w:tc>
          <w:tcPr>
            <w:tcW w:w="3491" w:type="pct"/>
          </w:tcPr>
          <w:p w14:paraId="5D2073BD" w14:textId="77777777" w:rsidR="004726BA" w:rsidRPr="00A11F8D" w:rsidRDefault="004726BA" w:rsidP="00800E7D">
            <w:pPr>
              <w:pStyle w:val="TableText"/>
            </w:pPr>
            <w:r w:rsidRPr="00A11F8D">
              <w:t xml:space="preserve">Official procedure for </w:t>
            </w:r>
            <w:r w:rsidRPr="000A186F">
              <w:t>killing, inactivating, removing, rendering infertile or devitali</w:t>
            </w:r>
            <w:r>
              <w:t>s</w:t>
            </w:r>
            <w:r w:rsidRPr="000A186F">
              <w:t xml:space="preserve">ing regulated pests </w:t>
            </w:r>
            <w:r>
              <w:rPr>
                <w:noProof/>
              </w:rPr>
              <w:t>(FAO 2022)</w:t>
            </w:r>
            <w:r w:rsidRPr="00A11F8D">
              <w:t>.</w:t>
            </w:r>
          </w:p>
        </w:tc>
      </w:tr>
      <w:tr w:rsidR="004726BA" w14:paraId="76E6889A" w14:textId="77777777" w:rsidTr="00800E7D">
        <w:tc>
          <w:tcPr>
            <w:tcW w:w="1509" w:type="pct"/>
          </w:tcPr>
          <w:p w14:paraId="7A2B970F" w14:textId="77777777" w:rsidR="004726BA" w:rsidRPr="00581BD5" w:rsidRDefault="004726BA" w:rsidP="00800E7D">
            <w:pPr>
              <w:pStyle w:val="TableText"/>
            </w:pPr>
            <w:r w:rsidRPr="00581BD5">
              <w:t>Viable</w:t>
            </w:r>
          </w:p>
        </w:tc>
        <w:tc>
          <w:tcPr>
            <w:tcW w:w="3491" w:type="pct"/>
          </w:tcPr>
          <w:p w14:paraId="754F1BB3" w14:textId="77777777" w:rsidR="004726BA" w:rsidRPr="00A11F8D" w:rsidRDefault="004726BA" w:rsidP="00800E7D">
            <w:pPr>
              <w:pStyle w:val="TableText"/>
            </w:pPr>
            <w:r w:rsidRPr="00581BD5">
              <w:t>Alive, able to germinate or capable of growth.</w:t>
            </w:r>
          </w:p>
        </w:tc>
      </w:tr>
    </w:tbl>
    <w:p w14:paraId="05136F6A" w14:textId="77777777" w:rsidR="004726BA" w:rsidRDefault="004726BA" w:rsidP="00800E7D"/>
    <w:p w14:paraId="55A5E589" w14:textId="77777777" w:rsidR="004726BA" w:rsidRPr="00525379" w:rsidRDefault="004726BA" w:rsidP="00800E7D">
      <w:pPr>
        <w:sectPr w:rsidR="004726BA" w:rsidRPr="00525379" w:rsidSect="004726BA">
          <w:headerReference w:type="even" r:id="rId76"/>
          <w:headerReference w:type="default" r:id="rId77"/>
          <w:footerReference w:type="even" r:id="rId78"/>
          <w:footerReference w:type="default" r:id="rId79"/>
          <w:headerReference w:type="first" r:id="rId80"/>
          <w:footerReference w:type="first" r:id="rId81"/>
          <w:pgSz w:w="11906" w:h="16838"/>
          <w:pgMar w:top="1418" w:right="1418" w:bottom="1418" w:left="1418" w:header="567" w:footer="850" w:gutter="0"/>
          <w:cols w:space="708"/>
          <w:docGrid w:linePitch="360"/>
        </w:sectPr>
      </w:pPr>
    </w:p>
    <w:p w14:paraId="5863A32B" w14:textId="77777777" w:rsidR="004726BA" w:rsidRPr="00525379" w:rsidRDefault="004726BA" w:rsidP="00800E7D">
      <w:pPr>
        <w:pStyle w:val="Heading2"/>
        <w:numPr>
          <w:ilvl w:val="0"/>
          <w:numId w:val="0"/>
        </w:numPr>
        <w:ind w:left="794" w:hanging="794"/>
      </w:pPr>
      <w:bookmarkStart w:id="91" w:name="_Toc197938550"/>
      <w:bookmarkStart w:id="92" w:name="_Toc197953581"/>
      <w:r w:rsidRPr="00525379">
        <w:lastRenderedPageBreak/>
        <w:t>References</w:t>
      </w:r>
      <w:bookmarkEnd w:id="91"/>
      <w:bookmarkEnd w:id="92"/>
    </w:p>
    <w:p w14:paraId="01777FC4" w14:textId="4AEB1938" w:rsidR="004726BA" w:rsidRDefault="004726BA" w:rsidP="00800E7D">
      <w:pPr>
        <w:rPr>
          <w:highlight w:val="yellow"/>
        </w:rPr>
      </w:pPr>
      <w:r w:rsidRPr="00525379">
        <w:t xml:space="preserve">All web links in references were accessible and </w:t>
      </w:r>
      <w:r w:rsidRPr="00040064">
        <w:t>active on week of July 2025.</w:t>
      </w:r>
    </w:p>
    <w:p w14:paraId="606D3F31" w14:textId="77777777" w:rsidR="004726BA" w:rsidRPr="004726BA" w:rsidRDefault="004726BA" w:rsidP="00800E7D">
      <w:pPr>
        <w:pStyle w:val="EndNoteBibliography"/>
        <w:spacing w:after="0"/>
        <w:rPr>
          <w:rFonts w:ascii="Cambria" w:hAnsi="Cambria"/>
        </w:rPr>
      </w:pPr>
      <w:r w:rsidRPr="004726BA">
        <w:rPr>
          <w:rFonts w:ascii="Cambria" w:hAnsi="Cambria"/>
        </w:rPr>
        <w:t xml:space="preserve">Aydin, V 2023, ‘Factors affecting the post-harvest quality of cut flowers’, in </w:t>
      </w:r>
      <w:r w:rsidRPr="004726BA">
        <w:rPr>
          <w:rFonts w:ascii="Cambria" w:hAnsi="Cambria"/>
          <w:i/>
        </w:rPr>
        <w:t>Advances in plant research and agriculture</w:t>
      </w:r>
      <w:r w:rsidRPr="004726BA">
        <w:rPr>
          <w:rFonts w:ascii="Cambria" w:hAnsi="Cambria"/>
        </w:rPr>
        <w:t>, Tas, A (ed), IKSAD Publishing House, Turkey.</w:t>
      </w:r>
    </w:p>
    <w:p w14:paraId="5A1E3575" w14:textId="77777777" w:rsidR="004726BA" w:rsidRPr="004726BA" w:rsidRDefault="004726BA" w:rsidP="00800E7D">
      <w:pPr>
        <w:pStyle w:val="EndNoteBibliography"/>
        <w:spacing w:after="0"/>
        <w:rPr>
          <w:rFonts w:ascii="Cambria" w:hAnsi="Cambria"/>
        </w:rPr>
      </w:pPr>
      <w:r w:rsidRPr="004726BA">
        <w:rPr>
          <w:rFonts w:ascii="Cambria" w:hAnsi="Cambria"/>
        </w:rPr>
        <w:t xml:space="preserve">Biosecurity Australia 2010, </w:t>
      </w:r>
      <w:r w:rsidRPr="004726BA">
        <w:rPr>
          <w:rFonts w:ascii="Cambria" w:hAnsi="Cambria"/>
          <w:i/>
        </w:rPr>
        <w:t>Final review of policy: importation of hop (Humulus species) propagative material into Australia</w:t>
      </w:r>
      <w:r w:rsidRPr="004726BA">
        <w:rPr>
          <w:rFonts w:ascii="Cambria" w:hAnsi="Cambria"/>
        </w:rPr>
        <w:t>, Department of Agriculture, Fisheries and Forestry, Canberra, Australia, available at https://www.agriculture.gov.au/biosecurity-trade/policy/risk-analysis/plant/hops.</w:t>
      </w:r>
    </w:p>
    <w:p w14:paraId="53F5BC12" w14:textId="00774AD9" w:rsidR="004726BA" w:rsidRPr="004726BA" w:rsidRDefault="004726BA" w:rsidP="00800E7D">
      <w:pPr>
        <w:pStyle w:val="EndNoteBibliography"/>
        <w:spacing w:after="0"/>
        <w:rPr>
          <w:rFonts w:ascii="Cambria" w:hAnsi="Cambria"/>
        </w:rPr>
      </w:pPr>
      <w:r w:rsidRPr="004726BA">
        <w:rPr>
          <w:rFonts w:ascii="Cambria" w:hAnsi="Cambria"/>
        </w:rPr>
        <w:t xml:space="preserve">-- -- 2011, </w:t>
      </w:r>
      <w:r w:rsidRPr="004726BA">
        <w:rPr>
          <w:rFonts w:ascii="Cambria" w:hAnsi="Cambria"/>
          <w:i/>
        </w:rPr>
        <w:t>Final review of policy: Importation of hazelnut (Corylus species) propagative material from Chile</w:t>
      </w:r>
      <w:r w:rsidRPr="004726BA">
        <w:rPr>
          <w:rFonts w:ascii="Cambria" w:hAnsi="Cambria"/>
        </w:rPr>
        <w:t>, Department of Agriculture, Fisheries and Forestry, Canberra, Australia, available at https://www.agriculture.gov.au/sites/default/files/sitecollectiondocuments/ba/plant/2011/Finalforrelease.pdf.</w:t>
      </w:r>
    </w:p>
    <w:p w14:paraId="153CCDF7" w14:textId="77777777" w:rsidR="004726BA" w:rsidRPr="004726BA" w:rsidRDefault="004726BA" w:rsidP="00800E7D">
      <w:pPr>
        <w:pStyle w:val="EndNoteBibliography"/>
        <w:spacing w:after="0"/>
        <w:rPr>
          <w:rFonts w:ascii="Cambria" w:hAnsi="Cambria"/>
        </w:rPr>
      </w:pPr>
      <w:r w:rsidRPr="004726BA">
        <w:rPr>
          <w:rFonts w:ascii="Cambria" w:hAnsi="Cambria"/>
        </w:rPr>
        <w:t xml:space="preserve">Borghi, M &amp; Fernie, AR 2021, ‘From flowers to seeds: how the metabolism of flowers frames plant production’, </w:t>
      </w:r>
      <w:r w:rsidRPr="004726BA">
        <w:rPr>
          <w:rFonts w:ascii="Cambria" w:hAnsi="Cambria"/>
          <w:i/>
        </w:rPr>
        <w:t>The Biochemist</w:t>
      </w:r>
      <w:r w:rsidRPr="004726BA">
        <w:rPr>
          <w:rFonts w:ascii="Cambria" w:hAnsi="Cambria"/>
        </w:rPr>
        <w:t>, vol. 43, no. 3, pp. 14-18.</w:t>
      </w:r>
    </w:p>
    <w:p w14:paraId="58B644E3" w14:textId="77777777" w:rsidR="004726BA" w:rsidRPr="004726BA" w:rsidRDefault="004726BA" w:rsidP="00800E7D">
      <w:pPr>
        <w:pStyle w:val="EndNoteBibliography"/>
        <w:spacing w:after="0"/>
        <w:rPr>
          <w:rFonts w:ascii="Cambria" w:hAnsi="Cambria"/>
        </w:rPr>
      </w:pPr>
      <w:r w:rsidRPr="004726BA">
        <w:rPr>
          <w:rFonts w:ascii="Cambria" w:hAnsi="Cambria"/>
        </w:rPr>
        <w:t xml:space="preserve">Chen, J &amp; Stamps, RH 2006, ‘Cutting propagation of foliage plants’, in </w:t>
      </w:r>
      <w:r w:rsidRPr="004726BA">
        <w:rPr>
          <w:rFonts w:ascii="Cambria" w:hAnsi="Cambria"/>
          <w:i/>
        </w:rPr>
        <w:t>Cutting propagation: a guide to propagating and producing floriculture crops</w:t>
      </w:r>
      <w:r w:rsidRPr="004726BA">
        <w:rPr>
          <w:rFonts w:ascii="Cambria" w:hAnsi="Cambria"/>
        </w:rPr>
        <w:t>, Ball Publishing, Batavia (IL) USA.</w:t>
      </w:r>
    </w:p>
    <w:p w14:paraId="637D8F3B" w14:textId="77777777" w:rsidR="004726BA" w:rsidRPr="004726BA" w:rsidRDefault="004726BA" w:rsidP="00800E7D">
      <w:pPr>
        <w:pStyle w:val="EndNoteBibliography"/>
        <w:spacing w:after="0"/>
        <w:rPr>
          <w:rFonts w:ascii="Cambria" w:hAnsi="Cambria"/>
        </w:rPr>
      </w:pPr>
      <w:r w:rsidRPr="004726BA">
        <w:rPr>
          <w:rFonts w:ascii="Cambria" w:hAnsi="Cambria"/>
        </w:rPr>
        <w:t xml:space="preserve">Christiaens, A, van Huylenbroeck, J, Gobin, B &amp; van Labeke, MC 2019, ‘Postharvest quality of ornamental cuttings evaluated by chlorophyll fluorescence’, </w:t>
      </w:r>
      <w:r w:rsidRPr="004726BA">
        <w:rPr>
          <w:rFonts w:ascii="Cambria" w:hAnsi="Cambria"/>
          <w:i/>
        </w:rPr>
        <w:t>Acta Horticulturae</w:t>
      </w:r>
      <w:r w:rsidRPr="004726BA">
        <w:rPr>
          <w:rFonts w:ascii="Cambria" w:hAnsi="Cambria"/>
        </w:rPr>
        <w:t>, vol. 1263, pp. 413-20.</w:t>
      </w:r>
    </w:p>
    <w:p w14:paraId="62ECB14F" w14:textId="77777777" w:rsidR="004726BA" w:rsidRPr="004726BA" w:rsidRDefault="004726BA" w:rsidP="00800E7D">
      <w:pPr>
        <w:pStyle w:val="EndNoteBibliography"/>
        <w:spacing w:after="0"/>
        <w:rPr>
          <w:rFonts w:ascii="Cambria" w:hAnsi="Cambria"/>
        </w:rPr>
      </w:pPr>
      <w:r w:rsidRPr="004726BA">
        <w:rPr>
          <w:rFonts w:ascii="Cambria" w:hAnsi="Cambria"/>
        </w:rPr>
        <w:t xml:space="preserve">Costa, JM &amp; Van de Pol, PA 2003, ‘Propagation: own-rooted cuttings’, in </w:t>
      </w:r>
      <w:r w:rsidRPr="004726BA">
        <w:rPr>
          <w:rFonts w:ascii="Cambria" w:hAnsi="Cambria"/>
          <w:i/>
        </w:rPr>
        <w:t>Encyclopedia of rose science</w:t>
      </w:r>
      <w:r w:rsidRPr="004726BA">
        <w:rPr>
          <w:rFonts w:ascii="Cambria" w:hAnsi="Cambria"/>
        </w:rPr>
        <w:t>, Roberts, AV (ed), Elsevier.</w:t>
      </w:r>
    </w:p>
    <w:p w14:paraId="2D5B0C9A" w14:textId="77777777" w:rsidR="004726BA" w:rsidRPr="004726BA" w:rsidRDefault="004726BA" w:rsidP="00800E7D">
      <w:pPr>
        <w:pStyle w:val="EndNoteBibliography"/>
        <w:spacing w:after="0"/>
        <w:rPr>
          <w:rFonts w:ascii="Cambria" w:hAnsi="Cambria"/>
        </w:rPr>
      </w:pPr>
      <w:r w:rsidRPr="004726BA">
        <w:rPr>
          <w:rFonts w:ascii="Cambria" w:hAnsi="Cambria"/>
        </w:rPr>
        <w:t xml:space="preserve">CPVO 2025, </w:t>
      </w:r>
      <w:r w:rsidRPr="004726BA">
        <w:rPr>
          <w:rFonts w:ascii="Cambria" w:hAnsi="Cambria"/>
          <w:i/>
        </w:rPr>
        <w:t>Our mission</w:t>
      </w:r>
      <w:r w:rsidRPr="004726BA">
        <w:rPr>
          <w:rFonts w:ascii="Cambria" w:hAnsi="Cambria"/>
        </w:rPr>
        <w:t>, Community Plant Variety Office, https://cpvo.europa.eu/en/about-us/what-we-do/our-mission.</w:t>
      </w:r>
    </w:p>
    <w:p w14:paraId="18FF2ED0" w14:textId="77777777" w:rsidR="004726BA" w:rsidRPr="004726BA" w:rsidRDefault="004726BA" w:rsidP="00800E7D">
      <w:pPr>
        <w:pStyle w:val="EndNoteBibliography"/>
        <w:spacing w:after="0"/>
        <w:rPr>
          <w:rFonts w:ascii="Cambria" w:hAnsi="Cambria"/>
        </w:rPr>
      </w:pPr>
      <w:r w:rsidRPr="004726BA">
        <w:rPr>
          <w:rFonts w:ascii="Cambria" w:hAnsi="Cambria"/>
        </w:rPr>
        <w:t xml:space="preserve">Craik, W, Palmer, D &amp; Sheldrake, R 2017, </w:t>
      </w:r>
      <w:r w:rsidRPr="004726BA">
        <w:rPr>
          <w:rFonts w:ascii="Cambria" w:hAnsi="Cambria"/>
          <w:i/>
        </w:rPr>
        <w:t>Priorities for Australia’s biosecurity system</w:t>
      </w:r>
      <w:r w:rsidRPr="004726BA">
        <w:rPr>
          <w:rFonts w:ascii="Cambria" w:hAnsi="Cambria"/>
        </w:rPr>
        <w:t>, An independent review of the capacity of the national biosecurity system and its underpinning Intergovernmental Agreement, Department of Agriculture and Water Resources, Commonwealth of Australia, Canberra.</w:t>
      </w:r>
    </w:p>
    <w:p w14:paraId="10B3A440" w14:textId="77777777" w:rsidR="004726BA" w:rsidRPr="004726BA" w:rsidRDefault="004726BA" w:rsidP="00800E7D">
      <w:pPr>
        <w:pStyle w:val="EndNoteBibliography"/>
        <w:spacing w:after="0"/>
        <w:rPr>
          <w:rFonts w:ascii="Cambria" w:hAnsi="Cambria"/>
        </w:rPr>
      </w:pPr>
      <w:r w:rsidRPr="004726BA">
        <w:rPr>
          <w:rFonts w:ascii="Cambria" w:hAnsi="Cambria"/>
        </w:rPr>
        <w:t xml:space="preserve">da Costa, LC, de Araujo, FF, Ribeiro, WS, de Sousa Santos, MN &amp; Finger, FL 2021, ‘Postharvest physiology of cut flowers’, </w:t>
      </w:r>
      <w:r w:rsidRPr="004726BA">
        <w:rPr>
          <w:rFonts w:ascii="Cambria" w:hAnsi="Cambria"/>
          <w:i/>
        </w:rPr>
        <w:t>Ornamental Horticulture</w:t>
      </w:r>
      <w:r w:rsidRPr="004726BA">
        <w:rPr>
          <w:rFonts w:ascii="Cambria" w:hAnsi="Cambria"/>
        </w:rPr>
        <w:t>, vol. 27, no. 3, pp. 374-85.</w:t>
      </w:r>
    </w:p>
    <w:p w14:paraId="56B0F80D" w14:textId="77777777" w:rsidR="004726BA" w:rsidRPr="004726BA" w:rsidRDefault="004726BA" w:rsidP="00800E7D">
      <w:pPr>
        <w:pStyle w:val="EndNoteBibliography"/>
        <w:spacing w:after="0"/>
        <w:rPr>
          <w:rFonts w:ascii="Cambria" w:hAnsi="Cambria"/>
        </w:rPr>
      </w:pPr>
      <w:r w:rsidRPr="004726BA">
        <w:rPr>
          <w:rFonts w:ascii="Cambria" w:hAnsi="Cambria"/>
        </w:rPr>
        <w:t xml:space="preserve">da Silva, JAT 2006, ‘Ornamental cut flowers: physiology in practice’, in </w:t>
      </w:r>
      <w:r w:rsidRPr="004726BA">
        <w:rPr>
          <w:rFonts w:ascii="Cambria" w:hAnsi="Cambria"/>
          <w:i/>
        </w:rPr>
        <w:t>Floriculture, ornamental and plant biotechnology: advances and topical issues</w:t>
      </w:r>
      <w:r w:rsidRPr="004726BA">
        <w:rPr>
          <w:rFonts w:ascii="Cambria" w:hAnsi="Cambria"/>
        </w:rPr>
        <w:t>, da Silva, JAT (ed), Global Science Books.</w:t>
      </w:r>
    </w:p>
    <w:p w14:paraId="5E28EB87" w14:textId="77777777" w:rsidR="004726BA" w:rsidRPr="004726BA" w:rsidRDefault="004726BA" w:rsidP="00800E7D">
      <w:pPr>
        <w:pStyle w:val="EndNoteBibliography"/>
        <w:spacing w:after="0"/>
        <w:rPr>
          <w:rFonts w:ascii="Cambria" w:hAnsi="Cambria"/>
        </w:rPr>
      </w:pPr>
      <w:r w:rsidRPr="004726BA">
        <w:rPr>
          <w:rFonts w:ascii="Cambria" w:hAnsi="Cambria"/>
        </w:rPr>
        <w:t>DAFF 2020, ‘Importing cut flowers and foliage’, Department of Agriculture, Fisheries and Forestry, Canberra, ACT, available at https://www.agriculture.gov.au/biosecurity-trade/import/goods/plant-products/cut-flowers-foliage.</w:t>
      </w:r>
    </w:p>
    <w:p w14:paraId="62E08DF5" w14:textId="77777777" w:rsidR="004726BA" w:rsidRPr="004726BA" w:rsidRDefault="004726BA" w:rsidP="00800E7D">
      <w:pPr>
        <w:pStyle w:val="EndNoteBibliography"/>
        <w:spacing w:after="0"/>
        <w:rPr>
          <w:rFonts w:ascii="Cambria" w:hAnsi="Cambria"/>
        </w:rPr>
      </w:pPr>
      <w:r w:rsidRPr="004726BA">
        <w:rPr>
          <w:rFonts w:ascii="Cambria" w:hAnsi="Cambria"/>
        </w:rPr>
        <w:t xml:space="preserve">-- -- 2022a, </w:t>
      </w:r>
      <w:r w:rsidRPr="004726BA">
        <w:rPr>
          <w:rFonts w:ascii="Cambria" w:hAnsi="Cambria"/>
          <w:i/>
        </w:rPr>
        <w:t>Draft pest risk analysis for bacterial pathogens in the genus Xylella</w:t>
      </w:r>
      <w:r w:rsidRPr="004726BA">
        <w:rPr>
          <w:rFonts w:ascii="Cambria" w:hAnsi="Cambria"/>
        </w:rPr>
        <w:t>, Department of Agriculture, Fisheries and Forestry, Canberra, available at https://www.agriculture.gov.au/biosecurity-trade/policy/risk-analysis/plant/Xylella.</w:t>
      </w:r>
    </w:p>
    <w:p w14:paraId="5BB2C9C4" w14:textId="77777777" w:rsidR="004726BA" w:rsidRPr="004726BA" w:rsidRDefault="004726BA" w:rsidP="00800E7D">
      <w:pPr>
        <w:pStyle w:val="EndNoteBibliography"/>
        <w:spacing w:after="0"/>
        <w:rPr>
          <w:rFonts w:ascii="Cambria" w:hAnsi="Cambria"/>
        </w:rPr>
      </w:pPr>
      <w:r w:rsidRPr="004726BA">
        <w:rPr>
          <w:rFonts w:ascii="Cambria" w:hAnsi="Cambria"/>
        </w:rPr>
        <w:t xml:space="preserve">-- -- 2022b, </w:t>
      </w:r>
      <w:r w:rsidRPr="004726BA">
        <w:rPr>
          <w:rFonts w:ascii="Cambria" w:hAnsi="Cambria"/>
          <w:i/>
        </w:rPr>
        <w:t>Final report for the review of biosecurity import requirements for fresh apple fruit from the Pacific Northwest states of the United States of America</w:t>
      </w:r>
      <w:r w:rsidRPr="004726BA">
        <w:rPr>
          <w:rFonts w:ascii="Cambria" w:hAnsi="Cambria"/>
        </w:rPr>
        <w:t>, Department of Agriculture, Fisheries and Forestry, Canberra, available at https://www.agriculture.gov.au/biosecurity-trade/policy/risk-analysis/plant/apples-usa-2018.</w:t>
      </w:r>
    </w:p>
    <w:p w14:paraId="74F35544" w14:textId="77777777" w:rsidR="004726BA" w:rsidRPr="004726BA" w:rsidRDefault="004726BA" w:rsidP="00800E7D">
      <w:pPr>
        <w:pStyle w:val="EndNoteBibliography"/>
        <w:spacing w:after="0"/>
        <w:rPr>
          <w:rFonts w:ascii="Cambria" w:hAnsi="Cambria"/>
        </w:rPr>
      </w:pPr>
      <w:r w:rsidRPr="004726BA">
        <w:rPr>
          <w:rFonts w:ascii="Cambria" w:hAnsi="Cambria"/>
        </w:rPr>
        <w:t xml:space="preserve">Darras, A 2021, ‘Overview of the dynamic role of specialty cut flowers in the international cut flower market’, </w:t>
      </w:r>
      <w:r w:rsidRPr="004726BA">
        <w:rPr>
          <w:rFonts w:ascii="Cambria" w:hAnsi="Cambria"/>
          <w:i/>
        </w:rPr>
        <w:t>Horticulturae</w:t>
      </w:r>
      <w:r w:rsidRPr="004726BA">
        <w:rPr>
          <w:rFonts w:ascii="Cambria" w:hAnsi="Cambria"/>
        </w:rPr>
        <w:t>, vol. 7, no. 3, 51, https://doi.org/10.3390/horticulturae7030051.</w:t>
      </w:r>
    </w:p>
    <w:p w14:paraId="361B1594" w14:textId="77777777" w:rsidR="004726BA" w:rsidRPr="004726BA" w:rsidRDefault="004726BA" w:rsidP="00800E7D">
      <w:pPr>
        <w:pStyle w:val="EndNoteBibliography"/>
        <w:spacing w:after="0"/>
        <w:rPr>
          <w:rFonts w:ascii="Cambria" w:hAnsi="Cambria"/>
        </w:rPr>
      </w:pPr>
      <w:r w:rsidRPr="004726BA">
        <w:rPr>
          <w:rFonts w:ascii="Cambria" w:hAnsi="Cambria"/>
        </w:rPr>
        <w:t xml:space="preserve">DAWR 2017, </w:t>
      </w:r>
      <w:r w:rsidRPr="004726BA">
        <w:rPr>
          <w:rFonts w:ascii="Cambria" w:hAnsi="Cambria"/>
          <w:i/>
        </w:rPr>
        <w:t>Final group pest risk analysis for thrips and orthotospoviruses on fresh fruit, vegetable, cut-flower and foliage imports</w:t>
      </w:r>
      <w:r w:rsidRPr="004726BA">
        <w:rPr>
          <w:rFonts w:ascii="Cambria" w:hAnsi="Cambria"/>
        </w:rPr>
        <w:t xml:space="preserve">, Department of Agriculture and Water Resources, </w:t>
      </w:r>
      <w:r w:rsidRPr="004726BA">
        <w:rPr>
          <w:rFonts w:ascii="Cambria" w:hAnsi="Cambria"/>
        </w:rPr>
        <w:lastRenderedPageBreak/>
        <w:t>Canberra, available at https://www.agriculture.gov.au/biosecurity-trade/policy/risk-analysis/group-pest-risk-analyses/group-pra-thrips-orthotospoviruses/final-report.</w:t>
      </w:r>
    </w:p>
    <w:p w14:paraId="48179C9E" w14:textId="77777777" w:rsidR="004726BA" w:rsidRPr="004726BA" w:rsidRDefault="004726BA" w:rsidP="00800E7D">
      <w:pPr>
        <w:pStyle w:val="EndNoteBibliography"/>
        <w:spacing w:after="0"/>
        <w:rPr>
          <w:rFonts w:ascii="Cambria" w:hAnsi="Cambria"/>
        </w:rPr>
      </w:pPr>
      <w:r w:rsidRPr="004726BA">
        <w:rPr>
          <w:rFonts w:ascii="Cambria" w:hAnsi="Cambria"/>
        </w:rPr>
        <w:t xml:space="preserve">Dubois, LAM &amp; de Vries, DP 1991, ‘Variation in adventitious root formation of softwood cuttings of </w:t>
      </w:r>
      <w:r w:rsidRPr="004726BA">
        <w:rPr>
          <w:rFonts w:ascii="Cambria" w:hAnsi="Cambria"/>
          <w:i/>
        </w:rPr>
        <w:t xml:space="preserve">Rosa chinensis minima </w:t>
      </w:r>
      <w:r w:rsidRPr="004726BA">
        <w:rPr>
          <w:rFonts w:ascii="Cambria" w:hAnsi="Cambria"/>
        </w:rPr>
        <w:t xml:space="preserve">(Sims) Voss cultures’, </w:t>
      </w:r>
      <w:r w:rsidRPr="004726BA">
        <w:rPr>
          <w:rFonts w:ascii="Cambria" w:hAnsi="Cambria"/>
          <w:i/>
        </w:rPr>
        <w:t>Scientia Horticulturae</w:t>
      </w:r>
      <w:r w:rsidRPr="004726BA">
        <w:rPr>
          <w:rFonts w:ascii="Cambria" w:hAnsi="Cambria"/>
        </w:rPr>
        <w:t>, vol. 47, pp. 345-49.</w:t>
      </w:r>
    </w:p>
    <w:p w14:paraId="4CE028AC" w14:textId="77777777" w:rsidR="004726BA" w:rsidRPr="004726BA" w:rsidRDefault="004726BA" w:rsidP="00800E7D">
      <w:pPr>
        <w:pStyle w:val="EndNoteBibliography"/>
        <w:spacing w:after="0"/>
        <w:rPr>
          <w:rFonts w:ascii="Cambria" w:hAnsi="Cambria"/>
        </w:rPr>
      </w:pPr>
      <w:r w:rsidRPr="004726BA">
        <w:rPr>
          <w:rFonts w:ascii="Cambria" w:hAnsi="Cambria"/>
        </w:rPr>
        <w:t xml:space="preserve">Easy Weddings 2023, </w:t>
      </w:r>
      <w:r w:rsidRPr="004726BA">
        <w:rPr>
          <w:rFonts w:ascii="Cambria" w:hAnsi="Cambria"/>
          <w:i/>
        </w:rPr>
        <w:t>Wedding Industry Report</w:t>
      </w:r>
      <w:r w:rsidRPr="004726BA">
        <w:rPr>
          <w:rFonts w:ascii="Cambria" w:hAnsi="Cambria"/>
        </w:rPr>
        <w:t>, Issue 8, Easy Weddings, Mulgrave (Vic.) Australia.</w:t>
      </w:r>
    </w:p>
    <w:p w14:paraId="4E852F11" w14:textId="77777777" w:rsidR="004726BA" w:rsidRPr="004726BA" w:rsidRDefault="004726BA" w:rsidP="00800E7D">
      <w:pPr>
        <w:pStyle w:val="EndNoteBibliography"/>
        <w:spacing w:after="0"/>
        <w:rPr>
          <w:rFonts w:ascii="Cambria" w:hAnsi="Cambria"/>
        </w:rPr>
      </w:pPr>
      <w:r w:rsidRPr="004726BA">
        <w:rPr>
          <w:rFonts w:ascii="Cambria" w:hAnsi="Cambria"/>
        </w:rPr>
        <w:t xml:space="preserve">Fanourakis, D, Pieruschka, R, Savvides, A, Macnish, AJ, Sarlikioti, V &amp; Woltering, EJ 2013, ‘Sources of vase life variation in cut roses: a review’, </w:t>
      </w:r>
      <w:r w:rsidRPr="004726BA">
        <w:rPr>
          <w:rFonts w:ascii="Cambria" w:hAnsi="Cambria"/>
          <w:i/>
        </w:rPr>
        <w:t>Postharvest Biology and Technology</w:t>
      </w:r>
      <w:r w:rsidRPr="004726BA">
        <w:rPr>
          <w:rFonts w:ascii="Cambria" w:hAnsi="Cambria"/>
        </w:rPr>
        <w:t>, vol. 78, pp. 1-15.</w:t>
      </w:r>
    </w:p>
    <w:p w14:paraId="666B7E2F" w14:textId="4CF78CDB" w:rsidR="004726BA" w:rsidRPr="004726BA" w:rsidRDefault="004726BA" w:rsidP="00800E7D">
      <w:pPr>
        <w:pStyle w:val="EndNoteBibliography"/>
        <w:spacing w:after="0"/>
        <w:rPr>
          <w:rFonts w:ascii="Cambria" w:hAnsi="Cambria"/>
        </w:rPr>
      </w:pPr>
      <w:r w:rsidRPr="004726BA">
        <w:rPr>
          <w:rFonts w:ascii="Cambria" w:hAnsi="Cambria"/>
        </w:rPr>
        <w:t xml:space="preserve">FAO 2006, </w:t>
      </w:r>
      <w:r w:rsidRPr="004726BA">
        <w:rPr>
          <w:rFonts w:ascii="Cambria" w:hAnsi="Cambria"/>
          <w:i/>
        </w:rPr>
        <w:t>International Standards for Phytosanitary Measures (ISPM) no 1: Phytosanitary principles for the protection of plants and the application of phytosanitary measures in international trade</w:t>
      </w:r>
      <w:r w:rsidRPr="004726BA">
        <w:rPr>
          <w:rFonts w:ascii="Cambria" w:hAnsi="Cambria"/>
        </w:rPr>
        <w:t xml:space="preserve">, Food and Agriculture Organization of the United Nations, Rome, available at </w:t>
      </w:r>
      <w:r w:rsidR="005B5F82" w:rsidRPr="004726BA">
        <w:rPr>
          <w:rFonts w:ascii="Cambria" w:hAnsi="Cambria"/>
        </w:rPr>
        <w:t>https://www.ippc.int/en/core-activities/standards-setting/ispms/</w:t>
      </w:r>
      <w:r w:rsidRPr="004726BA">
        <w:rPr>
          <w:rFonts w:ascii="Cambria" w:hAnsi="Cambria"/>
        </w:rPr>
        <w:t>.</w:t>
      </w:r>
    </w:p>
    <w:p w14:paraId="44D4B734" w14:textId="0D03CB16" w:rsidR="004726BA" w:rsidRPr="004726BA" w:rsidRDefault="004726BA" w:rsidP="00800E7D">
      <w:pPr>
        <w:pStyle w:val="EndNoteBibliography"/>
        <w:spacing w:after="0"/>
        <w:rPr>
          <w:rFonts w:ascii="Cambria" w:hAnsi="Cambria"/>
        </w:rPr>
      </w:pPr>
      <w:r w:rsidRPr="004726BA">
        <w:rPr>
          <w:rFonts w:ascii="Cambria" w:hAnsi="Cambria"/>
        </w:rPr>
        <w:t xml:space="preserve">-- -- 2016, </w:t>
      </w:r>
      <w:r w:rsidRPr="004726BA">
        <w:rPr>
          <w:rFonts w:ascii="Cambria" w:hAnsi="Cambria"/>
          <w:i/>
        </w:rPr>
        <w:t>Diversion from intended use: consideration of the extent of the issue</w:t>
      </w:r>
      <w:r w:rsidRPr="004726BA">
        <w:rPr>
          <w:rFonts w:ascii="Cambria" w:hAnsi="Cambria"/>
        </w:rPr>
        <w:t xml:space="preserve">, Secretariat of the International Plant Protection Convention, Food and Agriculture Organization of the United Nations, Rome, Italy, available at </w:t>
      </w:r>
      <w:r w:rsidR="005B5F82" w:rsidRPr="004726BA">
        <w:rPr>
          <w:rFonts w:ascii="Cambria" w:hAnsi="Cambria"/>
        </w:rPr>
        <w:t>https://www.ippc.int/en/core-activities/standards-setting/ispms/</w:t>
      </w:r>
      <w:r w:rsidRPr="004726BA">
        <w:rPr>
          <w:rFonts w:ascii="Cambria" w:hAnsi="Cambria"/>
        </w:rPr>
        <w:t>.</w:t>
      </w:r>
    </w:p>
    <w:p w14:paraId="2F850F79" w14:textId="36C1C6B0" w:rsidR="004726BA" w:rsidRPr="004726BA" w:rsidRDefault="004726BA" w:rsidP="00800E7D">
      <w:pPr>
        <w:pStyle w:val="EndNoteBibliography"/>
        <w:spacing w:after="0"/>
        <w:rPr>
          <w:rFonts w:ascii="Cambria" w:hAnsi="Cambria"/>
        </w:rPr>
      </w:pPr>
      <w:r w:rsidRPr="004726BA">
        <w:rPr>
          <w:rFonts w:ascii="Cambria" w:hAnsi="Cambria"/>
        </w:rPr>
        <w:t xml:space="preserve">-- -- 2019a, </w:t>
      </w:r>
      <w:r w:rsidRPr="004726BA">
        <w:rPr>
          <w:rFonts w:ascii="Cambria" w:hAnsi="Cambria"/>
          <w:i/>
        </w:rPr>
        <w:t>International Standards for Phytosanitary Measures (ISPM) no. 2: Framework for pest risk analysis</w:t>
      </w:r>
      <w:r w:rsidRPr="004726BA">
        <w:rPr>
          <w:rFonts w:ascii="Cambria" w:hAnsi="Cambria"/>
        </w:rPr>
        <w:t xml:space="preserve">, Secretariat of the International Plant Protection Convention, Food and Agriculture Organization of the United Nations, Rome, Italy, available at </w:t>
      </w:r>
      <w:r w:rsidR="005B5F82" w:rsidRPr="004726BA">
        <w:rPr>
          <w:rFonts w:ascii="Cambria" w:hAnsi="Cambria"/>
        </w:rPr>
        <w:t>https://www.ippc.int/en/core-activities/standards-setting/ispms/</w:t>
      </w:r>
      <w:r w:rsidRPr="004726BA">
        <w:rPr>
          <w:rFonts w:ascii="Cambria" w:hAnsi="Cambria"/>
        </w:rPr>
        <w:t>.</w:t>
      </w:r>
    </w:p>
    <w:p w14:paraId="1EAF56AC" w14:textId="77777777" w:rsidR="004726BA" w:rsidRPr="004726BA" w:rsidRDefault="004726BA" w:rsidP="00800E7D">
      <w:pPr>
        <w:pStyle w:val="EndNoteBibliography"/>
        <w:spacing w:after="0"/>
        <w:rPr>
          <w:rFonts w:ascii="Cambria" w:hAnsi="Cambria"/>
        </w:rPr>
      </w:pPr>
      <w:r w:rsidRPr="004726BA">
        <w:rPr>
          <w:rFonts w:ascii="Cambria" w:hAnsi="Cambria"/>
        </w:rPr>
        <w:t xml:space="preserve">-- -- 2019b, </w:t>
      </w:r>
      <w:r w:rsidRPr="004726BA">
        <w:rPr>
          <w:rFonts w:ascii="Cambria" w:hAnsi="Cambria"/>
          <w:i/>
        </w:rPr>
        <w:t>International Standards for Phytosanitary Measures (ISPM) no. 11: Pest risk analysis for quarantine pests</w:t>
      </w:r>
      <w:r w:rsidRPr="004726BA">
        <w:rPr>
          <w:rFonts w:ascii="Cambria" w:hAnsi="Cambria"/>
        </w:rPr>
        <w:t>, Secretariat of the International Plant Protection Convention, Food and Agriculture Organization (FAO) of the United Nations, Rome, Italy, available at https://www.ippc.int/en/core-activities/standards-setting/ispms/.</w:t>
      </w:r>
    </w:p>
    <w:p w14:paraId="479CC36D" w14:textId="77777777" w:rsidR="004726BA" w:rsidRPr="004726BA" w:rsidRDefault="004726BA" w:rsidP="00800E7D">
      <w:pPr>
        <w:pStyle w:val="EndNoteBibliography"/>
        <w:spacing w:after="0"/>
        <w:rPr>
          <w:rFonts w:ascii="Cambria" w:hAnsi="Cambria"/>
        </w:rPr>
      </w:pPr>
      <w:r w:rsidRPr="004726BA">
        <w:rPr>
          <w:rFonts w:ascii="Cambria" w:hAnsi="Cambria"/>
        </w:rPr>
        <w:t xml:space="preserve">-- -- 2022, </w:t>
      </w:r>
      <w:r w:rsidRPr="004726BA">
        <w:rPr>
          <w:rFonts w:ascii="Cambria" w:hAnsi="Cambria"/>
          <w:i/>
        </w:rPr>
        <w:t>International Standards for Phytosanitary Measures (ISPM) no. 5: Glossary of phytosanitary terms</w:t>
      </w:r>
      <w:r w:rsidRPr="004726BA">
        <w:rPr>
          <w:rFonts w:ascii="Cambria" w:hAnsi="Cambria"/>
        </w:rPr>
        <w:t>, Secretariat of the International Plant Protection Convention, Food and Agriculture Organization of the United Nations, Rome, Italy, available at https://www.ippc.int/en/core-activities/standards-setting/ispms/.</w:t>
      </w:r>
    </w:p>
    <w:p w14:paraId="6401F640" w14:textId="77777777" w:rsidR="004726BA" w:rsidRPr="004726BA" w:rsidRDefault="004726BA" w:rsidP="00800E7D">
      <w:pPr>
        <w:pStyle w:val="EndNoteBibliography"/>
        <w:spacing w:after="0"/>
        <w:rPr>
          <w:rFonts w:ascii="Cambria" w:hAnsi="Cambria"/>
        </w:rPr>
      </w:pPr>
      <w:r w:rsidRPr="004726BA">
        <w:rPr>
          <w:rFonts w:ascii="Cambria" w:hAnsi="Cambria"/>
        </w:rPr>
        <w:t xml:space="preserve">-- -- 2024, </w:t>
      </w:r>
      <w:r w:rsidRPr="004726BA">
        <w:rPr>
          <w:rFonts w:ascii="Cambria" w:hAnsi="Cambria"/>
          <w:i/>
        </w:rPr>
        <w:t>International Standards for Phytosanitary Measures (ISPM) no. 5: Glossary of phytosanitary terms</w:t>
      </w:r>
      <w:r w:rsidRPr="004726BA">
        <w:rPr>
          <w:rFonts w:ascii="Cambria" w:hAnsi="Cambria"/>
        </w:rPr>
        <w:t>, Secretariat of the International Plant Protection Convention, Food and Agriculture Organization of the United Nations, Rome, Italy, available at https://www.ippc.int/en/core-activities/standards-setting/ispms/.</w:t>
      </w:r>
    </w:p>
    <w:p w14:paraId="3A50E44B" w14:textId="77777777" w:rsidR="004726BA" w:rsidRPr="004726BA" w:rsidRDefault="004726BA" w:rsidP="00800E7D">
      <w:pPr>
        <w:pStyle w:val="EndNoteBibliography"/>
        <w:spacing w:after="0"/>
        <w:rPr>
          <w:rFonts w:ascii="Cambria" w:hAnsi="Cambria"/>
        </w:rPr>
      </w:pPr>
      <w:r w:rsidRPr="004726BA">
        <w:rPr>
          <w:rFonts w:ascii="Cambria" w:hAnsi="Cambria"/>
        </w:rPr>
        <w:t xml:space="preserve">Faust, JE, Dole, JM &amp; Lopez, RG 2016, ‘The floriculture vegetative cutting industry’, </w:t>
      </w:r>
      <w:r w:rsidRPr="004726BA">
        <w:rPr>
          <w:rFonts w:ascii="Cambria" w:hAnsi="Cambria"/>
          <w:i/>
        </w:rPr>
        <w:t>Horticultural Reviews</w:t>
      </w:r>
      <w:r w:rsidRPr="004726BA">
        <w:rPr>
          <w:rFonts w:ascii="Cambria" w:hAnsi="Cambria"/>
        </w:rPr>
        <w:t>, vol. 44, pp. 121-72.</w:t>
      </w:r>
    </w:p>
    <w:p w14:paraId="4C52F26D" w14:textId="77777777" w:rsidR="004726BA" w:rsidRPr="004726BA" w:rsidRDefault="004726BA" w:rsidP="00800E7D">
      <w:pPr>
        <w:pStyle w:val="EndNoteBibliography"/>
        <w:spacing w:after="0"/>
        <w:rPr>
          <w:rFonts w:ascii="Cambria" w:hAnsi="Cambria"/>
        </w:rPr>
      </w:pPr>
      <w:r w:rsidRPr="004726BA">
        <w:rPr>
          <w:rFonts w:ascii="Cambria" w:hAnsi="Cambria"/>
        </w:rPr>
        <w:t xml:space="preserve">Faust, JE, Lewis, KP &amp; Rapaka, VK 2010, ‘Identifying the storage potential of unrooted shoot-tip cuttings of eight ornamental species’, </w:t>
      </w:r>
      <w:r w:rsidRPr="004726BA">
        <w:rPr>
          <w:rFonts w:ascii="Cambria" w:hAnsi="Cambria"/>
          <w:i/>
        </w:rPr>
        <w:t>Acta Horticulturae</w:t>
      </w:r>
      <w:r w:rsidRPr="004726BA">
        <w:rPr>
          <w:rFonts w:ascii="Cambria" w:hAnsi="Cambria"/>
        </w:rPr>
        <w:t>, vol. 877, pp. 1771-76.</w:t>
      </w:r>
    </w:p>
    <w:p w14:paraId="252B2FFE" w14:textId="77777777" w:rsidR="004726BA" w:rsidRPr="004726BA" w:rsidRDefault="004726BA" w:rsidP="00800E7D">
      <w:pPr>
        <w:pStyle w:val="EndNoteBibliography"/>
        <w:spacing w:after="0"/>
        <w:rPr>
          <w:rFonts w:ascii="Cambria" w:hAnsi="Cambria"/>
        </w:rPr>
      </w:pPr>
      <w:r w:rsidRPr="004726BA">
        <w:rPr>
          <w:rFonts w:ascii="Cambria" w:hAnsi="Cambria"/>
        </w:rPr>
        <w:t>Fraser Valley Rose Farm 2024, ‘Propagate roses from a bouquet’, YouTube, available at https://www.youtube.com/watch?v=imc56lhxhGQ.</w:t>
      </w:r>
    </w:p>
    <w:p w14:paraId="04DCE870" w14:textId="168D9E04" w:rsidR="004726BA" w:rsidRPr="004726BA" w:rsidRDefault="004726BA" w:rsidP="00800E7D">
      <w:pPr>
        <w:pStyle w:val="EndNoteBibliography"/>
        <w:spacing w:after="0"/>
        <w:rPr>
          <w:rFonts w:ascii="Cambria" w:hAnsi="Cambria"/>
        </w:rPr>
      </w:pPr>
      <w:r w:rsidRPr="004726BA">
        <w:rPr>
          <w:rFonts w:ascii="Cambria" w:hAnsi="Cambria"/>
        </w:rPr>
        <w:t xml:space="preserve">Gast, KLB 1997, </w:t>
      </w:r>
      <w:r w:rsidRPr="004726BA">
        <w:rPr>
          <w:rFonts w:ascii="Cambria" w:hAnsi="Cambria"/>
          <w:i/>
        </w:rPr>
        <w:t>Postharvest and handling of fresh cut flowers and plant material</w:t>
      </w:r>
      <w:r w:rsidRPr="004726BA">
        <w:rPr>
          <w:rFonts w:ascii="Cambria" w:hAnsi="Cambria"/>
        </w:rPr>
        <w:t>, Agricultural Experiment Station and Cooperative Extension Service, Kansas State University, Manhattan, Kansas, USA.</w:t>
      </w:r>
    </w:p>
    <w:p w14:paraId="29CDB6E7" w14:textId="77777777" w:rsidR="004726BA" w:rsidRPr="004726BA" w:rsidRDefault="004726BA" w:rsidP="00800E7D">
      <w:pPr>
        <w:pStyle w:val="EndNoteBibliography"/>
        <w:spacing w:after="0"/>
        <w:rPr>
          <w:rFonts w:ascii="Cambria" w:hAnsi="Cambria"/>
        </w:rPr>
      </w:pPr>
      <w:r w:rsidRPr="004726BA">
        <w:rPr>
          <w:rFonts w:ascii="Cambria" w:hAnsi="Cambria"/>
        </w:rPr>
        <w:t xml:space="preserve">Glady, JE, Lang, NS &amp; Runkle, ES 2007, ‘Effects of ethephon on stock plant management of </w:t>
      </w:r>
      <w:r w:rsidRPr="004726BA">
        <w:rPr>
          <w:rFonts w:ascii="Cambria" w:hAnsi="Cambria"/>
          <w:i/>
        </w:rPr>
        <w:t xml:space="preserve">Coreopsis verticillata, Dianthus caryophyllus, </w:t>
      </w:r>
      <w:r w:rsidRPr="004726BA">
        <w:rPr>
          <w:rFonts w:ascii="Cambria" w:hAnsi="Cambria"/>
        </w:rPr>
        <w:t xml:space="preserve">and </w:t>
      </w:r>
      <w:r w:rsidRPr="004726BA">
        <w:rPr>
          <w:rFonts w:ascii="Cambria" w:hAnsi="Cambria"/>
          <w:i/>
        </w:rPr>
        <w:t>Veronica longifolia</w:t>
      </w:r>
      <w:r w:rsidRPr="004726BA">
        <w:rPr>
          <w:rFonts w:ascii="Cambria" w:hAnsi="Cambria"/>
        </w:rPr>
        <w:t xml:space="preserve">’, </w:t>
      </w:r>
      <w:r w:rsidRPr="004726BA">
        <w:rPr>
          <w:rFonts w:ascii="Cambria" w:hAnsi="Cambria"/>
          <w:i/>
        </w:rPr>
        <w:t>HortScience</w:t>
      </w:r>
      <w:r w:rsidRPr="004726BA">
        <w:rPr>
          <w:rFonts w:ascii="Cambria" w:hAnsi="Cambria"/>
        </w:rPr>
        <w:t>, vol. 42, no. 7, pp. 1616-21.</w:t>
      </w:r>
    </w:p>
    <w:p w14:paraId="53EE87D2" w14:textId="77777777" w:rsidR="004726BA" w:rsidRPr="004726BA" w:rsidRDefault="004726BA" w:rsidP="00800E7D">
      <w:pPr>
        <w:pStyle w:val="EndNoteBibliography"/>
        <w:spacing w:after="0"/>
        <w:rPr>
          <w:rFonts w:ascii="Cambria" w:hAnsi="Cambria"/>
        </w:rPr>
      </w:pPr>
      <w:r w:rsidRPr="004726BA">
        <w:rPr>
          <w:rFonts w:ascii="Cambria" w:hAnsi="Cambria"/>
        </w:rPr>
        <w:t xml:space="preserve">Gupta, J &amp; Dubey, RK 2018, ‘Factors affecting post-harvest life of flower crops’, </w:t>
      </w:r>
      <w:r w:rsidRPr="004726BA">
        <w:rPr>
          <w:rFonts w:ascii="Cambria" w:hAnsi="Cambria"/>
          <w:i/>
        </w:rPr>
        <w:t>International Journal of Cuttent Microbiology and Applied Sciences</w:t>
      </w:r>
      <w:r w:rsidRPr="004726BA">
        <w:rPr>
          <w:rFonts w:ascii="Cambria" w:hAnsi="Cambria"/>
        </w:rPr>
        <w:t>, vol. 7, no. 1, pp. 548-57.</w:t>
      </w:r>
    </w:p>
    <w:p w14:paraId="00DD5D35" w14:textId="77777777" w:rsidR="004726BA" w:rsidRPr="004726BA" w:rsidRDefault="004726BA" w:rsidP="00800E7D">
      <w:pPr>
        <w:pStyle w:val="EndNoteBibliography"/>
        <w:spacing w:after="0"/>
        <w:rPr>
          <w:rFonts w:ascii="Cambria" w:hAnsi="Cambria"/>
        </w:rPr>
      </w:pPr>
      <w:r w:rsidRPr="004726BA">
        <w:rPr>
          <w:rFonts w:ascii="Cambria" w:hAnsi="Cambria"/>
        </w:rPr>
        <w:lastRenderedPageBreak/>
        <w:t xml:space="preserve">Hegarty, S, Thomson, R &amp; Webster, E 2022, </w:t>
      </w:r>
      <w:r w:rsidRPr="004726BA">
        <w:rPr>
          <w:rFonts w:ascii="Cambria" w:hAnsi="Cambria"/>
          <w:i/>
        </w:rPr>
        <w:t>The economic impact of plant breeder's rights in Australia</w:t>
      </w:r>
      <w:r w:rsidRPr="004726BA">
        <w:rPr>
          <w:rFonts w:ascii="Cambria" w:hAnsi="Cambria"/>
        </w:rPr>
        <w:t>, IP Australia.</w:t>
      </w:r>
    </w:p>
    <w:p w14:paraId="474D6C88" w14:textId="77777777" w:rsidR="004726BA" w:rsidRPr="004726BA" w:rsidRDefault="004726BA" w:rsidP="00800E7D">
      <w:pPr>
        <w:pStyle w:val="EndNoteBibliography"/>
        <w:spacing w:after="0"/>
        <w:rPr>
          <w:rFonts w:ascii="Cambria" w:hAnsi="Cambria"/>
        </w:rPr>
      </w:pPr>
      <w:r w:rsidRPr="004726BA">
        <w:rPr>
          <w:rFonts w:ascii="Cambria" w:hAnsi="Cambria"/>
        </w:rPr>
        <w:t xml:space="preserve">Hussein, HAA 2007, ‘Influence of cold storage of unrooted cuttings on some vegetative, rooting and flowering characters of </w:t>
      </w:r>
      <w:r w:rsidRPr="004726BA">
        <w:rPr>
          <w:rFonts w:ascii="Cambria" w:hAnsi="Cambria"/>
          <w:i/>
        </w:rPr>
        <w:t xml:space="preserve">Dianthus caryophyllus </w:t>
      </w:r>
      <w:r w:rsidRPr="004726BA">
        <w:rPr>
          <w:rFonts w:ascii="Cambria" w:hAnsi="Cambria"/>
        </w:rPr>
        <w:t xml:space="preserve">L. cvs.’, </w:t>
      </w:r>
      <w:r w:rsidRPr="004726BA">
        <w:rPr>
          <w:rFonts w:ascii="Cambria" w:hAnsi="Cambria"/>
          <w:i/>
        </w:rPr>
        <w:t>Journal of Plant Production</w:t>
      </w:r>
      <w:r w:rsidRPr="004726BA">
        <w:rPr>
          <w:rFonts w:ascii="Cambria" w:hAnsi="Cambria"/>
        </w:rPr>
        <w:t>, vol. 32, no. 4, pp. 2881-94.</w:t>
      </w:r>
    </w:p>
    <w:p w14:paraId="004972AE" w14:textId="77777777" w:rsidR="004726BA" w:rsidRPr="004726BA" w:rsidRDefault="004726BA" w:rsidP="00800E7D">
      <w:pPr>
        <w:pStyle w:val="EndNoteBibliography"/>
        <w:spacing w:after="0"/>
        <w:rPr>
          <w:rFonts w:ascii="Cambria" w:hAnsi="Cambria"/>
        </w:rPr>
      </w:pPr>
      <w:r w:rsidRPr="004726BA">
        <w:rPr>
          <w:rFonts w:ascii="Cambria" w:hAnsi="Cambria"/>
        </w:rPr>
        <w:t xml:space="preserve">IIGB 2015, </w:t>
      </w:r>
      <w:r w:rsidRPr="004726BA">
        <w:rPr>
          <w:rFonts w:ascii="Cambria" w:hAnsi="Cambria"/>
          <w:i/>
        </w:rPr>
        <w:t>Effectiveness of biosecurity controls for imported fresh cut flowers</w:t>
      </w:r>
      <w:r w:rsidRPr="004726BA">
        <w:rPr>
          <w:rFonts w:ascii="Cambria" w:hAnsi="Cambria"/>
        </w:rPr>
        <w:t>, Interim Inspector-General of Biosecurity, Australia.</w:t>
      </w:r>
    </w:p>
    <w:p w14:paraId="1CC130EA" w14:textId="77777777" w:rsidR="004726BA" w:rsidRPr="004726BA" w:rsidRDefault="004726BA" w:rsidP="00800E7D">
      <w:pPr>
        <w:pStyle w:val="EndNoteBibliography"/>
        <w:spacing w:after="0"/>
        <w:rPr>
          <w:rFonts w:ascii="Cambria" w:hAnsi="Cambria"/>
        </w:rPr>
      </w:pPr>
      <w:r w:rsidRPr="004726BA">
        <w:rPr>
          <w:rFonts w:ascii="Cambria" w:hAnsi="Cambria"/>
        </w:rPr>
        <w:t xml:space="preserve">IP Australia 2025, </w:t>
      </w:r>
      <w:r w:rsidRPr="004726BA">
        <w:rPr>
          <w:rFonts w:ascii="Cambria" w:hAnsi="Cambria"/>
          <w:i/>
        </w:rPr>
        <w:t>Plant breeder's rights</w:t>
      </w:r>
      <w:r w:rsidRPr="004726BA">
        <w:rPr>
          <w:rFonts w:ascii="Cambria" w:hAnsi="Cambria"/>
        </w:rPr>
        <w:t>, IP Australia, https://www.ipaustralia.gov.au/plant-breeders-rights.</w:t>
      </w:r>
    </w:p>
    <w:p w14:paraId="3A7E4139" w14:textId="77777777" w:rsidR="004726BA" w:rsidRPr="004726BA" w:rsidRDefault="004726BA" w:rsidP="00800E7D">
      <w:pPr>
        <w:pStyle w:val="EndNoteBibliography"/>
        <w:spacing w:after="0"/>
        <w:rPr>
          <w:rFonts w:ascii="Cambria" w:hAnsi="Cambria"/>
        </w:rPr>
      </w:pPr>
      <w:r w:rsidRPr="004726BA">
        <w:rPr>
          <w:rFonts w:ascii="Cambria" w:hAnsi="Cambria"/>
        </w:rPr>
        <w:t xml:space="preserve">Izadi, Z, Zarei, H &amp; Alizadeh, M 2014, ‘Effect of time, cultivar and rootstock on success of rose propagation through stenting technique’, </w:t>
      </w:r>
      <w:r w:rsidRPr="004726BA">
        <w:rPr>
          <w:rFonts w:ascii="Cambria" w:hAnsi="Cambria"/>
          <w:i/>
        </w:rPr>
        <w:t>American Journal of Plant Sciences</w:t>
      </w:r>
      <w:r w:rsidRPr="004726BA">
        <w:rPr>
          <w:rFonts w:ascii="Cambria" w:hAnsi="Cambria"/>
        </w:rPr>
        <w:t>, vol. 5, pp. 1644-50.</w:t>
      </w:r>
    </w:p>
    <w:p w14:paraId="1899031F" w14:textId="77777777" w:rsidR="004726BA" w:rsidRPr="004726BA" w:rsidRDefault="004726BA" w:rsidP="00800E7D">
      <w:pPr>
        <w:pStyle w:val="EndNoteBibliography"/>
        <w:spacing w:after="0"/>
        <w:rPr>
          <w:rFonts w:ascii="Cambria" w:hAnsi="Cambria"/>
        </w:rPr>
      </w:pPr>
      <w:r w:rsidRPr="004726BA">
        <w:rPr>
          <w:rFonts w:ascii="Cambria" w:hAnsi="Cambria"/>
        </w:rPr>
        <w:t xml:space="preserve">Jhanji, S, Kaur, G &amp; Chumber, M 2025, ‘Deciphering flower senescence physiology: advancements in post-harvest storage and preservation techniques for enhancing longevity’, </w:t>
      </w:r>
      <w:r w:rsidRPr="004726BA">
        <w:rPr>
          <w:rFonts w:ascii="Cambria" w:hAnsi="Cambria"/>
          <w:i/>
        </w:rPr>
        <w:t>The Journal of Horticultural Science and Biotechnology</w:t>
      </w:r>
      <w:r w:rsidRPr="004726BA">
        <w:rPr>
          <w:rFonts w:ascii="Cambria" w:hAnsi="Cambria"/>
        </w:rPr>
        <w:t>, vol. 100, no. 2, pp. 164-95.</w:t>
      </w:r>
    </w:p>
    <w:p w14:paraId="411986D1" w14:textId="77777777" w:rsidR="004726BA" w:rsidRPr="004726BA" w:rsidRDefault="004726BA" w:rsidP="00800E7D">
      <w:pPr>
        <w:pStyle w:val="EndNoteBibliography"/>
        <w:spacing w:after="0"/>
        <w:rPr>
          <w:rFonts w:ascii="Cambria" w:hAnsi="Cambria"/>
        </w:rPr>
      </w:pPr>
      <w:r w:rsidRPr="004726BA">
        <w:rPr>
          <w:rFonts w:ascii="Cambria" w:hAnsi="Cambria"/>
        </w:rPr>
        <w:t xml:space="preserve">Jones, R 1959, </w:t>
      </w:r>
      <w:r w:rsidRPr="004726BA">
        <w:rPr>
          <w:rFonts w:ascii="Cambria" w:hAnsi="Cambria"/>
          <w:i/>
        </w:rPr>
        <w:t>Caring for cut flowers</w:t>
      </w:r>
      <w:r w:rsidRPr="004726BA">
        <w:rPr>
          <w:rFonts w:ascii="Cambria" w:hAnsi="Cambria"/>
        </w:rPr>
        <w:t>, 2nd edn, Landlinks, Australia.</w:t>
      </w:r>
    </w:p>
    <w:p w14:paraId="0B55CF81" w14:textId="77777777" w:rsidR="004726BA" w:rsidRPr="004726BA" w:rsidRDefault="004726BA" w:rsidP="00800E7D">
      <w:pPr>
        <w:pStyle w:val="EndNoteBibliography"/>
        <w:spacing w:after="0"/>
        <w:rPr>
          <w:rFonts w:ascii="Cambria" w:hAnsi="Cambria"/>
        </w:rPr>
      </w:pPr>
      <w:r w:rsidRPr="004726BA">
        <w:rPr>
          <w:rFonts w:ascii="Cambria" w:hAnsi="Cambria"/>
        </w:rPr>
        <w:t>Justamante, MS, Acosta-Motos, JR, Cano, A, Villanova, J, Birlanga, V, Albacete, A, Cano, EA, Acosta, M &amp; Pérez-Pérez, JM 2019, ‘Integration of phenotype and hormone data during adventitious rooting in carnation (</w:t>
      </w:r>
      <w:r w:rsidRPr="004726BA">
        <w:rPr>
          <w:rFonts w:ascii="Cambria" w:hAnsi="Cambria"/>
          <w:i/>
        </w:rPr>
        <w:t xml:space="preserve">Dianthus caryophyllus </w:t>
      </w:r>
      <w:r w:rsidRPr="004726BA">
        <w:rPr>
          <w:rFonts w:ascii="Cambria" w:hAnsi="Cambria"/>
        </w:rPr>
        <w:t xml:space="preserve">L.) stem cuttings’, </w:t>
      </w:r>
      <w:r w:rsidRPr="004726BA">
        <w:rPr>
          <w:rFonts w:ascii="Cambria" w:hAnsi="Cambria"/>
          <w:i/>
        </w:rPr>
        <w:t>Plants</w:t>
      </w:r>
      <w:r w:rsidRPr="004726BA">
        <w:rPr>
          <w:rFonts w:ascii="Cambria" w:hAnsi="Cambria"/>
        </w:rPr>
        <w:t>, vol. 8, 226, DOI 10.3390/plants8070226.</w:t>
      </w:r>
    </w:p>
    <w:p w14:paraId="76063797" w14:textId="77777777" w:rsidR="004726BA" w:rsidRPr="004726BA" w:rsidRDefault="004726BA" w:rsidP="00800E7D">
      <w:pPr>
        <w:pStyle w:val="EndNoteBibliography"/>
        <w:spacing w:after="0"/>
        <w:rPr>
          <w:rFonts w:ascii="Cambria" w:hAnsi="Cambria"/>
        </w:rPr>
      </w:pPr>
      <w:r w:rsidRPr="004726BA">
        <w:rPr>
          <w:rFonts w:ascii="Cambria" w:hAnsi="Cambria"/>
        </w:rPr>
        <w:t xml:space="preserve">Khan, MA 1983, ‘Preservation of scion wood of </w:t>
      </w:r>
      <w:r w:rsidRPr="004726BA">
        <w:rPr>
          <w:rFonts w:ascii="Cambria" w:hAnsi="Cambria"/>
          <w:i/>
        </w:rPr>
        <w:t>Rosa</w:t>
      </w:r>
      <w:r w:rsidRPr="004726BA">
        <w:rPr>
          <w:rFonts w:ascii="Cambria" w:hAnsi="Cambria"/>
        </w:rPr>
        <w:t xml:space="preserve">’, </w:t>
      </w:r>
      <w:r w:rsidRPr="004726BA">
        <w:rPr>
          <w:rFonts w:ascii="Cambria" w:hAnsi="Cambria"/>
          <w:i/>
        </w:rPr>
        <w:t>Scientia Horticulturae</w:t>
      </w:r>
      <w:r w:rsidRPr="004726BA">
        <w:rPr>
          <w:rFonts w:ascii="Cambria" w:hAnsi="Cambria"/>
        </w:rPr>
        <w:t>, vol. 2, no. 3, pp. 261-66.</w:t>
      </w:r>
    </w:p>
    <w:p w14:paraId="678F90BE" w14:textId="77777777" w:rsidR="004726BA" w:rsidRPr="004726BA" w:rsidRDefault="004726BA" w:rsidP="00800E7D">
      <w:pPr>
        <w:pStyle w:val="EndNoteBibliography"/>
        <w:spacing w:after="0"/>
        <w:rPr>
          <w:rFonts w:ascii="Cambria" w:hAnsi="Cambria"/>
        </w:rPr>
      </w:pPr>
      <w:r w:rsidRPr="004726BA">
        <w:rPr>
          <w:rFonts w:ascii="Cambria" w:hAnsi="Cambria"/>
        </w:rPr>
        <w:t xml:space="preserve">Kim, S, Abinaya, M, Park, YG &amp; Jeong, BR 2018, ‘Physiological and biochemical modulations upon root induction in rose cuttings as affected by growing medium’, </w:t>
      </w:r>
      <w:r w:rsidRPr="004726BA">
        <w:rPr>
          <w:rFonts w:ascii="Cambria" w:hAnsi="Cambria"/>
          <w:i/>
        </w:rPr>
        <w:t>Horticultural Plant Journal</w:t>
      </w:r>
      <w:r w:rsidRPr="004726BA">
        <w:rPr>
          <w:rFonts w:ascii="Cambria" w:hAnsi="Cambria"/>
        </w:rPr>
        <w:t>, vol. 4, no. 6, pp. 257-64.</w:t>
      </w:r>
    </w:p>
    <w:p w14:paraId="09B0B0A7" w14:textId="77777777" w:rsidR="004726BA" w:rsidRPr="004726BA" w:rsidRDefault="004726BA" w:rsidP="00800E7D">
      <w:pPr>
        <w:pStyle w:val="EndNoteBibliography"/>
        <w:spacing w:after="0"/>
        <w:rPr>
          <w:rFonts w:ascii="Cambria" w:hAnsi="Cambria"/>
        </w:rPr>
      </w:pPr>
      <w:r w:rsidRPr="004726BA">
        <w:rPr>
          <w:rFonts w:ascii="Cambria" w:hAnsi="Cambria"/>
        </w:rPr>
        <w:t xml:space="preserve">Kondo, M, Nakajima, T, Shibuya, K &amp; Ichimura, K 2020, ‘Comparison of petal senescence between cut and intact carnation flowers using potted plants’, </w:t>
      </w:r>
      <w:r w:rsidRPr="004726BA">
        <w:rPr>
          <w:rFonts w:ascii="Cambria" w:hAnsi="Cambria"/>
          <w:i/>
        </w:rPr>
        <w:t>Scientia Horticulturae</w:t>
      </w:r>
      <w:r w:rsidRPr="004726BA">
        <w:rPr>
          <w:rFonts w:ascii="Cambria" w:hAnsi="Cambria"/>
        </w:rPr>
        <w:t>, vol. 272, 109564, https://doi.org/10.1016/j.scienta.2020.109564.</w:t>
      </w:r>
    </w:p>
    <w:p w14:paraId="5A75B229" w14:textId="77777777" w:rsidR="004726BA" w:rsidRPr="004726BA" w:rsidRDefault="004726BA" w:rsidP="00800E7D">
      <w:pPr>
        <w:pStyle w:val="EndNoteBibliography"/>
        <w:spacing w:after="0"/>
        <w:rPr>
          <w:rFonts w:ascii="Cambria" w:hAnsi="Cambria"/>
        </w:rPr>
      </w:pPr>
      <w:r w:rsidRPr="004726BA">
        <w:rPr>
          <w:rFonts w:ascii="Cambria" w:hAnsi="Cambria"/>
        </w:rPr>
        <w:t xml:space="preserve">Kostecka, J, Pieczonka, A, Mazur-Pączka, A, Garczyńska, M, Pączka, G, Szura, R &amp; Butt, KR 2024, ‘Waste from cemetery adornment of graves - management and minimization’, </w:t>
      </w:r>
      <w:r w:rsidRPr="004726BA">
        <w:rPr>
          <w:rFonts w:ascii="Cambria" w:hAnsi="Cambria"/>
          <w:i/>
        </w:rPr>
        <w:t>Journal of Ecological Engineering</w:t>
      </w:r>
      <w:r w:rsidRPr="004726BA">
        <w:rPr>
          <w:rFonts w:ascii="Cambria" w:hAnsi="Cambria"/>
        </w:rPr>
        <w:t>, vol. 25, no. 4, pp. 80-95.</w:t>
      </w:r>
    </w:p>
    <w:p w14:paraId="7040B146" w14:textId="77777777" w:rsidR="004726BA" w:rsidRPr="004726BA" w:rsidRDefault="004726BA" w:rsidP="00800E7D">
      <w:pPr>
        <w:pStyle w:val="EndNoteBibliography"/>
        <w:spacing w:after="0"/>
        <w:rPr>
          <w:rFonts w:ascii="Cambria" w:hAnsi="Cambria"/>
        </w:rPr>
      </w:pPr>
      <w:r w:rsidRPr="004726BA">
        <w:rPr>
          <w:rFonts w:ascii="Cambria" w:hAnsi="Cambria"/>
        </w:rPr>
        <w:t xml:space="preserve">Larson, RA 1980, </w:t>
      </w:r>
      <w:r w:rsidRPr="004726BA">
        <w:rPr>
          <w:rFonts w:ascii="Cambria" w:hAnsi="Cambria"/>
          <w:i/>
        </w:rPr>
        <w:t>Introduction to floriculture</w:t>
      </w:r>
      <w:r w:rsidRPr="004726BA">
        <w:rPr>
          <w:rFonts w:ascii="Cambria" w:hAnsi="Cambria"/>
        </w:rPr>
        <w:t>, Academic Press, New York (NY) USA.</w:t>
      </w:r>
    </w:p>
    <w:p w14:paraId="7CDDB739" w14:textId="77777777" w:rsidR="004726BA" w:rsidRPr="004726BA" w:rsidRDefault="004726BA" w:rsidP="00800E7D">
      <w:pPr>
        <w:pStyle w:val="EndNoteBibliography"/>
        <w:spacing w:after="0"/>
        <w:rPr>
          <w:rFonts w:ascii="Cambria" w:hAnsi="Cambria"/>
        </w:rPr>
      </w:pPr>
      <w:r w:rsidRPr="004726BA">
        <w:rPr>
          <w:rFonts w:ascii="Cambria" w:hAnsi="Cambria"/>
        </w:rPr>
        <w:t xml:space="preserve">Leakey, RRB 2004, ‘Physiology of vegetative reproduction’, in </w:t>
      </w:r>
      <w:r w:rsidRPr="004726BA">
        <w:rPr>
          <w:rFonts w:ascii="Cambria" w:hAnsi="Cambria"/>
          <w:i/>
        </w:rPr>
        <w:t>Encyclopedia of forest sciences</w:t>
      </w:r>
      <w:r w:rsidRPr="004726BA">
        <w:rPr>
          <w:rFonts w:ascii="Cambria" w:hAnsi="Cambria"/>
        </w:rPr>
        <w:t>, Burley, J, Evans, J &amp; Youngquist, JA (eds), Academic Press, London, UK.</w:t>
      </w:r>
    </w:p>
    <w:p w14:paraId="60CAFC04" w14:textId="77777777" w:rsidR="004726BA" w:rsidRPr="004726BA" w:rsidRDefault="004726BA" w:rsidP="00800E7D">
      <w:pPr>
        <w:pStyle w:val="EndNoteBibliography"/>
        <w:spacing w:after="0"/>
        <w:rPr>
          <w:rFonts w:ascii="Cambria" w:hAnsi="Cambria"/>
        </w:rPr>
      </w:pPr>
      <w:r w:rsidRPr="004726BA">
        <w:rPr>
          <w:rFonts w:ascii="Cambria" w:hAnsi="Cambria"/>
        </w:rPr>
        <w:t xml:space="preserve">Leakey, RRB, Newton, AC &amp; Dick, JM 1994, ‘Capture of genetic variation by vegetative propagation: processes determining success’, </w:t>
      </w:r>
      <w:r w:rsidRPr="004726BA">
        <w:rPr>
          <w:rFonts w:ascii="Cambria" w:hAnsi="Cambria"/>
          <w:i/>
        </w:rPr>
        <w:t>Tropical trees: the potential for domestication and the rebuilding of forest resources</w:t>
      </w:r>
      <w:r w:rsidRPr="004726BA">
        <w:rPr>
          <w:rFonts w:ascii="Cambria" w:hAnsi="Cambria"/>
        </w:rPr>
        <w:t>, HMSO, London, pp. 72-83.</w:t>
      </w:r>
    </w:p>
    <w:p w14:paraId="66331E76" w14:textId="77777777" w:rsidR="004726BA" w:rsidRPr="004726BA" w:rsidRDefault="004726BA" w:rsidP="00800E7D">
      <w:pPr>
        <w:pStyle w:val="EndNoteBibliography"/>
        <w:spacing w:after="0"/>
        <w:rPr>
          <w:rFonts w:ascii="Cambria" w:hAnsi="Cambria"/>
        </w:rPr>
      </w:pPr>
      <w:r w:rsidRPr="004726BA">
        <w:rPr>
          <w:rFonts w:ascii="Cambria" w:hAnsi="Cambria"/>
        </w:rPr>
        <w:t>Leatherwood, WR 2008, ‘Managing the postharvest physiology of unrooted cuttings to enhance shipping and postharvest quality’, Phd Dissertation, North Carolina State University.</w:t>
      </w:r>
    </w:p>
    <w:p w14:paraId="52247C1E" w14:textId="77777777" w:rsidR="004726BA" w:rsidRPr="004726BA" w:rsidRDefault="004726BA" w:rsidP="00800E7D">
      <w:pPr>
        <w:pStyle w:val="EndNoteBibliography"/>
        <w:spacing w:after="0"/>
        <w:rPr>
          <w:rFonts w:ascii="Cambria" w:hAnsi="Cambria"/>
        </w:rPr>
      </w:pPr>
      <w:r w:rsidRPr="004726BA">
        <w:rPr>
          <w:rFonts w:ascii="Cambria" w:hAnsi="Cambria"/>
        </w:rPr>
        <w:t xml:space="preserve">Liu, Z, Luo, Y &amp; Liao, W 2024, ‘Postharvest physiology of fresh-cut flowers’, in </w:t>
      </w:r>
      <w:r w:rsidRPr="004726BA">
        <w:rPr>
          <w:rFonts w:ascii="Cambria" w:hAnsi="Cambria"/>
          <w:i/>
        </w:rPr>
        <w:t>Oxygen, nitrogen and sulfur species in post-harvest physiology of horticultural crops</w:t>
      </w:r>
      <w:r w:rsidRPr="004726BA">
        <w:rPr>
          <w:rFonts w:ascii="Cambria" w:hAnsi="Cambria"/>
        </w:rPr>
        <w:t>, Ziogas, V &amp; Corpas, FJ (eds), Academic Press.</w:t>
      </w:r>
    </w:p>
    <w:p w14:paraId="5CBA7046" w14:textId="77777777" w:rsidR="004726BA" w:rsidRPr="004726BA" w:rsidRDefault="004726BA" w:rsidP="00800E7D">
      <w:pPr>
        <w:pStyle w:val="EndNoteBibliography"/>
        <w:spacing w:after="0"/>
        <w:rPr>
          <w:rFonts w:ascii="Cambria" w:hAnsi="Cambria"/>
        </w:rPr>
      </w:pPr>
      <w:r w:rsidRPr="004726BA">
        <w:rPr>
          <w:rFonts w:ascii="Cambria" w:hAnsi="Cambria"/>
        </w:rPr>
        <w:t xml:space="preserve">Luna, T 2009, ‘Vegetative propagation’, in </w:t>
      </w:r>
      <w:r w:rsidRPr="004726BA">
        <w:rPr>
          <w:rFonts w:ascii="Cambria" w:hAnsi="Cambria"/>
          <w:i/>
        </w:rPr>
        <w:t>Nursery manual for native plants: a guide for tribal nurseries</w:t>
      </w:r>
      <w:r w:rsidRPr="004726BA">
        <w:rPr>
          <w:rFonts w:ascii="Cambria" w:hAnsi="Cambria"/>
        </w:rPr>
        <w:t>, Dumroese, RK, Luna, T &amp; Landis, TD (eds), United States Department of Agriculture, Forest Service, Washington DC, USA.</w:t>
      </w:r>
    </w:p>
    <w:p w14:paraId="7772246A" w14:textId="77777777" w:rsidR="004726BA" w:rsidRPr="004726BA" w:rsidRDefault="004726BA" w:rsidP="00800E7D">
      <w:pPr>
        <w:pStyle w:val="EndNoteBibliography"/>
        <w:spacing w:after="0"/>
        <w:rPr>
          <w:rFonts w:ascii="Cambria" w:hAnsi="Cambria"/>
        </w:rPr>
      </w:pPr>
      <w:r w:rsidRPr="004726BA">
        <w:rPr>
          <w:rFonts w:ascii="Cambria" w:hAnsi="Cambria"/>
        </w:rPr>
        <w:lastRenderedPageBreak/>
        <w:t>Marcelis-van Acker, CAM 1994, ‘Axillary bud development in rose’, PhD Thesis, Wageningen Agricultural University.</w:t>
      </w:r>
    </w:p>
    <w:p w14:paraId="70EBE16E" w14:textId="77777777" w:rsidR="004726BA" w:rsidRPr="004726BA" w:rsidRDefault="004726BA" w:rsidP="00800E7D">
      <w:pPr>
        <w:pStyle w:val="EndNoteBibliography"/>
        <w:spacing w:after="0"/>
        <w:rPr>
          <w:rFonts w:ascii="Cambria" w:hAnsi="Cambria"/>
        </w:rPr>
      </w:pPr>
      <w:r w:rsidRPr="004726BA">
        <w:rPr>
          <w:rFonts w:ascii="Cambria" w:hAnsi="Cambria"/>
        </w:rPr>
        <w:t>Medvedev, AN, Lambiotte, R &amp; Delvenne, JC 2017, ‘The anatomy of Reddit: an overview of academic research’, paper presented at Dynamics on and of Complex Networks III, IN, USA.</w:t>
      </w:r>
    </w:p>
    <w:p w14:paraId="24341A98" w14:textId="77777777" w:rsidR="004726BA" w:rsidRPr="004726BA" w:rsidRDefault="004726BA" w:rsidP="00800E7D">
      <w:pPr>
        <w:pStyle w:val="EndNoteBibliography"/>
        <w:spacing w:after="0"/>
        <w:rPr>
          <w:rFonts w:ascii="Cambria" w:hAnsi="Cambria"/>
        </w:rPr>
      </w:pPr>
      <w:r w:rsidRPr="004726BA">
        <w:rPr>
          <w:rFonts w:ascii="Cambria" w:hAnsi="Cambria"/>
        </w:rPr>
        <w:t>Momin, KCH, Dhiman, SR, Gupta, YC, Bharadwaj, SK &amp; Kumar, S 2015, ‘Nutrient management for cutting production in carnation (</w:t>
      </w:r>
      <w:r w:rsidRPr="004726BA">
        <w:rPr>
          <w:rFonts w:ascii="Cambria" w:hAnsi="Cambria"/>
          <w:i/>
        </w:rPr>
        <w:t>Dianthus caryophyllus</w:t>
      </w:r>
      <w:r w:rsidRPr="004726BA">
        <w:rPr>
          <w:rFonts w:ascii="Cambria" w:hAnsi="Cambria"/>
        </w:rPr>
        <w:t xml:space="preserve">)’, </w:t>
      </w:r>
      <w:r w:rsidRPr="004726BA">
        <w:rPr>
          <w:rFonts w:ascii="Cambria" w:hAnsi="Cambria"/>
          <w:i/>
        </w:rPr>
        <w:t>Indian Journal of Agricultural Sciences</w:t>
      </w:r>
      <w:r w:rsidRPr="004726BA">
        <w:rPr>
          <w:rFonts w:ascii="Cambria" w:hAnsi="Cambria"/>
        </w:rPr>
        <w:t>, vol. 85, no. 4, pp. 509-14.</w:t>
      </w:r>
    </w:p>
    <w:p w14:paraId="7DED06C4" w14:textId="77777777" w:rsidR="004726BA" w:rsidRPr="004726BA" w:rsidRDefault="004726BA" w:rsidP="00800E7D">
      <w:pPr>
        <w:pStyle w:val="EndNoteBibliography"/>
        <w:spacing w:after="0"/>
        <w:rPr>
          <w:rFonts w:ascii="Cambria" w:hAnsi="Cambria"/>
        </w:rPr>
      </w:pPr>
      <w:r w:rsidRPr="004726BA">
        <w:rPr>
          <w:rFonts w:ascii="Cambria" w:hAnsi="Cambria"/>
        </w:rPr>
        <w:t xml:space="preserve">Nairn, ME, Allen, PG, Inglis, AR &amp; Tanner, C 1996, </w:t>
      </w:r>
      <w:r w:rsidRPr="004726BA">
        <w:rPr>
          <w:rFonts w:ascii="Cambria" w:hAnsi="Cambria"/>
          <w:i/>
        </w:rPr>
        <w:t>Australian quarantine: a shared responsibility</w:t>
      </w:r>
      <w:r w:rsidRPr="004726BA">
        <w:rPr>
          <w:rFonts w:ascii="Cambria" w:hAnsi="Cambria"/>
        </w:rPr>
        <w:t>, Department of Primary Industries and Energy, Commonwealth of Australia, Canberra.</w:t>
      </w:r>
    </w:p>
    <w:p w14:paraId="09298D56" w14:textId="77777777" w:rsidR="004726BA" w:rsidRPr="004726BA" w:rsidRDefault="004726BA" w:rsidP="00800E7D">
      <w:pPr>
        <w:pStyle w:val="EndNoteBibliography"/>
        <w:spacing w:after="0"/>
        <w:rPr>
          <w:rFonts w:ascii="Cambria" w:hAnsi="Cambria"/>
        </w:rPr>
      </w:pPr>
      <w:r w:rsidRPr="004726BA">
        <w:rPr>
          <w:rFonts w:ascii="Cambria" w:hAnsi="Cambria"/>
        </w:rPr>
        <w:t xml:space="preserve">Nazari, F, Khosh-Khui, M &amp; Salehi, H 2009, ‘Growth and flower quality of four </w:t>
      </w:r>
      <w:r w:rsidRPr="004726BA">
        <w:rPr>
          <w:rFonts w:ascii="Cambria" w:hAnsi="Cambria"/>
          <w:i/>
        </w:rPr>
        <w:t xml:space="preserve">Rosa hybrida </w:t>
      </w:r>
      <w:r w:rsidRPr="004726BA">
        <w:rPr>
          <w:rFonts w:ascii="Cambria" w:hAnsi="Cambria"/>
        </w:rPr>
        <w:t xml:space="preserve">L. cultivars in response to propagation by stenting or cutting in soilless culture’, </w:t>
      </w:r>
      <w:r w:rsidRPr="004726BA">
        <w:rPr>
          <w:rFonts w:ascii="Cambria" w:hAnsi="Cambria"/>
          <w:i/>
        </w:rPr>
        <w:t>Scientia Horticulturae</w:t>
      </w:r>
      <w:r w:rsidRPr="004726BA">
        <w:rPr>
          <w:rFonts w:ascii="Cambria" w:hAnsi="Cambria"/>
        </w:rPr>
        <w:t>, vol. 119, pp. 302-05.</w:t>
      </w:r>
    </w:p>
    <w:p w14:paraId="1A1FC0BC" w14:textId="77777777" w:rsidR="004726BA" w:rsidRPr="004726BA" w:rsidRDefault="004726BA" w:rsidP="00800E7D">
      <w:pPr>
        <w:pStyle w:val="EndNoteBibliography"/>
        <w:spacing w:after="0"/>
        <w:rPr>
          <w:rFonts w:ascii="Cambria" w:hAnsi="Cambria"/>
        </w:rPr>
      </w:pPr>
      <w:r w:rsidRPr="004726BA">
        <w:rPr>
          <w:rFonts w:ascii="Cambria" w:hAnsi="Cambria"/>
        </w:rPr>
        <w:t xml:space="preserve">Nguyen, THN, Winkelmann, T &amp; Debener, T 2020, ‘Genetic analysis of callus formation in a diversity panel of 96 rose genotypes’, </w:t>
      </w:r>
      <w:r w:rsidRPr="004726BA">
        <w:rPr>
          <w:rFonts w:ascii="Cambria" w:hAnsi="Cambria"/>
          <w:i/>
        </w:rPr>
        <w:t>Plant Cell, Tissue and Organ Culture (PCTOC)</w:t>
      </w:r>
      <w:r w:rsidRPr="004726BA">
        <w:rPr>
          <w:rFonts w:ascii="Cambria" w:hAnsi="Cambria"/>
        </w:rPr>
        <w:t>, vol. 142, no. 3, pp. 505-17.</w:t>
      </w:r>
    </w:p>
    <w:p w14:paraId="4F31B161" w14:textId="77777777" w:rsidR="004726BA" w:rsidRPr="004726BA" w:rsidRDefault="004726BA" w:rsidP="00800E7D">
      <w:pPr>
        <w:pStyle w:val="EndNoteBibliography"/>
        <w:spacing w:after="0"/>
        <w:rPr>
          <w:rFonts w:ascii="Cambria" w:hAnsi="Cambria"/>
        </w:rPr>
      </w:pPr>
      <w:r w:rsidRPr="004726BA">
        <w:rPr>
          <w:rFonts w:ascii="Cambria" w:hAnsi="Cambria"/>
        </w:rPr>
        <w:t xml:space="preserve">Otiende, MA, Fricke, K, Nyabundi, JO, Ngamau, K, Hajirezaei, MR &amp; Druege, U 2021, ‘Involvement of the auxin–cytokinin homeostasis in adventitious root formation of rose cuttings as affected by their nodal position in the stock plant’, </w:t>
      </w:r>
      <w:r w:rsidRPr="004726BA">
        <w:rPr>
          <w:rFonts w:ascii="Cambria" w:hAnsi="Cambria"/>
          <w:i/>
        </w:rPr>
        <w:t>Planta</w:t>
      </w:r>
      <w:r w:rsidRPr="004726BA">
        <w:rPr>
          <w:rFonts w:ascii="Cambria" w:hAnsi="Cambria"/>
        </w:rPr>
        <w:t>, vol. 254, no. 65, https://doi.org/10.1007/s00425-021-03709-x.</w:t>
      </w:r>
    </w:p>
    <w:p w14:paraId="406EC236" w14:textId="77777777" w:rsidR="004726BA" w:rsidRPr="004726BA" w:rsidRDefault="004726BA" w:rsidP="00800E7D">
      <w:pPr>
        <w:pStyle w:val="EndNoteBibliography"/>
        <w:spacing w:after="0"/>
        <w:rPr>
          <w:rFonts w:ascii="Cambria" w:hAnsi="Cambria"/>
        </w:rPr>
      </w:pPr>
      <w:r w:rsidRPr="004726BA">
        <w:rPr>
          <w:rFonts w:ascii="Cambria" w:hAnsi="Cambria"/>
        </w:rPr>
        <w:t xml:space="preserve">Owen, JS, Jr &amp; Maynard, BK 2007, ‘Environmental effects on stem-cutting propagation: a brief review’, </w:t>
      </w:r>
      <w:r w:rsidRPr="004726BA">
        <w:rPr>
          <w:rFonts w:ascii="Cambria" w:hAnsi="Cambria"/>
          <w:i/>
        </w:rPr>
        <w:t>Combined Proceedings International Plant Propagators' Society</w:t>
      </w:r>
      <w:r w:rsidRPr="004726BA">
        <w:rPr>
          <w:rFonts w:ascii="Cambria" w:hAnsi="Cambria"/>
        </w:rPr>
        <w:t>, vol. 57, pp. 558-64.</w:t>
      </w:r>
    </w:p>
    <w:p w14:paraId="741D61A3" w14:textId="77777777" w:rsidR="004726BA" w:rsidRPr="004726BA" w:rsidRDefault="004726BA" w:rsidP="00800E7D">
      <w:pPr>
        <w:pStyle w:val="EndNoteBibliography"/>
        <w:spacing w:after="0"/>
        <w:rPr>
          <w:rFonts w:ascii="Cambria" w:hAnsi="Cambria"/>
        </w:rPr>
      </w:pPr>
      <w:r w:rsidRPr="004726BA">
        <w:rPr>
          <w:rFonts w:ascii="Cambria" w:hAnsi="Cambria"/>
        </w:rPr>
        <w:t xml:space="preserve">Ranwala, AP &amp; Miller, WB 2009, ‘Comparison of the dynamics of non-structural carbohydrate pools in cut tulip stems supplied with sucrose or trehalose’, </w:t>
      </w:r>
      <w:r w:rsidRPr="004726BA">
        <w:rPr>
          <w:rFonts w:ascii="Cambria" w:hAnsi="Cambria"/>
          <w:i/>
        </w:rPr>
        <w:t>Postharvest Biology and Technology</w:t>
      </w:r>
      <w:r w:rsidRPr="004726BA">
        <w:rPr>
          <w:rFonts w:ascii="Cambria" w:hAnsi="Cambria"/>
        </w:rPr>
        <w:t>, vol. 52, no. 1, pp. 91-96.</w:t>
      </w:r>
    </w:p>
    <w:p w14:paraId="0D268325" w14:textId="692A06DF" w:rsidR="004726BA" w:rsidRPr="004726BA" w:rsidRDefault="004726BA" w:rsidP="004726BA">
      <w:pPr>
        <w:pStyle w:val="EndNoteBibliography"/>
        <w:rPr>
          <w:rFonts w:ascii="Cambria" w:hAnsi="Cambria"/>
        </w:rPr>
      </w:pPr>
      <w:bookmarkStart w:id="93" w:name="_ENREF_1"/>
      <w:r w:rsidRPr="004726BA">
        <w:rPr>
          <w:rFonts w:ascii="Cambria" w:hAnsi="Cambria"/>
        </w:rPr>
        <w:t>Similarweb 2025, ‘reddit.com Traffic Analytics, Ranking &amp; Audience’, Similarweb LTD, New York, NY, available at https://www.similarweb.com/website/reddit.com/#overview.</w:t>
      </w:r>
      <w:bookmarkEnd w:id="93"/>
    </w:p>
    <w:p w14:paraId="2637AA1F" w14:textId="3100F793" w:rsidR="004726BA" w:rsidRPr="004726BA" w:rsidRDefault="004726BA" w:rsidP="004726BA">
      <w:pPr>
        <w:pStyle w:val="EndNoteBibliography"/>
        <w:rPr>
          <w:rFonts w:ascii="Cambria" w:hAnsi="Cambria"/>
        </w:rPr>
      </w:pPr>
      <w:r w:rsidRPr="004726BA">
        <w:rPr>
          <w:rFonts w:ascii="Cambria" w:hAnsi="Cambria"/>
        </w:rPr>
        <w:t xml:space="preserve">Smith, L 2022, ‘French stamp on Tasmanian rose production paying dividends in cut flower market’, </w:t>
      </w:r>
      <w:r w:rsidRPr="004726BA">
        <w:rPr>
          <w:rFonts w:ascii="Cambria" w:hAnsi="Cambria"/>
          <w:i/>
        </w:rPr>
        <w:t>ABC News</w:t>
      </w:r>
      <w:r w:rsidRPr="004726BA">
        <w:rPr>
          <w:rFonts w:ascii="Cambria" w:hAnsi="Cambria"/>
        </w:rPr>
        <w:t>, 14 November 2025, available at https://www.abc.net.au/news/rural/2022-11-14/growing-french-bred-roses-in-tasmania/101629530, accessed 22 April 2025.</w:t>
      </w:r>
    </w:p>
    <w:p w14:paraId="40861D23" w14:textId="77777777" w:rsidR="004726BA" w:rsidRPr="004726BA" w:rsidRDefault="004726BA" w:rsidP="00800E7D">
      <w:pPr>
        <w:pStyle w:val="EndNoteBibliography"/>
        <w:spacing w:after="0"/>
        <w:rPr>
          <w:rFonts w:ascii="Cambria" w:hAnsi="Cambria"/>
        </w:rPr>
      </w:pPr>
      <w:r w:rsidRPr="004726BA">
        <w:rPr>
          <w:rFonts w:ascii="Cambria" w:hAnsi="Cambria"/>
        </w:rPr>
        <w:t xml:space="preserve">Stark, CH &amp; Moot, DJ 2022, ‘Are the devitalisation requirements for imported cut flowers and foliage fit for purpose?’, </w:t>
      </w:r>
      <w:r w:rsidRPr="004726BA">
        <w:rPr>
          <w:rFonts w:ascii="Cambria" w:hAnsi="Cambria"/>
          <w:i/>
        </w:rPr>
        <w:t>New Zealand Journal of Crop and Horticultural Science</w:t>
      </w:r>
      <w:r w:rsidRPr="004726BA">
        <w:rPr>
          <w:rFonts w:ascii="Cambria" w:hAnsi="Cambria"/>
        </w:rPr>
        <w:t>, vol. 50, https://doi.org/10.1080/01140671.2022.2150235.</w:t>
      </w:r>
    </w:p>
    <w:p w14:paraId="74189231" w14:textId="77777777" w:rsidR="004726BA" w:rsidRPr="004726BA" w:rsidRDefault="004726BA" w:rsidP="00800E7D">
      <w:pPr>
        <w:pStyle w:val="EndNoteBibliography"/>
        <w:spacing w:after="0"/>
        <w:rPr>
          <w:rFonts w:ascii="Cambria" w:hAnsi="Cambria"/>
        </w:rPr>
      </w:pPr>
      <w:r w:rsidRPr="004726BA">
        <w:rPr>
          <w:rFonts w:ascii="Cambria" w:hAnsi="Cambria"/>
        </w:rPr>
        <w:t xml:space="preserve">Susaj, E, Nikolla, M, Bekolli, A, Vuksani, G, Gashi, A &amp; Susaj, L 2020, ‘Influence of shoots type and light intensity on carnation seedlings production’, </w:t>
      </w:r>
      <w:r w:rsidRPr="004726BA">
        <w:rPr>
          <w:rFonts w:ascii="Cambria" w:hAnsi="Cambria"/>
          <w:i/>
        </w:rPr>
        <w:t>Baltica</w:t>
      </w:r>
      <w:r w:rsidRPr="004726BA">
        <w:rPr>
          <w:rFonts w:ascii="Cambria" w:hAnsi="Cambria"/>
        </w:rPr>
        <w:t>, vol. 33, no. 1, pp. 91-100.</w:t>
      </w:r>
    </w:p>
    <w:p w14:paraId="6DAD50C4" w14:textId="77777777" w:rsidR="004726BA" w:rsidRPr="004726BA" w:rsidRDefault="004726BA" w:rsidP="00800E7D">
      <w:pPr>
        <w:pStyle w:val="EndNoteBibliography"/>
        <w:spacing w:after="0"/>
        <w:rPr>
          <w:rFonts w:ascii="Cambria" w:hAnsi="Cambria"/>
        </w:rPr>
      </w:pPr>
      <w:r w:rsidRPr="004726BA">
        <w:rPr>
          <w:rFonts w:ascii="Cambria" w:hAnsi="Cambria"/>
        </w:rPr>
        <w:t xml:space="preserve">Thomson, S 2009, ‘Rose Rustling’, </w:t>
      </w:r>
      <w:r w:rsidRPr="004726BA">
        <w:rPr>
          <w:rFonts w:ascii="Cambria" w:hAnsi="Cambria"/>
          <w:i/>
        </w:rPr>
        <w:t>Gardening Australia</w:t>
      </w:r>
      <w:r w:rsidRPr="004726BA">
        <w:rPr>
          <w:rFonts w:ascii="Cambria" w:hAnsi="Cambria"/>
        </w:rPr>
        <w:t>, 25 July 2009, available at https://www.abc.net.au/gardening/how-to/rose-rustling/9430144, accessed 17 April 2025.</w:t>
      </w:r>
    </w:p>
    <w:p w14:paraId="2D006FDB" w14:textId="77777777" w:rsidR="004726BA" w:rsidRPr="004726BA" w:rsidRDefault="004726BA" w:rsidP="00800E7D">
      <w:pPr>
        <w:pStyle w:val="EndNoteBibliography"/>
        <w:spacing w:after="0"/>
        <w:rPr>
          <w:rFonts w:ascii="Cambria" w:hAnsi="Cambria"/>
        </w:rPr>
      </w:pPr>
      <w:r w:rsidRPr="004726BA">
        <w:rPr>
          <w:rFonts w:ascii="Cambria" w:hAnsi="Cambria"/>
        </w:rPr>
        <w:t xml:space="preserve">Verdonk, JC, van Ieperen, W, Carvalho, DRA, van Geest, G &amp; Schouten, RE 2023, ‘Effect of preharvest conditions on cut-flower quality’, </w:t>
      </w:r>
      <w:r w:rsidRPr="004726BA">
        <w:rPr>
          <w:rFonts w:ascii="Cambria" w:hAnsi="Cambria"/>
          <w:i/>
        </w:rPr>
        <w:t>Frontiers in Plant Science</w:t>
      </w:r>
      <w:r w:rsidRPr="004726BA">
        <w:rPr>
          <w:rFonts w:ascii="Cambria" w:hAnsi="Cambria"/>
        </w:rPr>
        <w:t>, vol. 14, 1281456, DOI 10.3389/fpls.2023.1281456.</w:t>
      </w:r>
    </w:p>
    <w:p w14:paraId="04CFF9C2" w14:textId="77777777" w:rsidR="004726BA" w:rsidRPr="004726BA" w:rsidRDefault="004726BA" w:rsidP="00800E7D">
      <w:pPr>
        <w:pStyle w:val="EndNoteBibliography"/>
        <w:spacing w:after="0"/>
        <w:rPr>
          <w:rFonts w:ascii="Cambria" w:hAnsi="Cambria"/>
        </w:rPr>
      </w:pPr>
      <w:r w:rsidRPr="004726BA">
        <w:rPr>
          <w:rFonts w:ascii="Cambria" w:hAnsi="Cambria"/>
        </w:rPr>
        <w:t xml:space="preserve">Verma, J &amp; Singh, P 2021, ‘Post-harvest handling and senescence in flower crops: an overview’, </w:t>
      </w:r>
      <w:r w:rsidRPr="004726BA">
        <w:rPr>
          <w:rFonts w:ascii="Cambria" w:hAnsi="Cambria"/>
          <w:i/>
        </w:rPr>
        <w:t>Agricultural Reviews</w:t>
      </w:r>
      <w:r w:rsidRPr="004726BA">
        <w:rPr>
          <w:rFonts w:ascii="Cambria" w:hAnsi="Cambria"/>
        </w:rPr>
        <w:t>, vol. 42, no. 2, pp. 145-55.</w:t>
      </w:r>
    </w:p>
    <w:p w14:paraId="39AD28BF" w14:textId="77777777" w:rsidR="004726BA" w:rsidRPr="004726BA" w:rsidRDefault="004726BA" w:rsidP="00800E7D">
      <w:pPr>
        <w:pStyle w:val="EndNoteBibliography"/>
        <w:spacing w:after="0"/>
        <w:rPr>
          <w:rFonts w:ascii="Cambria" w:hAnsi="Cambria"/>
        </w:rPr>
      </w:pPr>
      <w:r w:rsidRPr="004726BA">
        <w:rPr>
          <w:rFonts w:ascii="Cambria" w:hAnsi="Cambria"/>
        </w:rPr>
        <w:t xml:space="preserve">WTO 1995, </w:t>
      </w:r>
      <w:r w:rsidRPr="004726BA">
        <w:rPr>
          <w:rFonts w:ascii="Cambria" w:hAnsi="Cambria"/>
          <w:i/>
        </w:rPr>
        <w:t>Agreement on the application of sanitary and phytosanitary measures</w:t>
      </w:r>
      <w:r w:rsidRPr="004726BA">
        <w:rPr>
          <w:rFonts w:ascii="Cambria" w:hAnsi="Cambria"/>
        </w:rPr>
        <w:t>, World Trade Organization, Geneva, available at https://www.wto.org/english/docs_e/legal_e/15-sps.pdf (pdf 91 kb).</w:t>
      </w:r>
    </w:p>
    <w:p w14:paraId="4300F3BD" w14:textId="77777777" w:rsidR="004726BA" w:rsidRPr="004726BA" w:rsidRDefault="004726BA" w:rsidP="00800E7D">
      <w:pPr>
        <w:pStyle w:val="EndNoteBibliography"/>
        <w:spacing w:after="0"/>
        <w:rPr>
          <w:rFonts w:ascii="Cambria" w:hAnsi="Cambria"/>
        </w:rPr>
      </w:pPr>
      <w:r w:rsidRPr="004726BA">
        <w:rPr>
          <w:rFonts w:ascii="Cambria" w:hAnsi="Cambria"/>
        </w:rPr>
        <w:lastRenderedPageBreak/>
        <w:t xml:space="preserve">Yue, C &amp; Hall, C 2010, ‘Traditional or specialty cut flowers? Estimating U.S. consumers’ choice of cut flowers at noncalendar occasions’, </w:t>
      </w:r>
      <w:r w:rsidRPr="004726BA">
        <w:rPr>
          <w:rFonts w:ascii="Cambria" w:hAnsi="Cambria"/>
          <w:i/>
        </w:rPr>
        <w:t>HortScience</w:t>
      </w:r>
      <w:r w:rsidRPr="004726BA">
        <w:rPr>
          <w:rFonts w:ascii="Cambria" w:hAnsi="Cambria"/>
        </w:rPr>
        <w:t>, vol. 45, no. 3, pp. 382-86.</w:t>
      </w:r>
    </w:p>
    <w:p w14:paraId="16937706" w14:textId="77777777" w:rsidR="004726BA" w:rsidRPr="004726BA" w:rsidRDefault="004726BA" w:rsidP="00800E7D">
      <w:pPr>
        <w:pStyle w:val="EndNoteBibliography"/>
        <w:rPr>
          <w:rFonts w:ascii="Cambria" w:hAnsi="Cambria"/>
        </w:rPr>
      </w:pPr>
      <w:r w:rsidRPr="004726BA">
        <w:rPr>
          <w:rFonts w:ascii="Cambria" w:hAnsi="Cambria"/>
        </w:rPr>
        <w:t xml:space="preserve">Zheng, L, Xiao, Z &amp; Song, W 2020, ‘Effects of substrate and exogenous auxin on the adventitious rooting of </w:t>
      </w:r>
      <w:r w:rsidRPr="004726BA">
        <w:rPr>
          <w:rFonts w:ascii="Cambria" w:hAnsi="Cambria"/>
          <w:i/>
        </w:rPr>
        <w:t xml:space="preserve">Dianthus caryophyllus </w:t>
      </w:r>
      <w:r w:rsidRPr="004726BA">
        <w:rPr>
          <w:rFonts w:ascii="Cambria" w:hAnsi="Cambria"/>
        </w:rPr>
        <w:t xml:space="preserve">L.’, </w:t>
      </w:r>
      <w:r w:rsidRPr="004726BA">
        <w:rPr>
          <w:rFonts w:ascii="Cambria" w:hAnsi="Cambria"/>
          <w:i/>
        </w:rPr>
        <w:t>HortScience</w:t>
      </w:r>
      <w:r w:rsidRPr="004726BA">
        <w:rPr>
          <w:rFonts w:ascii="Cambria" w:hAnsi="Cambria"/>
        </w:rPr>
        <w:t>, vol. 55, no. 2, pp. 170-73.</w:t>
      </w:r>
    </w:p>
    <w:sectPr w:rsidR="004726BA" w:rsidRPr="004726BA" w:rsidSect="004726BA">
      <w:headerReference w:type="even" r:id="rId82"/>
      <w:headerReference w:type="default" r:id="rId83"/>
      <w:footerReference w:type="even" r:id="rId84"/>
      <w:footerReference w:type="default" r:id="rId85"/>
      <w:headerReference w:type="first" r:id="rId86"/>
      <w:footerReference w:type="first" r:id="rId87"/>
      <w:pgSz w:w="11906" w:h="16838"/>
      <w:pgMar w:top="1418" w:right="1418" w:bottom="1418" w:left="1418"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3A1D3" w14:textId="77777777" w:rsidR="00162531" w:rsidRDefault="00162531" w:rsidP="005B5F82">
      <w:pPr>
        <w:spacing w:after="0" w:line="240" w:lineRule="auto"/>
      </w:pPr>
      <w:r>
        <w:separator/>
      </w:r>
    </w:p>
  </w:endnote>
  <w:endnote w:type="continuationSeparator" w:id="0">
    <w:p w14:paraId="271F2995" w14:textId="77777777" w:rsidR="00162531" w:rsidRDefault="00162531" w:rsidP="005B5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06E1" w14:textId="4A845560" w:rsidR="005B5F82" w:rsidRDefault="004F2FD4">
    <w:pPr>
      <w:pStyle w:val="Footer"/>
    </w:pPr>
    <w:r>
      <w:rPr>
        <w:noProof/>
        <w14:ligatures w14:val="standardContextual"/>
      </w:rPr>
      <mc:AlternateContent>
        <mc:Choice Requires="wps">
          <w:drawing>
            <wp:anchor distT="0" distB="0" distL="0" distR="0" simplePos="0" relativeHeight="251658295" behindDoc="0" locked="0" layoutInCell="1" allowOverlap="1" wp14:anchorId="51CC22CF" wp14:editId="25ECCF5C">
              <wp:simplePos x="635" y="635"/>
              <wp:positionH relativeFrom="page">
                <wp:align>center</wp:align>
              </wp:positionH>
              <wp:positionV relativeFrom="page">
                <wp:align>bottom</wp:align>
              </wp:positionV>
              <wp:extent cx="551815" cy="404495"/>
              <wp:effectExtent l="0" t="0" r="635" b="0"/>
              <wp:wrapNone/>
              <wp:docPr id="1156195503"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A451D1F" w14:textId="587B15F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C22CF" id="_x0000_t202" coordsize="21600,21600" o:spt="202" path="m,l,21600r21600,l21600,xe">
              <v:stroke joinstyle="miter"/>
              <v:path gradientshapeok="t" o:connecttype="rect"/>
            </v:shapetype>
            <v:shape id="Text Box 29" o:spid="_x0000_s1030" type="#_x0000_t202" alt="OFFICIAL" style="position:absolute;left:0;text-align:left;margin-left:0;margin-top:0;width:43.45pt;height:31.85pt;z-index:2516582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A451D1F" w14:textId="587B15F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D5AAE" w14:textId="2866A715" w:rsidR="005B5F82" w:rsidRDefault="004F2FD4">
    <w:pPr>
      <w:pStyle w:val="Footer"/>
    </w:pPr>
    <w:r>
      <w:rPr>
        <w:noProof/>
        <w14:ligatures w14:val="standardContextual"/>
      </w:rPr>
      <mc:AlternateContent>
        <mc:Choice Requires="wps">
          <w:drawing>
            <wp:anchor distT="0" distB="0" distL="0" distR="0" simplePos="0" relativeHeight="251658304" behindDoc="0" locked="0" layoutInCell="1" allowOverlap="1" wp14:anchorId="0524A65A" wp14:editId="266072A1">
              <wp:simplePos x="635" y="635"/>
              <wp:positionH relativeFrom="page">
                <wp:align>center</wp:align>
              </wp:positionH>
              <wp:positionV relativeFrom="page">
                <wp:align>bottom</wp:align>
              </wp:positionV>
              <wp:extent cx="551815" cy="404495"/>
              <wp:effectExtent l="0" t="0" r="635" b="0"/>
              <wp:wrapNone/>
              <wp:docPr id="718624234"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7E03D1B" w14:textId="009514C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4A65A" id="_x0000_t202" coordsize="21600,21600" o:spt="202" path="m,l,21600r21600,l21600,xe">
              <v:stroke joinstyle="miter"/>
              <v:path gradientshapeok="t" o:connecttype="rect"/>
            </v:shapetype>
            <v:shape id="Text Box 38" o:spid="_x0000_s1048" type="#_x0000_t202" alt="OFFICIAL" style="position:absolute;left:0;text-align:left;margin-left:0;margin-top:0;width:43.45pt;height:31.85pt;z-index:25165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DEBA4CAAAd&#10;BAAADgAAAAAAAAAAAAAAAAAuAgAAZHJzL2Uyb0RvYy54bWxQSwECLQAUAAYACAAAACEAH1WiDdsA&#10;AAADAQAADwAAAAAAAAAAAAAAAABoBAAAZHJzL2Rvd25yZXYueG1sUEsFBgAAAAAEAAQA8wAAAHAF&#10;AAAAAA==&#10;" filled="f" stroked="f">
              <v:textbox style="mso-fit-shape-to-text:t" inset="0,0,0,15pt">
                <w:txbxContent>
                  <w:p w14:paraId="47E03D1B" w14:textId="009514C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98DF" w14:textId="53D07281" w:rsidR="005B5F82" w:rsidRDefault="004F2FD4" w:rsidP="00800E7D">
    <w:pPr>
      <w:pStyle w:val="Footer"/>
    </w:pPr>
    <w:r>
      <w:rPr>
        <w:noProof/>
        <w14:ligatures w14:val="standardContextual"/>
      </w:rPr>
      <mc:AlternateContent>
        <mc:Choice Requires="wps">
          <w:drawing>
            <wp:anchor distT="0" distB="0" distL="0" distR="0" simplePos="0" relativeHeight="251658305" behindDoc="0" locked="0" layoutInCell="1" allowOverlap="1" wp14:anchorId="7EC59CBF" wp14:editId="65D8E94C">
              <wp:simplePos x="635" y="635"/>
              <wp:positionH relativeFrom="page">
                <wp:align>center</wp:align>
              </wp:positionH>
              <wp:positionV relativeFrom="page">
                <wp:align>bottom</wp:align>
              </wp:positionV>
              <wp:extent cx="551815" cy="404495"/>
              <wp:effectExtent l="0" t="0" r="635" b="0"/>
              <wp:wrapNone/>
              <wp:docPr id="509241207"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DCAC4B" w14:textId="2DCAC22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C59CBF" id="_x0000_t202" coordsize="21600,21600" o:spt="202" path="m,l,21600r21600,l21600,xe">
              <v:stroke joinstyle="miter"/>
              <v:path gradientshapeok="t" o:connecttype="rect"/>
            </v:shapetype>
            <v:shape id="Text Box 39" o:spid="_x0000_s1049" type="#_x0000_t202" alt="OFFICIAL" style="position:absolute;left:0;text-align:left;margin-left:0;margin-top:0;width:43.45pt;height:31.85pt;z-index:2516583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75DCAC4B" w14:textId="2DCAC22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t>Departme</w:t>
    </w:r>
    <w:r w:rsidR="005B5F82" w:rsidRPr="00C54718">
      <w:t>nt</w:t>
    </w:r>
    <w:r w:rsidR="005B5F82" w:rsidRPr="00F76DD9">
      <w:t xml:space="preserve"> of</w:t>
    </w:r>
    <w:r w:rsidR="005B5F82">
      <w:t xml:space="preserve"> Agriculture, Fisheries and Forestry</w:t>
    </w:r>
  </w:p>
  <w:p w14:paraId="55746FF6" w14:textId="77777777" w:rsidR="005B5F82" w:rsidRDefault="005B5F82" w:rsidP="00800E7D">
    <w:pPr>
      <w:pStyle w:val="Footer"/>
    </w:pPr>
    <w:r>
      <w:fldChar w:fldCharType="begin"/>
    </w:r>
    <w:r>
      <w:instrText xml:space="preserve"> PAGE  \* roman  \* MERGEFORMAT </w:instrText>
    </w:r>
    <w:r>
      <w:fldChar w:fldCharType="separate"/>
    </w:r>
    <w:r>
      <w:t>iv</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1F14" w14:textId="120EBB77" w:rsidR="005B5F82" w:rsidRDefault="004F2FD4">
    <w:pPr>
      <w:pStyle w:val="Footer"/>
    </w:pPr>
    <w:r>
      <w:rPr>
        <w:noProof/>
        <w14:ligatures w14:val="standardContextual"/>
      </w:rPr>
      <mc:AlternateContent>
        <mc:Choice Requires="wps">
          <w:drawing>
            <wp:anchor distT="0" distB="0" distL="0" distR="0" simplePos="0" relativeHeight="251658303" behindDoc="0" locked="0" layoutInCell="1" allowOverlap="1" wp14:anchorId="5A3A8139" wp14:editId="7752904D">
              <wp:simplePos x="635" y="635"/>
              <wp:positionH relativeFrom="page">
                <wp:align>center</wp:align>
              </wp:positionH>
              <wp:positionV relativeFrom="page">
                <wp:align>bottom</wp:align>
              </wp:positionV>
              <wp:extent cx="551815" cy="404495"/>
              <wp:effectExtent l="0" t="0" r="635" b="0"/>
              <wp:wrapNone/>
              <wp:docPr id="72578660"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616B319" w14:textId="0FE1C3E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3A8139" id="_x0000_t202" coordsize="21600,21600" o:spt="202" path="m,l,21600r21600,l21600,xe">
              <v:stroke joinstyle="miter"/>
              <v:path gradientshapeok="t" o:connecttype="rect"/>
            </v:shapetype>
            <v:shape id="Text Box 37" o:spid="_x0000_s1051" type="#_x0000_t202" alt="OFFICIAL" style="position:absolute;left:0;text-align:left;margin-left:0;margin-top:0;width:43.45pt;height:31.85pt;z-index:251658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6616B319" w14:textId="0FE1C3E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B017" w14:textId="2E1132DB" w:rsidR="005B5F82" w:rsidRDefault="004F2FD4">
    <w:pPr>
      <w:pStyle w:val="Footer"/>
    </w:pPr>
    <w:r>
      <w:rPr>
        <w:noProof/>
        <w14:ligatures w14:val="standardContextual"/>
      </w:rPr>
      <mc:AlternateContent>
        <mc:Choice Requires="wps">
          <w:drawing>
            <wp:anchor distT="0" distB="0" distL="0" distR="0" simplePos="0" relativeHeight="251658307" behindDoc="0" locked="0" layoutInCell="1" allowOverlap="1" wp14:anchorId="64D8C85C" wp14:editId="3444DCEA">
              <wp:simplePos x="635" y="635"/>
              <wp:positionH relativeFrom="page">
                <wp:align>center</wp:align>
              </wp:positionH>
              <wp:positionV relativeFrom="page">
                <wp:align>bottom</wp:align>
              </wp:positionV>
              <wp:extent cx="551815" cy="404495"/>
              <wp:effectExtent l="0" t="0" r="635" b="0"/>
              <wp:wrapNone/>
              <wp:docPr id="601229525"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ADE6EFC" w14:textId="22549363"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D8C85C" id="_x0000_t202" coordsize="21600,21600" o:spt="202" path="m,l,21600r21600,l21600,xe">
              <v:stroke joinstyle="miter"/>
              <v:path gradientshapeok="t" o:connecttype="rect"/>
            </v:shapetype>
            <v:shape id="Text Box 41" o:spid="_x0000_s1054" type="#_x0000_t202" alt="OFFICIAL" style="position:absolute;left:0;text-align:left;margin-left:0;margin-top:0;width:43.45pt;height:31.85pt;z-index:2516583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Vza4kPAgAA&#10;HQQAAA4AAAAAAAAAAAAAAAAALgIAAGRycy9lMm9Eb2MueG1sUEsBAi0AFAAGAAgAAAAhAB9Vog3b&#10;AAAAAwEAAA8AAAAAAAAAAAAAAAAAaQQAAGRycy9kb3ducmV2LnhtbFBLBQYAAAAABAAEAPMAAABx&#10;BQAAAAA=&#10;" filled="f" stroked="f">
              <v:textbox style="mso-fit-shape-to-text:t" inset="0,0,0,15pt">
                <w:txbxContent>
                  <w:p w14:paraId="5ADE6EFC" w14:textId="22549363"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7A178" w14:textId="1C01FDB0" w:rsidR="005B5F82" w:rsidRDefault="004F2FD4" w:rsidP="00800E7D">
    <w:pPr>
      <w:pStyle w:val="Footer"/>
    </w:pPr>
    <w:r>
      <w:rPr>
        <w:noProof/>
        <w14:ligatures w14:val="standardContextual"/>
      </w:rPr>
      <mc:AlternateContent>
        <mc:Choice Requires="wps">
          <w:drawing>
            <wp:anchor distT="0" distB="0" distL="0" distR="0" simplePos="0" relativeHeight="251658308" behindDoc="0" locked="0" layoutInCell="1" allowOverlap="1" wp14:anchorId="136E1405" wp14:editId="1F521AE0">
              <wp:simplePos x="635" y="635"/>
              <wp:positionH relativeFrom="page">
                <wp:align>center</wp:align>
              </wp:positionH>
              <wp:positionV relativeFrom="page">
                <wp:align>bottom</wp:align>
              </wp:positionV>
              <wp:extent cx="551815" cy="404495"/>
              <wp:effectExtent l="0" t="0" r="635" b="0"/>
              <wp:wrapNone/>
              <wp:docPr id="2086323034"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4449A8" w14:textId="36CAA98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6E1405" id="_x0000_t202" coordsize="21600,21600" o:spt="202" path="m,l,21600r21600,l21600,xe">
              <v:stroke joinstyle="miter"/>
              <v:path gradientshapeok="t" o:connecttype="rect"/>
            </v:shapetype>
            <v:shape id="Text Box 42" o:spid="_x0000_s1055" type="#_x0000_t202" alt="OFFICIAL" style="position:absolute;left:0;text-align:left;margin-left:0;margin-top:0;width:43.45pt;height:31.85pt;z-index:2516583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604449A8" w14:textId="36CAA98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ptab w:relativeTo="margin" w:alignment="left" w:leader="none"/>
    </w:r>
    <w:r w:rsidR="005B5F82" w:rsidRPr="00F76DD9">
      <w:t>Department of</w:t>
    </w:r>
    <w:r w:rsidR="005B5F82">
      <w:t xml:space="preserve"> Agriculture, Fisheries and Forestry</w:t>
    </w:r>
  </w:p>
  <w:p w14:paraId="6DEA5BF3" w14:textId="77777777" w:rsidR="005B5F82" w:rsidRPr="00DB7821" w:rsidRDefault="005B5F82" w:rsidP="00800E7D">
    <w:pPr>
      <w:pStyle w:val="Footer"/>
    </w:pPr>
    <w:r>
      <w:fldChar w:fldCharType="begin"/>
    </w:r>
    <w:r>
      <w:instrText xml:space="preserve"> PAGE  \* Arabic  \* MERGEFORMAT </w:instrText>
    </w:r>
    <w:r>
      <w:fldChar w:fldCharType="separate"/>
    </w:r>
    <w:r>
      <w:rPr>
        <w:noProof/>
      </w:rPr>
      <w:t>5</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FDEFD" w14:textId="02253B39" w:rsidR="005B5F82" w:rsidRDefault="004F2FD4">
    <w:pPr>
      <w:pStyle w:val="Footer"/>
    </w:pPr>
    <w:r>
      <w:rPr>
        <w:noProof/>
        <w14:ligatures w14:val="standardContextual"/>
      </w:rPr>
      <mc:AlternateContent>
        <mc:Choice Requires="wps">
          <w:drawing>
            <wp:anchor distT="0" distB="0" distL="0" distR="0" simplePos="0" relativeHeight="251658306" behindDoc="0" locked="0" layoutInCell="1" allowOverlap="1" wp14:anchorId="695DB6C5" wp14:editId="46C857DC">
              <wp:simplePos x="635" y="635"/>
              <wp:positionH relativeFrom="page">
                <wp:align>center</wp:align>
              </wp:positionH>
              <wp:positionV relativeFrom="page">
                <wp:align>bottom</wp:align>
              </wp:positionV>
              <wp:extent cx="551815" cy="404495"/>
              <wp:effectExtent l="0" t="0" r="635" b="0"/>
              <wp:wrapNone/>
              <wp:docPr id="4631791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8342C8" w14:textId="2FA5E7C5"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DB6C5" id="_x0000_t202" coordsize="21600,21600" o:spt="202" path="m,l,21600r21600,l21600,xe">
              <v:stroke joinstyle="miter"/>
              <v:path gradientshapeok="t" o:connecttype="rect"/>
            </v:shapetype>
            <v:shape id="Text Box 40" o:spid="_x0000_s1057" type="#_x0000_t202" alt="OFFICIAL" style="position:absolute;left:0;text-align:left;margin-left:0;margin-top:0;width:43.45pt;height:31.85pt;z-index:2516583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7D8342C8" w14:textId="2FA5E7C5"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495F" w14:textId="065D2D2C" w:rsidR="005B5F82" w:rsidRDefault="004F2FD4">
    <w:pPr>
      <w:pStyle w:val="Footer"/>
    </w:pPr>
    <w:r>
      <w:rPr>
        <w:noProof/>
        <w14:ligatures w14:val="standardContextual"/>
      </w:rPr>
      <mc:AlternateContent>
        <mc:Choice Requires="wps">
          <w:drawing>
            <wp:anchor distT="0" distB="0" distL="0" distR="0" simplePos="0" relativeHeight="251658310" behindDoc="0" locked="0" layoutInCell="1" allowOverlap="1" wp14:anchorId="3F9AA369" wp14:editId="58A00973">
              <wp:simplePos x="635" y="635"/>
              <wp:positionH relativeFrom="page">
                <wp:align>center</wp:align>
              </wp:positionH>
              <wp:positionV relativeFrom="page">
                <wp:align>bottom</wp:align>
              </wp:positionV>
              <wp:extent cx="551815" cy="404495"/>
              <wp:effectExtent l="0" t="0" r="635" b="0"/>
              <wp:wrapNone/>
              <wp:docPr id="466414388"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DB010D" w14:textId="4BC43F1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9AA369" id="_x0000_t202" coordsize="21600,21600" o:spt="202" path="m,l,21600r21600,l21600,xe">
              <v:stroke joinstyle="miter"/>
              <v:path gradientshapeok="t" o:connecttype="rect"/>
            </v:shapetype>
            <v:shape id="Text Box 44" o:spid="_x0000_s1060" type="#_x0000_t202" alt="OFFICIAL" style="position:absolute;left:0;text-align:left;margin-left:0;margin-top:0;width:43.45pt;height:31.85pt;z-index:2516583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9M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9PN0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Jshn0wPAgAA&#10;HQQAAA4AAAAAAAAAAAAAAAAALgIAAGRycy9lMm9Eb2MueG1sUEsBAi0AFAAGAAgAAAAhAB9Vog3b&#10;AAAAAwEAAA8AAAAAAAAAAAAAAAAAaQQAAGRycy9kb3ducmV2LnhtbFBLBQYAAAAABAAEAPMAAABx&#10;BQAAAAA=&#10;" filled="f" stroked="f">
              <v:textbox style="mso-fit-shape-to-text:t" inset="0,0,0,15pt">
                <w:txbxContent>
                  <w:p w14:paraId="6BDB010D" w14:textId="4BC43F1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p w14:paraId="68ECA1F1" w14:textId="77777777" w:rsidR="005B5F82" w:rsidRDefault="005B5F8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5EEA" w14:textId="60CF61CF" w:rsidR="005B5F82" w:rsidRDefault="004F2FD4" w:rsidP="00800E7D">
    <w:pPr>
      <w:pStyle w:val="Footer"/>
    </w:pPr>
    <w:r>
      <w:rPr>
        <w:noProof/>
        <w14:ligatures w14:val="standardContextual"/>
      </w:rPr>
      <mc:AlternateContent>
        <mc:Choice Requires="wps">
          <w:drawing>
            <wp:anchor distT="0" distB="0" distL="0" distR="0" simplePos="0" relativeHeight="251658311" behindDoc="0" locked="0" layoutInCell="1" allowOverlap="1" wp14:anchorId="0EE82808" wp14:editId="68E2C4AF">
              <wp:simplePos x="635" y="635"/>
              <wp:positionH relativeFrom="page">
                <wp:align>center</wp:align>
              </wp:positionH>
              <wp:positionV relativeFrom="page">
                <wp:align>bottom</wp:align>
              </wp:positionV>
              <wp:extent cx="551815" cy="404495"/>
              <wp:effectExtent l="0" t="0" r="635" b="0"/>
              <wp:wrapNone/>
              <wp:docPr id="1556819002"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3E213B" w14:textId="1A8DB85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E82808" id="_x0000_t202" coordsize="21600,21600" o:spt="202" path="m,l,21600r21600,l21600,xe">
              <v:stroke joinstyle="miter"/>
              <v:path gradientshapeok="t" o:connecttype="rect"/>
            </v:shapetype>
            <v:shape id="Text Box 45" o:spid="_x0000_s1061" type="#_x0000_t202" alt="OFFICIAL" style="position:absolute;left:0;text-align:left;margin-left:0;margin-top:0;width:43.45pt;height:31.85pt;z-index:2516583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703E213B" w14:textId="1A8DB85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ptab w:relativeTo="margin" w:alignment="left" w:leader="none"/>
    </w:r>
    <w:r w:rsidR="005B5F82" w:rsidRPr="00F76DD9">
      <w:t>Department of</w:t>
    </w:r>
    <w:r w:rsidR="005B5F82">
      <w:t xml:space="preserve"> Agriculture, Fisheries and Forestry</w:t>
    </w:r>
  </w:p>
  <w:p w14:paraId="21942634" w14:textId="77777777" w:rsidR="005B5F82" w:rsidRPr="00DB7821" w:rsidRDefault="005B5F82" w:rsidP="00800E7D">
    <w:pPr>
      <w:pStyle w:val="Footer"/>
    </w:pPr>
    <w:r>
      <w:fldChar w:fldCharType="begin"/>
    </w:r>
    <w:r>
      <w:instrText xml:space="preserve"> PAGE  \* Arabic  \* MERGEFORMAT </w:instrText>
    </w:r>
    <w:r>
      <w:fldChar w:fldCharType="separate"/>
    </w:r>
    <w:r>
      <w:rPr>
        <w:noProof/>
      </w:rPr>
      <w:t>5</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2305" w14:textId="770F7495" w:rsidR="005B5F82" w:rsidRDefault="004F2FD4">
    <w:pPr>
      <w:pStyle w:val="Footer"/>
    </w:pPr>
    <w:r>
      <w:rPr>
        <w:noProof/>
        <w14:ligatures w14:val="standardContextual"/>
      </w:rPr>
      <mc:AlternateContent>
        <mc:Choice Requires="wps">
          <w:drawing>
            <wp:anchor distT="0" distB="0" distL="0" distR="0" simplePos="0" relativeHeight="251658309" behindDoc="0" locked="0" layoutInCell="1" allowOverlap="1" wp14:anchorId="26F87FAD" wp14:editId="67CBD192">
              <wp:simplePos x="635" y="635"/>
              <wp:positionH relativeFrom="page">
                <wp:align>center</wp:align>
              </wp:positionH>
              <wp:positionV relativeFrom="page">
                <wp:align>bottom</wp:align>
              </wp:positionV>
              <wp:extent cx="551815" cy="404495"/>
              <wp:effectExtent l="0" t="0" r="635" b="0"/>
              <wp:wrapNone/>
              <wp:docPr id="422738126"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2431C6" w14:textId="12961B0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87FAD" id="_x0000_t202" coordsize="21600,21600" o:spt="202" path="m,l,21600r21600,l21600,xe">
              <v:stroke joinstyle="miter"/>
              <v:path gradientshapeok="t" o:connecttype="rect"/>
            </v:shapetype>
            <v:shape id="Text Box 43" o:spid="_x0000_s1063" type="#_x0000_t202" alt="OFFICIAL" style="position:absolute;left:0;text-align:left;margin-left:0;margin-top:0;width:43.45pt;height:31.85pt;z-index:2516583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072431C6" w14:textId="12961B0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E557" w14:textId="5AF9189E" w:rsidR="005B5F82" w:rsidRDefault="004F2FD4">
    <w:pPr>
      <w:pStyle w:val="Footer"/>
    </w:pPr>
    <w:r>
      <w:rPr>
        <w:noProof/>
        <w14:ligatures w14:val="standardContextual"/>
      </w:rPr>
      <mc:AlternateContent>
        <mc:Choice Requires="wps">
          <w:drawing>
            <wp:anchor distT="0" distB="0" distL="0" distR="0" simplePos="0" relativeHeight="251658313" behindDoc="0" locked="0" layoutInCell="1" allowOverlap="1" wp14:anchorId="213244DC" wp14:editId="74F75544">
              <wp:simplePos x="635" y="635"/>
              <wp:positionH relativeFrom="page">
                <wp:align>center</wp:align>
              </wp:positionH>
              <wp:positionV relativeFrom="page">
                <wp:align>bottom</wp:align>
              </wp:positionV>
              <wp:extent cx="551815" cy="404495"/>
              <wp:effectExtent l="0" t="0" r="635" b="0"/>
              <wp:wrapNone/>
              <wp:docPr id="1106498020"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1C4292" w14:textId="30329F00"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244DC" id="_x0000_t202" coordsize="21600,21600" o:spt="202" path="m,l,21600r21600,l21600,xe">
              <v:stroke joinstyle="miter"/>
              <v:path gradientshapeok="t" o:connecttype="rect"/>
            </v:shapetype>
            <v:shape id="Text Box 47" o:spid="_x0000_s1066" type="#_x0000_t202" alt="OFFICIAL" style="position:absolute;left:0;text-align:left;margin-left:0;margin-top:0;width:43.45pt;height:31.85pt;z-index:251658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GiiHgEPAgAA&#10;HQQAAA4AAAAAAAAAAAAAAAAALgIAAGRycy9lMm9Eb2MueG1sUEsBAi0AFAAGAAgAAAAhAB9Vog3b&#10;AAAAAwEAAA8AAAAAAAAAAAAAAAAAaQQAAGRycy9kb3ducmV2LnhtbFBLBQYAAAAABAAEAPMAAABx&#10;BQAAAAA=&#10;" filled="f" stroked="f">
              <v:textbox style="mso-fit-shape-to-text:t" inset="0,0,0,15pt">
                <w:txbxContent>
                  <w:p w14:paraId="2D1C4292" w14:textId="30329F00"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AB07" w14:textId="746CDD5F" w:rsidR="005B5F82" w:rsidRPr="009F0E54" w:rsidRDefault="004F2FD4" w:rsidP="00800E7D">
    <w:pPr>
      <w:pStyle w:val="Footer"/>
      <w:jc w:val="left"/>
    </w:pPr>
    <w:r>
      <w:rPr>
        <w:noProof/>
        <w14:ligatures w14:val="standardContextual"/>
      </w:rPr>
      <mc:AlternateContent>
        <mc:Choice Requires="wps">
          <w:drawing>
            <wp:anchor distT="0" distB="0" distL="0" distR="0" simplePos="0" relativeHeight="251658296" behindDoc="0" locked="0" layoutInCell="1" allowOverlap="1" wp14:anchorId="0F757D53" wp14:editId="3135B796">
              <wp:simplePos x="635" y="635"/>
              <wp:positionH relativeFrom="page">
                <wp:align>center</wp:align>
              </wp:positionH>
              <wp:positionV relativeFrom="page">
                <wp:align>bottom</wp:align>
              </wp:positionV>
              <wp:extent cx="551815" cy="404495"/>
              <wp:effectExtent l="0" t="0" r="635" b="0"/>
              <wp:wrapNone/>
              <wp:docPr id="553657352"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9030AC" w14:textId="3AA8235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757D53" id="_x0000_t202" coordsize="21600,21600" o:spt="202" path="m,l,21600r21600,l21600,xe">
              <v:stroke joinstyle="miter"/>
              <v:path gradientshapeok="t" o:connecttype="rect"/>
            </v:shapetype>
            <v:shape id="Text Box 30" o:spid="_x0000_s1031" type="#_x0000_t202" alt="OFFICIAL" style="position:absolute;margin-left:0;margin-top:0;width:43.45pt;height:31.85pt;z-index:251658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49030AC" w14:textId="3AA8235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06C3" w14:textId="3A5C14E5" w:rsidR="005B5F82" w:rsidRDefault="004F2FD4">
    <w:pPr>
      <w:pStyle w:val="Footer"/>
    </w:pPr>
    <w:r>
      <w:rPr>
        <w:noProof/>
        <w14:ligatures w14:val="standardContextual"/>
      </w:rPr>
      <mc:AlternateContent>
        <mc:Choice Requires="wps">
          <w:drawing>
            <wp:anchor distT="0" distB="0" distL="0" distR="0" simplePos="0" relativeHeight="251658314" behindDoc="0" locked="0" layoutInCell="1" allowOverlap="1" wp14:anchorId="799A63DD" wp14:editId="7FECF5AA">
              <wp:simplePos x="635" y="635"/>
              <wp:positionH relativeFrom="page">
                <wp:align>center</wp:align>
              </wp:positionH>
              <wp:positionV relativeFrom="page">
                <wp:align>bottom</wp:align>
              </wp:positionV>
              <wp:extent cx="551815" cy="404495"/>
              <wp:effectExtent l="0" t="0" r="635" b="0"/>
              <wp:wrapNone/>
              <wp:docPr id="395841048"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0B0086" w14:textId="551FD86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A63DD" id="_x0000_t202" coordsize="21600,21600" o:spt="202" path="m,l,21600r21600,l21600,xe">
              <v:stroke joinstyle="miter"/>
              <v:path gradientshapeok="t" o:connecttype="rect"/>
            </v:shapetype>
            <v:shape id="Text Box 48" o:spid="_x0000_s1067" type="#_x0000_t202" alt="OFFICIAL" style="position:absolute;left:0;text-align:left;margin-left:0;margin-top:0;width:43.45pt;height:31.85pt;z-index:251658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240B0086" w14:textId="551FD86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ACA3" w14:textId="48366448" w:rsidR="005B5F82" w:rsidRDefault="004F2FD4">
    <w:pPr>
      <w:pStyle w:val="Footer"/>
    </w:pPr>
    <w:r>
      <w:rPr>
        <w:noProof/>
        <w14:ligatures w14:val="standardContextual"/>
      </w:rPr>
      <mc:AlternateContent>
        <mc:Choice Requires="wps">
          <w:drawing>
            <wp:anchor distT="0" distB="0" distL="0" distR="0" simplePos="0" relativeHeight="251658312" behindDoc="0" locked="0" layoutInCell="1" allowOverlap="1" wp14:anchorId="69B1EA5B" wp14:editId="6BD64D08">
              <wp:simplePos x="635" y="635"/>
              <wp:positionH relativeFrom="page">
                <wp:align>center</wp:align>
              </wp:positionH>
              <wp:positionV relativeFrom="page">
                <wp:align>bottom</wp:align>
              </wp:positionV>
              <wp:extent cx="551815" cy="404495"/>
              <wp:effectExtent l="0" t="0" r="635" b="0"/>
              <wp:wrapNone/>
              <wp:docPr id="1543409739"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D93EFD" w14:textId="735246A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1EA5B" id="_x0000_t202" coordsize="21600,21600" o:spt="202" path="m,l,21600r21600,l21600,xe">
              <v:stroke joinstyle="miter"/>
              <v:path gradientshapeok="t" o:connecttype="rect"/>
            </v:shapetype>
            <v:shape id="Text Box 46" o:spid="_x0000_s1069" type="#_x0000_t202" alt="OFFICIAL" style="position:absolute;left:0;text-align:left;margin-left:0;margin-top:0;width:43.45pt;height:31.85pt;z-index:251658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52D93EFD" w14:textId="735246A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E3F3" w14:textId="3E6DD6AA" w:rsidR="005B5F82" w:rsidRDefault="004F2FD4">
    <w:pPr>
      <w:pStyle w:val="Footer"/>
    </w:pPr>
    <w:r>
      <w:rPr>
        <w:noProof/>
        <w14:ligatures w14:val="standardContextual"/>
      </w:rPr>
      <mc:AlternateContent>
        <mc:Choice Requires="wps">
          <w:drawing>
            <wp:anchor distT="0" distB="0" distL="0" distR="0" simplePos="0" relativeHeight="251658316" behindDoc="0" locked="0" layoutInCell="1" allowOverlap="1" wp14:anchorId="16D0FA5F" wp14:editId="0DD02902">
              <wp:simplePos x="635" y="635"/>
              <wp:positionH relativeFrom="page">
                <wp:align>center</wp:align>
              </wp:positionH>
              <wp:positionV relativeFrom="page">
                <wp:align>bottom</wp:align>
              </wp:positionV>
              <wp:extent cx="551815" cy="404495"/>
              <wp:effectExtent l="0" t="0" r="635" b="0"/>
              <wp:wrapNone/>
              <wp:docPr id="1386031397"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EDC18E6" w14:textId="4CB3FCB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D0FA5F" id="_x0000_t202" coordsize="21600,21600" o:spt="202" path="m,l,21600r21600,l21600,xe">
              <v:stroke joinstyle="miter"/>
              <v:path gradientshapeok="t" o:connecttype="rect"/>
            </v:shapetype>
            <v:shape id="Text Box 50" o:spid="_x0000_s1072" type="#_x0000_t202" alt="OFFICIAL" style="position:absolute;left:0;text-align:left;margin-left:0;margin-top:0;width:43.45pt;height:31.85pt;z-index:251658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lY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fnUfg3NCadyMC7cW77psPaW+fDCHG4YB0HV&#10;hmc8pIK+onC2KGnB/fibP+Yj8RilpEfFVNSgpClR3wwuJIprMtxk1Mko7vJFjnFz0A+AOizwSVie&#10;TPS6oCZTOtBvqOd1LIQhZjiWq2g9mQ9hlC6+By7W65SEOrIsbM3O8ggd+Ypkvg5vzNkz4wFX9QST&#10;nFj5jvgxN970dn0ISH/aSuR2JPJMOWow7fX8XqLIf/1PWddXvfoJ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c+6JWA4CAAAd&#10;BAAADgAAAAAAAAAAAAAAAAAuAgAAZHJzL2Uyb0RvYy54bWxQSwECLQAUAAYACAAAACEAH1WiDdsA&#10;AAADAQAADwAAAAAAAAAAAAAAAABoBAAAZHJzL2Rvd25yZXYueG1sUEsFBgAAAAAEAAQA8wAAAHAF&#10;AAAAAA==&#10;" filled="f" stroked="f">
              <v:textbox style="mso-fit-shape-to-text:t" inset="0,0,0,15pt">
                <w:txbxContent>
                  <w:p w14:paraId="2EDC18E6" w14:textId="4CB3FCB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F8B28" w14:textId="7CFB311B" w:rsidR="005B5F82" w:rsidRDefault="004F2FD4" w:rsidP="00800E7D">
    <w:pPr>
      <w:pStyle w:val="Footer"/>
    </w:pPr>
    <w:r>
      <w:rPr>
        <w:rFonts w:ascii="Cambria" w:hAnsi="Cambria"/>
        <w:noProof/>
        <w14:ligatures w14:val="standardContextual"/>
      </w:rPr>
      <mc:AlternateContent>
        <mc:Choice Requires="wps">
          <w:drawing>
            <wp:anchor distT="0" distB="0" distL="0" distR="0" simplePos="0" relativeHeight="251658317" behindDoc="0" locked="0" layoutInCell="1" allowOverlap="1" wp14:anchorId="4B97E6A6" wp14:editId="171E5777">
              <wp:simplePos x="635" y="635"/>
              <wp:positionH relativeFrom="page">
                <wp:align>center</wp:align>
              </wp:positionH>
              <wp:positionV relativeFrom="page">
                <wp:align>bottom</wp:align>
              </wp:positionV>
              <wp:extent cx="551815" cy="404495"/>
              <wp:effectExtent l="0" t="0" r="635" b="0"/>
              <wp:wrapNone/>
              <wp:docPr id="529745910"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944F34" w14:textId="39AF3F7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7E6A6" id="_x0000_t202" coordsize="21600,21600" o:spt="202" path="m,l,21600r21600,l21600,xe">
              <v:stroke joinstyle="miter"/>
              <v:path gradientshapeok="t" o:connecttype="rect"/>
            </v:shapetype>
            <v:shape id="Text Box 51" o:spid="_x0000_s1073" type="#_x0000_t202" alt="OFFICIAL" style="position:absolute;left:0;text-align:left;margin-left:0;margin-top:0;width:43.45pt;height:31.85pt;z-index:251658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29944F34" w14:textId="39AF3F7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Pr>
        <w:rFonts w:ascii="Cambria" w:hAnsi="Cambria"/>
      </w:rPr>
      <w:ptab w:relativeTo="margin" w:alignment="left" w:leader="none"/>
    </w:r>
    <w:r w:rsidR="005B5F82">
      <w:ptab w:relativeTo="margin" w:alignment="left" w:leader="none"/>
    </w:r>
    <w:r w:rsidR="005B5F82" w:rsidRPr="00F76DD9">
      <w:t>Department of</w:t>
    </w:r>
    <w:r w:rsidR="005B5F82">
      <w:t xml:space="preserve"> Agriculture, Fisheries and Forestry</w:t>
    </w:r>
  </w:p>
  <w:p w14:paraId="036A3847" w14:textId="77777777" w:rsidR="005B5F82" w:rsidRPr="00BF086B" w:rsidRDefault="005B5F82" w:rsidP="00800E7D">
    <w:pPr>
      <w:pStyle w:val="Footer"/>
    </w:pPr>
    <w:r>
      <w:fldChar w:fldCharType="begin"/>
    </w:r>
    <w:r>
      <w:instrText xml:space="preserve"> PAGE  \* Arabic  \* MERGEFORMAT </w:instrText>
    </w:r>
    <w:r>
      <w:fldChar w:fldCharType="separate"/>
    </w:r>
    <w:r>
      <w:t>2</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BA1F" w14:textId="5C902FC8" w:rsidR="005B5F82" w:rsidRDefault="004F2FD4">
    <w:pPr>
      <w:pStyle w:val="Footer"/>
    </w:pPr>
    <w:r>
      <w:rPr>
        <w:noProof/>
        <w14:ligatures w14:val="standardContextual"/>
      </w:rPr>
      <mc:AlternateContent>
        <mc:Choice Requires="wps">
          <w:drawing>
            <wp:anchor distT="0" distB="0" distL="0" distR="0" simplePos="0" relativeHeight="251658315" behindDoc="0" locked="0" layoutInCell="1" allowOverlap="1" wp14:anchorId="2286033E" wp14:editId="6853E46C">
              <wp:simplePos x="635" y="635"/>
              <wp:positionH relativeFrom="page">
                <wp:align>center</wp:align>
              </wp:positionH>
              <wp:positionV relativeFrom="page">
                <wp:align>bottom</wp:align>
              </wp:positionV>
              <wp:extent cx="551815" cy="404495"/>
              <wp:effectExtent l="0" t="0" r="635" b="0"/>
              <wp:wrapNone/>
              <wp:docPr id="360307583"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57B730" w14:textId="571B4F9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6033E" id="_x0000_t202" coordsize="21600,21600" o:spt="202" path="m,l,21600r21600,l21600,xe">
              <v:stroke joinstyle="miter"/>
              <v:path gradientshapeok="t" o:connecttype="rect"/>
            </v:shapetype>
            <v:shape id="Text Box 49" o:spid="_x0000_s1075" type="#_x0000_t202" alt="OFFICIAL" style="position:absolute;left:0;text-align:left;margin-left:0;margin-top:0;width:43.45pt;height:31.85pt;z-index:251658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0357B730" w14:textId="571B4F9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E1BB" w14:textId="416385B2" w:rsidR="005B5F82" w:rsidRDefault="004F2FD4">
    <w:pPr>
      <w:pStyle w:val="Footer"/>
    </w:pPr>
    <w:r>
      <w:rPr>
        <w:noProof/>
        <w14:ligatures w14:val="standardContextual"/>
      </w:rPr>
      <mc:AlternateContent>
        <mc:Choice Requires="wps">
          <w:drawing>
            <wp:anchor distT="0" distB="0" distL="0" distR="0" simplePos="0" relativeHeight="251658319" behindDoc="0" locked="0" layoutInCell="1" allowOverlap="1" wp14:anchorId="220CDC4D" wp14:editId="01964518">
              <wp:simplePos x="635" y="635"/>
              <wp:positionH relativeFrom="page">
                <wp:align>center</wp:align>
              </wp:positionH>
              <wp:positionV relativeFrom="page">
                <wp:align>bottom</wp:align>
              </wp:positionV>
              <wp:extent cx="551815" cy="404495"/>
              <wp:effectExtent l="0" t="0" r="635" b="0"/>
              <wp:wrapNone/>
              <wp:docPr id="1133126978"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DD7729" w14:textId="0731461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CDC4D" id="_x0000_t202" coordsize="21600,21600" o:spt="202" path="m,l,21600r21600,l21600,xe">
              <v:stroke joinstyle="miter"/>
              <v:path gradientshapeok="t" o:connecttype="rect"/>
            </v:shapetype>
            <v:shape id="Text Box 53" o:spid="_x0000_s1078" type="#_x0000_t202" alt="OFFICIAL" style="position:absolute;left:0;text-align:left;margin-left:0;margin-top:0;width:43.45pt;height:31.85pt;z-index:2516583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2d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DZL4jK4t1EfaCuFEuHdy1VLvtfDhRSAxTIuQ&#10;asMzHdpAX3E4W5w1gD/+5o/5BDxFOetJMRW3JGnOzDdLhERxjQaOxjYZxV0+yylu990DkA4LehJO&#10;JpO8GMxoaoTujfS8jI0oJKykdhXfjuZDOEmX3oNUy2VKIh05EdZ242QsHfGKYL4ObwLdGfFAVD3B&#10;KCdRvgP+lBtverfcB4I/sXIF8gw5aTDxen4vUeS//qes66te/AQ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dvH2dDQIAAB0E&#10;AAAOAAAAAAAAAAAAAAAAAC4CAABkcnMvZTJvRG9jLnhtbFBLAQItABQABgAIAAAAIQAfVaIN2wAA&#10;AAMBAAAPAAAAAAAAAAAAAAAAAGcEAABkcnMvZG93bnJldi54bWxQSwUGAAAAAAQABADzAAAAbwUA&#10;AAAA&#10;" filled="f" stroked="f">
              <v:textbox style="mso-fit-shape-to-text:t" inset="0,0,0,15pt">
                <w:txbxContent>
                  <w:p w14:paraId="6CDD7729" w14:textId="0731461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568B7" w14:textId="06F2D04E" w:rsidR="005B5F82" w:rsidRDefault="004F2FD4" w:rsidP="00800E7D">
    <w:pPr>
      <w:pStyle w:val="Footer"/>
    </w:pPr>
    <w:r>
      <w:rPr>
        <w:noProof/>
        <w14:ligatures w14:val="standardContextual"/>
      </w:rPr>
      <mc:AlternateContent>
        <mc:Choice Requires="wps">
          <w:drawing>
            <wp:anchor distT="0" distB="0" distL="0" distR="0" simplePos="0" relativeHeight="251658320" behindDoc="0" locked="0" layoutInCell="1" allowOverlap="1" wp14:anchorId="2C2DFB75" wp14:editId="73EA19E2">
              <wp:simplePos x="635" y="635"/>
              <wp:positionH relativeFrom="page">
                <wp:align>center</wp:align>
              </wp:positionH>
              <wp:positionV relativeFrom="page">
                <wp:align>bottom</wp:align>
              </wp:positionV>
              <wp:extent cx="551815" cy="404495"/>
              <wp:effectExtent l="0" t="0" r="635" b="0"/>
              <wp:wrapNone/>
              <wp:docPr id="775028945"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27BC08" w14:textId="1E65736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2DFB75" id="_x0000_t202" coordsize="21600,21600" o:spt="202" path="m,l,21600r21600,l21600,xe">
              <v:stroke joinstyle="miter"/>
              <v:path gradientshapeok="t" o:connecttype="rect"/>
            </v:shapetype>
            <v:shape id="Text Box 54" o:spid="_x0000_s1079" type="#_x0000_t202" alt="OFFICIAL" style="position:absolute;left:0;text-align:left;margin-left:0;margin-top:0;width:43.45pt;height:31.85pt;z-index:25165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5B27BC08" w14:textId="1E65736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ptab w:relativeTo="margin" w:alignment="left" w:leader="none"/>
    </w:r>
    <w:r w:rsidR="005B5F82" w:rsidRPr="00F76DD9">
      <w:t>Department of</w:t>
    </w:r>
    <w:r w:rsidR="005B5F82">
      <w:t xml:space="preserve"> Agriculture, Fisheries and Forestry</w:t>
    </w:r>
  </w:p>
  <w:p w14:paraId="431EF7B1" w14:textId="77777777" w:rsidR="005B5F82" w:rsidRPr="00DB7821" w:rsidRDefault="005B5F82" w:rsidP="00800E7D">
    <w:pPr>
      <w:pStyle w:val="Footer"/>
    </w:pPr>
    <w:r>
      <w:fldChar w:fldCharType="begin"/>
    </w:r>
    <w:r>
      <w:instrText xml:space="preserve"> PAGE  \* Arabic  \* MERGEFORMAT </w:instrText>
    </w:r>
    <w:r>
      <w:fldChar w:fldCharType="separate"/>
    </w:r>
    <w:r>
      <w:rPr>
        <w:noProof/>
      </w:rPr>
      <w:t>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CE63" w14:textId="76C6E288" w:rsidR="005B5F82" w:rsidRDefault="004F2FD4">
    <w:pPr>
      <w:pStyle w:val="Footer"/>
    </w:pPr>
    <w:r>
      <w:rPr>
        <w:noProof/>
        <w14:ligatures w14:val="standardContextual"/>
      </w:rPr>
      <mc:AlternateContent>
        <mc:Choice Requires="wps">
          <w:drawing>
            <wp:anchor distT="0" distB="0" distL="0" distR="0" simplePos="0" relativeHeight="251658318" behindDoc="0" locked="0" layoutInCell="1" allowOverlap="1" wp14:anchorId="46ED68F4" wp14:editId="04733769">
              <wp:simplePos x="635" y="635"/>
              <wp:positionH relativeFrom="page">
                <wp:align>center</wp:align>
              </wp:positionH>
              <wp:positionV relativeFrom="page">
                <wp:align>bottom</wp:align>
              </wp:positionV>
              <wp:extent cx="551815" cy="404495"/>
              <wp:effectExtent l="0" t="0" r="635" b="0"/>
              <wp:wrapNone/>
              <wp:docPr id="756981909"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E91FC0" w14:textId="6A73E97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D68F4" id="_x0000_t202" coordsize="21600,21600" o:spt="202" path="m,l,21600r21600,l21600,xe">
              <v:stroke joinstyle="miter"/>
              <v:path gradientshapeok="t" o:connecttype="rect"/>
            </v:shapetype>
            <v:shape id="Text Box 52" o:spid="_x0000_s1081" type="#_x0000_t202" alt="OFFICIAL" style="position:absolute;left:0;text-align:left;margin-left:0;margin-top:0;width:43.45pt;height:31.85pt;z-index:2516583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60E91FC0" w14:textId="6A73E97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9F4A" w14:textId="0D7F85D5" w:rsidR="005B5F82" w:rsidRDefault="004F2FD4">
    <w:pPr>
      <w:pStyle w:val="Footer"/>
    </w:pPr>
    <w:r>
      <w:rPr>
        <w:noProof/>
        <w14:ligatures w14:val="standardContextual"/>
      </w:rPr>
      <mc:AlternateContent>
        <mc:Choice Requires="wps">
          <w:drawing>
            <wp:anchor distT="0" distB="0" distL="0" distR="0" simplePos="0" relativeHeight="251658294" behindDoc="0" locked="0" layoutInCell="1" allowOverlap="1" wp14:anchorId="703DFBC4" wp14:editId="4FA3FE7E">
              <wp:simplePos x="635" y="635"/>
              <wp:positionH relativeFrom="page">
                <wp:align>center</wp:align>
              </wp:positionH>
              <wp:positionV relativeFrom="page">
                <wp:align>bottom</wp:align>
              </wp:positionV>
              <wp:extent cx="551815" cy="404495"/>
              <wp:effectExtent l="0" t="0" r="635" b="0"/>
              <wp:wrapNone/>
              <wp:docPr id="1165588854"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AB5383" w14:textId="6CAFB2F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DFBC4"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31.85pt;z-index:2516582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9AB5383" w14:textId="6CAFB2F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90A3A" w14:textId="1840FFA2" w:rsidR="005B5F82" w:rsidRDefault="004F2FD4">
    <w:pPr>
      <w:pStyle w:val="Footer"/>
    </w:pPr>
    <w:r>
      <w:rPr>
        <w:noProof/>
        <w14:ligatures w14:val="standardContextual"/>
      </w:rPr>
      <mc:AlternateContent>
        <mc:Choice Requires="wps">
          <w:drawing>
            <wp:anchor distT="0" distB="0" distL="0" distR="0" simplePos="0" relativeHeight="251658298" behindDoc="0" locked="0" layoutInCell="1" allowOverlap="1" wp14:anchorId="109BA712" wp14:editId="5ABDDC92">
              <wp:simplePos x="635" y="635"/>
              <wp:positionH relativeFrom="page">
                <wp:align>center</wp:align>
              </wp:positionH>
              <wp:positionV relativeFrom="page">
                <wp:align>bottom</wp:align>
              </wp:positionV>
              <wp:extent cx="551815" cy="404495"/>
              <wp:effectExtent l="0" t="0" r="635" b="0"/>
              <wp:wrapNone/>
              <wp:docPr id="6644490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97DD9D" w14:textId="051DA89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BA712" id="_x0000_t202" coordsize="21600,21600" o:spt="202" path="m,l,21600r21600,l21600,xe">
              <v:stroke joinstyle="miter"/>
              <v:path gradientshapeok="t" o:connecttype="rect"/>
            </v:shapetype>
            <v:shape id="Text Box 32" o:spid="_x0000_s1036" type="#_x0000_t202" alt="OFFICIAL" style="position:absolute;left:0;text-align:left;margin-left:0;margin-top:0;width:43.45pt;height:31.85pt;z-index:251658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4897DD9D" w14:textId="051DA89B"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D670" w14:textId="2C02C1A1" w:rsidR="005B5F82" w:rsidRDefault="004F2FD4" w:rsidP="00800E7D">
    <w:pPr>
      <w:pStyle w:val="Footer"/>
    </w:pPr>
    <w:r>
      <w:rPr>
        <w:noProof/>
        <w14:ligatures w14:val="standardContextual"/>
      </w:rPr>
      <mc:AlternateContent>
        <mc:Choice Requires="wps">
          <w:drawing>
            <wp:anchor distT="0" distB="0" distL="0" distR="0" simplePos="0" relativeHeight="251658299" behindDoc="0" locked="0" layoutInCell="1" allowOverlap="1" wp14:anchorId="00CB032D" wp14:editId="6B489320">
              <wp:simplePos x="635" y="635"/>
              <wp:positionH relativeFrom="page">
                <wp:align>center</wp:align>
              </wp:positionH>
              <wp:positionV relativeFrom="page">
                <wp:align>bottom</wp:align>
              </wp:positionV>
              <wp:extent cx="551815" cy="404495"/>
              <wp:effectExtent l="0" t="0" r="635" b="0"/>
              <wp:wrapNone/>
              <wp:docPr id="1506356395"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319D3E" w14:textId="376A1533"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CB032D" id="_x0000_t202" coordsize="21600,21600" o:spt="202" path="m,l,21600r21600,l21600,xe">
              <v:stroke joinstyle="miter"/>
              <v:path gradientshapeok="t" o:connecttype="rect"/>
            </v:shapetype>
            <v:shape id="Text Box 33" o:spid="_x0000_s1037" type="#_x0000_t202" alt="OFFICIAL" style="position:absolute;left:0;text-align:left;margin-left:0;margin-top:0;width:43.45pt;height:31.85pt;z-index:251658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11319D3E" w14:textId="376A1533"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C54718">
      <w:ptab w:relativeTo="margin" w:alignment="left" w:leader="none"/>
    </w:r>
    <w:r w:rsidR="005B5F82" w:rsidRPr="00C54718">
      <w:t>Department</w:t>
    </w:r>
    <w:r w:rsidR="005B5F82" w:rsidRPr="00F76DD9">
      <w:t xml:space="preserve"> of</w:t>
    </w:r>
    <w:r w:rsidR="005B5F82">
      <w:t xml:space="preserve"> Agriculture, Fisheries and Forestry</w:t>
    </w:r>
  </w:p>
  <w:p w14:paraId="3B41342B" w14:textId="77777777" w:rsidR="005B5F82" w:rsidRPr="00DB7821" w:rsidRDefault="005B5F82" w:rsidP="00800E7D">
    <w:pPr>
      <w:pStyle w:val="Footer"/>
    </w:pPr>
    <w:r>
      <w:fldChar w:fldCharType="begin"/>
    </w:r>
    <w:r>
      <w:instrText xml:space="preserve"> PAGE  \* roman  \* MERGEFORMAT </w:instrText>
    </w:r>
    <w:r>
      <w:fldChar w:fldCharType="separate"/>
    </w:r>
    <w:r>
      <w:rPr>
        <w:noProof/>
      </w:rPr>
      <w:t>iii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6377" w14:textId="058A1147" w:rsidR="005B5F82" w:rsidRDefault="004F2FD4">
    <w:pPr>
      <w:pStyle w:val="Footer"/>
    </w:pPr>
    <w:r>
      <w:rPr>
        <w:noProof/>
        <w14:ligatures w14:val="standardContextual"/>
      </w:rPr>
      <mc:AlternateContent>
        <mc:Choice Requires="wps">
          <w:drawing>
            <wp:anchor distT="0" distB="0" distL="0" distR="0" simplePos="0" relativeHeight="251658297" behindDoc="0" locked="0" layoutInCell="1" allowOverlap="1" wp14:anchorId="1CC57609" wp14:editId="347AA5DA">
              <wp:simplePos x="635" y="635"/>
              <wp:positionH relativeFrom="page">
                <wp:align>center</wp:align>
              </wp:positionH>
              <wp:positionV relativeFrom="page">
                <wp:align>bottom</wp:align>
              </wp:positionV>
              <wp:extent cx="551815" cy="404495"/>
              <wp:effectExtent l="0" t="0" r="635" b="0"/>
              <wp:wrapNone/>
              <wp:docPr id="992757086"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FC8C0D2" w14:textId="039A326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57609" id="_x0000_t202" coordsize="21600,21600" o:spt="202" path="m,l,21600r21600,l21600,xe">
              <v:stroke joinstyle="miter"/>
              <v:path gradientshapeok="t" o:connecttype="rect"/>
            </v:shapetype>
            <v:shape id="Text Box 31" o:spid="_x0000_s1039" type="#_x0000_t202" alt="OFFICIAL" style="position:absolute;left:0;text-align:left;margin-left:0;margin-top:0;width:43.45pt;height:31.85pt;z-index:2516582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6FC8C0D2" w14:textId="039A326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D5DB" w14:textId="50FF9167" w:rsidR="005B5F82" w:rsidRDefault="004F2FD4">
    <w:pPr>
      <w:pStyle w:val="Footer"/>
    </w:pPr>
    <w:r>
      <w:rPr>
        <w:noProof/>
        <w14:ligatures w14:val="standardContextual"/>
      </w:rPr>
      <mc:AlternateContent>
        <mc:Choice Requires="wps">
          <w:drawing>
            <wp:anchor distT="0" distB="0" distL="0" distR="0" simplePos="0" relativeHeight="251658301" behindDoc="0" locked="0" layoutInCell="1" allowOverlap="1" wp14:anchorId="7779F0EF" wp14:editId="4052BA26">
              <wp:simplePos x="635" y="635"/>
              <wp:positionH relativeFrom="page">
                <wp:align>center</wp:align>
              </wp:positionH>
              <wp:positionV relativeFrom="page">
                <wp:align>bottom</wp:align>
              </wp:positionV>
              <wp:extent cx="551815" cy="404495"/>
              <wp:effectExtent l="0" t="0" r="635" b="0"/>
              <wp:wrapNone/>
              <wp:docPr id="176022151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1C4289" w14:textId="1A313C5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79F0EF" id="_x0000_t202" coordsize="21600,21600" o:spt="202" path="m,l,21600r21600,l21600,xe">
              <v:stroke joinstyle="miter"/>
              <v:path gradientshapeok="t" o:connecttype="rect"/>
            </v:shapetype>
            <v:shape id="Text Box 35" o:spid="_x0000_s1042" type="#_x0000_t202" alt="OFFICIAL" style="position:absolute;left:0;text-align:left;margin-left:0;margin-top:0;width:43.45pt;height:31.85pt;z-index:251658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n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Op/RqaE07lYFy4t3zTYe0t8+GFOdwwDoKq&#10;Dc94SAV9ReFsUdKC+/E3f8xH4jFKSY+KqahBSVOivhlcSBTXZLjJqJNR3OWLHOPmoB8AdVjgk7A8&#10;meh1QU2mdKDfUM/rWAhDzHAsV9F6Mh/CKF18D1ys1ykJdWRZ2Jqd5RE68hXJfB3emLNnxgOu6gkm&#10;ObHyHfFjbrzp7foQkP60lcjtSOSZctRg2uv5vUSR//qfsq6vevUT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fxNpw4CAAAd&#10;BAAADgAAAAAAAAAAAAAAAAAuAgAAZHJzL2Uyb0RvYy54bWxQSwECLQAUAAYACAAAACEAH1WiDdsA&#10;AAADAQAADwAAAAAAAAAAAAAAAABoBAAAZHJzL2Rvd25yZXYueG1sUEsFBgAAAAAEAAQA8wAAAHAF&#10;AAAAAA==&#10;" filled="f" stroked="f">
              <v:textbox style="mso-fit-shape-to-text:t" inset="0,0,0,15pt">
                <w:txbxContent>
                  <w:p w14:paraId="1F1C4289" w14:textId="1A313C5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AA75" w14:textId="089119BC" w:rsidR="005B5F82" w:rsidRDefault="004F2FD4" w:rsidP="00800E7D">
    <w:pPr>
      <w:pStyle w:val="Footer"/>
    </w:pPr>
    <w:r>
      <w:rPr>
        <w:noProof/>
        <w14:ligatures w14:val="standardContextual"/>
      </w:rPr>
      <mc:AlternateContent>
        <mc:Choice Requires="wps">
          <w:drawing>
            <wp:anchor distT="0" distB="0" distL="0" distR="0" simplePos="0" relativeHeight="251658302" behindDoc="0" locked="0" layoutInCell="1" allowOverlap="1" wp14:anchorId="4194EDCE" wp14:editId="4D582124">
              <wp:simplePos x="635" y="635"/>
              <wp:positionH relativeFrom="page">
                <wp:align>center</wp:align>
              </wp:positionH>
              <wp:positionV relativeFrom="page">
                <wp:align>bottom</wp:align>
              </wp:positionV>
              <wp:extent cx="551815" cy="404495"/>
              <wp:effectExtent l="0" t="0" r="635" b="0"/>
              <wp:wrapNone/>
              <wp:docPr id="661205633"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A47281" w14:textId="51C9909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4EDCE" id="_x0000_t202" coordsize="21600,21600" o:spt="202" path="m,l,21600r21600,l21600,xe">
              <v:stroke joinstyle="miter"/>
              <v:path gradientshapeok="t" o:connecttype="rect"/>
            </v:shapetype>
            <v:shape id="Text Box 36" o:spid="_x0000_s1043" type="#_x0000_t202" alt="OFFICIAL" style="position:absolute;left:0;text-align:left;margin-left:0;margin-top:0;width:43.45pt;height:31.85pt;z-index:251658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3AA47281" w14:textId="51C9909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t>Departme</w:t>
    </w:r>
    <w:r w:rsidR="005B5F82" w:rsidRPr="00C54718">
      <w:t>nt</w:t>
    </w:r>
    <w:r w:rsidR="005B5F82" w:rsidRPr="00F76DD9">
      <w:t xml:space="preserve"> of</w:t>
    </w:r>
    <w:r w:rsidR="005B5F82">
      <w:t xml:space="preserve"> Agriculture, Fisheries and Forestry</w:t>
    </w:r>
  </w:p>
  <w:p w14:paraId="707822D7" w14:textId="77777777" w:rsidR="005B5F82" w:rsidRDefault="005B5F82" w:rsidP="00800E7D">
    <w:pPr>
      <w:pStyle w:val="Footer"/>
    </w:pPr>
    <w:r>
      <w:fldChar w:fldCharType="begin"/>
    </w:r>
    <w:r>
      <w:instrText xml:space="preserve"> PAGE  \* roman  \* MERGEFORMAT </w:instrText>
    </w:r>
    <w:r>
      <w:fldChar w:fldCharType="separate"/>
    </w:r>
    <w:r>
      <w:t>ii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62F2" w14:textId="0F4B232B" w:rsidR="005B5F82" w:rsidRDefault="004F2FD4">
    <w:pPr>
      <w:pStyle w:val="Footer"/>
    </w:pPr>
    <w:r>
      <w:rPr>
        <w:noProof/>
        <w14:ligatures w14:val="standardContextual"/>
      </w:rPr>
      <mc:AlternateContent>
        <mc:Choice Requires="wps">
          <w:drawing>
            <wp:anchor distT="0" distB="0" distL="0" distR="0" simplePos="0" relativeHeight="251658300" behindDoc="0" locked="0" layoutInCell="1" allowOverlap="1" wp14:anchorId="5090D248" wp14:editId="46E2029B">
              <wp:simplePos x="635" y="635"/>
              <wp:positionH relativeFrom="page">
                <wp:align>center</wp:align>
              </wp:positionH>
              <wp:positionV relativeFrom="page">
                <wp:align>bottom</wp:align>
              </wp:positionV>
              <wp:extent cx="551815" cy="404495"/>
              <wp:effectExtent l="0" t="0" r="635" b="0"/>
              <wp:wrapNone/>
              <wp:docPr id="450698888"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AEA1D3" w14:textId="7983058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90D248" id="_x0000_t202" coordsize="21600,21600" o:spt="202" path="m,l,21600r21600,l21600,xe">
              <v:stroke joinstyle="miter"/>
              <v:path gradientshapeok="t" o:connecttype="rect"/>
            </v:shapetype>
            <v:shape id="Text Box 34" o:spid="_x0000_s1045" type="#_x0000_t202" alt="OFFICIAL" style="position:absolute;left:0;text-align:left;margin-left:0;margin-top:0;width:43.45pt;height:31.85pt;z-index:251658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4FAEA1D3" w14:textId="7983058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4749" w14:textId="77777777" w:rsidR="00162531" w:rsidRDefault="00162531" w:rsidP="005B5F82">
      <w:pPr>
        <w:spacing w:after="0" w:line="240" w:lineRule="auto"/>
      </w:pPr>
      <w:r>
        <w:separator/>
      </w:r>
    </w:p>
  </w:footnote>
  <w:footnote w:type="continuationSeparator" w:id="0">
    <w:p w14:paraId="368FFC3E" w14:textId="77777777" w:rsidR="00162531" w:rsidRDefault="00162531" w:rsidP="005B5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2DD8" w14:textId="11ED4966" w:rsidR="005B5F82" w:rsidRDefault="004F2FD4">
    <w:pPr>
      <w:pStyle w:val="Header"/>
    </w:pPr>
    <w:r>
      <w:rPr>
        <w:noProof/>
        <w14:ligatures w14:val="standardContextual"/>
      </w:rPr>
      <mc:AlternateContent>
        <mc:Choice Requires="wps">
          <w:drawing>
            <wp:anchor distT="0" distB="0" distL="0" distR="0" simplePos="0" relativeHeight="251658268" behindDoc="0" locked="0" layoutInCell="1" allowOverlap="1" wp14:anchorId="5EE54511" wp14:editId="191DFB8F">
              <wp:simplePos x="635" y="635"/>
              <wp:positionH relativeFrom="page">
                <wp:align>center</wp:align>
              </wp:positionH>
              <wp:positionV relativeFrom="page">
                <wp:align>top</wp:align>
              </wp:positionV>
              <wp:extent cx="551815" cy="404495"/>
              <wp:effectExtent l="0" t="0" r="635" b="14605"/>
              <wp:wrapNone/>
              <wp:docPr id="19627687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98148D6" w14:textId="6FD4434F"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54511" id="_x0000_t202" coordsize="21600,21600" o:spt="202" path="m,l,21600r21600,l21600,xe">
              <v:stroke joinstyle="miter"/>
              <v:path gradientshapeok="t" o:connecttype="rect"/>
            </v:shapetype>
            <v:shape id="_x0000_s1028" type="#_x0000_t202" alt="OFFICIAL" style="position:absolute;left:0;text-align:left;margin-left:0;margin-top:0;width:43.45pt;height:31.8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98148D6" w14:textId="6FD4434F"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C07D" w14:textId="72D1632F" w:rsidR="005B5F82" w:rsidRDefault="004F2FD4">
    <w:pPr>
      <w:pStyle w:val="Header"/>
    </w:pPr>
    <w:r>
      <w:rPr>
        <w:noProof/>
        <w14:ligatures w14:val="standardContextual"/>
      </w:rPr>
      <mc:AlternateContent>
        <mc:Choice Requires="wps">
          <w:drawing>
            <wp:anchor distT="0" distB="0" distL="0" distR="0" simplePos="0" relativeHeight="251658277" behindDoc="0" locked="0" layoutInCell="1" allowOverlap="1" wp14:anchorId="52D925BD" wp14:editId="23B88ADF">
              <wp:simplePos x="635" y="635"/>
              <wp:positionH relativeFrom="page">
                <wp:align>center</wp:align>
              </wp:positionH>
              <wp:positionV relativeFrom="page">
                <wp:align>top</wp:align>
              </wp:positionV>
              <wp:extent cx="551815" cy="404495"/>
              <wp:effectExtent l="0" t="0" r="635" b="14605"/>
              <wp:wrapNone/>
              <wp:docPr id="94977755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467F59" w14:textId="41902637"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D925BD" id="_x0000_t202" coordsize="21600,21600" o:spt="202" path="m,l,21600r21600,l21600,xe">
              <v:stroke joinstyle="miter"/>
              <v:path gradientshapeok="t" o:connecttype="rect"/>
            </v:shapetype>
            <v:shape id="Text Box 11" o:spid="_x0000_s1046" type="#_x0000_t202" alt="OFFICIAL" style="position:absolute;left:0;text-align:left;margin-left:0;margin-top:0;width:43.45pt;height:31.85pt;z-index:2516582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0E467F59" w14:textId="41902637"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6C1E" w14:textId="65D6E521" w:rsidR="005B5F82" w:rsidRPr="009257DC" w:rsidRDefault="004F2FD4" w:rsidP="00800E7D">
    <w:pPr>
      <w:pStyle w:val="Header"/>
      <w:rPr>
        <w:b/>
        <w:bCs/>
      </w:rPr>
    </w:pPr>
    <w:r>
      <w:rPr>
        <w:noProof/>
        <w14:ligatures w14:val="standardContextual"/>
      </w:rPr>
      <mc:AlternateContent>
        <mc:Choice Requires="wps">
          <w:drawing>
            <wp:anchor distT="0" distB="0" distL="0" distR="0" simplePos="0" relativeHeight="251658278" behindDoc="0" locked="0" layoutInCell="1" allowOverlap="1" wp14:anchorId="17B5D3FE" wp14:editId="4E567A30">
              <wp:simplePos x="635" y="635"/>
              <wp:positionH relativeFrom="page">
                <wp:align>center</wp:align>
              </wp:positionH>
              <wp:positionV relativeFrom="page">
                <wp:align>top</wp:align>
              </wp:positionV>
              <wp:extent cx="551815" cy="404495"/>
              <wp:effectExtent l="0" t="0" r="635" b="14605"/>
              <wp:wrapNone/>
              <wp:docPr id="125286723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DE2303D" w14:textId="79617BD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5D3FE" id="_x0000_t202" coordsize="21600,21600" o:spt="202" path="m,l,21600r21600,l21600,xe">
              <v:stroke joinstyle="miter"/>
              <v:path gradientshapeok="t" o:connecttype="rect"/>
            </v:shapetype>
            <v:shape id="Text Box 12" o:spid="_x0000_s1047" type="#_x0000_t202" alt="OFFICIAL" style="position:absolute;left:0;text-align:left;margin-left:0;margin-top:0;width:43.45pt;height:31.85pt;z-index:2516582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Du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nY/g7qE07lYFi4t3zdYu0N8+GFOdwwDoKq&#10;Dc94SAVdReFsUdKA+/kvf8xH4jFKSYeKqahBSVOivhtcSBRXMop5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vhIDuDgIAAB0E&#10;AAAOAAAAAAAAAAAAAAAAAC4CAABkcnMvZTJvRG9jLnhtbFBLAQItABQABgAIAAAAIQD8pn6y2gAA&#10;AAMBAAAPAAAAAAAAAAAAAAAAAGgEAABkcnMvZG93bnJldi54bWxQSwUGAAAAAAQABADzAAAAbwUA&#10;AAAA&#10;" filled="f" stroked="f">
              <v:textbox style="mso-fit-shape-to-text:t" inset="0,15pt,0,0">
                <w:txbxContent>
                  <w:p w14:paraId="4DE2303D" w14:textId="79617BD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D552E1">
      <w:rPr>
        <w:b/>
      </w:rPr>
      <w:ptab w:relativeTo="margin" w:alignment="left" w:leader="none"/>
    </w:r>
    <w:r w:rsidR="005B5F82">
      <w:rPr>
        <w:b/>
      </w:rPr>
      <w:ptab w:relativeTo="margin" w:alignment="left" w:leader="none"/>
    </w:r>
    <w:r w:rsidR="005B5F82" w:rsidRPr="00222213">
      <w:rPr>
        <w:noProof/>
      </w:rPr>
      <w:t>Review of devitalisation requirements for fresh cut flower and foliage imports: draft report</w:t>
    </w:r>
  </w:p>
  <w:p w14:paraId="2117B3FC" w14:textId="5DF6C5C9" w:rsidR="005B5F82" w:rsidRPr="00C70BEF" w:rsidRDefault="00D743FA" w:rsidP="00800E7D">
    <w:pPr>
      <w:pStyle w:val="Header"/>
    </w:pPr>
    <w:fldSimple w:instr="STYLEREF  &quot;Heading 2&quot;  \* MERGEFORMAT">
      <w:r w:rsidR="001C0DBA">
        <w:rPr>
          <w:noProof/>
        </w:rPr>
        <w:t>Summary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60D8" w14:textId="4602C1CB" w:rsidR="005B5F82" w:rsidRDefault="004F2FD4">
    <w:pPr>
      <w:pStyle w:val="Header"/>
    </w:pPr>
    <w:r>
      <w:rPr>
        <w:noProof/>
        <w14:ligatures w14:val="standardContextual"/>
      </w:rPr>
      <mc:AlternateContent>
        <mc:Choice Requires="wps">
          <w:drawing>
            <wp:anchor distT="0" distB="0" distL="0" distR="0" simplePos="0" relativeHeight="251658276" behindDoc="0" locked="0" layoutInCell="1" allowOverlap="1" wp14:anchorId="03728F81" wp14:editId="59623380">
              <wp:simplePos x="635" y="635"/>
              <wp:positionH relativeFrom="page">
                <wp:align>center</wp:align>
              </wp:positionH>
              <wp:positionV relativeFrom="page">
                <wp:align>top</wp:align>
              </wp:positionV>
              <wp:extent cx="551815" cy="404495"/>
              <wp:effectExtent l="0" t="0" r="635" b="14605"/>
              <wp:wrapNone/>
              <wp:docPr id="209045276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2416C0" w14:textId="2D8994A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728F81" id="_x0000_t202" coordsize="21600,21600" o:spt="202" path="m,l,21600r21600,l21600,xe">
              <v:stroke joinstyle="miter"/>
              <v:path gradientshapeok="t" o:connecttype="rect"/>
            </v:shapetype>
            <v:shape id="Text Box 10" o:spid="_x0000_s1050" type="#_x0000_t202" alt="OFFICIAL" style="position:absolute;left:0;text-align:left;margin-left:0;margin-top:0;width:43.45pt;height:31.85pt;z-index:2516582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322416C0" w14:textId="2D8994A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8F2D" w14:textId="0D5399E6" w:rsidR="005B5F82" w:rsidRDefault="004F2FD4">
    <w:pPr>
      <w:pStyle w:val="Header"/>
    </w:pPr>
    <w:r>
      <w:rPr>
        <w:noProof/>
        <w14:ligatures w14:val="standardContextual"/>
      </w:rPr>
      <mc:AlternateContent>
        <mc:Choice Requires="wps">
          <w:drawing>
            <wp:anchor distT="0" distB="0" distL="0" distR="0" simplePos="0" relativeHeight="251658280" behindDoc="0" locked="0" layoutInCell="1" allowOverlap="1" wp14:anchorId="31831A1F" wp14:editId="26D2B36E">
              <wp:simplePos x="635" y="635"/>
              <wp:positionH relativeFrom="page">
                <wp:align>center</wp:align>
              </wp:positionH>
              <wp:positionV relativeFrom="page">
                <wp:align>top</wp:align>
              </wp:positionV>
              <wp:extent cx="551815" cy="404495"/>
              <wp:effectExtent l="0" t="0" r="635" b="14605"/>
              <wp:wrapNone/>
              <wp:docPr id="101031665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64BB45" w14:textId="0E7101D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831A1F" id="_x0000_t202" coordsize="21600,21600" o:spt="202" path="m,l,21600r21600,l21600,xe">
              <v:stroke joinstyle="miter"/>
              <v:path gradientshapeok="t" o:connecttype="rect"/>
            </v:shapetype>
            <v:shape id="Text Box 14" o:spid="_x0000_s1052" type="#_x0000_t202" alt="OFFICIAL" style="position:absolute;left:0;text-align:left;margin-left:0;margin-top:0;width:43.45pt;height:31.85pt;z-index:251658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1764BB45" w14:textId="0E7101D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1735" w14:textId="5B43B3E4" w:rsidR="005B5F82" w:rsidRDefault="004F2FD4" w:rsidP="00800E7D">
    <w:pPr>
      <w:pStyle w:val="Header"/>
      <w:rPr>
        <w:noProof/>
      </w:rPr>
    </w:pPr>
    <w:r>
      <w:rPr>
        <w:noProof/>
        <w14:ligatures w14:val="standardContextual"/>
      </w:rPr>
      <mc:AlternateContent>
        <mc:Choice Requires="wps">
          <w:drawing>
            <wp:anchor distT="0" distB="0" distL="0" distR="0" simplePos="0" relativeHeight="251658281" behindDoc="0" locked="0" layoutInCell="1" allowOverlap="1" wp14:anchorId="16DBB73C" wp14:editId="745855C1">
              <wp:simplePos x="635" y="635"/>
              <wp:positionH relativeFrom="page">
                <wp:align>center</wp:align>
              </wp:positionH>
              <wp:positionV relativeFrom="page">
                <wp:align>top</wp:align>
              </wp:positionV>
              <wp:extent cx="551815" cy="404495"/>
              <wp:effectExtent l="0" t="0" r="635" b="14605"/>
              <wp:wrapNone/>
              <wp:docPr id="1539252583"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325BB6" w14:textId="6FF536D2"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BB73C" id="_x0000_t202" coordsize="21600,21600" o:spt="202" path="m,l,21600r21600,l21600,xe">
              <v:stroke joinstyle="miter"/>
              <v:path gradientshapeok="t" o:connecttype="rect"/>
            </v:shapetype>
            <v:shape id="Text Box 15" o:spid="_x0000_s1053" type="#_x0000_t202" alt="OFFICIAL" style="position:absolute;left:0;text-align:left;margin-left:0;margin-top:0;width:43.45pt;height:31.85pt;z-index:2516582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x17XsNAgAAHQQA&#10;AA4AAAAAAAAAAAAAAAAALgIAAGRycy9lMm9Eb2MueG1sUEsBAi0AFAAGAAgAAAAhAPymfrLaAAAA&#10;AwEAAA8AAAAAAAAAAAAAAAAAZwQAAGRycy9kb3ducmV2LnhtbFBLBQYAAAAABAAEAPMAAABuBQAA&#10;AAA=&#10;" filled="f" stroked="f">
              <v:textbox style="mso-fit-shape-to-text:t" inset="0,15pt,0,0">
                <w:txbxContent>
                  <w:p w14:paraId="5D325BB6" w14:textId="6FF536D2"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D552E1">
      <w:rPr>
        <w:b/>
      </w:rPr>
      <w:ptab w:relativeTo="margin" w:alignment="left" w:leader="none"/>
    </w:r>
    <w:r w:rsidR="005B5F82">
      <w:rPr>
        <w:b/>
      </w:rPr>
      <w:ptab w:relativeTo="margin" w:alignment="left" w:leader="none"/>
    </w:r>
    <w:r w:rsidR="005B5F82" w:rsidRPr="00222213">
      <w:rPr>
        <w:noProof/>
      </w:rPr>
      <w:t>Review of devitalisation requirements for fresh cut flower and foliage imports: draft</w:t>
    </w:r>
    <w:r w:rsidR="005B5F82">
      <w:rPr>
        <w:noProof/>
      </w:rPr>
      <w:t xml:space="preserve"> report</w:t>
    </w:r>
  </w:p>
  <w:p w14:paraId="00661982" w14:textId="0E28CFA7" w:rsidR="005B5F82" w:rsidRDefault="00D743FA" w:rsidP="00800E7D">
    <w:pPr>
      <w:pStyle w:val="Header"/>
    </w:pPr>
    <w:fldSimple w:instr="STYLEREF  &quot;Heading 2&quot;  \* MERGEFORMAT">
      <w:r w:rsidR="001C0DBA">
        <w:rPr>
          <w:noProof/>
        </w:rPr>
        <w:t>Introduction</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8D82" w14:textId="002101ED" w:rsidR="005B5F82" w:rsidRDefault="004F2FD4">
    <w:pPr>
      <w:pStyle w:val="Header"/>
    </w:pPr>
    <w:r>
      <w:rPr>
        <w:noProof/>
        <w14:ligatures w14:val="standardContextual"/>
      </w:rPr>
      <mc:AlternateContent>
        <mc:Choice Requires="wps">
          <w:drawing>
            <wp:anchor distT="0" distB="0" distL="0" distR="0" simplePos="0" relativeHeight="251658279" behindDoc="0" locked="0" layoutInCell="1" allowOverlap="1" wp14:anchorId="3AE77B8D" wp14:editId="1B452C77">
              <wp:simplePos x="635" y="635"/>
              <wp:positionH relativeFrom="page">
                <wp:align>center</wp:align>
              </wp:positionH>
              <wp:positionV relativeFrom="page">
                <wp:align>top</wp:align>
              </wp:positionV>
              <wp:extent cx="551815" cy="404495"/>
              <wp:effectExtent l="0" t="0" r="635" b="14605"/>
              <wp:wrapNone/>
              <wp:docPr id="2000343565"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D38985" w14:textId="504F98F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E77B8D" id="_x0000_t202" coordsize="21600,21600" o:spt="202" path="m,l,21600r21600,l21600,xe">
              <v:stroke joinstyle="miter"/>
              <v:path gradientshapeok="t" o:connecttype="rect"/>
            </v:shapetype>
            <v:shape id="Text Box 13" o:spid="_x0000_s1056" type="#_x0000_t202" alt="OFFICIAL" style="position:absolute;left:0;text-align:left;margin-left:0;margin-top:0;width:43.45pt;height:31.85pt;z-index:2516582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6AD38985" w14:textId="504F98F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441F" w14:textId="2A5CC407" w:rsidR="005B5F82" w:rsidRDefault="004F2FD4">
    <w:pPr>
      <w:pStyle w:val="Header"/>
    </w:pPr>
    <w:r>
      <w:rPr>
        <w:noProof/>
        <w14:ligatures w14:val="standardContextual"/>
      </w:rPr>
      <mc:AlternateContent>
        <mc:Choice Requires="wps">
          <w:drawing>
            <wp:anchor distT="0" distB="0" distL="0" distR="0" simplePos="0" relativeHeight="251658283" behindDoc="0" locked="0" layoutInCell="1" allowOverlap="1" wp14:anchorId="58516854" wp14:editId="25DA1A4C">
              <wp:simplePos x="635" y="635"/>
              <wp:positionH relativeFrom="page">
                <wp:align>center</wp:align>
              </wp:positionH>
              <wp:positionV relativeFrom="page">
                <wp:align>top</wp:align>
              </wp:positionV>
              <wp:extent cx="551815" cy="404495"/>
              <wp:effectExtent l="0" t="0" r="635" b="14605"/>
              <wp:wrapNone/>
              <wp:docPr id="136300746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5851764" w14:textId="1DDF3B4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516854" id="_x0000_t202" coordsize="21600,21600" o:spt="202" path="m,l,21600r21600,l21600,xe">
              <v:stroke joinstyle="miter"/>
              <v:path gradientshapeok="t" o:connecttype="rect"/>
            </v:shapetype>
            <v:shape id="Text Box 17" o:spid="_x0000_s1058" type="#_x0000_t202" alt="OFFICIAL" style="position:absolute;left:0;text-align:left;margin-left:0;margin-top:0;width:43.45pt;height:31.85pt;z-index:2516582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45851764" w14:textId="1DDF3B4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p w14:paraId="09135832" w14:textId="77777777" w:rsidR="005B5F82" w:rsidRDefault="005B5F8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5DE7" w14:textId="43D904BA" w:rsidR="005B5F82" w:rsidRPr="00662988" w:rsidRDefault="004F2FD4" w:rsidP="00800E7D">
    <w:pPr>
      <w:pStyle w:val="Header"/>
    </w:pPr>
    <w:r>
      <w:rPr>
        <w:noProof/>
        <w14:ligatures w14:val="standardContextual"/>
      </w:rPr>
      <mc:AlternateContent>
        <mc:Choice Requires="wps">
          <w:drawing>
            <wp:anchor distT="0" distB="0" distL="0" distR="0" simplePos="0" relativeHeight="251658284" behindDoc="0" locked="0" layoutInCell="1" allowOverlap="1" wp14:anchorId="424CB2DA" wp14:editId="194F2B0C">
              <wp:simplePos x="635" y="635"/>
              <wp:positionH relativeFrom="page">
                <wp:align>center</wp:align>
              </wp:positionH>
              <wp:positionV relativeFrom="page">
                <wp:align>top</wp:align>
              </wp:positionV>
              <wp:extent cx="551815" cy="404495"/>
              <wp:effectExtent l="0" t="0" r="635" b="14605"/>
              <wp:wrapNone/>
              <wp:docPr id="546843897"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0E1166" w14:textId="6BBE3F55"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CB2DA" id="_x0000_t202" coordsize="21600,21600" o:spt="202" path="m,l,21600r21600,l21600,xe">
              <v:stroke joinstyle="miter"/>
              <v:path gradientshapeok="t" o:connecttype="rect"/>
            </v:shapetype>
            <v:shape id="Text Box 18" o:spid="_x0000_s1059" type="#_x0000_t202" alt="OFFICIAL" style="position:absolute;left:0;text-align:left;margin-left:0;margin-top:0;width:43.45pt;height:31.85pt;z-index:2516582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m+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dz+1uojziVg2Hh3vJVi7XXzIcn5nDDOAiq&#10;NjziIRV0FYWTRUkD7vdH/piPxGOUkg4VU1GDkqZE/TS4kCiuZBQ3+SzHmxvd29Ewe30HqMMCn4Tl&#10;yYx5QY2mdKBfUM/LWAhDzHAsV9EwmndhkC6+By6Wy5SEOrIsrM3G8ggd+YpkPvcvzNkT4wFX9QCj&#10;nFj5hvghN/7p7XIfkP60lcjtQOSJctRg2uvpvUSRv76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yJxm+DgIAAB0E&#10;AAAOAAAAAAAAAAAAAAAAAC4CAABkcnMvZTJvRG9jLnhtbFBLAQItABQABgAIAAAAIQD8pn6y2gAA&#10;AAMBAAAPAAAAAAAAAAAAAAAAAGgEAABkcnMvZG93bnJldi54bWxQSwUGAAAAAAQABADzAAAAbwUA&#10;AAAA&#10;" filled="f" stroked="f">
              <v:textbox style="mso-fit-shape-to-text:t" inset="0,15pt,0,0">
                <w:txbxContent>
                  <w:p w14:paraId="390E1166" w14:textId="6BBE3F55"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662988">
      <w:rPr>
        <w:noProof/>
      </w:rPr>
      <w:t>Review of devitalisation requirements for fresh cut flower and foliage imports: draft report</w:t>
    </w:r>
  </w:p>
  <w:p w14:paraId="17037343" w14:textId="77777777" w:rsidR="005B5F82" w:rsidRDefault="005B5F82" w:rsidP="00800E7D">
    <w:pPr>
      <w:jc w:val="center"/>
    </w:pPr>
    <w:r w:rsidRPr="00364123">
      <w:t>I</w:t>
    </w:r>
    <w:r w:rsidRPr="008120F7">
      <w:rPr>
        <w:rFonts w:asciiTheme="minorHAnsi" w:hAnsiTheme="minorHAnsi" w:cstheme="minorHAnsi"/>
        <w:noProof/>
        <w:szCs w:val="20"/>
      </w:rPr>
      <w:t>mported cut flower pathway</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DF18" w14:textId="4F5927E8" w:rsidR="005B5F82" w:rsidRDefault="004F2FD4">
    <w:pPr>
      <w:pStyle w:val="Header"/>
    </w:pPr>
    <w:r>
      <w:rPr>
        <w:noProof/>
        <w14:ligatures w14:val="standardContextual"/>
      </w:rPr>
      <mc:AlternateContent>
        <mc:Choice Requires="wps">
          <w:drawing>
            <wp:anchor distT="0" distB="0" distL="0" distR="0" simplePos="0" relativeHeight="251658282" behindDoc="0" locked="0" layoutInCell="1" allowOverlap="1" wp14:anchorId="363B04F7" wp14:editId="41CB9121">
              <wp:simplePos x="635" y="635"/>
              <wp:positionH relativeFrom="page">
                <wp:align>center</wp:align>
              </wp:positionH>
              <wp:positionV relativeFrom="page">
                <wp:align>top</wp:align>
              </wp:positionV>
              <wp:extent cx="551815" cy="404495"/>
              <wp:effectExtent l="0" t="0" r="635" b="14605"/>
              <wp:wrapNone/>
              <wp:docPr id="18395049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6CECDA" w14:textId="4AC706A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B04F7" id="_x0000_t202" coordsize="21600,21600" o:spt="202" path="m,l,21600r21600,l21600,xe">
              <v:stroke joinstyle="miter"/>
              <v:path gradientshapeok="t" o:connecttype="rect"/>
            </v:shapetype>
            <v:shape id="Text Box 16" o:spid="_x0000_s1062" type="#_x0000_t202" alt="OFFICIAL" style="position:absolute;left:0;text-align:left;margin-left:0;margin-top:0;width:43.45pt;height:31.85pt;z-index:2516582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016CECDA" w14:textId="4AC706A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FE974" w14:textId="7F65136A" w:rsidR="005B5F82" w:rsidRDefault="004F2FD4">
    <w:pPr>
      <w:pStyle w:val="Header"/>
    </w:pPr>
    <w:r>
      <w:rPr>
        <w:noProof/>
        <w14:ligatures w14:val="standardContextual"/>
      </w:rPr>
      <mc:AlternateContent>
        <mc:Choice Requires="wps">
          <w:drawing>
            <wp:anchor distT="0" distB="0" distL="0" distR="0" simplePos="0" relativeHeight="251658286" behindDoc="0" locked="0" layoutInCell="1" allowOverlap="1" wp14:anchorId="3B9B2A36" wp14:editId="3970C66C">
              <wp:simplePos x="635" y="635"/>
              <wp:positionH relativeFrom="page">
                <wp:align>center</wp:align>
              </wp:positionH>
              <wp:positionV relativeFrom="page">
                <wp:align>top</wp:align>
              </wp:positionV>
              <wp:extent cx="551815" cy="404495"/>
              <wp:effectExtent l="0" t="0" r="635" b="14605"/>
              <wp:wrapNone/>
              <wp:docPr id="26705854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44A1F4" w14:textId="6A05D96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9B2A36" id="_x0000_t202" coordsize="21600,21600" o:spt="202" path="m,l,21600r21600,l21600,xe">
              <v:stroke joinstyle="miter"/>
              <v:path gradientshapeok="t" o:connecttype="rect"/>
            </v:shapetype>
            <v:shape id="Text Box 20" o:spid="_x0000_s1064" type="#_x0000_t202" alt="OFFICIAL" style="position:absolute;left:0;text-align:left;margin-left:0;margin-top:0;width:43.45pt;height:31.85pt;z-index:2516582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3E44A1F4" w14:textId="6A05D964"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41A8" w14:textId="57259875" w:rsidR="005B5F82" w:rsidRPr="00C401D9" w:rsidRDefault="004F2FD4" w:rsidP="00800E7D">
    <w:pPr>
      <w:pStyle w:val="Header"/>
      <w:jc w:val="left"/>
    </w:pPr>
    <w:r>
      <w:rPr>
        <w:noProof/>
        <w14:ligatures w14:val="standardContextual"/>
      </w:rPr>
      <mc:AlternateContent>
        <mc:Choice Requires="wps">
          <w:drawing>
            <wp:anchor distT="0" distB="0" distL="0" distR="0" simplePos="0" relativeHeight="251658269" behindDoc="0" locked="0" layoutInCell="1" allowOverlap="1" wp14:anchorId="5BB53E14" wp14:editId="2DE9DA3C">
              <wp:simplePos x="635" y="635"/>
              <wp:positionH relativeFrom="page">
                <wp:align>center</wp:align>
              </wp:positionH>
              <wp:positionV relativeFrom="page">
                <wp:align>top</wp:align>
              </wp:positionV>
              <wp:extent cx="551815" cy="404495"/>
              <wp:effectExtent l="0" t="0" r="635" b="14605"/>
              <wp:wrapNone/>
              <wp:docPr id="15939125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C5A1D4" w14:textId="5EDE302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B53E14" id="_x0000_t202" coordsize="21600,21600" o:spt="202" path="m,l,21600r21600,l21600,xe">
              <v:stroke joinstyle="miter"/>
              <v:path gradientshapeok="t" o:connecttype="rect"/>
            </v:shapetype>
            <v:shape id="Text Box 3" o:spid="_x0000_s1029" type="#_x0000_t202" alt="OFFICIAL" style="position:absolute;margin-left:0;margin-top:0;width:43.45pt;height:31.8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5EC5A1D4" w14:textId="5EDE302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Pr>
        <w:noProof/>
      </w:rPr>
      <w:drawing>
        <wp:inline distT="0" distB="0" distL="0" distR="0" wp14:anchorId="49E41A84" wp14:editId="4EDA17C3">
          <wp:extent cx="2124000" cy="619200"/>
          <wp:effectExtent l="0" t="0" r="0" b="0"/>
          <wp:docPr id="1224795515" name="Picture 1224795515" descr="Logo for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for Department of Agriculture, Fisheries and Forestr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000" cy="61920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495B" w14:textId="3F48E825" w:rsidR="005B5F82" w:rsidRPr="002A071E" w:rsidRDefault="004F2FD4" w:rsidP="00800E7D">
    <w:pPr>
      <w:pStyle w:val="Header"/>
    </w:pPr>
    <w:r>
      <w:rPr>
        <w:noProof/>
        <w14:ligatures w14:val="standardContextual"/>
      </w:rPr>
      <mc:AlternateContent>
        <mc:Choice Requires="wps">
          <w:drawing>
            <wp:anchor distT="0" distB="0" distL="0" distR="0" simplePos="0" relativeHeight="251658287" behindDoc="0" locked="0" layoutInCell="1" allowOverlap="1" wp14:anchorId="0BA4FA84" wp14:editId="0908C9B2">
              <wp:simplePos x="635" y="635"/>
              <wp:positionH relativeFrom="page">
                <wp:align>center</wp:align>
              </wp:positionH>
              <wp:positionV relativeFrom="page">
                <wp:align>top</wp:align>
              </wp:positionV>
              <wp:extent cx="551815" cy="404495"/>
              <wp:effectExtent l="0" t="0" r="635" b="14605"/>
              <wp:wrapNone/>
              <wp:docPr id="2146467449"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F37E748" w14:textId="5EB07CC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A4FA84" id="_x0000_t202" coordsize="21600,21600" o:spt="202" path="m,l,21600r21600,l21600,xe">
              <v:stroke joinstyle="miter"/>
              <v:path gradientshapeok="t" o:connecttype="rect"/>
            </v:shapetype>
            <v:shape id="Text Box 21" o:spid="_x0000_s1065" type="#_x0000_t202" alt="OFFICIAL" style="position:absolute;left:0;text-align:left;margin-left:0;margin-top:0;width:43.45pt;height:31.85pt;z-index:2516582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3KS2Mw8CAAAd&#10;BAAADgAAAAAAAAAAAAAAAAAuAgAAZHJzL2Uyb0RvYy54bWxQSwECLQAUAAYACAAAACEA/KZ+stoA&#10;AAADAQAADwAAAAAAAAAAAAAAAABpBAAAZHJzL2Rvd25yZXYueG1sUEsFBgAAAAAEAAQA8wAAAHAF&#10;AAAAAA==&#10;" filled="f" stroked="f">
              <v:textbox style="mso-fit-shape-to-text:t" inset="0,15pt,0,0">
                <w:txbxContent>
                  <w:p w14:paraId="3F37E748" w14:textId="5EB07CC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fldSimple w:instr="STYLEREF  &quot;Heading 1&quot;  \* MERGEFORMAT">
      <w:r w:rsidR="001C0DBA" w:rsidRPr="001C0DBA">
        <w:rPr>
          <w:noProof/>
          <w:lang w:val="en-US"/>
        </w:rPr>
        <w:t>Review of devitalisation requirements</w:t>
      </w:r>
      <w:r w:rsidR="001C0DBA">
        <w:rPr>
          <w:noProof/>
        </w:rPr>
        <w:t xml:space="preserve"> for fresh cut flower and foliage imports: draft report</w:t>
      </w:r>
    </w:fldSimple>
  </w:p>
  <w:p w14:paraId="1633EA00" w14:textId="45816964" w:rsidR="005B5F82" w:rsidRDefault="00D743FA" w:rsidP="00800E7D">
    <w:pPr>
      <w:pStyle w:val="Header"/>
    </w:pPr>
    <w:fldSimple w:instr="STYLEREF  &quot;Heading 2&quot;  \* MERGEFORMAT">
      <w:r w:rsidR="001C0DBA">
        <w:rPr>
          <w:noProof/>
        </w:rPr>
        <w:t>Proposals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A66E" w14:textId="779738A5" w:rsidR="005B5F82" w:rsidRDefault="004F2FD4">
    <w:pPr>
      <w:pStyle w:val="Header"/>
    </w:pPr>
    <w:r>
      <w:rPr>
        <w:noProof/>
        <w14:ligatures w14:val="standardContextual"/>
      </w:rPr>
      <mc:AlternateContent>
        <mc:Choice Requires="wps">
          <w:drawing>
            <wp:anchor distT="0" distB="0" distL="0" distR="0" simplePos="0" relativeHeight="251658285" behindDoc="0" locked="0" layoutInCell="1" allowOverlap="1" wp14:anchorId="72773780" wp14:editId="6D74F2F1">
              <wp:simplePos x="635" y="635"/>
              <wp:positionH relativeFrom="page">
                <wp:align>center</wp:align>
              </wp:positionH>
              <wp:positionV relativeFrom="page">
                <wp:align>top</wp:align>
              </wp:positionV>
              <wp:extent cx="551815" cy="404495"/>
              <wp:effectExtent l="0" t="0" r="635" b="14605"/>
              <wp:wrapNone/>
              <wp:docPr id="193244674"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9185925" w14:textId="2620B73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73780" id="_x0000_t202" coordsize="21600,21600" o:spt="202" path="m,l,21600r21600,l21600,xe">
              <v:stroke joinstyle="miter"/>
              <v:path gradientshapeok="t" o:connecttype="rect"/>
            </v:shapetype>
            <v:shape id="Text Box 19" o:spid="_x0000_s1068" type="#_x0000_t202" alt="OFFICIAL" style="position:absolute;left:0;text-align:left;margin-left:0;margin-top:0;width:43.45pt;height:31.85pt;z-index:2516582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29185925" w14:textId="2620B73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C50C" w14:textId="31E6B1A4" w:rsidR="005B5F82" w:rsidRDefault="004F2FD4">
    <w:pPr>
      <w:pStyle w:val="Header"/>
    </w:pPr>
    <w:r>
      <w:rPr>
        <w:noProof/>
        <w14:ligatures w14:val="standardContextual"/>
      </w:rPr>
      <mc:AlternateContent>
        <mc:Choice Requires="wps">
          <w:drawing>
            <wp:anchor distT="0" distB="0" distL="0" distR="0" simplePos="0" relativeHeight="251658289" behindDoc="0" locked="0" layoutInCell="1" allowOverlap="1" wp14:anchorId="0AC6ECE4" wp14:editId="43544CF7">
              <wp:simplePos x="635" y="635"/>
              <wp:positionH relativeFrom="page">
                <wp:align>center</wp:align>
              </wp:positionH>
              <wp:positionV relativeFrom="page">
                <wp:align>top</wp:align>
              </wp:positionV>
              <wp:extent cx="551815" cy="404495"/>
              <wp:effectExtent l="0" t="0" r="635" b="14605"/>
              <wp:wrapNone/>
              <wp:docPr id="2068381122"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713ED48" w14:textId="3282CC6F"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C6ECE4" id="_x0000_t202" coordsize="21600,21600" o:spt="202" path="m,l,21600r21600,l21600,xe">
              <v:stroke joinstyle="miter"/>
              <v:path gradientshapeok="t" o:connecttype="rect"/>
            </v:shapetype>
            <v:shape id="Text Box 23" o:spid="_x0000_s1070" type="#_x0000_t202" alt="OFFICIAL" style="position:absolute;left:0;text-align:left;margin-left:0;margin-top:0;width:43.45pt;height:31.85pt;z-index:251658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5713ED48" w14:textId="3282CC6F"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8403" w14:textId="7A39B911" w:rsidR="005B5F82" w:rsidRPr="00B91BF4" w:rsidRDefault="004F2FD4" w:rsidP="00800E7D">
    <w:pPr>
      <w:pStyle w:val="Header"/>
    </w:pPr>
    <w:r>
      <w:rPr>
        <w:noProof/>
        <w14:ligatures w14:val="standardContextual"/>
      </w:rPr>
      <mc:AlternateContent>
        <mc:Choice Requires="wps">
          <w:drawing>
            <wp:anchor distT="0" distB="0" distL="0" distR="0" simplePos="0" relativeHeight="251658290" behindDoc="0" locked="0" layoutInCell="1" allowOverlap="1" wp14:anchorId="783F8F1E" wp14:editId="5FC709D2">
              <wp:simplePos x="635" y="635"/>
              <wp:positionH relativeFrom="page">
                <wp:align>center</wp:align>
              </wp:positionH>
              <wp:positionV relativeFrom="page">
                <wp:align>top</wp:align>
              </wp:positionV>
              <wp:extent cx="551815" cy="404495"/>
              <wp:effectExtent l="0" t="0" r="635" b="14605"/>
              <wp:wrapNone/>
              <wp:docPr id="1141439729"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3010A4" w14:textId="58FB272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3F8F1E" id="_x0000_t202" coordsize="21600,21600" o:spt="202" path="m,l,21600r21600,l21600,xe">
              <v:stroke joinstyle="miter"/>
              <v:path gradientshapeok="t" o:connecttype="rect"/>
            </v:shapetype>
            <v:shape id="Text Box 24" o:spid="_x0000_s1071" type="#_x0000_t202" alt="OFFICIAL" style="position:absolute;left:0;text-align:left;margin-left:0;margin-top:0;width:43.45pt;height:31.85pt;z-index:251658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Vc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4l/H9rdQH3EqB8PCveWrFmuvmQ9PzOGGcRBU&#10;bXjEQyroKgoni5IG3O+P/DEficcoJR0qpqIGJU2J+mlwIVFcyShu8lmONze6t6Nh9voOUIcFPgnL&#10;kxnzghpN6UC/oJ6XsRCGmOFYrqJhNO/CIF18D1wslykJdWRZWJuN5RE68hXJfO5fmLMnxgOu6gFG&#10;ObHyDfFDbvzT2+U+IP1pK5HbgcgT5ajBtNfTe4kif31PWZdXvfgD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uFcVcDgIAAB0E&#10;AAAOAAAAAAAAAAAAAAAAAC4CAABkcnMvZTJvRG9jLnhtbFBLAQItABQABgAIAAAAIQD8pn6y2gAA&#10;AAMBAAAPAAAAAAAAAAAAAAAAAGgEAABkcnMvZG93bnJldi54bWxQSwUGAAAAAAQABADzAAAAbwUA&#10;AAAA&#10;" filled="f" stroked="f">
              <v:textbox style="mso-fit-shape-to-text:t" inset="0,15pt,0,0">
                <w:txbxContent>
                  <w:p w14:paraId="123010A4" w14:textId="58FB272A"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B91BF4">
      <w:rPr>
        <w:noProof/>
      </w:rPr>
      <w:t>Review of devitalisation requirements for fresh cut flower and foliage imports: draft report</w:t>
    </w:r>
  </w:p>
  <w:p w14:paraId="7D733084" w14:textId="2E34D3C2" w:rsidR="005B5F82" w:rsidRPr="005B1197" w:rsidRDefault="00D743FA" w:rsidP="00800E7D">
    <w:pPr>
      <w:pStyle w:val="Header"/>
    </w:pPr>
    <w:fldSimple w:instr="STYLEREF  &quot;Heading 2&quot;  \* MERGEFORMAT">
      <w:r w:rsidR="001C0DBA">
        <w:rPr>
          <w:noProof/>
        </w:rPr>
        <w:t>Glossary, acronyms and abbreviations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A0D7" w14:textId="0FDD2525" w:rsidR="005B5F82" w:rsidRDefault="004F2FD4">
    <w:pPr>
      <w:pStyle w:val="Header"/>
    </w:pPr>
    <w:r>
      <w:rPr>
        <w:noProof/>
        <w14:ligatures w14:val="standardContextual"/>
      </w:rPr>
      <mc:AlternateContent>
        <mc:Choice Requires="wps">
          <w:drawing>
            <wp:anchor distT="0" distB="0" distL="0" distR="0" simplePos="0" relativeHeight="251658288" behindDoc="0" locked="0" layoutInCell="1" allowOverlap="1" wp14:anchorId="6419C7DD" wp14:editId="1996AFB6">
              <wp:simplePos x="635" y="635"/>
              <wp:positionH relativeFrom="page">
                <wp:align>center</wp:align>
              </wp:positionH>
              <wp:positionV relativeFrom="page">
                <wp:align>top</wp:align>
              </wp:positionV>
              <wp:extent cx="551815" cy="404495"/>
              <wp:effectExtent l="0" t="0" r="635" b="14605"/>
              <wp:wrapNone/>
              <wp:docPr id="129072335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A0FCE04" w14:textId="7B5F50A2"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19C7DD" id="_x0000_t202" coordsize="21600,21600" o:spt="202" path="m,l,21600r21600,l21600,xe">
              <v:stroke joinstyle="miter"/>
              <v:path gradientshapeok="t" o:connecttype="rect"/>
            </v:shapetype>
            <v:shape id="Text Box 22" o:spid="_x0000_s1074" type="#_x0000_t202" alt="OFFICIAL" style="position:absolute;left:0;text-align:left;margin-left:0;margin-top:0;width:43.45pt;height:31.85pt;z-index:25165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6A0FCE04" w14:textId="7B5F50A2"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407F" w14:textId="57AA77DA" w:rsidR="005B5F82" w:rsidRDefault="004F2FD4">
    <w:pPr>
      <w:pStyle w:val="Header"/>
    </w:pPr>
    <w:r>
      <w:rPr>
        <w:noProof/>
        <w14:ligatures w14:val="standardContextual"/>
      </w:rPr>
      <mc:AlternateContent>
        <mc:Choice Requires="wps">
          <w:drawing>
            <wp:anchor distT="0" distB="0" distL="0" distR="0" simplePos="0" relativeHeight="251658292" behindDoc="0" locked="0" layoutInCell="1" allowOverlap="1" wp14:anchorId="0DE52CA9" wp14:editId="7E8EDFE4">
              <wp:simplePos x="635" y="635"/>
              <wp:positionH relativeFrom="page">
                <wp:align>center</wp:align>
              </wp:positionH>
              <wp:positionV relativeFrom="page">
                <wp:align>top</wp:align>
              </wp:positionV>
              <wp:extent cx="551815" cy="404495"/>
              <wp:effectExtent l="0" t="0" r="635" b="14605"/>
              <wp:wrapNone/>
              <wp:docPr id="1571600037"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FD0EC8" w14:textId="402CC52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E52CA9" id="_x0000_t202" coordsize="21600,21600" o:spt="202" path="m,l,21600r21600,l21600,xe">
              <v:stroke joinstyle="miter"/>
              <v:path gradientshapeok="t" o:connecttype="rect"/>
            </v:shapetype>
            <v:shape id="Text Box 26" o:spid="_x0000_s1076" type="#_x0000_t202" alt="OFFICIAL" style="position:absolute;left:0;text-align:left;margin-left:0;margin-top:0;width:43.45pt;height:31.85pt;z-index:251658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0DFD0EC8" w14:textId="402CC52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8C31D" w14:textId="41C4D40A" w:rsidR="005B5F82" w:rsidRPr="0026482F" w:rsidRDefault="004F2FD4" w:rsidP="00800E7D">
    <w:pPr>
      <w:pStyle w:val="Header"/>
      <w:rPr>
        <w:noProof/>
      </w:rPr>
    </w:pPr>
    <w:r>
      <w:rPr>
        <w:noProof/>
        <w14:ligatures w14:val="standardContextual"/>
      </w:rPr>
      <mc:AlternateContent>
        <mc:Choice Requires="wps">
          <w:drawing>
            <wp:anchor distT="0" distB="0" distL="0" distR="0" simplePos="0" relativeHeight="251658293" behindDoc="0" locked="0" layoutInCell="1" allowOverlap="1" wp14:anchorId="2DFDD55F" wp14:editId="4C341E5A">
              <wp:simplePos x="635" y="635"/>
              <wp:positionH relativeFrom="page">
                <wp:align>center</wp:align>
              </wp:positionH>
              <wp:positionV relativeFrom="page">
                <wp:align>top</wp:align>
              </wp:positionV>
              <wp:extent cx="551815" cy="404495"/>
              <wp:effectExtent l="0" t="0" r="635" b="14605"/>
              <wp:wrapNone/>
              <wp:docPr id="849071582"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135CC4" w14:textId="32DAA8F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FDD55F" id="_x0000_t202" coordsize="21600,21600" o:spt="202" path="m,l,21600r21600,l21600,xe">
              <v:stroke joinstyle="miter"/>
              <v:path gradientshapeok="t" o:connecttype="rect"/>
            </v:shapetype>
            <v:shape id="Text Box 27" o:spid="_x0000_s1077" type="#_x0000_t202" alt="OFFICIAL" style="position:absolute;left:0;text-align:left;margin-left:0;margin-top:0;width:43.45pt;height:31.85pt;z-index:251658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QRDgIAAB0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2x+Hxsfwf1CadyMCzcW75usfaG+fDCHG4YB0HV&#10;hmc8pIKuonC2KGnA/fyXP+Yj8RilpEPFVNSgpClR3w0uJIorGcU8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dlkQRDgIAAB0E&#10;AAAOAAAAAAAAAAAAAAAAAC4CAABkcnMvZTJvRG9jLnhtbFBLAQItABQABgAIAAAAIQD8pn6y2gAA&#10;AAMBAAAPAAAAAAAAAAAAAAAAAGgEAABkcnMvZG93bnJldi54bWxQSwUGAAAAAAQABADzAAAAbwUA&#10;AAAA&#10;" filled="f" stroked="f">
              <v:textbox style="mso-fit-shape-to-text:t" inset="0,15pt,0,0">
                <w:txbxContent>
                  <w:p w14:paraId="65135CC4" w14:textId="32DAA8F1"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26482F">
      <w:rPr>
        <w:noProof/>
      </w:rPr>
      <w:t>Review of devitalisation requirements for fresh cut flower and foliage imports: draft report</w:t>
    </w:r>
  </w:p>
  <w:p w14:paraId="4E41FCB6" w14:textId="77777777" w:rsidR="005B5F82" w:rsidRPr="00AD4F2F" w:rsidRDefault="005B5F82" w:rsidP="00800E7D">
    <w:pPr>
      <w:pStyle w:val="Header"/>
    </w:pPr>
    <w:r>
      <w:rPr>
        <w:noProof/>
      </w:rPr>
      <w:t>References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FA664" w14:textId="137DAEE0" w:rsidR="005B5F82" w:rsidRDefault="004F2FD4">
    <w:pPr>
      <w:pStyle w:val="Header"/>
    </w:pPr>
    <w:r>
      <w:rPr>
        <w:noProof/>
        <w14:ligatures w14:val="standardContextual"/>
      </w:rPr>
      <mc:AlternateContent>
        <mc:Choice Requires="wps">
          <w:drawing>
            <wp:anchor distT="0" distB="0" distL="0" distR="0" simplePos="0" relativeHeight="251658291" behindDoc="0" locked="0" layoutInCell="1" allowOverlap="1" wp14:anchorId="3A1BA0E0" wp14:editId="3B9999D7">
              <wp:simplePos x="635" y="635"/>
              <wp:positionH relativeFrom="page">
                <wp:align>center</wp:align>
              </wp:positionH>
              <wp:positionV relativeFrom="page">
                <wp:align>top</wp:align>
              </wp:positionV>
              <wp:extent cx="551815" cy="404495"/>
              <wp:effectExtent l="0" t="0" r="635" b="14605"/>
              <wp:wrapNone/>
              <wp:docPr id="213483357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6B113D" w14:textId="7D81303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1BA0E0" id="_x0000_t202" coordsize="21600,21600" o:spt="202" path="m,l,21600r21600,l21600,xe">
              <v:stroke joinstyle="miter"/>
              <v:path gradientshapeok="t" o:connecttype="rect"/>
            </v:shapetype>
            <v:shape id="Text Box 25" o:spid="_x0000_s1080" type="#_x0000_t202" alt="OFFICIAL" style="position:absolute;left:0;text-align:left;margin-left:0;margin-top:0;width:43.45pt;height:31.85pt;z-index:251658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436B113D" w14:textId="7D81303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2E11" w14:textId="1BE3EC4F" w:rsidR="005B5F82" w:rsidRDefault="004F2FD4">
    <w:pPr>
      <w:pStyle w:val="Header"/>
    </w:pPr>
    <w:r>
      <w:rPr>
        <w:noProof/>
        <w14:ligatures w14:val="standardContextual"/>
      </w:rPr>
      <mc:AlternateContent>
        <mc:Choice Requires="wps">
          <w:drawing>
            <wp:anchor distT="0" distB="0" distL="0" distR="0" simplePos="0" relativeHeight="251658267" behindDoc="0" locked="0" layoutInCell="1" allowOverlap="1" wp14:anchorId="133DAD3A" wp14:editId="03660910">
              <wp:simplePos x="635" y="635"/>
              <wp:positionH relativeFrom="page">
                <wp:align>center</wp:align>
              </wp:positionH>
              <wp:positionV relativeFrom="page">
                <wp:align>top</wp:align>
              </wp:positionV>
              <wp:extent cx="551815" cy="404495"/>
              <wp:effectExtent l="0" t="0" r="635" b="14605"/>
              <wp:wrapNone/>
              <wp:docPr id="163135519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5B273F" w14:textId="47FD90C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3DAD3A" id="_x0000_t202" coordsize="21600,21600" o:spt="202" path="m,l,21600r21600,l21600,xe">
              <v:stroke joinstyle="miter"/>
              <v:path gradientshapeok="t" o:connecttype="rect"/>
            </v:shapetype>
            <v:shape id="Text Box 1" o:spid="_x0000_s1032" type="#_x0000_t202" alt="OFFICIAL" style="position:absolute;left:0;text-align:left;margin-left:0;margin-top:0;width:43.45pt;height:31.8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545B273F" w14:textId="47FD90C6"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73C3" w14:textId="0F8B3B34" w:rsidR="005B5F82" w:rsidRDefault="004F2FD4">
    <w:pPr>
      <w:pStyle w:val="Header"/>
    </w:pPr>
    <w:r>
      <w:rPr>
        <w:noProof/>
        <w14:ligatures w14:val="standardContextual"/>
      </w:rPr>
      <mc:AlternateContent>
        <mc:Choice Requires="wps">
          <w:drawing>
            <wp:anchor distT="0" distB="0" distL="0" distR="0" simplePos="0" relativeHeight="251658271" behindDoc="0" locked="0" layoutInCell="1" allowOverlap="1" wp14:anchorId="5CCF3F5C" wp14:editId="6776F840">
              <wp:simplePos x="635" y="635"/>
              <wp:positionH relativeFrom="page">
                <wp:align>center</wp:align>
              </wp:positionH>
              <wp:positionV relativeFrom="page">
                <wp:align>top</wp:align>
              </wp:positionV>
              <wp:extent cx="551815" cy="404495"/>
              <wp:effectExtent l="0" t="0" r="635" b="14605"/>
              <wp:wrapNone/>
              <wp:docPr id="126585967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D2DFC1A" w14:textId="782D45A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F3F5C" id="_x0000_t202" coordsize="21600,21600" o:spt="202" path="m,l,21600r21600,l21600,xe">
              <v:stroke joinstyle="miter"/>
              <v:path gradientshapeok="t" o:connecttype="rect"/>
            </v:shapetype>
            <v:shape id="Text Box 5" o:spid="_x0000_s1034" type="#_x0000_t202" alt="OFFICIAL" style="position:absolute;left:0;text-align:left;margin-left:0;margin-top:0;width:43.45pt;height:31.8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4D2DFC1A" w14:textId="782D45A9"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A522" w14:textId="6B6AE14D" w:rsidR="005B5F82" w:rsidRPr="00222213" w:rsidRDefault="004F2FD4" w:rsidP="00800E7D">
    <w:pPr>
      <w:pStyle w:val="Header"/>
    </w:pPr>
    <w:r>
      <w:rPr>
        <w:noProof/>
        <w14:ligatures w14:val="standardContextual"/>
      </w:rPr>
      <mc:AlternateContent>
        <mc:Choice Requires="wps">
          <w:drawing>
            <wp:anchor distT="0" distB="0" distL="0" distR="0" simplePos="0" relativeHeight="251658272" behindDoc="0" locked="0" layoutInCell="1" allowOverlap="1" wp14:anchorId="41F837A6" wp14:editId="10A079DE">
              <wp:simplePos x="635" y="635"/>
              <wp:positionH relativeFrom="page">
                <wp:align>center</wp:align>
              </wp:positionH>
              <wp:positionV relativeFrom="page">
                <wp:align>top</wp:align>
              </wp:positionV>
              <wp:extent cx="551815" cy="404495"/>
              <wp:effectExtent l="0" t="0" r="635" b="14605"/>
              <wp:wrapNone/>
              <wp:docPr id="35787726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7095C4E" w14:textId="2D26E265"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F837A6" id="_x0000_t202" coordsize="21600,21600" o:spt="202" path="m,l,21600r21600,l21600,xe">
              <v:stroke joinstyle="miter"/>
              <v:path gradientshapeok="t" o:connecttype="rect"/>
            </v:shapetype>
            <v:shape id="Text Box 6" o:spid="_x0000_s1035" type="#_x0000_t202" alt="OFFICIAL" style="position:absolute;left:0;text-align:left;margin-left:0;margin-top:0;width:43.45pt;height:31.8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27095C4E" w14:textId="2D26E265"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222213">
      <w:rPr>
        <w:noProof/>
      </w:rPr>
      <w:t>Review of devitalisation requirements for fresh cut flower and foliage imports: 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2299" w14:textId="5856A881" w:rsidR="005B5F82" w:rsidRDefault="004F2FD4">
    <w:pPr>
      <w:pStyle w:val="Header"/>
    </w:pPr>
    <w:r>
      <w:rPr>
        <w:noProof/>
        <w14:ligatures w14:val="standardContextual"/>
      </w:rPr>
      <mc:AlternateContent>
        <mc:Choice Requires="wps">
          <w:drawing>
            <wp:anchor distT="0" distB="0" distL="0" distR="0" simplePos="0" relativeHeight="251658270" behindDoc="0" locked="0" layoutInCell="1" allowOverlap="1" wp14:anchorId="1A40EE1E" wp14:editId="22F74A92">
              <wp:simplePos x="635" y="635"/>
              <wp:positionH relativeFrom="page">
                <wp:align>center</wp:align>
              </wp:positionH>
              <wp:positionV relativeFrom="page">
                <wp:align>top</wp:align>
              </wp:positionV>
              <wp:extent cx="551815" cy="404495"/>
              <wp:effectExtent l="0" t="0" r="635" b="14605"/>
              <wp:wrapNone/>
              <wp:docPr id="24457459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B342D0" w14:textId="5E16F07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40EE1E" id="_x0000_t202" coordsize="21600,21600" o:spt="202" path="m,l,21600r21600,l21600,xe">
              <v:stroke joinstyle="miter"/>
              <v:path gradientshapeok="t" o:connecttype="rect"/>
            </v:shapetype>
            <v:shape id="Text Box 4" o:spid="_x0000_s1038" type="#_x0000_t202" alt="OFFICIAL" style="position:absolute;left:0;text-align:left;margin-left:0;margin-top:0;width:43.45pt;height:31.8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1EB342D0" w14:textId="5E16F07D"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9CA24" w14:textId="32E0B95C" w:rsidR="005B5F82" w:rsidRDefault="004F2FD4">
    <w:pPr>
      <w:pStyle w:val="Header"/>
    </w:pPr>
    <w:r>
      <w:rPr>
        <w:noProof/>
        <w14:ligatures w14:val="standardContextual"/>
      </w:rPr>
      <mc:AlternateContent>
        <mc:Choice Requires="wps">
          <w:drawing>
            <wp:anchor distT="0" distB="0" distL="0" distR="0" simplePos="0" relativeHeight="251658274" behindDoc="0" locked="0" layoutInCell="1" allowOverlap="1" wp14:anchorId="04BC5B40" wp14:editId="4F09347C">
              <wp:simplePos x="635" y="635"/>
              <wp:positionH relativeFrom="page">
                <wp:align>center</wp:align>
              </wp:positionH>
              <wp:positionV relativeFrom="page">
                <wp:align>top</wp:align>
              </wp:positionV>
              <wp:extent cx="551815" cy="404495"/>
              <wp:effectExtent l="0" t="0" r="635" b="14605"/>
              <wp:wrapNone/>
              <wp:docPr id="160363608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5BDCBE" w14:textId="3E3058F0"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BC5B40" id="_x0000_t202" coordsize="21600,21600" o:spt="202" path="m,l,21600r21600,l21600,xe">
              <v:stroke joinstyle="miter"/>
              <v:path gradientshapeok="t" o:connecttype="rect"/>
            </v:shapetype>
            <v:shape id="Text Box 8" o:spid="_x0000_s1040" type="#_x0000_t202" alt="OFFICIAL" style="position:absolute;left:0;text-align:left;margin-left:0;margin-top:0;width:43.45pt;height:31.85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6B5BDCBE" w14:textId="3E3058F0"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2CCCB" w14:textId="7233BDBC" w:rsidR="005B5F82" w:rsidRDefault="004F2FD4" w:rsidP="00800E7D">
    <w:pPr>
      <w:pStyle w:val="Header"/>
    </w:pPr>
    <w:r>
      <w:rPr>
        <w:noProof/>
        <w14:ligatures w14:val="standardContextual"/>
      </w:rPr>
      <mc:AlternateContent>
        <mc:Choice Requires="wps">
          <w:drawing>
            <wp:anchor distT="0" distB="0" distL="0" distR="0" simplePos="0" relativeHeight="251658275" behindDoc="0" locked="0" layoutInCell="1" allowOverlap="1" wp14:anchorId="166619D4" wp14:editId="0C7BD2FC">
              <wp:simplePos x="635" y="635"/>
              <wp:positionH relativeFrom="page">
                <wp:align>center</wp:align>
              </wp:positionH>
              <wp:positionV relativeFrom="page">
                <wp:align>top</wp:align>
              </wp:positionV>
              <wp:extent cx="551815" cy="404495"/>
              <wp:effectExtent l="0" t="0" r="635" b="14605"/>
              <wp:wrapNone/>
              <wp:docPr id="65391853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3F63B5" w14:textId="5BE0F65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6619D4" id="_x0000_t202" coordsize="21600,21600" o:spt="202" path="m,l,21600r21600,l21600,xe">
              <v:stroke joinstyle="miter"/>
              <v:path gradientshapeok="t" o:connecttype="rect"/>
            </v:shapetype>
            <v:shape id="Text Box 9" o:spid="_x0000_s1041" type="#_x0000_t202" alt="OFFICIAL" style="position:absolute;left:0;text-align:left;margin-left:0;margin-top:0;width:43.45pt;height:31.85pt;z-index:2516582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GjDg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bG7r+O7W+hPuJUDoaFe8tXLdZeMx+emMMN4yCo&#10;2vCIh1TQVRROFiUNuN8f+WM+Eo9RSjpUTEUNSpoS9dPgQqK4klHc5LMcb250b0fD7PUdoA4LfBKW&#10;JzPmBTWa0oF+QT0vYyEMMcOxXEXDaN6FQbr4HrhYLlMS6siysDYbyyN05CuS+dy/MGdPjAdc1QOM&#10;cmLlG+KH3Pint8t9QPrTViK3A5EnylGDaa+n9xJF/vqesi6vevEH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cBwGjDgIAAB0E&#10;AAAOAAAAAAAAAAAAAAAAAC4CAABkcnMvZTJvRG9jLnhtbFBLAQItABQABgAIAAAAIQD8pn6y2gAA&#10;AAMBAAAPAAAAAAAAAAAAAAAAAGgEAABkcnMvZG93bnJldi54bWxQSwUGAAAAAAQABADzAAAAbwUA&#10;AAAA&#10;" filled="f" stroked="f">
              <v:textbox style="mso-fit-shape-to-text:t" inset="0,15pt,0,0">
                <w:txbxContent>
                  <w:p w14:paraId="353F63B5" w14:textId="5BE0F65C"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r w:rsidR="005B5F82" w:rsidRPr="00222213">
      <w:rPr>
        <w:noProof/>
      </w:rPr>
      <w:t>Review of devitalisation requirements for fresh cut flower and foliage imports: draft report</w:t>
    </w:r>
  </w:p>
  <w:p w14:paraId="22B7658F" w14:textId="77777777" w:rsidR="005B5F82" w:rsidRPr="003E176F" w:rsidRDefault="005B5F82" w:rsidP="00800E7D">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C84F" w14:textId="7E5235A3" w:rsidR="005B5F82" w:rsidRDefault="004F2FD4">
    <w:pPr>
      <w:pStyle w:val="Header"/>
    </w:pPr>
    <w:r>
      <w:rPr>
        <w:noProof/>
        <w14:ligatures w14:val="standardContextual"/>
      </w:rPr>
      <mc:AlternateContent>
        <mc:Choice Requires="wps">
          <w:drawing>
            <wp:anchor distT="0" distB="0" distL="0" distR="0" simplePos="0" relativeHeight="251658273" behindDoc="0" locked="0" layoutInCell="1" allowOverlap="1" wp14:anchorId="1C536338" wp14:editId="0141EBD9">
              <wp:simplePos x="635" y="635"/>
              <wp:positionH relativeFrom="page">
                <wp:align>center</wp:align>
              </wp:positionH>
              <wp:positionV relativeFrom="page">
                <wp:align>top</wp:align>
              </wp:positionV>
              <wp:extent cx="551815" cy="404495"/>
              <wp:effectExtent l="0" t="0" r="635" b="14605"/>
              <wp:wrapNone/>
              <wp:docPr id="212249243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E117CFD" w14:textId="3FF4BD3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536338" id="_x0000_t202" coordsize="21600,21600" o:spt="202" path="m,l,21600r21600,l21600,xe">
              <v:stroke joinstyle="miter"/>
              <v:path gradientshapeok="t" o:connecttype="rect"/>
            </v:shapetype>
            <v:shape id="Text Box 7" o:spid="_x0000_s1044" type="#_x0000_t202" alt="OFFICIAL" style="position:absolute;left:0;text-align:left;margin-left:0;margin-top:0;width:43.45pt;height:31.8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3E117CFD" w14:textId="3FF4BD3E" w:rsidR="004F2FD4" w:rsidRPr="004F2FD4" w:rsidRDefault="004F2FD4" w:rsidP="004F2FD4">
                    <w:pPr>
                      <w:spacing w:after="0"/>
                      <w:rPr>
                        <w:rFonts w:eastAsia="Calibri" w:cs="Calibri"/>
                        <w:noProof/>
                        <w:color w:val="FF0000"/>
                        <w:sz w:val="24"/>
                        <w:szCs w:val="24"/>
                      </w:rPr>
                    </w:pPr>
                    <w:r w:rsidRPr="004F2FD4">
                      <w:rPr>
                        <w:rFonts w:eastAsia="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12A"/>
    <w:multiLevelType w:val="multilevel"/>
    <w:tmpl w:val="5882FBC4"/>
    <w:lvl w:ilvl="0">
      <w:start w:val="1"/>
      <w:numFmt w:val="decimal"/>
      <w:pStyle w:val="Heading5-Appendix"/>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7C245E6"/>
    <w:multiLevelType w:val="hybridMultilevel"/>
    <w:tmpl w:val="8FEA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E900E3"/>
    <w:multiLevelType w:val="hybridMultilevel"/>
    <w:tmpl w:val="6D98E628"/>
    <w:styleLink w:val="Headings13"/>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23384C04"/>
    <w:multiLevelType w:val="hybridMultilevel"/>
    <w:tmpl w:val="D10C6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53399E"/>
    <w:multiLevelType w:val="multilevel"/>
    <w:tmpl w:val="40A462FE"/>
    <w:styleLink w:val="Headings3"/>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1078"/>
        </w:tabs>
        <w:ind w:left="1078"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252F26B1"/>
    <w:multiLevelType w:val="hybridMultilevel"/>
    <w:tmpl w:val="3A38C65A"/>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9" w15:restartNumberingAfterBreak="0">
    <w:nsid w:val="270F294D"/>
    <w:multiLevelType w:val="hybridMultilevel"/>
    <w:tmpl w:val="D3A04C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E616E60"/>
    <w:multiLevelType w:val="hybridMultilevel"/>
    <w:tmpl w:val="5232B054"/>
    <w:styleLink w:val="captions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5D4D1A"/>
    <w:multiLevelType w:val="hybridMultilevel"/>
    <w:tmpl w:val="35A46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3225C06"/>
    <w:multiLevelType w:val="hybridMultilevel"/>
    <w:tmpl w:val="B5B21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488606FE"/>
    <w:multiLevelType w:val="hybridMultilevel"/>
    <w:tmpl w:val="96F0E138"/>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61DE6"/>
    <w:multiLevelType w:val="multilevel"/>
    <w:tmpl w:val="2BF2439A"/>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1" w15:restartNumberingAfterBreak="0">
    <w:nsid w:val="4E1E20F8"/>
    <w:multiLevelType w:val="multilevel"/>
    <w:tmpl w:val="149E73E6"/>
    <w:lvl w:ilvl="0">
      <w:start w:val="1"/>
      <w:numFmt w:val="bullet"/>
      <w:lvlText w:val=""/>
      <w:lvlJc w:val="left"/>
      <w:pPr>
        <w:tabs>
          <w:tab w:val="num" w:pos="964"/>
        </w:tabs>
        <w:ind w:left="794" w:hanging="397"/>
      </w:pPr>
      <w:rPr>
        <w:rFonts w:ascii="Symbol" w:hAnsi="Symbol" w:hint="default"/>
        <w:color w:val="auto"/>
      </w:rPr>
    </w:lvl>
    <w:lvl w:ilvl="1">
      <w:start w:val="1"/>
      <w:numFmt w:val="bullet"/>
      <w:lvlText w:val=""/>
      <w:lvlJc w:val="left"/>
      <w:pPr>
        <w:tabs>
          <w:tab w:val="num" w:pos="1362"/>
        </w:tabs>
        <w:ind w:left="965" w:firstLine="0"/>
      </w:pPr>
      <w:rPr>
        <w:rFonts w:ascii="Symbol" w:hAnsi="Symbol" w:hint="default"/>
      </w:rPr>
    </w:lvl>
    <w:lvl w:ilvl="2">
      <w:start w:val="1"/>
      <w:numFmt w:val="bullet"/>
      <w:lvlText w:val=""/>
      <w:lvlJc w:val="left"/>
      <w:pPr>
        <w:tabs>
          <w:tab w:val="num" w:pos="964"/>
        </w:tabs>
        <w:ind w:left="964" w:hanging="567"/>
      </w:pPr>
      <w:rPr>
        <w:rFonts w:ascii="Wingdings" w:hAnsi="Wingdings" w:hint="default"/>
      </w:rPr>
    </w:lvl>
    <w:lvl w:ilvl="3">
      <w:start w:val="1"/>
      <w:numFmt w:val="bullet"/>
      <w:lvlText w:val=""/>
      <w:lvlJc w:val="left"/>
      <w:pPr>
        <w:tabs>
          <w:tab w:val="num" w:pos="964"/>
        </w:tabs>
        <w:ind w:left="964" w:hanging="567"/>
      </w:pPr>
      <w:rPr>
        <w:rFonts w:ascii="Symbol" w:hAnsi="Symbol" w:hint="default"/>
      </w:rPr>
    </w:lvl>
    <w:lvl w:ilvl="4">
      <w:start w:val="1"/>
      <w:numFmt w:val="bullet"/>
      <w:lvlText w:val="o"/>
      <w:lvlJc w:val="left"/>
      <w:pPr>
        <w:tabs>
          <w:tab w:val="num" w:pos="964"/>
        </w:tabs>
        <w:ind w:left="964" w:hanging="567"/>
      </w:pPr>
      <w:rPr>
        <w:rFonts w:ascii="Courier New" w:hAnsi="Courier New" w:cs="Courier New" w:hint="default"/>
      </w:rPr>
    </w:lvl>
    <w:lvl w:ilvl="5">
      <w:start w:val="1"/>
      <w:numFmt w:val="bullet"/>
      <w:lvlText w:val=""/>
      <w:lvlJc w:val="left"/>
      <w:pPr>
        <w:tabs>
          <w:tab w:val="num" w:pos="964"/>
        </w:tabs>
        <w:ind w:left="964" w:hanging="567"/>
      </w:pPr>
      <w:rPr>
        <w:rFonts w:ascii="Wingdings" w:hAnsi="Wingdings" w:hint="default"/>
      </w:rPr>
    </w:lvl>
    <w:lvl w:ilvl="6">
      <w:start w:val="1"/>
      <w:numFmt w:val="bullet"/>
      <w:lvlText w:val=""/>
      <w:lvlJc w:val="left"/>
      <w:pPr>
        <w:tabs>
          <w:tab w:val="num" w:pos="964"/>
        </w:tabs>
        <w:ind w:left="964" w:hanging="567"/>
      </w:pPr>
      <w:rPr>
        <w:rFonts w:ascii="Symbol" w:hAnsi="Symbol" w:hint="default"/>
      </w:rPr>
    </w:lvl>
    <w:lvl w:ilvl="7">
      <w:start w:val="1"/>
      <w:numFmt w:val="bullet"/>
      <w:lvlText w:val="o"/>
      <w:lvlJc w:val="left"/>
      <w:pPr>
        <w:tabs>
          <w:tab w:val="num" w:pos="964"/>
        </w:tabs>
        <w:ind w:left="964" w:hanging="567"/>
      </w:pPr>
      <w:rPr>
        <w:rFonts w:ascii="Courier New" w:hAnsi="Courier New" w:cs="Courier New" w:hint="default"/>
      </w:rPr>
    </w:lvl>
    <w:lvl w:ilvl="8">
      <w:start w:val="1"/>
      <w:numFmt w:val="bullet"/>
      <w:lvlText w:val=""/>
      <w:lvlJc w:val="left"/>
      <w:pPr>
        <w:tabs>
          <w:tab w:val="num" w:pos="964"/>
        </w:tabs>
        <w:ind w:left="964" w:hanging="567"/>
      </w:pPr>
      <w:rPr>
        <w:rFonts w:ascii="Wingdings" w:hAnsi="Wingdings" w:hint="default"/>
      </w:rPr>
    </w:lvl>
  </w:abstractNum>
  <w:abstractNum w:abstractNumId="22" w15:restartNumberingAfterBreak="0">
    <w:nsid w:val="55C775DB"/>
    <w:multiLevelType w:val="hybridMultilevel"/>
    <w:tmpl w:val="AF389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C987B93"/>
    <w:multiLevelType w:val="hybridMultilevel"/>
    <w:tmpl w:val="A4223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4F370B"/>
    <w:multiLevelType w:val="hybridMultilevel"/>
    <w:tmpl w:val="77568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4603"/>
    <w:multiLevelType w:val="hybridMultilevel"/>
    <w:tmpl w:val="255C8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C87340"/>
    <w:multiLevelType w:val="hybridMultilevel"/>
    <w:tmpl w:val="A2D8A3C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708C6A11"/>
    <w:multiLevelType w:val="hybridMultilevel"/>
    <w:tmpl w:val="CE2E3ED8"/>
    <w:lvl w:ilvl="0" w:tplc="C9FE91B8">
      <w:start w:val="1"/>
      <w:numFmt w:val="bullet"/>
      <w:pStyle w:val="ListBullet2"/>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9" w15:restartNumberingAfterBreak="0">
    <w:nsid w:val="715D4AE3"/>
    <w:multiLevelType w:val="hybridMultilevel"/>
    <w:tmpl w:val="E9A610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2532360"/>
    <w:multiLevelType w:val="hybridMultilevel"/>
    <w:tmpl w:val="BF20B5B2"/>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1" w15:restartNumberingAfterBreak="0">
    <w:nsid w:val="725B5ECB"/>
    <w:multiLevelType w:val="hybridMultilevel"/>
    <w:tmpl w:val="D94A7020"/>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2" w15:restartNumberingAfterBreak="0">
    <w:nsid w:val="7E457EB3"/>
    <w:multiLevelType w:val="hybridMultilevel"/>
    <w:tmpl w:val="B8F89AD6"/>
    <w:lvl w:ilvl="0" w:tplc="0C090003">
      <w:start w:val="1"/>
      <w:numFmt w:val="bullet"/>
      <w:lvlText w:val="o"/>
      <w:lvlJc w:val="left"/>
      <w:pPr>
        <w:ind w:left="1487" w:hanging="360"/>
      </w:pPr>
      <w:rPr>
        <w:rFonts w:ascii="Courier New" w:hAnsi="Courier New" w:cs="Courier New" w:hint="default"/>
      </w:rPr>
    </w:lvl>
    <w:lvl w:ilvl="1" w:tplc="0C090003" w:tentative="1">
      <w:start w:val="1"/>
      <w:numFmt w:val="bullet"/>
      <w:lvlText w:val="o"/>
      <w:lvlJc w:val="left"/>
      <w:pPr>
        <w:ind w:left="2207" w:hanging="360"/>
      </w:pPr>
      <w:rPr>
        <w:rFonts w:ascii="Courier New" w:hAnsi="Courier New" w:cs="Courier New" w:hint="default"/>
      </w:rPr>
    </w:lvl>
    <w:lvl w:ilvl="2" w:tplc="0C090005" w:tentative="1">
      <w:start w:val="1"/>
      <w:numFmt w:val="bullet"/>
      <w:lvlText w:val=""/>
      <w:lvlJc w:val="left"/>
      <w:pPr>
        <w:ind w:left="2927" w:hanging="360"/>
      </w:pPr>
      <w:rPr>
        <w:rFonts w:ascii="Wingdings" w:hAnsi="Wingdings" w:hint="default"/>
      </w:rPr>
    </w:lvl>
    <w:lvl w:ilvl="3" w:tplc="0C090001" w:tentative="1">
      <w:start w:val="1"/>
      <w:numFmt w:val="bullet"/>
      <w:lvlText w:val=""/>
      <w:lvlJc w:val="left"/>
      <w:pPr>
        <w:ind w:left="3647" w:hanging="360"/>
      </w:pPr>
      <w:rPr>
        <w:rFonts w:ascii="Symbol" w:hAnsi="Symbol" w:hint="default"/>
      </w:rPr>
    </w:lvl>
    <w:lvl w:ilvl="4" w:tplc="0C090003" w:tentative="1">
      <w:start w:val="1"/>
      <w:numFmt w:val="bullet"/>
      <w:lvlText w:val="o"/>
      <w:lvlJc w:val="left"/>
      <w:pPr>
        <w:ind w:left="4367" w:hanging="360"/>
      </w:pPr>
      <w:rPr>
        <w:rFonts w:ascii="Courier New" w:hAnsi="Courier New" w:cs="Courier New" w:hint="default"/>
      </w:rPr>
    </w:lvl>
    <w:lvl w:ilvl="5" w:tplc="0C090005" w:tentative="1">
      <w:start w:val="1"/>
      <w:numFmt w:val="bullet"/>
      <w:lvlText w:val=""/>
      <w:lvlJc w:val="left"/>
      <w:pPr>
        <w:ind w:left="5087" w:hanging="360"/>
      </w:pPr>
      <w:rPr>
        <w:rFonts w:ascii="Wingdings" w:hAnsi="Wingdings" w:hint="default"/>
      </w:rPr>
    </w:lvl>
    <w:lvl w:ilvl="6" w:tplc="0C090001" w:tentative="1">
      <w:start w:val="1"/>
      <w:numFmt w:val="bullet"/>
      <w:lvlText w:val=""/>
      <w:lvlJc w:val="left"/>
      <w:pPr>
        <w:ind w:left="5807" w:hanging="360"/>
      </w:pPr>
      <w:rPr>
        <w:rFonts w:ascii="Symbol" w:hAnsi="Symbol" w:hint="default"/>
      </w:rPr>
    </w:lvl>
    <w:lvl w:ilvl="7" w:tplc="0C090003" w:tentative="1">
      <w:start w:val="1"/>
      <w:numFmt w:val="bullet"/>
      <w:lvlText w:val="o"/>
      <w:lvlJc w:val="left"/>
      <w:pPr>
        <w:ind w:left="6527" w:hanging="360"/>
      </w:pPr>
      <w:rPr>
        <w:rFonts w:ascii="Courier New" w:hAnsi="Courier New" w:cs="Courier New" w:hint="default"/>
      </w:rPr>
    </w:lvl>
    <w:lvl w:ilvl="8" w:tplc="0C090005" w:tentative="1">
      <w:start w:val="1"/>
      <w:numFmt w:val="bullet"/>
      <w:lvlText w:val=""/>
      <w:lvlJc w:val="left"/>
      <w:pPr>
        <w:ind w:left="7247" w:hanging="360"/>
      </w:pPr>
      <w:rPr>
        <w:rFonts w:ascii="Wingdings" w:hAnsi="Wingdings" w:hint="default"/>
      </w:rPr>
    </w:lvl>
  </w:abstractNum>
  <w:abstractNum w:abstractNumId="33" w15:restartNumberingAfterBreak="0">
    <w:nsid w:val="7ED63E7F"/>
    <w:multiLevelType w:val="multilevel"/>
    <w:tmpl w:val="3F005C14"/>
    <w:lvl w:ilvl="0">
      <w:start w:val="1"/>
      <w:numFmt w:val="bullet"/>
      <w:lvlText w:val=""/>
      <w:lvlJc w:val="left"/>
      <w:pPr>
        <w:tabs>
          <w:tab w:val="num" w:pos="964"/>
        </w:tabs>
        <w:ind w:left="794" w:hanging="397"/>
      </w:pPr>
      <w:rPr>
        <w:rFonts w:ascii="Symbol" w:hAnsi="Symbol" w:hint="default"/>
        <w:color w:val="auto"/>
      </w:rPr>
    </w:lvl>
    <w:lvl w:ilvl="1">
      <w:start w:val="1"/>
      <w:numFmt w:val="bullet"/>
      <w:lvlText w:val=""/>
      <w:lvlJc w:val="left"/>
      <w:pPr>
        <w:tabs>
          <w:tab w:val="num" w:pos="1362"/>
        </w:tabs>
        <w:ind w:left="965" w:firstLine="0"/>
      </w:pPr>
      <w:rPr>
        <w:rFonts w:ascii="Symbol" w:hAnsi="Symbol" w:hint="default"/>
      </w:rPr>
    </w:lvl>
    <w:lvl w:ilvl="2">
      <w:start w:val="1"/>
      <w:numFmt w:val="bullet"/>
      <w:lvlText w:val=""/>
      <w:lvlJc w:val="left"/>
      <w:pPr>
        <w:tabs>
          <w:tab w:val="num" w:pos="964"/>
        </w:tabs>
        <w:ind w:left="964" w:hanging="567"/>
      </w:pPr>
      <w:rPr>
        <w:rFonts w:ascii="Wingdings" w:hAnsi="Wingdings" w:hint="default"/>
      </w:rPr>
    </w:lvl>
    <w:lvl w:ilvl="3">
      <w:start w:val="1"/>
      <w:numFmt w:val="bullet"/>
      <w:lvlText w:val=""/>
      <w:lvlJc w:val="left"/>
      <w:pPr>
        <w:tabs>
          <w:tab w:val="num" w:pos="964"/>
        </w:tabs>
        <w:ind w:left="964" w:hanging="567"/>
      </w:pPr>
      <w:rPr>
        <w:rFonts w:ascii="Symbol" w:hAnsi="Symbol" w:hint="default"/>
      </w:rPr>
    </w:lvl>
    <w:lvl w:ilvl="4">
      <w:start w:val="1"/>
      <w:numFmt w:val="bullet"/>
      <w:lvlText w:val="o"/>
      <w:lvlJc w:val="left"/>
      <w:pPr>
        <w:tabs>
          <w:tab w:val="num" w:pos="964"/>
        </w:tabs>
        <w:ind w:left="964" w:hanging="567"/>
      </w:pPr>
      <w:rPr>
        <w:rFonts w:ascii="Courier New" w:hAnsi="Courier New" w:cs="Courier New" w:hint="default"/>
      </w:rPr>
    </w:lvl>
    <w:lvl w:ilvl="5">
      <w:start w:val="1"/>
      <w:numFmt w:val="bullet"/>
      <w:lvlText w:val=""/>
      <w:lvlJc w:val="left"/>
      <w:pPr>
        <w:tabs>
          <w:tab w:val="num" w:pos="964"/>
        </w:tabs>
        <w:ind w:left="964" w:hanging="567"/>
      </w:pPr>
      <w:rPr>
        <w:rFonts w:ascii="Wingdings" w:hAnsi="Wingdings" w:hint="default"/>
      </w:rPr>
    </w:lvl>
    <w:lvl w:ilvl="6">
      <w:start w:val="1"/>
      <w:numFmt w:val="bullet"/>
      <w:lvlText w:val=""/>
      <w:lvlJc w:val="left"/>
      <w:pPr>
        <w:tabs>
          <w:tab w:val="num" w:pos="964"/>
        </w:tabs>
        <w:ind w:left="964" w:hanging="567"/>
      </w:pPr>
      <w:rPr>
        <w:rFonts w:ascii="Symbol" w:hAnsi="Symbol" w:hint="default"/>
      </w:rPr>
    </w:lvl>
    <w:lvl w:ilvl="7">
      <w:start w:val="1"/>
      <w:numFmt w:val="bullet"/>
      <w:lvlText w:val="o"/>
      <w:lvlJc w:val="left"/>
      <w:pPr>
        <w:tabs>
          <w:tab w:val="num" w:pos="964"/>
        </w:tabs>
        <w:ind w:left="964" w:hanging="567"/>
      </w:pPr>
      <w:rPr>
        <w:rFonts w:ascii="Courier New" w:hAnsi="Courier New" w:cs="Courier New" w:hint="default"/>
      </w:rPr>
    </w:lvl>
    <w:lvl w:ilvl="8">
      <w:start w:val="1"/>
      <w:numFmt w:val="bullet"/>
      <w:lvlText w:val=""/>
      <w:lvlJc w:val="left"/>
      <w:pPr>
        <w:tabs>
          <w:tab w:val="num" w:pos="964"/>
        </w:tabs>
        <w:ind w:left="964" w:hanging="567"/>
      </w:pPr>
      <w:rPr>
        <w:rFonts w:ascii="Wingdings" w:hAnsi="Wingdings" w:hint="default"/>
      </w:rPr>
    </w:lvl>
  </w:abstractNum>
  <w:num w:numId="1" w16cid:durableId="73285393">
    <w:abstractNumId w:val="20"/>
  </w:num>
  <w:num w:numId="2" w16cid:durableId="1084105574">
    <w:abstractNumId w:val="9"/>
  </w:num>
  <w:num w:numId="3" w16cid:durableId="1409695331">
    <w:abstractNumId w:val="7"/>
  </w:num>
  <w:num w:numId="4" w16cid:durableId="1503206595">
    <w:abstractNumId w:val="33"/>
  </w:num>
  <w:num w:numId="5" w16cid:durableId="1981953466">
    <w:abstractNumId w:val="5"/>
  </w:num>
  <w:num w:numId="6" w16cid:durableId="1538540691">
    <w:abstractNumId w:val="11"/>
  </w:num>
  <w:num w:numId="7" w16cid:durableId="1959339589">
    <w:abstractNumId w:val="25"/>
  </w:num>
  <w:num w:numId="8" w16cid:durableId="248663845">
    <w:abstractNumId w:val="1"/>
  </w:num>
  <w:num w:numId="9" w16cid:durableId="563951851">
    <w:abstractNumId w:val="22"/>
  </w:num>
  <w:num w:numId="10" w16cid:durableId="1182283654">
    <w:abstractNumId w:val="3"/>
  </w:num>
  <w:num w:numId="11" w16cid:durableId="107047121">
    <w:abstractNumId w:val="29"/>
  </w:num>
  <w:num w:numId="12" w16cid:durableId="557403765">
    <w:abstractNumId w:val="13"/>
  </w:num>
  <w:num w:numId="13" w16cid:durableId="1847552873">
    <w:abstractNumId w:val="24"/>
  </w:num>
  <w:num w:numId="14" w16cid:durableId="1799448836">
    <w:abstractNumId w:val="19"/>
  </w:num>
  <w:num w:numId="15" w16cid:durableId="303898076">
    <w:abstractNumId w:val="15"/>
  </w:num>
  <w:num w:numId="16" w16cid:durableId="814682492">
    <w:abstractNumId w:val="2"/>
  </w:num>
  <w:num w:numId="17" w16cid:durableId="1910310314">
    <w:abstractNumId w:val="14"/>
  </w:num>
  <w:num w:numId="18" w16cid:durableId="1191262464">
    <w:abstractNumId w:val="12"/>
  </w:num>
  <w:num w:numId="19" w16cid:durableId="2012682823">
    <w:abstractNumId w:val="0"/>
  </w:num>
  <w:num w:numId="20" w16cid:durableId="1457139506">
    <w:abstractNumId w:val="10"/>
  </w:num>
  <w:num w:numId="21" w16cid:durableId="1082487559">
    <w:abstractNumId w:val="17"/>
  </w:num>
  <w:num w:numId="22" w16cid:durableId="911088168">
    <w:abstractNumId w:val="23"/>
  </w:num>
  <w:num w:numId="23" w16cid:durableId="417596936">
    <w:abstractNumId w:val="4"/>
  </w:num>
  <w:num w:numId="24" w16cid:durableId="1955364454">
    <w:abstractNumId w:val="28"/>
  </w:num>
  <w:num w:numId="25" w16cid:durableId="1114250219">
    <w:abstractNumId w:val="16"/>
  </w:num>
  <w:num w:numId="26" w16cid:durableId="330958860">
    <w:abstractNumId w:val="21"/>
  </w:num>
  <w:num w:numId="27" w16cid:durableId="2077587920">
    <w:abstractNumId w:val="32"/>
  </w:num>
  <w:num w:numId="28" w16cid:durableId="940721946">
    <w:abstractNumId w:val="31"/>
  </w:num>
  <w:num w:numId="29" w16cid:durableId="1588222373">
    <w:abstractNumId w:val="18"/>
  </w:num>
  <w:num w:numId="30" w16cid:durableId="715735256">
    <w:abstractNumId w:val="30"/>
  </w:num>
  <w:num w:numId="31" w16cid:durableId="667296637">
    <w:abstractNumId w:val="8"/>
  </w:num>
  <w:num w:numId="32" w16cid:durableId="1521119313">
    <w:abstractNumId w:val="6"/>
  </w:num>
  <w:num w:numId="33" w16cid:durableId="1956137097">
    <w:abstractNumId w:val="26"/>
  </w:num>
  <w:num w:numId="34" w16cid:durableId="196359949">
    <w:abstractNumId w:val="20"/>
  </w:num>
  <w:num w:numId="35" w16cid:durableId="17333870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4726BA"/>
    <w:rsid w:val="00032E7B"/>
    <w:rsid w:val="00040064"/>
    <w:rsid w:val="000454CF"/>
    <w:rsid w:val="00056126"/>
    <w:rsid w:val="00092F8A"/>
    <w:rsid w:val="000A283C"/>
    <w:rsid w:val="000C18F4"/>
    <w:rsid w:val="000F7076"/>
    <w:rsid w:val="0010413D"/>
    <w:rsid w:val="0010626D"/>
    <w:rsid w:val="0015039A"/>
    <w:rsid w:val="001565A0"/>
    <w:rsid w:val="00162531"/>
    <w:rsid w:val="00177B90"/>
    <w:rsid w:val="001C0DBA"/>
    <w:rsid w:val="001C17E8"/>
    <w:rsid w:val="001C1920"/>
    <w:rsid w:val="001C1D1B"/>
    <w:rsid w:val="001D281D"/>
    <w:rsid w:val="001E272B"/>
    <w:rsid w:val="001F56F3"/>
    <w:rsid w:val="002965F9"/>
    <w:rsid w:val="002978BF"/>
    <w:rsid w:val="002B3771"/>
    <w:rsid w:val="002C1814"/>
    <w:rsid w:val="002D0659"/>
    <w:rsid w:val="002D5047"/>
    <w:rsid w:val="00304513"/>
    <w:rsid w:val="00323245"/>
    <w:rsid w:val="0033790E"/>
    <w:rsid w:val="00354E50"/>
    <w:rsid w:val="00364582"/>
    <w:rsid w:val="003763E5"/>
    <w:rsid w:val="00390A5E"/>
    <w:rsid w:val="003920F5"/>
    <w:rsid w:val="00393B73"/>
    <w:rsid w:val="003A629C"/>
    <w:rsid w:val="003C3A19"/>
    <w:rsid w:val="003C4C71"/>
    <w:rsid w:val="003E69A3"/>
    <w:rsid w:val="003F174D"/>
    <w:rsid w:val="00424AEF"/>
    <w:rsid w:val="00440531"/>
    <w:rsid w:val="00444659"/>
    <w:rsid w:val="004452FB"/>
    <w:rsid w:val="00452E5D"/>
    <w:rsid w:val="00462BE5"/>
    <w:rsid w:val="004634D4"/>
    <w:rsid w:val="004726BA"/>
    <w:rsid w:val="00474DEA"/>
    <w:rsid w:val="00491EA1"/>
    <w:rsid w:val="00492972"/>
    <w:rsid w:val="004A2CFE"/>
    <w:rsid w:val="004B73EA"/>
    <w:rsid w:val="004C1F23"/>
    <w:rsid w:val="004C2E16"/>
    <w:rsid w:val="004E0E68"/>
    <w:rsid w:val="004E7FCA"/>
    <w:rsid w:val="004F2FD4"/>
    <w:rsid w:val="0052019E"/>
    <w:rsid w:val="00535892"/>
    <w:rsid w:val="005375FC"/>
    <w:rsid w:val="005571B9"/>
    <w:rsid w:val="005A4669"/>
    <w:rsid w:val="005B5F82"/>
    <w:rsid w:val="005D0EE9"/>
    <w:rsid w:val="005D3F2F"/>
    <w:rsid w:val="005D53D4"/>
    <w:rsid w:val="005E20C8"/>
    <w:rsid w:val="005F4063"/>
    <w:rsid w:val="006039E0"/>
    <w:rsid w:val="0062152B"/>
    <w:rsid w:val="006429F4"/>
    <w:rsid w:val="0066297C"/>
    <w:rsid w:val="00680630"/>
    <w:rsid w:val="00686980"/>
    <w:rsid w:val="00695D7B"/>
    <w:rsid w:val="006B2E55"/>
    <w:rsid w:val="006D02E1"/>
    <w:rsid w:val="006E2090"/>
    <w:rsid w:val="006F2A23"/>
    <w:rsid w:val="00712060"/>
    <w:rsid w:val="007129AD"/>
    <w:rsid w:val="00723695"/>
    <w:rsid w:val="007306B8"/>
    <w:rsid w:val="00733982"/>
    <w:rsid w:val="00755749"/>
    <w:rsid w:val="00773D2F"/>
    <w:rsid w:val="00786756"/>
    <w:rsid w:val="00796C7E"/>
    <w:rsid w:val="007A6793"/>
    <w:rsid w:val="007C11F6"/>
    <w:rsid w:val="007C5656"/>
    <w:rsid w:val="007C7645"/>
    <w:rsid w:val="00800E7D"/>
    <w:rsid w:val="0080540A"/>
    <w:rsid w:val="00825472"/>
    <w:rsid w:val="00832C80"/>
    <w:rsid w:val="00851B05"/>
    <w:rsid w:val="0085396A"/>
    <w:rsid w:val="00865FDA"/>
    <w:rsid w:val="00870101"/>
    <w:rsid w:val="00875312"/>
    <w:rsid w:val="008770D8"/>
    <w:rsid w:val="00880D16"/>
    <w:rsid w:val="008849D6"/>
    <w:rsid w:val="00897BCA"/>
    <w:rsid w:val="008A2FD7"/>
    <w:rsid w:val="008B7E71"/>
    <w:rsid w:val="008C3475"/>
    <w:rsid w:val="008D5823"/>
    <w:rsid w:val="008E2188"/>
    <w:rsid w:val="008E3684"/>
    <w:rsid w:val="008F1A6D"/>
    <w:rsid w:val="008F6283"/>
    <w:rsid w:val="00927487"/>
    <w:rsid w:val="009276D4"/>
    <w:rsid w:val="009374B5"/>
    <w:rsid w:val="00942CFB"/>
    <w:rsid w:val="0094339D"/>
    <w:rsid w:val="00946A32"/>
    <w:rsid w:val="009545CC"/>
    <w:rsid w:val="009669E5"/>
    <w:rsid w:val="00995B86"/>
    <w:rsid w:val="009A6EE9"/>
    <w:rsid w:val="009B44C7"/>
    <w:rsid w:val="009C6A98"/>
    <w:rsid w:val="009C7CFC"/>
    <w:rsid w:val="009E0CA3"/>
    <w:rsid w:val="009E0FB7"/>
    <w:rsid w:val="00A15304"/>
    <w:rsid w:val="00A33266"/>
    <w:rsid w:val="00A472BD"/>
    <w:rsid w:val="00A8031D"/>
    <w:rsid w:val="00A8437E"/>
    <w:rsid w:val="00AB675C"/>
    <w:rsid w:val="00AE26C6"/>
    <w:rsid w:val="00B07F6C"/>
    <w:rsid w:val="00B318B4"/>
    <w:rsid w:val="00B56A3F"/>
    <w:rsid w:val="00BC2922"/>
    <w:rsid w:val="00BC39A4"/>
    <w:rsid w:val="00BE55AC"/>
    <w:rsid w:val="00BF1C57"/>
    <w:rsid w:val="00C07078"/>
    <w:rsid w:val="00C1570E"/>
    <w:rsid w:val="00C37DE7"/>
    <w:rsid w:val="00C4065E"/>
    <w:rsid w:val="00C423F5"/>
    <w:rsid w:val="00C47D0C"/>
    <w:rsid w:val="00C71177"/>
    <w:rsid w:val="00C9086A"/>
    <w:rsid w:val="00CB6B7D"/>
    <w:rsid w:val="00CC5137"/>
    <w:rsid w:val="00CD1E53"/>
    <w:rsid w:val="00CE5D5B"/>
    <w:rsid w:val="00D0278D"/>
    <w:rsid w:val="00D10B49"/>
    <w:rsid w:val="00D667A2"/>
    <w:rsid w:val="00D743FA"/>
    <w:rsid w:val="00D80C59"/>
    <w:rsid w:val="00D81599"/>
    <w:rsid w:val="00D950BA"/>
    <w:rsid w:val="00DB01F5"/>
    <w:rsid w:val="00DB0E6A"/>
    <w:rsid w:val="00DE467E"/>
    <w:rsid w:val="00DF5993"/>
    <w:rsid w:val="00DF5A38"/>
    <w:rsid w:val="00E06ED6"/>
    <w:rsid w:val="00E4536D"/>
    <w:rsid w:val="00E4744C"/>
    <w:rsid w:val="00E47B9C"/>
    <w:rsid w:val="00E86C4B"/>
    <w:rsid w:val="00E9062F"/>
    <w:rsid w:val="00E96CBC"/>
    <w:rsid w:val="00EA3F8D"/>
    <w:rsid w:val="00EC54FB"/>
    <w:rsid w:val="00ED733A"/>
    <w:rsid w:val="00F345E3"/>
    <w:rsid w:val="00F46C92"/>
    <w:rsid w:val="00F5293A"/>
    <w:rsid w:val="00F66E8B"/>
    <w:rsid w:val="00F73877"/>
    <w:rsid w:val="00F7657B"/>
    <w:rsid w:val="00F87E2D"/>
    <w:rsid w:val="00F95457"/>
    <w:rsid w:val="00FB1D17"/>
    <w:rsid w:val="00FC3D39"/>
    <w:rsid w:val="00FC6D7E"/>
    <w:rsid w:val="00FE4725"/>
    <w:rsid w:val="049BD2CB"/>
    <w:rsid w:val="0B333E7C"/>
    <w:rsid w:val="0C9DFE38"/>
    <w:rsid w:val="123436EA"/>
    <w:rsid w:val="129020DA"/>
    <w:rsid w:val="136695BB"/>
    <w:rsid w:val="17152B65"/>
    <w:rsid w:val="175F3D82"/>
    <w:rsid w:val="1A482B88"/>
    <w:rsid w:val="2227B0A3"/>
    <w:rsid w:val="22B78D77"/>
    <w:rsid w:val="245B232A"/>
    <w:rsid w:val="26CEEC15"/>
    <w:rsid w:val="2818065C"/>
    <w:rsid w:val="36964CFE"/>
    <w:rsid w:val="37FF049B"/>
    <w:rsid w:val="3E838483"/>
    <w:rsid w:val="41E2E156"/>
    <w:rsid w:val="44417E05"/>
    <w:rsid w:val="48B7166E"/>
    <w:rsid w:val="4C88C723"/>
    <w:rsid w:val="5573BFD1"/>
    <w:rsid w:val="5E3A1D40"/>
    <w:rsid w:val="620DC010"/>
    <w:rsid w:val="6566CE2A"/>
    <w:rsid w:val="685175A9"/>
    <w:rsid w:val="6977B9F2"/>
    <w:rsid w:val="6C64C786"/>
    <w:rsid w:val="6EF25261"/>
    <w:rsid w:val="6FE70E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45ABE"/>
  <w15:chartTrackingRefBased/>
  <w15:docId w15:val="{E8540C14-CF3A-4A32-B8DC-B0511594F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13" w:unhideWhenUsed="1" w:qFormat="1"/>
    <w:lsdException w:name="heading 3" w:semiHidden="1" w:uiPriority="14" w:unhideWhenUsed="1" w:qFormat="1"/>
    <w:lsdException w:name="heading 4" w:semiHidden="1" w:uiPriority="15" w:unhideWhenUsed="1" w:qFormat="1"/>
    <w:lsdException w:name="heading 5" w:semiHidden="1" w:uiPriority="16" w:unhideWhenUsed="1" w:qFormat="1"/>
    <w:lsdException w:name="heading 6" w:semiHidden="1" w:uiPriority="17"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1" w:unhideWhenUsed="1" w:qFormat="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6BA"/>
    <w:pPr>
      <w:spacing w:after="200" w:line="276" w:lineRule="auto"/>
    </w:pPr>
    <w:rPr>
      <w:rFonts w:ascii="Calibri" w:hAnsi="Calibri"/>
      <w:kern w:val="0"/>
      <w14:ligatures w14:val="none"/>
    </w:rPr>
  </w:style>
  <w:style w:type="paragraph" w:styleId="Heading1">
    <w:name w:val="heading 1"/>
    <w:basedOn w:val="Normal"/>
    <w:next w:val="Normal"/>
    <w:link w:val="Heading1Char"/>
    <w:uiPriority w:val="12"/>
    <w:qFormat/>
    <w:rsid w:val="004726BA"/>
    <w:pPr>
      <w:keepNext/>
      <w:keepLines/>
      <w:spacing w:before="360" w:after="0" w:line="240" w:lineRule="auto"/>
      <w:contextualSpacing/>
      <w:outlineLvl w:val="0"/>
    </w:pPr>
    <w:rPr>
      <w:rFonts w:cs="Calibri"/>
      <w:b/>
      <w:sz w:val="60"/>
    </w:rPr>
  </w:style>
  <w:style w:type="paragraph" w:styleId="Heading2">
    <w:name w:val="heading 2"/>
    <w:next w:val="Normal"/>
    <w:link w:val="Heading2Char"/>
    <w:uiPriority w:val="13"/>
    <w:qFormat/>
    <w:rsid w:val="004726BA"/>
    <w:pPr>
      <w:pageBreakBefore/>
      <w:numPr>
        <w:numId w:val="3"/>
      </w:numPr>
      <w:spacing w:after="120" w:line="240" w:lineRule="auto"/>
      <w:outlineLvl w:val="1"/>
    </w:pPr>
    <w:rPr>
      <w:rFonts w:ascii="Calibri" w:eastAsiaTheme="majorEastAsia" w:hAnsi="Calibri" w:cstheme="majorBidi"/>
      <w:b/>
      <w:bCs/>
      <w:color w:val="002855"/>
      <w:kern w:val="0"/>
      <w:sz w:val="34"/>
      <w:szCs w:val="26"/>
      <w14:ligatures w14:val="none"/>
    </w:rPr>
  </w:style>
  <w:style w:type="paragraph" w:styleId="Heading3">
    <w:name w:val="heading 3"/>
    <w:next w:val="Normal"/>
    <w:link w:val="Heading3Char"/>
    <w:uiPriority w:val="14"/>
    <w:qFormat/>
    <w:rsid w:val="004726BA"/>
    <w:pPr>
      <w:keepNext/>
      <w:keepLines/>
      <w:numPr>
        <w:ilvl w:val="1"/>
        <w:numId w:val="3"/>
      </w:numPr>
      <w:spacing w:before="120" w:after="120" w:line="240" w:lineRule="auto"/>
      <w:outlineLvl w:val="2"/>
    </w:pPr>
    <w:rPr>
      <w:rFonts w:ascii="Calibri" w:hAnsi="Calibri"/>
      <w:b/>
      <w:bCs/>
      <w:color w:val="005F86"/>
      <w:kern w:val="0"/>
      <w:sz w:val="28"/>
      <w14:ligatures w14:val="none"/>
    </w:rPr>
  </w:style>
  <w:style w:type="paragraph" w:styleId="Heading4">
    <w:name w:val="heading 4"/>
    <w:next w:val="Normal"/>
    <w:link w:val="Heading4Char"/>
    <w:uiPriority w:val="15"/>
    <w:qFormat/>
    <w:rsid w:val="004726BA"/>
    <w:pPr>
      <w:keepNext/>
      <w:keepLines/>
      <w:numPr>
        <w:ilvl w:val="2"/>
        <w:numId w:val="3"/>
      </w:numPr>
      <w:tabs>
        <w:tab w:val="clear" w:pos="1078"/>
        <w:tab w:val="num" w:pos="794"/>
      </w:tabs>
      <w:spacing w:before="120" w:after="120" w:line="240" w:lineRule="auto"/>
      <w:ind w:left="794"/>
      <w:outlineLvl w:val="3"/>
    </w:pPr>
    <w:rPr>
      <w:rFonts w:ascii="Calibri" w:hAnsi="Calibri"/>
      <w:b/>
      <w:bCs/>
      <w:iCs/>
      <w:color w:val="000000"/>
      <w:kern w:val="0"/>
      <w:sz w:val="24"/>
      <w14:ligatures w14:val="none"/>
    </w:rPr>
  </w:style>
  <w:style w:type="paragraph" w:styleId="Heading5">
    <w:name w:val="heading 5"/>
    <w:next w:val="Normal"/>
    <w:link w:val="Heading5Char"/>
    <w:uiPriority w:val="16"/>
    <w:qFormat/>
    <w:rsid w:val="004726BA"/>
    <w:pPr>
      <w:keepNext/>
      <w:keepLines/>
      <w:spacing w:before="120" w:after="120" w:line="240" w:lineRule="auto"/>
      <w:outlineLvl w:val="4"/>
    </w:pPr>
    <w:rPr>
      <w:rFonts w:ascii="Calibri" w:hAnsi="Calibri"/>
      <w:b/>
      <w:kern w:val="0"/>
      <w14:ligatures w14:val="none"/>
    </w:rPr>
  </w:style>
  <w:style w:type="paragraph" w:styleId="Heading6">
    <w:name w:val="heading 6"/>
    <w:next w:val="Normal"/>
    <w:link w:val="Heading6Char"/>
    <w:uiPriority w:val="17"/>
    <w:qFormat/>
    <w:rsid w:val="004726BA"/>
    <w:pPr>
      <w:keepNext/>
      <w:keepLines/>
      <w:spacing w:before="120" w:after="120" w:line="240" w:lineRule="auto"/>
      <w:outlineLvl w:val="5"/>
    </w:pPr>
    <w:rPr>
      <w:rFonts w:ascii="Calibri" w:eastAsiaTheme="majorEastAsia" w:hAnsi="Calibri" w:cstheme="majorBidi"/>
      <w:i/>
      <w:kern w:val="0"/>
      <w14:ligatures w14:val="none"/>
    </w:rPr>
  </w:style>
  <w:style w:type="paragraph" w:styleId="Heading7">
    <w:name w:val="heading 7"/>
    <w:next w:val="Normal"/>
    <w:link w:val="Heading7Char"/>
    <w:uiPriority w:val="9"/>
    <w:semiHidden/>
    <w:rsid w:val="004726BA"/>
    <w:pPr>
      <w:spacing w:after="0" w:line="240" w:lineRule="auto"/>
      <w:outlineLvl w:val="6"/>
    </w:pPr>
    <w:rPr>
      <w:rFonts w:asciiTheme="majorHAnsi" w:eastAsiaTheme="majorEastAsia" w:hAnsiTheme="majorHAnsi" w:cstheme="majorBidi"/>
      <w:i/>
      <w:color w:val="0A2F40" w:themeColor="accent1" w:themeShade="7F"/>
      <w:kern w:val="0"/>
      <w14:ligatures w14:val="none"/>
    </w:rPr>
  </w:style>
  <w:style w:type="paragraph" w:styleId="Heading8">
    <w:name w:val="heading 8"/>
    <w:basedOn w:val="Normal"/>
    <w:next w:val="Normal"/>
    <w:link w:val="Heading8Char"/>
    <w:uiPriority w:val="9"/>
    <w:semiHidden/>
    <w:unhideWhenUsed/>
    <w:qFormat/>
    <w:rsid w:val="004726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26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2"/>
    <w:rsid w:val="004726BA"/>
    <w:rPr>
      <w:rFonts w:ascii="Calibri" w:hAnsi="Calibri" w:cs="Calibri"/>
      <w:b/>
      <w:kern w:val="0"/>
      <w:sz w:val="60"/>
      <w14:ligatures w14:val="none"/>
    </w:rPr>
  </w:style>
  <w:style w:type="character" w:customStyle="1" w:styleId="Heading2Char">
    <w:name w:val="Heading 2 Char"/>
    <w:basedOn w:val="DefaultParagraphFont"/>
    <w:link w:val="Heading2"/>
    <w:uiPriority w:val="13"/>
    <w:rsid w:val="004726BA"/>
    <w:rPr>
      <w:rFonts w:ascii="Calibri" w:eastAsiaTheme="majorEastAsia" w:hAnsi="Calibri" w:cstheme="majorBidi"/>
      <w:b/>
      <w:bCs/>
      <w:color w:val="002855"/>
      <w:kern w:val="0"/>
      <w:sz w:val="34"/>
      <w:szCs w:val="26"/>
      <w14:ligatures w14:val="none"/>
    </w:rPr>
  </w:style>
  <w:style w:type="character" w:customStyle="1" w:styleId="Heading3Char">
    <w:name w:val="Heading 3 Char"/>
    <w:basedOn w:val="DefaultParagraphFont"/>
    <w:link w:val="Heading3"/>
    <w:uiPriority w:val="14"/>
    <w:rsid w:val="004726BA"/>
    <w:rPr>
      <w:rFonts w:ascii="Calibri" w:hAnsi="Calibri"/>
      <w:b/>
      <w:bCs/>
      <w:color w:val="005F86"/>
      <w:kern w:val="0"/>
      <w:sz w:val="28"/>
      <w14:ligatures w14:val="none"/>
    </w:rPr>
  </w:style>
  <w:style w:type="character" w:customStyle="1" w:styleId="Heading4Char">
    <w:name w:val="Heading 4 Char"/>
    <w:basedOn w:val="DefaultParagraphFont"/>
    <w:link w:val="Heading4"/>
    <w:uiPriority w:val="15"/>
    <w:rsid w:val="004726BA"/>
    <w:rPr>
      <w:rFonts w:ascii="Calibri" w:hAnsi="Calibri"/>
      <w:b/>
      <w:bCs/>
      <w:iCs/>
      <w:color w:val="000000"/>
      <w:kern w:val="0"/>
      <w:sz w:val="24"/>
      <w14:ligatures w14:val="none"/>
    </w:rPr>
  </w:style>
  <w:style w:type="character" w:customStyle="1" w:styleId="Heading5Char">
    <w:name w:val="Heading 5 Char"/>
    <w:basedOn w:val="DefaultParagraphFont"/>
    <w:link w:val="Heading5"/>
    <w:uiPriority w:val="16"/>
    <w:rsid w:val="004726BA"/>
    <w:rPr>
      <w:rFonts w:ascii="Calibri" w:hAnsi="Calibri"/>
      <w:b/>
      <w:kern w:val="0"/>
      <w14:ligatures w14:val="none"/>
    </w:rPr>
  </w:style>
  <w:style w:type="character" w:customStyle="1" w:styleId="Heading6Char">
    <w:name w:val="Heading 6 Char"/>
    <w:basedOn w:val="DefaultParagraphFont"/>
    <w:link w:val="Heading6"/>
    <w:uiPriority w:val="17"/>
    <w:rsid w:val="004726BA"/>
    <w:rPr>
      <w:rFonts w:ascii="Calibri" w:eastAsiaTheme="majorEastAsia" w:hAnsi="Calibri" w:cstheme="majorBidi"/>
      <w:i/>
      <w:kern w:val="0"/>
      <w14:ligatures w14:val="none"/>
    </w:rPr>
  </w:style>
  <w:style w:type="character" w:customStyle="1" w:styleId="Heading7Char">
    <w:name w:val="Heading 7 Char"/>
    <w:basedOn w:val="DefaultParagraphFont"/>
    <w:link w:val="Heading7"/>
    <w:uiPriority w:val="9"/>
    <w:semiHidden/>
    <w:rsid w:val="004726BA"/>
    <w:rPr>
      <w:rFonts w:asciiTheme="majorHAnsi" w:eastAsiaTheme="majorEastAsia" w:hAnsiTheme="majorHAnsi" w:cstheme="majorBidi"/>
      <w:i/>
      <w:color w:val="0A2F40" w:themeColor="accent1" w:themeShade="7F"/>
      <w:kern w:val="0"/>
      <w14:ligatures w14:val="none"/>
    </w:rPr>
  </w:style>
  <w:style w:type="character" w:customStyle="1" w:styleId="Heading8Char">
    <w:name w:val="Heading 8 Char"/>
    <w:basedOn w:val="DefaultParagraphFont"/>
    <w:link w:val="Heading8"/>
    <w:uiPriority w:val="9"/>
    <w:semiHidden/>
    <w:rsid w:val="004726BA"/>
    <w:rPr>
      <w:rFonts w:ascii="Calibri" w:eastAsiaTheme="majorEastAsia" w:hAnsi="Calibr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4726BA"/>
    <w:rPr>
      <w:rFonts w:ascii="Calibri" w:eastAsiaTheme="majorEastAsia" w:hAnsi="Calibri" w:cstheme="majorBidi"/>
      <w:color w:val="272727" w:themeColor="text1" w:themeTint="D8"/>
      <w:kern w:val="0"/>
      <w14:ligatures w14:val="none"/>
    </w:rPr>
  </w:style>
  <w:style w:type="paragraph" w:styleId="Title">
    <w:name w:val="Title"/>
    <w:basedOn w:val="Normal"/>
    <w:next w:val="Normal"/>
    <w:link w:val="TitleChar"/>
    <w:uiPriority w:val="10"/>
    <w:qFormat/>
    <w:rsid w:val="004726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6BA"/>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4726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26BA"/>
    <w:rPr>
      <w:rFonts w:ascii="Calibri" w:eastAsiaTheme="majorEastAsia" w:hAnsi="Calibr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18"/>
    <w:qFormat/>
    <w:rsid w:val="004726BA"/>
    <w:pPr>
      <w:ind w:left="709" w:right="567"/>
    </w:pPr>
    <w:rPr>
      <w:iCs/>
      <w:color w:val="000000"/>
    </w:rPr>
  </w:style>
  <w:style w:type="character" w:customStyle="1" w:styleId="QuoteChar">
    <w:name w:val="Quote Char"/>
    <w:basedOn w:val="DefaultParagraphFont"/>
    <w:link w:val="Quote"/>
    <w:uiPriority w:val="18"/>
    <w:rsid w:val="004726BA"/>
    <w:rPr>
      <w:rFonts w:ascii="Calibri" w:hAnsi="Calibri"/>
      <w:iCs/>
      <w:color w:val="000000"/>
      <w:kern w:val="0"/>
      <w14:ligatures w14:val="none"/>
    </w:rPr>
  </w:style>
  <w:style w:type="paragraph" w:styleId="ListParagraph">
    <w:name w:val="List Paragraph"/>
    <w:basedOn w:val="Normal"/>
    <w:link w:val="ListParagraphChar"/>
    <w:uiPriority w:val="99"/>
    <w:qFormat/>
    <w:rsid w:val="004726BA"/>
    <w:pPr>
      <w:ind w:left="720"/>
    </w:pPr>
  </w:style>
  <w:style w:type="character" w:styleId="IntenseEmphasis">
    <w:name w:val="Intense Emphasis"/>
    <w:basedOn w:val="DefaultParagraphFont"/>
    <w:uiPriority w:val="21"/>
    <w:qFormat/>
    <w:rsid w:val="004726BA"/>
    <w:rPr>
      <w:i/>
      <w:iCs/>
      <w:color w:val="0F4761" w:themeColor="accent1" w:themeShade="BF"/>
    </w:rPr>
  </w:style>
  <w:style w:type="paragraph" w:styleId="IntenseQuote">
    <w:name w:val="Intense Quote"/>
    <w:basedOn w:val="Normal"/>
    <w:next w:val="Normal"/>
    <w:link w:val="IntenseQuoteChar"/>
    <w:uiPriority w:val="30"/>
    <w:qFormat/>
    <w:rsid w:val="004726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26BA"/>
    <w:rPr>
      <w:rFonts w:ascii="Calibri" w:hAnsi="Calibri"/>
      <w:i/>
      <w:iCs/>
      <w:color w:val="0F4761" w:themeColor="accent1" w:themeShade="BF"/>
      <w:kern w:val="0"/>
      <w14:ligatures w14:val="none"/>
    </w:rPr>
  </w:style>
  <w:style w:type="character" w:styleId="IntenseReference">
    <w:name w:val="Intense Reference"/>
    <w:basedOn w:val="DefaultParagraphFont"/>
    <w:uiPriority w:val="32"/>
    <w:qFormat/>
    <w:rsid w:val="004726BA"/>
    <w:rPr>
      <w:b/>
      <w:bCs/>
      <w:smallCaps/>
      <w:color w:val="0F4761" w:themeColor="accent1" w:themeShade="BF"/>
      <w:spacing w:val="5"/>
    </w:rPr>
  </w:style>
  <w:style w:type="paragraph" w:customStyle="1" w:styleId="Author">
    <w:name w:val="Author"/>
    <w:basedOn w:val="Normal"/>
    <w:next w:val="Normal"/>
    <w:uiPriority w:val="24"/>
    <w:semiHidden/>
    <w:qFormat/>
    <w:rsid w:val="004726BA"/>
    <w:pPr>
      <w:spacing w:after="60"/>
    </w:pPr>
    <w:rPr>
      <w:b/>
      <w:sz w:val="28"/>
      <w:szCs w:val="28"/>
    </w:rPr>
  </w:style>
  <w:style w:type="paragraph" w:customStyle="1" w:styleId="AuthorOrganisationAffiliation">
    <w:name w:val="Author Organisation/Affiliation"/>
    <w:basedOn w:val="Normal"/>
    <w:next w:val="Normal"/>
    <w:uiPriority w:val="25"/>
    <w:semiHidden/>
    <w:qFormat/>
    <w:rsid w:val="004726BA"/>
    <w:pPr>
      <w:spacing w:after="720"/>
    </w:pPr>
  </w:style>
  <w:style w:type="paragraph" w:styleId="BalloonText">
    <w:name w:val="Balloon Text"/>
    <w:basedOn w:val="Normal"/>
    <w:link w:val="BalloonTextChar"/>
    <w:uiPriority w:val="99"/>
    <w:semiHidden/>
    <w:unhideWhenUsed/>
    <w:rsid w:val="004726BA"/>
    <w:rPr>
      <w:sz w:val="18"/>
      <w:szCs w:val="18"/>
    </w:rPr>
  </w:style>
  <w:style w:type="character" w:customStyle="1" w:styleId="BalloonTextChar">
    <w:name w:val="Balloon Text Char"/>
    <w:basedOn w:val="DefaultParagraphFont"/>
    <w:link w:val="BalloonText"/>
    <w:uiPriority w:val="99"/>
    <w:semiHidden/>
    <w:rsid w:val="004726BA"/>
    <w:rPr>
      <w:rFonts w:ascii="Calibri" w:hAnsi="Calibri"/>
      <w:kern w:val="0"/>
      <w:sz w:val="18"/>
      <w:szCs w:val="18"/>
      <w14:ligatures w14:val="none"/>
    </w:rPr>
  </w:style>
  <w:style w:type="paragraph" w:customStyle="1" w:styleId="BoxText">
    <w:name w:val="Box Text"/>
    <w:basedOn w:val="Normal"/>
    <w:uiPriority w:val="19"/>
    <w:semiHidden/>
    <w:qFormat/>
    <w:rsid w:val="004726BA"/>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4726BA"/>
    <w:pPr>
      <w:spacing w:line="240" w:lineRule="auto"/>
    </w:pPr>
    <w:rPr>
      <w:b/>
    </w:rPr>
  </w:style>
  <w:style w:type="paragraph" w:customStyle="1" w:styleId="FigureTableNoteSource">
    <w:name w:val="Figure/Table Note/Source"/>
    <w:basedOn w:val="Normal"/>
    <w:next w:val="Normal"/>
    <w:uiPriority w:val="5"/>
    <w:qFormat/>
    <w:rsid w:val="004726BA"/>
    <w:pPr>
      <w:spacing w:line="240" w:lineRule="auto"/>
      <w:contextualSpacing/>
    </w:pPr>
    <w:rPr>
      <w:sz w:val="18"/>
    </w:rPr>
  </w:style>
  <w:style w:type="paragraph" w:customStyle="1" w:styleId="BoxSource">
    <w:name w:val="Box Source"/>
    <w:basedOn w:val="FigureTableNoteSource"/>
    <w:uiPriority w:val="22"/>
    <w:semiHidden/>
    <w:qFormat/>
    <w:rsid w:val="004726BA"/>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qFormat/>
    <w:rsid w:val="004726BA"/>
    <w:pPr>
      <w:numPr>
        <w:numId w:val="14"/>
      </w:numPr>
    </w:pPr>
  </w:style>
  <w:style w:type="character" w:customStyle="1" w:styleId="Calibribody11withitalics">
    <w:name w:val="Calibri (body) 11 with italics"/>
    <w:basedOn w:val="DefaultParagraphFont"/>
    <w:uiPriority w:val="1"/>
    <w:semiHidden/>
    <w:rsid w:val="004726BA"/>
    <w:rPr>
      <w:rFonts w:asciiTheme="minorHAnsi" w:hAnsiTheme="minorHAnsi"/>
      <w:i/>
    </w:rPr>
  </w:style>
  <w:style w:type="character" w:customStyle="1" w:styleId="Calibribody11inred">
    <w:name w:val="Calibri (body) 11 in red"/>
    <w:basedOn w:val="Calibribody11withitalics"/>
    <w:uiPriority w:val="1"/>
    <w:semiHidden/>
    <w:rsid w:val="004726BA"/>
    <w:rPr>
      <w:rFonts w:asciiTheme="minorHAnsi" w:hAnsiTheme="minorHAnsi"/>
      <w:i w:val="0"/>
      <w:sz w:val="22"/>
    </w:rPr>
  </w:style>
  <w:style w:type="paragraph" w:styleId="Caption">
    <w:name w:val="caption"/>
    <w:next w:val="Normal"/>
    <w:link w:val="CaptionChar"/>
    <w:uiPriority w:val="18"/>
    <w:qFormat/>
    <w:rsid w:val="004726BA"/>
    <w:pPr>
      <w:keepNext/>
      <w:spacing w:after="120" w:line="240" w:lineRule="auto"/>
    </w:pPr>
    <w:rPr>
      <w:rFonts w:ascii="Calibri" w:eastAsiaTheme="majorEastAsia" w:hAnsi="Calibri" w:cstheme="majorBidi"/>
      <w:b/>
      <w:bCs/>
      <w:color w:val="595959" w:themeColor="text1" w:themeTint="A6"/>
      <w:kern w:val="0"/>
      <w:sz w:val="20"/>
      <w:szCs w:val="18"/>
      <w14:ligatures w14:val="none"/>
    </w:rPr>
  </w:style>
  <w:style w:type="character" w:customStyle="1" w:styleId="CaptionChar">
    <w:name w:val="Caption Char"/>
    <w:basedOn w:val="DefaultParagraphFont"/>
    <w:link w:val="Caption"/>
    <w:uiPriority w:val="18"/>
    <w:rsid w:val="004726BA"/>
    <w:rPr>
      <w:rFonts w:ascii="Calibri" w:eastAsiaTheme="majorEastAsia" w:hAnsi="Calibri" w:cstheme="majorBidi"/>
      <w:b/>
      <w:bCs/>
      <w:color w:val="595959" w:themeColor="text1" w:themeTint="A6"/>
      <w:kern w:val="0"/>
      <w:sz w:val="20"/>
      <w:szCs w:val="18"/>
      <w14:ligatures w14:val="none"/>
    </w:rPr>
  </w:style>
  <w:style w:type="numbering" w:customStyle="1" w:styleId="captions">
    <w:name w:val="captions"/>
    <w:uiPriority w:val="99"/>
    <w:rsid w:val="004726BA"/>
    <w:pPr>
      <w:numPr>
        <w:numId w:val="15"/>
      </w:numPr>
    </w:pPr>
  </w:style>
  <w:style w:type="character" w:styleId="CommentReference">
    <w:name w:val="annotation reference"/>
    <w:basedOn w:val="DefaultParagraphFont"/>
    <w:uiPriority w:val="99"/>
    <w:semiHidden/>
    <w:unhideWhenUsed/>
    <w:rsid w:val="004726BA"/>
    <w:rPr>
      <w:sz w:val="16"/>
      <w:szCs w:val="16"/>
    </w:rPr>
  </w:style>
  <w:style w:type="paragraph" w:styleId="CommentText">
    <w:name w:val="annotation text"/>
    <w:basedOn w:val="Normal"/>
    <w:link w:val="CommentTextChar"/>
    <w:uiPriority w:val="99"/>
    <w:unhideWhenUsed/>
    <w:rsid w:val="004726BA"/>
    <w:rPr>
      <w:sz w:val="20"/>
      <w:szCs w:val="20"/>
    </w:rPr>
  </w:style>
  <w:style w:type="character" w:customStyle="1" w:styleId="CommentTextChar">
    <w:name w:val="Comment Text Char"/>
    <w:basedOn w:val="DefaultParagraphFont"/>
    <w:link w:val="CommentText"/>
    <w:uiPriority w:val="99"/>
    <w:rsid w:val="004726BA"/>
    <w:rPr>
      <w:rFonts w:ascii="Calibri"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726BA"/>
    <w:rPr>
      <w:b/>
      <w:bCs/>
    </w:rPr>
  </w:style>
  <w:style w:type="character" w:customStyle="1" w:styleId="CommentSubjectChar">
    <w:name w:val="Comment Subject Char"/>
    <w:basedOn w:val="CommentTextChar"/>
    <w:link w:val="CommentSubject"/>
    <w:uiPriority w:val="99"/>
    <w:semiHidden/>
    <w:rsid w:val="004726BA"/>
    <w:rPr>
      <w:rFonts w:ascii="Calibri" w:hAnsi="Calibri"/>
      <w:b/>
      <w:bCs/>
      <w:kern w:val="0"/>
      <w:sz w:val="20"/>
      <w:szCs w:val="20"/>
      <w14:ligatures w14:val="none"/>
    </w:rPr>
  </w:style>
  <w:style w:type="character" w:customStyle="1" w:styleId="Defaultparagraphfont-greenhighlighted">
    <w:name w:val="Default paragraph font - green highlighted"/>
    <w:basedOn w:val="DefaultParagraphFont"/>
    <w:uiPriority w:val="1"/>
    <w:semiHidden/>
    <w:rsid w:val="004726BA"/>
  </w:style>
  <w:style w:type="character" w:customStyle="1" w:styleId="Defaultparagraphfontinred">
    <w:name w:val="Default paragraph font in red"/>
    <w:basedOn w:val="DefaultParagraphFont"/>
    <w:uiPriority w:val="1"/>
    <w:semiHidden/>
    <w:rsid w:val="004726BA"/>
    <w:rPr>
      <w:color w:val="FF0000"/>
    </w:rPr>
  </w:style>
  <w:style w:type="character" w:customStyle="1" w:styleId="DefaultParagraphFontwithitalics">
    <w:name w:val="Default Paragraph Font with italics"/>
    <w:basedOn w:val="DefaultParagraphFont"/>
    <w:uiPriority w:val="1"/>
    <w:rsid w:val="004726BA"/>
    <w:rPr>
      <w:i/>
    </w:rPr>
  </w:style>
  <w:style w:type="paragraph" w:styleId="Header">
    <w:name w:val="header"/>
    <w:basedOn w:val="Normal"/>
    <w:link w:val="HeaderChar"/>
    <w:uiPriority w:val="99"/>
    <w:rsid w:val="004726BA"/>
    <w:pPr>
      <w:tabs>
        <w:tab w:val="center" w:pos="4820"/>
      </w:tabs>
      <w:spacing w:after="60" w:line="240" w:lineRule="auto"/>
      <w:jc w:val="center"/>
    </w:pPr>
    <w:rPr>
      <w:sz w:val="20"/>
    </w:rPr>
  </w:style>
  <w:style w:type="character" w:customStyle="1" w:styleId="HeaderChar">
    <w:name w:val="Header Char"/>
    <w:basedOn w:val="DefaultParagraphFont"/>
    <w:link w:val="Header"/>
    <w:uiPriority w:val="99"/>
    <w:rsid w:val="004726BA"/>
    <w:rPr>
      <w:rFonts w:ascii="Calibri" w:hAnsi="Calibri"/>
      <w:kern w:val="0"/>
      <w:sz w:val="20"/>
      <w14:ligatures w14:val="none"/>
    </w:rPr>
  </w:style>
  <w:style w:type="paragraph" w:customStyle="1" w:styleId="DisseminationLimitingMarker">
    <w:name w:val="Dissemination Limiting Marker"/>
    <w:basedOn w:val="Header"/>
    <w:next w:val="Header"/>
    <w:uiPriority w:val="23"/>
    <w:qFormat/>
    <w:rsid w:val="004726BA"/>
    <w:pPr>
      <w:spacing w:after="0"/>
    </w:pPr>
    <w:rPr>
      <w:b/>
      <w:color w:val="FF0000"/>
      <w:sz w:val="36"/>
      <w:szCs w:val="36"/>
    </w:rPr>
  </w:style>
  <w:style w:type="paragraph" w:styleId="DocumentMap">
    <w:name w:val="Document Map"/>
    <w:basedOn w:val="Normal"/>
    <w:link w:val="DocumentMapChar"/>
    <w:uiPriority w:val="99"/>
    <w:semiHidden/>
    <w:unhideWhenUsed/>
    <w:rsid w:val="004726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726BA"/>
    <w:rPr>
      <w:rFonts w:ascii="Tahoma" w:hAnsi="Tahoma" w:cs="Tahoma"/>
      <w:kern w:val="0"/>
      <w:sz w:val="16"/>
      <w:szCs w:val="16"/>
      <w14:ligatures w14:val="none"/>
    </w:rPr>
  </w:style>
  <w:style w:type="character" w:styleId="Emphasis">
    <w:name w:val="Emphasis"/>
    <w:basedOn w:val="DefaultParagraphFont"/>
    <w:uiPriority w:val="2"/>
    <w:qFormat/>
    <w:rsid w:val="004726BA"/>
    <w:rPr>
      <w:i/>
      <w:iCs/>
    </w:rPr>
  </w:style>
  <w:style w:type="paragraph" w:customStyle="1" w:styleId="EndNoteBibliography">
    <w:name w:val="EndNote Bibliography"/>
    <w:basedOn w:val="Normal"/>
    <w:link w:val="EndNoteBibliographyChar"/>
    <w:rsid w:val="004726BA"/>
    <w:pPr>
      <w:spacing w:before="120" w:after="240" w:line="240" w:lineRule="auto"/>
    </w:pPr>
    <w:rPr>
      <w:rFonts w:cs="Calibri"/>
      <w:noProof/>
      <w:lang w:val="en-US"/>
    </w:rPr>
  </w:style>
  <w:style w:type="character" w:customStyle="1" w:styleId="EndNoteBibliographyChar">
    <w:name w:val="EndNote Bibliography Char"/>
    <w:basedOn w:val="DefaultParagraphFont"/>
    <w:link w:val="EndNoteBibliography"/>
    <w:rsid w:val="004726BA"/>
    <w:rPr>
      <w:rFonts w:ascii="Calibri" w:hAnsi="Calibri" w:cs="Calibri"/>
      <w:noProof/>
      <w:kern w:val="0"/>
      <w:lang w:val="en-US"/>
      <w14:ligatures w14:val="none"/>
    </w:rPr>
  </w:style>
  <w:style w:type="paragraph" w:customStyle="1" w:styleId="EndNoteBibliographyTitle">
    <w:name w:val="EndNote Bibliography Title"/>
    <w:basedOn w:val="Normal"/>
    <w:link w:val="EndNoteBibliographyTitleChar"/>
    <w:semiHidden/>
    <w:rsid w:val="004726BA"/>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semiHidden/>
    <w:rsid w:val="004726BA"/>
    <w:rPr>
      <w:rFonts w:ascii="Calibri" w:hAnsi="Calibri" w:cs="Calibri"/>
      <w:noProof/>
      <w:kern w:val="0"/>
      <w:lang w:val="en-US"/>
      <w14:ligatures w14:val="none"/>
    </w:rPr>
  </w:style>
  <w:style w:type="character" w:styleId="EndnoteReference">
    <w:name w:val="endnote reference"/>
    <w:basedOn w:val="DefaultParagraphFont"/>
    <w:uiPriority w:val="99"/>
    <w:semiHidden/>
    <w:unhideWhenUsed/>
    <w:rsid w:val="004726BA"/>
    <w:rPr>
      <w:vertAlign w:val="superscript"/>
    </w:rPr>
  </w:style>
  <w:style w:type="paragraph" w:styleId="EndnoteText">
    <w:name w:val="endnote text"/>
    <w:basedOn w:val="Normal"/>
    <w:link w:val="EndnoteTextChar"/>
    <w:uiPriority w:val="99"/>
    <w:unhideWhenUsed/>
    <w:rsid w:val="004726BA"/>
    <w:pPr>
      <w:spacing w:before="120" w:after="240" w:line="240" w:lineRule="auto"/>
    </w:pPr>
    <w:rPr>
      <w:szCs w:val="20"/>
    </w:rPr>
  </w:style>
  <w:style w:type="character" w:customStyle="1" w:styleId="EndnoteTextChar">
    <w:name w:val="Endnote Text Char"/>
    <w:basedOn w:val="DefaultParagraphFont"/>
    <w:link w:val="EndnoteText"/>
    <w:uiPriority w:val="99"/>
    <w:rsid w:val="004726BA"/>
    <w:rPr>
      <w:rFonts w:ascii="Calibri" w:hAnsi="Calibri"/>
      <w:kern w:val="0"/>
      <w:szCs w:val="20"/>
      <w14:ligatures w14:val="none"/>
    </w:rPr>
  </w:style>
  <w:style w:type="character" w:styleId="FollowedHyperlink">
    <w:name w:val="FollowedHyperlink"/>
    <w:basedOn w:val="DefaultParagraphFont"/>
    <w:uiPriority w:val="99"/>
    <w:semiHidden/>
    <w:unhideWhenUsed/>
    <w:rsid w:val="004726BA"/>
    <w:rPr>
      <w:color w:val="800080"/>
      <w:u w:val="single"/>
    </w:rPr>
  </w:style>
  <w:style w:type="paragraph" w:styleId="Footer">
    <w:name w:val="footer"/>
    <w:basedOn w:val="Normal"/>
    <w:link w:val="FooterChar"/>
    <w:uiPriority w:val="99"/>
    <w:rsid w:val="004726BA"/>
    <w:pPr>
      <w:tabs>
        <w:tab w:val="center" w:pos="4536"/>
      </w:tabs>
      <w:spacing w:after="60" w:line="240" w:lineRule="auto"/>
      <w:jc w:val="center"/>
    </w:pPr>
    <w:rPr>
      <w:sz w:val="20"/>
    </w:rPr>
  </w:style>
  <w:style w:type="character" w:customStyle="1" w:styleId="FooterChar">
    <w:name w:val="Footer Char"/>
    <w:basedOn w:val="DefaultParagraphFont"/>
    <w:link w:val="Footer"/>
    <w:uiPriority w:val="99"/>
    <w:rsid w:val="004726BA"/>
    <w:rPr>
      <w:rFonts w:ascii="Calibri" w:hAnsi="Calibri"/>
      <w:kern w:val="0"/>
      <w:sz w:val="20"/>
      <w14:ligatures w14:val="none"/>
    </w:rPr>
  </w:style>
  <w:style w:type="paragraph" w:customStyle="1" w:styleId="Footeraddress">
    <w:name w:val="Footer address"/>
    <w:basedOn w:val="Footer"/>
    <w:semiHidden/>
    <w:qFormat/>
    <w:rsid w:val="004726BA"/>
    <w:rPr>
      <w:sz w:val="16"/>
    </w:rPr>
  </w:style>
  <w:style w:type="character" w:styleId="FootnoteReference">
    <w:name w:val="footnote reference"/>
    <w:basedOn w:val="DefaultParagraphFont"/>
    <w:uiPriority w:val="99"/>
    <w:semiHidden/>
    <w:unhideWhenUsed/>
    <w:rsid w:val="004726BA"/>
    <w:rPr>
      <w:vertAlign w:val="superscript"/>
    </w:rPr>
  </w:style>
  <w:style w:type="paragraph" w:styleId="FootnoteText">
    <w:name w:val="footnote text"/>
    <w:basedOn w:val="Normal"/>
    <w:link w:val="FootnoteTextChar"/>
    <w:uiPriority w:val="99"/>
    <w:unhideWhenUsed/>
    <w:rsid w:val="004726BA"/>
    <w:pPr>
      <w:spacing w:after="60" w:line="264" w:lineRule="auto"/>
    </w:pPr>
    <w:rPr>
      <w:sz w:val="20"/>
      <w:szCs w:val="20"/>
    </w:rPr>
  </w:style>
  <w:style w:type="character" w:customStyle="1" w:styleId="FootnoteTextChar">
    <w:name w:val="Footnote Text Char"/>
    <w:basedOn w:val="DefaultParagraphFont"/>
    <w:link w:val="FootnoteText"/>
    <w:uiPriority w:val="99"/>
    <w:rsid w:val="004726BA"/>
    <w:rPr>
      <w:rFonts w:ascii="Calibri" w:hAnsi="Calibri"/>
      <w:kern w:val="0"/>
      <w:sz w:val="20"/>
      <w:szCs w:val="20"/>
      <w14:ligatures w14:val="none"/>
    </w:rPr>
  </w:style>
  <w:style w:type="numbering" w:customStyle="1" w:styleId="heading">
    <w:name w:val="heading"/>
    <w:uiPriority w:val="99"/>
    <w:rsid w:val="004726BA"/>
    <w:pPr>
      <w:numPr>
        <w:numId w:val="16"/>
      </w:numPr>
    </w:pPr>
  </w:style>
  <w:style w:type="character" w:customStyle="1" w:styleId="Heading4inred">
    <w:name w:val="Heading 4 in red"/>
    <w:basedOn w:val="DefaultParagraphFont"/>
    <w:uiPriority w:val="1"/>
    <w:semiHidden/>
    <w:rsid w:val="004726BA"/>
    <w:rPr>
      <w:color w:val="FF0000"/>
    </w:rPr>
  </w:style>
  <w:style w:type="character" w:customStyle="1" w:styleId="Heading5initalics">
    <w:name w:val="Heading 5 in italics"/>
    <w:basedOn w:val="Heading5Char"/>
    <w:uiPriority w:val="1"/>
    <w:semiHidden/>
    <w:rsid w:val="004726BA"/>
    <w:rPr>
      <w:rFonts w:asciiTheme="majorHAnsi" w:eastAsiaTheme="majorEastAsia" w:hAnsiTheme="majorHAnsi" w:cstheme="majorBidi"/>
      <w:b/>
      <w:i/>
      <w:color w:val="0F4761" w:themeColor="accent1" w:themeShade="BF"/>
      <w:kern w:val="0"/>
      <w14:ligatures w14:val="none"/>
    </w:rPr>
  </w:style>
  <w:style w:type="numbering" w:customStyle="1" w:styleId="Headings">
    <w:name w:val="Headings"/>
    <w:uiPriority w:val="99"/>
    <w:rsid w:val="004726BA"/>
    <w:pPr>
      <w:numPr>
        <w:numId w:val="20"/>
      </w:numPr>
    </w:pPr>
  </w:style>
  <w:style w:type="character" w:styleId="Hyperlink">
    <w:name w:val="Hyperlink"/>
    <w:basedOn w:val="DefaultParagraphFont"/>
    <w:uiPriority w:val="11"/>
    <w:qFormat/>
    <w:rsid w:val="004726BA"/>
    <w:rPr>
      <w:rFonts w:asciiTheme="minorHAnsi" w:hAnsiTheme="minorHAnsi"/>
      <w:color w:val="165788"/>
      <w:u w:val="single"/>
    </w:rPr>
  </w:style>
  <w:style w:type="table" w:styleId="TableGrid1">
    <w:name w:val="Table Grid 1"/>
    <w:basedOn w:val="TableNormal"/>
    <w:uiPriority w:val="99"/>
    <w:semiHidden/>
    <w:unhideWhenUsed/>
    <w:rsid w:val="004726BA"/>
    <w:pPr>
      <w:spacing w:after="200" w:line="280" w:lineRule="atLeast"/>
    </w:pPr>
    <w:rPr>
      <w:rFonts w:ascii="Cambria" w:eastAsia="Cambria" w:hAnsi="Cambria"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4726BA"/>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4726BA"/>
    <w:pPr>
      <w:spacing w:after="0" w:line="240" w:lineRule="auto"/>
    </w:pPr>
    <w:rPr>
      <w:rFonts w:ascii="Cambria" w:eastAsia="Cambria" w:hAnsi="Cambria" w:cs="Times New Roman"/>
      <w:color w:val="000000"/>
      <w:kern w:val="0"/>
      <w:sz w:val="20"/>
      <w:szCs w:val="20"/>
      <w:lang w:eastAsia="en-AU"/>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4726BA"/>
    <w:pPr>
      <w:numPr>
        <w:numId w:val="1"/>
      </w:numPr>
      <w:spacing w:before="120" w:after="120" w:line="240" w:lineRule="auto"/>
    </w:pPr>
    <w:rPr>
      <w:rFonts w:ascii="Calibri" w:hAnsi="Calibri"/>
      <w:kern w:val="0"/>
      <w14:ligatures w14:val="none"/>
    </w:rPr>
  </w:style>
  <w:style w:type="paragraph" w:styleId="ListBullet2">
    <w:name w:val="List Bullet 2"/>
    <w:uiPriority w:val="7"/>
    <w:qFormat/>
    <w:rsid w:val="004726BA"/>
    <w:pPr>
      <w:numPr>
        <w:numId w:val="24"/>
      </w:numPr>
      <w:spacing w:before="120" w:after="120" w:line="240" w:lineRule="auto"/>
      <w:ind w:left="765"/>
    </w:pPr>
    <w:rPr>
      <w:rFonts w:ascii="Calibri" w:hAnsi="Calibri"/>
      <w:kern w:val="0"/>
      <w14:ligatures w14:val="none"/>
    </w:rPr>
  </w:style>
  <w:style w:type="numbering" w:customStyle="1" w:styleId="listbullets">
    <w:name w:val="list bullets"/>
    <w:uiPriority w:val="99"/>
    <w:rsid w:val="004726BA"/>
    <w:pPr>
      <w:numPr>
        <w:numId w:val="1"/>
      </w:numPr>
    </w:pPr>
  </w:style>
  <w:style w:type="paragraph" w:styleId="ListNumber">
    <w:name w:val="List Number"/>
    <w:basedOn w:val="Normal"/>
    <w:uiPriority w:val="8"/>
    <w:qFormat/>
    <w:rsid w:val="004726BA"/>
    <w:pPr>
      <w:numPr>
        <w:numId w:val="21"/>
      </w:numPr>
      <w:spacing w:before="120" w:after="120" w:line="280" w:lineRule="atLeast"/>
    </w:pPr>
    <w:rPr>
      <w:szCs w:val="20"/>
    </w:rPr>
  </w:style>
  <w:style w:type="paragraph" w:styleId="ListNumber2">
    <w:name w:val="List Number 2"/>
    <w:uiPriority w:val="9"/>
    <w:qFormat/>
    <w:rsid w:val="004726BA"/>
    <w:pPr>
      <w:numPr>
        <w:ilvl w:val="1"/>
        <w:numId w:val="21"/>
      </w:numPr>
      <w:spacing w:before="120" w:after="120" w:line="264" w:lineRule="auto"/>
    </w:pPr>
    <w:rPr>
      <w:rFonts w:ascii="Calibri" w:eastAsia="Times New Roman" w:hAnsi="Calibri" w:cs="Times New Roman"/>
      <w:kern w:val="0"/>
      <w:szCs w:val="24"/>
      <w14:ligatures w14:val="none"/>
    </w:rPr>
  </w:style>
  <w:style w:type="paragraph" w:styleId="ListNumber3">
    <w:name w:val="List Number 3"/>
    <w:uiPriority w:val="10"/>
    <w:qFormat/>
    <w:rsid w:val="004726BA"/>
    <w:pPr>
      <w:numPr>
        <w:ilvl w:val="2"/>
        <w:numId w:val="21"/>
      </w:numPr>
      <w:spacing w:before="120" w:after="120" w:line="264" w:lineRule="auto"/>
    </w:pPr>
    <w:rPr>
      <w:rFonts w:ascii="Calibri" w:eastAsia="Times New Roman" w:hAnsi="Calibri" w:cs="Times New Roman"/>
      <w:kern w:val="0"/>
      <w:szCs w:val="24"/>
      <w14:ligatures w14:val="none"/>
    </w:rPr>
  </w:style>
  <w:style w:type="numbering" w:customStyle="1" w:styleId="ListNumber1">
    <w:name w:val="List Number1"/>
    <w:uiPriority w:val="99"/>
    <w:rsid w:val="004726BA"/>
    <w:pPr>
      <w:numPr>
        <w:numId w:val="21"/>
      </w:numPr>
    </w:pPr>
  </w:style>
  <w:style w:type="numbering" w:customStyle="1" w:styleId="List1">
    <w:name w:val="List1"/>
    <w:basedOn w:val="NoList"/>
    <w:uiPriority w:val="99"/>
    <w:rsid w:val="004726BA"/>
    <w:pPr>
      <w:numPr>
        <w:numId w:val="22"/>
      </w:numPr>
    </w:pPr>
  </w:style>
  <w:style w:type="paragraph" w:styleId="NormalWeb">
    <w:name w:val="Normal (Web)"/>
    <w:basedOn w:val="Normal"/>
    <w:uiPriority w:val="99"/>
    <w:unhideWhenUsed/>
    <w:rsid w:val="004726BA"/>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semiHidden/>
    <w:qFormat/>
    <w:rsid w:val="004726BA"/>
    <w:pPr>
      <w:spacing w:before="120" w:after="120" w:line="240" w:lineRule="auto"/>
    </w:pPr>
    <w:rPr>
      <w:noProof/>
      <w:lang w:eastAsia="en-AU"/>
    </w:rPr>
  </w:style>
  <w:style w:type="character" w:styleId="PlaceholderText">
    <w:name w:val="Placeholder Text"/>
    <w:basedOn w:val="DefaultParagraphFont"/>
    <w:uiPriority w:val="99"/>
    <w:semiHidden/>
    <w:rsid w:val="004726BA"/>
    <w:rPr>
      <w:color w:val="808080"/>
    </w:rPr>
  </w:style>
  <w:style w:type="paragraph" w:customStyle="1" w:styleId="Securityclassification">
    <w:name w:val="Security classification"/>
    <w:basedOn w:val="Header"/>
    <w:next w:val="Header"/>
    <w:uiPriority w:val="22"/>
    <w:qFormat/>
    <w:rsid w:val="004726BA"/>
    <w:pPr>
      <w:spacing w:after="0"/>
    </w:pPr>
    <w:rPr>
      <w:b/>
      <w:caps/>
      <w:color w:val="FF0000"/>
      <w:sz w:val="36"/>
      <w:szCs w:val="36"/>
    </w:rPr>
  </w:style>
  <w:style w:type="character" w:styleId="Strong">
    <w:name w:val="Strong"/>
    <w:uiPriority w:val="1"/>
    <w:qFormat/>
    <w:rsid w:val="004726BA"/>
    <w:rPr>
      <w:b/>
      <w:bCs/>
    </w:rPr>
  </w:style>
  <w:style w:type="character" w:customStyle="1" w:styleId="StyleItalic">
    <w:name w:val="Style Italic"/>
    <w:basedOn w:val="DefaultParagraphFont"/>
    <w:semiHidden/>
    <w:rsid w:val="004726BA"/>
    <w:rPr>
      <w:i/>
      <w:iCs/>
    </w:rPr>
  </w:style>
  <w:style w:type="paragraph" w:customStyle="1" w:styleId="TableText">
    <w:name w:val="Table Text"/>
    <w:basedOn w:val="Normal"/>
    <w:link w:val="TableTextChar"/>
    <w:uiPriority w:val="4"/>
    <w:qFormat/>
    <w:rsid w:val="004726BA"/>
    <w:pPr>
      <w:spacing w:before="60" w:after="60" w:line="240" w:lineRule="auto"/>
    </w:pPr>
    <w:rPr>
      <w:rFonts w:asciiTheme="minorHAnsi" w:hAnsiTheme="minorHAnsi"/>
      <w:sz w:val="18"/>
    </w:rPr>
  </w:style>
  <w:style w:type="character" w:customStyle="1" w:styleId="TableTextChar">
    <w:name w:val="Table Text Char"/>
    <w:basedOn w:val="DefaultParagraphFont"/>
    <w:link w:val="TableText"/>
    <w:uiPriority w:val="4"/>
    <w:rsid w:val="004726BA"/>
    <w:rPr>
      <w:kern w:val="0"/>
      <w:sz w:val="18"/>
      <w14:ligatures w14:val="none"/>
    </w:rPr>
  </w:style>
  <w:style w:type="paragraph" w:customStyle="1" w:styleId="TableBullet">
    <w:name w:val="Table Bullet"/>
    <w:basedOn w:val="TableText"/>
    <w:uiPriority w:val="15"/>
    <w:semiHidden/>
    <w:qFormat/>
    <w:rsid w:val="004726BA"/>
    <w:pPr>
      <w:numPr>
        <w:numId w:val="23"/>
      </w:numPr>
      <w:tabs>
        <w:tab w:val="num" w:pos="397"/>
      </w:tabs>
      <w:ind w:left="397" w:hanging="397"/>
    </w:pPr>
  </w:style>
  <w:style w:type="table" w:styleId="TableGrid">
    <w:name w:val="Table Grid"/>
    <w:basedOn w:val="TableNormal"/>
    <w:uiPriority w:val="59"/>
    <w:rsid w:val="004726BA"/>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3"/>
    <w:qFormat/>
    <w:rsid w:val="004726BA"/>
    <w:pPr>
      <w:keepNext/>
    </w:pPr>
    <w:rPr>
      <w:b/>
    </w:rPr>
  </w:style>
  <w:style w:type="paragraph" w:styleId="TableofFigures">
    <w:name w:val="table of figures"/>
    <w:basedOn w:val="Normal"/>
    <w:next w:val="Normal"/>
    <w:uiPriority w:val="99"/>
    <w:rsid w:val="004726BA"/>
    <w:pPr>
      <w:spacing w:before="120" w:after="120" w:line="240" w:lineRule="auto"/>
      <w:ind w:left="936" w:hanging="936"/>
    </w:pPr>
  </w:style>
  <w:style w:type="paragraph" w:customStyle="1" w:styleId="Tabletextwithitalics">
    <w:name w:val="Table text with italics"/>
    <w:basedOn w:val="Normal"/>
    <w:semiHidden/>
    <w:qFormat/>
    <w:rsid w:val="004726BA"/>
    <w:rPr>
      <w:i/>
      <w:sz w:val="18"/>
    </w:rPr>
  </w:style>
  <w:style w:type="paragraph" w:customStyle="1" w:styleId="TableNotes">
    <w:name w:val="TableNotes"/>
    <w:basedOn w:val="Normal"/>
    <w:link w:val="TableNotesChar"/>
    <w:semiHidden/>
    <w:rsid w:val="004726BA"/>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semiHidden/>
    <w:rsid w:val="004726BA"/>
    <w:rPr>
      <w:rFonts w:ascii="Arial Narrow" w:hAnsi="Arial Narrow"/>
      <w:color w:val="000000"/>
      <w:kern w:val="0"/>
      <w:sz w:val="16"/>
      <w14:ligatures w14:val="none"/>
    </w:rPr>
  </w:style>
  <w:style w:type="paragraph" w:styleId="TOAHeading">
    <w:name w:val="toa heading"/>
    <w:basedOn w:val="Heading1"/>
    <w:next w:val="Normal"/>
    <w:uiPriority w:val="99"/>
    <w:semiHidden/>
    <w:unhideWhenUsed/>
    <w:rsid w:val="004726BA"/>
    <w:pPr>
      <w:spacing w:before="120"/>
    </w:pPr>
    <w:rPr>
      <w:bCs/>
      <w:sz w:val="24"/>
    </w:rPr>
  </w:style>
  <w:style w:type="paragraph" w:styleId="TOC1">
    <w:name w:val="toc 1"/>
    <w:next w:val="Normal"/>
    <w:uiPriority w:val="39"/>
    <w:rsid w:val="004726BA"/>
    <w:pPr>
      <w:tabs>
        <w:tab w:val="left" w:pos="426"/>
        <w:tab w:val="right" w:leader="dot" w:pos="9072"/>
      </w:tabs>
      <w:spacing w:before="120" w:after="120" w:line="240" w:lineRule="auto"/>
      <w:ind w:left="851" w:hanging="851"/>
    </w:pPr>
    <w:rPr>
      <w:rFonts w:ascii="Calibri" w:hAnsi="Calibri"/>
      <w:b/>
      <w:noProof/>
      <w:kern w:val="0"/>
      <w14:ligatures w14:val="none"/>
    </w:rPr>
  </w:style>
  <w:style w:type="paragraph" w:styleId="TOC2">
    <w:name w:val="toc 2"/>
    <w:basedOn w:val="Normal"/>
    <w:next w:val="Normal"/>
    <w:uiPriority w:val="39"/>
    <w:rsid w:val="004726BA"/>
    <w:pPr>
      <w:tabs>
        <w:tab w:val="right" w:leader="dot" w:pos="9060"/>
      </w:tabs>
      <w:spacing w:before="120" w:after="120" w:line="240" w:lineRule="auto"/>
      <w:ind w:left="1105" w:hanging="680"/>
    </w:pPr>
    <w:rPr>
      <w:noProof/>
    </w:rPr>
  </w:style>
  <w:style w:type="paragraph" w:styleId="TOC3">
    <w:name w:val="toc 3"/>
    <w:basedOn w:val="Normal"/>
    <w:next w:val="Normal"/>
    <w:uiPriority w:val="39"/>
    <w:semiHidden/>
    <w:rsid w:val="004726BA"/>
    <w:pPr>
      <w:tabs>
        <w:tab w:val="right" w:leader="dot" w:pos="9072"/>
      </w:tabs>
      <w:spacing w:before="120" w:after="120" w:line="240" w:lineRule="auto"/>
      <w:ind w:left="1361" w:hanging="907"/>
    </w:pPr>
    <w:rPr>
      <w:noProof/>
    </w:rPr>
  </w:style>
  <w:style w:type="paragraph" w:styleId="TOCHeading">
    <w:name w:val="TOC Heading"/>
    <w:next w:val="Normal"/>
    <w:uiPriority w:val="39"/>
    <w:semiHidden/>
    <w:qFormat/>
    <w:rsid w:val="004726BA"/>
    <w:pPr>
      <w:spacing w:after="0" w:line="240" w:lineRule="auto"/>
    </w:pPr>
    <w:rPr>
      <w:rFonts w:ascii="Calibri" w:eastAsiaTheme="majorEastAsia" w:hAnsi="Calibri" w:cstheme="majorBidi"/>
      <w:b/>
      <w:bCs/>
      <w:color w:val="D52B1E"/>
      <w:kern w:val="0"/>
      <w:sz w:val="34"/>
      <w:szCs w:val="28"/>
      <w:lang w:val="en-US"/>
      <w14:ligatures w14:val="none"/>
    </w:rPr>
  </w:style>
  <w:style w:type="paragraph" w:customStyle="1" w:styleId="TOCHeadingsamepage">
    <w:name w:val="TOC Heading (same page)"/>
    <w:basedOn w:val="TOCHeading"/>
    <w:next w:val="Normal"/>
    <w:uiPriority w:val="39"/>
    <w:semiHidden/>
    <w:rsid w:val="004726BA"/>
  </w:style>
  <w:style w:type="paragraph" w:styleId="TOC9">
    <w:name w:val="toc 9"/>
    <w:basedOn w:val="Normal"/>
    <w:next w:val="Normal"/>
    <w:autoRedefine/>
    <w:uiPriority w:val="39"/>
    <w:semiHidden/>
    <w:unhideWhenUsed/>
    <w:rsid w:val="004726BA"/>
    <w:pPr>
      <w:spacing w:after="100"/>
      <w:ind w:left="1760"/>
    </w:pPr>
  </w:style>
  <w:style w:type="paragraph" w:customStyle="1" w:styleId="TableTitle">
    <w:name w:val="Table Title"/>
    <w:basedOn w:val="Caption"/>
    <w:link w:val="TableTitleChar"/>
    <w:semiHidden/>
    <w:qFormat/>
    <w:rsid w:val="004726BA"/>
    <w:rPr>
      <w:color w:val="000000" w:themeColor="text1"/>
      <w:sz w:val="18"/>
    </w:rPr>
  </w:style>
  <w:style w:type="character" w:customStyle="1" w:styleId="TableTitleChar">
    <w:name w:val="Table Title Char"/>
    <w:basedOn w:val="CaptionChar"/>
    <w:link w:val="TableTitle"/>
    <w:semiHidden/>
    <w:rsid w:val="004726BA"/>
    <w:rPr>
      <w:rFonts w:ascii="Calibri" w:eastAsiaTheme="majorEastAsia" w:hAnsi="Calibri" w:cstheme="majorBidi"/>
      <w:b/>
      <w:bCs/>
      <w:color w:val="000000" w:themeColor="text1"/>
      <w:kern w:val="0"/>
      <w:sz w:val="18"/>
      <w:szCs w:val="18"/>
      <w14:ligatures w14:val="none"/>
    </w:rPr>
  </w:style>
  <w:style w:type="character" w:customStyle="1" w:styleId="Cambria9withitalics">
    <w:name w:val="Cambria 9 with italics"/>
    <w:basedOn w:val="StyleItalic"/>
    <w:uiPriority w:val="1"/>
    <w:semiHidden/>
    <w:rsid w:val="004726BA"/>
    <w:rPr>
      <w:rFonts w:ascii="Cambria" w:hAnsi="Cambria"/>
      <w:i/>
      <w:iCs/>
      <w:color w:val="000000" w:themeColor="text1"/>
      <w:sz w:val="18"/>
    </w:rPr>
  </w:style>
  <w:style w:type="paragraph" w:customStyle="1" w:styleId="Mapheading">
    <w:name w:val="Map heading"/>
    <w:basedOn w:val="TableTitle"/>
    <w:link w:val="MapheadingChar"/>
    <w:uiPriority w:val="20"/>
    <w:qFormat/>
    <w:rsid w:val="004726BA"/>
    <w:rPr>
      <w:color w:val="595959" w:themeColor="text1" w:themeTint="A6"/>
      <w:sz w:val="20"/>
    </w:rPr>
  </w:style>
  <w:style w:type="character" w:customStyle="1" w:styleId="MapheadingChar">
    <w:name w:val="Map heading Char"/>
    <w:basedOn w:val="TableTitleChar"/>
    <w:link w:val="Mapheading"/>
    <w:uiPriority w:val="20"/>
    <w:rsid w:val="004726BA"/>
    <w:rPr>
      <w:rFonts w:ascii="Calibri" w:eastAsiaTheme="majorEastAsia" w:hAnsi="Calibri" w:cstheme="majorBidi"/>
      <w:b/>
      <w:bCs/>
      <w:color w:val="595959" w:themeColor="text1" w:themeTint="A6"/>
      <w:kern w:val="0"/>
      <w:sz w:val="20"/>
      <w:szCs w:val="18"/>
      <w14:ligatures w14:val="none"/>
    </w:rPr>
  </w:style>
  <w:style w:type="paragraph" w:customStyle="1" w:styleId="Normalsmall">
    <w:name w:val="Normal small"/>
    <w:uiPriority w:val="21"/>
    <w:qFormat/>
    <w:rsid w:val="004726BA"/>
    <w:pPr>
      <w:spacing w:after="120" w:line="276" w:lineRule="auto"/>
    </w:pPr>
    <w:rPr>
      <w:rFonts w:ascii="Calibri" w:hAnsi="Calibri"/>
      <w:kern w:val="0"/>
      <w:sz w:val="18"/>
      <w:szCs w:val="18"/>
      <w14:ligatures w14:val="none"/>
    </w:rPr>
  </w:style>
  <w:style w:type="paragraph" w:customStyle="1" w:styleId="Tablecaption">
    <w:name w:val="Table caption"/>
    <w:basedOn w:val="Caption"/>
    <w:link w:val="TablecaptionChar"/>
    <w:uiPriority w:val="19"/>
    <w:qFormat/>
    <w:rsid w:val="004726BA"/>
    <w:pPr>
      <w:contextualSpacing/>
    </w:pPr>
  </w:style>
  <w:style w:type="character" w:customStyle="1" w:styleId="TablecaptionChar">
    <w:name w:val="Table caption Char"/>
    <w:basedOn w:val="CaptionChar"/>
    <w:link w:val="Tablecaption"/>
    <w:uiPriority w:val="19"/>
    <w:rsid w:val="004726BA"/>
    <w:rPr>
      <w:rFonts w:ascii="Calibri" w:eastAsiaTheme="majorEastAsia" w:hAnsi="Calibri" w:cstheme="majorBidi"/>
      <w:b/>
      <w:bCs/>
      <w:color w:val="595959" w:themeColor="text1" w:themeTint="A6"/>
      <w:kern w:val="0"/>
      <w:sz w:val="20"/>
      <w:szCs w:val="18"/>
      <w14:ligatures w14:val="none"/>
    </w:rPr>
  </w:style>
  <w:style w:type="character" w:customStyle="1" w:styleId="TableHeadingChar">
    <w:name w:val="Table Heading Char"/>
    <w:basedOn w:val="TableTextChar"/>
    <w:link w:val="TableHeading"/>
    <w:uiPriority w:val="3"/>
    <w:rsid w:val="004726BA"/>
    <w:rPr>
      <w:b/>
      <w:kern w:val="0"/>
      <w:sz w:val="18"/>
      <w14:ligatures w14:val="none"/>
    </w:rPr>
  </w:style>
  <w:style w:type="character" w:styleId="UnresolvedMention">
    <w:name w:val="Unresolved Mention"/>
    <w:basedOn w:val="DefaultParagraphFont"/>
    <w:uiPriority w:val="99"/>
    <w:semiHidden/>
    <w:unhideWhenUsed/>
    <w:rsid w:val="004726BA"/>
    <w:rPr>
      <w:color w:val="605E5C"/>
      <w:shd w:val="clear" w:color="auto" w:fill="E1DFDD"/>
    </w:rPr>
  </w:style>
  <w:style w:type="table" w:customStyle="1" w:styleId="TableGrid10">
    <w:name w:val="Table Grid1"/>
    <w:basedOn w:val="TableNormal"/>
    <w:next w:val="TableGrid"/>
    <w:uiPriority w:val="59"/>
    <w:rsid w:val="004726BA"/>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726BA"/>
    <w:pPr>
      <w:spacing w:after="0" w:line="240" w:lineRule="auto"/>
    </w:pPr>
    <w:rPr>
      <w:rFonts w:ascii="Cambria" w:hAnsi="Cambria"/>
      <w:kern w:val="0"/>
      <w14:ligatures w14:val="none"/>
    </w:rPr>
  </w:style>
  <w:style w:type="table" w:customStyle="1" w:styleId="TableGrid11">
    <w:name w:val="Table Grid11"/>
    <w:basedOn w:val="TableNormal"/>
    <w:next w:val="TableGrid"/>
    <w:uiPriority w:val="59"/>
    <w:rsid w:val="004726BA"/>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726BA"/>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Appendix">
    <w:name w:val="Heading 5 - Appendix"/>
    <w:basedOn w:val="Heading5"/>
    <w:uiPriority w:val="16"/>
    <w:qFormat/>
    <w:rsid w:val="004726BA"/>
    <w:pPr>
      <w:numPr>
        <w:numId w:val="19"/>
      </w:numPr>
      <w:ind w:left="360"/>
    </w:pPr>
  </w:style>
  <w:style w:type="table" w:customStyle="1" w:styleId="TableGrid21">
    <w:name w:val="Table Grid21"/>
    <w:basedOn w:val="TableNormal"/>
    <w:next w:val="TableGrid"/>
    <w:uiPriority w:val="59"/>
    <w:rsid w:val="004726BA"/>
    <w:pPr>
      <w:spacing w:before="60" w:after="60" w:line="240" w:lineRule="auto"/>
    </w:pPr>
    <w:rPr>
      <w:rFonts w:ascii="Cambria" w:eastAsia="Times New Roman" w:hAnsi="Cambria" w:cs="Times New Roman"/>
      <w:kern w:val="0"/>
      <w:sz w:val="18"/>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Appendix">
    <w:name w:val="Heading 3 - Appendix"/>
    <w:basedOn w:val="Heading3"/>
    <w:link w:val="Heading3-AppendixChar"/>
    <w:uiPriority w:val="14"/>
    <w:qFormat/>
    <w:rsid w:val="004726BA"/>
    <w:pPr>
      <w:numPr>
        <w:ilvl w:val="0"/>
        <w:numId w:val="17"/>
      </w:numPr>
      <w:ind w:left="357" w:hanging="357"/>
      <w:jc w:val="both"/>
    </w:pPr>
  </w:style>
  <w:style w:type="character" w:customStyle="1" w:styleId="ui-provider">
    <w:name w:val="ui-provider"/>
    <w:basedOn w:val="DefaultParagraphFont"/>
    <w:rsid w:val="004726BA"/>
  </w:style>
  <w:style w:type="character" w:customStyle="1" w:styleId="cf01">
    <w:name w:val="cf01"/>
    <w:basedOn w:val="DefaultParagraphFont"/>
    <w:rsid w:val="004726BA"/>
    <w:rPr>
      <w:rFonts w:ascii="Segoe UI" w:hAnsi="Segoe UI" w:cs="Segoe UI" w:hint="default"/>
      <w:sz w:val="18"/>
      <w:szCs w:val="18"/>
    </w:rPr>
  </w:style>
  <w:style w:type="character" w:customStyle="1" w:styleId="Defaultparagraphfont-bluehighlighted">
    <w:name w:val="Default paragraph font - blue highlighted"/>
    <w:basedOn w:val="DefaultParagraphFont"/>
    <w:uiPriority w:val="1"/>
    <w:semiHidden/>
    <w:rsid w:val="004726BA"/>
    <w:rPr>
      <w:color w:val="auto"/>
    </w:rPr>
  </w:style>
  <w:style w:type="paragraph" w:customStyle="1" w:styleId="Shorttitle1">
    <w:name w:val="Short title 1"/>
    <w:basedOn w:val="Heading1"/>
    <w:link w:val="Shorttitle1Char"/>
    <w:semiHidden/>
    <w:qFormat/>
    <w:rsid w:val="004726BA"/>
    <w:pPr>
      <w:pBdr>
        <w:bottom w:val="single" w:sz="4" w:space="1" w:color="auto"/>
      </w:pBdr>
      <w:spacing w:before="480" w:after="120"/>
      <w:contextualSpacing w:val="0"/>
      <w:jc w:val="center"/>
    </w:pPr>
    <w:rPr>
      <w:rFonts w:eastAsiaTheme="majorEastAsia" w:cstheme="majorBidi"/>
      <w:bCs/>
      <w:szCs w:val="28"/>
    </w:rPr>
  </w:style>
  <w:style w:type="paragraph" w:customStyle="1" w:styleId="Shorttitle2">
    <w:name w:val="Short title 2"/>
    <w:basedOn w:val="Shorttitle1"/>
    <w:link w:val="Shorttitle2Char"/>
    <w:semiHidden/>
    <w:qFormat/>
    <w:rsid w:val="004726BA"/>
  </w:style>
  <w:style w:type="character" w:customStyle="1" w:styleId="Shorttitle1Char">
    <w:name w:val="Short title 1 Char"/>
    <w:basedOn w:val="Heading1Char"/>
    <w:link w:val="Shorttitle1"/>
    <w:semiHidden/>
    <w:rsid w:val="004726BA"/>
    <w:rPr>
      <w:rFonts w:ascii="Calibri" w:eastAsiaTheme="majorEastAsia" w:hAnsi="Calibri" w:cstheme="majorBidi"/>
      <w:b/>
      <w:bCs/>
      <w:kern w:val="0"/>
      <w:sz w:val="60"/>
      <w:szCs w:val="28"/>
      <w14:ligatures w14:val="none"/>
    </w:rPr>
  </w:style>
  <w:style w:type="character" w:customStyle="1" w:styleId="Shorttitle2Char">
    <w:name w:val="Short title 2 Char"/>
    <w:basedOn w:val="Shorttitle1Char"/>
    <w:link w:val="Shorttitle2"/>
    <w:semiHidden/>
    <w:rsid w:val="004726BA"/>
    <w:rPr>
      <w:rFonts w:ascii="Calibri" w:eastAsiaTheme="majorEastAsia" w:hAnsi="Calibri" w:cstheme="majorBidi"/>
      <w:b/>
      <w:bCs/>
      <w:kern w:val="0"/>
      <w:sz w:val="60"/>
      <w:szCs w:val="28"/>
      <w14:ligatures w14:val="none"/>
    </w:rPr>
  </w:style>
  <w:style w:type="paragraph" w:customStyle="1" w:styleId="Tabletitle0">
    <w:name w:val="Table title"/>
    <w:basedOn w:val="TableHeading"/>
    <w:link w:val="TabletitleChar0"/>
    <w:semiHidden/>
    <w:qFormat/>
    <w:rsid w:val="004726BA"/>
    <w:rPr>
      <w:rFonts w:eastAsia="Times New Roman" w:cs="Times New Roman"/>
      <w:szCs w:val="18"/>
      <w:lang w:eastAsia="en-AU"/>
    </w:rPr>
  </w:style>
  <w:style w:type="character" w:customStyle="1" w:styleId="TabletitleChar0">
    <w:name w:val="Table title Char"/>
    <w:basedOn w:val="TableHeadingChar"/>
    <w:link w:val="Tabletitle0"/>
    <w:semiHidden/>
    <w:rsid w:val="004726BA"/>
    <w:rPr>
      <w:rFonts w:eastAsia="Times New Roman" w:cs="Times New Roman"/>
      <w:b/>
      <w:kern w:val="0"/>
      <w:sz w:val="18"/>
      <w:szCs w:val="18"/>
      <w:lang w:eastAsia="en-AU"/>
      <w14:ligatures w14:val="none"/>
    </w:rPr>
  </w:style>
  <w:style w:type="character" w:customStyle="1" w:styleId="UnresolvedMention1">
    <w:name w:val="Unresolved Mention1"/>
    <w:basedOn w:val="DefaultParagraphFont"/>
    <w:uiPriority w:val="99"/>
    <w:semiHidden/>
    <w:unhideWhenUsed/>
    <w:rsid w:val="004726BA"/>
    <w:rPr>
      <w:color w:val="605E5C"/>
      <w:shd w:val="clear" w:color="auto" w:fill="E1DFDD"/>
    </w:rPr>
  </w:style>
  <w:style w:type="paragraph" w:customStyle="1" w:styleId="Bullet3">
    <w:name w:val="Bullet 3"/>
    <w:basedOn w:val="ListBullet2"/>
    <w:semiHidden/>
    <w:rsid w:val="004726BA"/>
    <w:pPr>
      <w:tabs>
        <w:tab w:val="num" w:pos="1287"/>
      </w:tabs>
      <w:ind w:left="1191" w:hanging="397"/>
      <w:jc w:val="both"/>
    </w:pPr>
  </w:style>
  <w:style w:type="paragraph" w:styleId="NoSpacing">
    <w:name w:val="No Spacing"/>
    <w:uiPriority w:val="1"/>
    <w:qFormat/>
    <w:rsid w:val="004726BA"/>
    <w:pPr>
      <w:spacing w:after="0" w:line="240" w:lineRule="auto"/>
      <w:jc w:val="both"/>
    </w:pPr>
    <w:rPr>
      <w:rFonts w:ascii="Cambria" w:hAnsi="Cambria"/>
      <w:kern w:val="0"/>
      <w14:ligatures w14:val="none"/>
    </w:rPr>
  </w:style>
  <w:style w:type="paragraph" w:customStyle="1" w:styleId="Heading4-Appendix">
    <w:name w:val="Heading 4 - Appendix"/>
    <w:basedOn w:val="Heading4"/>
    <w:link w:val="Heading4-AppendixChar"/>
    <w:uiPriority w:val="15"/>
    <w:qFormat/>
    <w:rsid w:val="004726BA"/>
    <w:pPr>
      <w:numPr>
        <w:ilvl w:val="0"/>
        <w:numId w:val="18"/>
      </w:numPr>
      <w:tabs>
        <w:tab w:val="num" w:pos="794"/>
      </w:tabs>
      <w:ind w:left="794" w:hanging="794"/>
      <w:jc w:val="both"/>
    </w:pPr>
    <w:rPr>
      <w:color w:val="000000" w:themeColor="text1"/>
    </w:rPr>
  </w:style>
  <w:style w:type="character" w:customStyle="1" w:styleId="Heading3-AppendixChar">
    <w:name w:val="Heading 3 - Appendix Char"/>
    <w:basedOn w:val="Heading3Char"/>
    <w:link w:val="Heading3-Appendix"/>
    <w:uiPriority w:val="14"/>
    <w:rsid w:val="004726BA"/>
    <w:rPr>
      <w:rFonts w:ascii="Calibri" w:hAnsi="Calibri"/>
      <w:b/>
      <w:bCs/>
      <w:color w:val="005F86"/>
      <w:kern w:val="0"/>
      <w:sz w:val="28"/>
      <w14:ligatures w14:val="none"/>
    </w:rPr>
  </w:style>
  <w:style w:type="character" w:customStyle="1" w:styleId="Heading4-AppendixChar">
    <w:name w:val="Heading 4 - Appendix Char"/>
    <w:basedOn w:val="Heading4Char"/>
    <w:link w:val="Heading4-Appendix"/>
    <w:uiPriority w:val="15"/>
    <w:rsid w:val="004726BA"/>
    <w:rPr>
      <w:rFonts w:ascii="Calibri" w:hAnsi="Calibri"/>
      <w:b/>
      <w:bCs/>
      <w:iCs/>
      <w:color w:val="000000" w:themeColor="text1"/>
      <w:kern w:val="0"/>
      <w:sz w:val="24"/>
      <w14:ligatures w14:val="none"/>
    </w:rPr>
  </w:style>
  <w:style w:type="paragraph" w:customStyle="1" w:styleId="AppendixHeading2">
    <w:name w:val="Appendix Heading 2"/>
    <w:basedOn w:val="Heading2"/>
    <w:semiHidden/>
    <w:qFormat/>
    <w:rsid w:val="004726BA"/>
    <w:pPr>
      <w:numPr>
        <w:numId w:val="0"/>
      </w:numPr>
    </w:pPr>
    <w:rPr>
      <w:color w:val="D52B1E"/>
    </w:rPr>
  </w:style>
  <w:style w:type="character" w:customStyle="1" w:styleId="author0">
    <w:name w:val="author"/>
    <w:basedOn w:val="DefaultParagraphFont"/>
    <w:rsid w:val="004726BA"/>
  </w:style>
  <w:style w:type="paragraph" w:customStyle="1" w:styleId="Default">
    <w:name w:val="Default"/>
    <w:rsid w:val="004726BA"/>
    <w:pPr>
      <w:autoSpaceDE w:val="0"/>
      <w:autoSpaceDN w:val="0"/>
      <w:adjustRightInd w:val="0"/>
      <w:spacing w:after="0" w:line="240" w:lineRule="auto"/>
    </w:pPr>
    <w:rPr>
      <w:rFonts w:ascii="Cambria" w:hAnsi="Cambria" w:cs="Cambria"/>
      <w:color w:val="000000"/>
      <w:kern w:val="0"/>
      <w:sz w:val="24"/>
      <w:szCs w:val="24"/>
      <w14:ligatures w14:val="none"/>
    </w:rPr>
  </w:style>
  <w:style w:type="paragraph" w:customStyle="1" w:styleId="pf0">
    <w:name w:val="pf0"/>
    <w:basedOn w:val="Normal"/>
    <w:rsid w:val="004726B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4726BA"/>
    <w:rPr>
      <w:rFonts w:ascii="Segoe UI" w:hAnsi="Segoe UI" w:cs="Segoe UI" w:hint="default"/>
      <w:i/>
      <w:iCs/>
      <w:sz w:val="18"/>
      <w:szCs w:val="18"/>
    </w:rPr>
  </w:style>
  <w:style w:type="character" w:customStyle="1" w:styleId="cf21">
    <w:name w:val="cf21"/>
    <w:basedOn w:val="DefaultParagraphFont"/>
    <w:rsid w:val="004726BA"/>
    <w:rPr>
      <w:rFonts w:ascii="Segoe UI" w:hAnsi="Segoe UI" w:cs="Segoe UI" w:hint="default"/>
      <w:i/>
      <w:iCs/>
      <w:sz w:val="18"/>
      <w:szCs w:val="18"/>
    </w:rPr>
  </w:style>
  <w:style w:type="character" w:customStyle="1" w:styleId="cf31">
    <w:name w:val="cf31"/>
    <w:basedOn w:val="DefaultParagraphFont"/>
    <w:rsid w:val="004726BA"/>
    <w:rPr>
      <w:rFonts w:ascii="Segoe UI" w:hAnsi="Segoe UI" w:cs="Segoe UI" w:hint="default"/>
      <w:sz w:val="18"/>
      <w:szCs w:val="18"/>
    </w:rPr>
  </w:style>
  <w:style w:type="character" w:customStyle="1" w:styleId="ListParagraphChar">
    <w:name w:val="List Paragraph Char"/>
    <w:link w:val="ListParagraph"/>
    <w:uiPriority w:val="99"/>
    <w:qFormat/>
    <w:locked/>
    <w:rsid w:val="004726BA"/>
    <w:rPr>
      <w:rFonts w:ascii="Calibri" w:hAnsi="Calibri"/>
      <w:kern w:val="0"/>
      <w14:ligatures w14:val="none"/>
    </w:rPr>
  </w:style>
  <w:style w:type="table" w:customStyle="1" w:styleId="TableGrid15">
    <w:name w:val="Table Grid15"/>
    <w:basedOn w:val="TableNormal"/>
    <w:next w:val="TableGrid"/>
    <w:uiPriority w:val="39"/>
    <w:rsid w:val="004726BA"/>
    <w:pPr>
      <w:spacing w:before="60" w:after="60" w:line="240" w:lineRule="auto"/>
    </w:pPr>
    <w:rPr>
      <w:rFonts w:ascii="Cambria" w:eastAsia="Times New Roman" w:hAnsi="Cambria" w:cs="Times New Roman"/>
      <w:kern w:val="0"/>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31">
    <w:name w:val="Headings31"/>
    <w:uiPriority w:val="99"/>
    <w:rsid w:val="004726BA"/>
  </w:style>
  <w:style w:type="numbering" w:customStyle="1" w:styleId="Headings3">
    <w:name w:val="Headings3"/>
    <w:uiPriority w:val="99"/>
    <w:rsid w:val="004726BA"/>
    <w:pPr>
      <w:numPr>
        <w:numId w:val="3"/>
      </w:numPr>
    </w:pPr>
  </w:style>
  <w:style w:type="paragraph" w:customStyle="1" w:styleId="BAText1">
    <w:name w:val="BA Text 1"/>
    <w:basedOn w:val="Normal"/>
    <w:link w:val="BAText1Char"/>
    <w:rsid w:val="004726BA"/>
    <w:pPr>
      <w:spacing w:after="0" w:line="280" w:lineRule="atLeast"/>
      <w:jc w:val="both"/>
    </w:pPr>
    <w:rPr>
      <w:rFonts w:ascii="Times" w:eastAsia="Times New Roman" w:hAnsi="Times" w:cs="Times New Roman"/>
      <w:sz w:val="24"/>
      <w:szCs w:val="24"/>
    </w:rPr>
  </w:style>
  <w:style w:type="character" w:customStyle="1" w:styleId="BAText1Char">
    <w:name w:val="BA Text 1 Char"/>
    <w:basedOn w:val="DefaultParagraphFont"/>
    <w:link w:val="BAText1"/>
    <w:rsid w:val="004726BA"/>
    <w:rPr>
      <w:rFonts w:ascii="Times" w:eastAsia="Times New Roman" w:hAnsi="Times" w:cs="Times New Roman"/>
      <w:kern w:val="0"/>
      <w:sz w:val="24"/>
      <w:szCs w:val="24"/>
      <w14:ligatures w14:val="none"/>
    </w:rPr>
  </w:style>
  <w:style w:type="character" w:customStyle="1" w:styleId="TableTextChar0">
    <w:name w:val="TableText Char"/>
    <w:basedOn w:val="DefaultParagraphFont"/>
    <w:link w:val="TableText0"/>
    <w:locked/>
    <w:rsid w:val="004726BA"/>
    <w:rPr>
      <w:rFonts w:ascii="Times New Roman" w:hAnsi="Times New Roman"/>
      <w:color w:val="000000"/>
      <w:sz w:val="16"/>
    </w:rPr>
  </w:style>
  <w:style w:type="paragraph" w:customStyle="1" w:styleId="TableText0">
    <w:name w:val="TableText"/>
    <w:basedOn w:val="Normal"/>
    <w:link w:val="TableTextChar0"/>
    <w:rsid w:val="004726BA"/>
    <w:pPr>
      <w:keepNext/>
      <w:spacing w:before="60" w:after="60" w:line="240" w:lineRule="auto"/>
    </w:pPr>
    <w:rPr>
      <w:rFonts w:ascii="Times New Roman" w:hAnsi="Times New Roman"/>
      <w:color w:val="000000"/>
      <w:kern w:val="2"/>
      <w:sz w:val="16"/>
      <w14:ligatures w14:val="standardContextual"/>
    </w:rPr>
  </w:style>
  <w:style w:type="numbering" w:customStyle="1" w:styleId="Headings13">
    <w:name w:val="Headings13"/>
    <w:uiPriority w:val="99"/>
    <w:rsid w:val="004726BA"/>
    <w:pPr>
      <w:numPr>
        <w:numId w:val="5"/>
      </w:numPr>
    </w:pPr>
  </w:style>
  <w:style w:type="numbering" w:customStyle="1" w:styleId="captions2">
    <w:name w:val="captions2"/>
    <w:uiPriority w:val="99"/>
    <w:rsid w:val="004726BA"/>
    <w:pPr>
      <w:numPr>
        <w:numId w:val="6"/>
      </w:numPr>
    </w:pPr>
  </w:style>
  <w:style w:type="character" w:customStyle="1" w:styleId="jpfdse">
    <w:name w:val="jpfdse"/>
    <w:basedOn w:val="DefaultParagraphFont"/>
    <w:rsid w:val="004726BA"/>
  </w:style>
  <w:style w:type="paragraph" w:customStyle="1" w:styleId="mb15">
    <w:name w:val="mb15"/>
    <w:basedOn w:val="Normal"/>
    <w:rsid w:val="004726B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v3um">
    <w:name w:val="uv3um"/>
    <w:basedOn w:val="DefaultParagraphFont"/>
    <w:rsid w:val="004726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online.plantvarieties.eu/pvrcaselaw" TargetMode="External"/><Relationship Id="rId42" Type="http://schemas.openxmlformats.org/officeDocument/2006/relationships/hyperlink" Target="http://agriculture.gov.au/" TargetMode="External"/><Relationship Id="rId47"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image" Target="media/image9.jpeg"/><Relationship Id="rId84" Type="http://schemas.openxmlformats.org/officeDocument/2006/relationships/footer" Target="footer25.xml"/><Relationship Id="rId89" Type="http://schemas.openxmlformats.org/officeDocument/2006/relationships/glossaryDocument" Target="glossary/document.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footer" Target="footer7.xml"/><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image" Target="media/image5.png"/><Relationship Id="rId74" Type="http://schemas.openxmlformats.org/officeDocument/2006/relationships/hyperlink" Target="https://www.reddit.com/media" TargetMode="External"/><Relationship Id="rId79" Type="http://schemas.openxmlformats.org/officeDocument/2006/relationships/footer" Target="footer23.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https://www.reddit.com/r/propagation/comments/11i23p5/week_2_of_propagating_roses_and_carnations_from_a/"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chart" Target="charts/chart1.xml"/><Relationship Id="rId64" Type="http://schemas.openxmlformats.org/officeDocument/2006/relationships/footer" Target="footer21.xml"/><Relationship Id="rId69" Type="http://schemas.openxmlformats.org/officeDocument/2006/relationships/hyperlink" Target="https://www.reddit.com/r/proplifting/comments/11gj3te/can_i_propagate_these_theyre_store_bought_red/" TargetMode="External"/><Relationship Id="rId77"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hyperlink" Target="https://www.reddit.com/r/propagation/comments/zudgwx/anyone_with_experience_with_butchers_broom_plants/" TargetMode="External"/><Relationship Id="rId80" Type="http://schemas.openxmlformats.org/officeDocument/2006/relationships/header" Target="header24.xml"/><Relationship Id="rId85" Type="http://schemas.openxmlformats.org/officeDocument/2006/relationships/footer" Target="footer2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header" Target="header19.xml"/><Relationship Id="rId67" Type="http://schemas.openxmlformats.org/officeDocument/2006/relationships/image" Target="media/image8.jpeg"/><Relationship Id="rId20" Type="http://schemas.openxmlformats.org/officeDocument/2006/relationships/hyperlink" Target="http://awe.gov.au/publications" TargetMode="Externa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footer" Target="footer20.xml"/><Relationship Id="rId70" Type="http://schemas.openxmlformats.org/officeDocument/2006/relationships/hyperlink" Target="https://www.reddit.com/gallery/110cqz3" TargetMode="External"/><Relationship Id="rId75" Type="http://schemas.openxmlformats.org/officeDocument/2006/relationships/hyperlink" Target="mailto:plantstakeholders@aff.gov.au" TargetMode="External"/><Relationship Id="rId83" Type="http://schemas.openxmlformats.org/officeDocument/2006/relationships/header" Target="header2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reddit.com/gallery/11h0ker" TargetMode="Externa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image" Target="media/image4.png"/><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header" Target="header20.xml"/><Relationship Id="rId65" Type="http://schemas.openxmlformats.org/officeDocument/2006/relationships/image" Target="media/image6.png"/><Relationship Id="rId73" Type="http://schemas.openxmlformats.org/officeDocument/2006/relationships/hyperlink" Target="https://creativecommons.org/licenses/by/4.0/legalcode" TargetMode="External"/><Relationship Id="rId78" Type="http://schemas.openxmlformats.org/officeDocument/2006/relationships/footer" Target="footer22.xml"/><Relationship Id="rId81" Type="http://schemas.openxmlformats.org/officeDocument/2006/relationships/footer" Target="footer24.xml"/><Relationship Id="rId86"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agriculture.gov.au/biosecurity/risk-analysis/memos" TargetMode="External"/><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header" Target="header17.xml"/><Relationship Id="rId55" Type="http://schemas.openxmlformats.org/officeDocument/2006/relationships/hyperlink" Target="https://www.reddit.com/r/propagation/comments/zbr6zn/what_kind_of_orchid_is_this_and_can_it_be/" TargetMode="External"/><Relationship Id="rId76"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hyperlink" Target="https://bicon.agriculture.gov.au/BiconWeb4.0?url=https%3A%2F%2Fi.redd.it%2F8scf0yg5imka1.jpg"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image" Target="media/image7.jpeg"/><Relationship Id="rId87" Type="http://schemas.openxmlformats.org/officeDocument/2006/relationships/footer" Target="footer27.xml"/><Relationship Id="rId61" Type="http://schemas.openxmlformats.org/officeDocument/2006/relationships/footer" Target="footer19.xml"/><Relationship Id="rId82" Type="http://schemas.openxmlformats.org/officeDocument/2006/relationships/header" Target="header25.xml"/><Relationship Id="rId1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deptagriculture-my.sharepoint.com/personal/matthew_gordon_aff_gov_au/Documents/Documents/CF_reddit_anaysis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1A-4262-A9CF-219C264E07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1A-4262-A9CF-219C264E07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1A-4262-A9CF-219C264E07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1A-4262-A9CF-219C264E076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1A-4262-A9CF-219C264E07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1A-4262-A9CF-219C264E076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1A-4262-A9CF-219C264E076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A1A-4262-A9CF-219C264E076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A1A-4262-A9CF-219C264E076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A1A-4262-A9CF-219C264E07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Sheet5!$G$37:$G$46</c:f>
              <c:strCache>
                <c:ptCount val="10"/>
                <c:pt idx="0">
                  <c:v>Rose </c:v>
                </c:pt>
                <c:pt idx="1">
                  <c:v>Chrysanthemum</c:v>
                </c:pt>
                <c:pt idx="2">
                  <c:v>Carnation</c:v>
                </c:pt>
                <c:pt idx="3">
                  <c:v>Pittosporum</c:v>
                </c:pt>
                <c:pt idx="4">
                  <c:v>Succulent</c:v>
                </c:pt>
                <c:pt idx="5">
                  <c:v>Brassica </c:v>
                </c:pt>
                <c:pt idx="6">
                  <c:v>Lilium</c:v>
                </c:pt>
                <c:pt idx="7">
                  <c:v>Ruscus</c:v>
                </c:pt>
                <c:pt idx="8">
                  <c:v>Alstroemeria</c:v>
                </c:pt>
                <c:pt idx="9">
                  <c:v>Orchid</c:v>
                </c:pt>
              </c:strCache>
            </c:strRef>
          </c:cat>
          <c:val>
            <c:numRef>
              <c:f>Sheet5!$H$37:$H$46</c:f>
              <c:numCache>
                <c:formatCode>General</c:formatCode>
                <c:ptCount val="10"/>
                <c:pt idx="0">
                  <c:v>19</c:v>
                </c:pt>
                <c:pt idx="1">
                  <c:v>1</c:v>
                </c:pt>
                <c:pt idx="2">
                  <c:v>2</c:v>
                </c:pt>
                <c:pt idx="3">
                  <c:v>3</c:v>
                </c:pt>
                <c:pt idx="4">
                  <c:v>2</c:v>
                </c:pt>
                <c:pt idx="5">
                  <c:v>1</c:v>
                </c:pt>
                <c:pt idx="6">
                  <c:v>1</c:v>
                </c:pt>
                <c:pt idx="7">
                  <c:v>1</c:v>
                </c:pt>
                <c:pt idx="8">
                  <c:v>1</c:v>
                </c:pt>
                <c:pt idx="9">
                  <c:v>2</c:v>
                </c:pt>
              </c:numCache>
            </c:numRef>
          </c:val>
          <c:extLst>
            <c:ext xmlns:c16="http://schemas.microsoft.com/office/drawing/2014/chart" uri="{C3380CC4-5D6E-409C-BE32-E72D297353CC}">
              <c16:uniqueId val="{00000014-9A1A-4262-A9CF-219C264E076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F3B1903FAD41AEAB8BCB3177E7D209"/>
        <w:category>
          <w:name w:val="General"/>
          <w:gallery w:val="placeholder"/>
        </w:category>
        <w:types>
          <w:type w:val="bbPlcHdr"/>
        </w:types>
        <w:behaviors>
          <w:behavior w:val="content"/>
        </w:behaviors>
        <w:guid w:val="{6DDF8722-A90C-4F21-AE61-C8ECE7AC4577}"/>
      </w:docPartPr>
      <w:docPartBody>
        <w:p w:rsidR="00B07F6C" w:rsidRDefault="00B07F6C" w:rsidP="00B07F6C">
          <w:pPr>
            <w:pStyle w:val="60F3B1903FAD41AEAB8BCB3177E7D209"/>
          </w:pPr>
          <w:r>
            <w:rPr>
              <w:rStyle w:val="PlaceholderText"/>
              <w:color w:val="63B1E5"/>
            </w:rPr>
            <w:t>Australia</w:t>
          </w:r>
        </w:p>
      </w:docPartBody>
    </w:docPart>
    <w:docPart>
      <w:docPartPr>
        <w:name w:val="170D3794C82C4F63892B657B3BE7A463"/>
        <w:category>
          <w:name w:val="General"/>
          <w:gallery w:val="placeholder"/>
        </w:category>
        <w:types>
          <w:type w:val="bbPlcHdr"/>
        </w:types>
        <w:behaviors>
          <w:behavior w:val="content"/>
        </w:behaviors>
        <w:guid w:val="{7D8AA772-00B7-45AD-9E21-66A76CEBD516}"/>
      </w:docPartPr>
      <w:docPartBody>
        <w:p w:rsidR="00B07F6C" w:rsidRDefault="00B07F6C" w:rsidP="00B07F6C">
          <w:pPr>
            <w:pStyle w:val="170D3794C82C4F63892B657B3BE7A463"/>
          </w:pPr>
          <w:r>
            <w:rPr>
              <w:rStyle w:val="PlaceholderText"/>
              <w:color w:val="63B1E5"/>
            </w:rPr>
            <w:t>Australia</w:t>
          </w:r>
        </w:p>
      </w:docPartBody>
    </w:docPart>
    <w:docPart>
      <w:docPartPr>
        <w:name w:val="169C129538194E10AEB28928938346B7"/>
        <w:category>
          <w:name w:val="General"/>
          <w:gallery w:val="placeholder"/>
        </w:category>
        <w:types>
          <w:type w:val="bbPlcHdr"/>
        </w:types>
        <w:behaviors>
          <w:behavior w:val="content"/>
        </w:behaviors>
        <w:guid w:val="{12FB0C23-D15E-4E7B-88A1-331B75A9575D}"/>
      </w:docPartPr>
      <w:docPartBody>
        <w:p w:rsidR="00B07F6C" w:rsidRDefault="00B07F6C" w:rsidP="00B07F6C">
          <w:pPr>
            <w:pStyle w:val="169C129538194E10AEB28928938346B7"/>
          </w:pPr>
          <w:r>
            <w:rPr>
              <w:rStyle w:val="PlaceholderText"/>
              <w:color w:val="63B1E5"/>
            </w:rPr>
            <w:t>In assessing the volume of trade in this risk analysis, the department assumed that a substantial volume of trade will occur.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F6C"/>
    <w:rsid w:val="000F7076"/>
    <w:rsid w:val="0010413D"/>
    <w:rsid w:val="00213E27"/>
    <w:rsid w:val="00323245"/>
    <w:rsid w:val="0033790E"/>
    <w:rsid w:val="00393B73"/>
    <w:rsid w:val="00440531"/>
    <w:rsid w:val="004A2CFE"/>
    <w:rsid w:val="004E0E68"/>
    <w:rsid w:val="004E7FCA"/>
    <w:rsid w:val="0050267E"/>
    <w:rsid w:val="005A4669"/>
    <w:rsid w:val="006039E0"/>
    <w:rsid w:val="00712060"/>
    <w:rsid w:val="007129AD"/>
    <w:rsid w:val="00755749"/>
    <w:rsid w:val="00813AD5"/>
    <w:rsid w:val="008A2FD7"/>
    <w:rsid w:val="008B7E71"/>
    <w:rsid w:val="00936BD0"/>
    <w:rsid w:val="0094339D"/>
    <w:rsid w:val="00A22644"/>
    <w:rsid w:val="00A323DC"/>
    <w:rsid w:val="00A8031D"/>
    <w:rsid w:val="00A8437E"/>
    <w:rsid w:val="00AF187F"/>
    <w:rsid w:val="00B01965"/>
    <w:rsid w:val="00B07F6C"/>
    <w:rsid w:val="00B10B8A"/>
    <w:rsid w:val="00C37DE7"/>
    <w:rsid w:val="00D66693"/>
    <w:rsid w:val="00DE46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7F6C"/>
    <w:rPr>
      <w:color w:val="808080"/>
    </w:rPr>
  </w:style>
  <w:style w:type="paragraph" w:customStyle="1" w:styleId="60F3B1903FAD41AEAB8BCB3177E7D209">
    <w:name w:val="60F3B1903FAD41AEAB8BCB3177E7D209"/>
    <w:rsid w:val="00B07F6C"/>
  </w:style>
  <w:style w:type="paragraph" w:customStyle="1" w:styleId="170D3794C82C4F63892B657B3BE7A463">
    <w:name w:val="170D3794C82C4F63892B657B3BE7A463"/>
    <w:rsid w:val="00B07F6C"/>
  </w:style>
  <w:style w:type="paragraph" w:customStyle="1" w:styleId="169C129538194E10AEB28928938346B7">
    <w:name w:val="169C129538194E10AEB28928938346B7"/>
    <w:rsid w:val="00B07F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0BA1FDCEE9D8478E92E0260984BC24" ma:contentTypeVersion="10" ma:contentTypeDescription="Create a new document." ma:contentTypeScope="" ma:versionID="49252045e2106cd1c125f0aa13734d4f">
  <xsd:schema xmlns:xsd="http://www.w3.org/2001/XMLSchema" xmlns:xs="http://www.w3.org/2001/XMLSchema" xmlns:p="http://schemas.microsoft.com/office/2006/metadata/properties" xmlns:ns2="d9f4354f-09a7-4760-8950-3522362dbe0f" xmlns:ns3="81c01dc6-2c49-4730-b140-874c95cac377" targetNamespace="http://schemas.microsoft.com/office/2006/metadata/properties" ma:root="true" ma:fieldsID="3a9cdba0bd54bf884bb2431cc4d50521" ns2:_="" ns3:_="">
    <xsd:import namespace="d9f4354f-09a7-4760-8950-3522362dbe0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4354f-09a7-4760-8950-3522362db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140f2a-75c4-4495-8510-433fb781361b}" ma:internalName="TaxCatchAll" ma:showField="CatchAllData" ma:web="84944d8f-9ad3-4fe0-87df-cd1c52a88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d9f4354f-09a7-4760-8950-3522362db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0952BA4-320E-4ECB-918D-1AAE67A0F9C8}">
  <ds:schemaRefs>
    <ds:schemaRef ds:uri="http://schemas.microsoft.com/sharepoint/v3/contenttype/forms"/>
  </ds:schemaRefs>
</ds:datastoreItem>
</file>

<file path=customXml/itemProps2.xml><?xml version="1.0" encoding="utf-8"?>
<ds:datastoreItem xmlns:ds="http://schemas.openxmlformats.org/officeDocument/2006/customXml" ds:itemID="{08651774-74B2-4D4A-82AA-6811927E1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4354f-09a7-4760-8950-3522362dbe0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3CC41-D611-4866-A813-9E83CD89709D}">
  <ds:schemaRefs>
    <ds:schemaRef ds:uri="http://schemas.openxmlformats.org/officeDocument/2006/bibliography"/>
  </ds:schemaRefs>
</ds:datastoreItem>
</file>

<file path=customXml/itemProps4.xml><?xml version="1.0" encoding="utf-8"?>
<ds:datastoreItem xmlns:ds="http://schemas.openxmlformats.org/officeDocument/2006/customXml" ds:itemID="{86DDD415-B36C-47B7-BEC0-99B4118D125E}">
  <ds:schemaRefs>
    <ds:schemaRef ds:uri="http://www.w3.org/XML/1998/namespace"/>
    <ds:schemaRef ds:uri="http://schemas.microsoft.com/office/2006/metadata/properties"/>
    <ds:schemaRef ds:uri="http://purl.org/dc/elements/1.1/"/>
    <ds:schemaRef ds:uri="d9f4354f-09a7-4760-8950-3522362dbe0f"/>
    <ds:schemaRef ds:uri="http://schemas.microsoft.com/office/2006/documentManagement/types"/>
    <ds:schemaRef ds:uri="http://schemas.microsoft.com/office/infopath/2007/PartnerControls"/>
    <ds:schemaRef ds:uri="81c01dc6-2c49-4730-b140-874c95cac377"/>
    <ds:schemaRef ds:uri="http://purl.org/dc/dcmitype/"/>
    <ds:schemaRef ds:uri="http://schemas.openxmlformats.org/package/2006/metadata/core-properties"/>
    <ds:schemaRef ds:uri="http://purl.org/dc/te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TotalTime>
  <Pages>54</Pages>
  <Words>18453</Words>
  <Characters>105184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Review of devitalisation requirements for fresh cut flower and foliage imports: draft report</vt:lpstr>
    </vt:vector>
  </TitlesOfParts>
  <Company/>
  <LinksUpToDate>false</LinksUpToDate>
  <CharactersWithSpaces>123391</CharactersWithSpaces>
  <SharedDoc>false</SharedDoc>
  <HLinks>
    <vt:vector size="84" baseType="variant">
      <vt:variant>
        <vt:i4>8192015</vt:i4>
      </vt:variant>
      <vt:variant>
        <vt:i4>216</vt:i4>
      </vt:variant>
      <vt:variant>
        <vt:i4>0</vt:i4>
      </vt:variant>
      <vt:variant>
        <vt:i4>5</vt:i4>
      </vt:variant>
      <vt:variant>
        <vt:lpwstr>mailto:plantstakeholders@aff.gov.au</vt:lpwstr>
      </vt:variant>
      <vt:variant>
        <vt:lpwstr/>
      </vt:variant>
      <vt:variant>
        <vt:i4>5963869</vt:i4>
      </vt:variant>
      <vt:variant>
        <vt:i4>213</vt:i4>
      </vt:variant>
      <vt:variant>
        <vt:i4>0</vt:i4>
      </vt:variant>
      <vt:variant>
        <vt:i4>5</vt:i4>
      </vt:variant>
      <vt:variant>
        <vt:lpwstr>https://www.reddit.com/media</vt:lpwstr>
      </vt:variant>
      <vt:variant>
        <vt:lpwstr/>
      </vt:variant>
      <vt:variant>
        <vt:i4>5373952</vt:i4>
      </vt:variant>
      <vt:variant>
        <vt:i4>210</vt:i4>
      </vt:variant>
      <vt:variant>
        <vt:i4>0</vt:i4>
      </vt:variant>
      <vt:variant>
        <vt:i4>5</vt:i4>
      </vt:variant>
      <vt:variant>
        <vt:lpwstr>https://creativecommons.org/licenses/by/4.0/legalcode</vt:lpwstr>
      </vt:variant>
      <vt:variant>
        <vt:lpwstr/>
      </vt:variant>
      <vt:variant>
        <vt:i4>7602280</vt:i4>
      </vt:variant>
      <vt:variant>
        <vt:i4>207</vt:i4>
      </vt:variant>
      <vt:variant>
        <vt:i4>0</vt:i4>
      </vt:variant>
      <vt:variant>
        <vt:i4>5</vt:i4>
      </vt:variant>
      <vt:variant>
        <vt:lpwstr>https://www.reddit.com/r/propagation/comments/zudgwx/anyone_with_experience_with_butchers_broom_plants/</vt:lpwstr>
      </vt:variant>
      <vt:variant>
        <vt:lpwstr/>
      </vt:variant>
      <vt:variant>
        <vt:i4>4259854</vt:i4>
      </vt:variant>
      <vt:variant>
        <vt:i4>204</vt:i4>
      </vt:variant>
      <vt:variant>
        <vt:i4>0</vt:i4>
      </vt:variant>
      <vt:variant>
        <vt:i4>5</vt:i4>
      </vt:variant>
      <vt:variant>
        <vt:lpwstr>https://bicon.agriculture.gov.au/BiconWeb4.0?url=https%3A%2F%2Fi.redd.it%2F8scf0yg5imka1.jpg</vt:lpwstr>
      </vt:variant>
      <vt:variant>
        <vt:lpwstr/>
      </vt:variant>
      <vt:variant>
        <vt:i4>6750249</vt:i4>
      </vt:variant>
      <vt:variant>
        <vt:i4>201</vt:i4>
      </vt:variant>
      <vt:variant>
        <vt:i4>0</vt:i4>
      </vt:variant>
      <vt:variant>
        <vt:i4>5</vt:i4>
      </vt:variant>
      <vt:variant>
        <vt:lpwstr>https://www.reddit.com/gallery/110cqz3</vt:lpwstr>
      </vt:variant>
      <vt:variant>
        <vt:lpwstr/>
      </vt:variant>
      <vt:variant>
        <vt:i4>6684762</vt:i4>
      </vt:variant>
      <vt:variant>
        <vt:i4>198</vt:i4>
      </vt:variant>
      <vt:variant>
        <vt:i4>0</vt:i4>
      </vt:variant>
      <vt:variant>
        <vt:i4>5</vt:i4>
      </vt:variant>
      <vt:variant>
        <vt:lpwstr>https://www.reddit.com/r/proplifting/comments/11gj3te/can_i_propagate_these_theyre_store_bought_red/</vt:lpwstr>
      </vt:variant>
      <vt:variant>
        <vt:lpwstr/>
      </vt:variant>
      <vt:variant>
        <vt:i4>3080287</vt:i4>
      </vt:variant>
      <vt:variant>
        <vt:i4>129</vt:i4>
      </vt:variant>
      <vt:variant>
        <vt:i4>0</vt:i4>
      </vt:variant>
      <vt:variant>
        <vt:i4>5</vt:i4>
      </vt:variant>
      <vt:variant>
        <vt:lpwstr>https://www.reddit.com/r/propagation/comments/zbr6zn/what_kind_of_orchid_is_this_and_can_it_be/</vt:lpwstr>
      </vt:variant>
      <vt:variant>
        <vt:lpwstr/>
      </vt:variant>
      <vt:variant>
        <vt:i4>7864430</vt:i4>
      </vt:variant>
      <vt:variant>
        <vt:i4>126</vt:i4>
      </vt:variant>
      <vt:variant>
        <vt:i4>0</vt:i4>
      </vt:variant>
      <vt:variant>
        <vt:i4>5</vt:i4>
      </vt:variant>
      <vt:variant>
        <vt:lpwstr>http://agriculture.gov.au/</vt:lpwstr>
      </vt:variant>
      <vt:variant>
        <vt:lpwstr/>
      </vt:variant>
      <vt:variant>
        <vt:i4>6553701</vt:i4>
      </vt:variant>
      <vt:variant>
        <vt:i4>12</vt:i4>
      </vt:variant>
      <vt:variant>
        <vt:i4>0</vt:i4>
      </vt:variant>
      <vt:variant>
        <vt:i4>5</vt:i4>
      </vt:variant>
      <vt:variant>
        <vt:lpwstr>https://www.reddit.com/gallery/11h0ker</vt:lpwstr>
      </vt:variant>
      <vt:variant>
        <vt:lpwstr/>
      </vt:variant>
      <vt:variant>
        <vt:i4>6488106</vt:i4>
      </vt:variant>
      <vt:variant>
        <vt:i4>9</vt:i4>
      </vt:variant>
      <vt:variant>
        <vt:i4>0</vt:i4>
      </vt:variant>
      <vt:variant>
        <vt:i4>5</vt:i4>
      </vt:variant>
      <vt:variant>
        <vt:lpwstr>https://www.reddit.com/r/propagation/comments/11i23p5/week_2_of_propagating_roses_and_carnations_from_a/</vt:lpwstr>
      </vt:variant>
      <vt:variant>
        <vt:lpwstr/>
      </vt:variant>
      <vt:variant>
        <vt:i4>3342394</vt:i4>
      </vt:variant>
      <vt:variant>
        <vt:i4>6</vt:i4>
      </vt:variant>
      <vt:variant>
        <vt:i4>0</vt:i4>
      </vt:variant>
      <vt:variant>
        <vt:i4>5</vt:i4>
      </vt:variant>
      <vt:variant>
        <vt:lpwstr>https://online.plantvarieties.eu/pvrcaselaw</vt:lpwstr>
      </vt:variant>
      <vt:variant>
        <vt:lpwstr/>
      </vt:variant>
      <vt:variant>
        <vt:i4>6422649</vt:i4>
      </vt:variant>
      <vt:variant>
        <vt:i4>3</vt:i4>
      </vt:variant>
      <vt:variant>
        <vt:i4>0</vt:i4>
      </vt:variant>
      <vt:variant>
        <vt:i4>5</vt:i4>
      </vt:variant>
      <vt:variant>
        <vt:lpwstr>http://awe.gov.au/publications</vt:lpwstr>
      </vt:variant>
      <vt:variant>
        <vt:lpwstr/>
      </vt:variant>
      <vt:variant>
        <vt:i4>2031636</vt:i4>
      </vt:variant>
      <vt:variant>
        <vt:i4>0</vt:i4>
      </vt:variant>
      <vt:variant>
        <vt:i4>0</vt:i4>
      </vt:variant>
      <vt:variant>
        <vt:i4>5</vt:i4>
      </vt:variant>
      <vt:variant>
        <vt:lpwstr>http://www.agriculture.gov.au/biosecurity/risk-analysis/memos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devitalisation requirements for fresh cut flower and foliage imports: draft report</dc:title>
  <dc:subject/>
  <dc:creator>Department of Agriculture, Fisheries and Forestry</dc:creator>
  <cp:keywords/>
  <dc:description/>
  <dcterms:created xsi:type="dcterms:W3CDTF">2025-10-13T22:23:00Z</dcterms:created>
  <dcterms:modified xsi:type="dcterms:W3CDTF">2025-10-13T22:23:00Z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f7b685-e5e1-4dd1-8222-ff0048df41d6_Enabled">
    <vt:lpwstr>true</vt:lpwstr>
  </property>
  <property fmtid="{D5CDD505-2E9C-101B-9397-08002B2CF9AE}" pid="3" name="MSIP_Label_15f7b685-e5e1-4dd1-8222-ff0048df41d6_SetDate">
    <vt:lpwstr>2025-07-01T00:24:22Z</vt:lpwstr>
  </property>
  <property fmtid="{D5CDD505-2E9C-101B-9397-08002B2CF9AE}" pid="4" name="MSIP_Label_15f7b685-e5e1-4dd1-8222-ff0048df41d6_Method">
    <vt:lpwstr>Privileged</vt:lpwstr>
  </property>
  <property fmtid="{D5CDD505-2E9C-101B-9397-08002B2CF9AE}" pid="5" name="MSIP_Label_15f7b685-e5e1-4dd1-8222-ff0048df41d6_Name">
    <vt:lpwstr>OFFICIAL Sensitive</vt:lpwstr>
  </property>
  <property fmtid="{D5CDD505-2E9C-101B-9397-08002B2CF9AE}" pid="6" name="MSIP_Label_15f7b685-e5e1-4dd1-8222-ff0048df41d6_SiteId">
    <vt:lpwstr>2be67eb7-400c-4b3f-a5a1-1258c0da0696</vt:lpwstr>
  </property>
  <property fmtid="{D5CDD505-2E9C-101B-9397-08002B2CF9AE}" pid="7" name="MSIP_Label_15f7b685-e5e1-4dd1-8222-ff0048df41d6_ActionId">
    <vt:lpwstr>1a2743b3-58f9-43e9-b757-1594a4439e3b</vt:lpwstr>
  </property>
  <property fmtid="{D5CDD505-2E9C-101B-9397-08002B2CF9AE}" pid="8" name="MSIP_Label_15f7b685-e5e1-4dd1-8222-ff0048df41d6_ContentBits">
    <vt:lpwstr>3</vt:lpwstr>
  </property>
  <property fmtid="{D5CDD505-2E9C-101B-9397-08002B2CF9AE}" pid="9" name="MSIP_Label_15f7b685-e5e1-4dd1-8222-ff0048df41d6_Tag">
    <vt:lpwstr>10, 0, 1, 1</vt:lpwstr>
  </property>
  <property fmtid="{D5CDD505-2E9C-101B-9397-08002B2CF9AE}" pid="10" name="ContentTypeId">
    <vt:lpwstr>0x010100460BA1FDCEE9D8478E92E0260984BC24</vt:lpwstr>
  </property>
  <property fmtid="{D5CDD505-2E9C-101B-9397-08002B2CF9AE}" pid="11" name="MediaServiceImageTags">
    <vt:lpwstr/>
  </property>
  <property fmtid="{D5CDD505-2E9C-101B-9397-08002B2CF9AE}" pid="12" name="ClassificationContentMarkingHeaderShapeIds">
    <vt:lpwstr>613c8138,74fd7974,5f012cc0,e93e982,4b737c58,1554c612,7e82aa12,5f958b71,26fa0144,7c99c721,389c7491,4aad3c9f,773ad20d,3c383570,5bbf2167,af6dca2,513dd7ed,20982cf9,b84ae02,feafd6c,7ff07e79,4ceee01a,7b48fdc2</vt:lpwstr>
  </property>
  <property fmtid="{D5CDD505-2E9C-101B-9397-08002B2CF9AE}" pid="13" name="ClassificationContentMarkingHeaderShapeIds-1">
    <vt:lpwstr>4408fcf1,7f3ef9a2,5dacb6a5,329bcdde</vt:lpwstr>
  </property>
  <property fmtid="{D5CDD505-2E9C-101B-9397-08002B2CF9AE}" pid="14" name="ClassificationContentMarkingHeaderFontProps">
    <vt:lpwstr>#ff0000,12,Calibri</vt:lpwstr>
  </property>
  <property fmtid="{D5CDD505-2E9C-101B-9397-08002B2CF9AE}" pid="15" name="ClassificationContentMarkingHeaderText">
    <vt:lpwstr>OFFICIAL</vt:lpwstr>
  </property>
  <property fmtid="{D5CDD505-2E9C-101B-9397-08002B2CF9AE}" pid="16" name="ClassificationContentMarkingFooterShapeIds">
    <vt:lpwstr>45797976,44ea24af,21002408,3b2c455e,279ab008,59c92cab,1add1e88,68ead94e,27693281,4537664,2ad555ea,1e5a6777,1b9b8d84,23d608d5,7c5ac35a,193278ce,1bcceb34,5ccb2c3a,5bfe904b,41f3d1e4,17980e18,1579db7f,529d2925</vt:lpwstr>
  </property>
  <property fmtid="{D5CDD505-2E9C-101B-9397-08002B2CF9AE}" pid="17" name="ClassificationContentMarkingFooterShapeIds-1">
    <vt:lpwstr>1f9347f6,2d1ea095,438a2542,2e3200d1</vt:lpwstr>
  </property>
  <property fmtid="{D5CDD505-2E9C-101B-9397-08002B2CF9AE}" pid="18" name="ClassificationContentMarkingFooterFontProps">
    <vt:lpwstr>#ff0000,12,Calibri</vt:lpwstr>
  </property>
  <property fmtid="{D5CDD505-2E9C-101B-9397-08002B2CF9AE}" pid="19" name="ClassificationContentMarkingFooterText">
    <vt:lpwstr>OFFICIAL</vt:lpwstr>
  </property>
</Properties>
</file>