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EE497" w14:textId="46F29F9F" w:rsidR="00736319" w:rsidRPr="00F22050" w:rsidRDefault="001C17C2" w:rsidP="00F22050">
      <w:pPr>
        <w:pStyle w:val="Heading1"/>
      </w:pPr>
      <w:r>
        <w:t>D</w:t>
      </w:r>
      <w:r w:rsidR="00D0393D" w:rsidRPr="00C24A37">
        <w:t xml:space="preserve">raft </w:t>
      </w:r>
      <w:r w:rsidR="00D0393D" w:rsidRPr="00F22050">
        <w:t xml:space="preserve">risk analysis report </w:t>
      </w:r>
      <w:r w:rsidR="00964C19" w:rsidRPr="00F22050">
        <w:t xml:space="preserve">for the release of </w:t>
      </w:r>
      <w:r w:rsidR="00C24A37" w:rsidRPr="00FB07E6">
        <w:rPr>
          <w:i/>
          <w:iCs/>
        </w:rPr>
        <w:t>Puccinia</w:t>
      </w:r>
      <w:r w:rsidR="009160C7">
        <w:rPr>
          <w:i/>
          <w:iCs/>
        </w:rPr>
        <w:t> </w:t>
      </w:r>
      <w:r w:rsidR="00C24A37" w:rsidRPr="00FB07E6">
        <w:rPr>
          <w:i/>
          <w:iCs/>
        </w:rPr>
        <w:t>lantanae</w:t>
      </w:r>
      <w:r w:rsidR="00964C19" w:rsidRPr="00F22050">
        <w:t xml:space="preserve"> for the biological control of </w:t>
      </w:r>
      <w:r w:rsidR="00C24A37" w:rsidRPr="00FB07E6">
        <w:rPr>
          <w:i/>
          <w:iCs/>
        </w:rPr>
        <w:t>Lantana camara</w:t>
      </w:r>
    </w:p>
    <w:p w14:paraId="07A46C25" w14:textId="366A56F4" w:rsidR="00736319" w:rsidRPr="00E339A9" w:rsidRDefault="00A10A6A">
      <w:pPr>
        <w:jc w:val="right"/>
        <w:rPr>
          <w:rFonts w:asciiTheme="minorHAnsi" w:hAnsiTheme="minorHAnsi" w:cstheme="minorHAnsi"/>
        </w:rPr>
      </w:pPr>
      <w:r>
        <w:rPr>
          <w:rFonts w:asciiTheme="minorHAnsi" w:hAnsiTheme="minorHAnsi" w:cstheme="minorHAnsi"/>
        </w:rPr>
        <w:t>February</w:t>
      </w:r>
      <w:r w:rsidR="00D0393D" w:rsidRPr="00E339A9">
        <w:rPr>
          <w:rFonts w:asciiTheme="minorHAnsi" w:hAnsiTheme="minorHAnsi" w:cstheme="minorHAnsi"/>
        </w:rPr>
        <w:t xml:space="preserve"> </w:t>
      </w:r>
      <w:r w:rsidR="00C24A37" w:rsidRPr="00E339A9">
        <w:rPr>
          <w:rFonts w:asciiTheme="minorHAnsi" w:hAnsiTheme="minorHAnsi" w:cstheme="minorHAnsi"/>
        </w:rPr>
        <w:t>202</w:t>
      </w:r>
      <w:r w:rsidR="001C17C2">
        <w:rPr>
          <w:rFonts w:asciiTheme="minorHAnsi" w:hAnsiTheme="minorHAnsi" w:cstheme="minorHAnsi"/>
        </w:rPr>
        <w:t>6</w:t>
      </w:r>
    </w:p>
    <w:p w14:paraId="49D58183" w14:textId="51AD4414" w:rsidR="00736319" w:rsidRDefault="00A37233">
      <w:pPr>
        <w:pStyle w:val="Picture"/>
      </w:pPr>
      <w:r>
        <w:drawing>
          <wp:inline distT="0" distB="0" distL="0" distR="0" wp14:anchorId="6D465CC7" wp14:editId="729265C6">
            <wp:extent cx="4838700" cy="5613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39295" cy="5614090"/>
                    </a:xfrm>
                    <a:prstGeom prst="rect">
                      <a:avLst/>
                    </a:prstGeom>
                    <a:noFill/>
                  </pic:spPr>
                </pic:pic>
              </a:graphicData>
            </a:graphic>
          </wp:inline>
        </w:drawing>
      </w:r>
    </w:p>
    <w:p w14:paraId="1ED64FAA" w14:textId="77777777" w:rsidR="00736319" w:rsidRDefault="00736319">
      <w:pPr>
        <w:pStyle w:val="Picture"/>
      </w:pPr>
    </w:p>
    <w:p w14:paraId="1EBAF4C4" w14:textId="77777777" w:rsidR="00736319" w:rsidRDefault="00736319">
      <w:pPr>
        <w:pStyle w:val="Picture"/>
        <w:sectPr w:rsidR="00736319">
          <w:headerReference w:type="even" r:id="rId9"/>
          <w:headerReference w:type="default" r:id="rId10"/>
          <w:footerReference w:type="even" r:id="rId11"/>
          <w:footerReference w:type="default" r:id="rId12"/>
          <w:headerReference w:type="first" r:id="rId13"/>
          <w:footerReference w:type="first" r:id="rId14"/>
          <w:type w:val="oddPage"/>
          <w:pgSz w:w="11906" w:h="16838"/>
          <w:pgMar w:top="1418" w:right="1418" w:bottom="1418" w:left="1418" w:header="567" w:footer="283" w:gutter="0"/>
          <w:cols w:space="708"/>
          <w:docGrid w:linePitch="360"/>
        </w:sectPr>
      </w:pPr>
    </w:p>
    <w:p w14:paraId="054CCC0A" w14:textId="39DB70BF" w:rsidR="0039271F" w:rsidRPr="00E339A9" w:rsidRDefault="0039271F" w:rsidP="0039271F">
      <w:pPr>
        <w:pStyle w:val="Picture"/>
        <w:rPr>
          <w:rFonts w:asciiTheme="minorHAnsi" w:hAnsiTheme="minorHAnsi" w:cstheme="minorHAnsi"/>
          <w:noProof w:val="0"/>
          <w:sz w:val="18"/>
          <w:lang w:eastAsia="en-US"/>
        </w:rPr>
      </w:pPr>
      <w:r w:rsidRPr="00E339A9">
        <w:rPr>
          <w:rFonts w:asciiTheme="minorHAnsi" w:hAnsiTheme="minorHAnsi" w:cstheme="minorHAnsi"/>
          <w:noProof w:val="0"/>
          <w:sz w:val="18"/>
          <w:lang w:eastAsia="en-US"/>
        </w:rPr>
        <w:lastRenderedPageBreak/>
        <w:t xml:space="preserve">© Commonwealth </w:t>
      </w:r>
      <w:r w:rsidR="00A52A70" w:rsidRPr="00E339A9">
        <w:rPr>
          <w:rFonts w:asciiTheme="minorHAnsi" w:hAnsiTheme="minorHAnsi" w:cstheme="minorHAnsi"/>
          <w:noProof w:val="0"/>
          <w:sz w:val="18"/>
          <w:lang w:eastAsia="en-US"/>
        </w:rPr>
        <w:t>of Australia 202</w:t>
      </w:r>
      <w:r w:rsidR="001C17C2">
        <w:rPr>
          <w:rFonts w:asciiTheme="minorHAnsi" w:hAnsiTheme="minorHAnsi" w:cstheme="minorHAnsi"/>
          <w:noProof w:val="0"/>
          <w:sz w:val="18"/>
          <w:lang w:eastAsia="en-US"/>
        </w:rPr>
        <w:t>6</w:t>
      </w:r>
    </w:p>
    <w:p w14:paraId="0BCF319A" w14:textId="77777777" w:rsidR="00292F88" w:rsidRDefault="00292F88" w:rsidP="00292F88">
      <w:pPr>
        <w:pStyle w:val="TableText"/>
        <w:rPr>
          <w:rFonts w:ascii="Calibri" w:hAnsi="Calibri"/>
          <w:b/>
        </w:rPr>
      </w:pPr>
      <w:r>
        <w:rPr>
          <w:rFonts w:ascii="Calibri" w:hAnsi="Calibri"/>
          <w:b/>
        </w:rPr>
        <w:t>Ownership of intellectual property rights</w:t>
      </w:r>
    </w:p>
    <w:p w14:paraId="26AE9ED7" w14:textId="77777777" w:rsidR="00292F88" w:rsidRPr="00E339A9" w:rsidRDefault="00292F88" w:rsidP="00292F88">
      <w:pPr>
        <w:pStyle w:val="TableText"/>
        <w:spacing w:after="240"/>
        <w:rPr>
          <w:rFonts w:asciiTheme="minorHAnsi" w:hAnsiTheme="minorHAnsi" w:cstheme="minorHAnsi"/>
        </w:rPr>
      </w:pPr>
      <w:r w:rsidRPr="00E339A9">
        <w:rPr>
          <w:rFonts w:asciiTheme="minorHAnsi" w:hAnsiTheme="minorHAnsi" w:cstheme="minorHAnsi"/>
        </w:rPr>
        <w:t>Unless otherwise noted, copyright (and any other intellectual property rights, if any) in this publication is owned by the Commonwealth of Australia (referred to as the Commonwealth).</w:t>
      </w:r>
    </w:p>
    <w:p w14:paraId="141052EF" w14:textId="77777777" w:rsidR="00292F88" w:rsidRDefault="00292F88" w:rsidP="00292F88">
      <w:pPr>
        <w:pStyle w:val="TableText"/>
        <w:rPr>
          <w:rFonts w:ascii="Calibri" w:hAnsi="Calibri"/>
          <w:b/>
        </w:rPr>
      </w:pPr>
      <w:r>
        <w:rPr>
          <w:rFonts w:ascii="Calibri" w:hAnsi="Calibri"/>
          <w:b/>
        </w:rPr>
        <w:t>Creative Commons licence</w:t>
      </w:r>
    </w:p>
    <w:p w14:paraId="514A5079" w14:textId="77777777" w:rsidR="00292F88" w:rsidRPr="00E339A9" w:rsidRDefault="00292F88" w:rsidP="00292F88">
      <w:pPr>
        <w:pStyle w:val="TableText"/>
        <w:spacing w:after="240"/>
        <w:rPr>
          <w:rFonts w:asciiTheme="minorHAnsi" w:hAnsiTheme="minorHAnsi" w:cstheme="minorHAnsi"/>
        </w:rPr>
      </w:pPr>
      <w:r w:rsidRPr="00E339A9">
        <w:rPr>
          <w:rFonts w:asciiTheme="minorHAnsi" w:hAnsiTheme="minorHAnsi" w:cstheme="minorHAnsi"/>
        </w:rPr>
        <w:t xml:space="preserve">All material in this publication is licensed under a </w:t>
      </w:r>
      <w:hyperlink r:id="rId15" w:history="1">
        <w:r w:rsidRPr="00E339A9">
          <w:rPr>
            <w:rStyle w:val="Hyperlink"/>
            <w:rFonts w:asciiTheme="minorHAnsi" w:hAnsiTheme="minorHAnsi" w:cstheme="minorHAnsi"/>
          </w:rPr>
          <w:t>Creative Commons Attribution 4.0 International Licence</w:t>
        </w:r>
      </w:hyperlink>
      <w:r w:rsidRPr="00E339A9">
        <w:rPr>
          <w:rFonts w:asciiTheme="minorHAnsi" w:hAnsiTheme="minorHAnsi" w:cstheme="minorHAnsi"/>
        </w:rPr>
        <w:t>, except content supplied by third parties, logos and the Commonwealth Coat of Arms.</w:t>
      </w:r>
    </w:p>
    <w:p w14:paraId="7EE900FB" w14:textId="77777777" w:rsidR="00292F88" w:rsidRDefault="00292F88" w:rsidP="00292F88">
      <w:pPr>
        <w:pStyle w:val="TableText"/>
        <w:spacing w:after="240"/>
      </w:pPr>
      <w:r w:rsidRPr="00A25AE3">
        <w:rPr>
          <w:noProof/>
          <w:lang w:eastAsia="en-AU"/>
        </w:rPr>
        <w:drawing>
          <wp:inline distT="0" distB="0" distL="0" distR="0" wp14:anchorId="479329B9" wp14:editId="73B4726C">
            <wp:extent cx="723265" cy="254635"/>
            <wp:effectExtent l="0" t="0" r="635"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265" cy="254635"/>
                    </a:xfrm>
                    <a:prstGeom prst="rect">
                      <a:avLst/>
                    </a:prstGeom>
                    <a:noFill/>
                    <a:ln>
                      <a:noFill/>
                    </a:ln>
                  </pic:spPr>
                </pic:pic>
              </a:graphicData>
            </a:graphic>
          </wp:inline>
        </w:drawing>
      </w:r>
    </w:p>
    <w:p w14:paraId="4BD79C56" w14:textId="77777777" w:rsidR="00292F88" w:rsidRDefault="00292F88" w:rsidP="00292F88">
      <w:pPr>
        <w:pStyle w:val="TableText"/>
        <w:rPr>
          <w:rFonts w:ascii="Calibri" w:hAnsi="Calibri"/>
          <w:b/>
        </w:rPr>
      </w:pPr>
      <w:r>
        <w:rPr>
          <w:rFonts w:ascii="Calibri" w:hAnsi="Calibri"/>
          <w:b/>
        </w:rPr>
        <w:t>Cataloguing data</w:t>
      </w:r>
    </w:p>
    <w:p w14:paraId="29957286" w14:textId="2056A4E6" w:rsidR="00292F88" w:rsidRPr="00E339A9" w:rsidRDefault="00292F88" w:rsidP="00292F88">
      <w:pPr>
        <w:pStyle w:val="TableText"/>
        <w:rPr>
          <w:rFonts w:asciiTheme="minorHAnsi" w:hAnsiTheme="minorHAnsi" w:cstheme="minorHAnsi"/>
        </w:rPr>
      </w:pPr>
      <w:r w:rsidRPr="00E339A9">
        <w:rPr>
          <w:rFonts w:asciiTheme="minorHAnsi" w:hAnsiTheme="minorHAnsi" w:cstheme="minorHAnsi"/>
        </w:rPr>
        <w:t>This publication (and any material sourced from it) should be attributed as: DA</w:t>
      </w:r>
      <w:r w:rsidR="00E37340" w:rsidRPr="00E339A9">
        <w:rPr>
          <w:rFonts w:asciiTheme="minorHAnsi" w:hAnsiTheme="minorHAnsi" w:cstheme="minorHAnsi"/>
        </w:rPr>
        <w:t>FF</w:t>
      </w:r>
      <w:r w:rsidRPr="00E339A9">
        <w:rPr>
          <w:rFonts w:asciiTheme="minorHAnsi" w:hAnsiTheme="minorHAnsi" w:cstheme="minorHAnsi"/>
        </w:rPr>
        <w:t xml:space="preserve"> 202</w:t>
      </w:r>
      <w:r w:rsidR="001C17C2">
        <w:rPr>
          <w:rFonts w:asciiTheme="minorHAnsi" w:hAnsiTheme="minorHAnsi" w:cstheme="minorHAnsi"/>
        </w:rPr>
        <w:t>6</w:t>
      </w:r>
      <w:r w:rsidRPr="00E339A9">
        <w:rPr>
          <w:rFonts w:asciiTheme="minorHAnsi" w:hAnsiTheme="minorHAnsi" w:cstheme="minorHAnsi"/>
        </w:rPr>
        <w:t xml:space="preserve">, </w:t>
      </w:r>
      <w:r w:rsidR="00DE7B82" w:rsidRPr="00DE7B82">
        <w:rPr>
          <w:rFonts w:asciiTheme="minorHAnsi" w:hAnsiTheme="minorHAnsi" w:cstheme="minorHAnsi"/>
          <w:i/>
          <w:iCs/>
        </w:rPr>
        <w:t>D</w:t>
      </w:r>
      <w:r w:rsidRPr="00E339A9">
        <w:rPr>
          <w:rFonts w:asciiTheme="minorHAnsi" w:hAnsiTheme="minorHAnsi" w:cstheme="minorHAnsi"/>
          <w:i/>
        </w:rPr>
        <w:t xml:space="preserve">raft risk analysis report for the release of </w:t>
      </w:r>
      <w:r w:rsidR="00C24A37" w:rsidRPr="00E339A9">
        <w:rPr>
          <w:rFonts w:asciiTheme="minorHAnsi" w:hAnsiTheme="minorHAnsi" w:cstheme="minorHAnsi"/>
        </w:rPr>
        <w:t>Puccinia lantanae</w:t>
      </w:r>
      <w:r w:rsidRPr="00E339A9">
        <w:rPr>
          <w:rFonts w:asciiTheme="minorHAnsi" w:hAnsiTheme="minorHAnsi" w:cstheme="minorHAnsi"/>
          <w:i/>
        </w:rPr>
        <w:t xml:space="preserve"> for the biological control of </w:t>
      </w:r>
      <w:r w:rsidR="00C24A37" w:rsidRPr="00E339A9">
        <w:rPr>
          <w:rFonts w:asciiTheme="minorHAnsi" w:hAnsiTheme="minorHAnsi" w:cstheme="minorHAnsi"/>
        </w:rPr>
        <w:t>Lantana camara</w:t>
      </w:r>
      <w:r w:rsidRPr="00E339A9">
        <w:rPr>
          <w:rFonts w:asciiTheme="minorHAnsi" w:hAnsiTheme="minorHAnsi" w:cstheme="minorHAnsi"/>
        </w:rPr>
        <w:t xml:space="preserve">, Department of Agriculture, </w:t>
      </w:r>
      <w:r w:rsidR="00E37340" w:rsidRPr="00E339A9">
        <w:rPr>
          <w:rFonts w:asciiTheme="minorHAnsi" w:hAnsiTheme="minorHAnsi" w:cstheme="minorHAnsi"/>
        </w:rPr>
        <w:t>Fisheries</w:t>
      </w:r>
      <w:r w:rsidRPr="00E339A9">
        <w:rPr>
          <w:rFonts w:asciiTheme="minorHAnsi" w:hAnsiTheme="minorHAnsi" w:cstheme="minorHAnsi"/>
        </w:rPr>
        <w:t xml:space="preserve"> and </w:t>
      </w:r>
      <w:r w:rsidR="00E37340" w:rsidRPr="00E339A9">
        <w:rPr>
          <w:rFonts w:asciiTheme="minorHAnsi" w:hAnsiTheme="minorHAnsi" w:cstheme="minorHAnsi"/>
        </w:rPr>
        <w:t>Forestry</w:t>
      </w:r>
      <w:r w:rsidRPr="00E339A9">
        <w:rPr>
          <w:rFonts w:asciiTheme="minorHAnsi" w:hAnsiTheme="minorHAnsi" w:cstheme="minorHAnsi"/>
        </w:rPr>
        <w:t>, Canberra. CC BY 4.0.</w:t>
      </w:r>
    </w:p>
    <w:p w14:paraId="65574C01" w14:textId="02D060C4" w:rsidR="00292F88" w:rsidRPr="00E339A9" w:rsidRDefault="00292F88" w:rsidP="00292F88">
      <w:pPr>
        <w:pStyle w:val="TableText"/>
        <w:tabs>
          <w:tab w:val="left" w:pos="1641"/>
        </w:tabs>
        <w:rPr>
          <w:rFonts w:asciiTheme="minorHAnsi" w:hAnsiTheme="minorHAnsi" w:cstheme="minorHAnsi"/>
        </w:rPr>
      </w:pPr>
      <w:r w:rsidRPr="00E339A9">
        <w:rPr>
          <w:rFonts w:asciiTheme="minorHAnsi" w:hAnsiTheme="minorHAnsi" w:cstheme="minorHAnsi"/>
        </w:rPr>
        <w:t xml:space="preserve">This publication is available at </w:t>
      </w:r>
      <w:hyperlink r:id="rId17" w:history="1">
        <w:r w:rsidR="00F74DCD" w:rsidRPr="00E339A9">
          <w:rPr>
            <w:rStyle w:val="Hyperlink"/>
            <w:rFonts w:asciiTheme="minorHAnsi" w:hAnsiTheme="minorHAnsi" w:cstheme="minorHAnsi"/>
          </w:rPr>
          <w:t>agriculture.gov.au/biosecurity-trade/policy/risk-analysis/biological-control-agents/risk-analyses</w:t>
        </w:r>
      </w:hyperlink>
      <w:r w:rsidRPr="00E339A9">
        <w:rPr>
          <w:rFonts w:asciiTheme="minorHAnsi" w:hAnsiTheme="minorHAnsi" w:cstheme="minorHAnsi"/>
        </w:rPr>
        <w:t>.</w:t>
      </w:r>
    </w:p>
    <w:p w14:paraId="610BAD95" w14:textId="58365189" w:rsidR="00292F88" w:rsidRPr="00E339A9" w:rsidRDefault="00292F88" w:rsidP="00292F88">
      <w:pPr>
        <w:pStyle w:val="TableText"/>
        <w:tabs>
          <w:tab w:val="left" w:pos="1641"/>
        </w:tabs>
        <w:rPr>
          <w:rFonts w:asciiTheme="minorHAnsi" w:hAnsiTheme="minorHAnsi" w:cstheme="minorHAnsi"/>
        </w:rPr>
      </w:pPr>
      <w:r w:rsidRPr="00E339A9">
        <w:rPr>
          <w:rFonts w:asciiTheme="minorHAnsi" w:hAnsiTheme="minorHAnsi" w:cstheme="minorHAnsi"/>
        </w:rPr>
        <w:t xml:space="preserve">Department of Agriculture, </w:t>
      </w:r>
      <w:r w:rsidR="00E37340" w:rsidRPr="00E339A9">
        <w:rPr>
          <w:rFonts w:asciiTheme="minorHAnsi" w:hAnsiTheme="minorHAnsi" w:cstheme="minorHAnsi"/>
        </w:rPr>
        <w:t>Fisheries and Forestry</w:t>
      </w:r>
      <w:r w:rsidRPr="00E339A9">
        <w:rPr>
          <w:rFonts w:asciiTheme="minorHAnsi" w:hAnsiTheme="minorHAnsi" w:cstheme="minorHAnsi"/>
        </w:rPr>
        <w:br/>
        <w:t>GPO Box 858 Canberra ACT 2601</w:t>
      </w:r>
    </w:p>
    <w:p w14:paraId="180F2A90" w14:textId="77777777" w:rsidR="00292F88" w:rsidRPr="00E339A9" w:rsidRDefault="00292F88" w:rsidP="00292F88">
      <w:pPr>
        <w:pStyle w:val="TableText"/>
        <w:tabs>
          <w:tab w:val="left" w:pos="1641"/>
        </w:tabs>
        <w:rPr>
          <w:rFonts w:asciiTheme="minorHAnsi" w:hAnsiTheme="minorHAnsi" w:cstheme="minorHAnsi"/>
        </w:rPr>
      </w:pPr>
      <w:r w:rsidRPr="00E339A9">
        <w:rPr>
          <w:rFonts w:asciiTheme="minorHAnsi" w:hAnsiTheme="minorHAnsi" w:cstheme="minorHAnsi"/>
        </w:rPr>
        <w:t>Telephone 1800 900 090</w:t>
      </w:r>
    </w:p>
    <w:p w14:paraId="18E08C57" w14:textId="4403F6A2" w:rsidR="00292F88" w:rsidRPr="00E339A9" w:rsidRDefault="00292F88" w:rsidP="00292F88">
      <w:pPr>
        <w:pStyle w:val="TableText"/>
        <w:tabs>
          <w:tab w:val="left" w:pos="1641"/>
        </w:tabs>
        <w:rPr>
          <w:rFonts w:asciiTheme="minorHAnsi" w:hAnsiTheme="minorHAnsi" w:cstheme="minorHAnsi"/>
        </w:rPr>
      </w:pPr>
      <w:r w:rsidRPr="00E339A9">
        <w:rPr>
          <w:rFonts w:asciiTheme="minorHAnsi" w:hAnsiTheme="minorHAnsi" w:cstheme="minorHAnsi"/>
        </w:rPr>
        <w:t xml:space="preserve">Web </w:t>
      </w:r>
      <w:hyperlink r:id="rId18" w:history="1">
        <w:r w:rsidR="00C350C1" w:rsidRPr="00E339A9">
          <w:rPr>
            <w:rStyle w:val="Hyperlink"/>
            <w:rFonts w:asciiTheme="minorHAnsi" w:hAnsiTheme="minorHAnsi" w:cstheme="minorHAnsi"/>
          </w:rPr>
          <w:t>agriculture.gov.au</w:t>
        </w:r>
      </w:hyperlink>
      <w:r w:rsidRPr="00E339A9">
        <w:rPr>
          <w:rFonts w:asciiTheme="minorHAnsi" w:hAnsiTheme="minorHAnsi" w:cstheme="minorHAnsi"/>
        </w:rPr>
        <w:t xml:space="preserve">  </w:t>
      </w:r>
    </w:p>
    <w:p w14:paraId="797497A8" w14:textId="67197998" w:rsidR="00292F88" w:rsidRPr="00E339A9" w:rsidRDefault="00292F88" w:rsidP="00292F88">
      <w:pPr>
        <w:pStyle w:val="TableText"/>
        <w:tabs>
          <w:tab w:val="left" w:pos="1641"/>
        </w:tabs>
        <w:rPr>
          <w:rFonts w:asciiTheme="minorHAnsi" w:hAnsiTheme="minorHAnsi" w:cstheme="minorHAnsi"/>
        </w:rPr>
      </w:pPr>
      <w:r w:rsidRPr="00E339A9">
        <w:rPr>
          <w:rFonts w:asciiTheme="minorHAnsi" w:hAnsiTheme="minorHAnsi" w:cstheme="minorHAnsi"/>
        </w:rPr>
        <w:t xml:space="preserve">Email </w:t>
      </w:r>
      <w:hyperlink r:id="rId19" w:history="1">
        <w:r w:rsidR="00C350C1" w:rsidRPr="00E339A9">
          <w:rPr>
            <w:rStyle w:val="Hyperlink"/>
            <w:rFonts w:asciiTheme="minorHAnsi" w:hAnsiTheme="minorHAnsi" w:cstheme="minorHAnsi"/>
          </w:rPr>
          <w:t>plantstakeholders@agriculture.gov.au</w:t>
        </w:r>
      </w:hyperlink>
      <w:r w:rsidRPr="00E339A9">
        <w:rPr>
          <w:rFonts w:asciiTheme="minorHAnsi" w:hAnsiTheme="minorHAnsi" w:cstheme="minorHAnsi"/>
        </w:rPr>
        <w:t xml:space="preserve">  </w:t>
      </w:r>
    </w:p>
    <w:p w14:paraId="08EAEEC3" w14:textId="77777777" w:rsidR="00292F88" w:rsidRDefault="00292F88" w:rsidP="00292F88">
      <w:pPr>
        <w:pStyle w:val="TableText"/>
        <w:tabs>
          <w:tab w:val="left" w:pos="1641"/>
        </w:tabs>
        <w:rPr>
          <w:rFonts w:ascii="Calibri" w:hAnsi="Calibri"/>
          <w:b/>
        </w:rPr>
      </w:pPr>
    </w:p>
    <w:p w14:paraId="37D66384" w14:textId="34B3AB0E" w:rsidR="00292F88" w:rsidRDefault="00CD74EF" w:rsidP="00292F88">
      <w:pPr>
        <w:pStyle w:val="TableText"/>
        <w:tabs>
          <w:tab w:val="left" w:pos="1641"/>
        </w:tabs>
        <w:rPr>
          <w:rFonts w:ascii="Calibri" w:hAnsi="Calibri"/>
          <w:b/>
        </w:rPr>
      </w:pPr>
      <w:r>
        <w:rPr>
          <w:rFonts w:ascii="Calibri" w:hAnsi="Calibri"/>
          <w:b/>
        </w:rPr>
        <w:t>Disclaimer</w:t>
      </w:r>
      <w:r w:rsidR="00292F88">
        <w:rPr>
          <w:rFonts w:ascii="Calibri" w:hAnsi="Calibri"/>
          <w:b/>
        </w:rPr>
        <w:tab/>
      </w:r>
    </w:p>
    <w:p w14:paraId="36B48D08" w14:textId="6D32903A" w:rsidR="00292F88" w:rsidRPr="00E339A9" w:rsidRDefault="00292F88" w:rsidP="00292F88">
      <w:pPr>
        <w:pStyle w:val="TableText"/>
        <w:spacing w:after="240"/>
        <w:rPr>
          <w:rFonts w:asciiTheme="minorHAnsi" w:hAnsiTheme="minorHAnsi" w:cstheme="minorHAnsi"/>
        </w:rPr>
      </w:pPr>
      <w:r w:rsidRPr="00E339A9">
        <w:rPr>
          <w:rFonts w:asciiTheme="minorHAnsi" w:hAnsiTheme="minorHAnsi" w:cstheme="minorHAnsi"/>
        </w:rPr>
        <w:t xml:space="preserve">The Australian Government acting through the Department of Agriculture, </w:t>
      </w:r>
      <w:r w:rsidR="00E37340" w:rsidRPr="00E339A9">
        <w:rPr>
          <w:rFonts w:asciiTheme="minorHAnsi" w:hAnsiTheme="minorHAnsi" w:cstheme="minorHAnsi"/>
        </w:rPr>
        <w:t>Fisheries and Forestry</w:t>
      </w:r>
      <w:r w:rsidRPr="00E339A9">
        <w:rPr>
          <w:rFonts w:asciiTheme="minorHAnsi" w:hAnsiTheme="minorHAnsi" w:cstheme="minorHAnsi"/>
        </w:rPr>
        <w:t xml:space="preserve"> has exercised due care and skill in preparing and compiling the information in this publication. Notwithstanding, the Department of Agriculture, </w:t>
      </w:r>
      <w:r w:rsidR="00E37340" w:rsidRPr="00E339A9">
        <w:rPr>
          <w:rFonts w:asciiTheme="minorHAnsi" w:hAnsiTheme="minorHAnsi" w:cstheme="minorHAnsi"/>
        </w:rPr>
        <w:t>Fisheries and Forestry</w:t>
      </w:r>
      <w:r w:rsidRPr="00E339A9">
        <w:rPr>
          <w:rFonts w:asciiTheme="minorHAnsi" w:hAnsiTheme="minorHAnsi" w:cstheme="minorHAnsi"/>
        </w:rPr>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79F3FD1B" w14:textId="77777777" w:rsidR="00CD74EF" w:rsidRPr="00CD74EF" w:rsidRDefault="00CD74EF" w:rsidP="00CD74EF">
      <w:pPr>
        <w:pStyle w:val="TableText"/>
        <w:tabs>
          <w:tab w:val="left" w:pos="1641"/>
        </w:tabs>
        <w:rPr>
          <w:rFonts w:ascii="Calibri" w:hAnsi="Calibri"/>
          <w:b/>
        </w:rPr>
      </w:pPr>
      <w:r w:rsidRPr="00CD74EF">
        <w:rPr>
          <w:rFonts w:ascii="Calibri" w:hAnsi="Calibri"/>
          <w:b/>
        </w:rPr>
        <w:t>Acknowledgement of Country</w:t>
      </w:r>
    </w:p>
    <w:p w14:paraId="3F230D94" w14:textId="534EE158" w:rsidR="00CD74EF" w:rsidRPr="00E339A9" w:rsidRDefault="00E339A9" w:rsidP="00CD74EF">
      <w:pPr>
        <w:pStyle w:val="TableText"/>
        <w:spacing w:after="240"/>
        <w:rPr>
          <w:rFonts w:asciiTheme="minorHAnsi" w:hAnsiTheme="minorHAnsi" w:cstheme="minorHAnsi"/>
        </w:rPr>
      </w:pPr>
      <w:r w:rsidRPr="00E339A9">
        <w:rPr>
          <w:rFonts w:asciiTheme="minorHAnsi" w:hAnsiTheme="minorHAnsi" w:cstheme="minorHAnsi"/>
        </w:rPr>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r w:rsidR="00CD74EF" w:rsidRPr="00E339A9">
        <w:rPr>
          <w:rFonts w:asciiTheme="minorHAnsi" w:hAnsiTheme="minorHAnsi" w:cstheme="minorHAnsi"/>
        </w:rPr>
        <w:t>.</w:t>
      </w:r>
    </w:p>
    <w:p w14:paraId="410BD8D0" w14:textId="77777777" w:rsidR="0039271F" w:rsidRDefault="0039271F" w:rsidP="0039271F">
      <w:pPr>
        <w:pStyle w:val="TableText"/>
        <w:rPr>
          <w:rFonts w:ascii="Calibri" w:hAnsi="Calibri"/>
          <w:b/>
        </w:rPr>
      </w:pPr>
      <w:r>
        <w:rPr>
          <w:rFonts w:ascii="Calibri" w:hAnsi="Calibri"/>
          <w:b/>
        </w:rPr>
        <w:t>Stakeholder submissions on draft reports</w:t>
      </w:r>
    </w:p>
    <w:p w14:paraId="7E897861" w14:textId="77777777" w:rsidR="0039271F" w:rsidRPr="00E339A9" w:rsidRDefault="0039271F" w:rsidP="0039271F">
      <w:pPr>
        <w:pStyle w:val="TableText"/>
        <w:spacing w:after="240"/>
        <w:rPr>
          <w:rFonts w:asciiTheme="minorHAnsi" w:hAnsiTheme="minorHAnsi" w:cstheme="minorHAnsi"/>
        </w:rPr>
      </w:pPr>
      <w:r w:rsidRPr="00E339A9">
        <w:rPr>
          <w:rFonts w:asciiTheme="minorHAnsi" w:hAnsiTheme="minorHAnsi" w:cstheme="minorHAnsi"/>
        </w:rPr>
        <w:t>This draft report has been issued to give all interested parties an opportunity to comment on relevant technical biosecurity issues, with supporting rationale. A final report will then be produced taking into consideration any comments received.</w:t>
      </w:r>
    </w:p>
    <w:p w14:paraId="7ADC12C0" w14:textId="446055B4" w:rsidR="0039271F" w:rsidRDefault="0039271F" w:rsidP="0039271F">
      <w:pPr>
        <w:pStyle w:val="TableText"/>
        <w:spacing w:after="240"/>
      </w:pPr>
      <w:r w:rsidRPr="00E339A9">
        <w:rPr>
          <w:rFonts w:asciiTheme="minorHAnsi" w:hAnsiTheme="minorHAnsi" w:cstheme="minorHAnsi"/>
        </w:rPr>
        <w:t>Submissions should be sent to the Department of</w:t>
      </w:r>
      <w:r w:rsidR="00BB7782" w:rsidRPr="00E339A9">
        <w:rPr>
          <w:rFonts w:asciiTheme="minorHAnsi" w:hAnsiTheme="minorHAnsi" w:cstheme="minorHAnsi"/>
        </w:rPr>
        <w:t xml:space="preserve"> </w:t>
      </w:r>
      <w:r w:rsidR="00083279" w:rsidRPr="00E339A9">
        <w:rPr>
          <w:rFonts w:asciiTheme="minorHAnsi" w:hAnsiTheme="minorHAnsi" w:cstheme="minorHAnsi"/>
        </w:rPr>
        <w:t xml:space="preserve">Agriculture, </w:t>
      </w:r>
      <w:r w:rsidR="00E031C3" w:rsidRPr="00E339A9">
        <w:rPr>
          <w:rFonts w:asciiTheme="minorHAnsi" w:hAnsiTheme="minorHAnsi" w:cstheme="minorHAnsi"/>
        </w:rPr>
        <w:t>Fisheries and Forestry</w:t>
      </w:r>
      <w:r w:rsidR="00083279" w:rsidRPr="00E339A9">
        <w:rPr>
          <w:rFonts w:asciiTheme="minorHAnsi" w:hAnsiTheme="minorHAnsi" w:cstheme="minorHAnsi"/>
        </w:rPr>
        <w:t xml:space="preserve"> </w:t>
      </w:r>
      <w:r w:rsidRPr="00E339A9">
        <w:rPr>
          <w:rFonts w:asciiTheme="minorHAnsi" w:hAnsiTheme="minorHAnsi" w:cstheme="minorHAnsi"/>
        </w:rPr>
        <w:t xml:space="preserve">following the conditions specified within the related Biosecurity Advice, which is available at: </w:t>
      </w:r>
      <w:hyperlink r:id="rId20" w:history="1">
        <w:r w:rsidR="00C24A37" w:rsidRPr="00E339A9">
          <w:rPr>
            <w:rStyle w:val="Hyperlink"/>
            <w:rFonts w:asciiTheme="minorHAnsi" w:hAnsiTheme="minorHAnsi" w:cstheme="minorHAnsi"/>
          </w:rPr>
          <w:t>https://www.agriculture.gov.au/biosecurity-trade/policy/risk-analysis/memos</w:t>
        </w:r>
      </w:hyperlink>
      <w:r w:rsidRPr="00E339A9">
        <w:rPr>
          <w:rFonts w:asciiTheme="minorHAnsi" w:hAnsiTheme="minorHAnsi" w:cstheme="minorHAnsi"/>
        </w:rPr>
        <w:t>.</w:t>
      </w:r>
      <w:r w:rsidR="00C24A37">
        <w:t xml:space="preserve"> </w:t>
      </w:r>
      <w:r>
        <w:t xml:space="preserve"> </w:t>
      </w:r>
    </w:p>
    <w:p w14:paraId="5D37634D" w14:textId="77777777" w:rsidR="005C1BD0" w:rsidRDefault="005C1BD0">
      <w:pPr>
        <w:pStyle w:val="TableText"/>
      </w:pPr>
    </w:p>
    <w:p w14:paraId="60D3E66E" w14:textId="77777777" w:rsidR="005C1BD0" w:rsidRDefault="005C1BD0">
      <w:pPr>
        <w:pStyle w:val="TableText"/>
      </w:pPr>
    </w:p>
    <w:p w14:paraId="7131E885" w14:textId="77777777" w:rsidR="005C1BD0" w:rsidRDefault="005C1BD0">
      <w:pPr>
        <w:pStyle w:val="TableText"/>
      </w:pPr>
    </w:p>
    <w:p w14:paraId="48552F3D" w14:textId="77777777" w:rsidR="005C1BD0" w:rsidRDefault="005C1BD0">
      <w:pPr>
        <w:pStyle w:val="TableText"/>
      </w:pPr>
    </w:p>
    <w:p w14:paraId="018D90DB" w14:textId="77777777" w:rsidR="005C1BD0" w:rsidRDefault="005C1BD0">
      <w:pPr>
        <w:pStyle w:val="TableText"/>
      </w:pPr>
    </w:p>
    <w:p w14:paraId="7BCDC90D" w14:textId="77777777" w:rsidR="005C1BD0" w:rsidRDefault="005C1BD0" w:rsidP="005C1BD0">
      <w:pPr>
        <w:pStyle w:val="TableText"/>
        <w:rPr>
          <w:rFonts w:asciiTheme="minorHAnsi" w:hAnsiTheme="minorHAnsi" w:cstheme="minorHAnsi"/>
        </w:rPr>
      </w:pPr>
      <w:r>
        <w:rPr>
          <w:rFonts w:asciiTheme="minorHAnsi" w:hAnsiTheme="minorHAnsi" w:cstheme="minorHAnsi"/>
        </w:rPr>
        <w:t>Front cover picture</w:t>
      </w:r>
    </w:p>
    <w:p w14:paraId="0BC408FA" w14:textId="1C4E9E3D" w:rsidR="00147992" w:rsidRDefault="00147992">
      <w:pPr>
        <w:pStyle w:val="TableText"/>
        <w:sectPr w:rsidR="00147992">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567" w:footer="283" w:gutter="0"/>
          <w:cols w:space="708"/>
          <w:docGrid w:linePitch="360"/>
        </w:sectPr>
      </w:pPr>
      <w:hyperlink r:id="rId27" w:history="1">
        <w:r w:rsidRPr="00147992">
          <w:rPr>
            <w:rStyle w:val="Hyperlink"/>
          </w:rPr>
          <w:t>Lantana blister rust » Manaaki Whenua</w:t>
        </w:r>
      </w:hyperlink>
    </w:p>
    <w:p w14:paraId="5C992707" w14:textId="77777777" w:rsidR="002A326D" w:rsidRDefault="002A326D" w:rsidP="002A326D">
      <w:pPr>
        <w:pStyle w:val="TOCHeading"/>
      </w:pPr>
      <w:bookmarkStart w:id="0" w:name="_Toc384979272"/>
      <w:bookmarkStart w:id="1" w:name="_Toc384979287"/>
      <w:bookmarkStart w:id="2" w:name="_Toc112674191"/>
      <w:bookmarkStart w:id="3" w:name="_Toc126073677"/>
      <w:r w:rsidRPr="00772548">
        <w:lastRenderedPageBreak/>
        <w:t>Contents</w:t>
      </w:r>
    </w:p>
    <w:p w14:paraId="71007A3A" w14:textId="0C37496A" w:rsidR="005F7160" w:rsidRDefault="002A326D">
      <w:pPr>
        <w:pStyle w:val="TOC1"/>
        <w:rPr>
          <w:rFonts w:eastAsiaTheme="minorEastAsia"/>
          <w:b w:val="0"/>
          <w:kern w:val="2"/>
          <w:sz w:val="24"/>
          <w:szCs w:val="24"/>
          <w:lang w:eastAsia="en-AU"/>
          <w14:ligatures w14:val="standardContextual"/>
        </w:rPr>
      </w:pPr>
      <w:r>
        <w:rPr>
          <w:bCs/>
          <w:szCs w:val="24"/>
        </w:rPr>
        <w:fldChar w:fldCharType="begin"/>
      </w:r>
      <w:r>
        <w:rPr>
          <w:bCs/>
          <w:szCs w:val="24"/>
        </w:rPr>
        <w:instrText xml:space="preserve"> TOC \t "Heading 2,1,Heading 3,2" </w:instrText>
      </w:r>
      <w:r>
        <w:rPr>
          <w:bCs/>
          <w:szCs w:val="24"/>
        </w:rPr>
        <w:fldChar w:fldCharType="separate"/>
      </w:r>
      <w:r w:rsidR="005F7160">
        <w:t>Summary</w:t>
      </w:r>
      <w:r w:rsidR="005F7160">
        <w:tab/>
      </w:r>
      <w:r w:rsidR="005F7160">
        <w:fldChar w:fldCharType="begin"/>
      </w:r>
      <w:r w:rsidR="005F7160">
        <w:instrText xml:space="preserve"> PAGEREF _Toc216420313 \h </w:instrText>
      </w:r>
      <w:r w:rsidR="005F7160">
        <w:fldChar w:fldCharType="separate"/>
      </w:r>
      <w:r w:rsidR="00D07917">
        <w:t>1</w:t>
      </w:r>
      <w:r w:rsidR="005F7160">
        <w:fldChar w:fldCharType="end"/>
      </w:r>
    </w:p>
    <w:p w14:paraId="3A5DFF4D" w14:textId="11ACAAF9" w:rsidR="005F7160" w:rsidRDefault="005F7160">
      <w:pPr>
        <w:pStyle w:val="TOC1"/>
        <w:rPr>
          <w:rFonts w:eastAsiaTheme="minorEastAsia"/>
          <w:b w:val="0"/>
          <w:kern w:val="2"/>
          <w:sz w:val="24"/>
          <w:szCs w:val="24"/>
          <w:lang w:eastAsia="en-AU"/>
          <w14:ligatures w14:val="standardContextual"/>
        </w:rPr>
      </w:pPr>
      <w:r>
        <w:t>1</w:t>
      </w:r>
      <w:r>
        <w:rPr>
          <w:rFonts w:eastAsiaTheme="minorEastAsia"/>
          <w:b w:val="0"/>
          <w:kern w:val="2"/>
          <w:sz w:val="24"/>
          <w:szCs w:val="24"/>
          <w:lang w:eastAsia="en-AU"/>
          <w14:ligatures w14:val="standardContextual"/>
        </w:rPr>
        <w:tab/>
      </w:r>
      <w:r>
        <w:t>Introduction</w:t>
      </w:r>
      <w:r>
        <w:tab/>
      </w:r>
      <w:r>
        <w:fldChar w:fldCharType="begin"/>
      </w:r>
      <w:r>
        <w:instrText xml:space="preserve"> PAGEREF _Toc216420314 \h </w:instrText>
      </w:r>
      <w:r>
        <w:fldChar w:fldCharType="separate"/>
      </w:r>
      <w:r w:rsidR="00D07917">
        <w:t>2</w:t>
      </w:r>
      <w:r>
        <w:fldChar w:fldCharType="end"/>
      </w:r>
    </w:p>
    <w:p w14:paraId="43180D1B" w14:textId="19798CA5" w:rsidR="005F7160" w:rsidRDefault="005F7160">
      <w:pPr>
        <w:pStyle w:val="TOC2"/>
        <w:tabs>
          <w:tab w:val="left" w:pos="1105"/>
        </w:tabs>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Australia’s biosecurity policy framework</w:t>
      </w:r>
      <w:r>
        <w:tab/>
      </w:r>
      <w:r>
        <w:fldChar w:fldCharType="begin"/>
      </w:r>
      <w:r>
        <w:instrText xml:space="preserve"> PAGEREF _Toc216420315 \h </w:instrText>
      </w:r>
      <w:r>
        <w:fldChar w:fldCharType="separate"/>
      </w:r>
      <w:r w:rsidR="00D07917">
        <w:t>2</w:t>
      </w:r>
      <w:r>
        <w:fldChar w:fldCharType="end"/>
      </w:r>
    </w:p>
    <w:p w14:paraId="0CBBA060" w14:textId="38606C04" w:rsidR="005F7160" w:rsidRDefault="005F7160">
      <w:pPr>
        <w:pStyle w:val="TOC1"/>
        <w:rPr>
          <w:rFonts w:eastAsiaTheme="minorEastAsia"/>
          <w:b w:val="0"/>
          <w:kern w:val="2"/>
          <w:sz w:val="24"/>
          <w:szCs w:val="24"/>
          <w:lang w:eastAsia="en-AU"/>
          <w14:ligatures w14:val="standardContextual"/>
        </w:rPr>
      </w:pPr>
      <w:r>
        <w:t>2</w:t>
      </w:r>
      <w:r>
        <w:rPr>
          <w:rFonts w:eastAsiaTheme="minorEastAsia"/>
          <w:b w:val="0"/>
          <w:kern w:val="2"/>
          <w:sz w:val="24"/>
          <w:szCs w:val="24"/>
          <w:lang w:eastAsia="en-AU"/>
          <w14:ligatures w14:val="standardContextual"/>
        </w:rPr>
        <w:tab/>
      </w:r>
      <w:r>
        <w:t>This risk analysis</w:t>
      </w:r>
      <w:r>
        <w:tab/>
      </w:r>
      <w:r>
        <w:fldChar w:fldCharType="begin"/>
      </w:r>
      <w:r>
        <w:instrText xml:space="preserve"> PAGEREF _Toc216420316 \h </w:instrText>
      </w:r>
      <w:r>
        <w:fldChar w:fldCharType="separate"/>
      </w:r>
      <w:r w:rsidR="00D07917">
        <w:t>3</w:t>
      </w:r>
      <w:r>
        <w:fldChar w:fldCharType="end"/>
      </w:r>
    </w:p>
    <w:p w14:paraId="15043501" w14:textId="7427914E" w:rsidR="005F7160" w:rsidRDefault="005F7160">
      <w:pPr>
        <w:pStyle w:val="TOC2"/>
        <w:tabs>
          <w:tab w:val="left" w:pos="1105"/>
        </w:tabs>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Background</w:t>
      </w:r>
      <w:r>
        <w:tab/>
      </w:r>
      <w:r>
        <w:fldChar w:fldCharType="begin"/>
      </w:r>
      <w:r>
        <w:instrText xml:space="preserve"> PAGEREF _Toc216420317 \h </w:instrText>
      </w:r>
      <w:r>
        <w:fldChar w:fldCharType="separate"/>
      </w:r>
      <w:r w:rsidR="00D07917">
        <w:t>3</w:t>
      </w:r>
      <w:r>
        <w:fldChar w:fldCharType="end"/>
      </w:r>
    </w:p>
    <w:p w14:paraId="5D722EB2" w14:textId="3406F816" w:rsidR="005F7160" w:rsidRDefault="005F7160">
      <w:pPr>
        <w:pStyle w:val="TOC2"/>
        <w:tabs>
          <w:tab w:val="left" w:pos="1105"/>
        </w:tabs>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Scope</w:t>
      </w:r>
      <w:r>
        <w:tab/>
      </w:r>
      <w:r>
        <w:fldChar w:fldCharType="begin"/>
      </w:r>
      <w:r>
        <w:instrText xml:space="preserve"> PAGEREF _Toc216420318 \h </w:instrText>
      </w:r>
      <w:r>
        <w:fldChar w:fldCharType="separate"/>
      </w:r>
      <w:r w:rsidR="00D07917">
        <w:t>3</w:t>
      </w:r>
      <w:r>
        <w:fldChar w:fldCharType="end"/>
      </w:r>
    </w:p>
    <w:p w14:paraId="00763983" w14:textId="5BA30B5A" w:rsidR="005F7160" w:rsidRDefault="005F7160">
      <w:pPr>
        <w:pStyle w:val="TOC2"/>
        <w:tabs>
          <w:tab w:val="left" w:pos="1105"/>
        </w:tabs>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Associated pests</w:t>
      </w:r>
      <w:r>
        <w:tab/>
      </w:r>
      <w:r>
        <w:fldChar w:fldCharType="begin"/>
      </w:r>
      <w:r>
        <w:instrText xml:space="preserve"> PAGEREF _Toc216420319 \h </w:instrText>
      </w:r>
      <w:r>
        <w:fldChar w:fldCharType="separate"/>
      </w:r>
      <w:r w:rsidR="00D07917">
        <w:t>4</w:t>
      </w:r>
      <w:r>
        <w:fldChar w:fldCharType="end"/>
      </w:r>
    </w:p>
    <w:p w14:paraId="5288F7B5" w14:textId="65DB0072" w:rsidR="005F7160" w:rsidRDefault="005F7160">
      <w:pPr>
        <w:pStyle w:val="TOC2"/>
        <w:tabs>
          <w:tab w:val="left" w:pos="1105"/>
        </w:tabs>
        <w:rPr>
          <w:rFonts w:eastAsiaTheme="minorEastAsia"/>
          <w:kern w:val="2"/>
          <w:sz w:val="24"/>
          <w:szCs w:val="24"/>
          <w:lang w:eastAsia="en-AU"/>
          <w14:ligatures w14:val="standardContextual"/>
        </w:rPr>
      </w:pPr>
      <w:r>
        <w:t>2.4</w:t>
      </w:r>
      <w:r>
        <w:rPr>
          <w:rFonts w:eastAsiaTheme="minorEastAsia"/>
          <w:kern w:val="2"/>
          <w:sz w:val="24"/>
          <w:szCs w:val="24"/>
          <w:lang w:eastAsia="en-AU"/>
          <w14:ligatures w14:val="standardContextual"/>
        </w:rPr>
        <w:tab/>
      </w:r>
      <w:r>
        <w:t>Consultation</w:t>
      </w:r>
      <w:r>
        <w:tab/>
      </w:r>
      <w:r>
        <w:fldChar w:fldCharType="begin"/>
      </w:r>
      <w:r>
        <w:instrText xml:space="preserve"> PAGEREF _Toc216420320 \h </w:instrText>
      </w:r>
      <w:r>
        <w:fldChar w:fldCharType="separate"/>
      </w:r>
      <w:r w:rsidR="00D07917">
        <w:t>4</w:t>
      </w:r>
      <w:r>
        <w:fldChar w:fldCharType="end"/>
      </w:r>
    </w:p>
    <w:p w14:paraId="6B93BF88" w14:textId="10AAE809" w:rsidR="005F7160" w:rsidRDefault="005F7160">
      <w:pPr>
        <w:pStyle w:val="TOC2"/>
        <w:tabs>
          <w:tab w:val="left" w:pos="1105"/>
        </w:tabs>
        <w:rPr>
          <w:rFonts w:eastAsiaTheme="minorEastAsia"/>
          <w:kern w:val="2"/>
          <w:sz w:val="24"/>
          <w:szCs w:val="24"/>
          <w:lang w:eastAsia="en-AU"/>
          <w14:ligatures w14:val="standardContextual"/>
        </w:rPr>
      </w:pPr>
      <w:r>
        <w:t>2.5</w:t>
      </w:r>
      <w:r>
        <w:rPr>
          <w:rFonts w:eastAsiaTheme="minorEastAsia"/>
          <w:kern w:val="2"/>
          <w:sz w:val="24"/>
          <w:szCs w:val="24"/>
          <w:lang w:eastAsia="en-AU"/>
          <w14:ligatures w14:val="standardContextual"/>
        </w:rPr>
        <w:tab/>
      </w:r>
      <w:r>
        <w:t>Next Steps</w:t>
      </w:r>
      <w:r>
        <w:tab/>
      </w:r>
      <w:r>
        <w:fldChar w:fldCharType="begin"/>
      </w:r>
      <w:r>
        <w:instrText xml:space="preserve"> PAGEREF _Toc216420321 \h </w:instrText>
      </w:r>
      <w:r>
        <w:fldChar w:fldCharType="separate"/>
      </w:r>
      <w:r w:rsidR="00D07917">
        <w:t>4</w:t>
      </w:r>
      <w:r>
        <w:fldChar w:fldCharType="end"/>
      </w:r>
    </w:p>
    <w:p w14:paraId="1E27B57A" w14:textId="618F4908" w:rsidR="005F7160" w:rsidRDefault="005F7160">
      <w:pPr>
        <w:pStyle w:val="TOC1"/>
        <w:rPr>
          <w:rFonts w:eastAsiaTheme="minorEastAsia"/>
          <w:b w:val="0"/>
          <w:kern w:val="2"/>
          <w:sz w:val="24"/>
          <w:szCs w:val="24"/>
          <w:lang w:eastAsia="en-AU"/>
          <w14:ligatures w14:val="standardContextual"/>
        </w:rPr>
      </w:pPr>
      <w:r>
        <w:t>3</w:t>
      </w:r>
      <w:r>
        <w:rPr>
          <w:rFonts w:eastAsiaTheme="minorEastAsia"/>
          <w:b w:val="0"/>
          <w:kern w:val="2"/>
          <w:sz w:val="24"/>
          <w:szCs w:val="24"/>
          <w:lang w:eastAsia="en-AU"/>
          <w14:ligatures w14:val="standardContextual"/>
        </w:rPr>
        <w:tab/>
      </w:r>
      <w:r>
        <w:t>Assessment of off-target risks</w:t>
      </w:r>
      <w:r>
        <w:tab/>
      </w:r>
      <w:r>
        <w:fldChar w:fldCharType="begin"/>
      </w:r>
      <w:r>
        <w:instrText xml:space="preserve"> PAGEREF _Toc216420322 \h </w:instrText>
      </w:r>
      <w:r>
        <w:fldChar w:fldCharType="separate"/>
      </w:r>
      <w:r w:rsidR="00D07917">
        <w:t>5</w:t>
      </w:r>
      <w:r>
        <w:fldChar w:fldCharType="end"/>
      </w:r>
    </w:p>
    <w:p w14:paraId="7469C08A" w14:textId="5E6E3E30" w:rsidR="005F7160" w:rsidRDefault="005F7160">
      <w:pPr>
        <w:pStyle w:val="TOC2"/>
        <w:tabs>
          <w:tab w:val="left" w:pos="1105"/>
        </w:tabs>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Stage 1: Initiation</w:t>
      </w:r>
      <w:r>
        <w:tab/>
      </w:r>
      <w:r>
        <w:fldChar w:fldCharType="begin"/>
      </w:r>
      <w:r>
        <w:instrText xml:space="preserve"> PAGEREF _Toc216420323 \h </w:instrText>
      </w:r>
      <w:r>
        <w:fldChar w:fldCharType="separate"/>
      </w:r>
      <w:r w:rsidR="00D07917">
        <w:t>5</w:t>
      </w:r>
      <w:r>
        <w:fldChar w:fldCharType="end"/>
      </w:r>
    </w:p>
    <w:p w14:paraId="180C6951" w14:textId="35E2FC21" w:rsidR="005F7160" w:rsidRDefault="005F7160">
      <w:pPr>
        <w:pStyle w:val="TOC2"/>
        <w:tabs>
          <w:tab w:val="left" w:pos="1105"/>
        </w:tabs>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Stage 2: Risk assessment</w:t>
      </w:r>
      <w:r>
        <w:tab/>
      </w:r>
      <w:r>
        <w:fldChar w:fldCharType="begin"/>
      </w:r>
      <w:r>
        <w:instrText xml:space="preserve"> PAGEREF _Toc216420324 \h </w:instrText>
      </w:r>
      <w:r>
        <w:fldChar w:fldCharType="separate"/>
      </w:r>
      <w:r w:rsidR="00D07917">
        <w:t>6</w:t>
      </w:r>
      <w:r>
        <w:fldChar w:fldCharType="end"/>
      </w:r>
    </w:p>
    <w:p w14:paraId="2F311395" w14:textId="7A73E3EB" w:rsidR="005F7160" w:rsidRDefault="005F7160">
      <w:pPr>
        <w:pStyle w:val="TOC1"/>
        <w:rPr>
          <w:rFonts w:eastAsiaTheme="minorEastAsia"/>
          <w:b w:val="0"/>
          <w:kern w:val="2"/>
          <w:sz w:val="24"/>
          <w:szCs w:val="24"/>
          <w:lang w:eastAsia="en-AU"/>
          <w14:ligatures w14:val="standardContextual"/>
        </w:rPr>
      </w:pPr>
      <w:r>
        <w:t>4</w:t>
      </w:r>
      <w:r>
        <w:rPr>
          <w:rFonts w:eastAsiaTheme="minorEastAsia"/>
          <w:b w:val="0"/>
          <w:kern w:val="2"/>
          <w:sz w:val="24"/>
          <w:szCs w:val="24"/>
          <w:lang w:eastAsia="en-AU"/>
          <w14:ligatures w14:val="standardContextual"/>
        </w:rPr>
        <w:tab/>
      </w:r>
      <w:r>
        <w:t>Draft recommendation on release</w:t>
      </w:r>
      <w:r>
        <w:tab/>
      </w:r>
      <w:r>
        <w:fldChar w:fldCharType="begin"/>
      </w:r>
      <w:r>
        <w:instrText xml:space="preserve"> PAGEREF _Toc216420325 \h </w:instrText>
      </w:r>
      <w:r>
        <w:fldChar w:fldCharType="separate"/>
      </w:r>
      <w:r w:rsidR="00D07917">
        <w:t>12</w:t>
      </w:r>
      <w:r>
        <w:fldChar w:fldCharType="end"/>
      </w:r>
    </w:p>
    <w:p w14:paraId="08C8F5BA" w14:textId="352B6627" w:rsidR="005F7160" w:rsidRDefault="005F7160">
      <w:pPr>
        <w:pStyle w:val="TOC1"/>
        <w:rPr>
          <w:rFonts w:eastAsiaTheme="minorEastAsia"/>
          <w:b w:val="0"/>
          <w:kern w:val="2"/>
          <w:sz w:val="24"/>
          <w:szCs w:val="24"/>
          <w:lang w:eastAsia="en-AU"/>
          <w14:ligatures w14:val="standardContextual"/>
        </w:rPr>
      </w:pPr>
      <w:r>
        <w:t>5</w:t>
      </w:r>
      <w:r>
        <w:rPr>
          <w:rFonts w:eastAsiaTheme="minorEastAsia"/>
          <w:b w:val="0"/>
          <w:kern w:val="2"/>
          <w:sz w:val="24"/>
          <w:szCs w:val="24"/>
          <w:lang w:eastAsia="en-AU"/>
          <w14:ligatures w14:val="standardContextual"/>
        </w:rPr>
        <w:tab/>
      </w:r>
      <w:r>
        <w:t>Attachment 1</w:t>
      </w:r>
      <w:r>
        <w:tab/>
      </w:r>
      <w:r>
        <w:fldChar w:fldCharType="begin"/>
      </w:r>
      <w:r>
        <w:instrText xml:space="preserve"> PAGEREF _Toc216420326 \h </w:instrText>
      </w:r>
      <w:r>
        <w:fldChar w:fldCharType="separate"/>
      </w:r>
      <w:r w:rsidR="00D07917">
        <w:t>13</w:t>
      </w:r>
      <w:r>
        <w:fldChar w:fldCharType="end"/>
      </w:r>
    </w:p>
    <w:p w14:paraId="208795B2" w14:textId="18351A77" w:rsidR="005F7160" w:rsidRDefault="005F7160">
      <w:pPr>
        <w:pStyle w:val="TOC1"/>
        <w:rPr>
          <w:rFonts w:eastAsiaTheme="minorEastAsia"/>
          <w:b w:val="0"/>
          <w:kern w:val="2"/>
          <w:sz w:val="24"/>
          <w:szCs w:val="24"/>
          <w:lang w:eastAsia="en-AU"/>
          <w14:ligatures w14:val="standardContextual"/>
        </w:rPr>
      </w:pPr>
      <w:r>
        <w:t>Appendix A: Method for pest risk analysis</w:t>
      </w:r>
      <w:r>
        <w:tab/>
      </w:r>
      <w:r>
        <w:fldChar w:fldCharType="begin"/>
      </w:r>
      <w:r>
        <w:instrText xml:space="preserve"> PAGEREF _Toc216420327 \h </w:instrText>
      </w:r>
      <w:r>
        <w:fldChar w:fldCharType="separate"/>
      </w:r>
      <w:r w:rsidR="00D07917">
        <w:t>14</w:t>
      </w:r>
      <w:r>
        <w:fldChar w:fldCharType="end"/>
      </w:r>
    </w:p>
    <w:p w14:paraId="0C869F31" w14:textId="1B0A8FA4" w:rsidR="005F7160" w:rsidRDefault="005F7160">
      <w:pPr>
        <w:pStyle w:val="TOC1"/>
        <w:rPr>
          <w:rFonts w:eastAsiaTheme="minorEastAsia"/>
          <w:b w:val="0"/>
          <w:kern w:val="2"/>
          <w:sz w:val="24"/>
          <w:szCs w:val="24"/>
          <w:lang w:eastAsia="en-AU"/>
          <w14:ligatures w14:val="standardContextual"/>
        </w:rPr>
      </w:pPr>
      <w:r>
        <w:t>Glossary, acronyms and abbreviations</w:t>
      </w:r>
      <w:r>
        <w:tab/>
      </w:r>
      <w:r>
        <w:fldChar w:fldCharType="begin"/>
      </w:r>
      <w:r>
        <w:instrText xml:space="preserve"> PAGEREF _Toc216420328 \h </w:instrText>
      </w:r>
      <w:r>
        <w:fldChar w:fldCharType="separate"/>
      </w:r>
      <w:r w:rsidR="00D07917">
        <w:t>27</w:t>
      </w:r>
      <w:r>
        <w:fldChar w:fldCharType="end"/>
      </w:r>
    </w:p>
    <w:p w14:paraId="2395BFE4" w14:textId="3B2E7829" w:rsidR="005F7160" w:rsidRDefault="005F7160">
      <w:pPr>
        <w:pStyle w:val="TOC1"/>
        <w:rPr>
          <w:rFonts w:eastAsiaTheme="minorEastAsia"/>
          <w:b w:val="0"/>
          <w:kern w:val="2"/>
          <w:sz w:val="24"/>
          <w:szCs w:val="24"/>
          <w:lang w:eastAsia="en-AU"/>
          <w14:ligatures w14:val="standardContextual"/>
        </w:rPr>
      </w:pPr>
      <w:r>
        <w:t>References</w:t>
      </w:r>
      <w:r>
        <w:tab/>
      </w:r>
      <w:r>
        <w:fldChar w:fldCharType="begin"/>
      </w:r>
      <w:r>
        <w:instrText xml:space="preserve"> PAGEREF _Toc216420329 \h </w:instrText>
      </w:r>
      <w:r>
        <w:fldChar w:fldCharType="separate"/>
      </w:r>
      <w:r w:rsidR="00D07917">
        <w:t>32</w:t>
      </w:r>
      <w:r>
        <w:fldChar w:fldCharType="end"/>
      </w:r>
    </w:p>
    <w:p w14:paraId="7156BB7A" w14:textId="42EF644C" w:rsidR="002A326D" w:rsidRDefault="002A326D" w:rsidP="00BE09EE">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rsidRPr="00772548">
        <w:t>Tables</w:t>
      </w:r>
    </w:p>
    <w:p w14:paraId="42CFA53B" w14:textId="3383B004" w:rsidR="005F7160" w:rsidRDefault="002A326D">
      <w:pPr>
        <w:pStyle w:val="TableofFigures"/>
        <w:tabs>
          <w:tab w:val="right" w:leader="dot" w:pos="9060"/>
        </w:tabs>
        <w:rPr>
          <w:rFonts w:eastAsiaTheme="minorEastAsia"/>
          <w:noProof/>
          <w:kern w:val="2"/>
          <w:sz w:val="24"/>
          <w:szCs w:val="24"/>
          <w:lang w:eastAsia="en-AU"/>
          <w14:ligatures w14:val="standardContextual"/>
        </w:rPr>
      </w:pPr>
      <w:r>
        <w:rPr>
          <w:lang w:val="en-US"/>
        </w:rPr>
        <w:fldChar w:fldCharType="begin"/>
      </w:r>
      <w:r>
        <w:rPr>
          <w:lang w:val="en-US"/>
        </w:rPr>
        <w:instrText xml:space="preserve"> TOC \f T \t "Table caption" \c "Table" </w:instrText>
      </w:r>
      <w:r>
        <w:rPr>
          <w:lang w:val="en-US"/>
        </w:rPr>
        <w:fldChar w:fldCharType="separate"/>
      </w:r>
      <w:r w:rsidR="005F7160" w:rsidRPr="00131223">
        <w:rPr>
          <w:rFonts w:cstheme="minorHAnsi"/>
          <w:noProof/>
        </w:rPr>
        <w:t>Table 2.1 Risk estimation matrix.</w:t>
      </w:r>
      <w:r w:rsidR="005F7160">
        <w:rPr>
          <w:noProof/>
        </w:rPr>
        <w:tab/>
      </w:r>
      <w:r w:rsidR="005F7160">
        <w:rPr>
          <w:noProof/>
        </w:rPr>
        <w:fldChar w:fldCharType="begin"/>
      </w:r>
      <w:r w:rsidR="005F7160">
        <w:rPr>
          <w:noProof/>
        </w:rPr>
        <w:instrText xml:space="preserve"> PAGEREF _Toc216420330 \h </w:instrText>
      </w:r>
      <w:r w:rsidR="005F7160">
        <w:rPr>
          <w:noProof/>
        </w:rPr>
      </w:r>
      <w:r w:rsidR="005F7160">
        <w:rPr>
          <w:noProof/>
        </w:rPr>
        <w:fldChar w:fldCharType="separate"/>
      </w:r>
      <w:r w:rsidR="00D07917">
        <w:rPr>
          <w:noProof/>
        </w:rPr>
        <w:t>5</w:t>
      </w:r>
      <w:r w:rsidR="005F7160">
        <w:rPr>
          <w:noProof/>
        </w:rPr>
        <w:fldChar w:fldCharType="end"/>
      </w:r>
    </w:p>
    <w:p w14:paraId="3302A68B" w14:textId="691FE8E4" w:rsidR="005F7160" w:rsidRDefault="005F7160">
      <w:pPr>
        <w:pStyle w:val="TableofFigures"/>
        <w:tabs>
          <w:tab w:val="right" w:leader="dot" w:pos="9060"/>
        </w:tabs>
        <w:rPr>
          <w:rFonts w:eastAsiaTheme="minorEastAsia"/>
          <w:noProof/>
          <w:kern w:val="2"/>
          <w:sz w:val="24"/>
          <w:szCs w:val="24"/>
          <w:lang w:eastAsia="en-AU"/>
          <w14:ligatures w14:val="standardContextual"/>
        </w:rPr>
      </w:pPr>
      <w:r w:rsidRPr="00131223">
        <w:rPr>
          <w:rFonts w:cstheme="minorHAnsi"/>
          <w:noProof/>
        </w:rPr>
        <w:t>Table A.1 Nomenclature of likelihoods</w:t>
      </w:r>
      <w:r>
        <w:rPr>
          <w:noProof/>
        </w:rPr>
        <w:tab/>
      </w:r>
      <w:r>
        <w:rPr>
          <w:noProof/>
        </w:rPr>
        <w:fldChar w:fldCharType="begin"/>
      </w:r>
      <w:r>
        <w:rPr>
          <w:noProof/>
        </w:rPr>
        <w:instrText xml:space="preserve"> PAGEREF _Toc216420331 \h </w:instrText>
      </w:r>
      <w:r>
        <w:rPr>
          <w:noProof/>
        </w:rPr>
      </w:r>
      <w:r>
        <w:rPr>
          <w:noProof/>
        </w:rPr>
        <w:fldChar w:fldCharType="separate"/>
      </w:r>
      <w:r w:rsidR="00D07917">
        <w:rPr>
          <w:noProof/>
        </w:rPr>
        <w:t>18</w:t>
      </w:r>
      <w:r>
        <w:rPr>
          <w:noProof/>
        </w:rPr>
        <w:fldChar w:fldCharType="end"/>
      </w:r>
    </w:p>
    <w:p w14:paraId="07BC01BC" w14:textId="28CB8F67" w:rsidR="005F7160" w:rsidRDefault="005F7160">
      <w:pPr>
        <w:pStyle w:val="TableofFigures"/>
        <w:tabs>
          <w:tab w:val="right" w:leader="dot" w:pos="9060"/>
        </w:tabs>
        <w:rPr>
          <w:rFonts w:eastAsiaTheme="minorEastAsia"/>
          <w:noProof/>
          <w:kern w:val="2"/>
          <w:sz w:val="24"/>
          <w:szCs w:val="24"/>
          <w:lang w:eastAsia="en-AU"/>
          <w14:ligatures w14:val="standardContextual"/>
        </w:rPr>
      </w:pPr>
      <w:r w:rsidRPr="00131223">
        <w:rPr>
          <w:rFonts w:cstheme="minorHAnsi"/>
          <w:noProof/>
        </w:rPr>
        <w:t>Table A.2 Matrix of rules for combining likelihoods</w:t>
      </w:r>
      <w:r>
        <w:rPr>
          <w:noProof/>
        </w:rPr>
        <w:tab/>
      </w:r>
      <w:r>
        <w:rPr>
          <w:noProof/>
        </w:rPr>
        <w:fldChar w:fldCharType="begin"/>
      </w:r>
      <w:r>
        <w:rPr>
          <w:noProof/>
        </w:rPr>
        <w:instrText xml:space="preserve"> PAGEREF _Toc216420332 \h </w:instrText>
      </w:r>
      <w:r>
        <w:rPr>
          <w:noProof/>
        </w:rPr>
      </w:r>
      <w:r>
        <w:rPr>
          <w:noProof/>
        </w:rPr>
        <w:fldChar w:fldCharType="separate"/>
      </w:r>
      <w:r w:rsidR="00D07917">
        <w:rPr>
          <w:noProof/>
        </w:rPr>
        <w:t>19</w:t>
      </w:r>
      <w:r>
        <w:rPr>
          <w:noProof/>
        </w:rPr>
        <w:fldChar w:fldCharType="end"/>
      </w:r>
    </w:p>
    <w:p w14:paraId="529B379A" w14:textId="2720F298" w:rsidR="005F7160" w:rsidRDefault="005F7160">
      <w:pPr>
        <w:pStyle w:val="TableofFigures"/>
        <w:tabs>
          <w:tab w:val="right" w:leader="dot" w:pos="9060"/>
        </w:tabs>
        <w:rPr>
          <w:rFonts w:eastAsiaTheme="minorEastAsia"/>
          <w:noProof/>
          <w:kern w:val="2"/>
          <w:sz w:val="24"/>
          <w:szCs w:val="24"/>
          <w:lang w:eastAsia="en-AU"/>
          <w14:ligatures w14:val="standardContextual"/>
        </w:rPr>
      </w:pPr>
      <w:r w:rsidRPr="00131223">
        <w:rPr>
          <w:rFonts w:cstheme="minorHAnsi"/>
          <w:noProof/>
        </w:rPr>
        <w:t>Table A.3 Decision rules for determining the overall consequence rating for each pest</w:t>
      </w:r>
      <w:r>
        <w:rPr>
          <w:noProof/>
        </w:rPr>
        <w:tab/>
      </w:r>
      <w:r>
        <w:rPr>
          <w:noProof/>
        </w:rPr>
        <w:fldChar w:fldCharType="begin"/>
      </w:r>
      <w:r>
        <w:rPr>
          <w:noProof/>
        </w:rPr>
        <w:instrText xml:space="preserve"> PAGEREF _Toc216420333 \h </w:instrText>
      </w:r>
      <w:r>
        <w:rPr>
          <w:noProof/>
        </w:rPr>
      </w:r>
      <w:r>
        <w:rPr>
          <w:noProof/>
        </w:rPr>
        <w:fldChar w:fldCharType="separate"/>
      </w:r>
      <w:r w:rsidR="00D07917">
        <w:rPr>
          <w:noProof/>
        </w:rPr>
        <w:t>23</w:t>
      </w:r>
      <w:r>
        <w:rPr>
          <w:noProof/>
        </w:rPr>
        <w:fldChar w:fldCharType="end"/>
      </w:r>
    </w:p>
    <w:p w14:paraId="27B0F287" w14:textId="5507EE53" w:rsidR="005F7160" w:rsidRDefault="005F7160">
      <w:pPr>
        <w:pStyle w:val="TableofFigures"/>
        <w:tabs>
          <w:tab w:val="right" w:leader="dot" w:pos="9060"/>
        </w:tabs>
        <w:rPr>
          <w:rFonts w:eastAsiaTheme="minorEastAsia"/>
          <w:noProof/>
          <w:kern w:val="2"/>
          <w:sz w:val="24"/>
          <w:szCs w:val="24"/>
          <w:lang w:eastAsia="en-AU"/>
          <w14:ligatures w14:val="standardContextual"/>
        </w:rPr>
      </w:pPr>
      <w:r w:rsidRPr="00131223">
        <w:rPr>
          <w:rFonts w:cstheme="minorHAnsi"/>
          <w:noProof/>
        </w:rPr>
        <w:t>Table A.4 Risk estimation matrix</w:t>
      </w:r>
      <w:r>
        <w:rPr>
          <w:noProof/>
        </w:rPr>
        <w:tab/>
      </w:r>
      <w:r>
        <w:rPr>
          <w:noProof/>
        </w:rPr>
        <w:fldChar w:fldCharType="begin"/>
      </w:r>
      <w:r>
        <w:rPr>
          <w:noProof/>
        </w:rPr>
        <w:instrText xml:space="preserve"> PAGEREF _Toc216420334 \h </w:instrText>
      </w:r>
      <w:r>
        <w:rPr>
          <w:noProof/>
        </w:rPr>
      </w:r>
      <w:r>
        <w:rPr>
          <w:noProof/>
        </w:rPr>
        <w:fldChar w:fldCharType="separate"/>
      </w:r>
      <w:r w:rsidR="00D07917">
        <w:rPr>
          <w:noProof/>
        </w:rPr>
        <w:t>23</w:t>
      </w:r>
      <w:r>
        <w:rPr>
          <w:noProof/>
        </w:rPr>
        <w:fldChar w:fldCharType="end"/>
      </w:r>
    </w:p>
    <w:p w14:paraId="21A9C035" w14:textId="4A54E7E1" w:rsidR="002A326D" w:rsidRPr="00791C8E" w:rsidRDefault="002A326D" w:rsidP="00791C8E">
      <w:pPr>
        <w:pStyle w:val="TOCHeading"/>
      </w:pPr>
      <w:r>
        <w:rPr>
          <w:rFonts w:asciiTheme="minorHAnsi" w:hAnsiTheme="minorHAnsi"/>
        </w:rPr>
        <w:fldChar w:fldCharType="end"/>
      </w:r>
      <w:r w:rsidRPr="00772548">
        <w:t>Maps</w:t>
      </w:r>
    </w:p>
    <w:p w14:paraId="7D370D78" w14:textId="67F0F95C" w:rsidR="005F7160" w:rsidRDefault="002A326D">
      <w:pPr>
        <w:pStyle w:val="TableofFigures"/>
        <w:tabs>
          <w:tab w:val="right" w:leader="dot" w:pos="9060"/>
        </w:tabs>
        <w:rPr>
          <w:rFonts w:eastAsiaTheme="minorEastAsia"/>
          <w:noProof/>
          <w:kern w:val="2"/>
          <w:sz w:val="24"/>
          <w:szCs w:val="24"/>
          <w:lang w:eastAsia="en-AU"/>
          <w14:ligatures w14:val="standardContextual"/>
        </w:rPr>
      </w:pPr>
      <w:r w:rsidRPr="005409E7">
        <w:rPr>
          <w:rFonts w:ascii="Calibri" w:hAnsi="Calibri" w:cs="Calibri"/>
        </w:rPr>
        <w:fldChar w:fldCharType="begin"/>
      </w:r>
      <w:r w:rsidRPr="005409E7">
        <w:rPr>
          <w:rFonts w:ascii="Calibri" w:hAnsi="Calibri" w:cs="Calibri"/>
        </w:rPr>
        <w:instrText xml:space="preserve"> TOC \f M \h \z \t "Map heading" \c "Map" </w:instrText>
      </w:r>
      <w:r w:rsidRPr="005409E7">
        <w:rPr>
          <w:rFonts w:ascii="Calibri" w:hAnsi="Calibri" w:cs="Calibri"/>
        </w:rPr>
        <w:fldChar w:fldCharType="separate"/>
      </w:r>
      <w:hyperlink w:anchor="_Toc216420335" w:history="1">
        <w:r w:rsidR="005F7160" w:rsidRPr="00806B1B">
          <w:rPr>
            <w:rStyle w:val="Hyperlink"/>
            <w:rFonts w:cstheme="minorHAnsi"/>
            <w:noProof/>
          </w:rPr>
          <w:t>Map 1 Map of Australia</w:t>
        </w:r>
        <w:r w:rsidR="005F7160">
          <w:rPr>
            <w:noProof/>
            <w:webHidden/>
          </w:rPr>
          <w:tab/>
        </w:r>
        <w:r w:rsidR="005F7160">
          <w:rPr>
            <w:noProof/>
            <w:webHidden/>
          </w:rPr>
          <w:fldChar w:fldCharType="begin"/>
        </w:r>
        <w:r w:rsidR="005F7160">
          <w:rPr>
            <w:noProof/>
            <w:webHidden/>
          </w:rPr>
          <w:instrText xml:space="preserve"> PAGEREF _Toc216420335 \h </w:instrText>
        </w:r>
        <w:r w:rsidR="005F7160">
          <w:rPr>
            <w:noProof/>
            <w:webHidden/>
          </w:rPr>
        </w:r>
        <w:r w:rsidR="005F7160">
          <w:rPr>
            <w:noProof/>
            <w:webHidden/>
          </w:rPr>
          <w:fldChar w:fldCharType="separate"/>
        </w:r>
        <w:r w:rsidR="00D07917">
          <w:rPr>
            <w:noProof/>
            <w:webHidden/>
          </w:rPr>
          <w:t>iv</w:t>
        </w:r>
        <w:r w:rsidR="005F7160">
          <w:rPr>
            <w:noProof/>
            <w:webHidden/>
          </w:rPr>
          <w:fldChar w:fldCharType="end"/>
        </w:r>
      </w:hyperlink>
    </w:p>
    <w:p w14:paraId="440CA643" w14:textId="3784FFE5" w:rsidR="005F7160" w:rsidRDefault="005F7160">
      <w:pPr>
        <w:pStyle w:val="TableofFigures"/>
        <w:tabs>
          <w:tab w:val="right" w:leader="dot" w:pos="9060"/>
        </w:tabs>
        <w:rPr>
          <w:rFonts w:eastAsiaTheme="minorEastAsia"/>
          <w:noProof/>
          <w:kern w:val="2"/>
          <w:sz w:val="24"/>
          <w:szCs w:val="24"/>
          <w:lang w:eastAsia="en-AU"/>
          <w14:ligatures w14:val="standardContextual"/>
        </w:rPr>
      </w:pPr>
      <w:hyperlink w:anchor="_Toc216420336" w:history="1">
        <w:r w:rsidRPr="00806B1B">
          <w:rPr>
            <w:rStyle w:val="Hyperlink"/>
            <w:rFonts w:cstheme="minorHAnsi"/>
            <w:noProof/>
          </w:rPr>
          <w:t>Map 2 A guide to Australia’s bio-climatic zones</w:t>
        </w:r>
        <w:r>
          <w:rPr>
            <w:noProof/>
            <w:webHidden/>
          </w:rPr>
          <w:tab/>
        </w:r>
        <w:r>
          <w:rPr>
            <w:noProof/>
            <w:webHidden/>
          </w:rPr>
          <w:fldChar w:fldCharType="begin"/>
        </w:r>
        <w:r>
          <w:rPr>
            <w:noProof/>
            <w:webHidden/>
          </w:rPr>
          <w:instrText xml:space="preserve"> PAGEREF _Toc216420336 \h </w:instrText>
        </w:r>
        <w:r>
          <w:rPr>
            <w:noProof/>
            <w:webHidden/>
          </w:rPr>
        </w:r>
        <w:r>
          <w:rPr>
            <w:noProof/>
            <w:webHidden/>
          </w:rPr>
          <w:fldChar w:fldCharType="separate"/>
        </w:r>
        <w:r w:rsidR="00D07917">
          <w:rPr>
            <w:noProof/>
            <w:webHidden/>
          </w:rPr>
          <w:t>iv</w:t>
        </w:r>
        <w:r>
          <w:rPr>
            <w:noProof/>
            <w:webHidden/>
          </w:rPr>
          <w:fldChar w:fldCharType="end"/>
        </w:r>
      </w:hyperlink>
    </w:p>
    <w:p w14:paraId="2B9F67B2" w14:textId="345320F2" w:rsidR="002A326D" w:rsidRDefault="002A326D" w:rsidP="002A326D">
      <w:pPr>
        <w:sectPr w:rsidR="002A326D" w:rsidSect="00E53C3B">
          <w:headerReference w:type="even" r:id="rId28"/>
          <w:headerReference w:type="default" r:id="rId29"/>
          <w:footerReference w:type="even" r:id="rId30"/>
          <w:footerReference w:type="default" r:id="rId31"/>
          <w:headerReference w:type="first" r:id="rId32"/>
          <w:footerReference w:type="first" r:id="rId33"/>
          <w:pgSz w:w="11906" w:h="16838"/>
          <w:pgMar w:top="1418" w:right="1418" w:bottom="1418" w:left="1418" w:header="567" w:footer="454" w:gutter="0"/>
          <w:pgNumType w:fmt="lowerRoman"/>
          <w:cols w:space="708"/>
          <w:docGrid w:linePitch="360"/>
        </w:sectPr>
      </w:pPr>
      <w:r w:rsidRPr="005409E7">
        <w:rPr>
          <w:rFonts w:ascii="Calibri" w:hAnsi="Calibri" w:cs="Calibri"/>
        </w:rPr>
        <w:fldChar w:fldCharType="end"/>
      </w:r>
    </w:p>
    <w:p w14:paraId="0EFC9861" w14:textId="691515B9" w:rsidR="00736319" w:rsidRPr="000A581C" w:rsidRDefault="00D0393D">
      <w:pPr>
        <w:pStyle w:val="Caption"/>
        <w:rPr>
          <w:rFonts w:asciiTheme="minorHAnsi" w:hAnsiTheme="minorHAnsi" w:cstheme="minorHAnsi"/>
        </w:rPr>
      </w:pPr>
      <w:bookmarkStart w:id="4" w:name="_Toc216420335"/>
      <w:r w:rsidRPr="000A581C">
        <w:rPr>
          <w:rFonts w:asciiTheme="minorHAnsi" w:hAnsiTheme="minorHAnsi" w:cstheme="minorHAnsi"/>
        </w:rPr>
        <w:lastRenderedPageBreak/>
        <w:t xml:space="preserve">Map </w:t>
      </w:r>
      <w:r w:rsidR="00C21661" w:rsidRPr="000A581C">
        <w:rPr>
          <w:rFonts w:asciiTheme="minorHAnsi" w:hAnsiTheme="minorHAnsi" w:cstheme="minorHAnsi"/>
          <w:noProof/>
        </w:rPr>
        <w:fldChar w:fldCharType="begin"/>
      </w:r>
      <w:r w:rsidR="00C21661" w:rsidRPr="000A581C">
        <w:rPr>
          <w:rFonts w:asciiTheme="minorHAnsi" w:hAnsiTheme="minorHAnsi" w:cstheme="minorHAnsi"/>
          <w:noProof/>
        </w:rPr>
        <w:instrText xml:space="preserve"> SEQ Map \* ARABIC </w:instrText>
      </w:r>
      <w:r w:rsidR="00C21661" w:rsidRPr="000A581C">
        <w:rPr>
          <w:rFonts w:asciiTheme="minorHAnsi" w:hAnsiTheme="minorHAnsi" w:cstheme="minorHAnsi"/>
          <w:noProof/>
        </w:rPr>
        <w:fldChar w:fldCharType="separate"/>
      </w:r>
      <w:r w:rsidR="00D07917">
        <w:rPr>
          <w:rFonts w:asciiTheme="minorHAnsi" w:hAnsiTheme="minorHAnsi" w:cstheme="minorHAnsi"/>
          <w:noProof/>
        </w:rPr>
        <w:t>1</w:t>
      </w:r>
      <w:r w:rsidR="00C21661" w:rsidRPr="000A581C">
        <w:rPr>
          <w:rFonts w:asciiTheme="minorHAnsi" w:hAnsiTheme="minorHAnsi" w:cstheme="minorHAnsi"/>
          <w:noProof/>
        </w:rPr>
        <w:fldChar w:fldCharType="end"/>
      </w:r>
      <w:r w:rsidRPr="000A581C">
        <w:rPr>
          <w:rFonts w:asciiTheme="minorHAnsi" w:hAnsiTheme="minorHAnsi" w:cstheme="minorHAnsi"/>
        </w:rPr>
        <w:t xml:space="preserve"> Map of Australia</w:t>
      </w:r>
      <w:bookmarkEnd w:id="0"/>
      <w:bookmarkEnd w:id="1"/>
      <w:bookmarkEnd w:id="2"/>
      <w:bookmarkEnd w:id="3"/>
      <w:bookmarkEnd w:id="4"/>
    </w:p>
    <w:p w14:paraId="0B6E84FA" w14:textId="0C76F855" w:rsidR="00736319" w:rsidRDefault="003615BA">
      <w:r w:rsidRPr="00182039">
        <w:rPr>
          <w:noProof/>
          <w:lang w:eastAsia="en-AU"/>
        </w:rPr>
        <w:drawing>
          <wp:inline distT="0" distB="0" distL="0" distR="0" wp14:anchorId="3A419B1A" wp14:editId="5AA52485">
            <wp:extent cx="4086860" cy="3530600"/>
            <wp:effectExtent l="0" t="0" r="8890" b="0"/>
            <wp:docPr id="4" name="Picture 4" descr="Map of Australia highlighting where the states and territories and capital citi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6860" cy="3530600"/>
                    </a:xfrm>
                    <a:prstGeom prst="rect">
                      <a:avLst/>
                    </a:prstGeom>
                    <a:noFill/>
                    <a:ln>
                      <a:noFill/>
                    </a:ln>
                  </pic:spPr>
                </pic:pic>
              </a:graphicData>
            </a:graphic>
          </wp:inline>
        </w:drawing>
      </w:r>
    </w:p>
    <w:p w14:paraId="29F02617" w14:textId="66B7FBF2" w:rsidR="00736319" w:rsidRPr="000A581C" w:rsidRDefault="00D0393D">
      <w:pPr>
        <w:pStyle w:val="Caption"/>
        <w:rPr>
          <w:rFonts w:asciiTheme="minorHAnsi" w:hAnsiTheme="minorHAnsi" w:cstheme="minorHAnsi"/>
        </w:rPr>
      </w:pPr>
      <w:bookmarkStart w:id="5" w:name="_Toc384979273"/>
      <w:bookmarkStart w:id="6" w:name="_Toc384979288"/>
      <w:bookmarkStart w:id="7" w:name="_Toc112674192"/>
      <w:bookmarkStart w:id="8" w:name="_Toc126073678"/>
      <w:bookmarkStart w:id="9" w:name="_Toc216420336"/>
      <w:r w:rsidRPr="000A581C">
        <w:rPr>
          <w:rFonts w:asciiTheme="minorHAnsi" w:hAnsiTheme="minorHAnsi" w:cstheme="minorHAnsi"/>
        </w:rPr>
        <w:t xml:space="preserve">Map </w:t>
      </w:r>
      <w:r w:rsidR="00C21661" w:rsidRPr="000A581C">
        <w:rPr>
          <w:rFonts w:asciiTheme="minorHAnsi" w:hAnsiTheme="minorHAnsi" w:cstheme="minorHAnsi"/>
          <w:noProof/>
        </w:rPr>
        <w:fldChar w:fldCharType="begin"/>
      </w:r>
      <w:r w:rsidR="00C21661" w:rsidRPr="000A581C">
        <w:rPr>
          <w:rFonts w:asciiTheme="minorHAnsi" w:hAnsiTheme="minorHAnsi" w:cstheme="minorHAnsi"/>
          <w:noProof/>
        </w:rPr>
        <w:instrText xml:space="preserve"> SEQ Map \* ARABIC </w:instrText>
      </w:r>
      <w:r w:rsidR="00C21661" w:rsidRPr="000A581C">
        <w:rPr>
          <w:rFonts w:asciiTheme="minorHAnsi" w:hAnsiTheme="minorHAnsi" w:cstheme="minorHAnsi"/>
          <w:noProof/>
        </w:rPr>
        <w:fldChar w:fldCharType="separate"/>
      </w:r>
      <w:r w:rsidR="00D07917">
        <w:rPr>
          <w:rFonts w:asciiTheme="minorHAnsi" w:hAnsiTheme="minorHAnsi" w:cstheme="minorHAnsi"/>
          <w:noProof/>
        </w:rPr>
        <w:t>2</w:t>
      </w:r>
      <w:r w:rsidR="00C21661" w:rsidRPr="000A581C">
        <w:rPr>
          <w:rFonts w:asciiTheme="minorHAnsi" w:hAnsiTheme="minorHAnsi" w:cstheme="minorHAnsi"/>
          <w:noProof/>
        </w:rPr>
        <w:fldChar w:fldCharType="end"/>
      </w:r>
      <w:r w:rsidRPr="000A581C">
        <w:rPr>
          <w:rFonts w:asciiTheme="minorHAnsi" w:hAnsiTheme="minorHAnsi" w:cstheme="minorHAnsi"/>
        </w:rPr>
        <w:t xml:space="preserve"> A guide to Australia’s bio-climatic zones</w:t>
      </w:r>
      <w:bookmarkEnd w:id="5"/>
      <w:bookmarkEnd w:id="6"/>
      <w:bookmarkEnd w:id="7"/>
      <w:bookmarkEnd w:id="8"/>
      <w:bookmarkEnd w:id="9"/>
    </w:p>
    <w:p w14:paraId="7CF20DD4" w14:textId="21BBEC2C" w:rsidR="00736319" w:rsidRDefault="00736319">
      <w:pPr>
        <w:pStyle w:val="Caption"/>
      </w:pPr>
    </w:p>
    <w:p w14:paraId="69779948" w14:textId="0ACCD1CA" w:rsidR="00736319" w:rsidRDefault="001B198B">
      <w:pPr>
        <w:sectPr w:rsidR="00736319">
          <w:headerReference w:type="even" r:id="rId35"/>
          <w:headerReference w:type="default" r:id="rId36"/>
          <w:footerReference w:type="even" r:id="rId37"/>
          <w:footerReference w:type="default" r:id="rId38"/>
          <w:headerReference w:type="first" r:id="rId39"/>
          <w:footerReference w:type="first" r:id="rId40"/>
          <w:pgSz w:w="11906" w:h="16838"/>
          <w:pgMar w:top="1418" w:right="1418" w:bottom="1418" w:left="1418" w:header="567" w:footer="283" w:gutter="0"/>
          <w:pgNumType w:fmt="lowerRoman"/>
          <w:cols w:space="708"/>
          <w:docGrid w:linePitch="360"/>
        </w:sectPr>
      </w:pPr>
      <w:r>
        <w:rPr>
          <w:noProof/>
        </w:rPr>
        <w:drawing>
          <wp:inline distT="0" distB="0" distL="0" distR="0" wp14:anchorId="68D91D56" wp14:editId="539B605E">
            <wp:extent cx="5041900" cy="34747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1900" cy="3474720"/>
                    </a:xfrm>
                    <a:prstGeom prst="rect">
                      <a:avLst/>
                    </a:prstGeom>
                    <a:noFill/>
                  </pic:spPr>
                </pic:pic>
              </a:graphicData>
            </a:graphic>
          </wp:inline>
        </w:drawing>
      </w:r>
    </w:p>
    <w:p w14:paraId="2C404223" w14:textId="1A50E004" w:rsidR="00736319" w:rsidRPr="00F85722" w:rsidRDefault="00D0393D" w:rsidP="0023606E">
      <w:pPr>
        <w:pStyle w:val="Heading2"/>
        <w:numPr>
          <w:ilvl w:val="0"/>
          <w:numId w:val="0"/>
        </w:numPr>
        <w:ind w:left="794" w:hanging="794"/>
      </w:pPr>
      <w:bookmarkStart w:id="11" w:name="_Toc114642138"/>
      <w:bookmarkStart w:id="12" w:name="_Toc216420313"/>
      <w:r w:rsidRPr="00F85722">
        <w:lastRenderedPageBreak/>
        <w:t>Summary</w:t>
      </w:r>
      <w:bookmarkEnd w:id="11"/>
      <w:bookmarkEnd w:id="12"/>
    </w:p>
    <w:p w14:paraId="0D2506C1" w14:textId="07CFF09A" w:rsidR="00736319" w:rsidRPr="000A581C" w:rsidRDefault="00D0393D">
      <w:pPr>
        <w:rPr>
          <w:rFonts w:asciiTheme="minorHAnsi" w:hAnsiTheme="minorHAnsi" w:cstheme="minorHAnsi"/>
        </w:rPr>
      </w:pPr>
      <w:r w:rsidRPr="000A581C">
        <w:rPr>
          <w:rFonts w:asciiTheme="minorHAnsi" w:hAnsiTheme="minorHAnsi" w:cstheme="minorHAnsi"/>
        </w:rPr>
        <w:t xml:space="preserve">The Australian Government Department of </w:t>
      </w:r>
      <w:r w:rsidR="00083279" w:rsidRPr="000A581C">
        <w:rPr>
          <w:rFonts w:asciiTheme="minorHAnsi" w:hAnsiTheme="minorHAnsi" w:cstheme="minorHAnsi"/>
        </w:rPr>
        <w:t xml:space="preserve">Agriculture, </w:t>
      </w:r>
      <w:r w:rsidR="00C350C1" w:rsidRPr="000A581C">
        <w:rPr>
          <w:rFonts w:asciiTheme="minorHAnsi" w:hAnsiTheme="minorHAnsi" w:cstheme="minorHAnsi"/>
        </w:rPr>
        <w:t>Fisheries and Forestry</w:t>
      </w:r>
      <w:r w:rsidR="00044566" w:rsidRPr="000A581C">
        <w:rPr>
          <w:rFonts w:asciiTheme="minorHAnsi" w:hAnsiTheme="minorHAnsi" w:cstheme="minorHAnsi"/>
        </w:rPr>
        <w:t xml:space="preserve"> (the department)</w:t>
      </w:r>
      <w:r w:rsidR="00083279" w:rsidRPr="000A581C">
        <w:rPr>
          <w:rFonts w:asciiTheme="minorHAnsi" w:hAnsiTheme="minorHAnsi" w:cstheme="minorHAnsi"/>
        </w:rPr>
        <w:t xml:space="preserve"> </w:t>
      </w:r>
      <w:r w:rsidRPr="000A581C">
        <w:rPr>
          <w:rFonts w:asciiTheme="minorHAnsi" w:hAnsiTheme="minorHAnsi" w:cstheme="minorHAnsi"/>
        </w:rPr>
        <w:t xml:space="preserve">has prepared this draft report to assess the proposal by </w:t>
      </w:r>
      <w:r w:rsidR="00C25EFA" w:rsidRPr="000A581C">
        <w:rPr>
          <w:rFonts w:asciiTheme="minorHAnsi" w:hAnsiTheme="minorHAnsi" w:cstheme="minorHAnsi"/>
        </w:rPr>
        <w:t xml:space="preserve">the </w:t>
      </w:r>
      <w:bookmarkStart w:id="13" w:name="_Hlk157608521"/>
      <w:r w:rsidR="00C25EFA" w:rsidRPr="000A581C">
        <w:rPr>
          <w:rFonts w:asciiTheme="minorHAnsi" w:hAnsiTheme="minorHAnsi" w:cstheme="minorHAnsi"/>
        </w:rPr>
        <w:t xml:space="preserve">Queensland Department of </w:t>
      </w:r>
      <w:r w:rsidR="007F0C41">
        <w:rPr>
          <w:rFonts w:asciiTheme="minorHAnsi" w:hAnsiTheme="minorHAnsi" w:cstheme="minorHAnsi"/>
        </w:rPr>
        <w:t>Primary Industries</w:t>
      </w:r>
      <w:r w:rsidR="00C25EFA" w:rsidRPr="000A581C">
        <w:rPr>
          <w:rFonts w:asciiTheme="minorHAnsi" w:hAnsiTheme="minorHAnsi" w:cstheme="minorHAnsi"/>
        </w:rPr>
        <w:t xml:space="preserve"> (QD</w:t>
      </w:r>
      <w:r w:rsidR="007F0C41">
        <w:rPr>
          <w:rFonts w:asciiTheme="minorHAnsi" w:hAnsiTheme="minorHAnsi" w:cstheme="minorHAnsi"/>
        </w:rPr>
        <w:t>PI</w:t>
      </w:r>
      <w:r w:rsidR="00C25EFA" w:rsidRPr="000A581C">
        <w:rPr>
          <w:rFonts w:asciiTheme="minorHAnsi" w:hAnsiTheme="minorHAnsi" w:cstheme="minorHAnsi"/>
        </w:rPr>
        <w:t>)</w:t>
      </w:r>
      <w:bookmarkEnd w:id="13"/>
      <w:r w:rsidRPr="000A581C">
        <w:rPr>
          <w:rFonts w:asciiTheme="minorHAnsi" w:hAnsiTheme="minorHAnsi" w:cstheme="minorHAnsi"/>
        </w:rPr>
        <w:t xml:space="preserve"> </w:t>
      </w:r>
      <w:r w:rsidR="002C1D03" w:rsidRPr="000A581C">
        <w:rPr>
          <w:rFonts w:asciiTheme="minorHAnsi" w:hAnsiTheme="minorHAnsi" w:cstheme="minorHAnsi"/>
        </w:rPr>
        <w:t>to release</w:t>
      </w:r>
      <w:r w:rsidRPr="000A581C">
        <w:rPr>
          <w:rFonts w:asciiTheme="minorHAnsi" w:hAnsiTheme="minorHAnsi" w:cstheme="minorHAnsi"/>
        </w:rPr>
        <w:t xml:space="preserve"> </w:t>
      </w:r>
      <w:r w:rsidR="00C25EFA" w:rsidRPr="000A581C">
        <w:rPr>
          <w:rFonts w:asciiTheme="minorHAnsi" w:hAnsiTheme="minorHAnsi" w:cstheme="minorHAnsi"/>
          <w:i/>
          <w:iCs/>
        </w:rPr>
        <w:t>Puccinia lantanae</w:t>
      </w:r>
      <w:r w:rsidR="002C1D03" w:rsidRPr="000A581C">
        <w:rPr>
          <w:rFonts w:asciiTheme="minorHAnsi" w:hAnsiTheme="minorHAnsi" w:cstheme="minorHAnsi"/>
        </w:rPr>
        <w:t xml:space="preserve"> for the biological control of </w:t>
      </w:r>
      <w:r w:rsidR="00C25EFA" w:rsidRPr="000A581C">
        <w:rPr>
          <w:rFonts w:asciiTheme="minorHAnsi" w:hAnsiTheme="minorHAnsi" w:cstheme="minorHAnsi"/>
          <w:i/>
          <w:iCs/>
        </w:rPr>
        <w:t>Lantana camara</w:t>
      </w:r>
      <w:r w:rsidR="00C25EFA" w:rsidRPr="000A581C">
        <w:rPr>
          <w:rFonts w:asciiTheme="minorHAnsi" w:hAnsiTheme="minorHAnsi" w:cstheme="minorHAnsi"/>
        </w:rPr>
        <w:t xml:space="preserve"> </w:t>
      </w:r>
      <w:r w:rsidR="00F518AA" w:rsidRPr="000A581C">
        <w:rPr>
          <w:rFonts w:asciiTheme="minorHAnsi" w:hAnsiTheme="minorHAnsi" w:cstheme="minorHAnsi"/>
        </w:rPr>
        <w:t>in Australia</w:t>
      </w:r>
      <w:r w:rsidRPr="000A581C">
        <w:rPr>
          <w:rFonts w:asciiTheme="minorHAnsi" w:hAnsiTheme="minorHAnsi" w:cstheme="minorHAnsi"/>
        </w:rPr>
        <w:t>.</w:t>
      </w:r>
    </w:p>
    <w:p w14:paraId="6080C951" w14:textId="2DA1FD6A" w:rsidR="00736319" w:rsidRPr="000A581C" w:rsidRDefault="00D0393D">
      <w:pPr>
        <w:rPr>
          <w:rFonts w:asciiTheme="minorHAnsi" w:hAnsiTheme="minorHAnsi" w:cstheme="minorHAnsi"/>
        </w:rPr>
      </w:pPr>
      <w:r w:rsidRPr="000A581C">
        <w:rPr>
          <w:rFonts w:asciiTheme="minorHAnsi" w:hAnsiTheme="minorHAnsi" w:cstheme="minorHAnsi"/>
        </w:rPr>
        <w:t>This draft report proposes</w:t>
      </w:r>
      <w:r w:rsidR="00C25EFA" w:rsidRPr="000A581C">
        <w:rPr>
          <w:rFonts w:asciiTheme="minorHAnsi" w:hAnsiTheme="minorHAnsi" w:cstheme="minorHAnsi"/>
        </w:rPr>
        <w:t xml:space="preserve"> </w:t>
      </w:r>
      <w:r w:rsidRPr="000A581C">
        <w:rPr>
          <w:rFonts w:asciiTheme="minorHAnsi" w:hAnsiTheme="minorHAnsi" w:cstheme="minorHAnsi"/>
        </w:rPr>
        <w:t xml:space="preserve">that the </w:t>
      </w:r>
      <w:r w:rsidR="008351ED" w:rsidRPr="000A581C">
        <w:rPr>
          <w:rFonts w:asciiTheme="minorHAnsi" w:hAnsiTheme="minorHAnsi" w:cstheme="minorHAnsi"/>
        </w:rPr>
        <w:t>release</w:t>
      </w:r>
      <w:r w:rsidRPr="000A581C">
        <w:rPr>
          <w:rFonts w:asciiTheme="minorHAnsi" w:hAnsiTheme="minorHAnsi" w:cstheme="minorHAnsi"/>
        </w:rPr>
        <w:t xml:space="preserve"> of </w:t>
      </w:r>
      <w:r w:rsidR="00C25EFA" w:rsidRPr="000A581C">
        <w:rPr>
          <w:rFonts w:asciiTheme="minorHAnsi" w:hAnsiTheme="minorHAnsi" w:cstheme="minorHAnsi"/>
          <w:i/>
          <w:iCs/>
        </w:rPr>
        <w:t>P. lantanae</w:t>
      </w:r>
      <w:r w:rsidR="008351ED" w:rsidRPr="000A581C">
        <w:rPr>
          <w:rFonts w:asciiTheme="minorHAnsi" w:hAnsiTheme="minorHAnsi" w:cstheme="minorHAnsi"/>
        </w:rPr>
        <w:t xml:space="preserve"> </w:t>
      </w:r>
      <w:r w:rsidR="00D22F71" w:rsidRPr="000A581C">
        <w:rPr>
          <w:rFonts w:asciiTheme="minorHAnsi" w:hAnsiTheme="minorHAnsi" w:cstheme="minorHAnsi"/>
        </w:rPr>
        <w:t>should be permitted</w:t>
      </w:r>
      <w:r w:rsidR="00F518AA" w:rsidRPr="000A581C">
        <w:rPr>
          <w:rFonts w:asciiTheme="minorHAnsi" w:hAnsiTheme="minorHAnsi" w:cstheme="minorHAnsi"/>
        </w:rPr>
        <w:t xml:space="preserve">, subject to standard </w:t>
      </w:r>
      <w:r w:rsidR="00C350C1" w:rsidRPr="000A581C">
        <w:rPr>
          <w:rFonts w:asciiTheme="minorHAnsi" w:hAnsiTheme="minorHAnsi" w:cstheme="minorHAnsi"/>
        </w:rPr>
        <w:t>biosecurity requirements</w:t>
      </w:r>
      <w:r w:rsidR="00F518AA" w:rsidRPr="000A581C">
        <w:rPr>
          <w:rFonts w:asciiTheme="minorHAnsi" w:hAnsiTheme="minorHAnsi" w:cstheme="minorHAnsi"/>
        </w:rPr>
        <w:t xml:space="preserve"> associated with the import and release of exotic biological control agents</w:t>
      </w:r>
      <w:r w:rsidRPr="000A581C">
        <w:rPr>
          <w:rFonts w:asciiTheme="minorHAnsi" w:hAnsiTheme="minorHAnsi" w:cstheme="minorHAnsi"/>
        </w:rPr>
        <w:t>.</w:t>
      </w:r>
    </w:p>
    <w:p w14:paraId="47B812E6" w14:textId="4379BD62" w:rsidR="00F518AA" w:rsidRPr="000A581C" w:rsidRDefault="00F518AA">
      <w:pPr>
        <w:rPr>
          <w:rFonts w:asciiTheme="minorHAnsi" w:hAnsiTheme="minorHAnsi" w:cstheme="minorHAnsi"/>
        </w:rPr>
      </w:pPr>
      <w:r w:rsidRPr="000A581C">
        <w:rPr>
          <w:rFonts w:asciiTheme="minorHAnsi" w:hAnsiTheme="minorHAnsi" w:cstheme="minorHAnsi"/>
        </w:rPr>
        <w:t xml:space="preserve">This draft report has determined the overall </w:t>
      </w:r>
      <w:r w:rsidR="00083279" w:rsidRPr="000A581C">
        <w:rPr>
          <w:rFonts w:asciiTheme="minorHAnsi" w:hAnsiTheme="minorHAnsi" w:cstheme="minorHAnsi"/>
        </w:rPr>
        <w:t>risk</w:t>
      </w:r>
      <w:r w:rsidRPr="000A581C">
        <w:rPr>
          <w:rFonts w:asciiTheme="minorHAnsi" w:hAnsiTheme="minorHAnsi" w:cstheme="minorHAnsi"/>
        </w:rPr>
        <w:t xml:space="preserve"> associated with the release of </w:t>
      </w:r>
      <w:r w:rsidR="00C25EFA" w:rsidRPr="000A581C">
        <w:rPr>
          <w:rFonts w:asciiTheme="minorHAnsi" w:hAnsiTheme="minorHAnsi" w:cstheme="minorHAnsi"/>
          <w:i/>
          <w:iCs/>
        </w:rPr>
        <w:t>P. lantanae</w:t>
      </w:r>
      <w:r w:rsidRPr="000A581C">
        <w:rPr>
          <w:rFonts w:asciiTheme="minorHAnsi" w:hAnsiTheme="minorHAnsi" w:cstheme="minorHAnsi"/>
        </w:rPr>
        <w:t xml:space="preserve"> to be </w:t>
      </w:r>
      <w:r w:rsidR="008A008A" w:rsidRPr="000A581C">
        <w:rPr>
          <w:rFonts w:asciiTheme="minorHAnsi" w:hAnsiTheme="minorHAnsi" w:cstheme="minorHAnsi"/>
        </w:rPr>
        <w:t>Negligible</w:t>
      </w:r>
      <w:r w:rsidRPr="000A581C">
        <w:rPr>
          <w:rFonts w:asciiTheme="minorHAnsi" w:hAnsiTheme="minorHAnsi" w:cstheme="minorHAnsi"/>
        </w:rPr>
        <w:t xml:space="preserve">. A risk estimate of </w:t>
      </w:r>
      <w:r w:rsidR="008A008A" w:rsidRPr="000A581C">
        <w:rPr>
          <w:rFonts w:asciiTheme="minorHAnsi" w:hAnsiTheme="minorHAnsi" w:cstheme="minorHAnsi"/>
        </w:rPr>
        <w:t>Negligible</w:t>
      </w:r>
      <w:r w:rsidRPr="000A581C">
        <w:rPr>
          <w:rFonts w:asciiTheme="minorHAnsi" w:hAnsiTheme="minorHAnsi" w:cstheme="minorHAnsi"/>
        </w:rPr>
        <w:t xml:space="preserve"> achieves Australia’s appropriate level of protection (ALOP).</w:t>
      </w:r>
    </w:p>
    <w:p w14:paraId="7BB9DFA9" w14:textId="69647C94" w:rsidR="00DC44DC" w:rsidRPr="000A581C" w:rsidRDefault="00DC44DC">
      <w:pPr>
        <w:rPr>
          <w:rFonts w:asciiTheme="minorHAnsi" w:hAnsiTheme="minorHAnsi" w:cstheme="minorHAnsi"/>
        </w:rPr>
      </w:pPr>
      <w:r w:rsidRPr="000A581C">
        <w:rPr>
          <w:rFonts w:asciiTheme="minorHAnsi" w:hAnsiTheme="minorHAnsi" w:cstheme="minorHAnsi"/>
        </w:rPr>
        <w:t xml:space="preserve">The assessment of risk to </w:t>
      </w:r>
      <w:r w:rsidR="00042E10">
        <w:rPr>
          <w:rFonts w:asciiTheme="minorHAnsi" w:hAnsiTheme="minorHAnsi" w:cstheme="minorHAnsi"/>
        </w:rPr>
        <w:t>non</w:t>
      </w:r>
      <w:r w:rsidRPr="000A581C">
        <w:rPr>
          <w:rFonts w:asciiTheme="minorHAnsi" w:hAnsiTheme="minorHAnsi" w:cstheme="minorHAnsi"/>
        </w:rPr>
        <w:t xml:space="preserve">-target plants included consideration of the testing methodology used and the plant species test list, including non-target species tested in described experiments. The biology of </w:t>
      </w:r>
      <w:r w:rsidR="00EE4D02" w:rsidRPr="000A581C">
        <w:rPr>
          <w:rFonts w:asciiTheme="minorHAnsi" w:hAnsiTheme="minorHAnsi" w:cstheme="minorHAnsi"/>
          <w:i/>
          <w:iCs/>
        </w:rPr>
        <w:t>P. lantanae</w:t>
      </w:r>
      <w:r w:rsidR="00EE4D02" w:rsidRPr="000A581C">
        <w:rPr>
          <w:rFonts w:asciiTheme="minorHAnsi" w:hAnsiTheme="minorHAnsi" w:cstheme="minorHAnsi"/>
        </w:rPr>
        <w:t xml:space="preserve"> </w:t>
      </w:r>
      <w:r w:rsidR="00432990" w:rsidRPr="000A581C">
        <w:rPr>
          <w:rFonts w:asciiTheme="minorHAnsi" w:hAnsiTheme="minorHAnsi" w:cstheme="minorHAnsi"/>
        </w:rPr>
        <w:t>was</w:t>
      </w:r>
      <w:r w:rsidRPr="000A581C">
        <w:rPr>
          <w:rFonts w:asciiTheme="minorHAnsi" w:hAnsiTheme="minorHAnsi" w:cstheme="minorHAnsi"/>
        </w:rPr>
        <w:t xml:space="preserve"> also considered.</w:t>
      </w:r>
    </w:p>
    <w:p w14:paraId="56F5F549" w14:textId="6F199BE8" w:rsidR="00EE4D02" w:rsidRPr="000A581C" w:rsidRDefault="00EE4D02">
      <w:pPr>
        <w:rPr>
          <w:rFonts w:asciiTheme="minorHAnsi" w:hAnsiTheme="minorHAnsi" w:cstheme="minorHAnsi"/>
        </w:rPr>
      </w:pPr>
      <w:r w:rsidRPr="000A581C">
        <w:rPr>
          <w:rFonts w:asciiTheme="minorHAnsi" w:hAnsiTheme="minorHAnsi" w:cstheme="minorHAnsi"/>
          <w:i/>
          <w:iCs/>
        </w:rPr>
        <w:t>Puccinia lantanae</w:t>
      </w:r>
      <w:r w:rsidRPr="000A581C">
        <w:rPr>
          <w:rFonts w:asciiTheme="minorHAnsi" w:hAnsiTheme="minorHAnsi" w:cstheme="minorHAnsi"/>
        </w:rPr>
        <w:t xml:space="preserve"> has been satisfactorily demonstrated to be host specific to </w:t>
      </w:r>
      <w:r w:rsidRPr="000A581C">
        <w:rPr>
          <w:rFonts w:asciiTheme="minorHAnsi" w:hAnsiTheme="minorHAnsi" w:cstheme="minorHAnsi"/>
          <w:i/>
          <w:iCs/>
        </w:rPr>
        <w:t>L. camara</w:t>
      </w:r>
      <w:r w:rsidRPr="000A581C">
        <w:rPr>
          <w:rFonts w:asciiTheme="minorHAnsi" w:hAnsiTheme="minorHAnsi" w:cstheme="minorHAnsi"/>
        </w:rPr>
        <w:t>.</w:t>
      </w:r>
      <w:r w:rsidR="00E67C21" w:rsidRPr="000A581C">
        <w:rPr>
          <w:rFonts w:asciiTheme="minorHAnsi" w:hAnsiTheme="minorHAnsi" w:cstheme="minorHAnsi"/>
        </w:rPr>
        <w:t xml:space="preserve"> There may be some minor off-target </w:t>
      </w:r>
      <w:r w:rsidR="00BE09D5" w:rsidRPr="000A581C">
        <w:rPr>
          <w:rFonts w:asciiTheme="minorHAnsi" w:hAnsiTheme="minorHAnsi" w:cstheme="minorHAnsi"/>
        </w:rPr>
        <w:t xml:space="preserve">disease symptoms expressed on </w:t>
      </w:r>
      <w:r w:rsidR="00BE09D5" w:rsidRPr="000A581C">
        <w:rPr>
          <w:rFonts w:asciiTheme="minorHAnsi" w:hAnsiTheme="minorHAnsi" w:cstheme="minorHAnsi"/>
          <w:i/>
          <w:iCs/>
        </w:rPr>
        <w:t xml:space="preserve">V. </w:t>
      </w:r>
      <w:proofErr w:type="spellStart"/>
      <w:r w:rsidR="00BE09D5" w:rsidRPr="000A581C">
        <w:rPr>
          <w:rFonts w:asciiTheme="minorHAnsi" w:hAnsiTheme="minorHAnsi" w:cstheme="minorHAnsi"/>
          <w:i/>
          <w:iCs/>
        </w:rPr>
        <w:t>gaudichaudii</w:t>
      </w:r>
      <w:proofErr w:type="spellEnd"/>
      <w:r w:rsidR="00BE09D5" w:rsidRPr="000A581C">
        <w:rPr>
          <w:rFonts w:asciiTheme="minorHAnsi" w:hAnsiTheme="minorHAnsi" w:cstheme="minorHAnsi"/>
        </w:rPr>
        <w:t xml:space="preserve"> and </w:t>
      </w:r>
      <w:r w:rsidR="00BE09D5" w:rsidRPr="000A581C">
        <w:rPr>
          <w:rFonts w:asciiTheme="minorHAnsi" w:hAnsiTheme="minorHAnsi" w:cstheme="minorHAnsi"/>
          <w:i/>
          <w:iCs/>
        </w:rPr>
        <w:t xml:space="preserve">V. </w:t>
      </w:r>
      <w:proofErr w:type="spellStart"/>
      <w:r w:rsidR="00BE09D5" w:rsidRPr="000A581C">
        <w:rPr>
          <w:rFonts w:asciiTheme="minorHAnsi" w:hAnsiTheme="minorHAnsi" w:cstheme="minorHAnsi"/>
          <w:i/>
          <w:iCs/>
        </w:rPr>
        <w:t>africana</w:t>
      </w:r>
      <w:proofErr w:type="spellEnd"/>
      <w:r w:rsidR="00BE09D5" w:rsidRPr="000A581C">
        <w:rPr>
          <w:rFonts w:asciiTheme="minorHAnsi" w:hAnsiTheme="minorHAnsi" w:cstheme="minorHAnsi"/>
        </w:rPr>
        <w:t>, however</w:t>
      </w:r>
      <w:r w:rsidR="00BE09D5" w:rsidRPr="000A581C">
        <w:rPr>
          <w:rFonts w:asciiTheme="minorHAnsi" w:hAnsiTheme="minorHAnsi" w:cstheme="minorHAnsi"/>
          <w:bCs/>
        </w:rPr>
        <w:t xml:space="preserve"> it is not anticipated that any infection will cause plant </w:t>
      </w:r>
      <w:r w:rsidR="00DE7B82">
        <w:rPr>
          <w:rFonts w:asciiTheme="minorHAnsi" w:hAnsiTheme="minorHAnsi" w:cstheme="minorHAnsi"/>
          <w:bCs/>
        </w:rPr>
        <w:t>mortality</w:t>
      </w:r>
      <w:r w:rsidR="00BE09D5" w:rsidRPr="000A581C">
        <w:rPr>
          <w:rFonts w:asciiTheme="minorHAnsi" w:hAnsiTheme="minorHAnsi" w:cstheme="minorHAnsi"/>
          <w:bCs/>
        </w:rPr>
        <w:t>.</w:t>
      </w:r>
    </w:p>
    <w:p w14:paraId="24C65BFE" w14:textId="0897E65C" w:rsidR="00DC44DC" w:rsidRPr="000A581C" w:rsidRDefault="00DC44DC">
      <w:pPr>
        <w:rPr>
          <w:rFonts w:asciiTheme="minorHAnsi" w:hAnsiTheme="minorHAnsi" w:cstheme="minorHAnsi"/>
        </w:rPr>
      </w:pPr>
      <w:r w:rsidRPr="000A581C">
        <w:rPr>
          <w:rFonts w:asciiTheme="minorHAnsi" w:hAnsiTheme="minorHAnsi" w:cstheme="minorHAnsi"/>
        </w:rPr>
        <w:t xml:space="preserve">This draft report also contains details of the risk assessment process used for consideration of potential off-target effects associated with the proposed release of </w:t>
      </w:r>
      <w:r w:rsidR="00EE4D02" w:rsidRPr="000A581C">
        <w:rPr>
          <w:rFonts w:asciiTheme="minorHAnsi" w:hAnsiTheme="minorHAnsi" w:cstheme="minorHAnsi"/>
          <w:i/>
          <w:iCs/>
        </w:rPr>
        <w:t>P. lantanae</w:t>
      </w:r>
      <w:r w:rsidRPr="000A581C">
        <w:rPr>
          <w:rFonts w:asciiTheme="minorHAnsi" w:hAnsiTheme="minorHAnsi" w:cstheme="minorHAnsi"/>
        </w:rPr>
        <w:t>.</w:t>
      </w:r>
    </w:p>
    <w:p w14:paraId="40752800" w14:textId="3DF0390D" w:rsidR="00F1386C" w:rsidRPr="000A581C" w:rsidRDefault="00F1386C">
      <w:pPr>
        <w:rPr>
          <w:rFonts w:asciiTheme="minorHAnsi" w:hAnsiTheme="minorHAnsi" w:cstheme="minorHAnsi"/>
        </w:rPr>
      </w:pPr>
      <w:r w:rsidRPr="000A581C">
        <w:rPr>
          <w:rFonts w:asciiTheme="minorHAnsi" w:hAnsiTheme="minorHAnsi" w:cstheme="minorHAnsi"/>
        </w:rPr>
        <w:t xml:space="preserve">The application from </w:t>
      </w:r>
      <w:r w:rsidR="00EE4D02" w:rsidRPr="000A581C">
        <w:rPr>
          <w:rFonts w:asciiTheme="minorHAnsi" w:hAnsiTheme="minorHAnsi" w:cstheme="minorHAnsi"/>
        </w:rPr>
        <w:t>QD</w:t>
      </w:r>
      <w:r w:rsidR="007F0C41">
        <w:rPr>
          <w:rFonts w:asciiTheme="minorHAnsi" w:hAnsiTheme="minorHAnsi" w:cstheme="minorHAnsi"/>
        </w:rPr>
        <w:t>PI</w:t>
      </w:r>
      <w:r w:rsidRPr="000A581C">
        <w:rPr>
          <w:rFonts w:asciiTheme="minorHAnsi" w:hAnsiTheme="minorHAnsi" w:cstheme="minorHAnsi"/>
        </w:rPr>
        <w:t xml:space="preserve"> that was provided to the department has been included with this draft report (Attachment 1).</w:t>
      </w:r>
      <w:r w:rsidR="00166BD8" w:rsidRPr="000A581C">
        <w:rPr>
          <w:rFonts w:asciiTheme="minorHAnsi" w:hAnsiTheme="minorHAnsi" w:cstheme="minorHAnsi"/>
        </w:rPr>
        <w:t xml:space="preserve"> </w:t>
      </w:r>
    </w:p>
    <w:p w14:paraId="698C6D13" w14:textId="77777777" w:rsidR="00DC44DC" w:rsidRDefault="00DC44DC">
      <w:r>
        <w:t xml:space="preserve"> </w:t>
      </w:r>
    </w:p>
    <w:p w14:paraId="4B417361" w14:textId="77777777" w:rsidR="00F1386C" w:rsidRDefault="00F1386C">
      <w:pPr>
        <w:sectPr w:rsidR="00F1386C">
          <w:headerReference w:type="even" r:id="rId42"/>
          <w:headerReference w:type="default" r:id="rId43"/>
          <w:footerReference w:type="even" r:id="rId44"/>
          <w:footerReference w:type="default" r:id="rId45"/>
          <w:headerReference w:type="first" r:id="rId46"/>
          <w:footerReference w:type="first" r:id="rId47"/>
          <w:pgSz w:w="11906" w:h="16838"/>
          <w:pgMar w:top="1418" w:right="1418" w:bottom="1418" w:left="1418" w:header="567" w:footer="283" w:gutter="0"/>
          <w:pgNumType w:start="1"/>
          <w:cols w:space="708"/>
          <w:docGrid w:linePitch="360"/>
        </w:sectPr>
      </w:pPr>
    </w:p>
    <w:p w14:paraId="28F42549" w14:textId="161C222C" w:rsidR="00736319" w:rsidRPr="00F85722" w:rsidRDefault="00D0393D" w:rsidP="00F85722">
      <w:pPr>
        <w:pStyle w:val="Heading2"/>
      </w:pPr>
      <w:bookmarkStart w:id="14" w:name="_Toc114642139"/>
      <w:bookmarkStart w:id="15" w:name="_Toc216420314"/>
      <w:r w:rsidRPr="00F85722">
        <w:lastRenderedPageBreak/>
        <w:t>Introduction</w:t>
      </w:r>
      <w:bookmarkEnd w:id="14"/>
      <w:bookmarkEnd w:id="15"/>
    </w:p>
    <w:p w14:paraId="39471B37" w14:textId="22DD1FD6" w:rsidR="00736319" w:rsidRPr="0083636A" w:rsidRDefault="00D0393D" w:rsidP="0083636A">
      <w:pPr>
        <w:pStyle w:val="Heading3"/>
      </w:pPr>
      <w:bookmarkStart w:id="16" w:name="_Toc114642140"/>
      <w:bookmarkStart w:id="17" w:name="_Toc216420315"/>
      <w:r w:rsidRPr="0083636A">
        <w:t>Australia’s biosecurity policy framework</w:t>
      </w:r>
      <w:bookmarkEnd w:id="16"/>
      <w:bookmarkEnd w:id="17"/>
    </w:p>
    <w:p w14:paraId="77EBE192" w14:textId="3768F01E" w:rsidR="00736319" w:rsidRPr="00536CF7" w:rsidRDefault="00D0393D">
      <w:pPr>
        <w:rPr>
          <w:rFonts w:asciiTheme="minorHAnsi" w:hAnsiTheme="minorHAnsi" w:cstheme="minorHAnsi"/>
        </w:rPr>
      </w:pPr>
      <w:r w:rsidRPr="00536CF7">
        <w:rPr>
          <w:rFonts w:asciiTheme="minorHAnsi" w:hAnsiTheme="minorHAnsi" w:cstheme="minorHAnsi"/>
        </w:rPr>
        <w:t xml:space="preserve">Australia's biosecurity policies aim to protect Australia against the risks that may arise from exotic pests entering, establishing and spreading in Australia, thereby threatening Australia's unique flora and fauna, as well as </w:t>
      </w:r>
      <w:r w:rsidR="00451025" w:rsidRPr="00536CF7">
        <w:rPr>
          <w:rFonts w:asciiTheme="minorHAnsi" w:hAnsiTheme="minorHAnsi" w:cstheme="minorHAnsi"/>
        </w:rPr>
        <w:t>Australia’s</w:t>
      </w:r>
      <w:r w:rsidRPr="00536CF7">
        <w:rPr>
          <w:rFonts w:asciiTheme="minorHAnsi" w:hAnsiTheme="minorHAnsi" w:cstheme="minorHAnsi"/>
        </w:rPr>
        <w:t xml:space="preserve"> agricultural industries that are relatively free from serious pests.</w:t>
      </w:r>
    </w:p>
    <w:p w14:paraId="2F39A104" w14:textId="2534BE0B" w:rsidR="00C00F7A" w:rsidRPr="00536CF7" w:rsidRDefault="00C00F7A" w:rsidP="00C00F7A">
      <w:pPr>
        <w:rPr>
          <w:rFonts w:asciiTheme="minorHAnsi" w:hAnsiTheme="minorHAnsi" w:cstheme="minorHAnsi"/>
        </w:rPr>
      </w:pPr>
      <w:r w:rsidRPr="00536CF7">
        <w:rPr>
          <w:rFonts w:asciiTheme="minorHAnsi" w:hAnsiTheme="minorHAnsi" w:cstheme="minorHAnsi"/>
        </w:rPr>
        <w:t xml:space="preserve">The risk analysis process is an important part of Australia’s biosecurity </w:t>
      </w:r>
      <w:r w:rsidR="00CD74EF" w:rsidRPr="00536CF7">
        <w:rPr>
          <w:rFonts w:asciiTheme="minorHAnsi" w:hAnsiTheme="minorHAnsi" w:cstheme="minorHAnsi"/>
        </w:rPr>
        <w:t>policy development</w:t>
      </w:r>
      <w:r w:rsidRPr="00536CF7">
        <w:rPr>
          <w:rFonts w:asciiTheme="minorHAnsi" w:hAnsiTheme="minorHAnsi" w:cstheme="minorHAnsi"/>
        </w:rPr>
        <w:t>. It enables the Australian Government to formally consider the level of biosecurity risk that may be associated with proposals to import goods</w:t>
      </w:r>
      <w:r w:rsidR="003317F2" w:rsidRPr="00536CF7">
        <w:rPr>
          <w:rFonts w:asciiTheme="minorHAnsi" w:hAnsiTheme="minorHAnsi" w:cstheme="minorHAnsi"/>
        </w:rPr>
        <w:t xml:space="preserve"> </w:t>
      </w:r>
      <w:r w:rsidRPr="00536CF7">
        <w:rPr>
          <w:rFonts w:asciiTheme="minorHAnsi" w:hAnsiTheme="minorHAnsi" w:cstheme="minorHAnsi"/>
        </w:rPr>
        <w:t>into Australia. If the biosecurity risks do not achieve the appropriate level of protection (ALOP) for Australia, risk management measures are proposed to reduce the risks to an acceptable level. If the risks cannot be reduced to an acceptable level, the goods</w:t>
      </w:r>
      <w:r w:rsidR="003317F2" w:rsidRPr="00536CF7">
        <w:rPr>
          <w:rFonts w:asciiTheme="minorHAnsi" w:hAnsiTheme="minorHAnsi" w:cstheme="minorHAnsi"/>
        </w:rPr>
        <w:t xml:space="preserve"> </w:t>
      </w:r>
      <w:r w:rsidRPr="00536CF7">
        <w:rPr>
          <w:rFonts w:asciiTheme="minorHAnsi" w:hAnsiTheme="minorHAnsi" w:cstheme="minorHAnsi"/>
        </w:rPr>
        <w:t>will not be imported into Australia until suitable measures are identified</w:t>
      </w:r>
      <w:r w:rsidR="00E93A5C" w:rsidRPr="00536CF7">
        <w:rPr>
          <w:rFonts w:asciiTheme="minorHAnsi" w:hAnsiTheme="minorHAnsi" w:cstheme="minorHAnsi"/>
        </w:rPr>
        <w:t xml:space="preserve"> or developed</w:t>
      </w:r>
      <w:r w:rsidRPr="00536CF7">
        <w:rPr>
          <w:rFonts w:asciiTheme="minorHAnsi" w:hAnsiTheme="minorHAnsi" w:cstheme="minorHAnsi"/>
        </w:rPr>
        <w:t>.</w:t>
      </w:r>
    </w:p>
    <w:p w14:paraId="50E2DD69" w14:textId="77777777" w:rsidR="00C00F7A" w:rsidRPr="00536CF7" w:rsidRDefault="00C00F7A" w:rsidP="00C00F7A">
      <w:pPr>
        <w:rPr>
          <w:rFonts w:asciiTheme="minorHAnsi" w:hAnsiTheme="minorHAnsi" w:cstheme="minorHAnsi"/>
        </w:rPr>
      </w:pPr>
      <w:r w:rsidRPr="00536CF7">
        <w:rPr>
          <w:rFonts w:asciiTheme="minorHAnsi" w:hAnsiTheme="minorHAnsi" w:cstheme="minorHAnsi"/>
        </w:rPr>
        <w:t xml:space="preserve">Successive Australian Governments have maintained a stringent, but not a zero risk, approach to the management of biosecurity risks. This approach is expressed in terms of the ALOP for Australia, which is defined in the </w:t>
      </w:r>
      <w:r w:rsidRPr="00536CF7">
        <w:rPr>
          <w:rFonts w:asciiTheme="minorHAnsi" w:hAnsiTheme="minorHAnsi" w:cstheme="minorHAnsi"/>
          <w:i/>
        </w:rPr>
        <w:t>Biosecurity Act 2015</w:t>
      </w:r>
      <w:r w:rsidRPr="00536CF7">
        <w:rPr>
          <w:rFonts w:asciiTheme="minorHAnsi" w:hAnsiTheme="minorHAnsi" w:cstheme="minorHAnsi"/>
        </w:rPr>
        <w:t xml:space="preserve"> as providing a high level of protection aimed at reducing risk to a very low level, but not to zero.</w:t>
      </w:r>
    </w:p>
    <w:p w14:paraId="136A30E2" w14:textId="13FB5F69" w:rsidR="00E93A5C" w:rsidRPr="00536CF7" w:rsidRDefault="00C00F7A" w:rsidP="00C00F7A">
      <w:pPr>
        <w:rPr>
          <w:rFonts w:asciiTheme="minorHAnsi" w:hAnsiTheme="minorHAnsi" w:cstheme="minorHAnsi"/>
        </w:rPr>
      </w:pPr>
      <w:r w:rsidRPr="00536CF7">
        <w:rPr>
          <w:rFonts w:asciiTheme="minorHAnsi" w:hAnsiTheme="minorHAnsi" w:cstheme="minorHAnsi"/>
        </w:rPr>
        <w:t xml:space="preserve">Australia’s risk analyses are undertaken by the </w:t>
      </w:r>
      <w:r w:rsidR="008120ED" w:rsidRPr="00536CF7">
        <w:rPr>
          <w:rFonts w:asciiTheme="minorHAnsi" w:hAnsiTheme="minorHAnsi" w:cstheme="minorHAnsi"/>
        </w:rPr>
        <w:t>department</w:t>
      </w:r>
      <w:r w:rsidRPr="00536CF7">
        <w:rPr>
          <w:rFonts w:asciiTheme="minorHAnsi" w:hAnsiTheme="minorHAnsi" w:cstheme="minorHAnsi"/>
        </w:rPr>
        <w:t xml:space="preserve"> using technical and scientific experts in relevant fields and involve consultation with stakeholders at various stages during the process.</w:t>
      </w:r>
    </w:p>
    <w:p w14:paraId="2A54DF82" w14:textId="3E2AAD0A" w:rsidR="00C00F7A" w:rsidRPr="00536CF7" w:rsidRDefault="00E93A5C" w:rsidP="00C00F7A">
      <w:pPr>
        <w:rPr>
          <w:rFonts w:asciiTheme="minorHAnsi" w:hAnsiTheme="minorHAnsi" w:cstheme="minorHAnsi"/>
        </w:rPr>
      </w:pPr>
      <w:r w:rsidRPr="00536CF7">
        <w:rPr>
          <w:rFonts w:asciiTheme="minorHAnsi" w:hAnsiTheme="minorHAnsi" w:cstheme="minorHAnsi"/>
        </w:rPr>
        <w:t>Risk analyses may take the form of a biosecurity import risk analysis (BIRA) or a review of biosecurity import requirements (such as scientific review of existing policy and import conditions, pest-specific assessments, weed risk assessments, biological control agent assessments or scientific advice).</w:t>
      </w:r>
      <w:r w:rsidR="00C00F7A" w:rsidRPr="00536CF7">
        <w:rPr>
          <w:rFonts w:asciiTheme="minorHAnsi" w:hAnsiTheme="minorHAnsi" w:cstheme="minorHAnsi"/>
        </w:rPr>
        <w:t xml:space="preserve"> </w:t>
      </w:r>
    </w:p>
    <w:p w14:paraId="150F5A51" w14:textId="5B3E5FA8" w:rsidR="00C00F7A" w:rsidRPr="00536CF7" w:rsidRDefault="00C00F7A" w:rsidP="00C00F7A">
      <w:pPr>
        <w:rPr>
          <w:rFonts w:asciiTheme="minorHAnsi" w:hAnsiTheme="minorHAnsi" w:cstheme="minorHAnsi"/>
        </w:rPr>
      </w:pPr>
      <w:r w:rsidRPr="00536CF7">
        <w:rPr>
          <w:rFonts w:asciiTheme="minorHAnsi" w:hAnsiTheme="minorHAnsi" w:cstheme="minorHAnsi"/>
        </w:rPr>
        <w:t xml:space="preserve">Further information about Australia’s biosecurity framework is provided in the </w:t>
      </w:r>
      <w:r w:rsidRPr="00536CF7">
        <w:rPr>
          <w:rFonts w:asciiTheme="minorHAnsi" w:hAnsiTheme="minorHAnsi" w:cstheme="minorHAnsi"/>
          <w:i/>
          <w:iCs/>
        </w:rPr>
        <w:t>Biosecurity</w:t>
      </w:r>
      <w:r w:rsidRPr="00536CF7">
        <w:rPr>
          <w:rFonts w:asciiTheme="minorHAnsi" w:hAnsiTheme="minorHAnsi" w:cstheme="minorHAnsi"/>
        </w:rPr>
        <w:t xml:space="preserve"> </w:t>
      </w:r>
      <w:r w:rsidRPr="00536CF7">
        <w:rPr>
          <w:rFonts w:asciiTheme="minorHAnsi" w:hAnsiTheme="minorHAnsi" w:cstheme="minorHAnsi"/>
          <w:i/>
          <w:iCs/>
        </w:rPr>
        <w:t>Import Risk Analysis Guidelines 2016</w:t>
      </w:r>
      <w:r w:rsidRPr="00536CF7">
        <w:rPr>
          <w:rFonts w:asciiTheme="minorHAnsi" w:hAnsiTheme="minorHAnsi" w:cstheme="minorHAnsi"/>
        </w:rPr>
        <w:t xml:space="preserve"> located on the</w:t>
      </w:r>
      <w:r w:rsidR="00E93A5C" w:rsidRPr="00536CF7">
        <w:rPr>
          <w:rFonts w:asciiTheme="minorHAnsi" w:hAnsiTheme="minorHAnsi" w:cstheme="minorHAnsi"/>
        </w:rPr>
        <w:t xml:space="preserve"> </w:t>
      </w:r>
      <w:r w:rsidR="008120ED" w:rsidRPr="00536CF7">
        <w:rPr>
          <w:rFonts w:asciiTheme="minorHAnsi" w:hAnsiTheme="minorHAnsi" w:cstheme="minorHAnsi"/>
        </w:rPr>
        <w:t>department’s</w:t>
      </w:r>
      <w:r w:rsidR="00E93A5C" w:rsidRPr="00536CF7">
        <w:rPr>
          <w:rFonts w:asciiTheme="minorHAnsi" w:hAnsiTheme="minorHAnsi" w:cstheme="minorHAnsi"/>
        </w:rPr>
        <w:t xml:space="preserve"> website at </w:t>
      </w:r>
      <w:hyperlink r:id="rId48" w:history="1">
        <w:r w:rsidR="00334140" w:rsidRPr="00536CF7">
          <w:rPr>
            <w:rStyle w:val="Hyperlink"/>
            <w:rFonts w:asciiTheme="minorHAnsi" w:hAnsiTheme="minorHAnsi" w:cstheme="minorHAnsi"/>
          </w:rPr>
          <w:t>agriculture</w:t>
        </w:r>
        <w:r w:rsidR="00E93A5C" w:rsidRPr="00536CF7">
          <w:rPr>
            <w:rStyle w:val="Hyperlink"/>
            <w:rFonts w:asciiTheme="minorHAnsi" w:hAnsiTheme="minorHAnsi" w:cstheme="minorHAnsi"/>
          </w:rPr>
          <w:t>.gov.au/biosecurity-trade/policy/risk-analysis/guidelines</w:t>
        </w:r>
      </w:hyperlink>
      <w:r w:rsidR="00E93A5C" w:rsidRPr="00536CF7">
        <w:rPr>
          <w:rFonts w:asciiTheme="minorHAnsi" w:hAnsiTheme="minorHAnsi" w:cstheme="minorHAnsi"/>
        </w:rPr>
        <w:t>.</w:t>
      </w:r>
    </w:p>
    <w:p w14:paraId="090891F9" w14:textId="7171EE5F" w:rsidR="00736319" w:rsidRPr="00F85722" w:rsidRDefault="00D0393D" w:rsidP="00F85722">
      <w:pPr>
        <w:pStyle w:val="Heading2"/>
      </w:pPr>
      <w:bookmarkStart w:id="18" w:name="_Toc114642141"/>
      <w:bookmarkStart w:id="19" w:name="_Toc216420316"/>
      <w:r w:rsidRPr="00F85722">
        <w:lastRenderedPageBreak/>
        <w:t>This risk analysis</w:t>
      </w:r>
      <w:bookmarkEnd w:id="18"/>
      <w:bookmarkEnd w:id="19"/>
    </w:p>
    <w:p w14:paraId="28D4A7F1" w14:textId="77777777" w:rsidR="00736319" w:rsidRPr="00F85722" w:rsidRDefault="00D0393D" w:rsidP="00F85722">
      <w:pPr>
        <w:pStyle w:val="Heading3"/>
      </w:pPr>
      <w:bookmarkStart w:id="20" w:name="_Toc216420317"/>
      <w:r w:rsidRPr="00F85722">
        <w:t>Background</w:t>
      </w:r>
      <w:bookmarkEnd w:id="20"/>
    </w:p>
    <w:p w14:paraId="013BA205" w14:textId="01FED70A" w:rsidR="00736319" w:rsidRPr="007B751B" w:rsidRDefault="0053679A">
      <w:pPr>
        <w:rPr>
          <w:rFonts w:asciiTheme="minorHAnsi" w:hAnsiTheme="minorHAnsi" w:cstheme="minorHAnsi"/>
        </w:rPr>
      </w:pPr>
      <w:r w:rsidRPr="007B751B">
        <w:rPr>
          <w:rFonts w:asciiTheme="minorHAnsi" w:hAnsiTheme="minorHAnsi" w:cstheme="minorHAnsi"/>
        </w:rPr>
        <w:t xml:space="preserve">An application has been submitted by </w:t>
      </w:r>
      <w:r w:rsidR="007F0C41">
        <w:rPr>
          <w:rFonts w:asciiTheme="minorHAnsi" w:hAnsiTheme="minorHAnsi" w:cstheme="minorHAnsi"/>
        </w:rPr>
        <w:t>QDPI</w:t>
      </w:r>
      <w:r w:rsidR="00E423A8" w:rsidRPr="007B751B">
        <w:rPr>
          <w:rFonts w:asciiTheme="minorHAnsi" w:hAnsiTheme="minorHAnsi" w:cstheme="minorHAnsi"/>
        </w:rPr>
        <w:t xml:space="preserve"> </w:t>
      </w:r>
      <w:r w:rsidR="00D0393D" w:rsidRPr="007B751B">
        <w:rPr>
          <w:rFonts w:asciiTheme="minorHAnsi" w:hAnsiTheme="minorHAnsi" w:cstheme="minorHAnsi"/>
        </w:rPr>
        <w:t>to</w:t>
      </w:r>
      <w:r w:rsidRPr="007B751B">
        <w:rPr>
          <w:rFonts w:asciiTheme="minorHAnsi" w:hAnsiTheme="minorHAnsi" w:cstheme="minorHAnsi"/>
        </w:rPr>
        <w:t xml:space="preserve"> release a biological control agent (Attachment 1). The </w:t>
      </w:r>
      <w:r w:rsidR="00C86601" w:rsidRPr="007B751B">
        <w:rPr>
          <w:rFonts w:asciiTheme="minorHAnsi" w:hAnsiTheme="minorHAnsi" w:cstheme="minorHAnsi"/>
        </w:rPr>
        <w:t xml:space="preserve">identified </w:t>
      </w:r>
      <w:r w:rsidRPr="007B751B">
        <w:rPr>
          <w:rFonts w:asciiTheme="minorHAnsi" w:hAnsiTheme="minorHAnsi" w:cstheme="minorHAnsi"/>
        </w:rPr>
        <w:t xml:space="preserve">biological control agent, </w:t>
      </w:r>
      <w:r w:rsidR="00E423A8" w:rsidRPr="007B751B">
        <w:rPr>
          <w:rFonts w:asciiTheme="minorHAnsi" w:hAnsiTheme="minorHAnsi" w:cstheme="minorHAnsi"/>
          <w:i/>
          <w:iCs/>
        </w:rPr>
        <w:t>P. lantanae</w:t>
      </w:r>
      <w:r w:rsidRPr="007B751B">
        <w:rPr>
          <w:rFonts w:asciiTheme="minorHAnsi" w:hAnsiTheme="minorHAnsi" w:cstheme="minorHAnsi"/>
        </w:rPr>
        <w:t xml:space="preserve"> is a </w:t>
      </w:r>
      <w:r w:rsidR="00E423A8" w:rsidRPr="007B751B">
        <w:rPr>
          <w:rFonts w:asciiTheme="minorHAnsi" w:hAnsiTheme="minorHAnsi" w:cstheme="minorHAnsi"/>
        </w:rPr>
        <w:t>leaf rust pathogen</w:t>
      </w:r>
      <w:r w:rsidRPr="007B751B">
        <w:rPr>
          <w:rFonts w:asciiTheme="minorHAnsi" w:hAnsiTheme="minorHAnsi" w:cstheme="minorHAnsi"/>
        </w:rPr>
        <w:t xml:space="preserve"> proposed for the biological control of </w:t>
      </w:r>
      <w:r w:rsidR="00E423A8" w:rsidRPr="007B751B">
        <w:rPr>
          <w:rFonts w:asciiTheme="minorHAnsi" w:hAnsiTheme="minorHAnsi" w:cstheme="minorHAnsi"/>
          <w:i/>
          <w:iCs/>
        </w:rPr>
        <w:t>L. camara</w:t>
      </w:r>
      <w:r w:rsidR="00E423A8" w:rsidRPr="007B751B">
        <w:rPr>
          <w:rFonts w:asciiTheme="minorHAnsi" w:hAnsiTheme="minorHAnsi" w:cstheme="minorHAnsi"/>
        </w:rPr>
        <w:t xml:space="preserve"> (</w:t>
      </w:r>
      <w:r w:rsidR="00BF4A67">
        <w:rPr>
          <w:rFonts w:asciiTheme="minorHAnsi" w:hAnsiTheme="minorHAnsi" w:cstheme="minorHAnsi"/>
        </w:rPr>
        <w:t>l</w:t>
      </w:r>
      <w:r w:rsidR="00E423A8" w:rsidRPr="007B751B">
        <w:rPr>
          <w:rFonts w:asciiTheme="minorHAnsi" w:hAnsiTheme="minorHAnsi" w:cstheme="minorHAnsi"/>
        </w:rPr>
        <w:t>antana)</w:t>
      </w:r>
      <w:r w:rsidRPr="007B751B">
        <w:rPr>
          <w:rFonts w:asciiTheme="minorHAnsi" w:hAnsiTheme="minorHAnsi" w:cstheme="minorHAnsi"/>
        </w:rPr>
        <w:t xml:space="preserve">. The applicant has followed the steps outlined in the </w:t>
      </w:r>
      <w:hyperlink r:id="rId49" w:history="1">
        <w:r w:rsidRPr="007B751B">
          <w:rPr>
            <w:rStyle w:val="Hyperlink"/>
            <w:rFonts w:asciiTheme="minorHAnsi" w:hAnsiTheme="minorHAnsi" w:cstheme="minorHAnsi"/>
          </w:rPr>
          <w:t>Biosecurity Guidelines</w:t>
        </w:r>
      </w:hyperlink>
      <w:r w:rsidRPr="007B751B">
        <w:rPr>
          <w:rFonts w:asciiTheme="minorHAnsi" w:hAnsiTheme="minorHAnsi" w:cstheme="minorHAnsi"/>
        </w:rPr>
        <w:t xml:space="preserve"> for the Introduction of Exotic Biological Control Agents for the Control of Weeds and Plant Pests.</w:t>
      </w:r>
    </w:p>
    <w:p w14:paraId="67C348A5" w14:textId="757D0DF7" w:rsidR="00A87250" w:rsidRPr="007B751B" w:rsidRDefault="001D7940">
      <w:pPr>
        <w:rPr>
          <w:rFonts w:asciiTheme="minorHAnsi" w:hAnsiTheme="minorHAnsi" w:cstheme="minorHAnsi"/>
        </w:rPr>
      </w:pPr>
      <w:r w:rsidRPr="00BF4A67">
        <w:rPr>
          <w:rFonts w:asciiTheme="minorHAnsi" w:hAnsiTheme="minorHAnsi" w:cstheme="minorHAnsi"/>
          <w:i/>
          <w:iCs/>
        </w:rPr>
        <w:t>Lantana</w:t>
      </w:r>
      <w:r w:rsidRPr="007B751B">
        <w:rPr>
          <w:rFonts w:asciiTheme="minorHAnsi" w:hAnsiTheme="minorHAnsi" w:cstheme="minorHAnsi"/>
        </w:rPr>
        <w:t xml:space="preserve"> </w:t>
      </w:r>
      <w:r w:rsidRPr="007B751B">
        <w:rPr>
          <w:rFonts w:asciiTheme="minorHAnsi" w:hAnsiTheme="minorHAnsi" w:cstheme="minorHAnsi"/>
          <w:i/>
          <w:iCs/>
        </w:rPr>
        <w:t>camara</w:t>
      </w:r>
      <w:r w:rsidR="00724244" w:rsidRPr="007B751B">
        <w:rPr>
          <w:rFonts w:asciiTheme="minorHAnsi" w:hAnsiTheme="minorHAnsi" w:cstheme="minorHAnsi"/>
        </w:rPr>
        <w:t xml:space="preserve"> is a thicket forming perennial shrub that is native to </w:t>
      </w:r>
      <w:r w:rsidR="000F5F3F" w:rsidRPr="007B751B">
        <w:rPr>
          <w:rFonts w:asciiTheme="minorHAnsi" w:hAnsiTheme="minorHAnsi" w:cstheme="minorHAnsi"/>
        </w:rPr>
        <w:t>Mexico, Central America, the West Indies, and the northern parts of South America.</w:t>
      </w:r>
      <w:r w:rsidR="00F65612" w:rsidRPr="007B751B">
        <w:rPr>
          <w:rFonts w:asciiTheme="minorHAnsi" w:hAnsiTheme="minorHAnsi" w:cstheme="minorHAnsi"/>
        </w:rPr>
        <w:t xml:space="preserve"> </w:t>
      </w:r>
      <w:r w:rsidR="00F65612" w:rsidRPr="007B751B">
        <w:rPr>
          <w:rFonts w:asciiTheme="minorHAnsi" w:hAnsiTheme="minorHAnsi" w:cstheme="minorHAnsi"/>
          <w:i/>
          <w:iCs/>
        </w:rPr>
        <w:t>Lantana camara</w:t>
      </w:r>
      <w:r w:rsidR="00F65612" w:rsidRPr="007B751B">
        <w:rPr>
          <w:rFonts w:asciiTheme="minorHAnsi" w:hAnsiTheme="minorHAnsi" w:cstheme="minorHAnsi"/>
        </w:rPr>
        <w:t xml:space="preserve"> L. </w:t>
      </w:r>
      <w:r w:rsidR="00F65612" w:rsidRPr="007B751B">
        <w:rPr>
          <w:rFonts w:asciiTheme="minorHAnsi" w:hAnsiTheme="minorHAnsi" w:cstheme="minorHAnsi"/>
          <w:i/>
          <w:iCs/>
        </w:rPr>
        <w:t>sensu lato</w:t>
      </w:r>
      <w:r w:rsidR="00F65612" w:rsidRPr="007B751B">
        <w:rPr>
          <w:rFonts w:asciiTheme="minorHAnsi" w:hAnsiTheme="minorHAnsi" w:cstheme="minorHAnsi"/>
        </w:rPr>
        <w:t xml:space="preserve"> includes the neotropical species</w:t>
      </w:r>
      <w:r w:rsidR="003042D9">
        <w:rPr>
          <w:rFonts w:asciiTheme="minorHAnsi" w:hAnsiTheme="minorHAnsi" w:cstheme="minorHAnsi"/>
        </w:rPr>
        <w:t>,</w:t>
      </w:r>
      <w:r w:rsidR="00F65612" w:rsidRPr="007B751B">
        <w:rPr>
          <w:rFonts w:asciiTheme="minorHAnsi" w:hAnsiTheme="minorHAnsi" w:cstheme="minorHAnsi"/>
        </w:rPr>
        <w:t xml:space="preserve"> in addition to the hundreds of cultivars and hybrids derived from interbreeding</w:t>
      </w:r>
      <w:r w:rsidR="003042D9">
        <w:rPr>
          <w:rFonts w:asciiTheme="minorHAnsi" w:hAnsiTheme="minorHAnsi" w:cstheme="minorHAnsi"/>
        </w:rPr>
        <w:t xml:space="preserve"> with other </w:t>
      </w:r>
      <w:r w:rsidR="003042D9" w:rsidRPr="003042D9">
        <w:rPr>
          <w:rFonts w:asciiTheme="minorHAnsi" w:hAnsiTheme="minorHAnsi" w:cstheme="minorHAnsi"/>
          <w:i/>
          <w:iCs/>
        </w:rPr>
        <w:t>Lantana</w:t>
      </w:r>
      <w:r w:rsidR="003042D9">
        <w:rPr>
          <w:rFonts w:asciiTheme="minorHAnsi" w:hAnsiTheme="minorHAnsi" w:cstheme="minorHAnsi"/>
        </w:rPr>
        <w:t xml:space="preserve"> species</w:t>
      </w:r>
      <w:r w:rsidR="00F65612" w:rsidRPr="007B751B">
        <w:rPr>
          <w:rFonts w:asciiTheme="minorHAnsi" w:hAnsiTheme="minorHAnsi" w:cstheme="minorHAnsi"/>
        </w:rPr>
        <w:t xml:space="preserve"> (Attachment 1).</w:t>
      </w:r>
      <w:r w:rsidR="003042D9">
        <w:rPr>
          <w:rFonts w:asciiTheme="minorHAnsi" w:hAnsiTheme="minorHAnsi" w:cstheme="minorHAnsi"/>
        </w:rPr>
        <w:t xml:space="preserve"> The cultivars and hybrids can be distinguished in various ways, including by morphology, physiology and genetics (Attachment 1).</w:t>
      </w:r>
    </w:p>
    <w:p w14:paraId="0F86D7E0" w14:textId="71CBB495" w:rsidR="00F65612" w:rsidRPr="007B751B" w:rsidRDefault="00F82FCF">
      <w:pPr>
        <w:rPr>
          <w:rFonts w:asciiTheme="minorHAnsi" w:hAnsiTheme="minorHAnsi" w:cstheme="minorHAnsi"/>
        </w:rPr>
      </w:pPr>
      <w:r w:rsidRPr="007B751B">
        <w:rPr>
          <w:rFonts w:asciiTheme="minorHAnsi" w:hAnsiTheme="minorHAnsi" w:cstheme="minorHAnsi"/>
        </w:rPr>
        <w:t>In Australia, l</w:t>
      </w:r>
      <w:r w:rsidR="00F65612" w:rsidRPr="007B751B">
        <w:rPr>
          <w:rFonts w:asciiTheme="minorHAnsi" w:hAnsiTheme="minorHAnsi" w:cstheme="minorHAnsi"/>
        </w:rPr>
        <w:t>antana is present</w:t>
      </w:r>
      <w:r w:rsidRPr="007B751B">
        <w:rPr>
          <w:rFonts w:asciiTheme="minorHAnsi" w:hAnsiTheme="minorHAnsi" w:cstheme="minorHAnsi"/>
        </w:rPr>
        <w:t xml:space="preserve"> in NSW, NT, QLD, VIC and WA.</w:t>
      </w:r>
      <w:r w:rsidR="007667CA" w:rsidRPr="007B751B">
        <w:rPr>
          <w:rFonts w:asciiTheme="minorHAnsi" w:hAnsiTheme="minorHAnsi" w:cstheme="minorHAnsi"/>
        </w:rPr>
        <w:t xml:space="preserve"> It is most widely established as infestations across extensive areas of coastal and subcoastal eastern Australia.</w:t>
      </w:r>
    </w:p>
    <w:p w14:paraId="7C353762" w14:textId="44BB1F21" w:rsidR="00924D97" w:rsidRPr="007B751B" w:rsidRDefault="00924D97">
      <w:pPr>
        <w:rPr>
          <w:rFonts w:asciiTheme="minorHAnsi" w:hAnsiTheme="minorHAnsi" w:cstheme="minorHAnsi"/>
        </w:rPr>
      </w:pPr>
      <w:r w:rsidRPr="007B751B">
        <w:rPr>
          <w:rFonts w:asciiTheme="minorHAnsi" w:hAnsiTheme="minorHAnsi" w:cstheme="minorHAnsi"/>
        </w:rPr>
        <w:t>Lantana is a Weed of National Significance (WONS) and is a difficult and costly to control weed of agriculture, livestock, plantation timber and orchards</w:t>
      </w:r>
      <w:r w:rsidR="003554FF" w:rsidRPr="007B751B">
        <w:rPr>
          <w:rFonts w:asciiTheme="minorHAnsi" w:hAnsiTheme="minorHAnsi" w:cstheme="minorHAnsi"/>
        </w:rPr>
        <w:t xml:space="preserve"> (Attachment 1)</w:t>
      </w:r>
      <w:r w:rsidRPr="007B751B">
        <w:rPr>
          <w:rFonts w:asciiTheme="minorHAnsi" w:hAnsiTheme="minorHAnsi" w:cstheme="minorHAnsi"/>
        </w:rPr>
        <w:t>.</w:t>
      </w:r>
      <w:r w:rsidR="006F7796" w:rsidRPr="007B751B">
        <w:rPr>
          <w:rFonts w:asciiTheme="minorHAnsi" w:hAnsiTheme="minorHAnsi" w:cstheme="minorHAnsi"/>
        </w:rPr>
        <w:t xml:space="preserve"> It is also a significant environmental weed, posing a threat to natural ecosystems by outcompeting native plant species (Attachment 1). Current control is mostly via mechanical removal, herbicide application and biological control. </w:t>
      </w:r>
      <w:r w:rsidR="00463CE0" w:rsidRPr="007B751B">
        <w:rPr>
          <w:rFonts w:asciiTheme="minorHAnsi" w:hAnsiTheme="minorHAnsi" w:cstheme="minorHAnsi"/>
        </w:rPr>
        <w:t>There is a long history of biological control of lantana in Australia, with 31 insects and one pathogen released with varying success rates (Attachment 1).</w:t>
      </w:r>
      <w:r w:rsidR="006F7796" w:rsidRPr="007B751B">
        <w:rPr>
          <w:rFonts w:asciiTheme="minorHAnsi" w:hAnsiTheme="minorHAnsi" w:cstheme="minorHAnsi"/>
        </w:rPr>
        <w:t xml:space="preserve"> </w:t>
      </w:r>
    </w:p>
    <w:p w14:paraId="3FC23FA7" w14:textId="77777777" w:rsidR="000515D7" w:rsidRPr="007B751B" w:rsidRDefault="007B7BEF">
      <w:pPr>
        <w:rPr>
          <w:rFonts w:asciiTheme="minorHAnsi" w:hAnsiTheme="minorHAnsi" w:cstheme="minorHAnsi"/>
        </w:rPr>
      </w:pPr>
      <w:r w:rsidRPr="007B751B">
        <w:rPr>
          <w:rFonts w:asciiTheme="minorHAnsi" w:hAnsiTheme="minorHAnsi" w:cstheme="minorHAnsi"/>
          <w:i/>
          <w:iCs/>
        </w:rPr>
        <w:t>Puccinia lantanae</w:t>
      </w:r>
      <w:r w:rsidRPr="007B751B">
        <w:rPr>
          <w:rFonts w:asciiTheme="minorHAnsi" w:hAnsiTheme="minorHAnsi" w:cstheme="minorHAnsi"/>
        </w:rPr>
        <w:t xml:space="preserve"> is a leaf rust pathogen, native to tropical and subtropical regions of the Americas, parts of Africa and Asia. The pathotype (IMI 398849) proposed for release in Australia was discovered and collected from Peru</w:t>
      </w:r>
      <w:r w:rsidR="00F04575" w:rsidRPr="007B751B">
        <w:rPr>
          <w:rFonts w:asciiTheme="minorHAnsi" w:hAnsiTheme="minorHAnsi" w:cstheme="minorHAnsi"/>
        </w:rPr>
        <w:t xml:space="preserve"> (Attachment 1)</w:t>
      </w:r>
      <w:r w:rsidRPr="007B751B">
        <w:rPr>
          <w:rFonts w:asciiTheme="minorHAnsi" w:hAnsiTheme="minorHAnsi" w:cstheme="minorHAnsi"/>
        </w:rPr>
        <w:t>.</w:t>
      </w:r>
      <w:r w:rsidR="00F04575" w:rsidRPr="007B751B">
        <w:rPr>
          <w:rFonts w:asciiTheme="minorHAnsi" w:hAnsiTheme="minorHAnsi" w:cstheme="minorHAnsi"/>
        </w:rPr>
        <w:t xml:space="preserve"> Pathotype IMI 398849 has been observed to heavily infect lantana in Peru, the disease expression observed for this pathotype is considered to be much more severe than previously observed symptoms for the species.</w:t>
      </w:r>
    </w:p>
    <w:p w14:paraId="14F53158" w14:textId="3AD0DCC9" w:rsidR="00E01CAB" w:rsidRPr="007B751B" w:rsidRDefault="00556D24">
      <w:pPr>
        <w:rPr>
          <w:rFonts w:asciiTheme="minorHAnsi" w:hAnsiTheme="minorHAnsi" w:cstheme="minorHAnsi"/>
        </w:rPr>
      </w:pPr>
      <w:r w:rsidRPr="007B751B">
        <w:rPr>
          <w:rFonts w:asciiTheme="minorHAnsi" w:hAnsiTheme="minorHAnsi" w:cstheme="minorHAnsi"/>
        </w:rPr>
        <w:t xml:space="preserve"> </w:t>
      </w:r>
      <w:r w:rsidRPr="007B751B">
        <w:rPr>
          <w:rFonts w:asciiTheme="minorHAnsi" w:hAnsiTheme="minorHAnsi" w:cstheme="minorHAnsi"/>
          <w:i/>
          <w:iCs/>
        </w:rPr>
        <w:t>Puccinia lantanae</w:t>
      </w:r>
      <w:r w:rsidRPr="007B751B">
        <w:rPr>
          <w:rFonts w:asciiTheme="minorHAnsi" w:hAnsiTheme="minorHAnsi" w:cstheme="minorHAnsi"/>
        </w:rPr>
        <w:t xml:space="preserve"> is an autoecious rust pathogen and is classified as </w:t>
      </w:r>
      <w:proofErr w:type="spellStart"/>
      <w:r w:rsidRPr="007B751B">
        <w:rPr>
          <w:rFonts w:asciiTheme="minorHAnsi" w:hAnsiTheme="minorHAnsi" w:cstheme="minorHAnsi"/>
        </w:rPr>
        <w:t>microcyclic</w:t>
      </w:r>
      <w:proofErr w:type="spellEnd"/>
      <w:r w:rsidR="00E01CAB" w:rsidRPr="007B751B">
        <w:rPr>
          <w:rFonts w:asciiTheme="minorHAnsi" w:hAnsiTheme="minorHAnsi" w:cstheme="minorHAnsi"/>
        </w:rPr>
        <w:t xml:space="preserve">. Only two types of spores are produced, basidiospores and teliospores (Attachment 1). </w:t>
      </w:r>
      <w:r w:rsidR="000515D7" w:rsidRPr="007B751B">
        <w:rPr>
          <w:rFonts w:asciiTheme="minorHAnsi" w:hAnsiTheme="minorHAnsi" w:cstheme="minorHAnsi"/>
        </w:rPr>
        <w:t>The pathotype proposed for release is highly damaging to lantana plants, infecting leaves, petioles and stems, resulting in cankers and stem die-back (Attachment 1).</w:t>
      </w:r>
    </w:p>
    <w:p w14:paraId="37E73093" w14:textId="05AB3AA3" w:rsidR="007A1B29" w:rsidRPr="007B751B" w:rsidRDefault="00E01CAB">
      <w:pPr>
        <w:rPr>
          <w:rFonts w:asciiTheme="minorHAnsi" w:hAnsiTheme="minorHAnsi" w:cstheme="minorHAnsi"/>
        </w:rPr>
      </w:pPr>
      <w:r w:rsidRPr="007B751B">
        <w:rPr>
          <w:rFonts w:asciiTheme="minorHAnsi" w:hAnsiTheme="minorHAnsi" w:cstheme="minorHAnsi"/>
        </w:rPr>
        <w:t>The pathotype proposed for release will be the same isolate (IMI 398849) used for host specificity testing.</w:t>
      </w:r>
    </w:p>
    <w:p w14:paraId="6B240200" w14:textId="77777777" w:rsidR="00736319" w:rsidRPr="00F85722" w:rsidRDefault="00D0393D" w:rsidP="00F85722">
      <w:pPr>
        <w:pStyle w:val="Heading3"/>
      </w:pPr>
      <w:bookmarkStart w:id="21" w:name="_Toc216420318"/>
      <w:r w:rsidRPr="00F85722">
        <w:t>Scope</w:t>
      </w:r>
      <w:bookmarkEnd w:id="21"/>
    </w:p>
    <w:p w14:paraId="0EE0B666" w14:textId="0DF92590" w:rsidR="003317F2" w:rsidRPr="007B751B" w:rsidRDefault="00A87250" w:rsidP="00E622F4">
      <w:pPr>
        <w:rPr>
          <w:rFonts w:asciiTheme="minorHAnsi" w:hAnsiTheme="minorHAnsi" w:cstheme="minorHAnsi"/>
        </w:rPr>
      </w:pPr>
      <w:r w:rsidRPr="007B751B">
        <w:rPr>
          <w:rFonts w:asciiTheme="minorHAnsi" w:hAnsiTheme="minorHAnsi" w:cstheme="minorHAnsi"/>
        </w:rPr>
        <w:t>The scope of this risk analysis is to consider the biosecurity risk that may be associated with the release of an exotic biological control agent into the Australian environment</w:t>
      </w:r>
      <w:r w:rsidR="00601359" w:rsidRPr="007B751B">
        <w:rPr>
          <w:rFonts w:asciiTheme="minorHAnsi" w:hAnsiTheme="minorHAnsi" w:cstheme="minorHAnsi"/>
        </w:rPr>
        <w:t xml:space="preserve"> (excluding its external territories)</w:t>
      </w:r>
      <w:r w:rsidRPr="007B751B">
        <w:rPr>
          <w:rFonts w:asciiTheme="minorHAnsi" w:hAnsiTheme="minorHAnsi" w:cstheme="minorHAnsi"/>
        </w:rPr>
        <w:t xml:space="preserve">. The primary risk associated with a release of this nature is the possibility of unwanted off-target effects on other species already present in Australia. The </w:t>
      </w:r>
      <w:r w:rsidR="004914D3" w:rsidRPr="007B751B">
        <w:rPr>
          <w:rFonts w:asciiTheme="minorHAnsi" w:hAnsiTheme="minorHAnsi" w:cstheme="minorHAnsi"/>
        </w:rPr>
        <w:t>department</w:t>
      </w:r>
      <w:r w:rsidRPr="007B751B">
        <w:rPr>
          <w:rFonts w:asciiTheme="minorHAnsi" w:hAnsiTheme="minorHAnsi" w:cstheme="minorHAnsi"/>
        </w:rPr>
        <w:t xml:space="preserve"> assesses the risk under the </w:t>
      </w:r>
      <w:r w:rsidRPr="007B751B">
        <w:rPr>
          <w:rFonts w:asciiTheme="minorHAnsi" w:hAnsiTheme="minorHAnsi" w:cstheme="minorHAnsi"/>
          <w:i/>
        </w:rPr>
        <w:t>Biosecurity Act 2015</w:t>
      </w:r>
      <w:r w:rsidRPr="007B751B">
        <w:rPr>
          <w:rFonts w:asciiTheme="minorHAnsi" w:hAnsiTheme="minorHAnsi" w:cstheme="minorHAnsi"/>
        </w:rPr>
        <w:t xml:space="preserve">. </w:t>
      </w:r>
    </w:p>
    <w:p w14:paraId="5DC23222" w14:textId="77777777" w:rsidR="00265A5E" w:rsidRPr="007B751B" w:rsidRDefault="00265A5E">
      <w:pPr>
        <w:rPr>
          <w:rFonts w:asciiTheme="minorHAnsi" w:hAnsiTheme="minorHAnsi" w:cstheme="minorHAnsi"/>
        </w:rPr>
      </w:pPr>
      <w:r w:rsidRPr="007B751B">
        <w:rPr>
          <w:rFonts w:asciiTheme="minorHAnsi" w:hAnsiTheme="minorHAnsi" w:cstheme="minorHAnsi"/>
        </w:rPr>
        <w:lastRenderedPageBreak/>
        <w:t>Plants that are considered weeds are sometimes</w:t>
      </w:r>
      <w:r w:rsidR="00E45736" w:rsidRPr="007B751B">
        <w:rPr>
          <w:rFonts w:asciiTheme="minorHAnsi" w:hAnsiTheme="minorHAnsi" w:cstheme="minorHAnsi"/>
        </w:rPr>
        <w:t xml:space="preserve"> also considered to have value,</w:t>
      </w:r>
      <w:r w:rsidR="00691207" w:rsidRPr="007B751B">
        <w:rPr>
          <w:rFonts w:asciiTheme="minorHAnsi" w:hAnsiTheme="minorHAnsi" w:cstheme="minorHAnsi"/>
        </w:rPr>
        <w:t xml:space="preserve"> </w:t>
      </w:r>
      <w:r w:rsidR="00E45736" w:rsidRPr="007B751B">
        <w:rPr>
          <w:rFonts w:asciiTheme="minorHAnsi" w:hAnsiTheme="minorHAnsi" w:cstheme="minorHAnsi"/>
        </w:rPr>
        <w:t>f</w:t>
      </w:r>
      <w:r w:rsidR="00691207" w:rsidRPr="007B751B">
        <w:rPr>
          <w:rFonts w:asciiTheme="minorHAnsi" w:hAnsiTheme="minorHAnsi" w:cstheme="minorHAnsi"/>
        </w:rPr>
        <w:t xml:space="preserve">or example, </w:t>
      </w:r>
      <w:r w:rsidR="00E45736" w:rsidRPr="007B751B">
        <w:rPr>
          <w:rFonts w:asciiTheme="minorHAnsi" w:hAnsiTheme="minorHAnsi" w:cstheme="minorHAnsi"/>
        </w:rPr>
        <w:t xml:space="preserve">for purposes such as </w:t>
      </w:r>
      <w:r w:rsidR="00691207" w:rsidRPr="007B751B">
        <w:rPr>
          <w:rFonts w:asciiTheme="minorHAnsi" w:hAnsiTheme="minorHAnsi" w:cstheme="minorHAnsi"/>
        </w:rPr>
        <w:t xml:space="preserve">ornamental </w:t>
      </w:r>
      <w:r w:rsidR="00E45736" w:rsidRPr="007B751B">
        <w:rPr>
          <w:rFonts w:asciiTheme="minorHAnsi" w:hAnsiTheme="minorHAnsi" w:cstheme="minorHAnsi"/>
        </w:rPr>
        <w:t>display</w:t>
      </w:r>
      <w:r w:rsidR="00691207" w:rsidRPr="007B751B">
        <w:rPr>
          <w:rFonts w:asciiTheme="minorHAnsi" w:hAnsiTheme="minorHAnsi" w:cstheme="minorHAnsi"/>
        </w:rPr>
        <w:t>, traditional medicine, feed for stock</w:t>
      </w:r>
      <w:r w:rsidR="00E45736" w:rsidRPr="007B751B">
        <w:rPr>
          <w:rFonts w:asciiTheme="minorHAnsi" w:hAnsiTheme="minorHAnsi" w:cstheme="minorHAnsi"/>
        </w:rPr>
        <w:t>,</w:t>
      </w:r>
      <w:r w:rsidR="00691207" w:rsidRPr="007B751B">
        <w:rPr>
          <w:rFonts w:asciiTheme="minorHAnsi" w:hAnsiTheme="minorHAnsi" w:cstheme="minorHAnsi"/>
        </w:rPr>
        <w:t xml:space="preserve"> etc. Consideration</w:t>
      </w:r>
      <w:r w:rsidR="00982940" w:rsidRPr="007B751B">
        <w:rPr>
          <w:rFonts w:asciiTheme="minorHAnsi" w:hAnsiTheme="minorHAnsi" w:cstheme="minorHAnsi"/>
        </w:rPr>
        <w:t>s</w:t>
      </w:r>
      <w:r w:rsidR="00691207" w:rsidRPr="007B751B">
        <w:rPr>
          <w:rFonts w:asciiTheme="minorHAnsi" w:hAnsiTheme="minorHAnsi" w:cstheme="minorHAnsi"/>
        </w:rPr>
        <w:t xml:space="preserve"> of the benefits</w:t>
      </w:r>
      <w:r w:rsidR="00982940" w:rsidRPr="007B751B">
        <w:rPr>
          <w:rFonts w:asciiTheme="minorHAnsi" w:hAnsiTheme="minorHAnsi" w:cstheme="minorHAnsi"/>
        </w:rPr>
        <w:t>,</w:t>
      </w:r>
      <w:r w:rsidR="00691207" w:rsidRPr="007B751B">
        <w:rPr>
          <w:rFonts w:asciiTheme="minorHAnsi" w:hAnsiTheme="minorHAnsi" w:cstheme="minorHAnsi"/>
        </w:rPr>
        <w:t xml:space="preserve"> and therefore any</w:t>
      </w:r>
      <w:r w:rsidR="00E45736" w:rsidRPr="007B751B">
        <w:rPr>
          <w:rFonts w:asciiTheme="minorHAnsi" w:hAnsiTheme="minorHAnsi" w:cstheme="minorHAnsi"/>
        </w:rPr>
        <w:t xml:space="preserve"> associated</w:t>
      </w:r>
      <w:r w:rsidR="00691207" w:rsidRPr="007B751B">
        <w:rPr>
          <w:rFonts w:asciiTheme="minorHAnsi" w:hAnsiTheme="minorHAnsi" w:cstheme="minorHAnsi"/>
        </w:rPr>
        <w:t xml:space="preserve"> concerns about eradication of the target weed species are out of the scope of this analysis.</w:t>
      </w:r>
    </w:p>
    <w:p w14:paraId="7E0A1C56" w14:textId="157810F5" w:rsidR="000354C1" w:rsidRPr="007B751B" w:rsidRDefault="000354C1">
      <w:pPr>
        <w:rPr>
          <w:rFonts w:asciiTheme="minorHAnsi" w:hAnsiTheme="minorHAnsi" w:cstheme="minorHAnsi"/>
        </w:rPr>
      </w:pPr>
      <w:r w:rsidRPr="007B751B">
        <w:rPr>
          <w:rFonts w:asciiTheme="minorHAnsi" w:hAnsiTheme="minorHAnsi" w:cstheme="minorHAnsi"/>
        </w:rPr>
        <w:t xml:space="preserve">The </w:t>
      </w:r>
      <w:r w:rsidR="004914D3" w:rsidRPr="007B751B">
        <w:rPr>
          <w:rFonts w:asciiTheme="minorHAnsi" w:hAnsiTheme="minorHAnsi" w:cstheme="minorHAnsi"/>
        </w:rPr>
        <w:t>department</w:t>
      </w:r>
      <w:r w:rsidRPr="007B751B">
        <w:rPr>
          <w:rFonts w:asciiTheme="minorHAnsi" w:hAnsiTheme="minorHAnsi" w:cstheme="minorHAnsi"/>
        </w:rPr>
        <w:t xml:space="preserve"> will not commence an assessment to release a biological control agent unless the target has been approved by an appropriate government body. </w:t>
      </w:r>
      <w:r w:rsidR="00072B62" w:rsidRPr="007B751B">
        <w:rPr>
          <w:rFonts w:asciiTheme="minorHAnsi" w:hAnsiTheme="minorHAnsi" w:cstheme="minorHAnsi"/>
          <w:color w:val="000000" w:themeColor="text1"/>
        </w:rPr>
        <w:t>Lantana biological control programs have been operating since 1914</w:t>
      </w:r>
      <w:r w:rsidR="00CD60FD" w:rsidRPr="007B751B">
        <w:rPr>
          <w:rFonts w:asciiTheme="minorHAnsi" w:hAnsiTheme="minorHAnsi" w:cstheme="minorHAnsi"/>
          <w:color w:val="000000" w:themeColor="text1"/>
        </w:rPr>
        <w:t xml:space="preserve">, pre-existing the current approval processes. Therefore </w:t>
      </w:r>
      <w:r w:rsidR="002C2701" w:rsidRPr="007B751B">
        <w:rPr>
          <w:rFonts w:asciiTheme="minorHAnsi" w:hAnsiTheme="minorHAnsi" w:cstheme="minorHAnsi"/>
          <w:i/>
          <w:iCs/>
          <w:color w:val="000000" w:themeColor="text1"/>
        </w:rPr>
        <w:t>L. camara</w:t>
      </w:r>
      <w:r w:rsidR="00CD60FD" w:rsidRPr="007B751B">
        <w:rPr>
          <w:rFonts w:asciiTheme="minorHAnsi" w:hAnsiTheme="minorHAnsi" w:cstheme="minorHAnsi"/>
          <w:color w:val="000000" w:themeColor="text1"/>
        </w:rPr>
        <w:t xml:space="preserve"> is considered to be </w:t>
      </w:r>
      <w:r w:rsidR="002C2701" w:rsidRPr="007B751B">
        <w:rPr>
          <w:rFonts w:asciiTheme="minorHAnsi" w:hAnsiTheme="minorHAnsi" w:cstheme="minorHAnsi"/>
          <w:color w:val="000000" w:themeColor="text1"/>
        </w:rPr>
        <w:t xml:space="preserve">an </w:t>
      </w:r>
      <w:r w:rsidR="00CD60FD" w:rsidRPr="007B751B">
        <w:rPr>
          <w:rFonts w:asciiTheme="minorHAnsi" w:hAnsiTheme="minorHAnsi" w:cstheme="minorHAnsi"/>
          <w:color w:val="000000" w:themeColor="text1"/>
        </w:rPr>
        <w:t>approved</w:t>
      </w:r>
      <w:r w:rsidR="002C2701" w:rsidRPr="007B751B">
        <w:rPr>
          <w:rFonts w:asciiTheme="minorHAnsi" w:hAnsiTheme="minorHAnsi" w:cstheme="minorHAnsi"/>
          <w:color w:val="000000" w:themeColor="text1"/>
        </w:rPr>
        <w:t xml:space="preserve"> target for biological control</w:t>
      </w:r>
      <w:r w:rsidR="00CD60FD" w:rsidRPr="007B751B">
        <w:rPr>
          <w:rFonts w:asciiTheme="minorHAnsi" w:hAnsiTheme="minorHAnsi" w:cstheme="minorHAnsi"/>
          <w:color w:val="000000" w:themeColor="text1"/>
        </w:rPr>
        <w:t>.</w:t>
      </w:r>
    </w:p>
    <w:p w14:paraId="64EE1536" w14:textId="644F338E" w:rsidR="00736319" w:rsidRPr="00F85722" w:rsidRDefault="0091716D" w:rsidP="00F85722">
      <w:pPr>
        <w:pStyle w:val="Heading3"/>
      </w:pPr>
      <w:bookmarkStart w:id="22" w:name="_Toc216420319"/>
      <w:r w:rsidRPr="00F85722">
        <w:t>Associated</w:t>
      </w:r>
      <w:r w:rsidR="00D0393D" w:rsidRPr="00F85722">
        <w:t xml:space="preserve"> pests</w:t>
      </w:r>
      <w:bookmarkEnd w:id="22"/>
    </w:p>
    <w:p w14:paraId="78B6C048" w14:textId="4E4A2331" w:rsidR="004366BF" w:rsidRPr="007B751B" w:rsidRDefault="0091716D" w:rsidP="00967890">
      <w:pPr>
        <w:rPr>
          <w:rFonts w:asciiTheme="minorHAnsi" w:hAnsiTheme="minorHAnsi" w:cstheme="minorHAnsi"/>
        </w:rPr>
      </w:pPr>
      <w:r w:rsidRPr="007B751B">
        <w:rPr>
          <w:rFonts w:asciiTheme="minorHAnsi" w:hAnsiTheme="minorHAnsi" w:cstheme="minorHAnsi"/>
        </w:rPr>
        <w:t xml:space="preserve">There are pests that may arrive with an imported exotic biological control agent. Section 9 of the </w:t>
      </w:r>
      <w:r w:rsidRPr="007B751B">
        <w:rPr>
          <w:rFonts w:asciiTheme="minorHAnsi" w:hAnsiTheme="minorHAnsi" w:cstheme="minorHAnsi"/>
          <w:i/>
        </w:rPr>
        <w:t>Biosecurity Act 2015</w:t>
      </w:r>
      <w:r w:rsidRPr="007B751B">
        <w:rPr>
          <w:rFonts w:asciiTheme="minorHAnsi" w:hAnsiTheme="minorHAnsi" w:cstheme="minorHAnsi"/>
        </w:rPr>
        <w:t xml:space="preserve"> defines a pest as ‘a species, strain or biotype of plant or animal, or a disease agent, that has the potential to cause, either directly or indirectly, harm to: human, animal or plant health; or the environment.’ These pests may include, for example, </w:t>
      </w:r>
      <w:proofErr w:type="spellStart"/>
      <w:r w:rsidRPr="007B751B">
        <w:rPr>
          <w:rFonts w:asciiTheme="minorHAnsi" w:hAnsiTheme="minorHAnsi" w:cstheme="minorHAnsi"/>
        </w:rPr>
        <w:t>parasitoids</w:t>
      </w:r>
      <w:proofErr w:type="spellEnd"/>
      <w:r w:rsidRPr="007B751B">
        <w:rPr>
          <w:rFonts w:asciiTheme="minorHAnsi" w:hAnsiTheme="minorHAnsi" w:cstheme="minorHAnsi"/>
        </w:rPr>
        <w:t>, mites or fungi. Should an application to release a biological control agent be approved, these pests will be addressed by existing operational procedures that apply to the importation and final release of the agent. These procedures include detailed examination of imported material, confirmation of identity, and breeding under containment conditions before release. For this reason, associated pests are not further considered in this risk analysis.</w:t>
      </w:r>
    </w:p>
    <w:p w14:paraId="4F558B4F" w14:textId="5F98E864" w:rsidR="001E1702" w:rsidRDefault="001E1702" w:rsidP="00F85722">
      <w:pPr>
        <w:pStyle w:val="Heading3"/>
      </w:pPr>
      <w:bookmarkStart w:id="23" w:name="_Toc216420320"/>
      <w:r>
        <w:t>Consultation</w:t>
      </w:r>
      <w:bookmarkEnd w:id="23"/>
    </w:p>
    <w:p w14:paraId="22DF4B8D" w14:textId="01946294" w:rsidR="001E1702" w:rsidRPr="001E1702" w:rsidRDefault="001E1702" w:rsidP="001E1702">
      <w:pPr>
        <w:rPr>
          <w:rFonts w:asciiTheme="minorHAnsi" w:hAnsiTheme="minorHAnsi" w:cstheme="minorHAnsi"/>
        </w:rPr>
      </w:pPr>
      <w:r w:rsidRPr="001E1702">
        <w:rPr>
          <w:rFonts w:asciiTheme="minorHAnsi" w:hAnsiTheme="minorHAnsi" w:cstheme="minorHAnsi"/>
        </w:rPr>
        <w:t>In September 2025, a preliminary draft of this report was distributed to state and territory departments of primary industry via the Plant Health Committee and the Commonwealth Scientific and Industrial Research Organisation (CSIRO). There were no objections to the proposed recommendation to release</w:t>
      </w:r>
      <w:r>
        <w:rPr>
          <w:rFonts w:asciiTheme="minorHAnsi" w:hAnsiTheme="minorHAnsi" w:cstheme="minorHAnsi"/>
        </w:rPr>
        <w:t xml:space="preserve"> </w:t>
      </w:r>
      <w:r w:rsidRPr="001E1702">
        <w:rPr>
          <w:rFonts w:asciiTheme="minorHAnsi" w:hAnsiTheme="minorHAnsi" w:cstheme="minorHAnsi"/>
          <w:i/>
          <w:iCs/>
        </w:rPr>
        <w:t>P. lantanae</w:t>
      </w:r>
      <w:r>
        <w:rPr>
          <w:rFonts w:asciiTheme="minorHAnsi" w:hAnsiTheme="minorHAnsi" w:cstheme="minorHAnsi"/>
        </w:rPr>
        <w:t xml:space="preserve"> for the biological control of the weed lantana (</w:t>
      </w:r>
      <w:r w:rsidRPr="001E1702">
        <w:rPr>
          <w:rFonts w:asciiTheme="minorHAnsi" w:hAnsiTheme="minorHAnsi" w:cstheme="minorHAnsi"/>
          <w:i/>
          <w:iCs/>
        </w:rPr>
        <w:t>Lantana camara</w:t>
      </w:r>
      <w:r>
        <w:rPr>
          <w:rFonts w:asciiTheme="minorHAnsi" w:hAnsiTheme="minorHAnsi" w:cstheme="minorHAnsi"/>
        </w:rPr>
        <w:t>).</w:t>
      </w:r>
    </w:p>
    <w:p w14:paraId="59561957" w14:textId="531E5FFF" w:rsidR="00736319" w:rsidRPr="00F85722" w:rsidRDefault="00D0393D" w:rsidP="00F85722">
      <w:pPr>
        <w:pStyle w:val="Heading3"/>
      </w:pPr>
      <w:bookmarkStart w:id="24" w:name="_Toc216420321"/>
      <w:r w:rsidRPr="00F85722">
        <w:t>Next Steps</w:t>
      </w:r>
      <w:bookmarkEnd w:id="24"/>
    </w:p>
    <w:p w14:paraId="26F2A2D7" w14:textId="77777777" w:rsidR="00736319" w:rsidRPr="007B751B" w:rsidRDefault="00D0393D">
      <w:pPr>
        <w:rPr>
          <w:rFonts w:asciiTheme="minorHAnsi" w:hAnsiTheme="minorHAnsi" w:cstheme="minorHAnsi"/>
        </w:rPr>
      </w:pPr>
      <w:r w:rsidRPr="007B751B">
        <w:rPr>
          <w:rFonts w:asciiTheme="minorHAnsi" w:hAnsiTheme="minorHAnsi" w:cstheme="minorHAnsi"/>
        </w:rPr>
        <w:t>This draft report gives stakeholders the opportunity to comment and draw attention to any scientific, technical</w:t>
      </w:r>
      <w:r w:rsidR="007F4D3B" w:rsidRPr="007B751B">
        <w:rPr>
          <w:rFonts w:asciiTheme="minorHAnsi" w:hAnsiTheme="minorHAnsi" w:cstheme="minorHAnsi"/>
        </w:rPr>
        <w:t>,</w:t>
      </w:r>
      <w:r w:rsidRPr="007B751B">
        <w:rPr>
          <w:rFonts w:asciiTheme="minorHAnsi" w:hAnsiTheme="minorHAnsi" w:cstheme="minorHAnsi"/>
        </w:rPr>
        <w:t xml:space="preserve"> or other gaps in the data, </w:t>
      </w:r>
      <w:r w:rsidR="00971A74" w:rsidRPr="007B751B">
        <w:rPr>
          <w:rFonts w:asciiTheme="minorHAnsi" w:hAnsiTheme="minorHAnsi" w:cstheme="minorHAnsi"/>
        </w:rPr>
        <w:t xml:space="preserve">or </w:t>
      </w:r>
      <w:r w:rsidRPr="007B751B">
        <w:rPr>
          <w:rFonts w:asciiTheme="minorHAnsi" w:hAnsiTheme="minorHAnsi" w:cstheme="minorHAnsi"/>
        </w:rPr>
        <w:t xml:space="preserve">misinterpretations </w:t>
      </w:r>
      <w:r w:rsidR="00971A74" w:rsidRPr="007B751B">
        <w:rPr>
          <w:rFonts w:asciiTheme="minorHAnsi" w:hAnsiTheme="minorHAnsi" w:cstheme="minorHAnsi"/>
        </w:rPr>
        <w:t>or</w:t>
      </w:r>
      <w:r w:rsidRPr="007B751B">
        <w:rPr>
          <w:rFonts w:asciiTheme="minorHAnsi" w:hAnsiTheme="minorHAnsi" w:cstheme="minorHAnsi"/>
        </w:rPr>
        <w:t xml:space="preserve"> errors.</w:t>
      </w:r>
    </w:p>
    <w:p w14:paraId="455DC98D" w14:textId="77777777" w:rsidR="00736319" w:rsidRPr="007B751B" w:rsidRDefault="007F4D3B">
      <w:pPr>
        <w:rPr>
          <w:rFonts w:asciiTheme="minorHAnsi" w:hAnsiTheme="minorHAnsi" w:cstheme="minorHAnsi"/>
        </w:rPr>
      </w:pPr>
      <w:r w:rsidRPr="007B751B">
        <w:rPr>
          <w:rFonts w:asciiTheme="minorHAnsi" w:hAnsiTheme="minorHAnsi" w:cstheme="minorHAnsi"/>
        </w:rPr>
        <w:t>The d</w:t>
      </w:r>
      <w:r w:rsidR="00D0393D" w:rsidRPr="007B751B">
        <w:rPr>
          <w:rFonts w:asciiTheme="minorHAnsi" w:hAnsiTheme="minorHAnsi" w:cstheme="minorHAnsi"/>
        </w:rPr>
        <w:t xml:space="preserve">epartment will consider submissions received on the draft report and may consult informally with stakeholders. The department will revise the draft report as appropriate. The department will then prepare a final report, </w:t>
      </w:r>
      <w:proofErr w:type="gramStart"/>
      <w:r w:rsidR="00D0393D" w:rsidRPr="007B751B">
        <w:rPr>
          <w:rFonts w:asciiTheme="minorHAnsi" w:hAnsiTheme="minorHAnsi" w:cstheme="minorHAnsi"/>
        </w:rPr>
        <w:t>taking into account</w:t>
      </w:r>
      <w:proofErr w:type="gramEnd"/>
      <w:r w:rsidR="00D0393D" w:rsidRPr="007B751B">
        <w:rPr>
          <w:rFonts w:asciiTheme="minorHAnsi" w:hAnsiTheme="minorHAnsi" w:cstheme="minorHAnsi"/>
        </w:rPr>
        <w:t xml:space="preserve"> stakeholder comments.</w:t>
      </w:r>
    </w:p>
    <w:p w14:paraId="3A0A0FF2" w14:textId="7823D59E" w:rsidR="00736319" w:rsidRPr="007B751B" w:rsidRDefault="00D0393D">
      <w:pPr>
        <w:rPr>
          <w:rFonts w:asciiTheme="minorHAnsi" w:hAnsiTheme="minorHAnsi" w:cstheme="minorHAnsi"/>
        </w:rPr>
        <w:sectPr w:rsidR="00736319" w:rsidRPr="007B751B">
          <w:headerReference w:type="even" r:id="rId50"/>
          <w:headerReference w:type="default" r:id="rId51"/>
          <w:footerReference w:type="even" r:id="rId52"/>
          <w:footerReference w:type="default" r:id="rId53"/>
          <w:headerReference w:type="first" r:id="rId54"/>
          <w:footerReference w:type="first" r:id="rId55"/>
          <w:pgSz w:w="11906" w:h="16838"/>
          <w:pgMar w:top="1418" w:right="1418" w:bottom="1418" w:left="1418" w:header="567" w:footer="283" w:gutter="0"/>
          <w:cols w:space="708"/>
          <w:docGrid w:linePitch="360"/>
        </w:sectPr>
      </w:pPr>
      <w:r w:rsidRPr="007B751B">
        <w:rPr>
          <w:rFonts w:asciiTheme="minorHAnsi" w:hAnsiTheme="minorHAnsi" w:cstheme="minorHAnsi"/>
        </w:rPr>
        <w:t>The final report will be published on the department</w:t>
      </w:r>
      <w:r w:rsidR="007F4D3B" w:rsidRPr="007B751B">
        <w:rPr>
          <w:rFonts w:asciiTheme="minorHAnsi" w:hAnsiTheme="minorHAnsi" w:cstheme="minorHAnsi"/>
        </w:rPr>
        <w:t>’s</w:t>
      </w:r>
      <w:r w:rsidRPr="007B751B">
        <w:rPr>
          <w:rFonts w:asciiTheme="minorHAnsi" w:hAnsiTheme="minorHAnsi" w:cstheme="minorHAnsi"/>
        </w:rPr>
        <w:t xml:space="preserve"> website with a notice advising stakeholders of the release. The departmen</w:t>
      </w:r>
      <w:r w:rsidR="003F405A" w:rsidRPr="007B751B">
        <w:rPr>
          <w:rFonts w:asciiTheme="minorHAnsi" w:hAnsiTheme="minorHAnsi" w:cstheme="minorHAnsi"/>
        </w:rPr>
        <w:t xml:space="preserve">t will also notify the </w:t>
      </w:r>
      <w:r w:rsidR="00E71200" w:rsidRPr="007B751B">
        <w:rPr>
          <w:rFonts w:asciiTheme="minorHAnsi" w:hAnsiTheme="minorHAnsi" w:cstheme="minorHAnsi"/>
        </w:rPr>
        <w:t>applicant</w:t>
      </w:r>
      <w:r w:rsidR="003F405A" w:rsidRPr="007B751B">
        <w:rPr>
          <w:rFonts w:asciiTheme="minorHAnsi" w:hAnsiTheme="minorHAnsi" w:cstheme="minorHAnsi"/>
        </w:rPr>
        <w:t xml:space="preserve"> and</w:t>
      </w:r>
      <w:r w:rsidRPr="007B751B">
        <w:rPr>
          <w:rFonts w:asciiTheme="minorHAnsi" w:hAnsiTheme="minorHAnsi" w:cstheme="minorHAnsi"/>
        </w:rPr>
        <w:t xml:space="preserve"> registered stakeholders about the release of the final report. Publication of the final report represents the end of the</w:t>
      </w:r>
      <w:r w:rsidR="0057429D" w:rsidRPr="007B751B">
        <w:rPr>
          <w:rFonts w:asciiTheme="minorHAnsi" w:hAnsiTheme="minorHAnsi" w:cstheme="minorHAnsi"/>
        </w:rPr>
        <w:t xml:space="preserve"> risk analysis</w:t>
      </w:r>
      <w:r w:rsidRPr="007B751B">
        <w:rPr>
          <w:rFonts w:asciiTheme="minorHAnsi" w:hAnsiTheme="minorHAnsi" w:cstheme="minorHAnsi"/>
        </w:rPr>
        <w:t xml:space="preserve"> process.</w:t>
      </w:r>
      <w:r w:rsidR="0057429D" w:rsidRPr="007B751B">
        <w:rPr>
          <w:rFonts w:asciiTheme="minorHAnsi" w:hAnsiTheme="minorHAnsi" w:cstheme="minorHAnsi"/>
        </w:rPr>
        <w:t xml:space="preserve"> If the </w:t>
      </w:r>
      <w:r w:rsidR="004914D3" w:rsidRPr="007B751B">
        <w:rPr>
          <w:rFonts w:asciiTheme="minorHAnsi" w:hAnsiTheme="minorHAnsi" w:cstheme="minorHAnsi"/>
        </w:rPr>
        <w:t>department</w:t>
      </w:r>
      <w:r w:rsidR="0057429D" w:rsidRPr="007B751B">
        <w:rPr>
          <w:rFonts w:asciiTheme="minorHAnsi" w:hAnsiTheme="minorHAnsi" w:cstheme="minorHAnsi"/>
        </w:rPr>
        <w:t xml:space="preserve"> approves release of the biological control agent, a letter will be sent to the applicant providing conditions of release. </w:t>
      </w:r>
      <w:r w:rsidRPr="007B751B">
        <w:rPr>
          <w:rFonts w:asciiTheme="minorHAnsi" w:hAnsiTheme="minorHAnsi" w:cstheme="minorHAnsi"/>
        </w:rPr>
        <w:t xml:space="preserve"> </w:t>
      </w:r>
    </w:p>
    <w:p w14:paraId="2F129C12" w14:textId="0C3490FF" w:rsidR="00736319" w:rsidRDefault="006B0659" w:rsidP="00F85722">
      <w:pPr>
        <w:pStyle w:val="Heading2"/>
      </w:pPr>
      <w:bookmarkStart w:id="25" w:name="_Toc114642142"/>
      <w:bookmarkStart w:id="26" w:name="_Toc216420322"/>
      <w:r>
        <w:lastRenderedPageBreak/>
        <w:t>Assessment of off-target risks</w:t>
      </w:r>
      <w:bookmarkEnd w:id="25"/>
      <w:bookmarkEnd w:id="26"/>
    </w:p>
    <w:p w14:paraId="77FA1A41" w14:textId="1C858D48" w:rsidR="007B4BAD" w:rsidRPr="007B751B" w:rsidRDefault="007B4BAD" w:rsidP="007B4BAD">
      <w:pPr>
        <w:rPr>
          <w:rFonts w:asciiTheme="minorHAnsi" w:hAnsiTheme="minorHAnsi" w:cstheme="minorHAnsi"/>
        </w:rPr>
      </w:pPr>
      <w:r w:rsidRPr="007B751B">
        <w:rPr>
          <w:rFonts w:asciiTheme="minorHAnsi" w:hAnsiTheme="minorHAnsi" w:cstheme="minorHAnsi"/>
        </w:rPr>
        <w:t xml:space="preserve">This section sets out the assessment of off-target risks that could be associated with the release of the biological control agent. Where appropriate, the methods followed those used for pest risk analysis (PRA) by the </w:t>
      </w:r>
      <w:r w:rsidR="004914D3" w:rsidRPr="007B751B">
        <w:rPr>
          <w:rFonts w:asciiTheme="minorHAnsi" w:hAnsiTheme="minorHAnsi" w:cstheme="minorHAnsi"/>
        </w:rPr>
        <w:t>department</w:t>
      </w:r>
      <w:r w:rsidRPr="007B751B">
        <w:rPr>
          <w:rFonts w:asciiTheme="minorHAnsi" w:hAnsiTheme="minorHAnsi" w:cstheme="minorHAnsi"/>
        </w:rPr>
        <w:t xml:space="preserve"> </w:t>
      </w:r>
      <w:r w:rsidR="00DD7624" w:rsidRPr="007B751B">
        <w:rPr>
          <w:rFonts w:asciiTheme="minorHAnsi" w:hAnsiTheme="minorHAnsi" w:cstheme="minorHAnsi"/>
        </w:rPr>
        <w:t>which are consistent</w:t>
      </w:r>
      <w:r w:rsidRPr="007B751B">
        <w:rPr>
          <w:rFonts w:asciiTheme="minorHAnsi" w:hAnsiTheme="minorHAnsi" w:cstheme="minorHAnsi"/>
        </w:rPr>
        <w:t xml:space="preserve"> with the International Standards for Phytosanitary Measures (ISPMs), including ISPM 2: </w:t>
      </w:r>
      <w:r w:rsidRPr="007B751B">
        <w:rPr>
          <w:rFonts w:asciiTheme="minorHAnsi" w:hAnsiTheme="minorHAnsi" w:cstheme="minorHAnsi"/>
          <w:i/>
        </w:rPr>
        <w:t>Framework for pest risk analysis</w:t>
      </w:r>
      <w:r w:rsidRPr="007B751B">
        <w:rPr>
          <w:rFonts w:asciiTheme="minorHAnsi" w:hAnsiTheme="minorHAnsi" w:cstheme="minorHAnsi"/>
        </w:rPr>
        <w:t xml:space="preserve"> (FAO </w:t>
      </w:r>
      <w:r w:rsidR="00D21A8E" w:rsidRPr="007B751B">
        <w:rPr>
          <w:rFonts w:asciiTheme="minorHAnsi" w:hAnsiTheme="minorHAnsi" w:cstheme="minorHAnsi"/>
        </w:rPr>
        <w:t>2019a</w:t>
      </w:r>
      <w:r w:rsidRPr="007B751B">
        <w:rPr>
          <w:rFonts w:asciiTheme="minorHAnsi" w:hAnsiTheme="minorHAnsi" w:cstheme="minorHAnsi"/>
        </w:rPr>
        <w:t xml:space="preserve">), ISPM 3: </w:t>
      </w:r>
      <w:r w:rsidRPr="007B751B">
        <w:rPr>
          <w:rFonts w:asciiTheme="minorHAnsi" w:hAnsiTheme="minorHAnsi" w:cstheme="minorHAnsi"/>
          <w:i/>
        </w:rPr>
        <w:t>Guidelines for the export, shipment, import and release of biological control agents and other beneficial organisms</w:t>
      </w:r>
      <w:r w:rsidRPr="007B751B">
        <w:rPr>
          <w:rFonts w:asciiTheme="minorHAnsi" w:hAnsiTheme="minorHAnsi" w:cstheme="minorHAnsi"/>
        </w:rPr>
        <w:t xml:space="preserve"> (FAO 2017) and ISPM 11: </w:t>
      </w:r>
      <w:r w:rsidRPr="007B751B">
        <w:rPr>
          <w:rFonts w:asciiTheme="minorHAnsi" w:hAnsiTheme="minorHAnsi" w:cstheme="minorHAnsi"/>
          <w:i/>
        </w:rPr>
        <w:t>Pest risk analysis for quarantine pests</w:t>
      </w:r>
      <w:r w:rsidR="009D2A7D" w:rsidRPr="007B751B">
        <w:rPr>
          <w:rFonts w:asciiTheme="minorHAnsi" w:hAnsiTheme="minorHAnsi" w:cstheme="minorHAnsi"/>
        </w:rPr>
        <w:t xml:space="preserve"> (FAO </w:t>
      </w:r>
      <w:r w:rsidR="00B32D0B" w:rsidRPr="007B751B">
        <w:rPr>
          <w:rFonts w:asciiTheme="minorHAnsi" w:hAnsiTheme="minorHAnsi" w:cstheme="minorHAnsi"/>
        </w:rPr>
        <w:t>2019b</w:t>
      </w:r>
      <w:r w:rsidRPr="007B751B">
        <w:rPr>
          <w:rFonts w:asciiTheme="minorHAnsi" w:hAnsiTheme="minorHAnsi" w:cstheme="minorHAnsi"/>
        </w:rPr>
        <w:t xml:space="preserve">) </w:t>
      </w:r>
      <w:r w:rsidR="005B63AD" w:rsidRPr="007B751B">
        <w:rPr>
          <w:rFonts w:asciiTheme="minorHAnsi" w:hAnsiTheme="minorHAnsi" w:cstheme="minorHAnsi"/>
        </w:rPr>
        <w:t>and</w:t>
      </w:r>
      <w:r w:rsidRPr="007B751B">
        <w:rPr>
          <w:rFonts w:asciiTheme="minorHAnsi" w:hAnsiTheme="minorHAnsi" w:cstheme="minorHAnsi"/>
        </w:rPr>
        <w:t xml:space="preserve"> the </w:t>
      </w:r>
      <w:r w:rsidR="00714FFC" w:rsidRPr="007B751B">
        <w:rPr>
          <w:rFonts w:asciiTheme="minorHAnsi" w:hAnsiTheme="minorHAnsi" w:cstheme="minorHAnsi"/>
        </w:rPr>
        <w:t>WTO Agreement on the Application of Sanitary and Phytosanitary Measures (</w:t>
      </w:r>
      <w:r w:rsidR="00DD7624" w:rsidRPr="007B751B">
        <w:rPr>
          <w:rFonts w:asciiTheme="minorHAnsi" w:hAnsiTheme="minorHAnsi" w:cstheme="minorHAnsi"/>
        </w:rPr>
        <w:t xml:space="preserve">the </w:t>
      </w:r>
      <w:r w:rsidR="00714FFC" w:rsidRPr="007B751B">
        <w:rPr>
          <w:rFonts w:asciiTheme="minorHAnsi" w:hAnsiTheme="minorHAnsi" w:cstheme="minorHAnsi"/>
        </w:rPr>
        <w:t>SPS Agreement)</w:t>
      </w:r>
      <w:r w:rsidRPr="007B751B">
        <w:rPr>
          <w:rFonts w:asciiTheme="minorHAnsi" w:hAnsiTheme="minorHAnsi" w:cstheme="minorHAnsi"/>
        </w:rPr>
        <w:t xml:space="preserve"> (WTO 1995). The methodology for a commodity-based PRA is provided in Appendix A.</w:t>
      </w:r>
    </w:p>
    <w:p w14:paraId="50CE26E6" w14:textId="77777777" w:rsidR="007B4BAD" w:rsidRPr="007B751B" w:rsidRDefault="007B4BAD" w:rsidP="007B4BAD">
      <w:pPr>
        <w:rPr>
          <w:rFonts w:asciiTheme="minorHAnsi" w:hAnsiTheme="minorHAnsi" w:cstheme="minorHAnsi"/>
        </w:rPr>
      </w:pPr>
      <w:r w:rsidRPr="007B751B">
        <w:rPr>
          <w:rFonts w:asciiTheme="minorHAnsi" w:hAnsiTheme="minorHAnsi" w:cstheme="minorHAnsi"/>
        </w:rP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0FB725FE" w14:textId="77777777" w:rsidR="007B4BAD" w:rsidRPr="007B751B" w:rsidRDefault="007B4BAD" w:rsidP="007B4BAD">
      <w:pPr>
        <w:rPr>
          <w:rFonts w:asciiTheme="minorHAnsi" w:hAnsiTheme="minorHAnsi" w:cstheme="minorHAnsi"/>
        </w:rPr>
      </w:pPr>
      <w:r w:rsidRPr="007B751B">
        <w:rPr>
          <w:rFonts w:asciiTheme="minorHAnsi" w:hAnsiTheme="minorHAnsi" w:cstheme="minorHAnsi"/>
        </w:rPr>
        <w:t>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Table 2.1, marked ‘very low risk’, represents the</w:t>
      </w:r>
      <w:r w:rsidR="00C43C3E" w:rsidRPr="007B751B">
        <w:rPr>
          <w:rFonts w:asciiTheme="minorHAnsi" w:hAnsiTheme="minorHAnsi" w:cstheme="minorHAnsi"/>
        </w:rPr>
        <w:t xml:space="preserve"> upper boundary of the</w:t>
      </w:r>
      <w:r w:rsidRPr="007B751B">
        <w:rPr>
          <w:rFonts w:asciiTheme="minorHAnsi" w:hAnsiTheme="minorHAnsi" w:cstheme="minorHAnsi"/>
        </w:rPr>
        <w:t xml:space="preserve"> ALOP for Australia.</w:t>
      </w:r>
    </w:p>
    <w:p w14:paraId="00392BFD" w14:textId="77777777" w:rsidR="007B4BAD" w:rsidRPr="007B751B" w:rsidRDefault="007B4BAD" w:rsidP="007B4BAD">
      <w:pPr>
        <w:rPr>
          <w:rFonts w:asciiTheme="minorHAnsi" w:hAnsiTheme="minorHAnsi" w:cstheme="minorHAnsi"/>
        </w:rPr>
      </w:pPr>
      <w:r w:rsidRPr="007B751B">
        <w:rPr>
          <w:rFonts w:asciiTheme="minorHAnsi" w:hAnsiTheme="minorHAnsi" w:cstheme="minorHAnsi"/>
        </w:rPr>
        <w:t>The risk associated with the release of a biological control agent is a combination of the estimates of likelihood of off-target effects and the potential consequences of any off-target effects. A risk estimation matrix (Table 2.1) is used to combine these estimates.</w:t>
      </w:r>
    </w:p>
    <w:p w14:paraId="2C592A8E" w14:textId="13638585" w:rsidR="007B4BAD" w:rsidRPr="007B751B" w:rsidRDefault="007B4BAD" w:rsidP="007B4BAD">
      <w:pPr>
        <w:pStyle w:val="Caption"/>
        <w:rPr>
          <w:rFonts w:asciiTheme="minorHAnsi" w:hAnsiTheme="minorHAnsi" w:cstheme="minorHAnsi"/>
        </w:rPr>
      </w:pPr>
      <w:bookmarkStart w:id="27" w:name="_Toc506467523"/>
      <w:bookmarkStart w:id="28" w:name="_Toc112674175"/>
      <w:bookmarkStart w:id="29" w:name="_Toc216420330"/>
      <w:r w:rsidRPr="007B751B">
        <w:rPr>
          <w:rFonts w:asciiTheme="minorHAnsi" w:hAnsiTheme="minorHAnsi" w:cstheme="minorHAnsi"/>
        </w:rPr>
        <w:t>Table 2.</w:t>
      </w:r>
      <w:r w:rsidR="00C21661" w:rsidRPr="007B751B">
        <w:rPr>
          <w:rFonts w:asciiTheme="minorHAnsi" w:hAnsiTheme="minorHAnsi" w:cstheme="minorHAnsi"/>
          <w:noProof/>
        </w:rPr>
        <w:fldChar w:fldCharType="begin"/>
      </w:r>
      <w:r w:rsidR="00C21661" w:rsidRPr="007B751B">
        <w:rPr>
          <w:rFonts w:asciiTheme="minorHAnsi" w:hAnsiTheme="minorHAnsi" w:cstheme="minorHAnsi"/>
          <w:noProof/>
        </w:rPr>
        <w:instrText xml:space="preserve"> SEQ Table \* ARABIC </w:instrText>
      </w:r>
      <w:r w:rsidR="00C21661" w:rsidRPr="007B751B">
        <w:rPr>
          <w:rFonts w:asciiTheme="minorHAnsi" w:hAnsiTheme="minorHAnsi" w:cstheme="minorHAnsi"/>
          <w:noProof/>
        </w:rPr>
        <w:fldChar w:fldCharType="separate"/>
      </w:r>
      <w:r w:rsidR="00D07917">
        <w:rPr>
          <w:rFonts w:asciiTheme="minorHAnsi" w:hAnsiTheme="minorHAnsi" w:cstheme="minorHAnsi"/>
          <w:noProof/>
        </w:rPr>
        <w:t>1</w:t>
      </w:r>
      <w:r w:rsidR="00C21661" w:rsidRPr="007B751B">
        <w:rPr>
          <w:rFonts w:asciiTheme="minorHAnsi" w:hAnsiTheme="minorHAnsi" w:cstheme="minorHAnsi"/>
          <w:noProof/>
        </w:rPr>
        <w:fldChar w:fldCharType="end"/>
      </w:r>
      <w:r w:rsidRPr="007B751B">
        <w:rPr>
          <w:rFonts w:asciiTheme="minorHAnsi" w:hAnsiTheme="minorHAnsi" w:cstheme="minorHAnsi"/>
        </w:rPr>
        <w:t xml:space="preserve"> Risk estimation matrix.</w:t>
      </w:r>
      <w:bookmarkEnd w:id="27"/>
      <w:bookmarkEnd w:id="28"/>
      <w:bookmarkEnd w:id="29"/>
    </w:p>
    <w:tbl>
      <w:tblPr>
        <w:tblW w:w="5000" w:type="pct"/>
        <w:tblLook w:val="0000" w:firstRow="0" w:lastRow="0" w:firstColumn="0" w:lastColumn="0" w:noHBand="0" w:noVBand="0"/>
      </w:tblPr>
      <w:tblGrid>
        <w:gridCol w:w="1441"/>
        <w:gridCol w:w="1270"/>
        <w:gridCol w:w="1270"/>
        <w:gridCol w:w="1272"/>
        <w:gridCol w:w="1270"/>
        <w:gridCol w:w="1270"/>
        <w:gridCol w:w="1267"/>
      </w:tblGrid>
      <w:tr w:rsidR="007B4BAD" w14:paraId="45E71885" w14:textId="77777777" w:rsidTr="007B4BAD">
        <w:trPr>
          <w:cantSplit/>
          <w:trHeight w:val="551"/>
        </w:trPr>
        <w:tc>
          <w:tcPr>
            <w:tcW w:w="795" w:type="pct"/>
            <w:vMerge w:val="restart"/>
            <w:tcBorders>
              <w:top w:val="single" w:sz="4" w:space="0" w:color="auto"/>
              <w:left w:val="single" w:sz="4" w:space="0" w:color="auto"/>
              <w:bottom w:val="single" w:sz="4" w:space="0" w:color="BFBFBF"/>
            </w:tcBorders>
            <w:vAlign w:val="bottom"/>
          </w:tcPr>
          <w:p w14:paraId="73C2526A"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Likelihood of off-target effects</w:t>
            </w:r>
          </w:p>
        </w:tc>
        <w:tc>
          <w:tcPr>
            <w:tcW w:w="4205" w:type="pct"/>
            <w:gridSpan w:val="6"/>
            <w:tcBorders>
              <w:top w:val="single" w:sz="4" w:space="0" w:color="auto"/>
              <w:left w:val="nil"/>
              <w:bottom w:val="single" w:sz="4" w:space="0" w:color="BFBFBF"/>
              <w:right w:val="single" w:sz="4" w:space="0" w:color="auto"/>
            </w:tcBorders>
            <w:vAlign w:val="bottom"/>
          </w:tcPr>
          <w:p w14:paraId="00E0AA04"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Consequences of off-target effects</w:t>
            </w:r>
          </w:p>
        </w:tc>
      </w:tr>
      <w:tr w:rsidR="007B4BAD" w14:paraId="198BCCDD" w14:textId="77777777" w:rsidTr="007B4BAD">
        <w:trPr>
          <w:cantSplit/>
        </w:trPr>
        <w:tc>
          <w:tcPr>
            <w:tcW w:w="795" w:type="pct"/>
            <w:vMerge/>
            <w:tcBorders>
              <w:top w:val="single" w:sz="4" w:space="0" w:color="BFBFBF"/>
              <w:left w:val="single" w:sz="4" w:space="0" w:color="auto"/>
              <w:bottom w:val="single" w:sz="4" w:space="0" w:color="BFBFBF"/>
            </w:tcBorders>
          </w:tcPr>
          <w:p w14:paraId="4DA48194" w14:textId="77777777" w:rsidR="007B4BAD" w:rsidRPr="007B751B" w:rsidRDefault="007B4BAD" w:rsidP="00472B02">
            <w:pPr>
              <w:pStyle w:val="TableText"/>
              <w:rPr>
                <w:rFonts w:asciiTheme="minorHAnsi" w:hAnsiTheme="minorHAnsi" w:cstheme="minorHAnsi"/>
                <w:color w:val="FFFFFF"/>
              </w:rPr>
            </w:pPr>
          </w:p>
        </w:tc>
        <w:tc>
          <w:tcPr>
            <w:tcW w:w="701" w:type="pct"/>
            <w:tcBorders>
              <w:top w:val="single" w:sz="4" w:space="0" w:color="BFBFBF"/>
              <w:left w:val="nil"/>
              <w:bottom w:val="single" w:sz="8" w:space="0" w:color="C0C0C0"/>
            </w:tcBorders>
            <w:vAlign w:val="bottom"/>
          </w:tcPr>
          <w:p w14:paraId="3B0BF936"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 xml:space="preserve">Negligible </w:t>
            </w:r>
          </w:p>
        </w:tc>
        <w:tc>
          <w:tcPr>
            <w:tcW w:w="701" w:type="pct"/>
            <w:tcBorders>
              <w:top w:val="single" w:sz="4" w:space="0" w:color="BFBFBF"/>
              <w:bottom w:val="single" w:sz="8" w:space="0" w:color="C0C0C0"/>
            </w:tcBorders>
            <w:vAlign w:val="bottom"/>
          </w:tcPr>
          <w:p w14:paraId="55645C6A"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Very low</w:t>
            </w:r>
          </w:p>
        </w:tc>
        <w:tc>
          <w:tcPr>
            <w:tcW w:w="702" w:type="pct"/>
            <w:tcBorders>
              <w:top w:val="single" w:sz="4" w:space="0" w:color="BFBFBF"/>
              <w:bottom w:val="single" w:sz="8" w:space="0" w:color="C0C0C0"/>
            </w:tcBorders>
            <w:vAlign w:val="bottom"/>
          </w:tcPr>
          <w:p w14:paraId="063A3982"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 xml:space="preserve">Low </w:t>
            </w:r>
          </w:p>
        </w:tc>
        <w:tc>
          <w:tcPr>
            <w:tcW w:w="701" w:type="pct"/>
            <w:tcBorders>
              <w:top w:val="single" w:sz="4" w:space="0" w:color="BFBFBF"/>
              <w:bottom w:val="single" w:sz="8" w:space="0" w:color="C0C0C0"/>
            </w:tcBorders>
            <w:vAlign w:val="bottom"/>
          </w:tcPr>
          <w:p w14:paraId="02BCF264"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Moderate</w:t>
            </w:r>
          </w:p>
        </w:tc>
        <w:tc>
          <w:tcPr>
            <w:tcW w:w="701" w:type="pct"/>
            <w:tcBorders>
              <w:top w:val="single" w:sz="4" w:space="0" w:color="BFBFBF"/>
              <w:bottom w:val="single" w:sz="8" w:space="0" w:color="C0C0C0"/>
            </w:tcBorders>
            <w:vAlign w:val="bottom"/>
          </w:tcPr>
          <w:p w14:paraId="25ABA8B7"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High</w:t>
            </w:r>
          </w:p>
        </w:tc>
        <w:tc>
          <w:tcPr>
            <w:tcW w:w="699" w:type="pct"/>
            <w:tcBorders>
              <w:top w:val="single" w:sz="4" w:space="0" w:color="BFBFBF"/>
              <w:bottom w:val="single" w:sz="8" w:space="0" w:color="C0C0C0"/>
              <w:right w:val="single" w:sz="4" w:space="0" w:color="auto"/>
            </w:tcBorders>
            <w:vAlign w:val="bottom"/>
          </w:tcPr>
          <w:p w14:paraId="45744BC6"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 xml:space="preserve">Extreme </w:t>
            </w:r>
          </w:p>
        </w:tc>
      </w:tr>
      <w:tr w:rsidR="007B4BAD" w14:paraId="54356223"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233EFD46"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 xml:space="preserve">High </w:t>
            </w:r>
          </w:p>
        </w:tc>
        <w:tc>
          <w:tcPr>
            <w:tcW w:w="701" w:type="pct"/>
            <w:tcBorders>
              <w:top w:val="single" w:sz="4" w:space="0" w:color="D9D9D9"/>
              <w:left w:val="single" w:sz="4" w:space="0" w:color="D9D9D9"/>
              <w:bottom w:val="single" w:sz="8" w:space="0" w:color="C0C0C0"/>
              <w:right w:val="single" w:sz="8" w:space="0" w:color="C0C0C0"/>
            </w:tcBorders>
            <w:shd w:val="clear" w:color="auto" w:fill="F2F2F2"/>
          </w:tcPr>
          <w:p w14:paraId="428728BE"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4" w:space="0" w:color="D9D9D9"/>
              <w:left w:val="single" w:sz="8" w:space="0" w:color="C0C0C0"/>
              <w:bottom w:val="single" w:sz="8" w:space="0" w:color="C0C0C0"/>
              <w:right w:val="single" w:sz="8" w:space="0" w:color="C0C0C0"/>
            </w:tcBorders>
            <w:shd w:val="clear" w:color="auto" w:fill="000000"/>
          </w:tcPr>
          <w:p w14:paraId="5632D158" w14:textId="77777777" w:rsidR="007B4BAD" w:rsidRPr="007B751B" w:rsidRDefault="007B4BAD" w:rsidP="00472B02">
            <w:pPr>
              <w:pStyle w:val="TableText"/>
              <w:rPr>
                <w:rFonts w:asciiTheme="minorHAnsi" w:hAnsiTheme="minorHAnsi" w:cstheme="minorHAnsi"/>
                <w:color w:val="FFFFFF"/>
              </w:rPr>
            </w:pPr>
            <w:r w:rsidRPr="007B751B">
              <w:rPr>
                <w:rFonts w:asciiTheme="minorHAnsi" w:hAnsiTheme="minorHAnsi" w:cstheme="minorHAnsi"/>
                <w:color w:val="FFFFFF"/>
              </w:rPr>
              <w:t>Very low risk</w:t>
            </w:r>
          </w:p>
        </w:tc>
        <w:tc>
          <w:tcPr>
            <w:tcW w:w="702" w:type="pct"/>
            <w:tcBorders>
              <w:top w:val="single" w:sz="4" w:space="0" w:color="D9D9D9"/>
              <w:left w:val="single" w:sz="8" w:space="0" w:color="C0C0C0"/>
              <w:bottom w:val="single" w:sz="8" w:space="0" w:color="C0C0C0"/>
              <w:right w:val="single" w:sz="8" w:space="0" w:color="C0C0C0"/>
            </w:tcBorders>
            <w:shd w:val="clear" w:color="auto" w:fill="CCFFCC"/>
          </w:tcPr>
          <w:p w14:paraId="76961261"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Low risk</w:t>
            </w:r>
          </w:p>
        </w:tc>
        <w:tc>
          <w:tcPr>
            <w:tcW w:w="701" w:type="pct"/>
            <w:tcBorders>
              <w:top w:val="single" w:sz="4" w:space="0" w:color="D9D9D9"/>
              <w:left w:val="single" w:sz="8" w:space="0" w:color="C0C0C0"/>
              <w:bottom w:val="single" w:sz="8" w:space="0" w:color="C0C0C0"/>
              <w:right w:val="single" w:sz="8" w:space="0" w:color="C0C0C0"/>
            </w:tcBorders>
            <w:shd w:val="clear" w:color="auto" w:fill="FFFF99"/>
          </w:tcPr>
          <w:p w14:paraId="764C0547"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Moderate risk</w:t>
            </w:r>
          </w:p>
        </w:tc>
        <w:tc>
          <w:tcPr>
            <w:tcW w:w="701" w:type="pct"/>
            <w:tcBorders>
              <w:top w:val="single" w:sz="4" w:space="0" w:color="D9D9D9"/>
              <w:left w:val="single" w:sz="8" w:space="0" w:color="C0C0C0"/>
              <w:bottom w:val="single" w:sz="8" w:space="0" w:color="C0C0C0"/>
              <w:right w:val="single" w:sz="8" w:space="0" w:color="C0C0C0"/>
            </w:tcBorders>
            <w:shd w:val="clear" w:color="auto" w:fill="FFCC99"/>
          </w:tcPr>
          <w:p w14:paraId="5D736050"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High risk</w:t>
            </w:r>
          </w:p>
        </w:tc>
        <w:tc>
          <w:tcPr>
            <w:tcW w:w="699" w:type="pct"/>
            <w:tcBorders>
              <w:top w:val="single" w:sz="4" w:space="0" w:color="D9D9D9"/>
              <w:left w:val="single" w:sz="8" w:space="0" w:color="C0C0C0"/>
              <w:bottom w:val="single" w:sz="8" w:space="0" w:color="C0C0C0"/>
              <w:right w:val="single" w:sz="4" w:space="0" w:color="auto"/>
            </w:tcBorders>
            <w:shd w:val="clear" w:color="auto" w:fill="FF99CC"/>
          </w:tcPr>
          <w:p w14:paraId="2E42D014"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Extreme risk</w:t>
            </w:r>
          </w:p>
        </w:tc>
      </w:tr>
      <w:tr w:rsidR="007B4BAD" w14:paraId="69F42B34"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1F02AE83"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Moderate</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44ED8A3E"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67DD3E45" w14:textId="77777777" w:rsidR="007B4BAD" w:rsidRPr="007B751B" w:rsidRDefault="007B4BAD" w:rsidP="00472B02">
            <w:pPr>
              <w:pStyle w:val="TableText"/>
              <w:rPr>
                <w:rFonts w:asciiTheme="minorHAnsi" w:hAnsiTheme="minorHAnsi" w:cstheme="minorHAnsi"/>
                <w:color w:val="FFFFFF"/>
              </w:rPr>
            </w:pPr>
            <w:r w:rsidRPr="007B751B">
              <w:rPr>
                <w:rFonts w:asciiTheme="minorHAnsi" w:hAnsiTheme="minorHAnsi" w:cstheme="minorHAnsi"/>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2DAABD6D"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0A31C8B5"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32ED6D85"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High risk</w:t>
            </w:r>
          </w:p>
        </w:tc>
        <w:tc>
          <w:tcPr>
            <w:tcW w:w="699" w:type="pct"/>
            <w:tcBorders>
              <w:top w:val="single" w:sz="8" w:space="0" w:color="C0C0C0"/>
              <w:left w:val="single" w:sz="8" w:space="0" w:color="C0C0C0"/>
              <w:bottom w:val="single" w:sz="8" w:space="0" w:color="C0C0C0"/>
              <w:right w:val="single" w:sz="4" w:space="0" w:color="auto"/>
            </w:tcBorders>
            <w:shd w:val="clear" w:color="auto" w:fill="FF99CC"/>
          </w:tcPr>
          <w:p w14:paraId="598F4FC5"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Extreme risk</w:t>
            </w:r>
          </w:p>
        </w:tc>
      </w:tr>
      <w:tr w:rsidR="007B4BAD" w14:paraId="7E5736E9"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572A66A5"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10B0B258"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65B68ABF"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26F5A4BE" w14:textId="77777777" w:rsidR="007B4BAD" w:rsidRPr="007B751B" w:rsidRDefault="007B4BAD" w:rsidP="00472B02">
            <w:pPr>
              <w:pStyle w:val="TableText"/>
              <w:rPr>
                <w:rFonts w:asciiTheme="minorHAnsi" w:hAnsiTheme="minorHAnsi" w:cstheme="minorHAnsi"/>
                <w:color w:val="FFFFFF"/>
              </w:rPr>
            </w:pPr>
            <w:r w:rsidRPr="007B751B">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38BDE152"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6779C786"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Moderate risk</w:t>
            </w:r>
          </w:p>
        </w:tc>
        <w:tc>
          <w:tcPr>
            <w:tcW w:w="699" w:type="pct"/>
            <w:tcBorders>
              <w:top w:val="single" w:sz="8" w:space="0" w:color="C0C0C0"/>
              <w:left w:val="single" w:sz="8" w:space="0" w:color="C0C0C0"/>
              <w:bottom w:val="single" w:sz="8" w:space="0" w:color="C0C0C0"/>
              <w:right w:val="single" w:sz="4" w:space="0" w:color="auto"/>
            </w:tcBorders>
            <w:shd w:val="clear" w:color="auto" w:fill="FFCC99"/>
          </w:tcPr>
          <w:p w14:paraId="45E85D7C"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High risk</w:t>
            </w:r>
          </w:p>
        </w:tc>
      </w:tr>
      <w:tr w:rsidR="007B4BAD" w14:paraId="75A7F172"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72E272D1"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Very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745BA499"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7AC67857"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cPr>
          <w:p w14:paraId="2B039E10"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4D39A6A" w14:textId="77777777" w:rsidR="007B4BAD" w:rsidRPr="007B751B" w:rsidRDefault="007B4BAD" w:rsidP="00472B02">
            <w:pPr>
              <w:pStyle w:val="TableText"/>
              <w:rPr>
                <w:rFonts w:asciiTheme="minorHAnsi" w:hAnsiTheme="minorHAnsi" w:cstheme="minorHAnsi"/>
                <w:color w:val="FFFFFF"/>
              </w:rPr>
            </w:pPr>
            <w:r w:rsidRPr="007B751B">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4D79CBE"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Low risk</w:t>
            </w:r>
          </w:p>
        </w:tc>
        <w:tc>
          <w:tcPr>
            <w:tcW w:w="699" w:type="pct"/>
            <w:tcBorders>
              <w:top w:val="single" w:sz="8" w:space="0" w:color="C0C0C0"/>
              <w:left w:val="single" w:sz="8" w:space="0" w:color="C0C0C0"/>
              <w:bottom w:val="single" w:sz="8" w:space="0" w:color="C0C0C0"/>
              <w:right w:val="single" w:sz="4" w:space="0" w:color="auto"/>
            </w:tcBorders>
            <w:shd w:val="clear" w:color="auto" w:fill="FFFF99"/>
          </w:tcPr>
          <w:p w14:paraId="5EA4DC65"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Moderate risk</w:t>
            </w:r>
          </w:p>
        </w:tc>
      </w:tr>
      <w:tr w:rsidR="007B4BAD" w14:paraId="3662540E" w14:textId="77777777" w:rsidTr="007B4BAD">
        <w:trPr>
          <w:cantSplit/>
        </w:trPr>
        <w:tc>
          <w:tcPr>
            <w:tcW w:w="795" w:type="pct"/>
            <w:tcBorders>
              <w:top w:val="single" w:sz="4" w:space="0" w:color="BFBFBF"/>
              <w:left w:val="single" w:sz="4" w:space="0" w:color="auto"/>
              <w:bottom w:val="single" w:sz="4" w:space="0" w:color="BFBFBF"/>
              <w:right w:val="single" w:sz="4" w:space="0" w:color="D9D9D9"/>
            </w:tcBorders>
          </w:tcPr>
          <w:p w14:paraId="46E68BB0"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Extremely low</w:t>
            </w:r>
          </w:p>
        </w:tc>
        <w:tc>
          <w:tcPr>
            <w:tcW w:w="701" w:type="pct"/>
            <w:tcBorders>
              <w:top w:val="single" w:sz="8" w:space="0" w:color="C0C0C0"/>
              <w:left w:val="single" w:sz="4" w:space="0" w:color="D9D9D9"/>
              <w:bottom w:val="single" w:sz="8" w:space="0" w:color="C0C0C0"/>
              <w:right w:val="single" w:sz="8" w:space="0" w:color="C0C0C0"/>
            </w:tcBorders>
            <w:shd w:val="clear" w:color="auto" w:fill="F2F2F2"/>
          </w:tcPr>
          <w:p w14:paraId="1589C0B9"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60B32E41"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cPr>
          <w:p w14:paraId="55026487"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cPr>
          <w:p w14:paraId="57D784FB"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2156748" w14:textId="77777777" w:rsidR="007B4BAD" w:rsidRPr="007B751B" w:rsidRDefault="007B4BAD" w:rsidP="00472B02">
            <w:pPr>
              <w:pStyle w:val="TableText"/>
              <w:rPr>
                <w:rFonts w:asciiTheme="minorHAnsi" w:hAnsiTheme="minorHAnsi" w:cstheme="minorHAnsi"/>
                <w:color w:val="FFFFFF"/>
              </w:rPr>
            </w:pPr>
            <w:r w:rsidRPr="007B751B">
              <w:rPr>
                <w:rFonts w:asciiTheme="minorHAnsi" w:hAnsiTheme="minorHAnsi" w:cstheme="minorHAnsi"/>
                <w:color w:val="FFFFFF"/>
              </w:rPr>
              <w:t>Very low risk</w:t>
            </w:r>
          </w:p>
        </w:tc>
        <w:tc>
          <w:tcPr>
            <w:tcW w:w="699" w:type="pct"/>
            <w:tcBorders>
              <w:top w:val="single" w:sz="8" w:space="0" w:color="C0C0C0"/>
              <w:left w:val="single" w:sz="8" w:space="0" w:color="C0C0C0"/>
              <w:bottom w:val="single" w:sz="8" w:space="0" w:color="C0C0C0"/>
              <w:right w:val="single" w:sz="4" w:space="0" w:color="auto"/>
            </w:tcBorders>
            <w:shd w:val="clear" w:color="auto" w:fill="CCFFCC"/>
          </w:tcPr>
          <w:p w14:paraId="0A27DD52"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Low risk</w:t>
            </w:r>
          </w:p>
        </w:tc>
      </w:tr>
      <w:tr w:rsidR="007B4BAD" w14:paraId="55CE21B5" w14:textId="77777777" w:rsidTr="007B4BAD">
        <w:trPr>
          <w:cantSplit/>
        </w:trPr>
        <w:tc>
          <w:tcPr>
            <w:tcW w:w="795" w:type="pct"/>
            <w:tcBorders>
              <w:top w:val="single" w:sz="4" w:space="0" w:color="BFBFBF"/>
              <w:left w:val="single" w:sz="4" w:space="0" w:color="auto"/>
              <w:bottom w:val="single" w:sz="4" w:space="0" w:color="auto"/>
              <w:right w:val="single" w:sz="4" w:space="0" w:color="D9D9D9"/>
            </w:tcBorders>
          </w:tcPr>
          <w:p w14:paraId="753F6F92"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 xml:space="preserve">Negligible </w:t>
            </w:r>
          </w:p>
        </w:tc>
        <w:tc>
          <w:tcPr>
            <w:tcW w:w="701" w:type="pct"/>
            <w:tcBorders>
              <w:top w:val="single" w:sz="8" w:space="0" w:color="C0C0C0"/>
              <w:left w:val="single" w:sz="4" w:space="0" w:color="D9D9D9"/>
              <w:bottom w:val="single" w:sz="4" w:space="0" w:color="auto"/>
              <w:right w:val="single" w:sz="8" w:space="0" w:color="C0C0C0"/>
            </w:tcBorders>
            <w:shd w:val="clear" w:color="auto" w:fill="F2F2F2"/>
          </w:tcPr>
          <w:p w14:paraId="1DA8246F"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14:paraId="568A7B7B"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cPr>
          <w:p w14:paraId="19B010A0"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14:paraId="127A9608"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cPr>
          <w:p w14:paraId="03DA6476" w14:textId="77777777" w:rsidR="007B4BAD" w:rsidRPr="007B751B" w:rsidRDefault="007B4BAD" w:rsidP="00472B02">
            <w:pPr>
              <w:pStyle w:val="TableText"/>
              <w:rPr>
                <w:rFonts w:asciiTheme="minorHAnsi" w:hAnsiTheme="minorHAnsi" w:cstheme="minorHAnsi"/>
              </w:rPr>
            </w:pPr>
            <w:r w:rsidRPr="007B751B">
              <w:rPr>
                <w:rFonts w:asciiTheme="minorHAnsi" w:hAnsiTheme="minorHAnsi" w:cstheme="minorHAnsi"/>
              </w:rPr>
              <w:t>Negligible risk</w:t>
            </w:r>
          </w:p>
        </w:tc>
        <w:tc>
          <w:tcPr>
            <w:tcW w:w="699" w:type="pct"/>
            <w:tcBorders>
              <w:top w:val="single" w:sz="8" w:space="0" w:color="C0C0C0"/>
              <w:left w:val="single" w:sz="8" w:space="0" w:color="C0C0C0"/>
              <w:bottom w:val="single" w:sz="4" w:space="0" w:color="auto"/>
              <w:right w:val="single" w:sz="4" w:space="0" w:color="auto"/>
            </w:tcBorders>
            <w:shd w:val="clear" w:color="auto" w:fill="000000"/>
          </w:tcPr>
          <w:p w14:paraId="6C4CB524" w14:textId="77777777" w:rsidR="007B4BAD" w:rsidRPr="007B751B" w:rsidRDefault="007B4BAD" w:rsidP="00472B02">
            <w:pPr>
              <w:pStyle w:val="TableText"/>
              <w:rPr>
                <w:rFonts w:asciiTheme="minorHAnsi" w:hAnsiTheme="minorHAnsi" w:cstheme="minorHAnsi"/>
                <w:color w:val="FFFFFF"/>
              </w:rPr>
            </w:pPr>
            <w:r w:rsidRPr="007B751B">
              <w:rPr>
                <w:rFonts w:asciiTheme="minorHAnsi" w:hAnsiTheme="minorHAnsi" w:cstheme="minorHAnsi"/>
                <w:color w:val="FFFFFF"/>
              </w:rPr>
              <w:t>Very low risk</w:t>
            </w:r>
          </w:p>
        </w:tc>
      </w:tr>
    </w:tbl>
    <w:p w14:paraId="17EA47D2" w14:textId="762C2295" w:rsidR="007B4BAD" w:rsidRPr="00F74DCD" w:rsidRDefault="007B4BAD" w:rsidP="00B96F59">
      <w:pPr>
        <w:pStyle w:val="Heading3"/>
      </w:pPr>
      <w:bookmarkStart w:id="30" w:name="_Toc114642143"/>
      <w:bookmarkStart w:id="31" w:name="_Toc216420323"/>
      <w:r w:rsidRPr="00F74DCD">
        <w:t>Stage 1</w:t>
      </w:r>
      <w:r w:rsidR="005E3C5C" w:rsidRPr="00F74DCD">
        <w:t>:</w:t>
      </w:r>
      <w:r w:rsidRPr="00F74DCD">
        <w:t xml:space="preserve"> Initiation</w:t>
      </w:r>
      <w:bookmarkEnd w:id="30"/>
      <w:bookmarkEnd w:id="31"/>
    </w:p>
    <w:p w14:paraId="11D1F26C" w14:textId="231CE9C6" w:rsidR="007B4BAD" w:rsidRPr="007B751B" w:rsidRDefault="007B4BAD" w:rsidP="007B4BAD">
      <w:pPr>
        <w:rPr>
          <w:rFonts w:asciiTheme="minorHAnsi" w:hAnsiTheme="minorHAnsi" w:cstheme="minorHAnsi"/>
        </w:rPr>
      </w:pPr>
      <w:r w:rsidRPr="007B751B">
        <w:rPr>
          <w:rFonts w:asciiTheme="minorHAnsi" w:hAnsiTheme="minorHAnsi" w:cstheme="minorHAnsi"/>
        </w:rPr>
        <w:t>Initiation commences when an applicant provides a submission proposing the release of a biological control agent.</w:t>
      </w:r>
      <w:r w:rsidR="00C6395B" w:rsidRPr="007B751B">
        <w:rPr>
          <w:rFonts w:asciiTheme="minorHAnsi" w:hAnsiTheme="minorHAnsi" w:cstheme="minorHAnsi"/>
        </w:rPr>
        <w:t xml:space="preserve"> The </w:t>
      </w:r>
      <w:r w:rsidR="004914D3" w:rsidRPr="007B751B">
        <w:rPr>
          <w:rFonts w:asciiTheme="minorHAnsi" w:hAnsiTheme="minorHAnsi" w:cstheme="minorHAnsi"/>
        </w:rPr>
        <w:t>department</w:t>
      </w:r>
      <w:r w:rsidR="00C6395B" w:rsidRPr="007B751B">
        <w:rPr>
          <w:rFonts w:asciiTheme="minorHAnsi" w:hAnsiTheme="minorHAnsi" w:cstheme="minorHAnsi"/>
        </w:rPr>
        <w:t xml:space="preserve"> will not commence an assessment to release a biological control agent unless the target </w:t>
      </w:r>
      <w:r w:rsidR="00714FFC" w:rsidRPr="007B751B">
        <w:rPr>
          <w:rFonts w:asciiTheme="minorHAnsi" w:hAnsiTheme="minorHAnsi" w:cstheme="minorHAnsi"/>
        </w:rPr>
        <w:t xml:space="preserve">pest in the submission </w:t>
      </w:r>
      <w:r w:rsidR="00C6395B" w:rsidRPr="007B751B">
        <w:rPr>
          <w:rFonts w:asciiTheme="minorHAnsi" w:hAnsiTheme="minorHAnsi" w:cstheme="minorHAnsi"/>
        </w:rPr>
        <w:t xml:space="preserve">has been approved </w:t>
      </w:r>
      <w:r w:rsidR="00714FFC" w:rsidRPr="007B751B">
        <w:rPr>
          <w:rFonts w:asciiTheme="minorHAnsi" w:hAnsiTheme="minorHAnsi" w:cstheme="minorHAnsi"/>
        </w:rPr>
        <w:t xml:space="preserve">as a biological control target </w:t>
      </w:r>
      <w:r w:rsidR="00C6395B" w:rsidRPr="007B751B">
        <w:rPr>
          <w:rFonts w:asciiTheme="minorHAnsi" w:hAnsiTheme="minorHAnsi" w:cstheme="minorHAnsi"/>
        </w:rPr>
        <w:t>by an appropriate government body.</w:t>
      </w:r>
    </w:p>
    <w:p w14:paraId="3E4DD660" w14:textId="3954A41B" w:rsidR="007B4BAD" w:rsidRPr="007B751B" w:rsidRDefault="007B4BAD" w:rsidP="007B4BAD">
      <w:pPr>
        <w:rPr>
          <w:rFonts w:asciiTheme="minorHAnsi" w:hAnsiTheme="minorHAnsi" w:cstheme="minorHAnsi"/>
        </w:rPr>
      </w:pPr>
      <w:r w:rsidRPr="007B751B">
        <w:rPr>
          <w:rFonts w:asciiTheme="minorHAnsi" w:hAnsiTheme="minorHAnsi" w:cstheme="minorHAnsi"/>
        </w:rPr>
        <w:t>The risk analysis area is defined as all of Australia</w:t>
      </w:r>
      <w:r w:rsidR="00601359" w:rsidRPr="007B751B">
        <w:rPr>
          <w:rFonts w:asciiTheme="minorHAnsi" w:hAnsiTheme="minorHAnsi" w:cstheme="minorHAnsi"/>
        </w:rPr>
        <w:t xml:space="preserve"> (excluding its external territories),</w:t>
      </w:r>
      <w:r w:rsidRPr="007B751B">
        <w:rPr>
          <w:rFonts w:asciiTheme="minorHAnsi" w:hAnsiTheme="minorHAnsi" w:cstheme="minorHAnsi"/>
        </w:rPr>
        <w:t xml:space="preserve"> given that once released there will be no control of spread of the agent other than environmental constraints related to the biology of the organism.</w:t>
      </w:r>
    </w:p>
    <w:p w14:paraId="4B26031B" w14:textId="3ADCA5F0" w:rsidR="007B4BAD" w:rsidRPr="00F74DCD" w:rsidRDefault="007B4BAD" w:rsidP="00B96F59">
      <w:pPr>
        <w:pStyle w:val="Heading3"/>
      </w:pPr>
      <w:bookmarkStart w:id="32" w:name="_Toc506467509"/>
      <w:bookmarkStart w:id="33" w:name="_Toc114642144"/>
      <w:bookmarkStart w:id="34" w:name="_Toc216420324"/>
      <w:r w:rsidRPr="00F74DCD">
        <w:lastRenderedPageBreak/>
        <w:t>Stage 2</w:t>
      </w:r>
      <w:r w:rsidR="005E3C5C" w:rsidRPr="00F74DCD">
        <w:t>:</w:t>
      </w:r>
      <w:r w:rsidRPr="00F74DCD">
        <w:t xml:space="preserve"> Risk assessment</w:t>
      </w:r>
      <w:bookmarkEnd w:id="32"/>
      <w:bookmarkEnd w:id="33"/>
      <w:bookmarkEnd w:id="34"/>
    </w:p>
    <w:p w14:paraId="0C5201AC" w14:textId="77777777" w:rsidR="007B4BAD" w:rsidRPr="007B751B" w:rsidRDefault="007B4BAD" w:rsidP="007B4BAD">
      <w:pPr>
        <w:rPr>
          <w:rFonts w:asciiTheme="minorHAnsi" w:hAnsiTheme="minorHAnsi" w:cstheme="minorHAnsi"/>
        </w:rPr>
      </w:pPr>
      <w:r w:rsidRPr="007B751B">
        <w:rPr>
          <w:rFonts w:asciiTheme="minorHAnsi" w:hAnsiTheme="minorHAnsi" w:cstheme="minorHAnsi"/>
        </w:rPr>
        <w:t xml:space="preserve">This assessment evaluates the likelihood of off-target effects and the potential economic and environmental consequences of </w:t>
      </w:r>
      <w:r w:rsidR="00C43C3E" w:rsidRPr="007B751B">
        <w:rPr>
          <w:rFonts w:asciiTheme="minorHAnsi" w:hAnsiTheme="minorHAnsi" w:cstheme="minorHAnsi"/>
        </w:rPr>
        <w:t>any such</w:t>
      </w:r>
      <w:r w:rsidRPr="007B751B">
        <w:rPr>
          <w:rFonts w:asciiTheme="minorHAnsi" w:hAnsiTheme="minorHAnsi" w:cstheme="minorHAnsi"/>
        </w:rPr>
        <w:t xml:space="preserve"> effects.</w:t>
      </w:r>
    </w:p>
    <w:p w14:paraId="4116D550" w14:textId="77777777" w:rsidR="007B4BAD" w:rsidRPr="007B751B" w:rsidRDefault="00CB6892" w:rsidP="007B4BAD">
      <w:pPr>
        <w:rPr>
          <w:rFonts w:asciiTheme="minorHAnsi" w:hAnsiTheme="minorHAnsi" w:cstheme="minorHAnsi"/>
        </w:rPr>
      </w:pPr>
      <w:r w:rsidRPr="007B751B">
        <w:rPr>
          <w:rFonts w:asciiTheme="minorHAnsi" w:hAnsiTheme="minorHAnsi" w:cstheme="minorHAnsi"/>
        </w:rPr>
        <w:t xml:space="preserve">The risk assessment is based primarily on consideration of the information provided by the applicant in the application package, including the results of host specificity testing, and current information in the scientific literature, where this is available. </w:t>
      </w:r>
      <w:r w:rsidR="007B4BAD" w:rsidRPr="007B751B">
        <w:rPr>
          <w:rFonts w:asciiTheme="minorHAnsi" w:hAnsiTheme="minorHAnsi" w:cstheme="minorHAnsi"/>
        </w:rPr>
        <w:t>Given that the proposal is for deliberate release, the likelihood of entry, establishment and spread is assumed to be certain</w:t>
      </w:r>
      <w:r w:rsidR="00C43C3E" w:rsidRPr="007B751B">
        <w:rPr>
          <w:rFonts w:asciiTheme="minorHAnsi" w:hAnsiTheme="minorHAnsi" w:cstheme="minorHAnsi"/>
        </w:rPr>
        <w:t>,</w:t>
      </w:r>
      <w:r w:rsidR="007B4BAD" w:rsidRPr="007B751B">
        <w:rPr>
          <w:rFonts w:asciiTheme="minorHAnsi" w:hAnsiTheme="minorHAnsi" w:cstheme="minorHAnsi"/>
        </w:rPr>
        <w:t xml:space="preserve"> and therefore the assessment relates to the host specificity of the proposed agent.</w:t>
      </w:r>
    </w:p>
    <w:p w14:paraId="24022FE3" w14:textId="5B8CAB0D" w:rsidR="007B4BAD" w:rsidRPr="007B751B" w:rsidRDefault="007B4BAD" w:rsidP="007B4BAD">
      <w:pPr>
        <w:rPr>
          <w:rFonts w:asciiTheme="minorHAnsi" w:hAnsiTheme="minorHAnsi" w:cstheme="minorHAnsi"/>
        </w:rPr>
      </w:pPr>
      <w:r w:rsidRPr="007B751B">
        <w:rPr>
          <w:rFonts w:asciiTheme="minorHAnsi" w:hAnsiTheme="minorHAnsi" w:cstheme="minorHAnsi"/>
        </w:rPr>
        <w:t>A likelihood is assigned to the estimate of</w:t>
      </w:r>
      <w:r w:rsidR="00C43C3E" w:rsidRPr="007B751B">
        <w:rPr>
          <w:rFonts w:asciiTheme="minorHAnsi" w:hAnsiTheme="minorHAnsi" w:cstheme="minorHAnsi"/>
        </w:rPr>
        <w:t xml:space="preserve"> occurrence of</w:t>
      </w:r>
      <w:r w:rsidRPr="007B751B">
        <w:rPr>
          <w:rFonts w:asciiTheme="minorHAnsi" w:hAnsiTheme="minorHAnsi" w:cstheme="minorHAnsi"/>
        </w:rPr>
        <w:t xml:space="preserve"> off-target effects. Six descriptors are used: high; moderate; low; very low; extremely lo</w:t>
      </w:r>
      <w:r w:rsidR="007635BE" w:rsidRPr="007B751B">
        <w:rPr>
          <w:rFonts w:asciiTheme="minorHAnsi" w:hAnsiTheme="minorHAnsi" w:cstheme="minorHAnsi"/>
        </w:rPr>
        <w:t>w; and negligible. D</w:t>
      </w:r>
      <w:r w:rsidRPr="007B751B">
        <w:rPr>
          <w:rFonts w:asciiTheme="minorHAnsi" w:hAnsiTheme="minorHAnsi" w:cstheme="minorHAnsi"/>
        </w:rPr>
        <w:t xml:space="preserve">efinitions for these descriptors and their indicative ranges are given in Appendix A, Table </w:t>
      </w:r>
      <w:r w:rsidR="00F07DA9" w:rsidRPr="007B751B">
        <w:rPr>
          <w:rFonts w:asciiTheme="minorHAnsi" w:hAnsiTheme="minorHAnsi" w:cstheme="minorHAnsi"/>
        </w:rPr>
        <w:t>A.</w:t>
      </w:r>
      <w:r w:rsidRPr="007B751B">
        <w:rPr>
          <w:rFonts w:asciiTheme="minorHAnsi" w:hAnsiTheme="minorHAnsi" w:cstheme="minorHAnsi"/>
        </w:rPr>
        <w:t>1.</w:t>
      </w:r>
    </w:p>
    <w:p w14:paraId="02F3D86F" w14:textId="77777777" w:rsidR="00AA431D" w:rsidRPr="00B96F59" w:rsidRDefault="00AA431D" w:rsidP="00B96F59">
      <w:pPr>
        <w:pStyle w:val="Heading4"/>
      </w:pPr>
      <w:r w:rsidRPr="00B96F59">
        <w:t>Host specificity testing methodology</w:t>
      </w:r>
    </w:p>
    <w:p w14:paraId="5FC2B9F1" w14:textId="13E65983" w:rsidR="00AA431D" w:rsidRPr="007B751B" w:rsidRDefault="006204F2" w:rsidP="00AA431D">
      <w:pPr>
        <w:rPr>
          <w:rFonts w:asciiTheme="minorHAnsi" w:hAnsiTheme="minorHAnsi" w:cstheme="minorHAnsi"/>
        </w:rPr>
      </w:pPr>
      <w:r w:rsidRPr="007B751B">
        <w:rPr>
          <w:rFonts w:asciiTheme="minorHAnsi" w:hAnsiTheme="minorHAnsi" w:cstheme="minorHAnsi"/>
        </w:rPr>
        <w:t>The following information</w:t>
      </w:r>
      <w:r w:rsidR="00951DEA" w:rsidRPr="007B751B">
        <w:rPr>
          <w:rFonts w:asciiTheme="minorHAnsi" w:hAnsiTheme="minorHAnsi" w:cstheme="minorHAnsi"/>
        </w:rPr>
        <w:t xml:space="preserve"> regarding host specificity testing has been sourced from the application provided by QD</w:t>
      </w:r>
      <w:r w:rsidR="00743092">
        <w:rPr>
          <w:rFonts w:asciiTheme="minorHAnsi" w:hAnsiTheme="minorHAnsi" w:cstheme="minorHAnsi"/>
        </w:rPr>
        <w:t>PI</w:t>
      </w:r>
      <w:r w:rsidR="00951DEA" w:rsidRPr="007B751B">
        <w:rPr>
          <w:rFonts w:asciiTheme="minorHAnsi" w:hAnsiTheme="minorHAnsi" w:cstheme="minorHAnsi"/>
        </w:rPr>
        <w:t xml:space="preserve"> (Attachment 1). For further details please refer to the application and its appendices.</w:t>
      </w:r>
      <w:r w:rsidR="008F32D2" w:rsidRPr="007B751B">
        <w:rPr>
          <w:rFonts w:asciiTheme="minorHAnsi" w:hAnsiTheme="minorHAnsi" w:cstheme="minorHAnsi"/>
        </w:rPr>
        <w:t xml:space="preserve"> The methodology is also fully described in </w:t>
      </w:r>
      <w:hyperlink r:id="rId56" w:history="1">
        <w:r w:rsidR="008F32D2" w:rsidRPr="004222F8">
          <w:rPr>
            <w:rStyle w:val="Hyperlink"/>
            <w:rFonts w:asciiTheme="minorHAnsi" w:hAnsiTheme="minorHAnsi" w:cstheme="minorHAnsi"/>
          </w:rPr>
          <w:t xml:space="preserve">Thomas et al </w:t>
        </w:r>
        <w:r w:rsidR="009C1154" w:rsidRPr="004222F8">
          <w:rPr>
            <w:rStyle w:val="Hyperlink"/>
            <w:rFonts w:asciiTheme="minorHAnsi" w:hAnsiTheme="minorHAnsi" w:cstheme="minorHAnsi"/>
          </w:rPr>
          <w:t>(</w:t>
        </w:r>
        <w:r w:rsidR="008F32D2" w:rsidRPr="004222F8">
          <w:rPr>
            <w:rStyle w:val="Hyperlink"/>
            <w:rFonts w:asciiTheme="minorHAnsi" w:hAnsiTheme="minorHAnsi" w:cstheme="minorHAnsi"/>
          </w:rPr>
          <w:t>2021</w:t>
        </w:r>
        <w:r w:rsidR="009C1154" w:rsidRPr="004222F8">
          <w:rPr>
            <w:rStyle w:val="Hyperlink"/>
            <w:rFonts w:asciiTheme="minorHAnsi" w:hAnsiTheme="minorHAnsi" w:cstheme="minorHAnsi"/>
          </w:rPr>
          <w:t>)</w:t>
        </w:r>
      </w:hyperlink>
      <w:r w:rsidR="008F32D2" w:rsidRPr="007B751B">
        <w:rPr>
          <w:rFonts w:asciiTheme="minorHAnsi" w:hAnsiTheme="minorHAnsi" w:cstheme="minorHAnsi"/>
        </w:rPr>
        <w:t>.</w:t>
      </w:r>
      <w:r w:rsidR="001758F9" w:rsidRPr="007B751B">
        <w:rPr>
          <w:rFonts w:asciiTheme="minorHAnsi" w:hAnsiTheme="minorHAnsi" w:cstheme="minorHAnsi"/>
        </w:rPr>
        <w:t xml:space="preserve"> </w:t>
      </w:r>
    </w:p>
    <w:p w14:paraId="475E8FF5" w14:textId="03056544" w:rsidR="00951DEA" w:rsidRPr="007B751B" w:rsidRDefault="00355C1F" w:rsidP="00AA431D">
      <w:pPr>
        <w:rPr>
          <w:rFonts w:asciiTheme="minorHAnsi" w:hAnsiTheme="minorHAnsi" w:cstheme="minorHAnsi"/>
        </w:rPr>
      </w:pPr>
      <w:r w:rsidRPr="007B751B">
        <w:rPr>
          <w:rFonts w:asciiTheme="minorHAnsi" w:hAnsiTheme="minorHAnsi" w:cstheme="minorHAnsi"/>
        </w:rPr>
        <w:t>In order to predict whether any non-target</w:t>
      </w:r>
      <w:r w:rsidR="008F32D2" w:rsidRPr="007B751B">
        <w:rPr>
          <w:rFonts w:asciiTheme="minorHAnsi" w:hAnsiTheme="minorHAnsi" w:cstheme="minorHAnsi"/>
        </w:rPr>
        <w:t xml:space="preserve"> species would be at risk from the candidate agent, host specificity testing was conducted with </w:t>
      </w:r>
      <w:r w:rsidR="008F32D2" w:rsidRPr="007B751B">
        <w:rPr>
          <w:rFonts w:asciiTheme="minorHAnsi" w:hAnsiTheme="minorHAnsi" w:cstheme="minorHAnsi"/>
          <w:i/>
          <w:iCs/>
        </w:rPr>
        <w:t>P. lantanae</w:t>
      </w:r>
      <w:r w:rsidR="008F32D2" w:rsidRPr="007B751B">
        <w:rPr>
          <w:rFonts w:asciiTheme="minorHAnsi" w:hAnsiTheme="minorHAnsi" w:cstheme="minorHAnsi"/>
        </w:rPr>
        <w:t xml:space="preserve"> under contained conditions at CABI in the UK.</w:t>
      </w:r>
      <w:r w:rsidR="005346DF" w:rsidRPr="007B751B">
        <w:rPr>
          <w:rFonts w:asciiTheme="minorHAnsi" w:hAnsiTheme="minorHAnsi" w:cstheme="minorHAnsi"/>
        </w:rPr>
        <w:t xml:space="preserve"> Host specificity testing was carried out on</w:t>
      </w:r>
      <w:r w:rsidR="00CE5CCD" w:rsidRPr="007B751B">
        <w:rPr>
          <w:rFonts w:asciiTheme="minorHAnsi" w:hAnsiTheme="minorHAnsi" w:cstheme="minorHAnsi"/>
        </w:rPr>
        <w:t xml:space="preserve"> 5</w:t>
      </w:r>
      <w:r w:rsidR="00743092">
        <w:rPr>
          <w:rFonts w:asciiTheme="minorHAnsi" w:hAnsiTheme="minorHAnsi" w:cstheme="minorHAnsi"/>
        </w:rPr>
        <w:t>5</w:t>
      </w:r>
      <w:r w:rsidR="00CE5CCD" w:rsidRPr="007B751B">
        <w:rPr>
          <w:rFonts w:asciiTheme="minorHAnsi" w:hAnsiTheme="minorHAnsi" w:cstheme="minorHAnsi"/>
        </w:rPr>
        <w:t xml:space="preserve"> non-target plant species. A total of 2</w:t>
      </w:r>
      <w:r w:rsidR="002B5CD3">
        <w:rPr>
          <w:rFonts w:asciiTheme="minorHAnsi" w:hAnsiTheme="minorHAnsi" w:cstheme="minorHAnsi"/>
        </w:rPr>
        <w:t>4</w:t>
      </w:r>
      <w:r w:rsidR="00CE5CCD" w:rsidRPr="007B751B">
        <w:rPr>
          <w:rFonts w:asciiTheme="minorHAnsi" w:hAnsiTheme="minorHAnsi" w:cstheme="minorHAnsi"/>
        </w:rPr>
        <w:t xml:space="preserve"> species were tested from the Verbenaceae family, to which the target weed belongs and 31 species were tested from 14 other families</w:t>
      </w:r>
      <w:r w:rsidR="00CD2608" w:rsidRPr="007B751B">
        <w:rPr>
          <w:rFonts w:asciiTheme="minorHAnsi" w:hAnsiTheme="minorHAnsi" w:cstheme="minorHAnsi"/>
        </w:rPr>
        <w:t xml:space="preserve"> within the order </w:t>
      </w:r>
      <w:proofErr w:type="spellStart"/>
      <w:r w:rsidR="00CD2608" w:rsidRPr="007B751B">
        <w:rPr>
          <w:rFonts w:asciiTheme="minorHAnsi" w:hAnsiTheme="minorHAnsi" w:cstheme="minorHAnsi"/>
        </w:rPr>
        <w:t>Lamiales</w:t>
      </w:r>
      <w:proofErr w:type="spellEnd"/>
      <w:r w:rsidR="00CE5CCD" w:rsidRPr="007B751B">
        <w:rPr>
          <w:rFonts w:asciiTheme="minorHAnsi" w:hAnsiTheme="minorHAnsi" w:cstheme="minorHAnsi"/>
        </w:rPr>
        <w:t>.</w:t>
      </w:r>
    </w:p>
    <w:p w14:paraId="2666BA72" w14:textId="6DF3F18D" w:rsidR="00CE5CCD" w:rsidRPr="007B751B" w:rsidRDefault="00CE5CCD" w:rsidP="00AA431D">
      <w:pPr>
        <w:rPr>
          <w:rFonts w:asciiTheme="minorHAnsi" w:hAnsiTheme="minorHAnsi" w:cstheme="minorHAnsi"/>
          <w:bCs/>
          <w:iCs/>
        </w:rPr>
      </w:pPr>
      <w:r w:rsidRPr="007B751B">
        <w:rPr>
          <w:rFonts w:asciiTheme="minorHAnsi" w:hAnsiTheme="minorHAnsi" w:cstheme="minorHAnsi"/>
          <w:bCs/>
          <w:iCs/>
        </w:rPr>
        <w:t>The host test list was compiled using the phylogenetic centrifugal approach, placing greater emphasis on closely related species to the target weed (Briese 2005). Within this framework representatives were chosen from native, ornamental, naturalised and weedy species.</w:t>
      </w:r>
    </w:p>
    <w:p w14:paraId="682C0925" w14:textId="1FB2395B" w:rsidR="00020BB4" w:rsidRPr="007B751B" w:rsidRDefault="00CD2608" w:rsidP="00AA431D">
      <w:pPr>
        <w:rPr>
          <w:rFonts w:asciiTheme="minorHAnsi" w:hAnsiTheme="minorHAnsi" w:cstheme="minorHAnsi"/>
        </w:rPr>
      </w:pPr>
      <w:r w:rsidRPr="007B751B">
        <w:rPr>
          <w:rFonts w:asciiTheme="minorHAnsi" w:hAnsiTheme="minorHAnsi" w:cstheme="minorHAnsi"/>
          <w:i/>
          <w:iCs/>
        </w:rPr>
        <w:t>Lantana camara</w:t>
      </w:r>
      <w:r w:rsidRPr="007B751B">
        <w:rPr>
          <w:rFonts w:asciiTheme="minorHAnsi" w:hAnsiTheme="minorHAnsi" w:cstheme="minorHAnsi"/>
        </w:rPr>
        <w:t xml:space="preserve"> plants used as control plants for host specificity testing were the “Brisbane common pink” variety. Non-</w:t>
      </w:r>
      <w:r w:rsidR="008D7B31" w:rsidRPr="007B751B">
        <w:rPr>
          <w:rFonts w:asciiTheme="minorHAnsi" w:hAnsiTheme="minorHAnsi" w:cstheme="minorHAnsi"/>
        </w:rPr>
        <w:t>target plant species were obtained as seeds or stem cuttings from the Queensland Government, Manaaki Whenua Landcare Research (New Zealand), Agricultural Research Council Plant Protection Research Institute (South Africa) or nurseries in the UK.</w:t>
      </w:r>
    </w:p>
    <w:p w14:paraId="5207EE55" w14:textId="451F1814" w:rsidR="009B1D59" w:rsidRDefault="009B1D59" w:rsidP="009B1D59">
      <w:pPr>
        <w:pStyle w:val="Heading6"/>
      </w:pPr>
      <w:r>
        <w:t>Host specificity tests</w:t>
      </w:r>
    </w:p>
    <w:p w14:paraId="3476A349" w14:textId="349F831B" w:rsidR="009B1D59" w:rsidRPr="007B751B" w:rsidRDefault="00171AF6" w:rsidP="00AA431D">
      <w:pPr>
        <w:rPr>
          <w:rFonts w:asciiTheme="minorHAnsi" w:hAnsiTheme="minorHAnsi" w:cstheme="minorHAnsi"/>
        </w:rPr>
      </w:pPr>
      <w:r w:rsidRPr="007B751B">
        <w:rPr>
          <w:rFonts w:asciiTheme="minorHAnsi" w:hAnsiTheme="minorHAnsi" w:cstheme="minorHAnsi"/>
        </w:rPr>
        <w:t xml:space="preserve">As described in the application (Attachment 1), </w:t>
      </w:r>
      <w:r w:rsidR="00896855" w:rsidRPr="007B751B">
        <w:rPr>
          <w:rFonts w:asciiTheme="minorHAnsi" w:hAnsiTheme="minorHAnsi" w:cstheme="minorHAnsi"/>
        </w:rPr>
        <w:t xml:space="preserve">the purified isolate (IMI 398849) of </w:t>
      </w:r>
      <w:r w:rsidR="00896855" w:rsidRPr="007B751B">
        <w:rPr>
          <w:rFonts w:asciiTheme="minorHAnsi" w:hAnsiTheme="minorHAnsi" w:cstheme="minorHAnsi"/>
          <w:i/>
          <w:iCs/>
        </w:rPr>
        <w:t>P. lantanae</w:t>
      </w:r>
      <w:r w:rsidR="00896855" w:rsidRPr="007B751B">
        <w:rPr>
          <w:rFonts w:asciiTheme="minorHAnsi" w:hAnsiTheme="minorHAnsi" w:cstheme="minorHAnsi"/>
        </w:rPr>
        <w:t xml:space="preserve"> used in all host specificity testing was originally collected from a site in </w:t>
      </w:r>
      <w:proofErr w:type="spellStart"/>
      <w:r w:rsidR="002B5CD3">
        <w:rPr>
          <w:rFonts w:asciiTheme="minorHAnsi" w:hAnsiTheme="minorHAnsi" w:cstheme="minorHAnsi"/>
        </w:rPr>
        <w:t>Tamshiyacu</w:t>
      </w:r>
      <w:proofErr w:type="spellEnd"/>
      <w:r w:rsidR="002B5CD3">
        <w:rPr>
          <w:rFonts w:asciiTheme="minorHAnsi" w:hAnsiTheme="minorHAnsi" w:cstheme="minorHAnsi"/>
        </w:rPr>
        <w:t>,</w:t>
      </w:r>
      <w:r w:rsidR="00896855" w:rsidRPr="007B751B">
        <w:rPr>
          <w:rFonts w:asciiTheme="minorHAnsi" w:hAnsiTheme="minorHAnsi" w:cstheme="minorHAnsi"/>
        </w:rPr>
        <w:t xml:space="preserve"> Peru.</w:t>
      </w:r>
    </w:p>
    <w:p w14:paraId="66EA22B7" w14:textId="4178F37B" w:rsidR="00896855" w:rsidRPr="007B751B" w:rsidRDefault="00896855" w:rsidP="00AA431D">
      <w:pPr>
        <w:rPr>
          <w:rFonts w:asciiTheme="minorHAnsi" w:hAnsiTheme="minorHAnsi" w:cstheme="minorHAnsi"/>
        </w:rPr>
      </w:pPr>
      <w:r w:rsidRPr="007B751B">
        <w:rPr>
          <w:rFonts w:asciiTheme="minorHAnsi" w:hAnsiTheme="minorHAnsi" w:cstheme="minorHAnsi"/>
        </w:rPr>
        <w:t>Where possible</w:t>
      </w:r>
      <w:r w:rsidR="00DA459F" w:rsidRPr="007B751B">
        <w:rPr>
          <w:rFonts w:asciiTheme="minorHAnsi" w:hAnsiTheme="minorHAnsi" w:cstheme="minorHAnsi"/>
        </w:rPr>
        <w:t>, each test run included four replicate plants. There were two test runs</w:t>
      </w:r>
      <w:r w:rsidR="003073C5" w:rsidRPr="007B751B">
        <w:rPr>
          <w:rFonts w:asciiTheme="minorHAnsi" w:hAnsiTheme="minorHAnsi" w:cstheme="minorHAnsi"/>
        </w:rPr>
        <w:t>.</w:t>
      </w:r>
      <w:r w:rsidR="00DA459F" w:rsidRPr="007B751B">
        <w:rPr>
          <w:rFonts w:asciiTheme="minorHAnsi" w:hAnsiTheme="minorHAnsi" w:cstheme="minorHAnsi"/>
        </w:rPr>
        <w:t xml:space="preserve"> </w:t>
      </w:r>
      <w:r w:rsidR="003073C5" w:rsidRPr="007B751B">
        <w:rPr>
          <w:rFonts w:asciiTheme="minorHAnsi" w:hAnsiTheme="minorHAnsi" w:cstheme="minorHAnsi"/>
        </w:rPr>
        <w:t>The target total number</w:t>
      </w:r>
      <w:r w:rsidR="00DA459F" w:rsidRPr="007B751B">
        <w:rPr>
          <w:rFonts w:asciiTheme="minorHAnsi" w:hAnsiTheme="minorHAnsi" w:cstheme="minorHAnsi"/>
        </w:rPr>
        <w:t xml:space="preserve"> of replicates </w:t>
      </w:r>
      <w:r w:rsidR="003073C5" w:rsidRPr="007B751B">
        <w:rPr>
          <w:rFonts w:asciiTheme="minorHAnsi" w:hAnsiTheme="minorHAnsi" w:cstheme="minorHAnsi"/>
        </w:rPr>
        <w:t>was</w:t>
      </w:r>
      <w:r w:rsidR="00DA459F" w:rsidRPr="007B751B">
        <w:rPr>
          <w:rFonts w:asciiTheme="minorHAnsi" w:hAnsiTheme="minorHAnsi" w:cstheme="minorHAnsi"/>
        </w:rPr>
        <w:t xml:space="preserve"> six for each species</w:t>
      </w:r>
      <w:r w:rsidR="003073C5" w:rsidRPr="007B751B">
        <w:rPr>
          <w:rFonts w:asciiTheme="minorHAnsi" w:hAnsiTheme="minorHAnsi" w:cstheme="minorHAnsi"/>
        </w:rPr>
        <w:t>, however some plant species had less replicates due to a limited number of available plants</w:t>
      </w:r>
      <w:r w:rsidR="00DA459F" w:rsidRPr="007B751B">
        <w:rPr>
          <w:rFonts w:asciiTheme="minorHAnsi" w:hAnsiTheme="minorHAnsi" w:cstheme="minorHAnsi"/>
        </w:rPr>
        <w:t>.</w:t>
      </w:r>
      <w:r w:rsidR="004B6DF7" w:rsidRPr="007B751B">
        <w:rPr>
          <w:rFonts w:asciiTheme="minorHAnsi" w:hAnsiTheme="minorHAnsi" w:cstheme="minorHAnsi"/>
        </w:rPr>
        <w:t xml:space="preserve"> A positive control, using </w:t>
      </w:r>
      <w:r w:rsidR="004B6DF7" w:rsidRPr="007B751B">
        <w:rPr>
          <w:rFonts w:asciiTheme="minorHAnsi" w:hAnsiTheme="minorHAnsi" w:cstheme="minorHAnsi"/>
          <w:i/>
          <w:iCs/>
        </w:rPr>
        <w:t>L. camara</w:t>
      </w:r>
      <w:r w:rsidR="004B6DF7" w:rsidRPr="007B751B">
        <w:rPr>
          <w:rFonts w:asciiTheme="minorHAnsi" w:hAnsiTheme="minorHAnsi" w:cstheme="minorHAnsi"/>
        </w:rPr>
        <w:t xml:space="preserve"> ‘Brisbane common pink’, was included in each test run.</w:t>
      </w:r>
    </w:p>
    <w:p w14:paraId="2698FF53" w14:textId="40887EBD" w:rsidR="00C95351" w:rsidRPr="007B751B" w:rsidRDefault="00085775" w:rsidP="00AA431D">
      <w:pPr>
        <w:rPr>
          <w:rFonts w:asciiTheme="minorHAnsi" w:hAnsiTheme="minorHAnsi" w:cstheme="minorHAnsi"/>
        </w:rPr>
      </w:pPr>
      <w:r w:rsidRPr="007B751B">
        <w:rPr>
          <w:rFonts w:asciiTheme="minorHAnsi" w:hAnsiTheme="minorHAnsi" w:cstheme="minorHAnsi"/>
        </w:rPr>
        <w:t>All test plants (including controls) were inoculated in a dew chamber held at 20°C for 48 hours. After 48 hours the inoculum was inspected in order to evaluate the level of sporulation and test plants were also examined to ensure that they were correctly positioned under the inoculum. If during this initial inspection no sporulation of the inoculum ha</w:t>
      </w:r>
      <w:r w:rsidR="00C83904">
        <w:rPr>
          <w:rFonts w:asciiTheme="minorHAnsi" w:hAnsiTheme="minorHAnsi" w:cstheme="minorHAnsi"/>
        </w:rPr>
        <w:t>d</w:t>
      </w:r>
      <w:r w:rsidRPr="007B751B">
        <w:rPr>
          <w:rFonts w:asciiTheme="minorHAnsi" w:hAnsiTheme="minorHAnsi" w:cstheme="minorHAnsi"/>
        </w:rPr>
        <w:t xml:space="preserve"> occurred or plants were discovered to be </w:t>
      </w:r>
      <w:r w:rsidRPr="007B751B">
        <w:rPr>
          <w:rFonts w:asciiTheme="minorHAnsi" w:hAnsiTheme="minorHAnsi" w:cstheme="minorHAnsi"/>
        </w:rPr>
        <w:lastRenderedPageBreak/>
        <w:t xml:space="preserve">incorrectly positioned and no symptoms were observed after </w:t>
      </w:r>
      <w:r w:rsidR="003A7194">
        <w:rPr>
          <w:rFonts w:asciiTheme="minorHAnsi" w:hAnsiTheme="minorHAnsi" w:cstheme="minorHAnsi"/>
        </w:rPr>
        <w:t>six</w:t>
      </w:r>
      <w:r w:rsidRPr="007B751B">
        <w:rPr>
          <w:rFonts w:asciiTheme="minorHAnsi" w:hAnsiTheme="minorHAnsi" w:cstheme="minorHAnsi"/>
        </w:rPr>
        <w:t xml:space="preserve"> weeks, these plants were excluded from the analysis.</w:t>
      </w:r>
    </w:p>
    <w:p w14:paraId="010948D6" w14:textId="28540123" w:rsidR="00B82CA0" w:rsidRPr="007B751B" w:rsidRDefault="00B82CA0" w:rsidP="00AA431D">
      <w:pPr>
        <w:rPr>
          <w:rFonts w:asciiTheme="minorHAnsi" w:hAnsiTheme="minorHAnsi" w:cstheme="minorHAnsi"/>
        </w:rPr>
      </w:pPr>
      <w:r w:rsidRPr="007B751B">
        <w:rPr>
          <w:rFonts w:asciiTheme="minorHAnsi" w:hAnsiTheme="minorHAnsi" w:cstheme="minorHAnsi"/>
        </w:rPr>
        <w:t>Two inoculation methods were used for testing: a qualitative and a quantitative method. The qualitative</w:t>
      </w:r>
      <w:r w:rsidR="00300781" w:rsidRPr="007B751B">
        <w:rPr>
          <w:rFonts w:asciiTheme="minorHAnsi" w:hAnsiTheme="minorHAnsi" w:cstheme="minorHAnsi"/>
        </w:rPr>
        <w:t xml:space="preserve"> method</w:t>
      </w:r>
      <w:r w:rsidR="008F6EED" w:rsidRPr="007B751B">
        <w:rPr>
          <w:rFonts w:asciiTheme="minorHAnsi" w:hAnsiTheme="minorHAnsi" w:cstheme="minorHAnsi"/>
        </w:rPr>
        <w:t xml:space="preserve"> was used for all test plants, whereby a large amount of inoculum at differ</w:t>
      </w:r>
      <w:r w:rsidR="00BC014E" w:rsidRPr="007B751B">
        <w:rPr>
          <w:rFonts w:asciiTheme="minorHAnsi" w:hAnsiTheme="minorHAnsi" w:cstheme="minorHAnsi"/>
        </w:rPr>
        <w:t>ing</w:t>
      </w:r>
      <w:r w:rsidR="008F6EED" w:rsidRPr="007B751B">
        <w:rPr>
          <w:rFonts w:asciiTheme="minorHAnsi" w:hAnsiTheme="minorHAnsi" w:cstheme="minorHAnsi"/>
        </w:rPr>
        <w:t xml:space="preserve"> concentrations</w:t>
      </w:r>
      <w:r w:rsidR="00BC014E" w:rsidRPr="007B751B">
        <w:rPr>
          <w:rFonts w:asciiTheme="minorHAnsi" w:hAnsiTheme="minorHAnsi" w:cstheme="minorHAnsi"/>
        </w:rPr>
        <w:t xml:space="preserve"> was used. The quantitative method was only used for </w:t>
      </w:r>
      <w:r w:rsidR="00BC014E" w:rsidRPr="007B751B">
        <w:rPr>
          <w:rFonts w:asciiTheme="minorHAnsi" w:hAnsiTheme="minorHAnsi" w:cstheme="minorHAnsi"/>
          <w:i/>
          <w:iCs/>
        </w:rPr>
        <w:t xml:space="preserve">Verbena </w:t>
      </w:r>
      <w:proofErr w:type="spellStart"/>
      <w:r w:rsidR="00BC014E" w:rsidRPr="007B751B">
        <w:rPr>
          <w:rFonts w:asciiTheme="minorHAnsi" w:hAnsiTheme="minorHAnsi" w:cstheme="minorHAnsi"/>
          <w:i/>
          <w:iCs/>
        </w:rPr>
        <w:t>africana</w:t>
      </w:r>
      <w:proofErr w:type="spellEnd"/>
      <w:r w:rsidR="00BC014E" w:rsidRPr="007B751B">
        <w:rPr>
          <w:rFonts w:asciiTheme="minorHAnsi" w:hAnsiTheme="minorHAnsi" w:cstheme="minorHAnsi"/>
        </w:rPr>
        <w:t xml:space="preserve"> and </w:t>
      </w:r>
      <w:r w:rsidR="00BC014E" w:rsidRPr="007B751B">
        <w:rPr>
          <w:rFonts w:asciiTheme="minorHAnsi" w:hAnsiTheme="minorHAnsi" w:cstheme="minorHAnsi"/>
          <w:i/>
          <w:iCs/>
        </w:rPr>
        <w:t xml:space="preserve">V. </w:t>
      </w:r>
      <w:proofErr w:type="spellStart"/>
      <w:r w:rsidR="00BC014E" w:rsidRPr="007B751B">
        <w:rPr>
          <w:rFonts w:asciiTheme="minorHAnsi" w:hAnsiTheme="minorHAnsi" w:cstheme="minorHAnsi"/>
          <w:i/>
          <w:iCs/>
        </w:rPr>
        <w:t>gaudichaudii</w:t>
      </w:r>
      <w:proofErr w:type="spellEnd"/>
      <w:r w:rsidR="00BC014E" w:rsidRPr="007B751B">
        <w:rPr>
          <w:rFonts w:asciiTheme="minorHAnsi" w:hAnsiTheme="minorHAnsi" w:cstheme="minorHAnsi"/>
        </w:rPr>
        <w:t xml:space="preserve"> and used a more precise dose. Two similar but slightly different quantitative methods were used for the two plant species assessed using this method. </w:t>
      </w:r>
    </w:p>
    <w:p w14:paraId="3433F9E4" w14:textId="24FBC6D7" w:rsidR="008D3B1E" w:rsidRPr="007B751B" w:rsidRDefault="008D3B1E" w:rsidP="00AA431D">
      <w:pPr>
        <w:rPr>
          <w:rFonts w:asciiTheme="minorHAnsi" w:hAnsiTheme="minorHAnsi" w:cstheme="minorHAnsi"/>
          <w:b/>
          <w:bCs/>
        </w:rPr>
      </w:pPr>
      <w:r w:rsidRPr="007B751B">
        <w:rPr>
          <w:rFonts w:asciiTheme="minorHAnsi" w:hAnsiTheme="minorHAnsi" w:cstheme="minorHAnsi"/>
          <w:b/>
          <w:bCs/>
        </w:rPr>
        <w:t>Qualitative method</w:t>
      </w:r>
    </w:p>
    <w:p w14:paraId="368D268F" w14:textId="6E2C3FB7" w:rsidR="008D3B1E" w:rsidRPr="007B751B" w:rsidRDefault="00420110" w:rsidP="00AA431D">
      <w:pPr>
        <w:rPr>
          <w:rFonts w:asciiTheme="minorHAnsi" w:hAnsiTheme="minorHAnsi" w:cstheme="minorHAnsi"/>
        </w:rPr>
      </w:pPr>
      <w:r w:rsidRPr="007B751B">
        <w:rPr>
          <w:rFonts w:asciiTheme="minorHAnsi" w:hAnsiTheme="minorHAnsi" w:cstheme="minorHAnsi"/>
        </w:rPr>
        <w:t xml:space="preserve">Inoculum containing dense teliospores </w:t>
      </w:r>
      <w:r w:rsidR="000E33BA" w:rsidRPr="007B751B">
        <w:rPr>
          <w:rFonts w:asciiTheme="minorHAnsi" w:hAnsiTheme="minorHAnsi" w:cstheme="minorHAnsi"/>
        </w:rPr>
        <w:t>measuring at least 5 mm² was used to challenge test plants</w:t>
      </w:r>
      <w:r w:rsidR="008A778F" w:rsidRPr="007B751B">
        <w:rPr>
          <w:rFonts w:asciiTheme="minorHAnsi" w:hAnsiTheme="minorHAnsi" w:cstheme="minorHAnsi"/>
        </w:rPr>
        <w:t xml:space="preserve">, with multiple pieces of inoculum </w:t>
      </w:r>
      <w:r w:rsidR="00132FC5" w:rsidRPr="007B751B">
        <w:rPr>
          <w:rFonts w:asciiTheme="minorHAnsi" w:hAnsiTheme="minorHAnsi" w:cstheme="minorHAnsi"/>
        </w:rPr>
        <w:t xml:space="preserve">(minimum of 3) </w:t>
      </w:r>
      <w:r w:rsidR="008A778F" w:rsidRPr="007B751B">
        <w:rPr>
          <w:rFonts w:asciiTheme="minorHAnsi" w:hAnsiTheme="minorHAnsi" w:cstheme="minorHAnsi"/>
        </w:rPr>
        <w:t>used per plant</w:t>
      </w:r>
      <w:r w:rsidR="000E33BA" w:rsidRPr="007B751B">
        <w:rPr>
          <w:rFonts w:asciiTheme="minorHAnsi" w:hAnsiTheme="minorHAnsi" w:cstheme="minorHAnsi"/>
        </w:rPr>
        <w:t>. Inoculum was either directly placed onto new shoot tips and secured with petroleum jelly or suspended within 1 cm of the meristem</w:t>
      </w:r>
      <w:r w:rsidR="008A778F" w:rsidRPr="007B751B">
        <w:rPr>
          <w:rFonts w:asciiTheme="minorHAnsi" w:hAnsiTheme="minorHAnsi" w:cstheme="minorHAnsi"/>
        </w:rPr>
        <w:t>.</w:t>
      </w:r>
      <w:r w:rsidR="00132FC5" w:rsidRPr="007B751B">
        <w:rPr>
          <w:rFonts w:asciiTheme="minorHAnsi" w:hAnsiTheme="minorHAnsi" w:cstheme="minorHAnsi"/>
        </w:rPr>
        <w:t xml:space="preserve"> This method ensured basidiospores would be released from the teliospores directly onto susceptible plant parts.</w:t>
      </w:r>
      <w:r w:rsidR="008A778F" w:rsidRPr="007B751B">
        <w:rPr>
          <w:rFonts w:asciiTheme="minorHAnsi" w:hAnsiTheme="minorHAnsi" w:cstheme="minorHAnsi"/>
        </w:rPr>
        <w:t xml:space="preserve"> In addition, leaves (1-5) with at least 10 x 5</w:t>
      </w:r>
      <w:r w:rsidR="00132FC5" w:rsidRPr="007B751B">
        <w:rPr>
          <w:rFonts w:asciiTheme="minorHAnsi" w:hAnsiTheme="minorHAnsi" w:cstheme="minorHAnsi"/>
        </w:rPr>
        <w:t xml:space="preserve"> </w:t>
      </w:r>
      <w:r w:rsidR="008A778F" w:rsidRPr="007B751B">
        <w:rPr>
          <w:rFonts w:asciiTheme="minorHAnsi" w:hAnsiTheme="minorHAnsi" w:cstheme="minorHAnsi"/>
        </w:rPr>
        <w:t>mm</w:t>
      </w:r>
      <w:r w:rsidR="00132FC5" w:rsidRPr="007B751B">
        <w:rPr>
          <w:rFonts w:asciiTheme="minorHAnsi" w:hAnsiTheme="minorHAnsi" w:cstheme="minorHAnsi"/>
        </w:rPr>
        <w:t>²</w:t>
      </w:r>
      <w:r w:rsidR="008A778F" w:rsidRPr="007B751B">
        <w:rPr>
          <w:rFonts w:asciiTheme="minorHAnsi" w:hAnsiTheme="minorHAnsi" w:cstheme="minorHAnsi"/>
        </w:rPr>
        <w:t xml:space="preserve"> telia were also suspended approximately 10 cm above test plants on a wire rack.</w:t>
      </w:r>
    </w:p>
    <w:p w14:paraId="3D59A912" w14:textId="4FE9FEFC" w:rsidR="009B1341" w:rsidRPr="007B751B" w:rsidRDefault="009B1341" w:rsidP="00AA431D">
      <w:pPr>
        <w:rPr>
          <w:rFonts w:asciiTheme="minorHAnsi" w:hAnsiTheme="minorHAnsi" w:cstheme="minorHAnsi"/>
        </w:rPr>
      </w:pPr>
      <w:r w:rsidRPr="007B751B">
        <w:rPr>
          <w:rFonts w:asciiTheme="minorHAnsi" w:hAnsiTheme="minorHAnsi" w:cstheme="minorHAnsi"/>
        </w:rPr>
        <w:t xml:space="preserve">All plants that expressed symptoms due to the challenge from the rust, but showed no </w:t>
      </w:r>
      <w:proofErr w:type="spellStart"/>
      <w:r w:rsidRPr="007B751B">
        <w:rPr>
          <w:rFonts w:asciiTheme="minorHAnsi" w:hAnsiTheme="minorHAnsi" w:cstheme="minorHAnsi"/>
        </w:rPr>
        <w:t>telial</w:t>
      </w:r>
      <w:proofErr w:type="spellEnd"/>
      <w:r w:rsidRPr="007B751B">
        <w:rPr>
          <w:rFonts w:asciiTheme="minorHAnsi" w:hAnsiTheme="minorHAnsi" w:cstheme="minorHAnsi"/>
        </w:rPr>
        <w:t xml:space="preserve"> development, were retained for further observation until leaf senescence. This ensured no latent infection was present.</w:t>
      </w:r>
    </w:p>
    <w:p w14:paraId="0D269398" w14:textId="3B8EAA11" w:rsidR="009B1341" w:rsidRPr="007B751B" w:rsidRDefault="009B1341" w:rsidP="00AA431D">
      <w:pPr>
        <w:rPr>
          <w:rFonts w:asciiTheme="minorHAnsi" w:hAnsiTheme="minorHAnsi" w:cstheme="minorHAnsi"/>
        </w:rPr>
      </w:pPr>
      <w:r w:rsidRPr="007B751B">
        <w:rPr>
          <w:rFonts w:asciiTheme="minorHAnsi" w:hAnsiTheme="minorHAnsi" w:cstheme="minorHAnsi"/>
        </w:rPr>
        <w:t xml:space="preserve">Where telia did </w:t>
      </w:r>
      <w:r w:rsidR="008C48C0" w:rsidRPr="007B751B">
        <w:rPr>
          <w:rFonts w:asciiTheme="minorHAnsi" w:hAnsiTheme="minorHAnsi" w:cstheme="minorHAnsi"/>
        </w:rPr>
        <w:t>develop</w:t>
      </w:r>
      <w:r w:rsidRPr="007B751B">
        <w:rPr>
          <w:rFonts w:asciiTheme="minorHAnsi" w:hAnsiTheme="minorHAnsi" w:cstheme="minorHAnsi"/>
        </w:rPr>
        <w:t xml:space="preserve"> on test plant</w:t>
      </w:r>
      <w:r w:rsidR="008C48C0" w:rsidRPr="007B751B">
        <w:rPr>
          <w:rFonts w:asciiTheme="minorHAnsi" w:hAnsiTheme="minorHAnsi" w:cstheme="minorHAnsi"/>
        </w:rPr>
        <w:t xml:space="preserve"> species</w:t>
      </w:r>
      <w:r w:rsidRPr="007B751B">
        <w:rPr>
          <w:rFonts w:asciiTheme="minorHAnsi" w:hAnsiTheme="minorHAnsi" w:cstheme="minorHAnsi"/>
        </w:rPr>
        <w:t>,</w:t>
      </w:r>
      <w:r w:rsidR="008C48C0" w:rsidRPr="007B751B">
        <w:rPr>
          <w:rFonts w:asciiTheme="minorHAnsi" w:hAnsiTheme="minorHAnsi" w:cstheme="minorHAnsi"/>
        </w:rPr>
        <w:t xml:space="preserve"> the teliospores were used to attempt infection of different plants of the same species as well as susceptible </w:t>
      </w:r>
      <w:r w:rsidR="008C48C0" w:rsidRPr="007B751B">
        <w:rPr>
          <w:rFonts w:asciiTheme="minorHAnsi" w:hAnsiTheme="minorHAnsi" w:cstheme="minorHAnsi"/>
          <w:i/>
          <w:iCs/>
        </w:rPr>
        <w:t>L. camara</w:t>
      </w:r>
      <w:r w:rsidR="008C48C0" w:rsidRPr="007B751B">
        <w:rPr>
          <w:rFonts w:asciiTheme="minorHAnsi" w:hAnsiTheme="minorHAnsi" w:cstheme="minorHAnsi"/>
        </w:rPr>
        <w:t xml:space="preserve"> biotypes.</w:t>
      </w:r>
      <w:r w:rsidRPr="007B751B">
        <w:rPr>
          <w:rFonts w:asciiTheme="minorHAnsi" w:hAnsiTheme="minorHAnsi" w:cstheme="minorHAnsi"/>
        </w:rPr>
        <w:t xml:space="preserve"> </w:t>
      </w:r>
    </w:p>
    <w:p w14:paraId="5774F29C" w14:textId="63DB4F6D" w:rsidR="008C48C0" w:rsidRPr="007B751B" w:rsidRDefault="008C48C0" w:rsidP="00AA431D">
      <w:pPr>
        <w:rPr>
          <w:rFonts w:asciiTheme="minorHAnsi" w:hAnsiTheme="minorHAnsi" w:cstheme="minorHAnsi"/>
        </w:rPr>
      </w:pPr>
      <w:r w:rsidRPr="007B751B">
        <w:rPr>
          <w:rFonts w:asciiTheme="minorHAnsi" w:hAnsiTheme="minorHAnsi" w:cstheme="minorHAnsi"/>
        </w:rPr>
        <w:t>A microscopic analysis, using a leaf clearing technique, was also used to monitor the interaction between the rust and test plant species on which minor symptoms occurred.</w:t>
      </w:r>
    </w:p>
    <w:p w14:paraId="1D69ECAE" w14:textId="2E7CB5C0" w:rsidR="0060634A" w:rsidRPr="007B751B" w:rsidRDefault="0060634A" w:rsidP="00AA431D">
      <w:pPr>
        <w:rPr>
          <w:rFonts w:asciiTheme="minorHAnsi" w:hAnsiTheme="minorHAnsi" w:cstheme="minorHAnsi"/>
          <w:b/>
          <w:bCs/>
        </w:rPr>
      </w:pPr>
      <w:r w:rsidRPr="007B751B">
        <w:rPr>
          <w:rFonts w:asciiTheme="minorHAnsi" w:hAnsiTheme="minorHAnsi" w:cstheme="minorHAnsi"/>
          <w:b/>
          <w:bCs/>
        </w:rPr>
        <w:t xml:space="preserve">Quantitative method – </w:t>
      </w:r>
      <w:r w:rsidRPr="007B751B">
        <w:rPr>
          <w:rFonts w:asciiTheme="minorHAnsi" w:hAnsiTheme="minorHAnsi" w:cstheme="minorHAnsi"/>
          <w:b/>
          <w:bCs/>
          <w:i/>
          <w:iCs/>
        </w:rPr>
        <w:t xml:space="preserve">Verbena </w:t>
      </w:r>
      <w:proofErr w:type="spellStart"/>
      <w:r w:rsidRPr="007B751B">
        <w:rPr>
          <w:rFonts w:asciiTheme="minorHAnsi" w:hAnsiTheme="minorHAnsi" w:cstheme="minorHAnsi"/>
          <w:b/>
          <w:bCs/>
          <w:i/>
          <w:iCs/>
        </w:rPr>
        <w:t>africana</w:t>
      </w:r>
      <w:proofErr w:type="spellEnd"/>
    </w:p>
    <w:p w14:paraId="1AD0AE62" w14:textId="69A1BAC8" w:rsidR="0060634A" w:rsidRPr="007B751B" w:rsidRDefault="00AD5DF3" w:rsidP="00AA431D">
      <w:pPr>
        <w:rPr>
          <w:rFonts w:asciiTheme="minorHAnsi" w:hAnsiTheme="minorHAnsi" w:cstheme="minorHAnsi"/>
        </w:rPr>
      </w:pPr>
      <w:r w:rsidRPr="007B751B">
        <w:rPr>
          <w:rFonts w:asciiTheme="minorHAnsi" w:hAnsiTheme="minorHAnsi" w:cstheme="minorHAnsi"/>
        </w:rPr>
        <w:t>Test plants were inoculated at four different inoculum concentrations, approximately doubling in number of telia for each concentration used.</w:t>
      </w:r>
      <w:r w:rsidR="00A4644E" w:rsidRPr="007B751B">
        <w:rPr>
          <w:rFonts w:asciiTheme="minorHAnsi" w:hAnsiTheme="minorHAnsi" w:cstheme="minorHAnsi"/>
        </w:rPr>
        <w:t xml:space="preserve"> The diameters of telia for each concentration used were added together</w:t>
      </w:r>
      <w:r w:rsidR="0076506E" w:rsidRPr="007B751B">
        <w:rPr>
          <w:rFonts w:asciiTheme="minorHAnsi" w:hAnsiTheme="minorHAnsi" w:cstheme="minorHAnsi"/>
        </w:rPr>
        <w:t>,</w:t>
      </w:r>
      <w:r w:rsidR="00A4644E" w:rsidRPr="007B751B">
        <w:rPr>
          <w:rFonts w:asciiTheme="minorHAnsi" w:hAnsiTheme="minorHAnsi" w:cstheme="minorHAnsi"/>
        </w:rPr>
        <w:t xml:space="preserve"> totalling 20 (approximately four telia), 40, 80 and 160 mm (Thomas et al 2021).</w:t>
      </w:r>
      <w:r w:rsidR="00615CEF" w:rsidRPr="007B751B">
        <w:rPr>
          <w:rFonts w:asciiTheme="minorHAnsi" w:hAnsiTheme="minorHAnsi" w:cstheme="minorHAnsi"/>
        </w:rPr>
        <w:t xml:space="preserve"> Each concentration was suspended over individual test plants using the method outlined above. Four replicate plants with a minimum </w:t>
      </w:r>
      <w:r w:rsidR="00100810">
        <w:rPr>
          <w:rFonts w:asciiTheme="minorHAnsi" w:hAnsiTheme="minorHAnsi" w:cstheme="minorHAnsi"/>
        </w:rPr>
        <w:t>o</w:t>
      </w:r>
      <w:r w:rsidR="00615CEF" w:rsidRPr="007B751B">
        <w:rPr>
          <w:rFonts w:asciiTheme="minorHAnsi" w:hAnsiTheme="minorHAnsi" w:cstheme="minorHAnsi"/>
        </w:rPr>
        <w:t>f four young shoots were used</w:t>
      </w:r>
      <w:r w:rsidR="00E9467A" w:rsidRPr="007B751B">
        <w:rPr>
          <w:rFonts w:asciiTheme="minorHAnsi" w:hAnsiTheme="minorHAnsi" w:cstheme="minorHAnsi"/>
        </w:rPr>
        <w:t xml:space="preserve"> and the experiment was repeated twice, resulting in eight different plants tested in total</w:t>
      </w:r>
      <w:r w:rsidR="00615CEF" w:rsidRPr="007B751B">
        <w:rPr>
          <w:rFonts w:asciiTheme="minorHAnsi" w:hAnsiTheme="minorHAnsi" w:cstheme="minorHAnsi"/>
        </w:rPr>
        <w:t>. Numbers of telia were recorded after 40 days</w:t>
      </w:r>
      <w:r w:rsidR="00E9467A" w:rsidRPr="007B751B">
        <w:rPr>
          <w:rFonts w:asciiTheme="minorHAnsi" w:hAnsiTheme="minorHAnsi" w:cstheme="minorHAnsi"/>
        </w:rPr>
        <w:t>.</w:t>
      </w:r>
    </w:p>
    <w:p w14:paraId="71774DF2" w14:textId="41B87DE2" w:rsidR="00B325BB" w:rsidRPr="007B751B" w:rsidRDefault="00B325BB" w:rsidP="00AA431D">
      <w:pPr>
        <w:rPr>
          <w:rFonts w:asciiTheme="minorHAnsi" w:hAnsiTheme="minorHAnsi" w:cstheme="minorHAnsi"/>
          <w:b/>
          <w:bCs/>
        </w:rPr>
      </w:pPr>
      <w:r w:rsidRPr="007B751B">
        <w:rPr>
          <w:rFonts w:asciiTheme="minorHAnsi" w:hAnsiTheme="minorHAnsi" w:cstheme="minorHAnsi"/>
          <w:b/>
          <w:bCs/>
        </w:rPr>
        <w:t xml:space="preserve">Quantitative method – </w:t>
      </w:r>
      <w:r w:rsidRPr="007B751B">
        <w:rPr>
          <w:rFonts w:asciiTheme="minorHAnsi" w:hAnsiTheme="minorHAnsi" w:cstheme="minorHAnsi"/>
          <w:b/>
          <w:bCs/>
          <w:i/>
          <w:iCs/>
        </w:rPr>
        <w:t xml:space="preserve">Verbena </w:t>
      </w:r>
      <w:proofErr w:type="spellStart"/>
      <w:r w:rsidRPr="007B751B">
        <w:rPr>
          <w:rFonts w:asciiTheme="minorHAnsi" w:hAnsiTheme="minorHAnsi" w:cstheme="minorHAnsi"/>
          <w:b/>
          <w:bCs/>
          <w:i/>
          <w:iCs/>
        </w:rPr>
        <w:t>gaudichaudii</w:t>
      </w:r>
      <w:proofErr w:type="spellEnd"/>
    </w:p>
    <w:p w14:paraId="2ACFD897" w14:textId="721EE799" w:rsidR="00411948" w:rsidRPr="007B751B" w:rsidRDefault="003D7728" w:rsidP="00AA431D">
      <w:pPr>
        <w:rPr>
          <w:rFonts w:asciiTheme="minorHAnsi" w:hAnsiTheme="minorHAnsi" w:cstheme="minorHAnsi"/>
        </w:rPr>
      </w:pPr>
      <w:r w:rsidRPr="007B751B">
        <w:rPr>
          <w:rFonts w:asciiTheme="minorHAnsi" w:hAnsiTheme="minorHAnsi" w:cstheme="minorHAnsi"/>
        </w:rPr>
        <w:t xml:space="preserve">The method used was similar to the above quantitative method used for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africana</w:t>
      </w:r>
      <w:proofErr w:type="spellEnd"/>
      <w:r w:rsidRPr="007B751B">
        <w:rPr>
          <w:rFonts w:asciiTheme="minorHAnsi" w:hAnsiTheme="minorHAnsi" w:cstheme="minorHAnsi"/>
        </w:rPr>
        <w:t>. Four different concentrations were used, however infected</w:t>
      </w:r>
      <w:r w:rsidR="00F95DB8" w:rsidRPr="007B751B">
        <w:rPr>
          <w:rFonts w:asciiTheme="minorHAnsi" w:hAnsiTheme="minorHAnsi" w:cstheme="minorHAnsi"/>
        </w:rPr>
        <w:t xml:space="preserve"> ‘Brisbane common pink’</w:t>
      </w:r>
      <w:r w:rsidRPr="007B751B">
        <w:rPr>
          <w:rFonts w:asciiTheme="minorHAnsi" w:hAnsiTheme="minorHAnsi" w:cstheme="minorHAnsi"/>
        </w:rPr>
        <w:t xml:space="preserve"> </w:t>
      </w:r>
      <w:r w:rsidRPr="007B751B">
        <w:rPr>
          <w:rFonts w:asciiTheme="minorHAnsi" w:hAnsiTheme="minorHAnsi" w:cstheme="minorHAnsi"/>
          <w:i/>
          <w:iCs/>
        </w:rPr>
        <w:t>L. camara</w:t>
      </w:r>
      <w:r w:rsidRPr="007B751B">
        <w:rPr>
          <w:rFonts w:asciiTheme="minorHAnsi" w:hAnsiTheme="minorHAnsi" w:cstheme="minorHAnsi"/>
        </w:rPr>
        <w:t xml:space="preserve"> leaves with known amounts of </w:t>
      </w:r>
      <w:r w:rsidR="008B1073" w:rsidRPr="007B751B">
        <w:rPr>
          <w:rFonts w:asciiTheme="minorHAnsi" w:hAnsiTheme="minorHAnsi" w:cstheme="minorHAnsi"/>
        </w:rPr>
        <w:t>telia</w:t>
      </w:r>
      <w:r w:rsidR="00100810">
        <w:rPr>
          <w:rFonts w:asciiTheme="minorHAnsi" w:hAnsiTheme="minorHAnsi" w:cstheme="minorHAnsi"/>
        </w:rPr>
        <w:t xml:space="preserve"> (10, 16, 32 and 80)</w:t>
      </w:r>
      <w:r w:rsidR="008B1073" w:rsidRPr="007B751B">
        <w:rPr>
          <w:rFonts w:asciiTheme="minorHAnsi" w:hAnsiTheme="minorHAnsi" w:cstheme="minorHAnsi"/>
        </w:rPr>
        <w:t xml:space="preserve"> were used instead of pieces of inoculum.</w:t>
      </w:r>
      <w:r w:rsidR="00D87910" w:rsidRPr="007B751B">
        <w:rPr>
          <w:rFonts w:asciiTheme="minorHAnsi" w:hAnsiTheme="minorHAnsi" w:cstheme="minorHAnsi"/>
        </w:rPr>
        <w:t xml:space="preserve"> Leaves were suspended above test plants as described above in the qualitative method.</w:t>
      </w:r>
      <w:r w:rsidR="00411948" w:rsidRPr="007B751B">
        <w:rPr>
          <w:rFonts w:asciiTheme="minorHAnsi" w:hAnsiTheme="minorHAnsi" w:cstheme="minorHAnsi"/>
        </w:rPr>
        <w:t xml:space="preserve"> </w:t>
      </w:r>
      <w:r w:rsidR="00100810" w:rsidRPr="00100810">
        <w:rPr>
          <w:rFonts w:asciiTheme="minorHAnsi" w:hAnsiTheme="minorHAnsi" w:cstheme="minorHAnsi"/>
        </w:rPr>
        <w:t>Four replicate plants with a minimum of four young shoots were used and the experiment was repeated twice, resulting in eight different plants tested in total. Numbers of telia were recorded after 40 days.</w:t>
      </w:r>
    </w:p>
    <w:p w14:paraId="3630E437" w14:textId="1DB41E04" w:rsidR="009B1341" w:rsidRPr="007B751B" w:rsidRDefault="00B21A9B" w:rsidP="00AA431D">
      <w:pPr>
        <w:rPr>
          <w:rFonts w:asciiTheme="minorHAnsi" w:hAnsiTheme="minorHAnsi" w:cstheme="minorHAnsi"/>
        </w:rPr>
      </w:pPr>
      <w:r w:rsidRPr="007B751B">
        <w:rPr>
          <w:rFonts w:asciiTheme="minorHAnsi" w:hAnsiTheme="minorHAnsi" w:cstheme="minorHAnsi"/>
        </w:rPr>
        <w:t xml:space="preserve">A qualitative scoring system was used to assess the susceptibility of all non-target plant species to </w:t>
      </w:r>
      <w:r w:rsidRPr="007B751B">
        <w:rPr>
          <w:rFonts w:asciiTheme="minorHAnsi" w:hAnsiTheme="minorHAnsi" w:cstheme="minorHAnsi"/>
          <w:i/>
          <w:iCs/>
        </w:rPr>
        <w:t>P. lantanae</w:t>
      </w:r>
      <w:r w:rsidRPr="007B751B">
        <w:rPr>
          <w:rFonts w:asciiTheme="minorHAnsi" w:hAnsiTheme="minorHAnsi" w:cstheme="minorHAnsi"/>
        </w:rPr>
        <w:t xml:space="preserve">. Each test plant species was classified using a rating scale (Table 5, Attachment 1). Each </w:t>
      </w:r>
      <w:r w:rsidRPr="007B751B">
        <w:rPr>
          <w:rFonts w:asciiTheme="minorHAnsi" w:hAnsiTheme="minorHAnsi" w:cstheme="minorHAnsi"/>
        </w:rPr>
        <w:lastRenderedPageBreak/>
        <w:t xml:space="preserve">plant species was classified as either: Immune, Resistant, Weakly susceptible, </w:t>
      </w:r>
      <w:proofErr w:type="gramStart"/>
      <w:r w:rsidRPr="007B751B">
        <w:rPr>
          <w:rFonts w:asciiTheme="minorHAnsi" w:hAnsiTheme="minorHAnsi" w:cstheme="minorHAnsi"/>
        </w:rPr>
        <w:t>Moderately</w:t>
      </w:r>
      <w:proofErr w:type="gramEnd"/>
      <w:r w:rsidRPr="007B751B">
        <w:rPr>
          <w:rFonts w:asciiTheme="minorHAnsi" w:hAnsiTheme="minorHAnsi" w:cstheme="minorHAnsi"/>
        </w:rPr>
        <w:t xml:space="preserve"> susceptible </w:t>
      </w:r>
      <w:r w:rsidR="00795CEA" w:rsidRPr="007B751B">
        <w:rPr>
          <w:rFonts w:asciiTheme="minorHAnsi" w:hAnsiTheme="minorHAnsi" w:cstheme="minorHAnsi"/>
        </w:rPr>
        <w:t>or</w:t>
      </w:r>
      <w:r w:rsidRPr="007B751B">
        <w:rPr>
          <w:rFonts w:asciiTheme="minorHAnsi" w:hAnsiTheme="minorHAnsi" w:cstheme="minorHAnsi"/>
        </w:rPr>
        <w:t xml:space="preserve"> </w:t>
      </w:r>
      <w:proofErr w:type="gramStart"/>
      <w:r w:rsidRPr="007B751B">
        <w:rPr>
          <w:rFonts w:asciiTheme="minorHAnsi" w:hAnsiTheme="minorHAnsi" w:cstheme="minorHAnsi"/>
        </w:rPr>
        <w:t>Fully</w:t>
      </w:r>
      <w:proofErr w:type="gramEnd"/>
      <w:r w:rsidRPr="007B751B">
        <w:rPr>
          <w:rFonts w:asciiTheme="minorHAnsi" w:hAnsiTheme="minorHAnsi" w:cstheme="minorHAnsi"/>
        </w:rPr>
        <w:t xml:space="preserve"> susceptible.</w:t>
      </w:r>
    </w:p>
    <w:p w14:paraId="4C64456B" w14:textId="77777777" w:rsidR="00AA431D" w:rsidRDefault="007B4BAD" w:rsidP="00B96F59">
      <w:pPr>
        <w:pStyle w:val="Heading4"/>
      </w:pPr>
      <w:r w:rsidRPr="00B96F59">
        <w:t>H</w:t>
      </w:r>
      <w:r w:rsidR="00AA431D" w:rsidRPr="00B96F59">
        <w:t>ost specificity testing</w:t>
      </w:r>
      <w:r w:rsidRPr="00B96F59">
        <w:t xml:space="preserve"> results</w:t>
      </w:r>
    </w:p>
    <w:p w14:paraId="36639192" w14:textId="28848115" w:rsidR="009B1D59" w:rsidRPr="007B751B" w:rsidRDefault="00957782" w:rsidP="009B1D59">
      <w:pPr>
        <w:rPr>
          <w:rFonts w:asciiTheme="minorHAnsi" w:hAnsiTheme="minorHAnsi" w:cstheme="minorHAnsi"/>
        </w:rPr>
      </w:pPr>
      <w:r w:rsidRPr="007B751B">
        <w:rPr>
          <w:rFonts w:asciiTheme="minorHAnsi" w:hAnsiTheme="minorHAnsi" w:cstheme="minorHAnsi"/>
        </w:rPr>
        <w:t xml:space="preserve">During host specificity testing only ‘Brisbane common pink’ </w:t>
      </w:r>
      <w:r w:rsidRPr="007B751B">
        <w:rPr>
          <w:rFonts w:asciiTheme="minorHAnsi" w:hAnsiTheme="minorHAnsi" w:cstheme="minorHAnsi"/>
          <w:i/>
          <w:iCs/>
        </w:rPr>
        <w:t>L. camara</w:t>
      </w:r>
      <w:r w:rsidRPr="007B751B">
        <w:rPr>
          <w:rFonts w:asciiTheme="minorHAnsi" w:hAnsiTheme="minorHAnsi" w:cstheme="minorHAnsi"/>
        </w:rPr>
        <w:t xml:space="preserve"> control plants were demonstrated to be fully susceptible to </w:t>
      </w:r>
      <w:r w:rsidRPr="007B751B">
        <w:rPr>
          <w:rFonts w:asciiTheme="minorHAnsi" w:hAnsiTheme="minorHAnsi" w:cstheme="minorHAnsi"/>
          <w:i/>
          <w:iCs/>
        </w:rPr>
        <w:t>P. lantanae</w:t>
      </w:r>
      <w:r w:rsidR="003B70B0" w:rsidRPr="007B751B">
        <w:rPr>
          <w:rFonts w:asciiTheme="minorHAnsi" w:hAnsiTheme="minorHAnsi" w:cstheme="minorHAnsi"/>
        </w:rPr>
        <w:t xml:space="preserve"> pathotype IMI 398849</w:t>
      </w:r>
      <w:r w:rsidR="003F1537" w:rsidRPr="007B751B">
        <w:rPr>
          <w:rFonts w:asciiTheme="minorHAnsi" w:hAnsiTheme="minorHAnsi" w:cstheme="minorHAnsi"/>
        </w:rPr>
        <w:t>, using the plant response categories outlined in Table 5, Attachment 1.</w:t>
      </w:r>
      <w:r w:rsidR="00E2217F" w:rsidRPr="007B751B">
        <w:rPr>
          <w:rFonts w:asciiTheme="minorHAnsi" w:hAnsiTheme="minorHAnsi" w:cstheme="minorHAnsi"/>
        </w:rPr>
        <w:t xml:space="preserve"> Other lantana flower colour morphotypes tested in additional testing ranged from fully susceptible to resistant (refer to Appendix 1, Attachment 1 for further information).</w:t>
      </w:r>
    </w:p>
    <w:p w14:paraId="1AF8231F" w14:textId="0526CE21" w:rsidR="00285730" w:rsidRPr="007B751B" w:rsidRDefault="00EA5121" w:rsidP="009B1D59">
      <w:pPr>
        <w:rPr>
          <w:rFonts w:asciiTheme="minorHAnsi" w:hAnsiTheme="minorHAnsi" w:cstheme="minorHAnsi"/>
        </w:rPr>
      </w:pPr>
      <w:r w:rsidRPr="007B751B">
        <w:rPr>
          <w:rFonts w:asciiTheme="minorHAnsi" w:hAnsiTheme="minorHAnsi" w:cstheme="minorHAnsi"/>
        </w:rPr>
        <w:t xml:space="preserve">No non-target plant species were found to be fully susceptible to </w:t>
      </w:r>
      <w:r w:rsidRPr="007B751B">
        <w:rPr>
          <w:rFonts w:asciiTheme="minorHAnsi" w:hAnsiTheme="minorHAnsi" w:cstheme="minorHAnsi"/>
          <w:i/>
          <w:iCs/>
        </w:rPr>
        <w:t>P. lantanae</w:t>
      </w:r>
      <w:r w:rsidRPr="007B751B">
        <w:rPr>
          <w:rFonts w:asciiTheme="minorHAnsi" w:hAnsiTheme="minorHAnsi" w:cstheme="minorHAnsi"/>
        </w:rPr>
        <w:t xml:space="preserve">. </w:t>
      </w:r>
      <w:r w:rsidR="00284176" w:rsidRPr="007B751B">
        <w:rPr>
          <w:rFonts w:asciiTheme="minorHAnsi" w:hAnsiTheme="minorHAnsi" w:cstheme="minorHAnsi"/>
        </w:rPr>
        <w:t>The majority of non-target plants tested were classified as immune using the rating scale, including all plant species tested outside the Verbenaceae family.  Within the Verbenaceae family, four plant species were classified as resistant and a further four were found to range from weakly susceptible to moderately susceptible.</w:t>
      </w:r>
    </w:p>
    <w:p w14:paraId="35DB77D7" w14:textId="4E8B69D5" w:rsidR="00284176" w:rsidRPr="007B751B" w:rsidRDefault="00186BBC" w:rsidP="009B1D59">
      <w:pPr>
        <w:rPr>
          <w:rFonts w:asciiTheme="minorHAnsi" w:hAnsiTheme="minorHAnsi" w:cstheme="minorHAnsi"/>
        </w:rPr>
      </w:pPr>
      <w:r w:rsidRPr="007B751B">
        <w:rPr>
          <w:rFonts w:asciiTheme="minorHAnsi" w:hAnsiTheme="minorHAnsi" w:cstheme="minorHAnsi"/>
        </w:rPr>
        <w:t xml:space="preserve">Non-target plant species classified as resistant were, </w:t>
      </w:r>
      <w:proofErr w:type="spellStart"/>
      <w:r w:rsidRPr="007B751B">
        <w:rPr>
          <w:rFonts w:asciiTheme="minorHAnsi" w:hAnsiTheme="minorHAnsi" w:cstheme="minorHAnsi"/>
          <w:i/>
          <w:iCs/>
        </w:rPr>
        <w:t>Citharexylum</w:t>
      </w:r>
      <w:proofErr w:type="spellEnd"/>
      <w:r w:rsidRPr="007B751B">
        <w:rPr>
          <w:rFonts w:asciiTheme="minorHAnsi" w:hAnsiTheme="minorHAnsi" w:cstheme="minorHAnsi"/>
          <w:i/>
          <w:iCs/>
        </w:rPr>
        <w:t xml:space="preserve"> spinosum</w:t>
      </w:r>
      <w:r w:rsidRPr="007B751B">
        <w:rPr>
          <w:rFonts w:asciiTheme="minorHAnsi" w:hAnsiTheme="minorHAnsi" w:cstheme="minorHAnsi"/>
        </w:rPr>
        <w:t xml:space="preserve">, </w:t>
      </w:r>
      <w:r w:rsidRPr="007B751B">
        <w:rPr>
          <w:rFonts w:asciiTheme="minorHAnsi" w:hAnsiTheme="minorHAnsi" w:cstheme="minorHAnsi"/>
          <w:i/>
          <w:iCs/>
        </w:rPr>
        <w:t xml:space="preserve">Priva </w:t>
      </w:r>
      <w:proofErr w:type="spellStart"/>
      <w:r w:rsidRPr="007B751B">
        <w:rPr>
          <w:rFonts w:asciiTheme="minorHAnsi" w:hAnsiTheme="minorHAnsi" w:cstheme="minorHAnsi"/>
          <w:i/>
          <w:iCs/>
        </w:rPr>
        <w:t>meyeri</w:t>
      </w:r>
      <w:proofErr w:type="spellEnd"/>
      <w:r w:rsidRPr="007B751B">
        <w:rPr>
          <w:rFonts w:asciiTheme="minorHAnsi" w:hAnsiTheme="minorHAnsi" w:cstheme="minorHAnsi"/>
        </w:rPr>
        <w:t xml:space="preserve">, </w:t>
      </w:r>
      <w:r w:rsidRPr="007B751B">
        <w:rPr>
          <w:rFonts w:asciiTheme="minorHAnsi" w:hAnsiTheme="minorHAnsi" w:cstheme="minorHAnsi"/>
          <w:i/>
          <w:iCs/>
        </w:rPr>
        <w:t>Lantana rugosa</w:t>
      </w:r>
      <w:r w:rsidRPr="007B751B">
        <w:rPr>
          <w:rFonts w:asciiTheme="minorHAnsi" w:hAnsiTheme="minorHAnsi" w:cstheme="minorHAnsi"/>
        </w:rPr>
        <w:t xml:space="preserve"> and </w:t>
      </w:r>
      <w:r w:rsidRPr="007B751B">
        <w:rPr>
          <w:rFonts w:asciiTheme="minorHAnsi" w:hAnsiTheme="minorHAnsi" w:cstheme="minorHAnsi"/>
          <w:i/>
          <w:iCs/>
        </w:rPr>
        <w:t xml:space="preserve">Phyla </w:t>
      </w:r>
      <w:proofErr w:type="spellStart"/>
      <w:r w:rsidRPr="007B751B">
        <w:rPr>
          <w:rFonts w:asciiTheme="minorHAnsi" w:hAnsiTheme="minorHAnsi" w:cstheme="minorHAnsi"/>
          <w:i/>
          <w:iCs/>
        </w:rPr>
        <w:t>nodiflora</w:t>
      </w:r>
      <w:proofErr w:type="spellEnd"/>
      <w:r w:rsidRPr="007B751B">
        <w:rPr>
          <w:rFonts w:asciiTheme="minorHAnsi" w:hAnsiTheme="minorHAnsi" w:cstheme="minorHAnsi"/>
        </w:rPr>
        <w:t>.</w:t>
      </w:r>
      <w:r w:rsidR="004A6B26" w:rsidRPr="007B751B">
        <w:rPr>
          <w:rFonts w:asciiTheme="minorHAnsi" w:hAnsiTheme="minorHAnsi" w:cstheme="minorHAnsi"/>
        </w:rPr>
        <w:t xml:space="preserve"> Microscopic observations of </w:t>
      </w:r>
      <w:r w:rsidR="004A6B26" w:rsidRPr="007B751B">
        <w:rPr>
          <w:rFonts w:asciiTheme="minorHAnsi" w:hAnsiTheme="minorHAnsi" w:cstheme="minorHAnsi"/>
          <w:i/>
          <w:iCs/>
        </w:rPr>
        <w:t>C. spinosum</w:t>
      </w:r>
      <w:r w:rsidR="004A6B26" w:rsidRPr="007B751B">
        <w:rPr>
          <w:rFonts w:asciiTheme="minorHAnsi" w:hAnsiTheme="minorHAnsi" w:cstheme="minorHAnsi"/>
        </w:rPr>
        <w:t xml:space="preserve"> revealed no </w:t>
      </w:r>
      <w:r w:rsidR="004258B7" w:rsidRPr="007B751B">
        <w:rPr>
          <w:rFonts w:asciiTheme="minorHAnsi" w:hAnsiTheme="minorHAnsi" w:cstheme="minorHAnsi"/>
        </w:rPr>
        <w:t>internal development inside the leaf, despite attempted penetration.</w:t>
      </w:r>
    </w:p>
    <w:p w14:paraId="61A17D76" w14:textId="0AC84761" w:rsidR="004258B7" w:rsidRPr="007B751B" w:rsidRDefault="004258B7" w:rsidP="009B1D59">
      <w:pPr>
        <w:rPr>
          <w:rFonts w:asciiTheme="minorHAnsi" w:hAnsiTheme="minorHAnsi" w:cstheme="minorHAnsi"/>
        </w:rPr>
      </w:pPr>
      <w:r w:rsidRPr="00442194">
        <w:rPr>
          <w:rFonts w:asciiTheme="minorHAnsi" w:hAnsiTheme="minorHAnsi" w:cstheme="minorHAnsi"/>
          <w:i/>
          <w:iCs/>
          <w:lang w:val="pt-BR"/>
        </w:rPr>
        <w:t>Phyla nodiflora</w:t>
      </w:r>
      <w:r w:rsidRPr="00442194">
        <w:rPr>
          <w:rFonts w:asciiTheme="minorHAnsi" w:hAnsiTheme="minorHAnsi" w:cstheme="minorHAnsi"/>
          <w:lang w:val="pt-BR"/>
        </w:rPr>
        <w:t xml:space="preserve"> var. </w:t>
      </w:r>
      <w:r w:rsidRPr="00442194">
        <w:rPr>
          <w:rFonts w:asciiTheme="minorHAnsi" w:hAnsiTheme="minorHAnsi" w:cstheme="minorHAnsi"/>
          <w:i/>
          <w:iCs/>
          <w:lang w:val="pt-BR"/>
        </w:rPr>
        <w:t>minor</w:t>
      </w:r>
      <w:r w:rsidRPr="00442194">
        <w:rPr>
          <w:rFonts w:asciiTheme="minorHAnsi" w:hAnsiTheme="minorHAnsi" w:cstheme="minorHAnsi"/>
          <w:lang w:val="pt-BR"/>
        </w:rPr>
        <w:t xml:space="preserve"> (syn. </w:t>
      </w:r>
      <w:r w:rsidRPr="007B751B">
        <w:rPr>
          <w:rFonts w:asciiTheme="minorHAnsi" w:hAnsiTheme="minorHAnsi" w:cstheme="minorHAnsi"/>
          <w:i/>
          <w:iCs/>
        </w:rPr>
        <w:t xml:space="preserve">P. </w:t>
      </w:r>
      <w:proofErr w:type="spellStart"/>
      <w:r w:rsidRPr="007B751B">
        <w:rPr>
          <w:rFonts w:asciiTheme="minorHAnsi" w:hAnsiTheme="minorHAnsi" w:cstheme="minorHAnsi"/>
          <w:i/>
          <w:iCs/>
        </w:rPr>
        <w:t>canescens</w:t>
      </w:r>
      <w:proofErr w:type="spellEnd"/>
      <w:r w:rsidRPr="007B751B">
        <w:rPr>
          <w:rFonts w:asciiTheme="minorHAnsi" w:hAnsiTheme="minorHAnsi" w:cstheme="minorHAnsi"/>
        </w:rPr>
        <w:t xml:space="preserve">) and </w:t>
      </w:r>
      <w:proofErr w:type="spellStart"/>
      <w:r w:rsidRPr="007B751B">
        <w:rPr>
          <w:rFonts w:asciiTheme="minorHAnsi" w:hAnsiTheme="minorHAnsi" w:cstheme="minorHAnsi"/>
          <w:i/>
          <w:iCs/>
        </w:rPr>
        <w:t>Lippia</w:t>
      </w:r>
      <w:proofErr w:type="spellEnd"/>
      <w:r w:rsidRPr="007B751B">
        <w:rPr>
          <w:rFonts w:asciiTheme="minorHAnsi" w:hAnsiTheme="minorHAnsi" w:cstheme="minorHAnsi"/>
          <w:i/>
          <w:iCs/>
        </w:rPr>
        <w:t xml:space="preserve"> alba</w:t>
      </w:r>
      <w:r w:rsidRPr="007B751B">
        <w:rPr>
          <w:rFonts w:asciiTheme="minorHAnsi" w:hAnsiTheme="minorHAnsi" w:cstheme="minorHAnsi"/>
        </w:rPr>
        <w:t xml:space="preserve"> were both classified as weakly susceptible. </w:t>
      </w:r>
      <w:r w:rsidR="00FD2650" w:rsidRPr="007B751B">
        <w:rPr>
          <w:rFonts w:asciiTheme="minorHAnsi" w:hAnsiTheme="minorHAnsi" w:cstheme="minorHAnsi"/>
        </w:rPr>
        <w:t>For both species, a few</w:t>
      </w:r>
      <w:r w:rsidR="00384000" w:rsidRPr="007B751B">
        <w:rPr>
          <w:rFonts w:asciiTheme="minorHAnsi" w:hAnsiTheme="minorHAnsi" w:cstheme="minorHAnsi"/>
        </w:rPr>
        <w:t xml:space="preserve"> telia</w:t>
      </w:r>
      <w:r w:rsidR="00FD2650" w:rsidRPr="007B751B">
        <w:rPr>
          <w:rFonts w:asciiTheme="minorHAnsi" w:hAnsiTheme="minorHAnsi" w:cstheme="minorHAnsi"/>
        </w:rPr>
        <w:t xml:space="preserve"> </w:t>
      </w:r>
      <w:r w:rsidR="00384000" w:rsidRPr="007B751B">
        <w:rPr>
          <w:rFonts w:asciiTheme="minorHAnsi" w:hAnsiTheme="minorHAnsi" w:cstheme="minorHAnsi"/>
        </w:rPr>
        <w:t>developed</w:t>
      </w:r>
      <w:r w:rsidR="00FD2650" w:rsidRPr="007B751B">
        <w:rPr>
          <w:rFonts w:asciiTheme="minorHAnsi" w:hAnsiTheme="minorHAnsi" w:cstheme="minorHAnsi"/>
        </w:rPr>
        <w:t xml:space="preserve"> </w:t>
      </w:r>
      <w:r w:rsidR="00384000" w:rsidRPr="007B751B">
        <w:rPr>
          <w:rFonts w:asciiTheme="minorHAnsi" w:hAnsiTheme="minorHAnsi" w:cstheme="minorHAnsi"/>
        </w:rPr>
        <w:t xml:space="preserve">and </w:t>
      </w:r>
      <w:r w:rsidR="00FD2650" w:rsidRPr="007B751B">
        <w:rPr>
          <w:rFonts w:asciiTheme="minorHAnsi" w:hAnsiTheme="minorHAnsi" w:cstheme="minorHAnsi"/>
        </w:rPr>
        <w:t xml:space="preserve">were observed in lesions on the lower leaf surface. </w:t>
      </w:r>
      <w:r w:rsidR="00384000" w:rsidRPr="007B751B">
        <w:rPr>
          <w:rFonts w:asciiTheme="minorHAnsi" w:hAnsiTheme="minorHAnsi" w:cstheme="minorHAnsi"/>
        </w:rPr>
        <w:t>Teliospores produced by both species used to inoculate other plants of the same species did not result in infection, however infection of the control (</w:t>
      </w:r>
      <w:r w:rsidR="00384000" w:rsidRPr="007B751B">
        <w:rPr>
          <w:rFonts w:asciiTheme="minorHAnsi" w:hAnsiTheme="minorHAnsi" w:cstheme="minorHAnsi"/>
          <w:i/>
          <w:iCs/>
        </w:rPr>
        <w:t>L. camara</w:t>
      </w:r>
      <w:r w:rsidR="00384000" w:rsidRPr="007B751B">
        <w:rPr>
          <w:rFonts w:asciiTheme="minorHAnsi" w:hAnsiTheme="minorHAnsi" w:cstheme="minorHAnsi"/>
        </w:rPr>
        <w:t xml:space="preserve"> ‘Brisbane common pink’) was achieved.</w:t>
      </w:r>
    </w:p>
    <w:p w14:paraId="3A95ECB0" w14:textId="77777777" w:rsidR="00043EE4" w:rsidRPr="007B751B" w:rsidRDefault="00202E70" w:rsidP="009B1D59">
      <w:pPr>
        <w:rPr>
          <w:rFonts w:asciiTheme="minorHAnsi" w:hAnsiTheme="minorHAnsi" w:cstheme="minorHAnsi"/>
        </w:rPr>
      </w:pPr>
      <w:r w:rsidRPr="007B751B">
        <w:rPr>
          <w:rFonts w:asciiTheme="minorHAnsi" w:hAnsiTheme="minorHAnsi" w:cstheme="minorHAnsi"/>
        </w:rPr>
        <w:t xml:space="preserve">Testing of susceptibility of </w:t>
      </w:r>
      <w:r w:rsidRPr="007B751B">
        <w:rPr>
          <w:rFonts w:asciiTheme="minorHAnsi" w:hAnsiTheme="minorHAnsi" w:cstheme="minorHAnsi"/>
          <w:i/>
          <w:iCs/>
        </w:rPr>
        <w:t xml:space="preserve">Verbena </w:t>
      </w:r>
      <w:proofErr w:type="spellStart"/>
      <w:r w:rsidRPr="007B751B">
        <w:rPr>
          <w:rFonts w:asciiTheme="minorHAnsi" w:hAnsiTheme="minorHAnsi" w:cstheme="minorHAnsi"/>
          <w:i/>
          <w:iCs/>
        </w:rPr>
        <w:t>africana</w:t>
      </w:r>
      <w:proofErr w:type="spellEnd"/>
      <w:r w:rsidRPr="007B751B">
        <w:rPr>
          <w:rFonts w:asciiTheme="minorHAnsi" w:hAnsiTheme="minorHAnsi" w:cstheme="minorHAnsi"/>
        </w:rPr>
        <w:t xml:space="preserve"> and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gaudichaudii</w:t>
      </w:r>
      <w:proofErr w:type="spellEnd"/>
      <w:r w:rsidRPr="007B751B">
        <w:rPr>
          <w:rFonts w:asciiTheme="minorHAnsi" w:hAnsiTheme="minorHAnsi" w:cstheme="minorHAnsi"/>
        </w:rPr>
        <w:t xml:space="preserve"> produced variable results, with plants of both species ranging from being resistant to moderately susceptible.</w:t>
      </w:r>
    </w:p>
    <w:p w14:paraId="4A3B129C" w14:textId="77777777" w:rsidR="00043EE4" w:rsidRPr="007B751B" w:rsidRDefault="00357E32" w:rsidP="009B1D59">
      <w:pPr>
        <w:rPr>
          <w:rFonts w:asciiTheme="minorHAnsi" w:hAnsiTheme="minorHAnsi" w:cstheme="minorHAnsi"/>
        </w:rPr>
      </w:pPr>
      <w:r w:rsidRPr="007B751B">
        <w:rPr>
          <w:rFonts w:asciiTheme="minorHAnsi" w:hAnsiTheme="minorHAnsi" w:cstheme="minorHAnsi"/>
          <w:i/>
          <w:iCs/>
        </w:rPr>
        <w:t xml:space="preserve">Verbena </w:t>
      </w:r>
      <w:proofErr w:type="spellStart"/>
      <w:r w:rsidRPr="007B751B">
        <w:rPr>
          <w:rFonts w:asciiTheme="minorHAnsi" w:hAnsiTheme="minorHAnsi" w:cstheme="minorHAnsi"/>
          <w:i/>
          <w:iCs/>
        </w:rPr>
        <w:t>africana</w:t>
      </w:r>
      <w:proofErr w:type="spellEnd"/>
      <w:r w:rsidRPr="007B751B">
        <w:rPr>
          <w:rFonts w:asciiTheme="minorHAnsi" w:hAnsiTheme="minorHAnsi" w:cstheme="minorHAnsi"/>
        </w:rPr>
        <w:t xml:space="preserve"> showed an atypical response on plants sourced from central Queensland, resulting in a suspected systemic infection, as opposed to the typical leaf infection caused by </w:t>
      </w:r>
      <w:r w:rsidRPr="007B751B">
        <w:rPr>
          <w:rFonts w:asciiTheme="minorHAnsi" w:hAnsiTheme="minorHAnsi" w:cstheme="minorHAnsi"/>
          <w:i/>
          <w:iCs/>
        </w:rPr>
        <w:t>P. lantanae</w:t>
      </w:r>
      <w:r w:rsidRPr="007B751B">
        <w:rPr>
          <w:rFonts w:asciiTheme="minorHAnsi" w:hAnsiTheme="minorHAnsi" w:cstheme="minorHAnsi"/>
        </w:rPr>
        <w:t xml:space="preserve">. The variability in reactions of plants of this species </w:t>
      </w:r>
      <w:proofErr w:type="gramStart"/>
      <w:r w:rsidRPr="007B751B">
        <w:rPr>
          <w:rFonts w:asciiTheme="minorHAnsi" w:hAnsiTheme="minorHAnsi" w:cstheme="minorHAnsi"/>
        </w:rPr>
        <w:t>were</w:t>
      </w:r>
      <w:proofErr w:type="gramEnd"/>
      <w:r w:rsidRPr="007B751B">
        <w:rPr>
          <w:rFonts w:asciiTheme="minorHAnsi" w:hAnsiTheme="minorHAnsi" w:cstheme="minorHAnsi"/>
        </w:rPr>
        <w:t xml:space="preserve"> attributed to significant genetic variation between and within populations. Teliospores that developed on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africana</w:t>
      </w:r>
      <w:proofErr w:type="spellEnd"/>
      <w:r w:rsidRPr="007B751B">
        <w:rPr>
          <w:rFonts w:asciiTheme="minorHAnsi" w:hAnsiTheme="minorHAnsi" w:cstheme="minorHAnsi"/>
        </w:rPr>
        <w:t xml:space="preserve"> plants were viable and infection of </w:t>
      </w:r>
      <w:r w:rsidRPr="007B751B">
        <w:rPr>
          <w:rFonts w:asciiTheme="minorHAnsi" w:hAnsiTheme="minorHAnsi" w:cstheme="minorHAnsi"/>
          <w:i/>
          <w:iCs/>
        </w:rPr>
        <w:t>L</w:t>
      </w:r>
      <w:r w:rsidR="00043EE4" w:rsidRPr="007B751B">
        <w:rPr>
          <w:rFonts w:asciiTheme="minorHAnsi" w:hAnsiTheme="minorHAnsi" w:cstheme="minorHAnsi"/>
          <w:i/>
          <w:iCs/>
        </w:rPr>
        <w:t>.</w:t>
      </w:r>
      <w:r w:rsidRPr="007B751B">
        <w:rPr>
          <w:rFonts w:asciiTheme="minorHAnsi" w:hAnsiTheme="minorHAnsi" w:cstheme="minorHAnsi"/>
          <w:i/>
          <w:iCs/>
        </w:rPr>
        <w:t xml:space="preserve"> camara</w:t>
      </w:r>
      <w:r w:rsidRPr="007B751B">
        <w:rPr>
          <w:rFonts w:asciiTheme="minorHAnsi" w:hAnsiTheme="minorHAnsi" w:cstheme="minorHAnsi"/>
        </w:rPr>
        <w:t xml:space="preserve"> plants was achieved, however attempts to infect new </w:t>
      </w:r>
      <w:r w:rsidRPr="007B751B">
        <w:rPr>
          <w:rFonts w:asciiTheme="minorHAnsi" w:hAnsiTheme="minorHAnsi" w:cstheme="minorHAnsi"/>
          <w:i/>
          <w:iCs/>
        </w:rPr>
        <w:t xml:space="preserve">V. </w:t>
      </w:r>
      <w:proofErr w:type="spellStart"/>
      <w:r w:rsidR="00043EE4" w:rsidRPr="007B751B">
        <w:rPr>
          <w:rFonts w:asciiTheme="minorHAnsi" w:hAnsiTheme="minorHAnsi" w:cstheme="minorHAnsi"/>
          <w:i/>
          <w:iCs/>
        </w:rPr>
        <w:t>a</w:t>
      </w:r>
      <w:r w:rsidRPr="007B751B">
        <w:rPr>
          <w:rFonts w:asciiTheme="minorHAnsi" w:hAnsiTheme="minorHAnsi" w:cstheme="minorHAnsi"/>
          <w:i/>
          <w:iCs/>
        </w:rPr>
        <w:t>fricana</w:t>
      </w:r>
      <w:proofErr w:type="spellEnd"/>
      <w:r w:rsidRPr="007B751B">
        <w:rPr>
          <w:rFonts w:asciiTheme="minorHAnsi" w:hAnsiTheme="minorHAnsi" w:cstheme="minorHAnsi"/>
        </w:rPr>
        <w:t xml:space="preserve"> plants</w:t>
      </w:r>
      <w:r w:rsidR="00043EE4" w:rsidRPr="007B751B">
        <w:rPr>
          <w:rFonts w:asciiTheme="minorHAnsi" w:hAnsiTheme="minorHAnsi" w:cstheme="minorHAnsi"/>
        </w:rPr>
        <w:t xml:space="preserve"> were unsuccessful.</w:t>
      </w:r>
    </w:p>
    <w:p w14:paraId="2381C9D9" w14:textId="4333F628" w:rsidR="00451D9A" w:rsidRPr="007B751B" w:rsidRDefault="00357E32" w:rsidP="009B1D59">
      <w:pPr>
        <w:rPr>
          <w:rFonts w:asciiTheme="minorHAnsi" w:hAnsiTheme="minorHAnsi" w:cstheme="minorHAnsi"/>
        </w:rPr>
      </w:pPr>
      <w:r w:rsidRPr="007B751B">
        <w:rPr>
          <w:rFonts w:asciiTheme="minorHAnsi" w:hAnsiTheme="minorHAnsi" w:cstheme="minorHAnsi"/>
        </w:rPr>
        <w:t>S</w:t>
      </w:r>
      <w:r w:rsidR="00043EE4" w:rsidRPr="007B751B">
        <w:rPr>
          <w:rFonts w:asciiTheme="minorHAnsi" w:hAnsiTheme="minorHAnsi" w:cstheme="minorHAnsi"/>
        </w:rPr>
        <w:t xml:space="preserve">imilar to </w:t>
      </w:r>
      <w:r w:rsidR="00043EE4" w:rsidRPr="007B751B">
        <w:rPr>
          <w:rFonts w:asciiTheme="minorHAnsi" w:hAnsiTheme="minorHAnsi" w:cstheme="minorHAnsi"/>
          <w:i/>
          <w:iCs/>
        </w:rPr>
        <w:t xml:space="preserve">V. </w:t>
      </w:r>
      <w:proofErr w:type="spellStart"/>
      <w:r w:rsidR="00043EE4" w:rsidRPr="007B751B">
        <w:rPr>
          <w:rFonts w:asciiTheme="minorHAnsi" w:hAnsiTheme="minorHAnsi" w:cstheme="minorHAnsi"/>
          <w:i/>
          <w:iCs/>
        </w:rPr>
        <w:t>africana</w:t>
      </w:r>
      <w:proofErr w:type="spellEnd"/>
      <w:r w:rsidR="00043EE4" w:rsidRPr="007B751B">
        <w:rPr>
          <w:rFonts w:asciiTheme="minorHAnsi" w:hAnsiTheme="minorHAnsi" w:cstheme="minorHAnsi"/>
        </w:rPr>
        <w:t>, s</w:t>
      </w:r>
      <w:r w:rsidRPr="007B751B">
        <w:rPr>
          <w:rFonts w:asciiTheme="minorHAnsi" w:hAnsiTheme="minorHAnsi" w:cstheme="minorHAnsi"/>
        </w:rPr>
        <w:t xml:space="preserve">ome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gaudichaudii</w:t>
      </w:r>
      <w:proofErr w:type="spellEnd"/>
      <w:r w:rsidRPr="007B751B">
        <w:rPr>
          <w:rFonts w:asciiTheme="minorHAnsi" w:hAnsiTheme="minorHAnsi" w:cstheme="minorHAnsi"/>
        </w:rPr>
        <w:t xml:space="preserve"> test plant species also developed suspected systemic infections.</w:t>
      </w:r>
      <w:r w:rsidR="009D028C" w:rsidRPr="007B751B">
        <w:rPr>
          <w:rFonts w:asciiTheme="minorHAnsi" w:hAnsiTheme="minorHAnsi" w:cstheme="minorHAnsi"/>
        </w:rPr>
        <w:t xml:space="preserve"> However, teliospores that developed on </w:t>
      </w:r>
      <w:r w:rsidR="009D028C" w:rsidRPr="007B751B">
        <w:rPr>
          <w:rFonts w:asciiTheme="minorHAnsi" w:hAnsiTheme="minorHAnsi" w:cstheme="minorHAnsi"/>
          <w:i/>
          <w:iCs/>
        </w:rPr>
        <w:t xml:space="preserve">V. </w:t>
      </w:r>
      <w:proofErr w:type="spellStart"/>
      <w:r w:rsidR="009D028C" w:rsidRPr="007B751B">
        <w:rPr>
          <w:rFonts w:asciiTheme="minorHAnsi" w:hAnsiTheme="minorHAnsi" w:cstheme="minorHAnsi"/>
          <w:i/>
          <w:iCs/>
        </w:rPr>
        <w:t>gaudichaudii</w:t>
      </w:r>
      <w:proofErr w:type="spellEnd"/>
      <w:r w:rsidR="009D028C" w:rsidRPr="007B751B">
        <w:rPr>
          <w:rFonts w:asciiTheme="minorHAnsi" w:hAnsiTheme="minorHAnsi" w:cstheme="minorHAnsi"/>
        </w:rPr>
        <w:t xml:space="preserve"> were unable to infect either </w:t>
      </w:r>
      <w:r w:rsidR="009D028C" w:rsidRPr="007B751B">
        <w:rPr>
          <w:rFonts w:asciiTheme="minorHAnsi" w:hAnsiTheme="minorHAnsi" w:cstheme="minorHAnsi"/>
          <w:i/>
          <w:iCs/>
        </w:rPr>
        <w:t>L. camara</w:t>
      </w:r>
      <w:r w:rsidR="009D028C" w:rsidRPr="007B751B">
        <w:rPr>
          <w:rFonts w:asciiTheme="minorHAnsi" w:hAnsiTheme="minorHAnsi" w:cstheme="minorHAnsi"/>
        </w:rPr>
        <w:t xml:space="preserve"> or new </w:t>
      </w:r>
      <w:r w:rsidR="009D028C" w:rsidRPr="007B751B">
        <w:rPr>
          <w:rFonts w:asciiTheme="minorHAnsi" w:hAnsiTheme="minorHAnsi" w:cstheme="minorHAnsi"/>
          <w:i/>
          <w:iCs/>
        </w:rPr>
        <w:t xml:space="preserve">V. </w:t>
      </w:r>
      <w:proofErr w:type="spellStart"/>
      <w:r w:rsidR="009D028C" w:rsidRPr="007B751B">
        <w:rPr>
          <w:rFonts w:asciiTheme="minorHAnsi" w:hAnsiTheme="minorHAnsi" w:cstheme="minorHAnsi"/>
          <w:i/>
          <w:iCs/>
        </w:rPr>
        <w:t>gaudichaudii</w:t>
      </w:r>
      <w:proofErr w:type="spellEnd"/>
      <w:r w:rsidR="009D028C" w:rsidRPr="007B751B">
        <w:rPr>
          <w:rFonts w:asciiTheme="minorHAnsi" w:hAnsiTheme="minorHAnsi" w:cstheme="minorHAnsi"/>
        </w:rPr>
        <w:t xml:space="preserve"> plants.</w:t>
      </w:r>
    </w:p>
    <w:p w14:paraId="73E37243" w14:textId="18741211" w:rsidR="00384000" w:rsidRPr="007B751B" w:rsidRDefault="009D028C" w:rsidP="009B1D59">
      <w:pPr>
        <w:rPr>
          <w:rFonts w:asciiTheme="minorHAnsi" w:hAnsiTheme="minorHAnsi" w:cstheme="minorHAnsi"/>
        </w:rPr>
      </w:pPr>
      <w:r w:rsidRPr="007B751B">
        <w:rPr>
          <w:rFonts w:asciiTheme="minorHAnsi" w:hAnsiTheme="minorHAnsi" w:cstheme="minorHAnsi"/>
        </w:rPr>
        <w:t xml:space="preserve">Due to the variable responses for both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africana</w:t>
      </w:r>
      <w:proofErr w:type="spellEnd"/>
      <w:r w:rsidRPr="007B751B">
        <w:rPr>
          <w:rFonts w:asciiTheme="minorHAnsi" w:hAnsiTheme="minorHAnsi" w:cstheme="minorHAnsi"/>
        </w:rPr>
        <w:t xml:space="preserve"> and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gaudichaudii</w:t>
      </w:r>
      <w:proofErr w:type="spellEnd"/>
      <w:r w:rsidRPr="007B751B">
        <w:rPr>
          <w:rFonts w:asciiTheme="minorHAnsi" w:hAnsiTheme="minorHAnsi" w:cstheme="minorHAnsi"/>
        </w:rPr>
        <w:t>, f</w:t>
      </w:r>
      <w:r w:rsidR="00202E70" w:rsidRPr="007B751B">
        <w:rPr>
          <w:rFonts w:asciiTheme="minorHAnsi" w:hAnsiTheme="minorHAnsi" w:cstheme="minorHAnsi"/>
        </w:rPr>
        <w:t xml:space="preserve">urther testing </w:t>
      </w:r>
      <w:r w:rsidR="00DB0726" w:rsidRPr="007B751B">
        <w:rPr>
          <w:rFonts w:asciiTheme="minorHAnsi" w:hAnsiTheme="minorHAnsi" w:cstheme="minorHAnsi"/>
        </w:rPr>
        <w:t xml:space="preserve">using a quantitative approach </w:t>
      </w:r>
      <w:r w:rsidR="00202E70" w:rsidRPr="007B751B">
        <w:rPr>
          <w:rFonts w:asciiTheme="minorHAnsi" w:hAnsiTheme="minorHAnsi" w:cstheme="minorHAnsi"/>
        </w:rPr>
        <w:t>was carried out on both species</w:t>
      </w:r>
      <w:r w:rsidR="00DB0726" w:rsidRPr="007B751B">
        <w:rPr>
          <w:rFonts w:asciiTheme="minorHAnsi" w:hAnsiTheme="minorHAnsi" w:cstheme="minorHAnsi"/>
        </w:rPr>
        <w:t xml:space="preserve"> to investigate.</w:t>
      </w:r>
    </w:p>
    <w:p w14:paraId="004D2A88" w14:textId="3238032A" w:rsidR="00285730" w:rsidRPr="007B751B" w:rsidRDefault="00BB5CA4" w:rsidP="009B1D59">
      <w:pPr>
        <w:rPr>
          <w:rFonts w:asciiTheme="minorHAnsi" w:hAnsiTheme="minorHAnsi" w:cstheme="minorHAnsi"/>
        </w:rPr>
      </w:pPr>
      <w:r w:rsidRPr="007B751B">
        <w:rPr>
          <w:rFonts w:asciiTheme="minorHAnsi" w:hAnsiTheme="minorHAnsi" w:cstheme="minorHAnsi"/>
        </w:rPr>
        <w:t xml:space="preserve">Further testing </w:t>
      </w:r>
      <w:r w:rsidR="00357E32" w:rsidRPr="007B751B">
        <w:rPr>
          <w:rFonts w:asciiTheme="minorHAnsi" w:hAnsiTheme="minorHAnsi" w:cstheme="minorHAnsi"/>
        </w:rPr>
        <w:t xml:space="preserve">on </w:t>
      </w:r>
      <w:r w:rsidR="00357E32" w:rsidRPr="007B751B">
        <w:rPr>
          <w:rFonts w:asciiTheme="minorHAnsi" w:hAnsiTheme="minorHAnsi" w:cstheme="minorHAnsi"/>
          <w:i/>
          <w:iCs/>
        </w:rPr>
        <w:t xml:space="preserve">V. </w:t>
      </w:r>
      <w:proofErr w:type="spellStart"/>
      <w:r w:rsidR="00357E32" w:rsidRPr="007B751B">
        <w:rPr>
          <w:rFonts w:asciiTheme="minorHAnsi" w:hAnsiTheme="minorHAnsi" w:cstheme="minorHAnsi"/>
          <w:i/>
          <w:iCs/>
        </w:rPr>
        <w:t>africana</w:t>
      </w:r>
      <w:proofErr w:type="spellEnd"/>
      <w:r w:rsidR="00357E32" w:rsidRPr="007B751B">
        <w:rPr>
          <w:rFonts w:asciiTheme="minorHAnsi" w:hAnsiTheme="minorHAnsi" w:cstheme="minorHAnsi"/>
        </w:rPr>
        <w:t xml:space="preserve"> </w:t>
      </w:r>
      <w:r w:rsidRPr="007B751B">
        <w:rPr>
          <w:rFonts w:asciiTheme="minorHAnsi" w:hAnsiTheme="minorHAnsi" w:cstheme="minorHAnsi"/>
        </w:rPr>
        <w:t>demonstrated that</w:t>
      </w:r>
      <w:r w:rsidR="00EE2133" w:rsidRPr="007B751B">
        <w:rPr>
          <w:rFonts w:asciiTheme="minorHAnsi" w:hAnsiTheme="minorHAnsi" w:cstheme="minorHAnsi"/>
        </w:rPr>
        <w:t xml:space="preserve"> the concentration of rust inoculum has a significant effect on the number of telia that develop.</w:t>
      </w:r>
      <w:r w:rsidR="00ED01FB" w:rsidRPr="007B751B">
        <w:rPr>
          <w:rFonts w:asciiTheme="minorHAnsi" w:hAnsiTheme="minorHAnsi" w:cstheme="minorHAnsi"/>
        </w:rPr>
        <w:t xml:space="preserve"> The minimum dose of inoculum required for infection was a total diameter of 40 mm. However, increasing amounts of inoculum did not result in a linear relationship, as the concentrations of 40 mm and 160 mm produced the most infection, with a dose of 80 mm inducing lower levels of infection.</w:t>
      </w:r>
    </w:p>
    <w:p w14:paraId="09C9FCB2" w14:textId="1468C6CF" w:rsidR="00ED01FB" w:rsidRPr="007B751B" w:rsidRDefault="0074074F" w:rsidP="009B1D59">
      <w:pPr>
        <w:rPr>
          <w:rFonts w:asciiTheme="minorHAnsi" w:hAnsiTheme="minorHAnsi" w:cstheme="minorHAnsi"/>
        </w:rPr>
      </w:pPr>
      <w:r w:rsidRPr="007B751B">
        <w:rPr>
          <w:rFonts w:asciiTheme="minorHAnsi" w:hAnsiTheme="minorHAnsi" w:cstheme="minorHAnsi"/>
        </w:rPr>
        <w:lastRenderedPageBreak/>
        <w:t xml:space="preserve">Further testing on </w:t>
      </w:r>
      <w:r w:rsidRPr="007B751B">
        <w:rPr>
          <w:rFonts w:asciiTheme="minorHAnsi" w:hAnsiTheme="minorHAnsi" w:cstheme="minorHAnsi"/>
          <w:i/>
          <w:iCs/>
        </w:rPr>
        <w:t xml:space="preserve">V. </w:t>
      </w:r>
      <w:proofErr w:type="spellStart"/>
      <w:r w:rsidRPr="007B751B">
        <w:rPr>
          <w:rFonts w:asciiTheme="minorHAnsi" w:hAnsiTheme="minorHAnsi" w:cstheme="minorHAnsi"/>
          <w:i/>
          <w:iCs/>
        </w:rPr>
        <w:t>gaudichaudii</w:t>
      </w:r>
      <w:proofErr w:type="spellEnd"/>
      <w:r w:rsidRPr="007B751B">
        <w:rPr>
          <w:rFonts w:asciiTheme="minorHAnsi" w:hAnsiTheme="minorHAnsi" w:cstheme="minorHAnsi"/>
        </w:rPr>
        <w:t xml:space="preserve"> demonstrated that</w:t>
      </w:r>
      <w:r w:rsidR="00D84C41" w:rsidRPr="007B751B">
        <w:rPr>
          <w:rFonts w:asciiTheme="minorHAnsi" w:hAnsiTheme="minorHAnsi" w:cstheme="minorHAnsi"/>
        </w:rPr>
        <w:t xml:space="preserve"> there was generally an increase in infection as inoculum dose was increased. Some variability in results was </w:t>
      </w:r>
      <w:proofErr w:type="gramStart"/>
      <w:r w:rsidR="00D84C41" w:rsidRPr="007B751B">
        <w:rPr>
          <w:rFonts w:asciiTheme="minorHAnsi" w:hAnsiTheme="minorHAnsi" w:cstheme="minorHAnsi"/>
        </w:rPr>
        <w:t>noted</w:t>
      </w:r>
      <w:proofErr w:type="gramEnd"/>
      <w:r w:rsidR="00D84C41" w:rsidRPr="007B751B">
        <w:rPr>
          <w:rFonts w:asciiTheme="minorHAnsi" w:hAnsiTheme="minorHAnsi" w:cstheme="minorHAnsi"/>
        </w:rPr>
        <w:t xml:space="preserve"> however.</w:t>
      </w:r>
      <w:r w:rsidR="00865A47" w:rsidRPr="007B751B">
        <w:rPr>
          <w:rFonts w:asciiTheme="minorHAnsi" w:hAnsiTheme="minorHAnsi" w:cstheme="minorHAnsi"/>
        </w:rPr>
        <w:t xml:space="preserve"> A moderate to high dose of inoculum was required to induce infection. Despite some high levels of infection being recorded on individual plants during testing, none of the plants died</w:t>
      </w:r>
      <w:r w:rsidR="003C3CC2">
        <w:rPr>
          <w:rFonts w:asciiTheme="minorHAnsi" w:hAnsiTheme="minorHAnsi" w:cstheme="minorHAnsi"/>
        </w:rPr>
        <w:t>,</w:t>
      </w:r>
      <w:r w:rsidR="00865A47" w:rsidRPr="007B751B">
        <w:rPr>
          <w:rFonts w:asciiTheme="minorHAnsi" w:hAnsiTheme="minorHAnsi" w:cstheme="minorHAnsi"/>
        </w:rPr>
        <w:t xml:space="preserve"> and in all cases outgrew the infection and recovered. Telia produced on </w:t>
      </w:r>
      <w:r w:rsidR="00865A47" w:rsidRPr="007B751B">
        <w:rPr>
          <w:rFonts w:asciiTheme="minorHAnsi" w:hAnsiTheme="minorHAnsi" w:cstheme="minorHAnsi"/>
          <w:i/>
          <w:iCs/>
        </w:rPr>
        <w:t xml:space="preserve">V. </w:t>
      </w:r>
      <w:proofErr w:type="spellStart"/>
      <w:r w:rsidR="00865A47" w:rsidRPr="007B751B">
        <w:rPr>
          <w:rFonts w:asciiTheme="minorHAnsi" w:hAnsiTheme="minorHAnsi" w:cstheme="minorHAnsi"/>
          <w:i/>
          <w:iCs/>
        </w:rPr>
        <w:t>gaudichaudii</w:t>
      </w:r>
      <w:proofErr w:type="spellEnd"/>
      <w:r w:rsidR="00865A47" w:rsidRPr="007B751B">
        <w:rPr>
          <w:rFonts w:asciiTheme="minorHAnsi" w:hAnsiTheme="minorHAnsi" w:cstheme="minorHAnsi"/>
        </w:rPr>
        <w:t xml:space="preserve"> were viable and infection of</w:t>
      </w:r>
      <w:r w:rsidR="00201F78" w:rsidRPr="007B751B">
        <w:rPr>
          <w:rFonts w:asciiTheme="minorHAnsi" w:hAnsiTheme="minorHAnsi" w:cstheme="minorHAnsi"/>
        </w:rPr>
        <w:t xml:space="preserve"> susceptible</w:t>
      </w:r>
      <w:r w:rsidR="00865A47" w:rsidRPr="007B751B">
        <w:rPr>
          <w:rFonts w:asciiTheme="minorHAnsi" w:hAnsiTheme="minorHAnsi" w:cstheme="minorHAnsi"/>
        </w:rPr>
        <w:t xml:space="preserve"> </w:t>
      </w:r>
      <w:r w:rsidR="00865A47" w:rsidRPr="007B751B">
        <w:rPr>
          <w:rFonts w:asciiTheme="minorHAnsi" w:hAnsiTheme="minorHAnsi" w:cstheme="minorHAnsi"/>
          <w:i/>
          <w:iCs/>
        </w:rPr>
        <w:t>L. camara</w:t>
      </w:r>
      <w:r w:rsidR="00865A47" w:rsidRPr="007B751B">
        <w:rPr>
          <w:rFonts w:asciiTheme="minorHAnsi" w:hAnsiTheme="minorHAnsi" w:cstheme="minorHAnsi"/>
        </w:rPr>
        <w:t xml:space="preserve"> plants was achieved, however attempts to infect new </w:t>
      </w:r>
      <w:r w:rsidR="00865A47" w:rsidRPr="007B751B">
        <w:rPr>
          <w:rFonts w:asciiTheme="minorHAnsi" w:hAnsiTheme="minorHAnsi" w:cstheme="minorHAnsi"/>
          <w:i/>
          <w:iCs/>
        </w:rPr>
        <w:t xml:space="preserve">V. </w:t>
      </w:r>
      <w:proofErr w:type="spellStart"/>
      <w:r w:rsidR="00865A47" w:rsidRPr="007B751B">
        <w:rPr>
          <w:rFonts w:asciiTheme="minorHAnsi" w:hAnsiTheme="minorHAnsi" w:cstheme="minorHAnsi"/>
          <w:i/>
          <w:iCs/>
        </w:rPr>
        <w:t>gaudichaudii</w:t>
      </w:r>
      <w:proofErr w:type="spellEnd"/>
      <w:r w:rsidR="00865A47" w:rsidRPr="007B751B">
        <w:rPr>
          <w:rFonts w:asciiTheme="minorHAnsi" w:hAnsiTheme="minorHAnsi" w:cstheme="minorHAnsi"/>
        </w:rPr>
        <w:t xml:space="preserve"> plants were unsuccessful</w:t>
      </w:r>
      <w:r w:rsidR="00201F78" w:rsidRPr="007B751B">
        <w:rPr>
          <w:rFonts w:asciiTheme="minorHAnsi" w:hAnsiTheme="minorHAnsi" w:cstheme="minorHAnsi"/>
        </w:rPr>
        <w:t>.</w:t>
      </w:r>
    </w:p>
    <w:p w14:paraId="3B2DDB2B" w14:textId="77777777" w:rsidR="007B4BAD" w:rsidRDefault="007B4BAD" w:rsidP="00B96F59">
      <w:pPr>
        <w:pStyle w:val="Heading4"/>
      </w:pPr>
      <w:r w:rsidRPr="00B96F59">
        <w:t>Comments on host specificity testing</w:t>
      </w:r>
    </w:p>
    <w:p w14:paraId="53DB6CAE" w14:textId="1D78802F" w:rsidR="00740BF2" w:rsidRPr="000A724B" w:rsidRDefault="00A362E0" w:rsidP="005E0A90">
      <w:pPr>
        <w:rPr>
          <w:rFonts w:asciiTheme="minorHAnsi" w:hAnsiTheme="minorHAnsi" w:cstheme="minorHAnsi"/>
          <w:bCs/>
        </w:rPr>
      </w:pPr>
      <w:r w:rsidRPr="000A724B">
        <w:rPr>
          <w:rFonts w:asciiTheme="minorHAnsi" w:hAnsiTheme="minorHAnsi" w:cstheme="minorHAnsi"/>
        </w:rPr>
        <w:t>A total of 5</w:t>
      </w:r>
      <w:r w:rsidR="00FE6406">
        <w:rPr>
          <w:rFonts w:asciiTheme="minorHAnsi" w:hAnsiTheme="minorHAnsi" w:cstheme="minorHAnsi"/>
        </w:rPr>
        <w:t>5</w:t>
      </w:r>
      <w:r w:rsidRPr="000A724B">
        <w:rPr>
          <w:rFonts w:asciiTheme="minorHAnsi" w:hAnsiTheme="minorHAnsi" w:cstheme="minorHAnsi"/>
        </w:rPr>
        <w:t xml:space="preserve"> non-target plant species were tested during host specificity testing, including 2</w:t>
      </w:r>
      <w:r w:rsidR="00FE6406">
        <w:rPr>
          <w:rFonts w:asciiTheme="minorHAnsi" w:hAnsiTheme="minorHAnsi" w:cstheme="minorHAnsi"/>
        </w:rPr>
        <w:t>4</w:t>
      </w:r>
      <w:r w:rsidRPr="000A724B">
        <w:rPr>
          <w:rFonts w:asciiTheme="minorHAnsi" w:hAnsiTheme="minorHAnsi" w:cstheme="minorHAnsi"/>
        </w:rPr>
        <w:t xml:space="preserve"> species from the Verbenaceae family. </w:t>
      </w:r>
      <w:r w:rsidR="00573F5F" w:rsidRPr="000A724B">
        <w:rPr>
          <w:rFonts w:asciiTheme="minorHAnsi" w:hAnsiTheme="minorHAnsi" w:cstheme="minorHAnsi"/>
          <w:bCs/>
        </w:rPr>
        <w:t xml:space="preserve">Representatives were tested from the </w:t>
      </w:r>
      <w:proofErr w:type="spellStart"/>
      <w:r w:rsidR="00573F5F" w:rsidRPr="000A724B">
        <w:rPr>
          <w:rFonts w:asciiTheme="minorHAnsi" w:hAnsiTheme="minorHAnsi" w:cstheme="minorHAnsi"/>
          <w:bCs/>
        </w:rPr>
        <w:t>Lantaneae</w:t>
      </w:r>
      <w:proofErr w:type="spellEnd"/>
      <w:r w:rsidR="00573F5F" w:rsidRPr="000A724B">
        <w:rPr>
          <w:rFonts w:asciiTheme="minorHAnsi" w:hAnsiTheme="minorHAnsi" w:cstheme="minorHAnsi"/>
          <w:bCs/>
        </w:rPr>
        <w:t xml:space="preserve"> tribe, to which the target weed belongs, including species from </w:t>
      </w:r>
      <w:r w:rsidR="00573F5F" w:rsidRPr="000A724B">
        <w:rPr>
          <w:rFonts w:asciiTheme="minorHAnsi" w:hAnsiTheme="minorHAnsi" w:cstheme="minorHAnsi"/>
          <w:bCs/>
          <w:i/>
          <w:iCs/>
        </w:rPr>
        <w:t>Lantana</w:t>
      </w:r>
      <w:r w:rsidR="00573F5F" w:rsidRPr="000A724B">
        <w:rPr>
          <w:rFonts w:asciiTheme="minorHAnsi" w:hAnsiTheme="minorHAnsi" w:cstheme="minorHAnsi"/>
          <w:bCs/>
        </w:rPr>
        <w:t xml:space="preserve"> genus, </w:t>
      </w:r>
      <w:r w:rsidR="00573F5F" w:rsidRPr="000A724B">
        <w:rPr>
          <w:rFonts w:asciiTheme="minorHAnsi" w:hAnsiTheme="minorHAnsi" w:cstheme="minorHAnsi"/>
          <w:bCs/>
          <w:i/>
          <w:iCs/>
        </w:rPr>
        <w:t>Aloysia</w:t>
      </w:r>
      <w:r w:rsidR="00573F5F" w:rsidRPr="000A724B">
        <w:rPr>
          <w:rFonts w:asciiTheme="minorHAnsi" w:hAnsiTheme="minorHAnsi" w:cstheme="minorHAnsi"/>
          <w:bCs/>
        </w:rPr>
        <w:t xml:space="preserve"> genus, </w:t>
      </w:r>
      <w:proofErr w:type="spellStart"/>
      <w:r w:rsidR="00740E19" w:rsidRPr="00740E19">
        <w:rPr>
          <w:rFonts w:asciiTheme="minorHAnsi" w:hAnsiTheme="minorHAnsi" w:cstheme="minorHAnsi"/>
          <w:bCs/>
          <w:i/>
          <w:iCs/>
        </w:rPr>
        <w:t>Stachytarpheta</w:t>
      </w:r>
      <w:proofErr w:type="spellEnd"/>
      <w:r w:rsidR="00740E19">
        <w:rPr>
          <w:rFonts w:asciiTheme="minorHAnsi" w:hAnsiTheme="minorHAnsi" w:cstheme="minorHAnsi"/>
          <w:bCs/>
        </w:rPr>
        <w:t xml:space="preserve"> genus, </w:t>
      </w:r>
      <w:proofErr w:type="spellStart"/>
      <w:r w:rsidR="00573F5F" w:rsidRPr="000A724B">
        <w:rPr>
          <w:rFonts w:asciiTheme="minorHAnsi" w:hAnsiTheme="minorHAnsi" w:cstheme="minorHAnsi"/>
          <w:bCs/>
          <w:i/>
          <w:iCs/>
        </w:rPr>
        <w:t>Lippia</w:t>
      </w:r>
      <w:proofErr w:type="spellEnd"/>
      <w:r w:rsidR="00573F5F" w:rsidRPr="000A724B">
        <w:rPr>
          <w:rFonts w:asciiTheme="minorHAnsi" w:hAnsiTheme="minorHAnsi" w:cstheme="minorHAnsi"/>
          <w:bCs/>
        </w:rPr>
        <w:t xml:space="preserve"> genus and </w:t>
      </w:r>
      <w:r w:rsidR="00573F5F" w:rsidRPr="000A724B">
        <w:rPr>
          <w:rFonts w:asciiTheme="minorHAnsi" w:hAnsiTheme="minorHAnsi" w:cstheme="minorHAnsi"/>
          <w:bCs/>
          <w:i/>
          <w:iCs/>
        </w:rPr>
        <w:t>Phyla</w:t>
      </w:r>
      <w:r w:rsidR="00573F5F" w:rsidRPr="000A724B">
        <w:rPr>
          <w:rFonts w:asciiTheme="minorHAnsi" w:hAnsiTheme="minorHAnsi" w:cstheme="minorHAnsi"/>
          <w:bCs/>
        </w:rPr>
        <w:t xml:space="preserve"> genus. Representative species from other closely related tribes within the Verbenaceae family were also tested, including species from the </w:t>
      </w:r>
      <w:proofErr w:type="spellStart"/>
      <w:r w:rsidR="00573F5F" w:rsidRPr="000A724B">
        <w:rPr>
          <w:rFonts w:asciiTheme="minorHAnsi" w:hAnsiTheme="minorHAnsi" w:cstheme="minorHAnsi"/>
          <w:bCs/>
        </w:rPr>
        <w:t>Verbeneae</w:t>
      </w:r>
      <w:proofErr w:type="spellEnd"/>
      <w:r w:rsidR="00573F5F" w:rsidRPr="000A724B">
        <w:rPr>
          <w:rFonts w:asciiTheme="minorHAnsi" w:hAnsiTheme="minorHAnsi" w:cstheme="minorHAnsi"/>
          <w:bCs/>
        </w:rPr>
        <w:t xml:space="preserve">, </w:t>
      </w:r>
      <w:proofErr w:type="spellStart"/>
      <w:r w:rsidR="00573F5F" w:rsidRPr="000A724B">
        <w:rPr>
          <w:rFonts w:asciiTheme="minorHAnsi" w:hAnsiTheme="minorHAnsi" w:cstheme="minorHAnsi"/>
          <w:bCs/>
        </w:rPr>
        <w:t>Citharexyleae</w:t>
      </w:r>
      <w:proofErr w:type="spellEnd"/>
      <w:r w:rsidR="00573F5F" w:rsidRPr="000A724B">
        <w:rPr>
          <w:rFonts w:asciiTheme="minorHAnsi" w:hAnsiTheme="minorHAnsi" w:cstheme="minorHAnsi"/>
          <w:bCs/>
        </w:rPr>
        <w:t xml:space="preserve"> and </w:t>
      </w:r>
      <w:proofErr w:type="spellStart"/>
      <w:r w:rsidR="00573F5F" w:rsidRPr="000A724B">
        <w:rPr>
          <w:rFonts w:asciiTheme="minorHAnsi" w:hAnsiTheme="minorHAnsi" w:cstheme="minorHAnsi"/>
          <w:bCs/>
        </w:rPr>
        <w:t>Priveae</w:t>
      </w:r>
      <w:proofErr w:type="spellEnd"/>
      <w:r w:rsidR="00573F5F" w:rsidRPr="000A724B">
        <w:rPr>
          <w:rFonts w:asciiTheme="minorHAnsi" w:hAnsiTheme="minorHAnsi" w:cstheme="minorHAnsi"/>
          <w:bCs/>
        </w:rPr>
        <w:t xml:space="preserve"> tribes.</w:t>
      </w:r>
      <w:r w:rsidR="00740BF2" w:rsidRPr="000A724B">
        <w:rPr>
          <w:rFonts w:asciiTheme="minorHAnsi" w:hAnsiTheme="minorHAnsi" w:cstheme="minorHAnsi"/>
          <w:bCs/>
        </w:rPr>
        <w:t xml:space="preserve"> The host test list includes </w:t>
      </w:r>
      <w:r w:rsidR="002A763C" w:rsidRPr="000A724B">
        <w:rPr>
          <w:rFonts w:asciiTheme="minorHAnsi" w:hAnsiTheme="minorHAnsi" w:cstheme="minorHAnsi"/>
          <w:bCs/>
        </w:rPr>
        <w:t xml:space="preserve">a selection of </w:t>
      </w:r>
      <w:r w:rsidR="004F52CE" w:rsidRPr="000A724B">
        <w:rPr>
          <w:rFonts w:asciiTheme="minorHAnsi" w:hAnsiTheme="minorHAnsi" w:cstheme="minorHAnsi"/>
          <w:bCs/>
          <w:iCs/>
        </w:rPr>
        <w:t>native, ornamental, naturalised and weedy</w:t>
      </w:r>
      <w:r w:rsidR="002A763C" w:rsidRPr="000A724B">
        <w:rPr>
          <w:rFonts w:asciiTheme="minorHAnsi" w:hAnsiTheme="minorHAnsi" w:cstheme="minorHAnsi"/>
          <w:bCs/>
        </w:rPr>
        <w:t xml:space="preserve"> </w:t>
      </w:r>
      <w:r w:rsidR="004F52CE" w:rsidRPr="000A724B">
        <w:rPr>
          <w:rFonts w:asciiTheme="minorHAnsi" w:hAnsiTheme="minorHAnsi" w:cstheme="minorHAnsi"/>
          <w:bCs/>
        </w:rPr>
        <w:t xml:space="preserve">representative </w:t>
      </w:r>
      <w:r w:rsidR="002A763C" w:rsidRPr="000A724B">
        <w:rPr>
          <w:rFonts w:asciiTheme="minorHAnsi" w:hAnsiTheme="minorHAnsi" w:cstheme="minorHAnsi"/>
          <w:bCs/>
        </w:rPr>
        <w:t xml:space="preserve">species </w:t>
      </w:r>
      <w:r w:rsidR="00740BF2" w:rsidRPr="000A724B">
        <w:rPr>
          <w:rFonts w:asciiTheme="minorHAnsi" w:hAnsiTheme="minorHAnsi" w:cstheme="minorHAnsi"/>
          <w:bCs/>
        </w:rPr>
        <w:t>from the most closely related plant tax</w:t>
      </w:r>
      <w:r w:rsidR="00123CA4" w:rsidRPr="000A724B">
        <w:rPr>
          <w:rFonts w:asciiTheme="minorHAnsi" w:hAnsiTheme="minorHAnsi" w:cstheme="minorHAnsi"/>
          <w:bCs/>
        </w:rPr>
        <w:t>a</w:t>
      </w:r>
      <w:r w:rsidR="00740BF2" w:rsidRPr="000A724B">
        <w:rPr>
          <w:rFonts w:asciiTheme="minorHAnsi" w:hAnsiTheme="minorHAnsi" w:cstheme="minorHAnsi"/>
          <w:bCs/>
        </w:rPr>
        <w:t xml:space="preserve"> to the target species in Australia. By testing these closely related non-target plant species using the methodology described above, in the application (Attachment 1) and Thomas et al. (2021), the applicant is considered to have satisfactorily assessed the likelihood of off-target effects occurring in the Australian environment.</w:t>
      </w:r>
    </w:p>
    <w:p w14:paraId="48CDCF77" w14:textId="7025D971" w:rsidR="005E0A90" w:rsidRPr="000A724B" w:rsidRDefault="00162872" w:rsidP="005E0A90">
      <w:pPr>
        <w:rPr>
          <w:rFonts w:asciiTheme="minorHAnsi" w:hAnsiTheme="minorHAnsi" w:cstheme="minorHAnsi"/>
          <w:bCs/>
        </w:rPr>
      </w:pPr>
      <w:r w:rsidRPr="000A724B">
        <w:rPr>
          <w:rFonts w:asciiTheme="minorHAnsi" w:hAnsiTheme="minorHAnsi" w:cstheme="minorHAnsi"/>
          <w:bCs/>
        </w:rPr>
        <w:t>The results of host specificity testing experiments indicate</w:t>
      </w:r>
      <w:r w:rsidR="00573F5F" w:rsidRPr="000A724B">
        <w:rPr>
          <w:rFonts w:asciiTheme="minorHAnsi" w:hAnsiTheme="minorHAnsi" w:cstheme="minorHAnsi"/>
          <w:bCs/>
        </w:rPr>
        <w:t xml:space="preserve"> </w:t>
      </w:r>
      <w:r w:rsidR="00137941" w:rsidRPr="000A724B">
        <w:rPr>
          <w:rFonts w:asciiTheme="minorHAnsi" w:hAnsiTheme="minorHAnsi" w:cstheme="minorHAnsi"/>
          <w:bCs/>
        </w:rPr>
        <w:t xml:space="preserve">that only the target weed, </w:t>
      </w:r>
      <w:r w:rsidR="00137941" w:rsidRPr="000A724B">
        <w:rPr>
          <w:rFonts w:asciiTheme="minorHAnsi" w:hAnsiTheme="minorHAnsi" w:cstheme="minorHAnsi"/>
          <w:bCs/>
          <w:i/>
          <w:iCs/>
        </w:rPr>
        <w:t>L. camara</w:t>
      </w:r>
      <w:r w:rsidR="00137941" w:rsidRPr="000A724B">
        <w:rPr>
          <w:rFonts w:asciiTheme="minorHAnsi" w:hAnsiTheme="minorHAnsi" w:cstheme="minorHAnsi"/>
          <w:bCs/>
        </w:rPr>
        <w:t xml:space="preserve"> is fully susceptible to </w:t>
      </w:r>
      <w:r w:rsidR="00137941" w:rsidRPr="000A724B">
        <w:rPr>
          <w:rFonts w:asciiTheme="minorHAnsi" w:hAnsiTheme="minorHAnsi" w:cstheme="minorHAnsi"/>
          <w:bCs/>
          <w:i/>
          <w:iCs/>
        </w:rPr>
        <w:t>P. lantanae</w:t>
      </w:r>
      <w:r w:rsidR="00137941" w:rsidRPr="000A724B">
        <w:rPr>
          <w:rFonts w:asciiTheme="minorHAnsi" w:hAnsiTheme="minorHAnsi" w:cstheme="minorHAnsi"/>
          <w:bCs/>
        </w:rPr>
        <w:t xml:space="preserve"> pathotype IMI 398849. Although some non-target species were able to be infected during testing, </w:t>
      </w:r>
      <w:r w:rsidR="00006554" w:rsidRPr="00006554">
        <w:rPr>
          <w:rFonts w:asciiTheme="minorHAnsi" w:hAnsiTheme="minorHAnsi" w:cstheme="minorHAnsi"/>
          <w:bCs/>
        </w:rPr>
        <w:t>only low numbers of viable teliospores were produced and these were unable to cause infection via re</w:t>
      </w:r>
      <w:r w:rsidR="00006554">
        <w:rPr>
          <w:rFonts w:asciiTheme="minorHAnsi" w:hAnsiTheme="minorHAnsi" w:cstheme="minorHAnsi"/>
          <w:bCs/>
        </w:rPr>
        <w:t>-</w:t>
      </w:r>
      <w:r w:rsidR="00006554" w:rsidRPr="00006554">
        <w:rPr>
          <w:rFonts w:asciiTheme="minorHAnsi" w:hAnsiTheme="minorHAnsi" w:cstheme="minorHAnsi"/>
          <w:bCs/>
        </w:rPr>
        <w:t>inoculation on the same species</w:t>
      </w:r>
      <w:r w:rsidR="00137941" w:rsidRPr="000A724B">
        <w:rPr>
          <w:rFonts w:asciiTheme="minorHAnsi" w:hAnsiTheme="minorHAnsi" w:cstheme="minorHAnsi"/>
          <w:bCs/>
        </w:rPr>
        <w:t>.</w:t>
      </w:r>
      <w:r w:rsidR="00234947" w:rsidRPr="000A724B">
        <w:rPr>
          <w:rFonts w:asciiTheme="minorHAnsi" w:hAnsiTheme="minorHAnsi" w:cstheme="minorHAnsi"/>
          <w:bCs/>
        </w:rPr>
        <w:t xml:space="preserve"> The </w:t>
      </w:r>
      <w:r w:rsidR="00234947" w:rsidRPr="000A724B">
        <w:rPr>
          <w:rFonts w:asciiTheme="minorHAnsi" w:hAnsiTheme="minorHAnsi" w:cstheme="minorHAnsi"/>
          <w:bCs/>
          <w:i/>
          <w:iCs/>
        </w:rPr>
        <w:t xml:space="preserve">V. </w:t>
      </w:r>
      <w:proofErr w:type="spellStart"/>
      <w:r w:rsidR="00234947" w:rsidRPr="000A724B">
        <w:rPr>
          <w:rFonts w:asciiTheme="minorHAnsi" w:hAnsiTheme="minorHAnsi" w:cstheme="minorHAnsi"/>
          <w:bCs/>
          <w:i/>
          <w:iCs/>
        </w:rPr>
        <w:t>gaudichaudii</w:t>
      </w:r>
      <w:proofErr w:type="spellEnd"/>
      <w:r w:rsidR="00234947" w:rsidRPr="000A724B">
        <w:rPr>
          <w:rFonts w:asciiTheme="minorHAnsi" w:hAnsiTheme="minorHAnsi" w:cstheme="minorHAnsi"/>
          <w:bCs/>
        </w:rPr>
        <w:t xml:space="preserve"> non-target plants displaying the highest levels of infection were still able to fully recover and outgrow the infection.</w:t>
      </w:r>
    </w:p>
    <w:p w14:paraId="7D5BA8BA" w14:textId="6DEA444E" w:rsidR="00BF1903" w:rsidRPr="000A724B" w:rsidRDefault="00BF1903" w:rsidP="005E0A90">
      <w:pPr>
        <w:rPr>
          <w:rFonts w:asciiTheme="minorHAnsi" w:hAnsiTheme="minorHAnsi" w:cstheme="minorHAnsi"/>
        </w:rPr>
      </w:pPr>
      <w:r w:rsidRPr="000A724B">
        <w:rPr>
          <w:rFonts w:asciiTheme="minorHAnsi" w:hAnsiTheme="minorHAnsi" w:cstheme="minorHAnsi"/>
          <w:bCs/>
        </w:rPr>
        <w:t xml:space="preserve">Based on host specificity testing results, it is possible that </w:t>
      </w:r>
      <w:r w:rsidRPr="000A724B">
        <w:rPr>
          <w:rFonts w:asciiTheme="minorHAnsi" w:hAnsiTheme="minorHAnsi" w:cstheme="minorHAnsi"/>
          <w:bCs/>
          <w:i/>
          <w:iCs/>
        </w:rPr>
        <w:t xml:space="preserve">V. </w:t>
      </w:r>
      <w:proofErr w:type="spellStart"/>
      <w:r w:rsidRPr="000A724B">
        <w:rPr>
          <w:rFonts w:asciiTheme="minorHAnsi" w:hAnsiTheme="minorHAnsi" w:cstheme="minorHAnsi"/>
          <w:bCs/>
          <w:i/>
          <w:iCs/>
        </w:rPr>
        <w:t>africana</w:t>
      </w:r>
      <w:proofErr w:type="spellEnd"/>
      <w:r w:rsidRPr="000A724B">
        <w:rPr>
          <w:rFonts w:asciiTheme="minorHAnsi" w:hAnsiTheme="minorHAnsi" w:cstheme="minorHAnsi"/>
          <w:bCs/>
        </w:rPr>
        <w:t xml:space="preserve"> and </w:t>
      </w:r>
      <w:r w:rsidRPr="000A724B">
        <w:rPr>
          <w:rFonts w:asciiTheme="minorHAnsi" w:hAnsiTheme="minorHAnsi" w:cstheme="minorHAnsi"/>
          <w:bCs/>
          <w:i/>
          <w:iCs/>
        </w:rPr>
        <w:t xml:space="preserve">V. </w:t>
      </w:r>
      <w:proofErr w:type="spellStart"/>
      <w:r w:rsidRPr="000A724B">
        <w:rPr>
          <w:rFonts w:asciiTheme="minorHAnsi" w:hAnsiTheme="minorHAnsi" w:cstheme="minorHAnsi"/>
          <w:bCs/>
          <w:i/>
          <w:iCs/>
        </w:rPr>
        <w:t>gaudichaudii</w:t>
      </w:r>
      <w:proofErr w:type="spellEnd"/>
      <w:r w:rsidRPr="000A724B">
        <w:rPr>
          <w:rFonts w:asciiTheme="minorHAnsi" w:hAnsiTheme="minorHAnsi" w:cstheme="minorHAnsi"/>
          <w:bCs/>
        </w:rPr>
        <w:t xml:space="preserve"> plants growing in close proximity to </w:t>
      </w:r>
      <w:r w:rsidRPr="000A724B">
        <w:rPr>
          <w:rFonts w:asciiTheme="minorHAnsi" w:hAnsiTheme="minorHAnsi" w:cstheme="minorHAnsi"/>
          <w:bCs/>
          <w:i/>
          <w:iCs/>
        </w:rPr>
        <w:t>L. camara</w:t>
      </w:r>
      <w:r w:rsidRPr="000A724B">
        <w:rPr>
          <w:rFonts w:asciiTheme="minorHAnsi" w:hAnsiTheme="minorHAnsi" w:cstheme="minorHAnsi"/>
          <w:bCs/>
        </w:rPr>
        <w:t xml:space="preserve"> plants infected with </w:t>
      </w:r>
      <w:r w:rsidRPr="000A724B">
        <w:rPr>
          <w:rFonts w:asciiTheme="minorHAnsi" w:hAnsiTheme="minorHAnsi" w:cstheme="minorHAnsi"/>
          <w:bCs/>
          <w:i/>
          <w:iCs/>
        </w:rPr>
        <w:t>P. lantanae</w:t>
      </w:r>
      <w:r w:rsidRPr="000A724B">
        <w:rPr>
          <w:rFonts w:asciiTheme="minorHAnsi" w:hAnsiTheme="minorHAnsi" w:cstheme="minorHAnsi"/>
          <w:bCs/>
        </w:rPr>
        <w:t xml:space="preserve"> may develop some symptoms of infection. However, it is not anticipated that infection will cause plant </w:t>
      </w:r>
      <w:r w:rsidR="00740E19">
        <w:rPr>
          <w:rFonts w:asciiTheme="minorHAnsi" w:hAnsiTheme="minorHAnsi" w:cstheme="minorHAnsi"/>
          <w:bCs/>
        </w:rPr>
        <w:t>mortality</w:t>
      </w:r>
      <w:r w:rsidRPr="000A724B">
        <w:rPr>
          <w:rFonts w:asciiTheme="minorHAnsi" w:hAnsiTheme="minorHAnsi" w:cstheme="minorHAnsi"/>
          <w:bCs/>
        </w:rPr>
        <w:t>.</w:t>
      </w:r>
      <w:r w:rsidR="005644B9" w:rsidRPr="000A724B">
        <w:rPr>
          <w:rFonts w:asciiTheme="minorHAnsi" w:hAnsiTheme="minorHAnsi" w:cstheme="minorHAnsi"/>
          <w:bCs/>
        </w:rPr>
        <w:t xml:space="preserve"> Information provided in Attachment 1 also indicates that the </w:t>
      </w:r>
      <w:r w:rsidR="008F460C" w:rsidRPr="000A724B">
        <w:rPr>
          <w:rFonts w:asciiTheme="minorHAnsi" w:hAnsiTheme="minorHAnsi" w:cstheme="minorHAnsi"/>
          <w:bCs/>
        </w:rPr>
        <w:t xml:space="preserve">more inland </w:t>
      </w:r>
      <w:r w:rsidR="005644B9" w:rsidRPr="000A724B">
        <w:rPr>
          <w:rFonts w:asciiTheme="minorHAnsi" w:hAnsiTheme="minorHAnsi" w:cstheme="minorHAnsi"/>
          <w:bCs/>
        </w:rPr>
        <w:t xml:space="preserve">distribution of </w:t>
      </w:r>
      <w:r w:rsidR="005644B9" w:rsidRPr="000A724B">
        <w:rPr>
          <w:rFonts w:asciiTheme="minorHAnsi" w:hAnsiTheme="minorHAnsi" w:cstheme="minorHAnsi"/>
          <w:bCs/>
          <w:i/>
          <w:iCs/>
        </w:rPr>
        <w:t xml:space="preserve">V. </w:t>
      </w:r>
      <w:proofErr w:type="spellStart"/>
      <w:r w:rsidR="005644B9" w:rsidRPr="000A724B">
        <w:rPr>
          <w:rFonts w:asciiTheme="minorHAnsi" w:hAnsiTheme="minorHAnsi" w:cstheme="minorHAnsi"/>
          <w:bCs/>
          <w:i/>
          <w:iCs/>
        </w:rPr>
        <w:t>africana</w:t>
      </w:r>
      <w:proofErr w:type="spellEnd"/>
      <w:r w:rsidR="005644B9" w:rsidRPr="000A724B">
        <w:rPr>
          <w:rFonts w:asciiTheme="minorHAnsi" w:hAnsiTheme="minorHAnsi" w:cstheme="minorHAnsi"/>
          <w:bCs/>
        </w:rPr>
        <w:t xml:space="preserve"> and </w:t>
      </w:r>
      <w:r w:rsidR="005644B9" w:rsidRPr="000A724B">
        <w:rPr>
          <w:rFonts w:asciiTheme="minorHAnsi" w:hAnsiTheme="minorHAnsi" w:cstheme="minorHAnsi"/>
          <w:bCs/>
          <w:i/>
          <w:iCs/>
        </w:rPr>
        <w:t xml:space="preserve">V. </w:t>
      </w:r>
      <w:proofErr w:type="spellStart"/>
      <w:r w:rsidR="005644B9" w:rsidRPr="000A724B">
        <w:rPr>
          <w:rFonts w:asciiTheme="minorHAnsi" w:hAnsiTheme="minorHAnsi" w:cstheme="minorHAnsi"/>
          <w:bCs/>
          <w:i/>
          <w:iCs/>
        </w:rPr>
        <w:t>gaudichaudii</w:t>
      </w:r>
      <w:proofErr w:type="spellEnd"/>
      <w:r w:rsidR="005644B9" w:rsidRPr="000A724B">
        <w:rPr>
          <w:rFonts w:asciiTheme="minorHAnsi" w:hAnsiTheme="minorHAnsi" w:cstheme="minorHAnsi"/>
          <w:bCs/>
          <w:i/>
          <w:iCs/>
        </w:rPr>
        <w:t xml:space="preserve"> </w:t>
      </w:r>
      <w:r w:rsidR="008F460C" w:rsidRPr="000A724B">
        <w:rPr>
          <w:rFonts w:asciiTheme="minorHAnsi" w:hAnsiTheme="minorHAnsi" w:cstheme="minorHAnsi"/>
          <w:bCs/>
        </w:rPr>
        <w:t>has</w:t>
      </w:r>
      <w:r w:rsidR="005644B9" w:rsidRPr="000A724B">
        <w:rPr>
          <w:rFonts w:asciiTheme="minorHAnsi" w:hAnsiTheme="minorHAnsi" w:cstheme="minorHAnsi"/>
          <w:bCs/>
        </w:rPr>
        <w:t xml:space="preserve"> limited overlap with</w:t>
      </w:r>
      <w:r w:rsidR="008F460C" w:rsidRPr="000A724B">
        <w:rPr>
          <w:rFonts w:asciiTheme="minorHAnsi" w:hAnsiTheme="minorHAnsi" w:cstheme="minorHAnsi"/>
          <w:bCs/>
        </w:rPr>
        <w:t xml:space="preserve"> the primarily coastal/subcoastal distribution of</w:t>
      </w:r>
      <w:r w:rsidR="005644B9" w:rsidRPr="000A724B">
        <w:rPr>
          <w:rFonts w:asciiTheme="minorHAnsi" w:hAnsiTheme="minorHAnsi" w:cstheme="minorHAnsi"/>
          <w:bCs/>
        </w:rPr>
        <w:t xml:space="preserve"> </w:t>
      </w:r>
      <w:r w:rsidR="005644B9" w:rsidRPr="000A724B">
        <w:rPr>
          <w:rFonts w:asciiTheme="minorHAnsi" w:hAnsiTheme="minorHAnsi" w:cstheme="minorHAnsi"/>
          <w:bCs/>
          <w:i/>
          <w:iCs/>
        </w:rPr>
        <w:t>L. camara</w:t>
      </w:r>
      <w:r w:rsidR="005644B9" w:rsidRPr="000A724B">
        <w:rPr>
          <w:rFonts w:asciiTheme="minorHAnsi" w:hAnsiTheme="minorHAnsi" w:cstheme="minorHAnsi"/>
          <w:bCs/>
        </w:rPr>
        <w:t xml:space="preserve"> in Australia. In addition, </w:t>
      </w:r>
      <w:r w:rsidR="005644B9" w:rsidRPr="000A724B">
        <w:rPr>
          <w:rFonts w:asciiTheme="minorHAnsi" w:hAnsiTheme="minorHAnsi" w:cstheme="minorHAnsi"/>
          <w:bCs/>
          <w:i/>
          <w:iCs/>
        </w:rPr>
        <w:t xml:space="preserve">P. lantanae </w:t>
      </w:r>
      <w:r w:rsidR="005644B9" w:rsidRPr="000A724B">
        <w:rPr>
          <w:rFonts w:asciiTheme="minorHAnsi" w:hAnsiTheme="minorHAnsi" w:cstheme="minorHAnsi"/>
          <w:bCs/>
        </w:rPr>
        <w:t>is less likely to establish in more inland, elevated areas, as these are not very suitable for the pathogen.</w:t>
      </w:r>
      <w:r w:rsidRPr="000A724B">
        <w:rPr>
          <w:rFonts w:asciiTheme="minorHAnsi" w:hAnsiTheme="minorHAnsi" w:cstheme="minorHAnsi"/>
          <w:bCs/>
        </w:rPr>
        <w:t xml:space="preserve">  </w:t>
      </w:r>
    </w:p>
    <w:p w14:paraId="693DD9B5" w14:textId="77777777" w:rsidR="00EF09E2" w:rsidRPr="00B96F59" w:rsidRDefault="007B4BAD" w:rsidP="00B96F59">
      <w:pPr>
        <w:pStyle w:val="Heading4"/>
      </w:pPr>
      <w:r w:rsidRPr="00B96F59">
        <w:t>Likelihood of off-target effects</w:t>
      </w:r>
    </w:p>
    <w:p w14:paraId="04D5F3D6" w14:textId="77777777" w:rsidR="00EF09E2" w:rsidRPr="000A724B" w:rsidRDefault="00EF09E2" w:rsidP="00EF09E2">
      <w:pPr>
        <w:rPr>
          <w:rFonts w:asciiTheme="minorHAnsi" w:hAnsiTheme="minorHAnsi" w:cstheme="minorHAnsi"/>
        </w:rPr>
      </w:pPr>
      <w:r w:rsidRPr="000A724B">
        <w:rPr>
          <w:rFonts w:asciiTheme="minorHAnsi" w:hAnsiTheme="minorHAnsi" w:cstheme="minorHAnsi"/>
        </w:rPr>
        <w:t xml:space="preserve">The likelihood of off-target effects is </w:t>
      </w:r>
      <w:r w:rsidR="002C0133" w:rsidRPr="000A724B">
        <w:rPr>
          <w:rFonts w:asciiTheme="minorHAnsi" w:hAnsiTheme="minorHAnsi" w:cstheme="minorHAnsi"/>
        </w:rPr>
        <w:t>estimated</w:t>
      </w:r>
      <w:r w:rsidRPr="000A724B">
        <w:rPr>
          <w:rFonts w:asciiTheme="minorHAnsi" w:hAnsiTheme="minorHAnsi" w:cstheme="minorHAnsi"/>
        </w:rPr>
        <w:t xml:space="preserve"> on the basis of the</w:t>
      </w:r>
      <w:r w:rsidR="002C0133" w:rsidRPr="000A724B">
        <w:rPr>
          <w:rFonts w:asciiTheme="minorHAnsi" w:hAnsiTheme="minorHAnsi" w:cstheme="minorHAnsi"/>
        </w:rPr>
        <w:t xml:space="preserve"> outcomes of</w:t>
      </w:r>
      <w:r w:rsidRPr="000A724B">
        <w:rPr>
          <w:rFonts w:asciiTheme="minorHAnsi" w:hAnsiTheme="minorHAnsi" w:cstheme="minorHAnsi"/>
        </w:rPr>
        <w:t xml:space="preserve"> host specificity testing and other relevant information presented in the application (Attachment 1).</w:t>
      </w:r>
    </w:p>
    <w:p w14:paraId="1BC425FB" w14:textId="430A1109" w:rsidR="00657B19" w:rsidRPr="000A724B" w:rsidRDefault="00657B19" w:rsidP="00EF09E2">
      <w:pPr>
        <w:rPr>
          <w:rFonts w:asciiTheme="minorHAnsi" w:hAnsiTheme="minorHAnsi" w:cstheme="minorHAnsi"/>
        </w:rPr>
      </w:pPr>
      <w:r w:rsidRPr="000A724B">
        <w:rPr>
          <w:rFonts w:asciiTheme="minorHAnsi" w:hAnsiTheme="minorHAnsi" w:cstheme="minorHAnsi"/>
        </w:rPr>
        <w:t>It is anticipated that</w:t>
      </w:r>
      <w:r w:rsidR="009A53A8" w:rsidRPr="000A724B">
        <w:rPr>
          <w:rFonts w:asciiTheme="minorHAnsi" w:hAnsiTheme="minorHAnsi" w:cstheme="minorHAnsi"/>
        </w:rPr>
        <w:t xml:space="preserve"> </w:t>
      </w:r>
      <w:r w:rsidR="00D2221A" w:rsidRPr="000A724B">
        <w:rPr>
          <w:rFonts w:asciiTheme="minorHAnsi" w:hAnsiTheme="minorHAnsi" w:cstheme="minorHAnsi"/>
          <w:i/>
          <w:iCs/>
        </w:rPr>
        <w:t>L. camara</w:t>
      </w:r>
      <w:r w:rsidR="00D2221A" w:rsidRPr="000A724B">
        <w:rPr>
          <w:rFonts w:asciiTheme="minorHAnsi" w:hAnsiTheme="minorHAnsi" w:cstheme="minorHAnsi"/>
        </w:rPr>
        <w:t xml:space="preserve"> </w:t>
      </w:r>
      <w:r w:rsidR="009A53A8" w:rsidRPr="000A724B">
        <w:rPr>
          <w:rFonts w:asciiTheme="minorHAnsi" w:hAnsiTheme="minorHAnsi" w:cstheme="minorHAnsi"/>
        </w:rPr>
        <w:t xml:space="preserve">will be the only </w:t>
      </w:r>
      <w:r w:rsidR="00D2221A" w:rsidRPr="000A724B">
        <w:rPr>
          <w:rFonts w:asciiTheme="minorHAnsi" w:hAnsiTheme="minorHAnsi" w:cstheme="minorHAnsi"/>
        </w:rPr>
        <w:t xml:space="preserve">plant species that is able to support the complete lifecycle of </w:t>
      </w:r>
      <w:r w:rsidR="00D2221A" w:rsidRPr="000A724B">
        <w:rPr>
          <w:rFonts w:asciiTheme="minorHAnsi" w:hAnsiTheme="minorHAnsi" w:cstheme="minorHAnsi"/>
          <w:i/>
          <w:iCs/>
        </w:rPr>
        <w:t>P. lantanae</w:t>
      </w:r>
      <w:r w:rsidR="00D2221A" w:rsidRPr="000A724B">
        <w:rPr>
          <w:rFonts w:asciiTheme="minorHAnsi" w:hAnsiTheme="minorHAnsi" w:cstheme="minorHAnsi"/>
        </w:rPr>
        <w:t xml:space="preserve"> in the Australian environment. It is possible that there may be some localised </w:t>
      </w:r>
      <w:proofErr w:type="gramStart"/>
      <w:r w:rsidR="00D2221A" w:rsidRPr="000A724B">
        <w:rPr>
          <w:rFonts w:asciiTheme="minorHAnsi" w:hAnsiTheme="minorHAnsi" w:cstheme="minorHAnsi"/>
        </w:rPr>
        <w:t>off-target</w:t>
      </w:r>
      <w:proofErr w:type="gramEnd"/>
      <w:r w:rsidR="00D2221A" w:rsidRPr="000A724B">
        <w:rPr>
          <w:rFonts w:asciiTheme="minorHAnsi" w:hAnsiTheme="minorHAnsi" w:cstheme="minorHAnsi"/>
        </w:rPr>
        <w:t xml:space="preserve"> impacts on </w:t>
      </w:r>
      <w:r w:rsidR="00D2221A" w:rsidRPr="000A724B">
        <w:rPr>
          <w:rFonts w:asciiTheme="minorHAnsi" w:hAnsiTheme="minorHAnsi" w:cstheme="minorHAnsi"/>
          <w:i/>
          <w:iCs/>
        </w:rPr>
        <w:t xml:space="preserve">V. </w:t>
      </w:r>
      <w:proofErr w:type="spellStart"/>
      <w:r w:rsidR="00D2221A" w:rsidRPr="000A724B">
        <w:rPr>
          <w:rFonts w:asciiTheme="minorHAnsi" w:hAnsiTheme="minorHAnsi" w:cstheme="minorHAnsi"/>
          <w:i/>
          <w:iCs/>
        </w:rPr>
        <w:t>africana</w:t>
      </w:r>
      <w:proofErr w:type="spellEnd"/>
      <w:r w:rsidR="00D2221A" w:rsidRPr="000A724B">
        <w:rPr>
          <w:rFonts w:asciiTheme="minorHAnsi" w:hAnsiTheme="minorHAnsi" w:cstheme="minorHAnsi"/>
        </w:rPr>
        <w:t xml:space="preserve"> and </w:t>
      </w:r>
      <w:r w:rsidR="00D2221A" w:rsidRPr="000A724B">
        <w:rPr>
          <w:rFonts w:asciiTheme="minorHAnsi" w:hAnsiTheme="minorHAnsi" w:cstheme="minorHAnsi"/>
          <w:i/>
          <w:iCs/>
        </w:rPr>
        <w:t xml:space="preserve">V. </w:t>
      </w:r>
      <w:proofErr w:type="spellStart"/>
      <w:r w:rsidR="00D2221A" w:rsidRPr="000A724B">
        <w:rPr>
          <w:rFonts w:asciiTheme="minorHAnsi" w:hAnsiTheme="minorHAnsi" w:cstheme="minorHAnsi"/>
          <w:i/>
          <w:iCs/>
        </w:rPr>
        <w:t>gaudichaudii</w:t>
      </w:r>
      <w:proofErr w:type="spellEnd"/>
      <w:r w:rsidR="00D2221A" w:rsidRPr="000A724B">
        <w:rPr>
          <w:rFonts w:asciiTheme="minorHAnsi" w:hAnsiTheme="minorHAnsi" w:cstheme="minorHAnsi"/>
        </w:rPr>
        <w:t xml:space="preserve"> where these species are in close contact with the pathogen, however due to the limited overlap of </w:t>
      </w:r>
      <w:r w:rsidR="00D2221A" w:rsidRPr="000A724B">
        <w:rPr>
          <w:rFonts w:asciiTheme="minorHAnsi" w:hAnsiTheme="minorHAnsi" w:cstheme="minorHAnsi"/>
          <w:i/>
          <w:iCs/>
        </w:rPr>
        <w:t>L. camara</w:t>
      </w:r>
      <w:r w:rsidR="00D2221A" w:rsidRPr="000A724B">
        <w:rPr>
          <w:rFonts w:asciiTheme="minorHAnsi" w:hAnsiTheme="minorHAnsi" w:cstheme="minorHAnsi"/>
        </w:rPr>
        <w:t xml:space="preserve"> with these species this is not expected to be a common occurrence.</w:t>
      </w:r>
    </w:p>
    <w:p w14:paraId="2D558DE1" w14:textId="5C72F16F" w:rsidR="00EF09E2" w:rsidRPr="000A724B" w:rsidRDefault="002C0133" w:rsidP="00EF09E2">
      <w:pPr>
        <w:rPr>
          <w:rFonts w:asciiTheme="minorHAnsi" w:hAnsiTheme="minorHAnsi" w:cstheme="minorHAnsi"/>
        </w:rPr>
      </w:pPr>
      <w:r w:rsidRPr="000A724B">
        <w:rPr>
          <w:rFonts w:asciiTheme="minorHAnsi" w:hAnsiTheme="minorHAnsi" w:cstheme="minorHAnsi"/>
        </w:rPr>
        <w:lastRenderedPageBreak/>
        <w:t>On the basis of the results of host specificity testing reported in this application</w:t>
      </w:r>
      <w:r w:rsidR="00E06A47" w:rsidRPr="000A724B">
        <w:rPr>
          <w:rFonts w:asciiTheme="minorHAnsi" w:hAnsiTheme="minorHAnsi" w:cstheme="minorHAnsi"/>
        </w:rPr>
        <w:t xml:space="preserve"> </w:t>
      </w:r>
      <w:r w:rsidRPr="000A724B">
        <w:rPr>
          <w:rFonts w:asciiTheme="minorHAnsi" w:hAnsiTheme="minorHAnsi" w:cstheme="minorHAnsi"/>
        </w:rPr>
        <w:t xml:space="preserve">it is concluded that the likelihood of occurrence of off-target effects in Australia is </w:t>
      </w:r>
      <w:r w:rsidR="00D2221A" w:rsidRPr="000A724B">
        <w:rPr>
          <w:rFonts w:asciiTheme="minorHAnsi" w:hAnsiTheme="minorHAnsi" w:cstheme="minorHAnsi"/>
          <w:b/>
        </w:rPr>
        <w:t>Low</w:t>
      </w:r>
      <w:r w:rsidR="00EF09E2" w:rsidRPr="000A724B">
        <w:rPr>
          <w:rFonts w:asciiTheme="minorHAnsi" w:hAnsiTheme="minorHAnsi" w:cstheme="minorHAnsi"/>
        </w:rPr>
        <w:t xml:space="preserve">.  </w:t>
      </w:r>
    </w:p>
    <w:p w14:paraId="4630B958" w14:textId="77777777" w:rsidR="00736319" w:rsidRPr="00B96F59" w:rsidRDefault="00D0393D" w:rsidP="00B96F59">
      <w:pPr>
        <w:pStyle w:val="Heading4"/>
      </w:pPr>
      <w:r w:rsidRPr="00B96F59">
        <w:t>Assessment of potential consequences</w:t>
      </w:r>
      <w:r w:rsidR="00CE3D44" w:rsidRPr="00B96F59">
        <w:t xml:space="preserve"> of off-target effects</w:t>
      </w:r>
    </w:p>
    <w:p w14:paraId="56433F2E" w14:textId="77777777" w:rsidR="00CE3D44" w:rsidRPr="000A724B" w:rsidRDefault="00CE3D44">
      <w:pPr>
        <w:rPr>
          <w:rFonts w:asciiTheme="minorHAnsi" w:hAnsiTheme="minorHAnsi" w:cstheme="minorHAnsi"/>
        </w:rPr>
      </w:pPr>
      <w:r w:rsidRPr="000A724B">
        <w:rPr>
          <w:rFonts w:asciiTheme="minorHAnsi" w:hAnsiTheme="minorHAnsi" w:cstheme="minorHAnsi"/>
        </w:rPr>
        <w:t>The potential consequences of the off-target effects of this biological control agent have been assessed using the same methodology (Appendix A) as used in the import risk analysis process for pests associated with imported fresh produce.</w:t>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CE3D44" w:rsidRPr="00C92132" w14:paraId="17A9BECF" w14:textId="77777777" w:rsidTr="00CE3D44">
        <w:tc>
          <w:tcPr>
            <w:tcW w:w="2021" w:type="pct"/>
            <w:tcBorders>
              <w:top w:val="single" w:sz="4" w:space="0" w:color="auto"/>
              <w:bottom w:val="single" w:sz="4" w:space="0" w:color="D9D9D9"/>
            </w:tcBorders>
          </w:tcPr>
          <w:p w14:paraId="6CDBBC39" w14:textId="77777777" w:rsidR="00CE3D44" w:rsidRPr="000A724B" w:rsidRDefault="00CE3D44" w:rsidP="00CE3D44">
            <w:pPr>
              <w:pStyle w:val="TableHeading"/>
              <w:rPr>
                <w:rFonts w:asciiTheme="minorHAnsi" w:hAnsiTheme="minorHAnsi" w:cstheme="minorHAnsi"/>
              </w:rPr>
            </w:pPr>
            <w:r w:rsidRPr="000A724B">
              <w:rPr>
                <w:rFonts w:asciiTheme="minorHAnsi" w:hAnsiTheme="minorHAnsi" w:cstheme="minorHAnsi"/>
              </w:rPr>
              <w:t>Criterion</w:t>
            </w:r>
          </w:p>
        </w:tc>
        <w:tc>
          <w:tcPr>
            <w:tcW w:w="2979" w:type="pct"/>
            <w:tcBorders>
              <w:top w:val="single" w:sz="4" w:space="0" w:color="auto"/>
              <w:bottom w:val="single" w:sz="4" w:space="0" w:color="D9D9D9"/>
            </w:tcBorders>
          </w:tcPr>
          <w:p w14:paraId="44D0C1DB" w14:textId="77777777" w:rsidR="00CE3D44" w:rsidRPr="000A724B" w:rsidRDefault="00CE3D44" w:rsidP="00CE3D44">
            <w:pPr>
              <w:pStyle w:val="TableHeading"/>
              <w:rPr>
                <w:rFonts w:asciiTheme="minorHAnsi" w:hAnsiTheme="minorHAnsi" w:cstheme="minorHAnsi"/>
              </w:rPr>
            </w:pPr>
            <w:r w:rsidRPr="000A724B">
              <w:rPr>
                <w:rFonts w:asciiTheme="minorHAnsi" w:hAnsiTheme="minorHAnsi" w:cstheme="minorHAnsi"/>
              </w:rPr>
              <w:t>Estimate and rationale</w:t>
            </w:r>
          </w:p>
        </w:tc>
      </w:tr>
      <w:tr w:rsidR="00CE3D44" w:rsidRPr="00C92132" w14:paraId="21FB40F5" w14:textId="77777777" w:rsidTr="00CE3D44">
        <w:tc>
          <w:tcPr>
            <w:tcW w:w="5000" w:type="pct"/>
            <w:gridSpan w:val="2"/>
            <w:tcBorders>
              <w:top w:val="single" w:sz="4" w:space="0" w:color="D9D9D9"/>
              <w:bottom w:val="single" w:sz="4" w:space="0" w:color="D9D9D9"/>
            </w:tcBorders>
          </w:tcPr>
          <w:p w14:paraId="6609D347" w14:textId="77777777" w:rsidR="00CE3D44" w:rsidRPr="000A724B" w:rsidRDefault="00CE3D44" w:rsidP="00CE3D44">
            <w:pPr>
              <w:pStyle w:val="TableText"/>
              <w:rPr>
                <w:rFonts w:asciiTheme="minorHAnsi" w:hAnsiTheme="minorHAnsi" w:cstheme="minorHAnsi"/>
                <w:b/>
              </w:rPr>
            </w:pPr>
            <w:r w:rsidRPr="000A724B">
              <w:rPr>
                <w:rFonts w:asciiTheme="minorHAnsi" w:hAnsiTheme="minorHAnsi" w:cstheme="minorHAnsi"/>
                <w:b/>
              </w:rPr>
              <w:t>Direct</w:t>
            </w:r>
          </w:p>
        </w:tc>
      </w:tr>
      <w:tr w:rsidR="00CE3D44" w:rsidRPr="00C92132" w14:paraId="30DEA19E" w14:textId="77777777" w:rsidTr="00CE3D44">
        <w:tc>
          <w:tcPr>
            <w:tcW w:w="2021" w:type="pct"/>
            <w:tcBorders>
              <w:top w:val="single" w:sz="4" w:space="0" w:color="D9D9D9"/>
              <w:bottom w:val="single" w:sz="4" w:space="0" w:color="D9D9D9"/>
            </w:tcBorders>
          </w:tcPr>
          <w:p w14:paraId="3EF7BBA3" w14:textId="77777777" w:rsidR="00CE3D44" w:rsidRPr="000A724B" w:rsidRDefault="00CE3D44" w:rsidP="00CE3D44">
            <w:pPr>
              <w:pStyle w:val="TableText"/>
              <w:rPr>
                <w:rFonts w:asciiTheme="minorHAnsi" w:hAnsiTheme="minorHAnsi" w:cstheme="minorHAnsi"/>
              </w:rPr>
            </w:pPr>
            <w:r w:rsidRPr="000A724B">
              <w:rPr>
                <w:rFonts w:asciiTheme="minorHAnsi" w:hAnsiTheme="minorHAnsi" w:cstheme="minorHAnsi"/>
              </w:rPr>
              <w:t>Plant life or health</w:t>
            </w:r>
          </w:p>
        </w:tc>
        <w:tc>
          <w:tcPr>
            <w:tcW w:w="2979" w:type="pct"/>
            <w:tcBorders>
              <w:top w:val="single" w:sz="4" w:space="0" w:color="D9D9D9"/>
              <w:bottom w:val="single" w:sz="4" w:space="0" w:color="D9D9D9"/>
            </w:tcBorders>
          </w:tcPr>
          <w:p w14:paraId="40E644BD" w14:textId="19550C74" w:rsidR="00CE3D44" w:rsidRPr="000A724B" w:rsidRDefault="00E068EF" w:rsidP="00CE3D44">
            <w:pPr>
              <w:pStyle w:val="TableText"/>
              <w:rPr>
                <w:rFonts w:asciiTheme="minorHAnsi" w:hAnsiTheme="minorHAnsi" w:cstheme="minorHAnsi"/>
              </w:rPr>
            </w:pPr>
            <w:r w:rsidRPr="000A724B">
              <w:rPr>
                <w:rFonts w:asciiTheme="minorHAnsi" w:hAnsiTheme="minorHAnsi" w:cstheme="minorHAnsi"/>
              </w:rPr>
              <w:t>B</w:t>
            </w:r>
            <w:r w:rsidR="00CE3D44" w:rsidRPr="000A724B">
              <w:rPr>
                <w:rFonts w:asciiTheme="minorHAnsi" w:hAnsiTheme="minorHAnsi" w:cstheme="minorHAnsi"/>
              </w:rPr>
              <w:t>—</w:t>
            </w:r>
            <w:r w:rsidRPr="000A724B">
              <w:rPr>
                <w:rFonts w:asciiTheme="minorHAnsi" w:hAnsiTheme="minorHAnsi" w:cstheme="minorHAnsi"/>
              </w:rPr>
              <w:t>Minor significance at the local level</w:t>
            </w:r>
          </w:p>
          <w:p w14:paraId="48D86670" w14:textId="5273ABDF" w:rsidR="00CE3D44" w:rsidRPr="000A724B" w:rsidRDefault="008D40A0" w:rsidP="00E068EF">
            <w:pPr>
              <w:pStyle w:val="TableText"/>
              <w:rPr>
                <w:rFonts w:asciiTheme="minorHAnsi" w:hAnsiTheme="minorHAnsi" w:cstheme="minorHAnsi"/>
              </w:rPr>
            </w:pPr>
            <w:r w:rsidRPr="000A724B">
              <w:rPr>
                <w:rFonts w:asciiTheme="minorHAnsi" w:hAnsiTheme="minorHAnsi" w:cstheme="minorHAnsi"/>
              </w:rPr>
              <w:t xml:space="preserve">Under field conditions it is expected that </w:t>
            </w:r>
            <w:r w:rsidRPr="000A724B">
              <w:rPr>
                <w:rFonts w:asciiTheme="minorHAnsi" w:hAnsiTheme="minorHAnsi" w:cstheme="minorHAnsi"/>
                <w:i/>
                <w:iCs/>
              </w:rPr>
              <w:t>P. lantanae</w:t>
            </w:r>
            <w:r w:rsidRPr="000A724B">
              <w:rPr>
                <w:rFonts w:asciiTheme="minorHAnsi" w:hAnsiTheme="minorHAnsi" w:cstheme="minorHAnsi"/>
              </w:rPr>
              <w:t xml:space="preserve"> will only complete its lifecycle on </w:t>
            </w:r>
            <w:r w:rsidRPr="000A724B">
              <w:rPr>
                <w:rFonts w:asciiTheme="minorHAnsi" w:hAnsiTheme="minorHAnsi" w:cstheme="minorHAnsi"/>
                <w:i/>
                <w:iCs/>
              </w:rPr>
              <w:t>L. camara</w:t>
            </w:r>
            <w:r w:rsidRPr="000A724B">
              <w:rPr>
                <w:rFonts w:asciiTheme="minorHAnsi" w:hAnsiTheme="minorHAnsi" w:cstheme="minorHAnsi"/>
              </w:rPr>
              <w:t xml:space="preserve">. It is anticipated that there may be some </w:t>
            </w:r>
            <w:proofErr w:type="gramStart"/>
            <w:r w:rsidRPr="000A724B">
              <w:rPr>
                <w:rFonts w:asciiTheme="minorHAnsi" w:hAnsiTheme="minorHAnsi" w:cstheme="minorHAnsi"/>
              </w:rPr>
              <w:t>off-target</w:t>
            </w:r>
            <w:proofErr w:type="gramEnd"/>
            <w:r w:rsidRPr="000A724B">
              <w:rPr>
                <w:rFonts w:asciiTheme="minorHAnsi" w:hAnsiTheme="minorHAnsi" w:cstheme="minorHAnsi"/>
              </w:rPr>
              <w:t xml:space="preserve"> impacts on </w:t>
            </w:r>
            <w:r w:rsidRPr="000A724B">
              <w:rPr>
                <w:rFonts w:asciiTheme="minorHAnsi" w:hAnsiTheme="minorHAnsi" w:cstheme="minorHAnsi"/>
                <w:i/>
                <w:iCs/>
              </w:rPr>
              <w:t xml:space="preserve">V. </w:t>
            </w:r>
            <w:proofErr w:type="spellStart"/>
            <w:r w:rsidRPr="000A724B">
              <w:rPr>
                <w:rFonts w:asciiTheme="minorHAnsi" w:hAnsiTheme="minorHAnsi" w:cstheme="minorHAnsi"/>
                <w:i/>
                <w:iCs/>
              </w:rPr>
              <w:t>africana</w:t>
            </w:r>
            <w:proofErr w:type="spellEnd"/>
            <w:r w:rsidRPr="000A724B">
              <w:rPr>
                <w:rFonts w:asciiTheme="minorHAnsi" w:hAnsiTheme="minorHAnsi" w:cstheme="minorHAnsi"/>
              </w:rPr>
              <w:t xml:space="preserve"> and </w:t>
            </w:r>
            <w:r w:rsidRPr="000A724B">
              <w:rPr>
                <w:rFonts w:asciiTheme="minorHAnsi" w:hAnsiTheme="minorHAnsi" w:cstheme="minorHAnsi"/>
                <w:i/>
                <w:iCs/>
              </w:rPr>
              <w:t xml:space="preserve">V. </w:t>
            </w:r>
            <w:proofErr w:type="spellStart"/>
            <w:r w:rsidRPr="000A724B">
              <w:rPr>
                <w:rFonts w:asciiTheme="minorHAnsi" w:hAnsiTheme="minorHAnsi" w:cstheme="minorHAnsi"/>
                <w:i/>
                <w:iCs/>
              </w:rPr>
              <w:t>gaudichaudii</w:t>
            </w:r>
            <w:proofErr w:type="spellEnd"/>
            <w:r w:rsidRPr="000A724B">
              <w:rPr>
                <w:rFonts w:asciiTheme="minorHAnsi" w:hAnsiTheme="minorHAnsi" w:cstheme="minorHAnsi"/>
              </w:rPr>
              <w:t xml:space="preserve"> where there is overlap in host range with infected </w:t>
            </w:r>
            <w:r w:rsidRPr="000A724B">
              <w:rPr>
                <w:rFonts w:asciiTheme="minorHAnsi" w:hAnsiTheme="minorHAnsi" w:cstheme="minorHAnsi"/>
                <w:i/>
                <w:iCs/>
              </w:rPr>
              <w:t>L. camara</w:t>
            </w:r>
            <w:r w:rsidRPr="000A724B">
              <w:rPr>
                <w:rFonts w:asciiTheme="minorHAnsi" w:hAnsiTheme="minorHAnsi" w:cstheme="minorHAnsi"/>
              </w:rPr>
              <w:t xml:space="preserve">. While some off-target impacts may affect individual plants of these species, it is not expected that plant death will occur and plants affected are likely to outgrow any infection. It is also not expected that either plant species will be able to support the full lifecycle of </w:t>
            </w:r>
            <w:r w:rsidRPr="000A724B">
              <w:rPr>
                <w:rFonts w:asciiTheme="minorHAnsi" w:hAnsiTheme="minorHAnsi" w:cstheme="minorHAnsi"/>
                <w:i/>
                <w:iCs/>
              </w:rPr>
              <w:t>P. lantanae</w:t>
            </w:r>
            <w:r w:rsidRPr="000A724B">
              <w:rPr>
                <w:rFonts w:asciiTheme="minorHAnsi" w:hAnsiTheme="minorHAnsi" w:cstheme="minorHAnsi"/>
              </w:rPr>
              <w:t>.</w:t>
            </w:r>
          </w:p>
        </w:tc>
      </w:tr>
      <w:tr w:rsidR="00CE3D44" w:rsidRPr="00C92132" w14:paraId="206C839B" w14:textId="77777777" w:rsidTr="00CE3D44">
        <w:tc>
          <w:tcPr>
            <w:tcW w:w="2021" w:type="pct"/>
            <w:tcBorders>
              <w:top w:val="single" w:sz="4" w:space="0" w:color="D9D9D9"/>
              <w:bottom w:val="single" w:sz="4" w:space="0" w:color="D9D9D9"/>
            </w:tcBorders>
          </w:tcPr>
          <w:p w14:paraId="67EAF673" w14:textId="77777777" w:rsidR="00CE3D44" w:rsidRPr="000A724B" w:rsidRDefault="00CE3D44" w:rsidP="00CE3D44">
            <w:pPr>
              <w:pStyle w:val="TableText"/>
              <w:rPr>
                <w:rFonts w:asciiTheme="minorHAnsi" w:hAnsiTheme="minorHAnsi" w:cstheme="minorHAnsi"/>
              </w:rPr>
            </w:pPr>
            <w:r w:rsidRPr="000A724B">
              <w:rPr>
                <w:rFonts w:asciiTheme="minorHAnsi" w:hAnsiTheme="minorHAnsi" w:cstheme="minorHAnsi"/>
              </w:rPr>
              <w:t>Other aspects of the environment</w:t>
            </w:r>
          </w:p>
        </w:tc>
        <w:tc>
          <w:tcPr>
            <w:tcW w:w="2979" w:type="pct"/>
            <w:tcBorders>
              <w:top w:val="single" w:sz="4" w:space="0" w:color="D9D9D9"/>
              <w:bottom w:val="single" w:sz="4" w:space="0" w:color="D9D9D9"/>
            </w:tcBorders>
          </w:tcPr>
          <w:p w14:paraId="3BFD81A1" w14:textId="1C9C98AE" w:rsidR="00CE3D44" w:rsidRPr="000A724B" w:rsidRDefault="00B8378C" w:rsidP="00CE3D44">
            <w:pPr>
              <w:pStyle w:val="TableText"/>
              <w:rPr>
                <w:rFonts w:asciiTheme="minorHAnsi" w:hAnsiTheme="minorHAnsi" w:cstheme="minorHAnsi"/>
              </w:rPr>
            </w:pPr>
            <w:r w:rsidRPr="000A724B">
              <w:rPr>
                <w:rFonts w:asciiTheme="minorHAnsi" w:hAnsiTheme="minorHAnsi" w:cstheme="minorHAnsi"/>
              </w:rPr>
              <w:t>A</w:t>
            </w:r>
            <w:r w:rsidR="00CE3D44" w:rsidRPr="000A724B">
              <w:rPr>
                <w:rFonts w:asciiTheme="minorHAnsi" w:hAnsiTheme="minorHAnsi" w:cstheme="minorHAnsi"/>
              </w:rPr>
              <w:t xml:space="preserve">— </w:t>
            </w:r>
            <w:r w:rsidRPr="000A724B">
              <w:rPr>
                <w:rFonts w:asciiTheme="minorHAnsi" w:hAnsiTheme="minorHAnsi" w:cstheme="minorHAnsi"/>
              </w:rPr>
              <w:t>Indiscernible</w:t>
            </w:r>
          </w:p>
          <w:p w14:paraId="51AC2369" w14:textId="77777777" w:rsidR="00CE3D44" w:rsidRPr="000A724B" w:rsidRDefault="00501D2E" w:rsidP="00B8378C">
            <w:pPr>
              <w:pStyle w:val="TableText"/>
              <w:rPr>
                <w:rFonts w:asciiTheme="minorHAnsi" w:hAnsiTheme="minorHAnsi" w:cstheme="minorHAnsi"/>
              </w:rPr>
            </w:pPr>
            <w:r w:rsidRPr="000A724B">
              <w:rPr>
                <w:rFonts w:asciiTheme="minorHAnsi" w:hAnsiTheme="minorHAnsi" w:cstheme="minorHAnsi"/>
              </w:rPr>
              <w:t>There is no evidence</w:t>
            </w:r>
            <w:r w:rsidR="00792761" w:rsidRPr="000A724B">
              <w:rPr>
                <w:rFonts w:asciiTheme="minorHAnsi" w:hAnsiTheme="minorHAnsi" w:cstheme="minorHAnsi"/>
              </w:rPr>
              <w:t xml:space="preserve"> that the introduction of </w:t>
            </w:r>
            <w:r w:rsidR="00792761" w:rsidRPr="000A724B">
              <w:rPr>
                <w:rFonts w:asciiTheme="minorHAnsi" w:hAnsiTheme="minorHAnsi" w:cstheme="minorHAnsi"/>
                <w:i/>
                <w:iCs/>
              </w:rPr>
              <w:t>P. lantanae</w:t>
            </w:r>
            <w:r w:rsidR="00792761" w:rsidRPr="000A724B">
              <w:rPr>
                <w:rFonts w:asciiTheme="minorHAnsi" w:hAnsiTheme="minorHAnsi" w:cstheme="minorHAnsi"/>
              </w:rPr>
              <w:t xml:space="preserve"> would have any negative effects on any other aspects of the environment.</w:t>
            </w:r>
          </w:p>
          <w:p w14:paraId="7481537B" w14:textId="2C3ADFFB" w:rsidR="00792761" w:rsidRPr="000A724B" w:rsidRDefault="00E81B66" w:rsidP="00B8378C">
            <w:pPr>
              <w:pStyle w:val="TableText"/>
              <w:rPr>
                <w:rFonts w:asciiTheme="minorHAnsi" w:hAnsiTheme="minorHAnsi" w:cstheme="minorHAnsi"/>
              </w:rPr>
            </w:pPr>
            <w:r w:rsidRPr="000A724B">
              <w:rPr>
                <w:rFonts w:asciiTheme="minorHAnsi" w:hAnsiTheme="minorHAnsi" w:cstheme="minorHAnsi"/>
              </w:rPr>
              <w:t xml:space="preserve">The introduction of </w:t>
            </w:r>
            <w:r w:rsidRPr="000A724B">
              <w:rPr>
                <w:rFonts w:asciiTheme="minorHAnsi" w:hAnsiTheme="minorHAnsi" w:cstheme="minorHAnsi"/>
                <w:i/>
                <w:iCs/>
              </w:rPr>
              <w:t>P. lantanae</w:t>
            </w:r>
            <w:r w:rsidRPr="000A724B">
              <w:rPr>
                <w:rFonts w:asciiTheme="minorHAnsi" w:hAnsiTheme="minorHAnsi" w:cstheme="minorHAnsi"/>
              </w:rPr>
              <w:t xml:space="preserve"> into the environment has the potential to provide control of lantana, which is likely to have beneficial effects. Lantana is </w:t>
            </w:r>
            <w:r w:rsidR="00A81002" w:rsidRPr="000A724B">
              <w:rPr>
                <w:rFonts w:asciiTheme="minorHAnsi" w:hAnsiTheme="minorHAnsi" w:cstheme="minorHAnsi"/>
              </w:rPr>
              <w:t>a significant environmental weed.</w:t>
            </w:r>
            <w:r w:rsidRPr="000A724B">
              <w:rPr>
                <w:rFonts w:asciiTheme="minorHAnsi" w:hAnsiTheme="minorHAnsi" w:cstheme="minorHAnsi"/>
              </w:rPr>
              <w:t xml:space="preserve"> </w:t>
            </w:r>
          </w:p>
        </w:tc>
      </w:tr>
      <w:tr w:rsidR="00CE3D44" w:rsidRPr="00C92132" w14:paraId="1E01C5A8" w14:textId="77777777" w:rsidTr="00CE3D44">
        <w:tc>
          <w:tcPr>
            <w:tcW w:w="5000" w:type="pct"/>
            <w:gridSpan w:val="2"/>
            <w:tcBorders>
              <w:top w:val="single" w:sz="4" w:space="0" w:color="D9D9D9"/>
              <w:bottom w:val="single" w:sz="4" w:space="0" w:color="D9D9D9"/>
            </w:tcBorders>
          </w:tcPr>
          <w:p w14:paraId="7E0196C3" w14:textId="77777777" w:rsidR="00CE3D44" w:rsidRPr="000A724B" w:rsidRDefault="00CE3D44" w:rsidP="00CE3D44">
            <w:pPr>
              <w:pStyle w:val="TableHeading"/>
              <w:rPr>
                <w:rFonts w:asciiTheme="minorHAnsi" w:hAnsiTheme="minorHAnsi" w:cstheme="minorHAnsi"/>
              </w:rPr>
            </w:pPr>
            <w:r w:rsidRPr="000A724B">
              <w:rPr>
                <w:rFonts w:asciiTheme="minorHAnsi" w:hAnsiTheme="minorHAnsi" w:cstheme="minorHAnsi"/>
              </w:rPr>
              <w:t>Indirect</w:t>
            </w:r>
          </w:p>
        </w:tc>
      </w:tr>
      <w:tr w:rsidR="00CE3D44" w:rsidRPr="00C92132" w14:paraId="4F02038D" w14:textId="77777777" w:rsidTr="00CE3D44">
        <w:tc>
          <w:tcPr>
            <w:tcW w:w="2021" w:type="pct"/>
            <w:tcBorders>
              <w:top w:val="single" w:sz="4" w:space="0" w:color="D9D9D9"/>
              <w:bottom w:val="single" w:sz="4" w:space="0" w:color="D9D9D9"/>
            </w:tcBorders>
          </w:tcPr>
          <w:p w14:paraId="45087999" w14:textId="77777777" w:rsidR="00CE3D44" w:rsidRPr="000A724B" w:rsidRDefault="00CE3D44" w:rsidP="00CE3D44">
            <w:pPr>
              <w:pStyle w:val="TableText"/>
              <w:rPr>
                <w:rFonts w:asciiTheme="minorHAnsi" w:hAnsiTheme="minorHAnsi" w:cstheme="minorHAnsi"/>
              </w:rPr>
            </w:pPr>
            <w:r w:rsidRPr="000A724B">
              <w:rPr>
                <w:rFonts w:asciiTheme="minorHAnsi" w:hAnsiTheme="minorHAnsi" w:cstheme="minorHAnsi"/>
              </w:rPr>
              <w:t>Eradication, control</w:t>
            </w:r>
          </w:p>
        </w:tc>
        <w:tc>
          <w:tcPr>
            <w:tcW w:w="2979" w:type="pct"/>
            <w:tcBorders>
              <w:top w:val="single" w:sz="4" w:space="0" w:color="D9D9D9"/>
              <w:bottom w:val="single" w:sz="4" w:space="0" w:color="D9D9D9"/>
            </w:tcBorders>
          </w:tcPr>
          <w:p w14:paraId="712DCBEE" w14:textId="0610C6F2" w:rsidR="00CE3D44" w:rsidRPr="000A724B" w:rsidRDefault="00B41EB7" w:rsidP="00CE3D44">
            <w:pPr>
              <w:pStyle w:val="TableText"/>
              <w:rPr>
                <w:rFonts w:asciiTheme="minorHAnsi" w:hAnsiTheme="minorHAnsi" w:cstheme="minorHAnsi"/>
              </w:rPr>
            </w:pPr>
            <w:r w:rsidRPr="000A724B">
              <w:rPr>
                <w:rFonts w:asciiTheme="minorHAnsi" w:hAnsiTheme="minorHAnsi" w:cstheme="minorHAnsi"/>
              </w:rPr>
              <w:t>A</w:t>
            </w:r>
            <w:r w:rsidR="00CE3D44" w:rsidRPr="000A724B">
              <w:rPr>
                <w:rFonts w:asciiTheme="minorHAnsi" w:hAnsiTheme="minorHAnsi" w:cstheme="minorHAnsi"/>
              </w:rPr>
              <w:t>—</w:t>
            </w:r>
            <w:r w:rsidRPr="000A724B">
              <w:rPr>
                <w:rFonts w:asciiTheme="minorHAnsi" w:hAnsiTheme="minorHAnsi" w:cstheme="minorHAnsi"/>
                <w:sz w:val="22"/>
              </w:rPr>
              <w:t xml:space="preserve"> </w:t>
            </w:r>
            <w:r w:rsidRPr="000A724B">
              <w:rPr>
                <w:rFonts w:asciiTheme="minorHAnsi" w:hAnsiTheme="minorHAnsi" w:cstheme="minorHAnsi"/>
              </w:rPr>
              <w:t>Indiscernible</w:t>
            </w:r>
          </w:p>
          <w:p w14:paraId="525CD91D" w14:textId="044B5721" w:rsidR="00CE3D44" w:rsidRPr="000A724B" w:rsidRDefault="00A400FF" w:rsidP="00752972">
            <w:pPr>
              <w:pStyle w:val="TableText"/>
              <w:rPr>
                <w:rFonts w:asciiTheme="minorHAnsi" w:hAnsiTheme="minorHAnsi" w:cstheme="minorHAnsi"/>
              </w:rPr>
            </w:pPr>
            <w:r w:rsidRPr="000A724B">
              <w:rPr>
                <w:rFonts w:asciiTheme="minorHAnsi" w:hAnsiTheme="minorHAnsi" w:cstheme="minorHAnsi"/>
                <w:i/>
                <w:iCs/>
              </w:rPr>
              <w:t>Puccinia lantanae</w:t>
            </w:r>
            <w:r w:rsidRPr="000A724B">
              <w:rPr>
                <w:rFonts w:asciiTheme="minorHAnsi" w:hAnsiTheme="minorHAnsi" w:cstheme="minorHAnsi"/>
              </w:rPr>
              <w:t xml:space="preserve"> is a biological control agent proposed for the biological control of </w:t>
            </w:r>
            <w:r w:rsidRPr="000A724B">
              <w:rPr>
                <w:rFonts w:asciiTheme="minorHAnsi" w:hAnsiTheme="minorHAnsi" w:cstheme="minorHAnsi"/>
                <w:i/>
                <w:iCs/>
              </w:rPr>
              <w:t>L. camara</w:t>
            </w:r>
            <w:r w:rsidRPr="000A724B">
              <w:rPr>
                <w:rFonts w:asciiTheme="minorHAnsi" w:hAnsiTheme="minorHAnsi" w:cstheme="minorHAnsi"/>
              </w:rPr>
              <w:t>. There are minimal off-target impacts expected which are unlikely to result in environmental or economic consequences</w:t>
            </w:r>
            <w:r w:rsidR="00B41EB7" w:rsidRPr="000A724B">
              <w:rPr>
                <w:rFonts w:asciiTheme="minorHAnsi" w:hAnsiTheme="minorHAnsi" w:cstheme="minorHAnsi"/>
              </w:rPr>
              <w:t>. Therefore, the need for eradication and/or control is not anticipated.</w:t>
            </w:r>
          </w:p>
        </w:tc>
      </w:tr>
      <w:tr w:rsidR="00CE3D44" w:rsidRPr="00C92132" w14:paraId="7687F4A6" w14:textId="77777777" w:rsidTr="00CE3D44">
        <w:tc>
          <w:tcPr>
            <w:tcW w:w="2021" w:type="pct"/>
            <w:tcBorders>
              <w:top w:val="single" w:sz="4" w:space="0" w:color="D9D9D9"/>
              <w:bottom w:val="single" w:sz="4" w:space="0" w:color="D9D9D9"/>
            </w:tcBorders>
          </w:tcPr>
          <w:p w14:paraId="1B4F2625" w14:textId="77777777" w:rsidR="00CE3D44" w:rsidRPr="000A724B" w:rsidRDefault="00CE3D44" w:rsidP="00CE3D44">
            <w:pPr>
              <w:pStyle w:val="TableText"/>
              <w:rPr>
                <w:rFonts w:asciiTheme="minorHAnsi" w:hAnsiTheme="minorHAnsi" w:cstheme="minorHAnsi"/>
              </w:rPr>
            </w:pPr>
            <w:r w:rsidRPr="000A724B">
              <w:rPr>
                <w:rFonts w:asciiTheme="minorHAnsi" w:hAnsiTheme="minorHAnsi" w:cstheme="minorHAnsi"/>
              </w:rPr>
              <w:t>Domestic trade</w:t>
            </w:r>
          </w:p>
        </w:tc>
        <w:tc>
          <w:tcPr>
            <w:tcW w:w="2979" w:type="pct"/>
            <w:tcBorders>
              <w:top w:val="single" w:sz="4" w:space="0" w:color="D9D9D9"/>
              <w:bottom w:val="single" w:sz="4" w:space="0" w:color="D9D9D9"/>
            </w:tcBorders>
          </w:tcPr>
          <w:p w14:paraId="46771ED3" w14:textId="6BC3A34C" w:rsidR="00CE3D44" w:rsidRPr="000A724B" w:rsidRDefault="00DF6A27" w:rsidP="00CE3D44">
            <w:pPr>
              <w:pStyle w:val="TableText"/>
              <w:rPr>
                <w:rFonts w:asciiTheme="minorHAnsi" w:hAnsiTheme="minorHAnsi" w:cstheme="minorHAnsi"/>
              </w:rPr>
            </w:pPr>
            <w:r w:rsidRPr="000A724B">
              <w:rPr>
                <w:rFonts w:asciiTheme="minorHAnsi" w:hAnsiTheme="minorHAnsi" w:cstheme="minorHAnsi"/>
              </w:rPr>
              <w:t>A</w:t>
            </w:r>
            <w:r w:rsidR="00CE3D44" w:rsidRPr="000A724B">
              <w:rPr>
                <w:rFonts w:asciiTheme="minorHAnsi" w:hAnsiTheme="minorHAnsi" w:cstheme="minorHAnsi"/>
              </w:rPr>
              <w:t>—</w:t>
            </w:r>
            <w:r w:rsidRPr="000A724B">
              <w:rPr>
                <w:rFonts w:asciiTheme="minorHAnsi" w:hAnsiTheme="minorHAnsi" w:cstheme="minorHAnsi"/>
              </w:rPr>
              <w:t>Indiscernible</w:t>
            </w:r>
          </w:p>
          <w:p w14:paraId="3BE90C41" w14:textId="01E29094" w:rsidR="00CE3D44" w:rsidRPr="000A724B" w:rsidRDefault="00335406" w:rsidP="00752972">
            <w:pPr>
              <w:pStyle w:val="TableText"/>
              <w:rPr>
                <w:rFonts w:asciiTheme="minorHAnsi" w:hAnsiTheme="minorHAnsi" w:cstheme="minorHAnsi"/>
              </w:rPr>
            </w:pPr>
            <w:r w:rsidRPr="000A724B">
              <w:rPr>
                <w:rFonts w:asciiTheme="minorHAnsi" w:hAnsiTheme="minorHAnsi" w:cstheme="minorHAnsi"/>
                <w:i/>
                <w:iCs/>
              </w:rPr>
              <w:t>Puccinia lantanae</w:t>
            </w:r>
            <w:r w:rsidRPr="000A724B">
              <w:rPr>
                <w:rFonts w:asciiTheme="minorHAnsi" w:hAnsiTheme="minorHAnsi" w:cstheme="minorHAnsi"/>
              </w:rPr>
              <w:t xml:space="preserve"> is a biological control agent proposed for the biological control of </w:t>
            </w:r>
            <w:r w:rsidRPr="000A724B">
              <w:rPr>
                <w:rFonts w:asciiTheme="minorHAnsi" w:hAnsiTheme="minorHAnsi" w:cstheme="minorHAnsi"/>
                <w:i/>
                <w:iCs/>
              </w:rPr>
              <w:t>L. camara</w:t>
            </w:r>
            <w:r w:rsidR="002B5365" w:rsidRPr="000A724B">
              <w:rPr>
                <w:rFonts w:asciiTheme="minorHAnsi" w:hAnsiTheme="minorHAnsi" w:cstheme="minorHAnsi"/>
              </w:rPr>
              <w:t xml:space="preserve">, a weed of agricultural and environmental importance. Host specificity testing results indicate that </w:t>
            </w:r>
            <w:r w:rsidR="008B1209" w:rsidRPr="000A724B">
              <w:rPr>
                <w:rFonts w:asciiTheme="minorHAnsi" w:hAnsiTheme="minorHAnsi" w:cstheme="minorHAnsi"/>
              </w:rPr>
              <w:t>the pathogen is unable to complete its lifecycle on any non-target plant species</w:t>
            </w:r>
            <w:r w:rsidR="00947E6B" w:rsidRPr="000A724B">
              <w:rPr>
                <w:rFonts w:asciiTheme="minorHAnsi" w:hAnsiTheme="minorHAnsi" w:cstheme="minorHAnsi"/>
              </w:rPr>
              <w:t>. Therefore</w:t>
            </w:r>
            <w:r w:rsidR="007D4C8D">
              <w:rPr>
                <w:rFonts w:asciiTheme="minorHAnsi" w:hAnsiTheme="minorHAnsi" w:cstheme="minorHAnsi"/>
              </w:rPr>
              <w:t>,</w:t>
            </w:r>
            <w:r w:rsidR="00947E6B" w:rsidRPr="000A724B">
              <w:rPr>
                <w:rFonts w:asciiTheme="minorHAnsi" w:hAnsiTheme="minorHAnsi" w:cstheme="minorHAnsi"/>
              </w:rPr>
              <w:t xml:space="preserve"> domestic trade is unlikely to be affected.</w:t>
            </w:r>
          </w:p>
        </w:tc>
      </w:tr>
      <w:tr w:rsidR="00CE3D44" w:rsidRPr="00C92132" w14:paraId="69D6564D" w14:textId="77777777" w:rsidTr="00CE3D44">
        <w:tc>
          <w:tcPr>
            <w:tcW w:w="2021" w:type="pct"/>
            <w:tcBorders>
              <w:top w:val="single" w:sz="4" w:space="0" w:color="D9D9D9"/>
              <w:bottom w:val="single" w:sz="4" w:space="0" w:color="D9D9D9"/>
            </w:tcBorders>
          </w:tcPr>
          <w:p w14:paraId="58C178BE" w14:textId="77777777" w:rsidR="00CE3D44" w:rsidRPr="000A724B" w:rsidRDefault="00CE3D44" w:rsidP="00CE3D44">
            <w:pPr>
              <w:pStyle w:val="TableText"/>
              <w:rPr>
                <w:rFonts w:asciiTheme="minorHAnsi" w:hAnsiTheme="minorHAnsi" w:cstheme="minorHAnsi"/>
              </w:rPr>
            </w:pPr>
            <w:r w:rsidRPr="000A724B">
              <w:rPr>
                <w:rFonts w:asciiTheme="minorHAnsi" w:hAnsiTheme="minorHAnsi" w:cstheme="minorHAnsi"/>
              </w:rPr>
              <w:t>International trade</w:t>
            </w:r>
          </w:p>
        </w:tc>
        <w:tc>
          <w:tcPr>
            <w:tcW w:w="2979" w:type="pct"/>
            <w:tcBorders>
              <w:top w:val="single" w:sz="4" w:space="0" w:color="D9D9D9"/>
              <w:bottom w:val="single" w:sz="4" w:space="0" w:color="D9D9D9"/>
            </w:tcBorders>
          </w:tcPr>
          <w:p w14:paraId="1141F55B" w14:textId="4CB026C4" w:rsidR="00CE3D44" w:rsidRPr="000A724B" w:rsidRDefault="00DF6A27" w:rsidP="00CE3D44">
            <w:pPr>
              <w:pStyle w:val="TableText"/>
              <w:rPr>
                <w:rFonts w:asciiTheme="minorHAnsi" w:hAnsiTheme="minorHAnsi" w:cstheme="minorHAnsi"/>
              </w:rPr>
            </w:pPr>
            <w:r w:rsidRPr="000A724B">
              <w:rPr>
                <w:rFonts w:asciiTheme="minorHAnsi" w:hAnsiTheme="minorHAnsi" w:cstheme="minorHAnsi"/>
              </w:rPr>
              <w:t>A</w:t>
            </w:r>
            <w:r w:rsidR="00CE3D44" w:rsidRPr="000A724B">
              <w:rPr>
                <w:rFonts w:asciiTheme="minorHAnsi" w:hAnsiTheme="minorHAnsi" w:cstheme="minorHAnsi"/>
              </w:rPr>
              <w:t>—</w:t>
            </w:r>
            <w:r w:rsidRPr="000A724B">
              <w:rPr>
                <w:rFonts w:asciiTheme="minorHAnsi" w:hAnsiTheme="minorHAnsi" w:cstheme="minorHAnsi"/>
              </w:rPr>
              <w:t>Indiscernible</w:t>
            </w:r>
          </w:p>
          <w:p w14:paraId="67600616" w14:textId="7AE40DFC" w:rsidR="00CE3D44" w:rsidRPr="000A724B" w:rsidRDefault="0041452E" w:rsidP="00752972">
            <w:pPr>
              <w:pStyle w:val="TableText"/>
              <w:rPr>
                <w:rFonts w:asciiTheme="minorHAnsi" w:hAnsiTheme="minorHAnsi" w:cstheme="minorHAnsi"/>
              </w:rPr>
            </w:pPr>
            <w:r w:rsidRPr="000A724B">
              <w:rPr>
                <w:rFonts w:asciiTheme="minorHAnsi" w:hAnsiTheme="minorHAnsi" w:cstheme="minorHAnsi"/>
                <w:i/>
                <w:iCs/>
              </w:rPr>
              <w:t>Lantana camara</w:t>
            </w:r>
            <w:r w:rsidRPr="000A724B">
              <w:rPr>
                <w:rFonts w:asciiTheme="minorHAnsi" w:hAnsiTheme="minorHAnsi" w:cstheme="minorHAnsi"/>
              </w:rPr>
              <w:t xml:space="preserve"> has no known economic benefit either in its native range or other areas where it is established.</w:t>
            </w:r>
            <w:r w:rsidR="0005348D" w:rsidRPr="000A724B">
              <w:rPr>
                <w:rFonts w:asciiTheme="minorHAnsi" w:hAnsiTheme="minorHAnsi" w:cstheme="minorHAnsi"/>
              </w:rPr>
              <w:t xml:space="preserve"> </w:t>
            </w:r>
            <w:r w:rsidR="0005348D" w:rsidRPr="000A724B">
              <w:rPr>
                <w:rFonts w:asciiTheme="minorHAnsi" w:hAnsiTheme="minorHAnsi" w:cstheme="minorHAnsi"/>
                <w:i/>
                <w:iCs/>
              </w:rPr>
              <w:t>Puccinia lantanae</w:t>
            </w:r>
            <w:r w:rsidR="0005348D" w:rsidRPr="000A724B">
              <w:rPr>
                <w:rFonts w:asciiTheme="minorHAnsi" w:hAnsiTheme="minorHAnsi" w:cstheme="minorHAnsi"/>
              </w:rPr>
              <w:t xml:space="preserve"> is a biological control agent proposed for the biological control of </w:t>
            </w:r>
            <w:r w:rsidR="0005348D" w:rsidRPr="000A724B">
              <w:rPr>
                <w:rFonts w:asciiTheme="minorHAnsi" w:hAnsiTheme="minorHAnsi" w:cstheme="minorHAnsi"/>
                <w:i/>
                <w:iCs/>
              </w:rPr>
              <w:t>L. camara</w:t>
            </w:r>
            <w:r w:rsidR="0005348D" w:rsidRPr="000A724B">
              <w:rPr>
                <w:rFonts w:asciiTheme="minorHAnsi" w:hAnsiTheme="minorHAnsi" w:cstheme="minorHAnsi"/>
              </w:rPr>
              <w:t>, an agricultural and environmental weed. No off-target impacts are expected to occur on any plants of significance to international trade.</w:t>
            </w:r>
          </w:p>
        </w:tc>
      </w:tr>
      <w:tr w:rsidR="00CE3D44" w:rsidRPr="00C92132" w14:paraId="234C9D1C" w14:textId="77777777" w:rsidTr="00CE3D44">
        <w:tc>
          <w:tcPr>
            <w:tcW w:w="2021" w:type="pct"/>
            <w:tcBorders>
              <w:top w:val="single" w:sz="4" w:space="0" w:color="D9D9D9"/>
            </w:tcBorders>
          </w:tcPr>
          <w:p w14:paraId="5EB9BFC8" w14:textId="77777777" w:rsidR="00CE3D44" w:rsidRPr="000A724B" w:rsidRDefault="00CE3D44" w:rsidP="00CE3D44">
            <w:pPr>
              <w:pStyle w:val="TableText"/>
              <w:rPr>
                <w:rFonts w:asciiTheme="minorHAnsi" w:hAnsiTheme="minorHAnsi" w:cstheme="minorHAnsi"/>
              </w:rPr>
            </w:pPr>
            <w:r w:rsidRPr="000A724B">
              <w:rPr>
                <w:rFonts w:asciiTheme="minorHAnsi" w:hAnsiTheme="minorHAnsi" w:cstheme="minorHAnsi"/>
              </w:rPr>
              <w:t>Environmental and non-commercial</w:t>
            </w:r>
          </w:p>
        </w:tc>
        <w:tc>
          <w:tcPr>
            <w:tcW w:w="2979" w:type="pct"/>
            <w:tcBorders>
              <w:top w:val="single" w:sz="4" w:space="0" w:color="D9D9D9"/>
            </w:tcBorders>
          </w:tcPr>
          <w:p w14:paraId="16FF4682" w14:textId="73991578" w:rsidR="00CE3D44" w:rsidRPr="000A724B" w:rsidRDefault="00D6157C" w:rsidP="00CE3D44">
            <w:pPr>
              <w:pStyle w:val="TableText"/>
              <w:rPr>
                <w:rFonts w:asciiTheme="minorHAnsi" w:hAnsiTheme="minorHAnsi" w:cstheme="minorHAnsi"/>
              </w:rPr>
            </w:pPr>
            <w:r w:rsidRPr="000A724B">
              <w:rPr>
                <w:rFonts w:asciiTheme="minorHAnsi" w:hAnsiTheme="minorHAnsi" w:cstheme="minorHAnsi"/>
              </w:rPr>
              <w:t>A</w:t>
            </w:r>
            <w:r w:rsidR="00CE3D44" w:rsidRPr="000A724B">
              <w:rPr>
                <w:rFonts w:asciiTheme="minorHAnsi" w:hAnsiTheme="minorHAnsi" w:cstheme="minorHAnsi"/>
              </w:rPr>
              <w:t>—</w:t>
            </w:r>
            <w:r w:rsidRPr="000A724B">
              <w:rPr>
                <w:rFonts w:asciiTheme="minorHAnsi" w:hAnsiTheme="minorHAnsi" w:cstheme="minorHAnsi"/>
              </w:rPr>
              <w:t>Indiscernible</w:t>
            </w:r>
          </w:p>
          <w:p w14:paraId="7BE535C4" w14:textId="39CC6859" w:rsidR="00CE3D44" w:rsidRPr="000A724B" w:rsidRDefault="00D6157C" w:rsidP="00752972">
            <w:pPr>
              <w:pStyle w:val="TableText"/>
              <w:rPr>
                <w:rFonts w:asciiTheme="minorHAnsi" w:hAnsiTheme="minorHAnsi" w:cstheme="minorHAnsi"/>
              </w:rPr>
            </w:pPr>
            <w:r w:rsidRPr="000A724B">
              <w:rPr>
                <w:rFonts w:asciiTheme="minorHAnsi" w:hAnsiTheme="minorHAnsi" w:cstheme="minorHAnsi"/>
                <w:i/>
                <w:iCs/>
              </w:rPr>
              <w:t>Lantana camara</w:t>
            </w:r>
            <w:r w:rsidRPr="000A724B">
              <w:rPr>
                <w:rFonts w:asciiTheme="minorHAnsi" w:hAnsiTheme="minorHAnsi" w:cstheme="minorHAnsi"/>
              </w:rPr>
              <w:t xml:space="preserve"> is an introduced weed in Australia. The reduction of this species in the environment is not anticipated to have any negative indirect environmental or non-commercial effects.</w:t>
            </w:r>
          </w:p>
        </w:tc>
      </w:tr>
    </w:tbl>
    <w:p w14:paraId="4D340D38" w14:textId="1DFDF7BD" w:rsidR="00CE3D44" w:rsidRPr="000A724B" w:rsidRDefault="002D76E7" w:rsidP="00C810FE">
      <w:pPr>
        <w:rPr>
          <w:rFonts w:asciiTheme="minorHAnsi" w:hAnsiTheme="minorHAnsi" w:cstheme="minorHAnsi"/>
        </w:rPr>
      </w:pPr>
      <w:r w:rsidRPr="000A724B">
        <w:rPr>
          <w:rFonts w:asciiTheme="minorHAnsi" w:hAnsiTheme="minorHAnsi" w:cstheme="minorHAnsi"/>
        </w:rPr>
        <w:t>Based on this assessment the potential consequences of off-target effects are</w:t>
      </w:r>
      <w:r w:rsidR="00C43C3E" w:rsidRPr="000A724B">
        <w:rPr>
          <w:rFonts w:asciiTheme="minorHAnsi" w:hAnsiTheme="minorHAnsi" w:cstheme="minorHAnsi"/>
        </w:rPr>
        <w:t xml:space="preserve"> assessed as</w:t>
      </w:r>
      <w:r w:rsidRPr="000A724B">
        <w:rPr>
          <w:rFonts w:asciiTheme="minorHAnsi" w:hAnsiTheme="minorHAnsi" w:cstheme="minorHAnsi"/>
        </w:rPr>
        <w:t xml:space="preserve">: </w:t>
      </w:r>
      <w:r w:rsidR="003A3A2A" w:rsidRPr="000A724B">
        <w:rPr>
          <w:rFonts w:asciiTheme="minorHAnsi" w:hAnsiTheme="minorHAnsi" w:cstheme="minorHAnsi"/>
          <w:b/>
        </w:rPr>
        <w:t>Negligible</w:t>
      </w:r>
      <w:r w:rsidRPr="000A724B">
        <w:rPr>
          <w:rFonts w:asciiTheme="minorHAnsi" w:hAnsiTheme="minorHAnsi" w:cstheme="minorHAnsi"/>
        </w:rPr>
        <w:t>.</w:t>
      </w:r>
    </w:p>
    <w:p w14:paraId="60EBF336" w14:textId="77777777" w:rsidR="00736319" w:rsidRPr="00B96F59" w:rsidRDefault="00225036" w:rsidP="00B96F59">
      <w:pPr>
        <w:pStyle w:val="Heading4"/>
      </w:pPr>
      <w:r w:rsidRPr="00B96F59">
        <w:lastRenderedPageBreak/>
        <w:t>Off-target risk estimate</w:t>
      </w:r>
    </w:p>
    <w:p w14:paraId="56DE3E99" w14:textId="77777777" w:rsidR="006F157A" w:rsidRPr="000A724B" w:rsidRDefault="006F157A" w:rsidP="006F157A">
      <w:pPr>
        <w:rPr>
          <w:rFonts w:asciiTheme="minorHAnsi" w:hAnsiTheme="minorHAnsi" w:cstheme="minorHAnsi"/>
        </w:rPr>
      </w:pPr>
      <w:bookmarkStart w:id="35" w:name="_Toc384979280"/>
      <w:r w:rsidRPr="000A724B">
        <w:rPr>
          <w:rFonts w:asciiTheme="minorHAnsi" w:hAnsiTheme="minorHAnsi" w:cstheme="minorHAnsi"/>
        </w:rPr>
        <w:t xml:space="preserve">Unrestricted risk is the result of combining the </w:t>
      </w:r>
      <w:r w:rsidR="00446AC3" w:rsidRPr="000A724B">
        <w:rPr>
          <w:rFonts w:asciiTheme="minorHAnsi" w:hAnsiTheme="minorHAnsi" w:cstheme="minorHAnsi"/>
        </w:rPr>
        <w:t>likelihood</w:t>
      </w:r>
      <w:r w:rsidRPr="000A724B">
        <w:rPr>
          <w:rFonts w:asciiTheme="minorHAnsi" w:hAnsiTheme="minorHAnsi" w:cstheme="minorHAnsi"/>
        </w:rPr>
        <w:t xml:space="preserve"> of off-target effects with the outcome of potential consequences. </w:t>
      </w:r>
      <w:r w:rsidR="009525DC" w:rsidRPr="000A724B">
        <w:rPr>
          <w:rFonts w:asciiTheme="minorHAnsi" w:hAnsiTheme="minorHAnsi" w:cstheme="minorHAnsi"/>
        </w:rPr>
        <w:t>Off-target effects</w:t>
      </w:r>
      <w:r w:rsidRPr="000A724B">
        <w:rPr>
          <w:rFonts w:asciiTheme="minorHAnsi" w:hAnsiTheme="minorHAnsi" w:cstheme="minorHAnsi"/>
        </w:rPr>
        <w:t xml:space="preserve"> and consequences are combined using the risk estimation matrix shown in </w:t>
      </w:r>
      <w:r w:rsidR="00E3787B" w:rsidRPr="000A724B">
        <w:rPr>
          <w:rFonts w:asciiTheme="minorHAnsi" w:hAnsiTheme="minorHAnsi" w:cstheme="minorHAnsi"/>
        </w:rPr>
        <w:t>Table 2.1</w:t>
      </w:r>
      <w:r w:rsidRPr="000A724B">
        <w:rPr>
          <w:rFonts w:asciiTheme="minorHAnsi" w:hAnsiTheme="minorHAnsi" w:cstheme="minorHAnsi"/>
        </w:rPr>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6F157A" w:rsidRPr="000A724B" w14:paraId="54D62CC5" w14:textId="77777777" w:rsidTr="009525DC">
        <w:tc>
          <w:tcPr>
            <w:tcW w:w="5000" w:type="pct"/>
            <w:gridSpan w:val="2"/>
          </w:tcPr>
          <w:p w14:paraId="27146793" w14:textId="79A9C2B0" w:rsidR="006F157A" w:rsidRPr="000A724B" w:rsidRDefault="00C43DDD" w:rsidP="00C43DDD">
            <w:pPr>
              <w:pStyle w:val="TableHeading"/>
              <w:rPr>
                <w:rFonts w:asciiTheme="minorHAnsi" w:hAnsiTheme="minorHAnsi" w:cstheme="minorHAnsi"/>
              </w:rPr>
            </w:pPr>
            <w:r w:rsidRPr="000A724B">
              <w:rPr>
                <w:rFonts w:asciiTheme="minorHAnsi" w:hAnsiTheme="minorHAnsi" w:cstheme="minorHAnsi"/>
              </w:rPr>
              <w:t>R</w:t>
            </w:r>
            <w:r w:rsidR="006F157A" w:rsidRPr="000A724B">
              <w:rPr>
                <w:rFonts w:asciiTheme="minorHAnsi" w:hAnsiTheme="minorHAnsi" w:cstheme="minorHAnsi"/>
              </w:rPr>
              <w:t xml:space="preserve">isk </w:t>
            </w:r>
            <w:proofErr w:type="gramStart"/>
            <w:r w:rsidR="006F157A" w:rsidRPr="000A724B">
              <w:rPr>
                <w:rFonts w:asciiTheme="minorHAnsi" w:hAnsiTheme="minorHAnsi" w:cstheme="minorHAnsi"/>
              </w:rPr>
              <w:t>estimate</w:t>
            </w:r>
            <w:proofErr w:type="gramEnd"/>
            <w:r w:rsidR="006F157A" w:rsidRPr="000A724B">
              <w:rPr>
                <w:rFonts w:asciiTheme="minorHAnsi" w:hAnsiTheme="minorHAnsi" w:cstheme="minorHAnsi"/>
              </w:rPr>
              <w:t xml:space="preserve"> for </w:t>
            </w:r>
            <w:r w:rsidR="00D8213C" w:rsidRPr="000A724B">
              <w:rPr>
                <w:rFonts w:asciiTheme="minorHAnsi" w:hAnsiTheme="minorHAnsi" w:cstheme="minorHAnsi"/>
                <w:i/>
              </w:rPr>
              <w:t>Puccinia lantanae</w:t>
            </w:r>
          </w:p>
        </w:tc>
      </w:tr>
      <w:tr w:rsidR="006F157A" w:rsidRPr="000A724B" w14:paraId="3FD393A6" w14:textId="77777777" w:rsidTr="009525DC">
        <w:tc>
          <w:tcPr>
            <w:tcW w:w="3428" w:type="pct"/>
          </w:tcPr>
          <w:p w14:paraId="37806E83" w14:textId="77777777" w:rsidR="006F157A" w:rsidRPr="000A724B" w:rsidRDefault="00446AC3" w:rsidP="009525DC">
            <w:pPr>
              <w:pStyle w:val="TableText"/>
              <w:rPr>
                <w:rFonts w:asciiTheme="minorHAnsi" w:hAnsiTheme="minorHAnsi" w:cstheme="minorHAnsi"/>
              </w:rPr>
            </w:pPr>
            <w:r w:rsidRPr="000A724B">
              <w:rPr>
                <w:rFonts w:asciiTheme="minorHAnsi" w:hAnsiTheme="minorHAnsi" w:cstheme="minorHAnsi"/>
              </w:rPr>
              <w:t>Likelihood</w:t>
            </w:r>
            <w:r w:rsidR="00C43DDD" w:rsidRPr="000A724B">
              <w:rPr>
                <w:rFonts w:asciiTheme="minorHAnsi" w:hAnsiTheme="minorHAnsi" w:cstheme="minorHAnsi"/>
              </w:rPr>
              <w:t xml:space="preserve"> of off-target effects</w:t>
            </w:r>
          </w:p>
        </w:tc>
        <w:tc>
          <w:tcPr>
            <w:tcW w:w="1572" w:type="pct"/>
          </w:tcPr>
          <w:p w14:paraId="551C7579" w14:textId="21F6E019" w:rsidR="006F157A" w:rsidRPr="000A724B" w:rsidRDefault="00D8213C" w:rsidP="009525DC">
            <w:pPr>
              <w:pStyle w:val="TableText"/>
              <w:rPr>
                <w:rFonts w:asciiTheme="minorHAnsi" w:hAnsiTheme="minorHAnsi" w:cstheme="minorHAnsi"/>
                <w:color w:val="FF0000"/>
                <w:highlight w:val="yellow"/>
              </w:rPr>
            </w:pPr>
            <w:r w:rsidRPr="000A724B">
              <w:rPr>
                <w:rFonts w:asciiTheme="minorHAnsi" w:hAnsiTheme="minorHAnsi" w:cstheme="minorHAnsi"/>
              </w:rPr>
              <w:t>Low</w:t>
            </w:r>
          </w:p>
        </w:tc>
      </w:tr>
      <w:tr w:rsidR="006F157A" w:rsidRPr="000A724B" w14:paraId="28DD996E" w14:textId="77777777" w:rsidTr="009525DC">
        <w:tc>
          <w:tcPr>
            <w:tcW w:w="3428" w:type="pct"/>
          </w:tcPr>
          <w:p w14:paraId="32D42857" w14:textId="77777777" w:rsidR="006F157A" w:rsidRPr="000A724B" w:rsidRDefault="006F157A" w:rsidP="009525DC">
            <w:pPr>
              <w:pStyle w:val="TableText"/>
              <w:rPr>
                <w:rFonts w:asciiTheme="minorHAnsi" w:hAnsiTheme="minorHAnsi" w:cstheme="minorHAnsi"/>
              </w:rPr>
            </w:pPr>
            <w:r w:rsidRPr="000A724B">
              <w:rPr>
                <w:rFonts w:asciiTheme="minorHAnsi" w:hAnsiTheme="minorHAnsi" w:cstheme="minorHAnsi"/>
              </w:rPr>
              <w:t>Consequences</w:t>
            </w:r>
          </w:p>
        </w:tc>
        <w:tc>
          <w:tcPr>
            <w:tcW w:w="1572" w:type="pct"/>
          </w:tcPr>
          <w:p w14:paraId="101C4DB4" w14:textId="5AFA31D0" w:rsidR="006F157A" w:rsidRPr="000A724B" w:rsidRDefault="00AD3900" w:rsidP="009525DC">
            <w:pPr>
              <w:pStyle w:val="TableText"/>
              <w:rPr>
                <w:rFonts w:asciiTheme="minorHAnsi" w:hAnsiTheme="minorHAnsi" w:cstheme="minorHAnsi"/>
                <w:color w:val="FF0000"/>
                <w:highlight w:val="yellow"/>
              </w:rPr>
            </w:pPr>
            <w:r w:rsidRPr="000A724B">
              <w:rPr>
                <w:rFonts w:asciiTheme="minorHAnsi" w:hAnsiTheme="minorHAnsi" w:cstheme="minorHAnsi"/>
              </w:rPr>
              <w:t>Negligible</w:t>
            </w:r>
          </w:p>
        </w:tc>
      </w:tr>
      <w:tr w:rsidR="006F157A" w:rsidRPr="000A724B" w14:paraId="4694E747" w14:textId="77777777" w:rsidTr="009525DC">
        <w:tc>
          <w:tcPr>
            <w:tcW w:w="3428" w:type="pct"/>
          </w:tcPr>
          <w:p w14:paraId="5853DCCA" w14:textId="77777777" w:rsidR="006F157A" w:rsidRPr="000A724B" w:rsidRDefault="00C43DDD" w:rsidP="009525DC">
            <w:pPr>
              <w:pStyle w:val="TableText"/>
              <w:rPr>
                <w:rFonts w:asciiTheme="minorHAnsi" w:hAnsiTheme="minorHAnsi" w:cstheme="minorHAnsi"/>
              </w:rPr>
            </w:pPr>
            <w:r w:rsidRPr="000A724B">
              <w:rPr>
                <w:rFonts w:asciiTheme="minorHAnsi" w:hAnsiTheme="minorHAnsi" w:cstheme="minorHAnsi"/>
              </w:rPr>
              <w:t>R</w:t>
            </w:r>
            <w:r w:rsidR="006F157A" w:rsidRPr="000A724B">
              <w:rPr>
                <w:rFonts w:asciiTheme="minorHAnsi" w:hAnsiTheme="minorHAnsi" w:cstheme="minorHAnsi"/>
              </w:rPr>
              <w:t>isk</w:t>
            </w:r>
          </w:p>
        </w:tc>
        <w:tc>
          <w:tcPr>
            <w:tcW w:w="1572" w:type="pct"/>
          </w:tcPr>
          <w:p w14:paraId="244A0455" w14:textId="162DD109" w:rsidR="006F157A" w:rsidRPr="000A724B" w:rsidRDefault="007C049B" w:rsidP="009525DC">
            <w:pPr>
              <w:pStyle w:val="TableText"/>
              <w:rPr>
                <w:rFonts w:asciiTheme="minorHAnsi" w:hAnsiTheme="minorHAnsi" w:cstheme="minorHAnsi"/>
                <w:color w:val="FF0000"/>
                <w:highlight w:val="yellow"/>
              </w:rPr>
            </w:pPr>
            <w:r w:rsidRPr="000A724B">
              <w:rPr>
                <w:rFonts w:asciiTheme="minorHAnsi" w:hAnsiTheme="minorHAnsi" w:cstheme="minorHAnsi"/>
              </w:rPr>
              <w:t>Negligible</w:t>
            </w:r>
          </w:p>
        </w:tc>
      </w:tr>
    </w:tbl>
    <w:p w14:paraId="597963AF" w14:textId="763BC15C" w:rsidR="008561F1" w:rsidRPr="000A724B" w:rsidRDefault="006F157A">
      <w:pPr>
        <w:spacing w:after="0" w:line="240" w:lineRule="auto"/>
        <w:rPr>
          <w:rFonts w:asciiTheme="minorHAnsi" w:hAnsiTheme="minorHAnsi" w:cstheme="minorHAnsi"/>
        </w:rPr>
      </w:pPr>
      <w:r w:rsidRPr="000A724B">
        <w:rPr>
          <w:rFonts w:asciiTheme="minorHAnsi" w:hAnsiTheme="minorHAnsi" w:cstheme="minorHAnsi"/>
        </w:rPr>
        <w:t>As indicated, the risk estimate for</w:t>
      </w:r>
      <w:r w:rsidR="00C43DDD" w:rsidRPr="000A724B">
        <w:rPr>
          <w:rFonts w:asciiTheme="minorHAnsi" w:hAnsiTheme="minorHAnsi" w:cstheme="minorHAnsi"/>
        </w:rPr>
        <w:t xml:space="preserve"> release of</w:t>
      </w:r>
      <w:r w:rsidRPr="000A724B">
        <w:rPr>
          <w:rFonts w:asciiTheme="minorHAnsi" w:hAnsiTheme="minorHAnsi" w:cstheme="minorHAnsi"/>
        </w:rPr>
        <w:t xml:space="preserve"> </w:t>
      </w:r>
      <w:r w:rsidR="00D8213C" w:rsidRPr="000A724B">
        <w:rPr>
          <w:rFonts w:asciiTheme="minorHAnsi" w:hAnsiTheme="minorHAnsi" w:cstheme="minorHAnsi"/>
          <w:i/>
        </w:rPr>
        <w:t>Puccinia lantanae</w:t>
      </w:r>
      <w:r w:rsidRPr="000A724B">
        <w:rPr>
          <w:rFonts w:asciiTheme="minorHAnsi" w:hAnsiTheme="minorHAnsi" w:cstheme="minorHAnsi"/>
        </w:rPr>
        <w:t xml:space="preserve"> has been assessed as ‘</w:t>
      </w:r>
      <w:r w:rsidR="007C049B" w:rsidRPr="000A724B">
        <w:rPr>
          <w:rFonts w:asciiTheme="minorHAnsi" w:hAnsiTheme="minorHAnsi" w:cstheme="minorHAnsi"/>
        </w:rPr>
        <w:t>Negligible</w:t>
      </w:r>
      <w:r w:rsidRPr="000A724B">
        <w:rPr>
          <w:rFonts w:asciiTheme="minorHAnsi" w:hAnsiTheme="minorHAnsi" w:cstheme="minorHAnsi"/>
        </w:rPr>
        <w:t xml:space="preserve">’, which </w:t>
      </w:r>
      <w:r w:rsidR="00704F80" w:rsidRPr="000A724B">
        <w:rPr>
          <w:rFonts w:asciiTheme="minorHAnsi" w:hAnsiTheme="minorHAnsi" w:cstheme="minorHAnsi"/>
        </w:rPr>
        <w:t>achieves</w:t>
      </w:r>
      <w:r w:rsidRPr="000A724B">
        <w:rPr>
          <w:rFonts w:asciiTheme="minorHAnsi" w:hAnsiTheme="minorHAnsi" w:cstheme="minorHAnsi"/>
        </w:rPr>
        <w:t xml:space="preserve"> </w:t>
      </w:r>
      <w:r w:rsidR="00A159AA" w:rsidRPr="000A724B">
        <w:rPr>
          <w:rFonts w:asciiTheme="minorHAnsi" w:hAnsiTheme="minorHAnsi" w:cstheme="minorHAnsi"/>
        </w:rPr>
        <w:t>the appropriate level of protection (ALOP) for Australia</w:t>
      </w:r>
      <w:r w:rsidRPr="000A724B">
        <w:rPr>
          <w:rFonts w:asciiTheme="minorHAnsi" w:hAnsiTheme="minorHAnsi" w:cstheme="minorHAnsi"/>
        </w:rPr>
        <w:t xml:space="preserve">. </w:t>
      </w:r>
    </w:p>
    <w:bookmarkEnd w:id="35"/>
    <w:p w14:paraId="20F22910" w14:textId="77777777" w:rsidR="00736319" w:rsidRDefault="00736319">
      <w:pPr>
        <w:sectPr w:rsidR="00736319">
          <w:headerReference w:type="even" r:id="rId57"/>
          <w:headerReference w:type="default" r:id="rId58"/>
          <w:footerReference w:type="even" r:id="rId59"/>
          <w:footerReference w:type="default" r:id="rId60"/>
          <w:headerReference w:type="first" r:id="rId61"/>
          <w:footerReference w:type="first" r:id="rId62"/>
          <w:type w:val="oddPage"/>
          <w:pgSz w:w="11906" w:h="16838"/>
          <w:pgMar w:top="1418" w:right="1418" w:bottom="1418" w:left="1418" w:header="567" w:footer="283" w:gutter="0"/>
          <w:cols w:space="708"/>
          <w:docGrid w:linePitch="360"/>
        </w:sectPr>
      </w:pPr>
    </w:p>
    <w:p w14:paraId="051E014A" w14:textId="63809E18" w:rsidR="00736319" w:rsidRDefault="00374458" w:rsidP="00B96F59">
      <w:pPr>
        <w:pStyle w:val="Heading2"/>
      </w:pPr>
      <w:bookmarkStart w:id="36" w:name="_Toc114642145"/>
      <w:bookmarkStart w:id="37" w:name="_Toc216420325"/>
      <w:r>
        <w:lastRenderedPageBreak/>
        <w:t>Draft r</w:t>
      </w:r>
      <w:r w:rsidR="00921312">
        <w:t>ecommendation on release</w:t>
      </w:r>
      <w:bookmarkEnd w:id="36"/>
      <w:bookmarkEnd w:id="37"/>
    </w:p>
    <w:p w14:paraId="6B242961" w14:textId="13609B56" w:rsidR="00FE17FF" w:rsidRPr="000A724B" w:rsidRDefault="00FE17FF" w:rsidP="00FE17FF">
      <w:pPr>
        <w:rPr>
          <w:rFonts w:asciiTheme="minorHAnsi" w:hAnsiTheme="minorHAnsi" w:cstheme="minorHAnsi"/>
        </w:rPr>
      </w:pPr>
      <w:r w:rsidRPr="000A724B">
        <w:rPr>
          <w:rFonts w:asciiTheme="minorHAnsi" w:hAnsiTheme="minorHAnsi" w:cstheme="minorHAnsi"/>
        </w:rPr>
        <w:t xml:space="preserve">The </w:t>
      </w:r>
      <w:r w:rsidR="00714FFC" w:rsidRPr="000A724B">
        <w:rPr>
          <w:rFonts w:asciiTheme="minorHAnsi" w:hAnsiTheme="minorHAnsi" w:cstheme="minorHAnsi"/>
        </w:rPr>
        <w:t>overall risk estimate for release of</w:t>
      </w:r>
      <w:r w:rsidRPr="000A724B">
        <w:rPr>
          <w:rFonts w:asciiTheme="minorHAnsi" w:hAnsiTheme="minorHAnsi" w:cstheme="minorHAnsi"/>
        </w:rPr>
        <w:t xml:space="preserve"> </w:t>
      </w:r>
      <w:r w:rsidR="00374458" w:rsidRPr="000A724B">
        <w:rPr>
          <w:rFonts w:asciiTheme="minorHAnsi" w:hAnsiTheme="minorHAnsi" w:cstheme="minorHAnsi"/>
          <w:i/>
          <w:iCs/>
        </w:rPr>
        <w:t>P. lantanae</w:t>
      </w:r>
      <w:r w:rsidRPr="000A724B">
        <w:rPr>
          <w:rFonts w:asciiTheme="minorHAnsi" w:hAnsiTheme="minorHAnsi" w:cstheme="minorHAnsi"/>
        </w:rPr>
        <w:t xml:space="preserve"> </w:t>
      </w:r>
      <w:r w:rsidR="00714FFC" w:rsidRPr="000A724B">
        <w:rPr>
          <w:rFonts w:asciiTheme="minorHAnsi" w:hAnsiTheme="minorHAnsi" w:cstheme="minorHAnsi"/>
        </w:rPr>
        <w:t>has been</w:t>
      </w:r>
      <w:r w:rsidRPr="000A724B">
        <w:rPr>
          <w:rFonts w:asciiTheme="minorHAnsi" w:hAnsiTheme="minorHAnsi" w:cstheme="minorHAnsi"/>
        </w:rPr>
        <w:t xml:space="preserve"> assessed as </w:t>
      </w:r>
      <w:r w:rsidR="00374458" w:rsidRPr="000A724B">
        <w:rPr>
          <w:rFonts w:asciiTheme="minorHAnsi" w:hAnsiTheme="minorHAnsi" w:cstheme="minorHAnsi"/>
        </w:rPr>
        <w:t>Negligible</w:t>
      </w:r>
      <w:r w:rsidRPr="000A724B">
        <w:rPr>
          <w:rFonts w:asciiTheme="minorHAnsi" w:hAnsiTheme="minorHAnsi" w:cstheme="minorHAnsi"/>
        </w:rPr>
        <w:t xml:space="preserve">, </w:t>
      </w:r>
      <w:r w:rsidR="00714FFC" w:rsidRPr="000A724B">
        <w:rPr>
          <w:rFonts w:asciiTheme="minorHAnsi" w:hAnsiTheme="minorHAnsi" w:cstheme="minorHAnsi"/>
        </w:rPr>
        <w:t>which</w:t>
      </w:r>
      <w:r w:rsidRPr="000A724B">
        <w:rPr>
          <w:rFonts w:asciiTheme="minorHAnsi" w:hAnsiTheme="minorHAnsi" w:cstheme="minorHAnsi"/>
        </w:rPr>
        <w:t xml:space="preserve"> achieves the ALOP for Australia. Therefore, it is proposed to recommend that this biological control agent be permitted to be released, subject to standard import and release conditions to ensure that the released material is free of other organisms.</w:t>
      </w:r>
    </w:p>
    <w:p w14:paraId="6554629A" w14:textId="44244C36" w:rsidR="00FE17FF" w:rsidRPr="000A724B" w:rsidRDefault="00FE17FF" w:rsidP="00FE17FF">
      <w:pPr>
        <w:rPr>
          <w:rFonts w:asciiTheme="minorHAnsi" w:hAnsiTheme="minorHAnsi" w:cstheme="minorHAnsi"/>
        </w:rPr>
      </w:pPr>
      <w:r w:rsidRPr="000A724B">
        <w:rPr>
          <w:rFonts w:asciiTheme="minorHAnsi" w:hAnsiTheme="minorHAnsi" w:cstheme="minorHAnsi"/>
        </w:rPr>
        <w:t xml:space="preserve">This draft recommendation is made on the basis of the high level of host specificity demonstrated by </w:t>
      </w:r>
      <w:r w:rsidR="00A142D0" w:rsidRPr="00A142D0">
        <w:rPr>
          <w:rFonts w:asciiTheme="minorHAnsi" w:hAnsiTheme="minorHAnsi" w:cstheme="minorHAnsi"/>
          <w:i/>
          <w:iCs/>
        </w:rPr>
        <w:t>P. lantanae</w:t>
      </w:r>
      <w:r w:rsidR="00A142D0" w:rsidRPr="00A142D0">
        <w:rPr>
          <w:rFonts w:asciiTheme="minorHAnsi" w:hAnsiTheme="minorHAnsi" w:cstheme="minorHAnsi"/>
        </w:rPr>
        <w:t xml:space="preserve"> </w:t>
      </w:r>
      <w:r w:rsidRPr="000A724B">
        <w:rPr>
          <w:rFonts w:asciiTheme="minorHAnsi" w:hAnsiTheme="minorHAnsi" w:cstheme="minorHAnsi"/>
        </w:rPr>
        <w:t xml:space="preserve">on </w:t>
      </w:r>
      <w:r w:rsidR="00374458" w:rsidRPr="000A724B">
        <w:rPr>
          <w:rFonts w:asciiTheme="minorHAnsi" w:hAnsiTheme="minorHAnsi" w:cstheme="minorHAnsi"/>
          <w:i/>
          <w:iCs/>
        </w:rPr>
        <w:t>L. camara</w:t>
      </w:r>
      <w:r w:rsidRPr="000A724B">
        <w:rPr>
          <w:rFonts w:asciiTheme="minorHAnsi" w:hAnsiTheme="minorHAnsi" w:cstheme="minorHAnsi"/>
        </w:rPr>
        <w:t xml:space="preserve"> and is based on currently available information.</w:t>
      </w:r>
    </w:p>
    <w:p w14:paraId="7F6B95A8" w14:textId="02F19884" w:rsidR="00194489" w:rsidRDefault="00194489" w:rsidP="00B96F59">
      <w:pPr>
        <w:pStyle w:val="Heading2"/>
      </w:pPr>
      <w:bookmarkStart w:id="38" w:name="_Toc114642147"/>
      <w:bookmarkStart w:id="39" w:name="_Toc216420326"/>
      <w:r>
        <w:lastRenderedPageBreak/>
        <w:t>Attachment</w:t>
      </w:r>
      <w:r w:rsidR="00E12593">
        <w:t xml:space="preserve"> 1</w:t>
      </w:r>
      <w:bookmarkEnd w:id="38"/>
      <w:bookmarkEnd w:id="39"/>
    </w:p>
    <w:p w14:paraId="5D5953DA" w14:textId="55AF9F13" w:rsidR="00634925" w:rsidRPr="000A724B" w:rsidRDefault="006E4A56">
      <w:pPr>
        <w:rPr>
          <w:rFonts w:asciiTheme="minorHAnsi" w:hAnsiTheme="minorHAnsi" w:cstheme="minorHAnsi"/>
        </w:rPr>
        <w:sectPr w:rsidR="00634925" w:rsidRPr="000A724B">
          <w:headerReference w:type="even" r:id="rId63"/>
          <w:headerReference w:type="default" r:id="rId64"/>
          <w:footerReference w:type="even" r:id="rId65"/>
          <w:footerReference w:type="default" r:id="rId66"/>
          <w:headerReference w:type="first" r:id="rId67"/>
          <w:footerReference w:type="first" r:id="rId68"/>
          <w:pgSz w:w="11906" w:h="16838"/>
          <w:pgMar w:top="1418" w:right="1418" w:bottom="1418" w:left="1418" w:header="567" w:footer="283" w:gutter="0"/>
          <w:cols w:space="708"/>
          <w:docGrid w:linePitch="360"/>
        </w:sectPr>
      </w:pPr>
      <w:r w:rsidRPr="000A724B">
        <w:rPr>
          <w:rFonts w:asciiTheme="minorHAnsi" w:hAnsiTheme="minorHAnsi" w:cstheme="minorHAnsi"/>
        </w:rPr>
        <w:t>‘</w:t>
      </w:r>
      <w:bookmarkStart w:id="40" w:name="_Hlk163205876"/>
      <w:r w:rsidR="00374458" w:rsidRPr="000A724B">
        <w:rPr>
          <w:rFonts w:asciiTheme="minorHAnsi" w:hAnsiTheme="minorHAnsi" w:cstheme="minorHAnsi"/>
        </w:rPr>
        <w:t xml:space="preserve">Application to release </w:t>
      </w:r>
      <w:r w:rsidR="00374458" w:rsidRPr="000A724B">
        <w:rPr>
          <w:rFonts w:asciiTheme="minorHAnsi" w:hAnsiTheme="minorHAnsi" w:cstheme="minorHAnsi"/>
          <w:i/>
          <w:iCs/>
        </w:rPr>
        <w:t>Puccinia lantanae</w:t>
      </w:r>
      <w:r w:rsidR="00374458" w:rsidRPr="000A724B">
        <w:rPr>
          <w:rFonts w:asciiTheme="minorHAnsi" w:hAnsiTheme="minorHAnsi" w:cstheme="minorHAnsi"/>
        </w:rPr>
        <w:t xml:space="preserve"> Farl. (Pucciniales: Pucciniaceae) for the biological control of </w:t>
      </w:r>
      <w:r w:rsidR="00374458" w:rsidRPr="000A724B">
        <w:rPr>
          <w:rFonts w:asciiTheme="minorHAnsi" w:hAnsiTheme="minorHAnsi" w:cstheme="minorHAnsi"/>
          <w:i/>
          <w:iCs/>
        </w:rPr>
        <w:t>Lantana camara</w:t>
      </w:r>
      <w:r w:rsidR="00374458" w:rsidRPr="000A724B">
        <w:rPr>
          <w:rFonts w:asciiTheme="minorHAnsi" w:hAnsiTheme="minorHAnsi" w:cstheme="minorHAnsi"/>
        </w:rPr>
        <w:t xml:space="preserve"> L. (Verbenaceae) in Australia</w:t>
      </w:r>
      <w:bookmarkEnd w:id="40"/>
      <w:r w:rsidRPr="000A724B">
        <w:rPr>
          <w:rFonts w:asciiTheme="minorHAnsi" w:hAnsiTheme="minorHAnsi" w:cstheme="minorHAnsi"/>
        </w:rPr>
        <w:t>’</w:t>
      </w:r>
    </w:p>
    <w:p w14:paraId="383B5C33" w14:textId="31533978" w:rsidR="00C40111" w:rsidRPr="005A5D7E" w:rsidRDefault="00C40111" w:rsidP="00B96F59">
      <w:pPr>
        <w:pStyle w:val="Heading2"/>
        <w:numPr>
          <w:ilvl w:val="0"/>
          <w:numId w:val="0"/>
        </w:numPr>
        <w:ind w:left="794" w:hanging="794"/>
      </w:pPr>
      <w:bookmarkStart w:id="41" w:name="_Toc114642148"/>
      <w:bookmarkStart w:id="42" w:name="_Toc216420327"/>
      <w:r w:rsidRPr="005A5D7E">
        <w:lastRenderedPageBreak/>
        <w:t>Appendix A: Method for pest risk analysis</w:t>
      </w:r>
      <w:bookmarkEnd w:id="41"/>
      <w:bookmarkEnd w:id="42"/>
    </w:p>
    <w:p w14:paraId="584CD83C" w14:textId="09181AB2" w:rsidR="00C40111" w:rsidRPr="000A724B" w:rsidRDefault="00C40111" w:rsidP="00C40111">
      <w:pPr>
        <w:rPr>
          <w:rFonts w:asciiTheme="minorHAnsi" w:hAnsiTheme="minorHAnsi" w:cstheme="minorHAnsi"/>
          <w:strike/>
          <w:color w:val="000000" w:themeColor="text1"/>
        </w:rPr>
      </w:pPr>
      <w:r w:rsidRPr="000A724B">
        <w:rPr>
          <w:rFonts w:asciiTheme="minorHAnsi" w:hAnsiTheme="minorHAnsi" w:cstheme="minorHAnsi"/>
          <w:color w:val="000000" w:themeColor="text1"/>
        </w:rPr>
        <w:t xml:space="preserve">This section sets out the method for the pest risk analysis (PRA) used by the Department of Agriculture, Fisheries and Forestry (the department). This method is consistent with the International Standards for Phytosanitary Measures (ISPMs), including ISPM 2: </w:t>
      </w:r>
      <w:r w:rsidRPr="000A724B">
        <w:rPr>
          <w:rFonts w:asciiTheme="minorHAnsi" w:hAnsiTheme="minorHAnsi" w:cstheme="minorHAnsi"/>
          <w:i/>
          <w:iCs/>
          <w:color w:val="000000" w:themeColor="text1"/>
        </w:rPr>
        <w:t>Framework for pest risk analysis</w:t>
      </w:r>
      <w:r w:rsidRPr="000A724B">
        <w:rPr>
          <w:rFonts w:asciiTheme="minorHAnsi" w:hAnsiTheme="minorHAnsi" w:cstheme="minorHAnsi"/>
          <w:color w:val="000000" w:themeColor="text1"/>
        </w:rPr>
        <w:t xml:space="preserve"> </w:t>
      </w:r>
      <w:r w:rsidR="00F61971" w:rsidRPr="000A724B">
        <w:rPr>
          <w:rFonts w:asciiTheme="minorHAnsi" w:hAnsiTheme="minorHAnsi" w:cstheme="minorHAnsi"/>
          <w:color w:val="000000" w:themeColor="text1"/>
        </w:rPr>
        <w:t>(</w:t>
      </w:r>
      <w:r w:rsidRPr="000A724B">
        <w:rPr>
          <w:rFonts w:asciiTheme="minorHAnsi" w:hAnsiTheme="minorHAnsi" w:cstheme="minorHAnsi"/>
          <w:color w:val="000000" w:themeColor="text1"/>
        </w:rPr>
        <w:t>FAO 20</w:t>
      </w:r>
      <w:r w:rsidR="00F61971" w:rsidRPr="000A724B">
        <w:rPr>
          <w:rFonts w:asciiTheme="minorHAnsi" w:hAnsiTheme="minorHAnsi" w:cstheme="minorHAnsi"/>
          <w:color w:val="000000" w:themeColor="text1"/>
        </w:rPr>
        <w:t>19a)</w:t>
      </w:r>
      <w:r w:rsidRPr="000A724B">
        <w:rPr>
          <w:rFonts w:asciiTheme="minorHAnsi" w:hAnsiTheme="minorHAnsi" w:cstheme="minorHAnsi"/>
          <w:color w:val="000000" w:themeColor="text1"/>
        </w:rPr>
        <w:t xml:space="preserve"> and ISPM 11: </w:t>
      </w:r>
      <w:r w:rsidRPr="000A724B">
        <w:rPr>
          <w:rFonts w:asciiTheme="minorHAnsi" w:hAnsiTheme="minorHAnsi" w:cstheme="minorHAnsi"/>
          <w:i/>
          <w:iCs/>
          <w:color w:val="000000" w:themeColor="text1"/>
        </w:rPr>
        <w:t>Pest risk analysis for quarantine pests</w:t>
      </w:r>
      <w:r w:rsidRPr="000A724B">
        <w:rPr>
          <w:rFonts w:asciiTheme="minorHAnsi" w:hAnsiTheme="minorHAnsi" w:cstheme="minorHAnsi"/>
          <w:color w:val="000000" w:themeColor="text1"/>
        </w:rPr>
        <w:t xml:space="preserve"> </w:t>
      </w:r>
      <w:bookmarkStart w:id="43" w:name="_Hlk114210291"/>
      <w:r w:rsidR="00F61971" w:rsidRPr="000A724B">
        <w:rPr>
          <w:rFonts w:asciiTheme="minorHAnsi" w:hAnsiTheme="minorHAnsi" w:cstheme="minorHAnsi"/>
          <w:color w:val="000000" w:themeColor="text1"/>
        </w:rPr>
        <w:t>(FAO 2019b)</w:t>
      </w:r>
      <w:bookmarkEnd w:id="43"/>
      <w:r w:rsidRPr="000A724B">
        <w:rPr>
          <w:rFonts w:asciiTheme="minorHAnsi" w:hAnsiTheme="minorHAnsi" w:cstheme="minorHAnsi"/>
          <w:color w:val="000000" w:themeColor="text1"/>
        </w:rPr>
        <w:t xml:space="preserve"> and the WTO Agreement on the Application of Sanitary and Phytosanitary Measures </w:t>
      </w:r>
      <w:r w:rsidR="00CD6AB4" w:rsidRPr="000A724B">
        <w:rPr>
          <w:rFonts w:asciiTheme="minorHAnsi" w:hAnsiTheme="minorHAnsi" w:cstheme="minorHAnsi"/>
          <w:color w:val="000000" w:themeColor="text1"/>
        </w:rPr>
        <w:t>(</w:t>
      </w:r>
      <w:r w:rsidRPr="000A724B">
        <w:rPr>
          <w:rFonts w:asciiTheme="minorHAnsi" w:hAnsiTheme="minorHAnsi" w:cstheme="minorHAnsi"/>
          <w:color w:val="000000" w:themeColor="text1"/>
        </w:rPr>
        <w:t>WTO 1995</w:t>
      </w:r>
      <w:r w:rsidR="00CD6AB4" w:rsidRPr="000A724B">
        <w:rPr>
          <w:rFonts w:asciiTheme="minorHAnsi" w:hAnsiTheme="minorHAnsi" w:cstheme="minorHAnsi"/>
          <w:color w:val="000000" w:themeColor="text1"/>
        </w:rPr>
        <w:t>)</w:t>
      </w:r>
      <w:r w:rsidRPr="000A724B">
        <w:rPr>
          <w:rFonts w:asciiTheme="minorHAnsi" w:hAnsiTheme="minorHAnsi" w:cstheme="minorHAnsi"/>
          <w:color w:val="000000" w:themeColor="text1"/>
        </w:rPr>
        <w:t>.</w:t>
      </w:r>
    </w:p>
    <w:p w14:paraId="1710491F" w14:textId="2C4BEDA3"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A PRA is ‘the process of evaluating biological or other scientific and economic evidence to determine whether an organism is a pest, whether it should be regulated, and the strength of any phytosanitary measures to be taken against it’ </w:t>
      </w:r>
      <w:bookmarkStart w:id="44" w:name="_Hlk112672564"/>
      <w:r w:rsidR="00D14268" w:rsidRPr="000A724B">
        <w:rPr>
          <w:rFonts w:asciiTheme="minorHAnsi" w:hAnsiTheme="minorHAnsi" w:cstheme="minorHAnsi"/>
        </w:rPr>
        <w:t>(</w:t>
      </w:r>
      <w:r w:rsidR="00F227B6">
        <w:rPr>
          <w:rFonts w:asciiTheme="minorHAnsi" w:hAnsiTheme="minorHAnsi" w:cstheme="minorHAnsi"/>
        </w:rPr>
        <w:t>FAO 2024</w:t>
      </w:r>
      <w:r w:rsidR="00D14268" w:rsidRPr="000A724B">
        <w:rPr>
          <w:rFonts w:asciiTheme="minorHAnsi" w:hAnsiTheme="minorHAnsi" w:cstheme="minorHAnsi"/>
        </w:rPr>
        <w:t>)</w:t>
      </w:r>
      <w:bookmarkEnd w:id="44"/>
      <w:r w:rsidRPr="000A724B">
        <w:rPr>
          <w:rFonts w:asciiTheme="minorHAnsi" w:hAnsiTheme="minorHAnsi" w:cstheme="minorHAnsi"/>
        </w:rPr>
        <w:t xml:space="preserve">. A pest is 'any species, strain or biotype of plant, animal, or pathogenic agent, injurious to plants or plant products' </w:t>
      </w:r>
      <w:r w:rsidR="00D14268" w:rsidRPr="000A724B">
        <w:rPr>
          <w:rFonts w:asciiTheme="minorHAnsi" w:hAnsiTheme="minorHAnsi" w:cstheme="minorHAnsi"/>
        </w:rPr>
        <w:t>(</w:t>
      </w:r>
      <w:r w:rsidR="00044E22">
        <w:rPr>
          <w:rFonts w:asciiTheme="minorHAnsi" w:hAnsiTheme="minorHAnsi" w:cstheme="minorHAnsi"/>
        </w:rPr>
        <w:t>FAO 2024</w:t>
      </w:r>
      <w:r w:rsidR="00D14268" w:rsidRPr="000A724B">
        <w:rPr>
          <w:rFonts w:asciiTheme="minorHAnsi" w:hAnsiTheme="minorHAnsi" w:cstheme="minorHAnsi"/>
        </w:rPr>
        <w:t>)</w:t>
      </w:r>
      <w:r w:rsidRPr="000A724B">
        <w:rPr>
          <w:rFonts w:asciiTheme="minorHAnsi" w:hAnsiTheme="minorHAnsi" w:cstheme="minorHAnsi"/>
        </w:rPr>
        <w:t xml:space="preserve">. A ‘quarantine pest’ is 'a pest of potential economic importance to the area endangered thereby and not yet present there, or present but not widely distributed and being officially controlled' </w:t>
      </w:r>
      <w:r w:rsidR="00D14268" w:rsidRPr="000A724B">
        <w:rPr>
          <w:rFonts w:asciiTheme="minorHAnsi" w:hAnsiTheme="minorHAnsi" w:cstheme="minorHAnsi"/>
        </w:rPr>
        <w:t>(</w:t>
      </w:r>
      <w:r w:rsidR="00044E22">
        <w:rPr>
          <w:rFonts w:asciiTheme="minorHAnsi" w:hAnsiTheme="minorHAnsi" w:cstheme="minorHAnsi"/>
        </w:rPr>
        <w:t>FAO 2024</w:t>
      </w:r>
      <w:r w:rsidR="00D14268" w:rsidRPr="000A724B">
        <w:rPr>
          <w:rFonts w:asciiTheme="minorHAnsi" w:hAnsiTheme="minorHAnsi" w:cstheme="minorHAnsi"/>
        </w:rPr>
        <w:t>)</w:t>
      </w:r>
      <w:r w:rsidRPr="000A724B">
        <w:rPr>
          <w:rFonts w:asciiTheme="minorHAnsi" w:hAnsiTheme="minorHAnsi" w:cstheme="minorHAnsi"/>
        </w:rPr>
        <w:t>.</w:t>
      </w:r>
    </w:p>
    <w:p w14:paraId="66D1DD23"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Biosecurity risk consists of 2 major components: the likelihood of a pest entering, establishing and spreading in Australia for a defined import pathway; and the consequences should this happen. These 2 components are combined to give an overall estimate of the pest risk for the defined import pathway.</w:t>
      </w:r>
    </w:p>
    <w:p w14:paraId="1C1D6E5E"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Unrestricted risk is estimated </w:t>
      </w:r>
      <w:proofErr w:type="gramStart"/>
      <w:r w:rsidRPr="000A724B">
        <w:rPr>
          <w:rFonts w:asciiTheme="minorHAnsi" w:hAnsiTheme="minorHAnsi" w:cstheme="minorHAnsi"/>
        </w:rPr>
        <w:t>taking into account</w:t>
      </w:r>
      <w:proofErr w:type="gramEnd"/>
      <w:r w:rsidRPr="000A724B">
        <w:rPr>
          <w:rFonts w:asciiTheme="minorHAnsi" w:hAnsiTheme="minorHAnsi" w:cstheme="minorHAnsi"/>
        </w:rPr>
        <w:t>, where applicable, the existing commercial production practices of the exporting country and procedures that occur on arrival in Australia. These procedures include verification by the department that the consignment received is as described on the commercial documents and its integrity has been maintained.</w:t>
      </w:r>
    </w:p>
    <w:p w14:paraId="301FE025" w14:textId="5CE72CD3"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Restricted risk is estimated with phytosanitary measure(s) applied. A phytosanitary measure is ‘any legislation, regulation or official procedure having the purpose to prevent the introduction or spread of quarantine pests, or to limit the economic impact of regulated non-quarantine pests’ </w:t>
      </w:r>
      <w:r w:rsidR="00D14268" w:rsidRPr="000A724B">
        <w:rPr>
          <w:rFonts w:asciiTheme="minorHAnsi" w:hAnsiTheme="minorHAnsi" w:cstheme="minorHAnsi"/>
        </w:rPr>
        <w:t>(</w:t>
      </w:r>
      <w:r w:rsidR="00044E22">
        <w:rPr>
          <w:rFonts w:asciiTheme="minorHAnsi" w:hAnsiTheme="minorHAnsi" w:cstheme="minorHAnsi"/>
        </w:rPr>
        <w:t>FAO 2024</w:t>
      </w:r>
      <w:r w:rsidR="00D14268" w:rsidRPr="000A724B">
        <w:rPr>
          <w:rFonts w:asciiTheme="minorHAnsi" w:hAnsiTheme="minorHAnsi" w:cstheme="minorHAnsi"/>
        </w:rPr>
        <w:t>)</w:t>
      </w:r>
      <w:r w:rsidRPr="000A724B">
        <w:rPr>
          <w:rFonts w:asciiTheme="minorHAnsi" w:hAnsiTheme="minorHAnsi" w:cstheme="minorHAnsi"/>
        </w:rPr>
        <w:t>.</w:t>
      </w:r>
    </w:p>
    <w:p w14:paraId="51E6B6AB" w14:textId="77777777"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A PRA is conducted in 3 consecutive stages: initiation (A1), pest risk assessment (A2) and pest risk management (A3).</w:t>
      </w:r>
    </w:p>
    <w:p w14:paraId="1AFAA60D" w14:textId="77777777" w:rsidR="00C40111" w:rsidRDefault="00C40111" w:rsidP="00F85722">
      <w:pPr>
        <w:pStyle w:val="Heading3-Appendix"/>
        <w:numPr>
          <w:ilvl w:val="0"/>
          <w:numId w:val="5"/>
        </w:numPr>
        <w:tabs>
          <w:tab w:val="num" w:pos="720"/>
        </w:tabs>
        <w:ind w:left="357" w:hanging="357"/>
      </w:pPr>
      <w:r>
        <w:t>Stage 1: Initiation</w:t>
      </w:r>
    </w:p>
    <w:p w14:paraId="1CC0F1BA"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Initiation identifies the pest(s) and pathway(s) that are of biosecurity concern and should be considered for risk analysis in relation to the identified PRA area.</w:t>
      </w:r>
    </w:p>
    <w:p w14:paraId="31063E78" w14:textId="0850B234"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 xml:space="preserve">A pathway is ‘any means that allows the entry or spread of a pest’ </w:t>
      </w:r>
      <w:r w:rsidR="00D14268" w:rsidRPr="000A724B">
        <w:rPr>
          <w:rFonts w:asciiTheme="minorHAnsi" w:hAnsiTheme="minorHAnsi" w:cstheme="minorHAnsi"/>
          <w:color w:val="000000" w:themeColor="text1"/>
        </w:rPr>
        <w:t>(</w:t>
      </w:r>
      <w:r w:rsidR="00044E22">
        <w:rPr>
          <w:rFonts w:asciiTheme="minorHAnsi" w:hAnsiTheme="minorHAnsi" w:cstheme="minorHAnsi"/>
          <w:color w:val="000000" w:themeColor="text1"/>
        </w:rPr>
        <w:t>FAO 2024</w:t>
      </w:r>
      <w:r w:rsidR="00D14268" w:rsidRPr="000A724B">
        <w:rPr>
          <w:rFonts w:asciiTheme="minorHAnsi" w:hAnsiTheme="minorHAnsi" w:cstheme="minorHAnsi"/>
          <w:color w:val="000000" w:themeColor="text1"/>
        </w:rPr>
        <w:t>)</w:t>
      </w:r>
      <w:r w:rsidRPr="000A724B">
        <w:rPr>
          <w:rFonts w:asciiTheme="minorHAnsi" w:hAnsiTheme="minorHAnsi" w:cstheme="minorHAnsi"/>
          <w:color w:val="000000" w:themeColor="text1"/>
        </w:rPr>
        <w:t>. For this risk analysis, the ‘pathway’ being assessed is defined in Chapter 1 (section 1.2.2).</w:t>
      </w:r>
    </w:p>
    <w:p w14:paraId="57974986"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For this risk analysis, the ‘PRA area’ is defined as Australia 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61EC81E7" w14:textId="4EE01A9D" w:rsidR="00C40111" w:rsidRPr="000A724B" w:rsidRDefault="00C40111" w:rsidP="00C40111">
      <w:pPr>
        <w:autoSpaceDE w:val="0"/>
        <w:autoSpaceDN w:val="0"/>
        <w:adjustRightInd w:val="0"/>
        <w:spacing w:line="240" w:lineRule="auto"/>
        <w:rPr>
          <w:rFonts w:asciiTheme="minorHAnsi" w:hAnsiTheme="minorHAnsi" w:cstheme="minorHAnsi"/>
          <w:color w:val="000000" w:themeColor="text1"/>
        </w:rPr>
      </w:pPr>
      <w:r w:rsidRPr="000A724B">
        <w:rPr>
          <w:rFonts w:asciiTheme="minorHAnsi" w:hAnsiTheme="minorHAnsi" w:cstheme="minorHAnsi"/>
          <w:color w:val="000000" w:themeColor="text1"/>
        </w:rPr>
        <w:t xml:space="preserve">According to ISPM 11 </w:t>
      </w:r>
      <w:r w:rsidR="00A36952" w:rsidRPr="000A724B">
        <w:rPr>
          <w:rFonts w:asciiTheme="minorHAnsi" w:hAnsiTheme="minorHAnsi" w:cstheme="minorHAnsi"/>
        </w:rPr>
        <w:t>(FAO 2019b)</w:t>
      </w:r>
      <w:r w:rsidRPr="000A724B">
        <w:rPr>
          <w:rFonts w:asciiTheme="minorHAnsi" w:hAnsiTheme="minorHAnsi" w:cstheme="minorHAnsi"/>
          <w:color w:val="000000" w:themeColor="text1"/>
        </w:rPr>
        <w:t>, the PRA process may be initiated as a result of:</w:t>
      </w:r>
    </w:p>
    <w:p w14:paraId="49406E28"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the identification of a pathway that presents a potential pest hazard. For example, international trade is requested for a commodity not previously imported into the country or a commodity from a new area or new country of origin</w:t>
      </w:r>
    </w:p>
    <w:p w14:paraId="47CEDC4F"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lastRenderedPageBreak/>
        <w:t>the identification of a pest that may require phytosanitary measures. For example, a new pest risk is identified by scientific research, a pest is repeatedly intercepted, a request is made to import an organism, or an organism is identified as a vector of other pests</w:t>
      </w:r>
    </w:p>
    <w:p w14:paraId="65E68C21"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the review or revision of a policy. For example, a country’s decision is taken to review phytosanitary regulations, requirements or operations or a new treatment or loss of a treatment system, a new process, or new information impacts on an earlier decision.</w:t>
      </w:r>
    </w:p>
    <w:p w14:paraId="589AA820" w14:textId="77777777"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The basis for the initiation of this risk analysis is defined in Chapter 1 (section 1.2.1).</w:t>
      </w:r>
    </w:p>
    <w:p w14:paraId="4030C12C" w14:textId="77777777" w:rsidR="00C40111" w:rsidRPr="000A724B" w:rsidRDefault="00C40111" w:rsidP="00C40111">
      <w:pPr>
        <w:spacing w:before="120" w:after="120"/>
        <w:rPr>
          <w:rFonts w:asciiTheme="minorHAnsi" w:hAnsiTheme="minorHAnsi" w:cstheme="minorHAnsi"/>
          <w:color w:val="000000" w:themeColor="text1"/>
        </w:rPr>
      </w:pPr>
      <w:r w:rsidRPr="000A724B">
        <w:rPr>
          <w:rFonts w:asciiTheme="minorHAnsi" w:hAnsiTheme="minorHAnsi" w:cstheme="minorHAnsi"/>
          <w:color w:val="000000" w:themeColor="text1"/>
        </w:rPr>
        <w:t>The primary elements in the initiation stage</w:t>
      </w:r>
      <w:r w:rsidRPr="000A724B">
        <w:rPr>
          <w:rFonts w:asciiTheme="minorHAnsi" w:hAnsiTheme="minorHAnsi" w:cstheme="minorHAnsi"/>
        </w:rPr>
        <w:t xml:space="preserve"> </w:t>
      </w:r>
      <w:r w:rsidRPr="000A724B">
        <w:rPr>
          <w:rFonts w:asciiTheme="minorHAnsi" w:hAnsiTheme="minorHAnsi" w:cstheme="minorHAnsi"/>
          <w:color w:val="000000" w:themeColor="text1"/>
        </w:rPr>
        <w:t>are:</w:t>
      </w:r>
    </w:p>
    <w:p w14:paraId="296F7DE4"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identity of the pests</w:t>
      </w:r>
    </w:p>
    <w:p w14:paraId="353D638E"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 xml:space="preserve">potential association </w:t>
      </w:r>
      <w:r w:rsidRPr="000A724B">
        <w:rPr>
          <w:rFonts w:asciiTheme="minorHAnsi" w:hAnsiTheme="minorHAnsi" w:cstheme="minorHAnsi"/>
          <w:color w:val="000000" w:themeColor="text1"/>
        </w:rPr>
        <w:t>of each pest with the pathway being assessed</w:t>
      </w:r>
      <w:r w:rsidRPr="000A724B">
        <w:rPr>
          <w:rFonts w:asciiTheme="minorHAnsi" w:hAnsiTheme="minorHAnsi" w:cstheme="minorHAnsi"/>
        </w:rPr>
        <w:t>.</w:t>
      </w:r>
    </w:p>
    <w:p w14:paraId="0F20FC41"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The identity of the pests is presented at species level by the species’ scientific name in most instances, but a lower taxonomic level may be used where appropriate. Synonyms are provided where the current scientific name differs from that provided by the exporting country’s National Plant Protection Organisation (NPPO) or where the cited literature used a different scientific name.</w:t>
      </w:r>
    </w:p>
    <w:p w14:paraId="7F7A0FE4"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The potential association of each pest with the pathway being assessed considers information on:</w:t>
      </w:r>
    </w:p>
    <w:p w14:paraId="08C0AC92" w14:textId="77777777" w:rsidR="00C40111" w:rsidRPr="000A724B" w:rsidRDefault="00C40111" w:rsidP="00F85722">
      <w:pPr>
        <w:pStyle w:val="ListBullet2"/>
        <w:numPr>
          <w:ilvl w:val="1"/>
          <w:numId w:val="1"/>
        </w:numPr>
        <w:tabs>
          <w:tab w:val="clear" w:pos="643"/>
          <w:tab w:val="num" w:pos="794"/>
        </w:tabs>
        <w:ind w:left="794" w:hanging="397"/>
        <w:rPr>
          <w:rFonts w:asciiTheme="minorHAnsi" w:hAnsiTheme="minorHAnsi" w:cstheme="minorHAnsi"/>
        </w:rPr>
      </w:pPr>
      <w:r w:rsidRPr="000A724B">
        <w:rPr>
          <w:rFonts w:asciiTheme="minorHAnsi" w:hAnsiTheme="minorHAnsi" w:cstheme="minorHAnsi"/>
        </w:rPr>
        <w:t>association of the pest with the host plant/commodity and</w:t>
      </w:r>
    </w:p>
    <w:p w14:paraId="62A91190" w14:textId="77777777" w:rsidR="00C40111" w:rsidRPr="000A724B" w:rsidRDefault="00C40111" w:rsidP="00F85722">
      <w:pPr>
        <w:pStyle w:val="ListBullet2"/>
        <w:numPr>
          <w:ilvl w:val="1"/>
          <w:numId w:val="1"/>
        </w:numPr>
        <w:tabs>
          <w:tab w:val="clear" w:pos="643"/>
          <w:tab w:val="num" w:pos="794"/>
        </w:tabs>
        <w:ind w:left="794" w:hanging="397"/>
        <w:rPr>
          <w:rFonts w:asciiTheme="minorHAnsi" w:hAnsiTheme="minorHAnsi" w:cstheme="minorHAnsi"/>
        </w:rPr>
      </w:pPr>
      <w:r w:rsidRPr="000A724B">
        <w:rPr>
          <w:rFonts w:asciiTheme="minorHAnsi" w:hAnsiTheme="minorHAnsi" w:cstheme="minorHAnsi"/>
        </w:rPr>
        <w:t>the presence or absence of the pest in the exporting country/region relevant to the pathway being assessed.</w:t>
      </w:r>
    </w:p>
    <w:p w14:paraId="0B13A7D1" w14:textId="77777777" w:rsidR="00C40111" w:rsidRDefault="00C40111" w:rsidP="00F85722">
      <w:pPr>
        <w:pStyle w:val="Heading3-Appendix"/>
        <w:numPr>
          <w:ilvl w:val="0"/>
          <w:numId w:val="5"/>
        </w:numPr>
        <w:ind w:left="357" w:hanging="357"/>
      </w:pPr>
      <w:r>
        <w:t>Stage 2: Pest risk assessment</w:t>
      </w:r>
    </w:p>
    <w:p w14:paraId="0C19C2FD"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The process for pest risk assessment includes 2 sequential steps:</w:t>
      </w:r>
    </w:p>
    <w:p w14:paraId="535A1104"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pest categorisation (A2.1)</w:t>
      </w:r>
    </w:p>
    <w:p w14:paraId="414BADA1" w14:textId="463B8B42"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further pest risk assessment</w:t>
      </w:r>
      <w:r w:rsidR="0057414A" w:rsidRPr="000A724B">
        <w:rPr>
          <w:rFonts w:asciiTheme="minorHAnsi" w:hAnsiTheme="minorHAnsi" w:cstheme="minorHAnsi"/>
        </w:rPr>
        <w:t xml:space="preserve">, which includes </w:t>
      </w:r>
      <w:r w:rsidRPr="000A724B">
        <w:rPr>
          <w:rFonts w:asciiTheme="minorHAnsi" w:hAnsiTheme="minorHAnsi" w:cstheme="minorHAnsi"/>
        </w:rPr>
        <w:t>evaluation of the likelihood</w:t>
      </w:r>
      <w:r w:rsidR="00656762" w:rsidRPr="000A724B">
        <w:rPr>
          <w:rFonts w:asciiTheme="minorHAnsi" w:hAnsiTheme="minorHAnsi" w:cstheme="minorHAnsi"/>
        </w:rPr>
        <w:t>s</w:t>
      </w:r>
      <w:r w:rsidRPr="000A724B">
        <w:rPr>
          <w:rFonts w:asciiTheme="minorHAnsi" w:hAnsiTheme="minorHAnsi" w:cstheme="minorHAnsi"/>
        </w:rPr>
        <w:t xml:space="preserve"> of the introduction (entry and establishment) and spread</w:t>
      </w:r>
      <w:r w:rsidR="003C09D7" w:rsidRPr="000A724B">
        <w:rPr>
          <w:rFonts w:asciiTheme="minorHAnsi" w:hAnsiTheme="minorHAnsi" w:cstheme="minorHAnsi"/>
        </w:rPr>
        <w:t xml:space="preserve"> </w:t>
      </w:r>
      <w:r w:rsidR="0057414A" w:rsidRPr="000A724B">
        <w:rPr>
          <w:rFonts w:asciiTheme="minorHAnsi" w:hAnsiTheme="minorHAnsi" w:cstheme="minorHAnsi"/>
        </w:rPr>
        <w:t>of a pest (A2.2)</w:t>
      </w:r>
      <w:r w:rsidR="00656762" w:rsidRPr="000A724B">
        <w:rPr>
          <w:rFonts w:asciiTheme="minorHAnsi" w:hAnsiTheme="minorHAnsi" w:cstheme="minorHAnsi"/>
        </w:rPr>
        <w:t>,</w:t>
      </w:r>
      <w:r w:rsidRPr="000A724B">
        <w:rPr>
          <w:rFonts w:asciiTheme="minorHAnsi" w:hAnsiTheme="minorHAnsi" w:cstheme="minorHAnsi"/>
        </w:rPr>
        <w:t xml:space="preserve"> </w:t>
      </w:r>
      <w:r w:rsidR="00656762" w:rsidRPr="000A724B">
        <w:rPr>
          <w:rFonts w:asciiTheme="minorHAnsi" w:hAnsiTheme="minorHAnsi" w:cstheme="minorHAnsi"/>
        </w:rPr>
        <w:t>and</w:t>
      </w:r>
      <w:r w:rsidRPr="000A724B">
        <w:rPr>
          <w:rFonts w:asciiTheme="minorHAnsi" w:hAnsiTheme="minorHAnsi" w:cstheme="minorHAnsi"/>
        </w:rPr>
        <w:t xml:space="preserve"> </w:t>
      </w:r>
      <w:r w:rsidR="0057414A" w:rsidRPr="000A724B">
        <w:rPr>
          <w:rFonts w:asciiTheme="minorHAnsi" w:hAnsiTheme="minorHAnsi" w:cstheme="minorHAnsi"/>
        </w:rPr>
        <w:t xml:space="preserve">evaluation of </w:t>
      </w:r>
      <w:r w:rsidRPr="000A724B">
        <w:rPr>
          <w:rFonts w:asciiTheme="minorHAnsi" w:hAnsiTheme="minorHAnsi" w:cstheme="minorHAnsi"/>
        </w:rPr>
        <w:t>the magnitude of the potential consequences (A2.3).</w:t>
      </w:r>
    </w:p>
    <w:p w14:paraId="0F50D7E7" w14:textId="77777777" w:rsidR="00C40111" w:rsidRDefault="00C40111" w:rsidP="00F85722">
      <w:pPr>
        <w:pStyle w:val="Heading4-Appendix"/>
        <w:numPr>
          <w:ilvl w:val="0"/>
          <w:numId w:val="4"/>
        </w:numPr>
        <w:tabs>
          <w:tab w:val="num" w:pos="720"/>
        </w:tabs>
      </w:pPr>
      <w:r>
        <w:t>Pest categorisation</w:t>
      </w:r>
    </w:p>
    <w:p w14:paraId="2B77674D" w14:textId="77777777"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Pest categorisation examines the pests identified in the initiation stage (A1) to determine which of these pests meet the definition of a quarantine pest and require further pest risk assessment.</w:t>
      </w:r>
    </w:p>
    <w:p w14:paraId="1EC2B929" w14:textId="067CA5F1" w:rsidR="00C40111" w:rsidRPr="000A724B" w:rsidRDefault="00C40111" w:rsidP="00C40111">
      <w:pPr>
        <w:rPr>
          <w:rFonts w:asciiTheme="minorHAnsi" w:hAnsiTheme="minorHAnsi" w:cstheme="minorHAnsi"/>
        </w:rPr>
      </w:pPr>
      <w:bookmarkStart w:id="45" w:name="_Hlk87176742"/>
      <w:r w:rsidRPr="000A724B">
        <w:rPr>
          <w:rFonts w:asciiTheme="minorHAnsi" w:hAnsiTheme="minorHAnsi" w:cstheme="minorHAnsi"/>
        </w:rPr>
        <w:t xml:space="preserve">ISPM 11 </w:t>
      </w:r>
      <w:r w:rsidR="00A36952" w:rsidRPr="000A724B">
        <w:rPr>
          <w:rFonts w:asciiTheme="minorHAnsi" w:hAnsiTheme="minorHAnsi" w:cstheme="minorHAnsi"/>
        </w:rPr>
        <w:t>(FAO 2019b)</w:t>
      </w:r>
      <w:r w:rsidRPr="000A724B">
        <w:rPr>
          <w:rFonts w:asciiTheme="minorHAnsi" w:hAnsiTheme="minorHAnsi" w:cstheme="minorHAnsi"/>
        </w:rPr>
        <w:t xml:space="preserve"> states that '</w:t>
      </w:r>
      <w:r w:rsidRPr="000A724B">
        <w:rPr>
          <w:rFonts w:asciiTheme="minorHAnsi" w:hAnsiTheme="minorHAnsi" w:cstheme="minorHAnsi"/>
          <w:i/>
          <w:iCs/>
        </w:rPr>
        <w:t xml:space="preserve">The opportunity to eliminate an organism or organisms from consideration before in-depth examination is undertaken is a valuable characteristic of the categorisation process. An advantage of pest categorisation is that it can be done with relatively little information; </w:t>
      </w:r>
      <w:proofErr w:type="gramStart"/>
      <w:r w:rsidRPr="000A724B">
        <w:rPr>
          <w:rFonts w:asciiTheme="minorHAnsi" w:hAnsiTheme="minorHAnsi" w:cstheme="minorHAnsi"/>
          <w:i/>
          <w:iCs/>
        </w:rPr>
        <w:t>however</w:t>
      </w:r>
      <w:proofErr w:type="gramEnd"/>
      <w:r w:rsidRPr="000A724B">
        <w:rPr>
          <w:rFonts w:asciiTheme="minorHAnsi" w:hAnsiTheme="minorHAnsi" w:cstheme="minorHAnsi"/>
          <w:i/>
          <w:iCs/>
        </w:rPr>
        <w:t xml:space="preserve"> information should be sufficient to adequately carry out the categorisation</w:t>
      </w:r>
      <w:r w:rsidRPr="000A724B">
        <w:rPr>
          <w:rFonts w:asciiTheme="minorHAnsi" w:hAnsiTheme="minorHAnsi" w:cstheme="minorHAnsi"/>
        </w:rPr>
        <w:t xml:space="preserve">'. In line with ISPM 11, the department utilises the pest categorisation step to screen out some pests from further consideration where appropriate. For each pest that is not present in Australia, or is present but under official control, the department assesses its potential to enter (importation and distribution) on the pathway being assessed and, if having potential to enter, its potential to establish and spread in the PRA area. For a pest to cause economic consequences, the pest will need to enter, establish and spread in the PRA area. Therefore, pests that do not have potential to enter on the pathway being </w:t>
      </w:r>
      <w:proofErr w:type="gramStart"/>
      <w:r w:rsidRPr="000A724B">
        <w:rPr>
          <w:rFonts w:asciiTheme="minorHAnsi" w:hAnsiTheme="minorHAnsi" w:cstheme="minorHAnsi"/>
        </w:rPr>
        <w:t>assessed, or</w:t>
      </w:r>
      <w:proofErr w:type="gramEnd"/>
      <w:r w:rsidRPr="000A724B">
        <w:rPr>
          <w:rFonts w:asciiTheme="minorHAnsi" w:hAnsiTheme="minorHAnsi" w:cstheme="minorHAnsi"/>
        </w:rPr>
        <w:t xml:space="preserve"> have potential to enter but do not have potential to establish and spread in the PRA area, are not considered further. The potential for economic consequences is then </w:t>
      </w:r>
      <w:r w:rsidRPr="000A724B">
        <w:rPr>
          <w:rFonts w:asciiTheme="minorHAnsi" w:hAnsiTheme="minorHAnsi" w:cstheme="minorHAnsi"/>
        </w:rPr>
        <w:lastRenderedPageBreak/>
        <w:t>assessed for pests that have potential to enter, establish and spread in the PRA area. Further pest risk assessments are then undertaken for pests that have potential to cause economic consequences, i.e., pests that meet the criteria for a quarantine pest.</w:t>
      </w:r>
    </w:p>
    <w:p w14:paraId="2F46189C" w14:textId="77777777" w:rsidR="00C40111" w:rsidRPr="000A724B" w:rsidRDefault="00C40111" w:rsidP="00C40111">
      <w:pPr>
        <w:spacing w:before="120" w:after="120"/>
        <w:rPr>
          <w:rFonts w:asciiTheme="minorHAnsi" w:hAnsiTheme="minorHAnsi" w:cstheme="minorHAnsi"/>
        </w:rPr>
      </w:pPr>
      <w:r w:rsidRPr="000A724B">
        <w:rPr>
          <w:rFonts w:asciiTheme="minorHAnsi" w:hAnsiTheme="minorHAnsi" w:cstheme="minorHAnsi"/>
        </w:rPr>
        <w:t xml:space="preserve">Pest categorisation uses the following primary elements to identify the quarantine pests </w:t>
      </w:r>
      <w:r w:rsidRPr="000A724B">
        <w:rPr>
          <w:rFonts w:asciiTheme="minorHAnsi" w:hAnsiTheme="minorHAnsi" w:cstheme="minorHAnsi"/>
          <w:color w:val="000000" w:themeColor="text1"/>
        </w:rPr>
        <w:t xml:space="preserve">and to screen out some pests from further consideration where appropriate </w:t>
      </w:r>
      <w:r w:rsidRPr="000A724B">
        <w:rPr>
          <w:rFonts w:asciiTheme="minorHAnsi" w:hAnsiTheme="minorHAnsi" w:cstheme="minorHAnsi"/>
        </w:rPr>
        <w:t xml:space="preserve">for the pathway </w:t>
      </w:r>
      <w:r w:rsidRPr="000A724B">
        <w:rPr>
          <w:rFonts w:asciiTheme="minorHAnsi" w:hAnsiTheme="minorHAnsi" w:cstheme="minorHAnsi"/>
          <w:color w:val="000000" w:themeColor="text1"/>
        </w:rPr>
        <w:t>being assessed:</w:t>
      </w:r>
    </w:p>
    <w:bookmarkEnd w:id="45"/>
    <w:p w14:paraId="2F2AF3C9"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presence or absence and regulatory status in the PRA area</w:t>
      </w:r>
    </w:p>
    <w:p w14:paraId="1DD73B11"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potential for entry, establishment and spread in the PRA area</w:t>
      </w:r>
    </w:p>
    <w:p w14:paraId="6501B4DE" w14:textId="77777777" w:rsidR="00C40111" w:rsidRPr="000A724B" w:rsidRDefault="00C40111" w:rsidP="00C40111">
      <w:pPr>
        <w:pStyle w:val="ListBullet"/>
        <w:rPr>
          <w:rFonts w:asciiTheme="minorHAnsi" w:hAnsiTheme="minorHAnsi" w:cstheme="minorHAnsi"/>
          <w:color w:val="000000" w:themeColor="text1"/>
        </w:rPr>
      </w:pPr>
      <w:bookmarkStart w:id="46" w:name="_Hlk87178230"/>
      <w:r w:rsidRPr="000A724B">
        <w:rPr>
          <w:rFonts w:asciiTheme="minorHAnsi" w:hAnsiTheme="minorHAnsi" w:cstheme="minorHAnsi"/>
          <w:color w:val="000000" w:themeColor="text1"/>
        </w:rPr>
        <w:t>potential for economic consequences in the PRA area</w:t>
      </w:r>
      <w:bookmarkEnd w:id="46"/>
      <w:r w:rsidRPr="000A724B">
        <w:rPr>
          <w:rFonts w:asciiTheme="minorHAnsi" w:hAnsiTheme="minorHAnsi" w:cstheme="minorHAnsi"/>
          <w:color w:val="000000" w:themeColor="text1"/>
        </w:rPr>
        <w:t>.</w:t>
      </w:r>
    </w:p>
    <w:p w14:paraId="0D84A39C" w14:textId="77777777" w:rsidR="00C40111" w:rsidRDefault="00C40111" w:rsidP="00F85722">
      <w:pPr>
        <w:pStyle w:val="Heading4-Appendix"/>
        <w:numPr>
          <w:ilvl w:val="0"/>
          <w:numId w:val="4"/>
        </w:numPr>
        <w:tabs>
          <w:tab w:val="num" w:pos="720"/>
        </w:tabs>
      </w:pPr>
      <w:r>
        <w:t>Assessment of the likelihood of entry, establishment and spread</w:t>
      </w:r>
    </w:p>
    <w:p w14:paraId="34854DEC" w14:textId="01EA3D13"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ISPM 11 </w:t>
      </w:r>
      <w:r w:rsidR="00A36952" w:rsidRPr="000A724B">
        <w:rPr>
          <w:rFonts w:asciiTheme="minorHAnsi" w:hAnsiTheme="minorHAnsi" w:cstheme="minorHAnsi"/>
        </w:rPr>
        <w:t>(FAO 2019b)</w:t>
      </w:r>
      <w:r w:rsidRPr="000A724B">
        <w:rPr>
          <w:rFonts w:asciiTheme="minorHAnsi" w:hAnsiTheme="minorHAnsi" w:cstheme="minorHAnsi"/>
        </w:rPr>
        <w:t xml:space="preserve"> provides details of how to assess the ‘probability of entry’, ‘probability of establishment’ and ‘probability of spread’ of a pest. The SPS Agreement </w:t>
      </w:r>
      <w:r w:rsidR="005B252B" w:rsidRPr="000A724B">
        <w:rPr>
          <w:rFonts w:asciiTheme="minorHAnsi" w:hAnsiTheme="minorHAnsi" w:cstheme="minorHAnsi"/>
        </w:rPr>
        <w:t>(</w:t>
      </w:r>
      <w:r w:rsidRPr="000A724B">
        <w:rPr>
          <w:rFonts w:asciiTheme="minorHAnsi" w:hAnsiTheme="minorHAnsi" w:cstheme="minorHAnsi"/>
        </w:rPr>
        <w:t>WTO 1995</w:t>
      </w:r>
      <w:r w:rsidR="005B252B" w:rsidRPr="000A724B">
        <w:rPr>
          <w:rFonts w:asciiTheme="minorHAnsi" w:hAnsiTheme="minorHAnsi" w:cstheme="minorHAnsi"/>
        </w:rPr>
        <w:t>)</w:t>
      </w:r>
      <w:r w:rsidRPr="000A724B">
        <w:rPr>
          <w:rFonts w:asciiTheme="minorHAnsi" w:hAnsiTheme="minorHAnsi" w:cstheme="minorHAnsi"/>
        </w:rPr>
        <w:t xml:space="preserve"> uses the term ‘likelihood’ rather than ‘probability’ for these estimates. In qualitative PRAs, the department uses the term ‘likelihood’ as the descriptor. The use of the term ‘probability’ is limited to the direct quotation of ISPM definitions.</w:t>
      </w:r>
    </w:p>
    <w:p w14:paraId="790B1DB0"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A summary of the assessment process is given here, followed by a description of the qualitative methodology used in this risk analysis.</w:t>
      </w:r>
    </w:p>
    <w:p w14:paraId="3A7EE9AA" w14:textId="77777777" w:rsidR="00C40111" w:rsidRPr="00CA1531" w:rsidRDefault="00C40111" w:rsidP="00F85722">
      <w:pPr>
        <w:pStyle w:val="Heading5-Appendix"/>
        <w:numPr>
          <w:ilvl w:val="0"/>
          <w:numId w:val="6"/>
        </w:numPr>
        <w:ind w:left="357" w:hanging="357"/>
      </w:pPr>
      <w:r w:rsidRPr="00CA1531">
        <w:t>Likelihood of entry</w:t>
      </w:r>
    </w:p>
    <w:p w14:paraId="31D6FAFF"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The likelihood of entry describes the likelihood that a quarantine pest will enter Australia </w:t>
      </w:r>
      <w:r w:rsidRPr="000A724B">
        <w:rPr>
          <w:rFonts w:asciiTheme="minorHAnsi" w:hAnsiTheme="minorHAnsi" w:cstheme="minorHAnsi"/>
          <w:color w:val="000000" w:themeColor="text1"/>
        </w:rPr>
        <w:t>when</w:t>
      </w:r>
      <w:r w:rsidRPr="000A724B">
        <w:rPr>
          <w:rFonts w:asciiTheme="minorHAnsi" w:hAnsiTheme="minorHAnsi" w:cstheme="minorHAnsi"/>
          <w:strike/>
        </w:rPr>
        <w:t xml:space="preserve"> </w:t>
      </w:r>
      <w:r w:rsidRPr="000A724B">
        <w:rPr>
          <w:rFonts w:asciiTheme="minorHAnsi" w:hAnsiTheme="minorHAnsi" w:cstheme="minorHAnsi"/>
        </w:rPr>
        <w:t xml:space="preserve">a given commodity </w:t>
      </w:r>
      <w:r w:rsidRPr="000A724B">
        <w:rPr>
          <w:rFonts w:asciiTheme="minorHAnsi" w:hAnsiTheme="minorHAnsi" w:cstheme="minorHAnsi"/>
          <w:color w:val="000000" w:themeColor="text1"/>
        </w:rPr>
        <w:t>is imported</w:t>
      </w:r>
      <w:r w:rsidRPr="000A724B">
        <w:rPr>
          <w:rFonts w:asciiTheme="minorHAnsi" w:hAnsiTheme="minorHAnsi" w:cstheme="minorHAnsi"/>
        </w:rPr>
        <w:t>, be distributed in a viable state in the PRA area and subsequently be transferred to a host.</w:t>
      </w:r>
    </w:p>
    <w:p w14:paraId="1F67D31E"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For the purpose of considering the likelihood of entry, the department divides this step into 2 components:</w:t>
      </w:r>
    </w:p>
    <w:p w14:paraId="6D1AEE80" w14:textId="239CF18D" w:rsidR="00C40111" w:rsidRPr="000A724B" w:rsidRDefault="00C40111" w:rsidP="00C40111">
      <w:pPr>
        <w:pStyle w:val="ListBullet"/>
        <w:jc w:val="both"/>
        <w:rPr>
          <w:rFonts w:asciiTheme="minorHAnsi" w:hAnsiTheme="minorHAnsi" w:cstheme="minorHAnsi"/>
        </w:rPr>
      </w:pPr>
      <w:r w:rsidRPr="000A724B">
        <w:rPr>
          <w:rStyle w:val="Strong"/>
          <w:rFonts w:asciiTheme="minorHAnsi" w:hAnsiTheme="minorHAnsi" w:cstheme="minorHAnsi"/>
        </w:rPr>
        <w:t xml:space="preserve">Likelihood of </w:t>
      </w:r>
      <w:bookmarkStart w:id="47" w:name="_Hlk143005285"/>
      <w:r w:rsidR="008D39F0" w:rsidRPr="000A724B">
        <w:rPr>
          <w:rFonts w:asciiTheme="minorHAnsi" w:hAnsiTheme="minorHAnsi" w:cstheme="minorHAnsi"/>
          <w:b/>
          <w:bCs/>
        </w:rPr>
        <w:t xml:space="preserve">importation </w:t>
      </w:r>
      <w:r w:rsidR="008D39F0" w:rsidRPr="000A724B">
        <w:rPr>
          <w:rFonts w:asciiTheme="minorHAnsi" w:hAnsiTheme="minorHAnsi" w:cstheme="minorHAnsi"/>
        </w:rPr>
        <w:t>– the</w:t>
      </w:r>
      <w:r w:rsidR="008D39F0" w:rsidRPr="000A724B">
        <w:rPr>
          <w:rFonts w:asciiTheme="minorHAnsi" w:hAnsiTheme="minorHAnsi" w:cstheme="minorHAnsi"/>
          <w:b/>
          <w:bCs/>
        </w:rPr>
        <w:t xml:space="preserve"> </w:t>
      </w:r>
      <w:bookmarkEnd w:id="47"/>
      <w:r w:rsidRPr="000A724B">
        <w:rPr>
          <w:rFonts w:asciiTheme="minorHAnsi" w:hAnsiTheme="minorHAnsi" w:cstheme="minorHAnsi"/>
        </w:rPr>
        <w:t>likelihood that a pest will arrive in Australia in a viable state when a given commodity is imported</w:t>
      </w:r>
    </w:p>
    <w:p w14:paraId="3D3CA514" w14:textId="7A9D192F" w:rsidR="00C40111" w:rsidRPr="000A724B" w:rsidRDefault="00C40111" w:rsidP="00C40111">
      <w:pPr>
        <w:pStyle w:val="ListBullet"/>
        <w:jc w:val="both"/>
        <w:rPr>
          <w:rFonts w:asciiTheme="minorHAnsi" w:hAnsiTheme="minorHAnsi" w:cstheme="minorHAnsi"/>
        </w:rPr>
      </w:pPr>
      <w:r w:rsidRPr="000A724B">
        <w:rPr>
          <w:rStyle w:val="Strong"/>
          <w:rFonts w:asciiTheme="minorHAnsi" w:hAnsiTheme="minorHAnsi" w:cstheme="minorHAnsi"/>
        </w:rPr>
        <w:t xml:space="preserve">Likelihood of </w:t>
      </w:r>
      <w:bookmarkStart w:id="48" w:name="_Hlk143005303"/>
      <w:r w:rsidR="008D39F0" w:rsidRPr="000A724B">
        <w:rPr>
          <w:rFonts w:asciiTheme="minorHAnsi" w:hAnsiTheme="minorHAnsi" w:cstheme="minorHAnsi"/>
          <w:b/>
          <w:bCs/>
        </w:rPr>
        <w:t xml:space="preserve">distribution </w:t>
      </w:r>
      <w:r w:rsidR="008D39F0" w:rsidRPr="000A724B">
        <w:rPr>
          <w:rFonts w:asciiTheme="minorHAnsi" w:hAnsiTheme="minorHAnsi" w:cstheme="minorHAnsi"/>
        </w:rPr>
        <w:t>– the</w:t>
      </w:r>
      <w:r w:rsidR="008D39F0" w:rsidRPr="000A724B">
        <w:rPr>
          <w:rFonts w:asciiTheme="minorHAnsi" w:hAnsiTheme="minorHAnsi" w:cstheme="minorHAnsi"/>
          <w:b/>
          <w:bCs/>
        </w:rPr>
        <w:t xml:space="preserve"> </w:t>
      </w:r>
      <w:bookmarkEnd w:id="48"/>
      <w:r w:rsidRPr="000A724B">
        <w:rPr>
          <w:rFonts w:asciiTheme="minorHAnsi" w:hAnsiTheme="minorHAnsi" w:cstheme="minorHAnsi"/>
        </w:rPr>
        <w:t>likelihood that the pest will be distributed in a viable state, as a result of the processing, sale or disposal of the commodity, in the PRA area and subsequently transfer to a susceptible part of a host.</w:t>
      </w:r>
    </w:p>
    <w:p w14:paraId="5A95BE6A"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Factors to be considered in the likelihood of importation may include:</w:t>
      </w:r>
    </w:p>
    <w:p w14:paraId="3DB6D3A8"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likelihood of the pest being associated with the pathway at origin</w:t>
      </w:r>
    </w:p>
    <w:p w14:paraId="29E2A422"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prevalence of the pest in the source area</w:t>
      </w:r>
    </w:p>
    <w:p w14:paraId="76BF667E"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occurrence of the pest in a life-stage that would be associated with the commodity</w:t>
      </w:r>
    </w:p>
    <w:p w14:paraId="27CBEE2E"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mode of trade (for example, bulk, packed)</w:t>
      </w:r>
    </w:p>
    <w:p w14:paraId="557D1EAB"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volume and frequency of movement along each pathway</w:t>
      </w:r>
    </w:p>
    <w:p w14:paraId="3C0E7CA9"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seasonal timing of imports</w:t>
      </w:r>
    </w:p>
    <w:p w14:paraId="12D12083"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pest management, cultural and commercial procedures applied at the place of origin (for example, application of plant protection products, handling, culling, and grading)</w:t>
      </w:r>
    </w:p>
    <w:p w14:paraId="7BD8EF25"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lastRenderedPageBreak/>
        <w:t>likelihood of survival of the pest during transport or storage</w:t>
      </w:r>
    </w:p>
    <w:p w14:paraId="4C5B4910"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speed and conditions of transport and duration and conditions of storage compared with the duration of the life cycle of the pest</w:t>
      </w:r>
    </w:p>
    <w:p w14:paraId="650ED6EF"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vulnerability of the life-stages of the pest during transport or storage</w:t>
      </w:r>
    </w:p>
    <w:p w14:paraId="05586CCA"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prevalence of the pest likely to be associated with a consignment</w:t>
      </w:r>
    </w:p>
    <w:p w14:paraId="2C522C51"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commercial procedures (for example, refrigeration) applied to consignments during transport and storage in the country of origin, and during transport to Australia</w:t>
      </w:r>
    </w:p>
    <w:p w14:paraId="677AFC56"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likelihood of pest surviving existing pest management procedures.</w:t>
      </w:r>
    </w:p>
    <w:p w14:paraId="742F5212"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Factors to be considered in the likelihood of distribution may include:</w:t>
      </w:r>
    </w:p>
    <w:p w14:paraId="566C6CC8"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commercial procedures (for example, refrigeration) applied to consignments during distribution in Australia</w:t>
      </w:r>
    </w:p>
    <w:p w14:paraId="18961265"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dispersal mechanisms of the pest, including vectors, to allow movement from the pathway to a suitable host</w:t>
      </w:r>
    </w:p>
    <w:p w14:paraId="504C6915"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whether the imported commodity is to be sent to a few or many destination points in the PRA area</w:t>
      </w:r>
    </w:p>
    <w:p w14:paraId="1E6833E8"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proximity of entry, transit and destination points to suitable hosts</w:t>
      </w:r>
    </w:p>
    <w:p w14:paraId="1E9C06A0"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time of year at which import takes place</w:t>
      </w:r>
    </w:p>
    <w:p w14:paraId="62B6FC91"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intended use of the commodity (for example, for planting, processing or consumption)</w:t>
      </w:r>
    </w:p>
    <w:p w14:paraId="21043BB7"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risks from by-products and waste.</w:t>
      </w:r>
    </w:p>
    <w:p w14:paraId="3A73AAAE" w14:textId="77777777" w:rsidR="00C40111" w:rsidRDefault="00C40111" w:rsidP="00F85722">
      <w:pPr>
        <w:pStyle w:val="Heading5-Appendix"/>
        <w:numPr>
          <w:ilvl w:val="0"/>
          <w:numId w:val="6"/>
        </w:numPr>
        <w:tabs>
          <w:tab w:val="num" w:pos="720"/>
        </w:tabs>
        <w:ind w:left="357" w:hanging="357"/>
      </w:pPr>
      <w:r>
        <w:t>Likelihood of establishment</w:t>
      </w:r>
    </w:p>
    <w:p w14:paraId="0267AED4" w14:textId="65512C75"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Establishment is defined as the ‘perpetuation for the foreseeable future, of a pest within an area after entry’ </w:t>
      </w:r>
      <w:r w:rsidR="00D14268" w:rsidRPr="000A724B">
        <w:rPr>
          <w:rFonts w:asciiTheme="minorHAnsi" w:hAnsiTheme="minorHAnsi" w:cstheme="minorHAnsi"/>
        </w:rPr>
        <w:t>(</w:t>
      </w:r>
      <w:r w:rsidR="00044E22">
        <w:rPr>
          <w:rFonts w:asciiTheme="minorHAnsi" w:hAnsiTheme="minorHAnsi" w:cstheme="minorHAnsi"/>
        </w:rPr>
        <w:t>FAO 2024</w:t>
      </w:r>
      <w:r w:rsidR="00D14268" w:rsidRPr="000A724B">
        <w:rPr>
          <w:rFonts w:asciiTheme="minorHAnsi" w:hAnsiTheme="minorHAnsi" w:cstheme="minorHAnsi"/>
        </w:rPr>
        <w:t>)</w:t>
      </w:r>
      <w:r w:rsidRPr="000A724B">
        <w:rPr>
          <w:rFonts w:asciiTheme="minorHAnsi" w:hAnsiTheme="minorHAnsi" w:cstheme="minorHAnsi"/>
        </w:rPr>
        <w:t>. In order to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14:paraId="5EAAB7C8"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Factors to be considered in the likelihood of establishment in the PRA area may include:</w:t>
      </w:r>
    </w:p>
    <w:p w14:paraId="56595969"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availability of suitable hosts, alternate hosts and vectors in the PRA areas</w:t>
      </w:r>
    </w:p>
    <w:p w14:paraId="3CC7F540"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prevalence of hosts and alternate hosts in the PRA area</w:t>
      </w:r>
    </w:p>
    <w:p w14:paraId="5E186580"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whether hosts and alternate hosts occur within sufficient geographic proximity to allow the pest to complete its life cycle</w:t>
      </w:r>
    </w:p>
    <w:p w14:paraId="68FAC3C0"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whether there are other plant species, which could prove to be suitable hosts in the absence of usual host species</w:t>
      </w:r>
    </w:p>
    <w:p w14:paraId="77349E4C"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whether a vector, if needed for dispersal of the pest, is already present in the PRA area or likely to be introduced</w:t>
      </w:r>
    </w:p>
    <w:p w14:paraId="38A9CBFC"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suitability of environment in the PRA area</w:t>
      </w:r>
    </w:p>
    <w:p w14:paraId="65035E7B"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 xml:space="preserve">factors in the environment in the PRA area (for example, suitability of climate, soil, pest and host competition) that are critical to the development of the pest, its host and if </w:t>
      </w:r>
      <w:r w:rsidRPr="000A724B">
        <w:rPr>
          <w:rFonts w:asciiTheme="minorHAnsi" w:hAnsiTheme="minorHAnsi" w:cstheme="minorHAnsi"/>
        </w:rPr>
        <w:lastRenderedPageBreak/>
        <w:t>applicable its vector, and to their ability to survive periods of climatic stress and complete their life cycles</w:t>
      </w:r>
    </w:p>
    <w:p w14:paraId="4D4C9004"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cultural practices and control measures in the PRA area that may influence the ability of the pest to establish</w:t>
      </w:r>
    </w:p>
    <w:p w14:paraId="0D3DC28C" w14:textId="77777777" w:rsidR="00C40111" w:rsidRPr="000A724B" w:rsidRDefault="00C40111" w:rsidP="00C40111">
      <w:pPr>
        <w:pStyle w:val="ListBullet"/>
        <w:ind w:left="737"/>
        <w:rPr>
          <w:rFonts w:asciiTheme="minorHAnsi" w:hAnsiTheme="minorHAnsi" w:cstheme="minorHAnsi"/>
        </w:rPr>
      </w:pPr>
      <w:r w:rsidRPr="000A724B">
        <w:rPr>
          <w:rFonts w:asciiTheme="minorHAnsi" w:hAnsiTheme="minorHAnsi" w:cstheme="minorHAnsi"/>
        </w:rPr>
        <w:t>other characteristics of the pest</w:t>
      </w:r>
    </w:p>
    <w:p w14:paraId="155D2737"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reproductive strategy of the pest and method of pest survival</w:t>
      </w:r>
    </w:p>
    <w:p w14:paraId="31B61EDB"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potential for adaptation of the pest</w:t>
      </w:r>
    </w:p>
    <w:p w14:paraId="32CA820A" w14:textId="77777777" w:rsidR="00C40111" w:rsidRPr="000A724B" w:rsidRDefault="00C40111" w:rsidP="00F85722">
      <w:pPr>
        <w:pStyle w:val="ListBullet2"/>
        <w:numPr>
          <w:ilvl w:val="1"/>
          <w:numId w:val="1"/>
        </w:numPr>
        <w:tabs>
          <w:tab w:val="clear" w:pos="643"/>
          <w:tab w:val="num" w:pos="794"/>
        </w:tabs>
        <w:ind w:left="1077" w:hanging="397"/>
        <w:rPr>
          <w:rFonts w:asciiTheme="minorHAnsi" w:hAnsiTheme="minorHAnsi" w:cstheme="minorHAnsi"/>
        </w:rPr>
      </w:pPr>
      <w:r w:rsidRPr="000A724B">
        <w:rPr>
          <w:rFonts w:asciiTheme="minorHAnsi" w:hAnsiTheme="minorHAnsi" w:cstheme="minorHAnsi"/>
        </w:rPr>
        <w:t>minimum population needed for establishment.</w:t>
      </w:r>
    </w:p>
    <w:p w14:paraId="1DEB823E" w14:textId="77777777" w:rsidR="00C40111" w:rsidRDefault="00C40111" w:rsidP="00F85722">
      <w:pPr>
        <w:pStyle w:val="Heading5-Appendix"/>
        <w:numPr>
          <w:ilvl w:val="0"/>
          <w:numId w:val="6"/>
        </w:numPr>
        <w:tabs>
          <w:tab w:val="num" w:pos="720"/>
        </w:tabs>
        <w:ind w:left="357" w:hanging="357"/>
      </w:pPr>
      <w:r>
        <w:t>Likelihood of spread</w:t>
      </w:r>
    </w:p>
    <w:p w14:paraId="6EF0385F" w14:textId="47069AB5"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Spread is defined as ‘the expansion of the geographical distribution of a pest within an area’ </w:t>
      </w:r>
      <w:r w:rsidR="00D14268" w:rsidRPr="000A724B">
        <w:rPr>
          <w:rFonts w:asciiTheme="minorHAnsi" w:hAnsiTheme="minorHAnsi" w:cstheme="minorHAnsi"/>
        </w:rPr>
        <w:t>(</w:t>
      </w:r>
      <w:r w:rsidR="00044E22">
        <w:rPr>
          <w:rFonts w:asciiTheme="minorHAnsi" w:hAnsiTheme="minorHAnsi" w:cstheme="minorHAnsi"/>
        </w:rPr>
        <w:t>FAO 2024</w:t>
      </w:r>
      <w:r w:rsidR="00D14268" w:rsidRPr="000A724B">
        <w:rPr>
          <w:rFonts w:asciiTheme="minorHAnsi" w:hAnsiTheme="minorHAnsi" w:cstheme="minorHAnsi"/>
        </w:rPr>
        <w:t>)</w:t>
      </w:r>
      <w:r w:rsidRPr="000A724B">
        <w:rPr>
          <w:rFonts w:asciiTheme="minorHAnsi" w:hAnsiTheme="minorHAnsi" w:cstheme="minorHAnsi"/>
        </w:rP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10AF8907"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Factors to be considered in the likelihood of spread may include:</w:t>
      </w:r>
    </w:p>
    <w:p w14:paraId="39289667" w14:textId="77777777" w:rsidR="00C40111" w:rsidRPr="000A724B" w:rsidRDefault="00C40111" w:rsidP="00C40111">
      <w:pPr>
        <w:pStyle w:val="ListBullet"/>
        <w:ind w:left="737"/>
        <w:jc w:val="both"/>
        <w:rPr>
          <w:rFonts w:asciiTheme="minorHAnsi" w:hAnsiTheme="minorHAnsi" w:cstheme="minorHAnsi"/>
        </w:rPr>
      </w:pPr>
      <w:r w:rsidRPr="000A724B">
        <w:rPr>
          <w:rFonts w:asciiTheme="minorHAnsi" w:hAnsiTheme="minorHAnsi" w:cstheme="minorHAnsi"/>
        </w:rPr>
        <w:t>suitability of the natural and/or managed environment for natural spread of the pest</w:t>
      </w:r>
    </w:p>
    <w:p w14:paraId="651EC47C" w14:textId="77777777" w:rsidR="00C40111" w:rsidRPr="000A724B" w:rsidRDefault="00C40111" w:rsidP="00C40111">
      <w:pPr>
        <w:pStyle w:val="ListBullet"/>
        <w:ind w:left="737"/>
        <w:jc w:val="both"/>
        <w:rPr>
          <w:rFonts w:asciiTheme="minorHAnsi" w:hAnsiTheme="minorHAnsi" w:cstheme="minorHAnsi"/>
        </w:rPr>
      </w:pPr>
      <w:r w:rsidRPr="000A724B">
        <w:rPr>
          <w:rFonts w:asciiTheme="minorHAnsi" w:hAnsiTheme="minorHAnsi" w:cstheme="minorHAnsi"/>
        </w:rPr>
        <w:t>presence of natural barriers</w:t>
      </w:r>
    </w:p>
    <w:p w14:paraId="6864A56E" w14:textId="77777777" w:rsidR="00C40111" w:rsidRPr="000A724B" w:rsidRDefault="00C40111" w:rsidP="00C40111">
      <w:pPr>
        <w:pStyle w:val="ListBullet"/>
        <w:ind w:left="737"/>
        <w:jc w:val="both"/>
        <w:rPr>
          <w:rFonts w:asciiTheme="minorHAnsi" w:hAnsiTheme="minorHAnsi" w:cstheme="minorHAnsi"/>
        </w:rPr>
      </w:pPr>
      <w:r w:rsidRPr="000A724B">
        <w:rPr>
          <w:rFonts w:asciiTheme="minorHAnsi" w:hAnsiTheme="minorHAnsi" w:cstheme="minorHAnsi"/>
        </w:rPr>
        <w:t>potential for movement with commodities, conveyances or by vectors</w:t>
      </w:r>
    </w:p>
    <w:p w14:paraId="782B6BBD" w14:textId="77777777" w:rsidR="00C40111" w:rsidRPr="000A724B" w:rsidRDefault="00C40111" w:rsidP="00C40111">
      <w:pPr>
        <w:pStyle w:val="ListBullet"/>
        <w:ind w:left="737"/>
        <w:jc w:val="both"/>
        <w:rPr>
          <w:rFonts w:asciiTheme="minorHAnsi" w:hAnsiTheme="minorHAnsi" w:cstheme="minorHAnsi"/>
        </w:rPr>
      </w:pPr>
      <w:r w:rsidRPr="000A724B">
        <w:rPr>
          <w:rFonts w:asciiTheme="minorHAnsi" w:hAnsiTheme="minorHAnsi" w:cstheme="minorHAnsi"/>
        </w:rPr>
        <w:t>intended use of the commodity</w:t>
      </w:r>
    </w:p>
    <w:p w14:paraId="34D11863" w14:textId="77777777" w:rsidR="00C40111" w:rsidRPr="000A724B" w:rsidRDefault="00C40111" w:rsidP="00C40111">
      <w:pPr>
        <w:pStyle w:val="ListBullet"/>
        <w:ind w:left="737"/>
        <w:jc w:val="both"/>
        <w:rPr>
          <w:rFonts w:asciiTheme="minorHAnsi" w:hAnsiTheme="minorHAnsi" w:cstheme="minorHAnsi"/>
        </w:rPr>
      </w:pPr>
      <w:r w:rsidRPr="000A724B">
        <w:rPr>
          <w:rFonts w:asciiTheme="minorHAnsi" w:hAnsiTheme="minorHAnsi" w:cstheme="minorHAnsi"/>
        </w:rPr>
        <w:t>potential vectors of the pest in the PRA area</w:t>
      </w:r>
    </w:p>
    <w:p w14:paraId="54A16900" w14:textId="77777777" w:rsidR="00C40111" w:rsidRPr="000A724B" w:rsidRDefault="00C40111" w:rsidP="00C40111">
      <w:pPr>
        <w:pStyle w:val="ListBullet"/>
        <w:ind w:left="737"/>
        <w:jc w:val="both"/>
        <w:rPr>
          <w:rFonts w:asciiTheme="minorHAnsi" w:hAnsiTheme="minorHAnsi" w:cstheme="minorHAnsi"/>
        </w:rPr>
      </w:pPr>
      <w:r w:rsidRPr="000A724B">
        <w:rPr>
          <w:rFonts w:asciiTheme="minorHAnsi" w:hAnsiTheme="minorHAnsi" w:cstheme="minorHAnsi"/>
        </w:rPr>
        <w:t>potential natural enemies of the pest in the PRA area.</w:t>
      </w:r>
    </w:p>
    <w:p w14:paraId="4F461970" w14:textId="77777777" w:rsidR="00C40111" w:rsidRDefault="00C40111" w:rsidP="00F85722">
      <w:pPr>
        <w:pStyle w:val="Heading5-Appendix"/>
        <w:numPr>
          <w:ilvl w:val="0"/>
          <w:numId w:val="6"/>
        </w:numPr>
        <w:tabs>
          <w:tab w:val="num" w:pos="720"/>
        </w:tabs>
        <w:ind w:left="357" w:hanging="357"/>
      </w:pPr>
      <w:r>
        <w:t>Assigning likelihoods for entry, establishment and spread</w:t>
      </w:r>
    </w:p>
    <w:p w14:paraId="4F4AC1DE" w14:textId="6F29127C"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Likelihoods are assigned to each step of entry, establishment and spread. Six qualitative likelihood descriptors are used: High; Moderate; Low; Very Low; Extremely Low; and Negligible. Definitions for these descriptors and their indicative ranges are given in </w:t>
      </w:r>
      <w:r w:rsidRPr="000A724B">
        <w:rPr>
          <w:rFonts w:asciiTheme="minorHAnsi" w:hAnsiTheme="minorHAnsi" w:cstheme="minorHAnsi"/>
        </w:rPr>
        <w:fldChar w:fldCharType="begin"/>
      </w:r>
      <w:r w:rsidRPr="000A724B">
        <w:rPr>
          <w:rFonts w:asciiTheme="minorHAnsi" w:hAnsiTheme="minorHAnsi" w:cstheme="minorHAnsi"/>
        </w:rPr>
        <w:instrText xml:space="preserve"> REF _Ref524354931 \h  \* MERGEFORMAT </w:instrText>
      </w:r>
      <w:r w:rsidRPr="000A724B">
        <w:rPr>
          <w:rFonts w:asciiTheme="minorHAnsi" w:hAnsiTheme="minorHAnsi" w:cstheme="minorHAnsi"/>
        </w:rPr>
      </w:r>
      <w:r w:rsidRPr="000A724B">
        <w:rPr>
          <w:rFonts w:asciiTheme="minorHAnsi" w:hAnsiTheme="minorHAnsi" w:cstheme="minorHAnsi"/>
        </w:rPr>
        <w:fldChar w:fldCharType="separate"/>
      </w:r>
      <w:r w:rsidR="00D07917" w:rsidRPr="000A724B">
        <w:rPr>
          <w:rFonts w:asciiTheme="minorHAnsi" w:hAnsiTheme="minorHAnsi" w:cstheme="minorHAnsi"/>
        </w:rPr>
        <w:t xml:space="preserve">Table </w:t>
      </w:r>
      <w:r w:rsidR="00D07917" w:rsidRPr="000A724B">
        <w:rPr>
          <w:rFonts w:asciiTheme="minorHAnsi" w:hAnsiTheme="minorHAnsi" w:cstheme="minorHAnsi"/>
          <w:noProof/>
        </w:rPr>
        <w:t>A</w:t>
      </w:r>
      <w:r w:rsidR="00D07917" w:rsidRPr="000A724B">
        <w:rPr>
          <w:rFonts w:asciiTheme="minorHAnsi" w:hAnsiTheme="minorHAnsi" w:cstheme="minorHAnsi"/>
        </w:rPr>
        <w:t>.</w:t>
      </w:r>
      <w:r w:rsidR="00D07917">
        <w:rPr>
          <w:rFonts w:asciiTheme="minorHAnsi" w:hAnsiTheme="minorHAnsi" w:cstheme="minorHAnsi"/>
        </w:rPr>
        <w:t>1</w:t>
      </w:r>
      <w:r w:rsidRPr="000A724B">
        <w:rPr>
          <w:rFonts w:asciiTheme="minorHAnsi" w:hAnsiTheme="minorHAnsi" w:cstheme="minorHAnsi"/>
        </w:rPr>
        <w:fldChar w:fldCharType="end"/>
      </w:r>
      <w:r w:rsidRPr="000A724B">
        <w:rPr>
          <w:rFonts w:asciiTheme="minorHAnsi" w:hAnsiTheme="minorHAnsi" w:cstheme="minorHAnsi"/>
        </w:rPr>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01FC35DF" w14:textId="6E06DBF0" w:rsidR="00C40111" w:rsidRPr="000A724B" w:rsidRDefault="00C40111" w:rsidP="00C40111">
      <w:pPr>
        <w:pStyle w:val="Tablecaption"/>
        <w:rPr>
          <w:rFonts w:asciiTheme="minorHAnsi" w:hAnsiTheme="minorHAnsi" w:cstheme="minorHAnsi"/>
        </w:rPr>
      </w:pPr>
      <w:bookmarkStart w:id="49" w:name="_Ref524354931"/>
      <w:bookmarkStart w:id="50" w:name="_Ref457826303"/>
      <w:bookmarkStart w:id="51" w:name="_Toc6906414"/>
      <w:bookmarkStart w:id="52" w:name="_Toc112674176"/>
      <w:bookmarkStart w:id="53" w:name="_Toc216420331"/>
      <w:r w:rsidRPr="000A724B">
        <w:rPr>
          <w:rFonts w:asciiTheme="minorHAnsi" w:hAnsiTheme="minorHAnsi" w:cstheme="minorHAnsi"/>
        </w:rPr>
        <w:t>Table A.</w:t>
      </w:r>
      <w:r w:rsidR="00234947" w:rsidRPr="000A724B">
        <w:rPr>
          <w:rFonts w:asciiTheme="minorHAnsi" w:hAnsiTheme="minorHAnsi" w:cstheme="minorHAnsi"/>
        </w:rPr>
        <w:fldChar w:fldCharType="begin"/>
      </w:r>
      <w:r w:rsidR="00234947" w:rsidRPr="000A724B">
        <w:rPr>
          <w:rFonts w:asciiTheme="minorHAnsi" w:hAnsiTheme="minorHAnsi" w:cstheme="minorHAnsi"/>
        </w:rPr>
        <w:instrText xml:space="preserve"> SEQ Table \* ARABIC \s 2 </w:instrText>
      </w:r>
      <w:r w:rsidR="00234947" w:rsidRPr="000A724B">
        <w:rPr>
          <w:rFonts w:asciiTheme="minorHAnsi" w:hAnsiTheme="minorHAnsi" w:cstheme="minorHAnsi"/>
        </w:rPr>
        <w:fldChar w:fldCharType="separate"/>
      </w:r>
      <w:r w:rsidR="00D07917">
        <w:rPr>
          <w:rFonts w:asciiTheme="minorHAnsi" w:hAnsiTheme="minorHAnsi" w:cstheme="minorHAnsi"/>
          <w:noProof/>
        </w:rPr>
        <w:t>1</w:t>
      </w:r>
      <w:r w:rsidR="00234947" w:rsidRPr="000A724B">
        <w:rPr>
          <w:rFonts w:asciiTheme="minorHAnsi" w:hAnsiTheme="minorHAnsi" w:cstheme="minorHAnsi"/>
        </w:rPr>
        <w:fldChar w:fldCharType="end"/>
      </w:r>
      <w:bookmarkEnd w:id="49"/>
      <w:r w:rsidRPr="000A724B">
        <w:rPr>
          <w:rFonts w:asciiTheme="minorHAnsi" w:hAnsiTheme="minorHAnsi" w:cstheme="minorHAnsi"/>
        </w:rPr>
        <w:t xml:space="preserve"> Nomenclature of likelihoods</w:t>
      </w:r>
      <w:bookmarkEnd w:id="50"/>
      <w:bookmarkEnd w:id="51"/>
      <w:bookmarkEnd w:id="52"/>
      <w:bookmarkEnd w:id="53"/>
    </w:p>
    <w:tbl>
      <w:tblPr>
        <w:tblW w:w="4976" w:type="pct"/>
        <w:tblBorders>
          <w:top w:val="single" w:sz="4" w:space="0" w:color="auto"/>
          <w:bottom w:val="single" w:sz="4" w:space="0" w:color="auto"/>
        </w:tblBorders>
        <w:tblLook w:val="04A0" w:firstRow="1" w:lastRow="0" w:firstColumn="1" w:lastColumn="0" w:noHBand="0" w:noVBand="1"/>
      </w:tblPr>
      <w:tblGrid>
        <w:gridCol w:w="1898"/>
        <w:gridCol w:w="4119"/>
        <w:gridCol w:w="3009"/>
      </w:tblGrid>
      <w:tr w:rsidR="00C40111" w:rsidRPr="000A724B" w14:paraId="33A38A5F" w14:textId="77777777" w:rsidTr="00205EC0">
        <w:tc>
          <w:tcPr>
            <w:tcW w:w="1051" w:type="pct"/>
            <w:tcBorders>
              <w:top w:val="single" w:sz="4" w:space="0" w:color="auto"/>
              <w:bottom w:val="single" w:sz="4" w:space="0" w:color="auto"/>
            </w:tcBorders>
          </w:tcPr>
          <w:p w14:paraId="43AB65C8" w14:textId="77777777" w:rsidR="00C40111" w:rsidRPr="000A724B" w:rsidRDefault="00C40111" w:rsidP="00205EC0">
            <w:pPr>
              <w:pStyle w:val="TableHeading"/>
              <w:rPr>
                <w:rFonts w:asciiTheme="minorHAnsi" w:hAnsiTheme="minorHAnsi" w:cstheme="minorHAnsi"/>
              </w:rPr>
            </w:pPr>
            <w:r w:rsidRPr="000A724B">
              <w:rPr>
                <w:rFonts w:asciiTheme="minorHAnsi" w:hAnsiTheme="minorHAnsi" w:cstheme="minorHAnsi"/>
              </w:rPr>
              <w:t>Likelihood</w:t>
            </w:r>
          </w:p>
        </w:tc>
        <w:tc>
          <w:tcPr>
            <w:tcW w:w="2282" w:type="pct"/>
            <w:tcBorders>
              <w:top w:val="single" w:sz="4" w:space="0" w:color="auto"/>
              <w:bottom w:val="single" w:sz="4" w:space="0" w:color="auto"/>
            </w:tcBorders>
          </w:tcPr>
          <w:p w14:paraId="216C8539" w14:textId="77777777" w:rsidR="00C40111" w:rsidRPr="000A724B" w:rsidRDefault="00C40111" w:rsidP="00205EC0">
            <w:pPr>
              <w:pStyle w:val="TableHeading"/>
              <w:rPr>
                <w:rFonts w:asciiTheme="minorHAnsi" w:hAnsiTheme="minorHAnsi" w:cstheme="minorHAnsi"/>
              </w:rPr>
            </w:pPr>
            <w:r w:rsidRPr="000A724B">
              <w:rPr>
                <w:rFonts w:asciiTheme="minorHAnsi" w:hAnsiTheme="minorHAnsi" w:cstheme="minorHAnsi"/>
              </w:rPr>
              <w:t>Descriptive definition</w:t>
            </w:r>
          </w:p>
        </w:tc>
        <w:tc>
          <w:tcPr>
            <w:tcW w:w="1667" w:type="pct"/>
            <w:tcBorders>
              <w:top w:val="single" w:sz="4" w:space="0" w:color="auto"/>
              <w:bottom w:val="single" w:sz="4" w:space="0" w:color="auto"/>
            </w:tcBorders>
          </w:tcPr>
          <w:p w14:paraId="5B3FA4D6" w14:textId="77777777" w:rsidR="00C40111" w:rsidRPr="000A724B" w:rsidRDefault="00C40111" w:rsidP="00205EC0">
            <w:pPr>
              <w:pStyle w:val="TableHeading"/>
              <w:rPr>
                <w:rFonts w:asciiTheme="minorHAnsi" w:hAnsiTheme="minorHAnsi" w:cstheme="minorHAnsi"/>
              </w:rPr>
            </w:pPr>
            <w:r w:rsidRPr="000A724B">
              <w:rPr>
                <w:rFonts w:asciiTheme="minorHAnsi" w:hAnsiTheme="minorHAnsi" w:cstheme="minorHAnsi"/>
              </w:rPr>
              <w:t>Indicative range</w:t>
            </w:r>
          </w:p>
        </w:tc>
      </w:tr>
      <w:tr w:rsidR="00C40111" w:rsidRPr="000A724B" w14:paraId="00BD8F7B" w14:textId="77777777" w:rsidTr="00205EC0">
        <w:tc>
          <w:tcPr>
            <w:tcW w:w="1051" w:type="pct"/>
            <w:tcBorders>
              <w:top w:val="single" w:sz="4" w:space="0" w:color="auto"/>
            </w:tcBorders>
          </w:tcPr>
          <w:p w14:paraId="2400362E"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High</w:t>
            </w:r>
          </w:p>
        </w:tc>
        <w:tc>
          <w:tcPr>
            <w:tcW w:w="2282" w:type="pct"/>
            <w:tcBorders>
              <w:top w:val="single" w:sz="4" w:space="0" w:color="auto"/>
            </w:tcBorders>
          </w:tcPr>
          <w:p w14:paraId="372B4A1E"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The event would be very likely to occur</w:t>
            </w:r>
          </w:p>
        </w:tc>
        <w:tc>
          <w:tcPr>
            <w:tcW w:w="1667" w:type="pct"/>
            <w:tcBorders>
              <w:top w:val="single" w:sz="4" w:space="0" w:color="auto"/>
            </w:tcBorders>
          </w:tcPr>
          <w:p w14:paraId="12C73EB6"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0.7 &lt; to ≤ 1</w:t>
            </w:r>
          </w:p>
        </w:tc>
      </w:tr>
      <w:tr w:rsidR="00C40111" w:rsidRPr="000A724B" w14:paraId="774B2133" w14:textId="77777777" w:rsidTr="00205EC0">
        <w:tc>
          <w:tcPr>
            <w:tcW w:w="1051" w:type="pct"/>
          </w:tcPr>
          <w:p w14:paraId="0336207A"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Moderate</w:t>
            </w:r>
          </w:p>
        </w:tc>
        <w:tc>
          <w:tcPr>
            <w:tcW w:w="2282" w:type="pct"/>
          </w:tcPr>
          <w:p w14:paraId="4E88A40A"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The event would occur with an even likelihood</w:t>
            </w:r>
          </w:p>
        </w:tc>
        <w:tc>
          <w:tcPr>
            <w:tcW w:w="1667" w:type="pct"/>
          </w:tcPr>
          <w:p w14:paraId="6B09F00D"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0.3 &lt; to ≤ 0.7</w:t>
            </w:r>
          </w:p>
        </w:tc>
      </w:tr>
      <w:tr w:rsidR="00C40111" w:rsidRPr="000A724B" w14:paraId="21AC3D98" w14:textId="77777777" w:rsidTr="00205EC0">
        <w:tc>
          <w:tcPr>
            <w:tcW w:w="1051" w:type="pct"/>
          </w:tcPr>
          <w:p w14:paraId="184592BF"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Low</w:t>
            </w:r>
          </w:p>
        </w:tc>
        <w:tc>
          <w:tcPr>
            <w:tcW w:w="2282" w:type="pct"/>
          </w:tcPr>
          <w:p w14:paraId="401B6E8C"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The event would be unlikely to occur</w:t>
            </w:r>
          </w:p>
        </w:tc>
        <w:tc>
          <w:tcPr>
            <w:tcW w:w="1667" w:type="pct"/>
          </w:tcPr>
          <w:p w14:paraId="776CBD6F"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0.05 &lt; to ≤ 0.3</w:t>
            </w:r>
          </w:p>
        </w:tc>
      </w:tr>
      <w:tr w:rsidR="00C40111" w:rsidRPr="000A724B" w14:paraId="7F311E7B" w14:textId="77777777" w:rsidTr="00205EC0">
        <w:tc>
          <w:tcPr>
            <w:tcW w:w="1051" w:type="pct"/>
          </w:tcPr>
          <w:p w14:paraId="67C3A3D8"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Very Low</w:t>
            </w:r>
          </w:p>
        </w:tc>
        <w:tc>
          <w:tcPr>
            <w:tcW w:w="2282" w:type="pct"/>
          </w:tcPr>
          <w:p w14:paraId="57717513"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The event would be very unlikely to occur</w:t>
            </w:r>
          </w:p>
        </w:tc>
        <w:tc>
          <w:tcPr>
            <w:tcW w:w="1667" w:type="pct"/>
          </w:tcPr>
          <w:p w14:paraId="36A5516A"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0.001 &lt; to ≤ 0.05</w:t>
            </w:r>
          </w:p>
        </w:tc>
      </w:tr>
      <w:tr w:rsidR="00C40111" w:rsidRPr="000A724B" w14:paraId="1BE64CBF" w14:textId="77777777" w:rsidTr="00205EC0">
        <w:tc>
          <w:tcPr>
            <w:tcW w:w="1051" w:type="pct"/>
          </w:tcPr>
          <w:p w14:paraId="1A6B3FC2"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Extremely Low</w:t>
            </w:r>
          </w:p>
        </w:tc>
        <w:tc>
          <w:tcPr>
            <w:tcW w:w="2282" w:type="pct"/>
          </w:tcPr>
          <w:p w14:paraId="1F79BEAF"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The event would be extremely unlikely to occur</w:t>
            </w:r>
          </w:p>
        </w:tc>
        <w:tc>
          <w:tcPr>
            <w:tcW w:w="1667" w:type="pct"/>
          </w:tcPr>
          <w:p w14:paraId="1C9504CF"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0.000001 &lt; to ≤ 0.001</w:t>
            </w:r>
          </w:p>
        </w:tc>
      </w:tr>
      <w:tr w:rsidR="00C40111" w:rsidRPr="000A724B" w14:paraId="3C4354BD" w14:textId="77777777" w:rsidTr="00205EC0">
        <w:tc>
          <w:tcPr>
            <w:tcW w:w="1051" w:type="pct"/>
          </w:tcPr>
          <w:p w14:paraId="6D1B032A"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Negligible</w:t>
            </w:r>
          </w:p>
        </w:tc>
        <w:tc>
          <w:tcPr>
            <w:tcW w:w="2282" w:type="pct"/>
          </w:tcPr>
          <w:p w14:paraId="405562E9"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The event would almost certainly not occur</w:t>
            </w:r>
          </w:p>
        </w:tc>
        <w:tc>
          <w:tcPr>
            <w:tcW w:w="1667" w:type="pct"/>
          </w:tcPr>
          <w:p w14:paraId="26C059D7"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0 &lt; to ≤ 0.000001</w:t>
            </w:r>
          </w:p>
        </w:tc>
      </w:tr>
    </w:tbl>
    <w:p w14:paraId="7E16A302" w14:textId="77777777" w:rsidR="00C40111" w:rsidRDefault="00C40111" w:rsidP="00F85722">
      <w:pPr>
        <w:pStyle w:val="Heading5-Appendix"/>
        <w:numPr>
          <w:ilvl w:val="0"/>
          <w:numId w:val="6"/>
        </w:numPr>
        <w:tabs>
          <w:tab w:val="num" w:pos="720"/>
        </w:tabs>
        <w:ind w:left="357" w:hanging="357"/>
      </w:pPr>
      <w:r>
        <w:lastRenderedPageBreak/>
        <w:t>Combining likelihoods</w:t>
      </w:r>
    </w:p>
    <w:p w14:paraId="45788773" w14:textId="678329C9" w:rsidR="00C40111" w:rsidRPr="000A724B" w:rsidRDefault="00C40111" w:rsidP="00C40111">
      <w:pPr>
        <w:rPr>
          <w:rFonts w:asciiTheme="minorHAnsi" w:hAnsiTheme="minorHAnsi" w:cstheme="minorHAnsi"/>
        </w:rPr>
      </w:pPr>
      <w:r w:rsidRPr="000A724B">
        <w:rPr>
          <w:rFonts w:asciiTheme="minorHAnsi" w:hAnsiTheme="minorHAnsi" w:cstheme="minorHAnsi"/>
        </w:rPr>
        <w:t>The likelihood of entry is determined by combining the likelihood that the pest will be imported into the PRA area and the likelihood that the pest will be distributed within the PRA area, using a matrix of rules (</w:t>
      </w:r>
      <w:r w:rsidRPr="000A724B">
        <w:rPr>
          <w:rFonts w:asciiTheme="minorHAnsi" w:hAnsiTheme="minorHAnsi" w:cstheme="minorHAnsi"/>
        </w:rPr>
        <w:fldChar w:fldCharType="begin"/>
      </w:r>
      <w:r w:rsidRPr="000A724B">
        <w:rPr>
          <w:rFonts w:asciiTheme="minorHAnsi" w:hAnsiTheme="minorHAnsi" w:cstheme="minorHAnsi"/>
        </w:rPr>
        <w:instrText xml:space="preserve"> REF _Ref524354947 \h  \* MERGEFORMAT </w:instrText>
      </w:r>
      <w:r w:rsidRPr="000A724B">
        <w:rPr>
          <w:rFonts w:asciiTheme="minorHAnsi" w:hAnsiTheme="minorHAnsi" w:cstheme="minorHAnsi"/>
        </w:rPr>
      </w:r>
      <w:r w:rsidRPr="000A724B">
        <w:rPr>
          <w:rFonts w:asciiTheme="minorHAnsi" w:hAnsiTheme="minorHAnsi" w:cstheme="minorHAnsi"/>
        </w:rPr>
        <w:fldChar w:fldCharType="separate"/>
      </w:r>
      <w:r w:rsidR="00D07917" w:rsidRPr="000A724B">
        <w:rPr>
          <w:rFonts w:asciiTheme="minorHAnsi" w:hAnsiTheme="minorHAnsi" w:cstheme="minorHAnsi"/>
        </w:rPr>
        <w:t xml:space="preserve">Table </w:t>
      </w:r>
      <w:r w:rsidR="00D07917" w:rsidRPr="000A724B">
        <w:rPr>
          <w:rFonts w:asciiTheme="minorHAnsi" w:hAnsiTheme="minorHAnsi" w:cstheme="minorHAnsi"/>
          <w:noProof/>
        </w:rPr>
        <w:t>A.</w:t>
      </w:r>
      <w:r w:rsidR="00D07917">
        <w:rPr>
          <w:rFonts w:asciiTheme="minorHAnsi" w:hAnsiTheme="minorHAnsi" w:cstheme="minorHAnsi"/>
          <w:noProof/>
        </w:rPr>
        <w:t>2</w:t>
      </w:r>
      <w:r w:rsidRPr="000A724B">
        <w:rPr>
          <w:rFonts w:asciiTheme="minorHAnsi" w:hAnsiTheme="minorHAnsi" w:cstheme="minorHAnsi"/>
        </w:rPr>
        <w:fldChar w:fldCharType="end"/>
      </w:r>
      <w:r w:rsidRPr="000A724B">
        <w:rPr>
          <w:rFonts w:asciiTheme="minorHAnsi" w:hAnsiTheme="minorHAnsi" w:cstheme="minorHAnsi"/>
        </w:rPr>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3BF12D34"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For example, if a descriptor of Low is assigned for the likelihood of importation, Moderate for the likelihood of distribution, High for the likelihood of establishment and Very Low for the likelihood of 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2E600958" w14:textId="77777777" w:rsidR="00C40111" w:rsidRPr="000A724B" w:rsidRDefault="00C40111" w:rsidP="00C40111">
      <w:pPr>
        <w:tabs>
          <w:tab w:val="left" w:pos="4395"/>
        </w:tabs>
        <w:rPr>
          <w:rFonts w:asciiTheme="minorHAnsi" w:hAnsiTheme="minorHAnsi" w:cstheme="minorHAnsi"/>
        </w:rPr>
      </w:pPr>
      <w:r w:rsidRPr="000A724B">
        <w:rPr>
          <w:rFonts w:asciiTheme="minorHAnsi" w:hAnsiTheme="minorHAnsi" w:cstheme="minorHAnsi"/>
        </w:rPr>
        <w:t>importation x distribution = entry [E]</w:t>
      </w:r>
      <w:r w:rsidRPr="000A724B">
        <w:rPr>
          <w:rFonts w:asciiTheme="minorHAnsi" w:hAnsiTheme="minorHAnsi" w:cstheme="minorHAnsi"/>
        </w:rPr>
        <w:tab/>
      </w:r>
      <w:r w:rsidRPr="000A724B">
        <w:rPr>
          <w:rStyle w:val="Strong"/>
          <w:rFonts w:asciiTheme="minorHAnsi" w:hAnsiTheme="minorHAnsi" w:cstheme="minorHAnsi"/>
        </w:rPr>
        <w:t>Low x Moderate = Low</w:t>
      </w:r>
    </w:p>
    <w:p w14:paraId="35534C90" w14:textId="77777777" w:rsidR="00C40111" w:rsidRPr="000A724B" w:rsidRDefault="00C40111" w:rsidP="00C40111">
      <w:pPr>
        <w:tabs>
          <w:tab w:val="left" w:pos="4395"/>
        </w:tabs>
        <w:rPr>
          <w:rFonts w:asciiTheme="minorHAnsi" w:hAnsiTheme="minorHAnsi" w:cstheme="minorHAnsi"/>
        </w:rPr>
      </w:pPr>
      <w:r w:rsidRPr="000A724B">
        <w:rPr>
          <w:rFonts w:asciiTheme="minorHAnsi" w:hAnsiTheme="minorHAnsi" w:cstheme="minorHAnsi"/>
        </w:rPr>
        <w:t>entry x establishment = [EE]</w:t>
      </w:r>
      <w:r w:rsidRPr="000A724B">
        <w:rPr>
          <w:rFonts w:asciiTheme="minorHAnsi" w:hAnsiTheme="minorHAnsi" w:cstheme="minorHAnsi"/>
        </w:rPr>
        <w:tab/>
      </w:r>
      <w:r w:rsidRPr="000A724B">
        <w:rPr>
          <w:rStyle w:val="Strong"/>
          <w:rFonts w:asciiTheme="minorHAnsi" w:hAnsiTheme="minorHAnsi" w:cstheme="minorHAnsi"/>
        </w:rPr>
        <w:t>Low x High = Low</w:t>
      </w:r>
    </w:p>
    <w:p w14:paraId="57ACF0C0" w14:textId="77777777" w:rsidR="00C40111" w:rsidRPr="000A724B" w:rsidRDefault="00C40111" w:rsidP="00C40111">
      <w:pPr>
        <w:tabs>
          <w:tab w:val="left" w:pos="4395"/>
        </w:tabs>
        <w:rPr>
          <w:rStyle w:val="Strong"/>
          <w:rFonts w:asciiTheme="minorHAnsi" w:hAnsiTheme="minorHAnsi" w:cstheme="minorHAnsi"/>
        </w:rPr>
      </w:pPr>
      <w:r w:rsidRPr="000A724B">
        <w:rPr>
          <w:rFonts w:asciiTheme="minorHAnsi" w:hAnsiTheme="minorHAnsi" w:cstheme="minorHAnsi"/>
        </w:rPr>
        <w:t>[EE] x spread = [EES]</w:t>
      </w:r>
      <w:r w:rsidRPr="000A724B">
        <w:rPr>
          <w:rFonts w:asciiTheme="minorHAnsi" w:hAnsiTheme="minorHAnsi" w:cstheme="minorHAnsi"/>
        </w:rPr>
        <w:tab/>
      </w:r>
      <w:r w:rsidRPr="000A724B">
        <w:rPr>
          <w:rStyle w:val="Strong"/>
          <w:rFonts w:asciiTheme="minorHAnsi" w:hAnsiTheme="minorHAnsi" w:cstheme="minorHAnsi"/>
        </w:rPr>
        <w:t>Low x Very Low = Very Low</w:t>
      </w:r>
    </w:p>
    <w:p w14:paraId="209CD7AF" w14:textId="2F5F75E3" w:rsidR="00C40111" w:rsidRPr="000A724B" w:rsidRDefault="00C40111" w:rsidP="00C40111">
      <w:pPr>
        <w:pStyle w:val="Tablecaption"/>
        <w:rPr>
          <w:rFonts w:asciiTheme="minorHAnsi" w:hAnsiTheme="minorHAnsi" w:cstheme="minorHAnsi"/>
        </w:rPr>
      </w:pPr>
      <w:bookmarkStart w:id="54" w:name="_Ref524354947"/>
      <w:bookmarkStart w:id="55" w:name="_Ref457826328"/>
      <w:bookmarkStart w:id="56" w:name="_Toc6906415"/>
      <w:bookmarkStart w:id="57" w:name="_Toc112674177"/>
      <w:bookmarkStart w:id="58" w:name="_Toc216420332"/>
      <w:r w:rsidRPr="000A724B">
        <w:rPr>
          <w:rFonts w:asciiTheme="minorHAnsi" w:hAnsiTheme="minorHAnsi" w:cstheme="minorHAnsi"/>
        </w:rPr>
        <w:t>Table A.</w:t>
      </w:r>
      <w:r w:rsidR="00234947" w:rsidRPr="000A724B">
        <w:rPr>
          <w:rFonts w:asciiTheme="minorHAnsi" w:hAnsiTheme="minorHAnsi" w:cstheme="minorHAnsi"/>
        </w:rPr>
        <w:fldChar w:fldCharType="begin"/>
      </w:r>
      <w:r w:rsidR="00234947" w:rsidRPr="000A724B">
        <w:rPr>
          <w:rFonts w:asciiTheme="minorHAnsi" w:hAnsiTheme="minorHAnsi" w:cstheme="minorHAnsi"/>
        </w:rPr>
        <w:instrText xml:space="preserve"> SEQ Table \* ARABIC \s 2 </w:instrText>
      </w:r>
      <w:r w:rsidR="00234947" w:rsidRPr="000A724B">
        <w:rPr>
          <w:rFonts w:asciiTheme="minorHAnsi" w:hAnsiTheme="minorHAnsi" w:cstheme="minorHAnsi"/>
        </w:rPr>
        <w:fldChar w:fldCharType="separate"/>
      </w:r>
      <w:r w:rsidR="00D07917">
        <w:rPr>
          <w:rFonts w:asciiTheme="minorHAnsi" w:hAnsiTheme="minorHAnsi" w:cstheme="minorHAnsi"/>
          <w:noProof/>
        </w:rPr>
        <w:t>2</w:t>
      </w:r>
      <w:r w:rsidR="00234947" w:rsidRPr="000A724B">
        <w:rPr>
          <w:rFonts w:asciiTheme="minorHAnsi" w:hAnsiTheme="minorHAnsi" w:cstheme="minorHAnsi"/>
        </w:rPr>
        <w:fldChar w:fldCharType="end"/>
      </w:r>
      <w:bookmarkEnd w:id="54"/>
      <w:r w:rsidRPr="000A724B">
        <w:rPr>
          <w:rFonts w:asciiTheme="minorHAnsi" w:hAnsiTheme="minorHAnsi" w:cstheme="minorHAnsi"/>
        </w:rPr>
        <w:t xml:space="preserve"> Matrix of rules for combining likelihoods</w:t>
      </w:r>
      <w:bookmarkEnd w:id="55"/>
      <w:bookmarkEnd w:id="56"/>
      <w:bookmarkEnd w:id="57"/>
      <w:bookmarkEnd w:id="58"/>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264"/>
        <w:gridCol w:w="1298"/>
        <w:gridCol w:w="1298"/>
        <w:gridCol w:w="1298"/>
        <w:gridCol w:w="1298"/>
        <w:gridCol w:w="1298"/>
        <w:gridCol w:w="1296"/>
      </w:tblGrid>
      <w:tr w:rsidR="00C40111" w:rsidRPr="000A724B" w14:paraId="7B80AC8D" w14:textId="77777777" w:rsidTr="00205EC0">
        <w:trPr>
          <w:cantSplit/>
          <w:trHeight w:val="75"/>
        </w:trPr>
        <w:tc>
          <w:tcPr>
            <w:tcW w:w="698" w:type="pct"/>
            <w:tcBorders>
              <w:top w:val="single" w:sz="8" w:space="0" w:color="auto"/>
              <w:left w:val="single" w:sz="8" w:space="0" w:color="auto"/>
              <w:bottom w:val="nil"/>
              <w:right w:val="nil"/>
              <w:tl2br w:val="single" w:sz="4" w:space="0" w:color="C0C0C0"/>
            </w:tcBorders>
          </w:tcPr>
          <w:p w14:paraId="3C0B1790" w14:textId="77777777" w:rsidR="00C40111" w:rsidRPr="000A724B" w:rsidRDefault="00C40111" w:rsidP="00205EC0">
            <w:pPr>
              <w:pStyle w:val="TableText"/>
              <w:rPr>
                <w:rFonts w:asciiTheme="minorHAnsi" w:hAnsiTheme="minorHAnsi" w:cstheme="minorHAnsi"/>
              </w:rPr>
            </w:pPr>
          </w:p>
        </w:tc>
        <w:tc>
          <w:tcPr>
            <w:tcW w:w="717" w:type="pct"/>
            <w:tcBorders>
              <w:top w:val="single" w:sz="8" w:space="0" w:color="auto"/>
              <w:left w:val="nil"/>
              <w:bottom w:val="single" w:sz="8" w:space="0" w:color="C0C0C0"/>
            </w:tcBorders>
          </w:tcPr>
          <w:p w14:paraId="1093B1A1"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High</w:t>
            </w:r>
          </w:p>
        </w:tc>
        <w:tc>
          <w:tcPr>
            <w:tcW w:w="717" w:type="pct"/>
            <w:tcBorders>
              <w:top w:val="single" w:sz="8" w:space="0" w:color="auto"/>
              <w:bottom w:val="single" w:sz="8" w:space="0" w:color="C0C0C0"/>
            </w:tcBorders>
          </w:tcPr>
          <w:p w14:paraId="0D121774"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Moderate</w:t>
            </w:r>
          </w:p>
        </w:tc>
        <w:tc>
          <w:tcPr>
            <w:tcW w:w="717" w:type="pct"/>
            <w:tcBorders>
              <w:top w:val="single" w:sz="8" w:space="0" w:color="auto"/>
              <w:bottom w:val="single" w:sz="8" w:space="0" w:color="C0C0C0"/>
            </w:tcBorders>
          </w:tcPr>
          <w:p w14:paraId="0A1A65D5"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Low</w:t>
            </w:r>
          </w:p>
        </w:tc>
        <w:tc>
          <w:tcPr>
            <w:tcW w:w="717" w:type="pct"/>
            <w:tcBorders>
              <w:top w:val="single" w:sz="8" w:space="0" w:color="auto"/>
              <w:bottom w:val="single" w:sz="8" w:space="0" w:color="C0C0C0"/>
            </w:tcBorders>
          </w:tcPr>
          <w:p w14:paraId="31C141B2"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Very Low</w:t>
            </w:r>
          </w:p>
        </w:tc>
        <w:tc>
          <w:tcPr>
            <w:tcW w:w="717" w:type="pct"/>
            <w:tcBorders>
              <w:top w:val="single" w:sz="8" w:space="0" w:color="auto"/>
              <w:bottom w:val="single" w:sz="8" w:space="0" w:color="C0C0C0"/>
            </w:tcBorders>
          </w:tcPr>
          <w:p w14:paraId="5E020EAC"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Extremely Low</w:t>
            </w:r>
          </w:p>
        </w:tc>
        <w:tc>
          <w:tcPr>
            <w:tcW w:w="716" w:type="pct"/>
            <w:tcBorders>
              <w:top w:val="single" w:sz="8" w:space="0" w:color="auto"/>
              <w:bottom w:val="single" w:sz="8" w:space="0" w:color="C0C0C0"/>
              <w:right w:val="single" w:sz="8" w:space="0" w:color="auto"/>
            </w:tcBorders>
          </w:tcPr>
          <w:p w14:paraId="0FF9C17E"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Negligible</w:t>
            </w:r>
          </w:p>
        </w:tc>
      </w:tr>
      <w:tr w:rsidR="00C40111" w:rsidRPr="000A724B" w14:paraId="2336265A" w14:textId="77777777" w:rsidTr="00205EC0">
        <w:trPr>
          <w:cantSplit/>
        </w:trPr>
        <w:tc>
          <w:tcPr>
            <w:tcW w:w="698" w:type="pct"/>
            <w:tcBorders>
              <w:top w:val="nil"/>
              <w:left w:val="single" w:sz="8" w:space="0" w:color="auto"/>
              <w:bottom w:val="single" w:sz="8" w:space="0" w:color="C0C0C0"/>
            </w:tcBorders>
            <w:vAlign w:val="center"/>
          </w:tcPr>
          <w:p w14:paraId="12689CC1"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High</w:t>
            </w:r>
          </w:p>
        </w:tc>
        <w:tc>
          <w:tcPr>
            <w:tcW w:w="717" w:type="pct"/>
            <w:tcBorders>
              <w:top w:val="single" w:sz="8" w:space="0" w:color="C0C0C0"/>
              <w:bottom w:val="single" w:sz="8" w:space="0" w:color="C0C0C0"/>
            </w:tcBorders>
            <w:shd w:val="clear" w:color="auto" w:fill="FF99CC"/>
            <w:vAlign w:val="center"/>
          </w:tcPr>
          <w:p w14:paraId="52525195"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High</w:t>
            </w:r>
          </w:p>
        </w:tc>
        <w:tc>
          <w:tcPr>
            <w:tcW w:w="717" w:type="pct"/>
            <w:tcBorders>
              <w:top w:val="single" w:sz="8" w:space="0" w:color="C0C0C0"/>
            </w:tcBorders>
            <w:shd w:val="clear" w:color="auto" w:fill="FFCC99"/>
            <w:vAlign w:val="center"/>
          </w:tcPr>
          <w:p w14:paraId="3B10A72F"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Moderate</w:t>
            </w:r>
          </w:p>
        </w:tc>
        <w:tc>
          <w:tcPr>
            <w:tcW w:w="717" w:type="pct"/>
            <w:tcBorders>
              <w:top w:val="single" w:sz="8" w:space="0" w:color="C0C0C0"/>
            </w:tcBorders>
            <w:shd w:val="clear" w:color="auto" w:fill="FFFF99"/>
            <w:vAlign w:val="center"/>
          </w:tcPr>
          <w:p w14:paraId="08EA78B0"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Low</w:t>
            </w:r>
          </w:p>
        </w:tc>
        <w:tc>
          <w:tcPr>
            <w:tcW w:w="717" w:type="pct"/>
            <w:tcBorders>
              <w:top w:val="single" w:sz="8" w:space="0" w:color="C0C0C0"/>
            </w:tcBorders>
            <w:shd w:val="clear" w:color="auto" w:fill="CCFFCC"/>
            <w:vAlign w:val="center"/>
          </w:tcPr>
          <w:p w14:paraId="2624BDC6"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Very Low</w:t>
            </w:r>
          </w:p>
        </w:tc>
        <w:tc>
          <w:tcPr>
            <w:tcW w:w="717" w:type="pct"/>
            <w:tcBorders>
              <w:top w:val="single" w:sz="8" w:space="0" w:color="C0C0C0"/>
            </w:tcBorders>
            <w:shd w:val="clear" w:color="auto" w:fill="CCFFFF"/>
            <w:vAlign w:val="center"/>
          </w:tcPr>
          <w:p w14:paraId="6A91137E"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Extremely Low</w:t>
            </w:r>
          </w:p>
        </w:tc>
        <w:tc>
          <w:tcPr>
            <w:tcW w:w="716" w:type="pct"/>
            <w:tcBorders>
              <w:top w:val="single" w:sz="8" w:space="0" w:color="C0C0C0"/>
              <w:right w:val="single" w:sz="8" w:space="0" w:color="auto"/>
            </w:tcBorders>
            <w:shd w:val="clear" w:color="auto" w:fill="F2F2F2" w:themeFill="background1" w:themeFillShade="F2"/>
            <w:vAlign w:val="center"/>
          </w:tcPr>
          <w:p w14:paraId="5AA5BC50" w14:textId="77777777" w:rsidR="00C40111" w:rsidRPr="000A724B" w:rsidRDefault="00C40111" w:rsidP="00205EC0">
            <w:pPr>
              <w:pStyle w:val="TableText"/>
              <w:rPr>
                <w:rFonts w:asciiTheme="minorHAnsi" w:hAnsiTheme="minorHAnsi" w:cstheme="minorHAnsi"/>
                <w:snapToGrid w:val="0"/>
                <w:szCs w:val="18"/>
              </w:rPr>
            </w:pPr>
            <w:r w:rsidRPr="000A724B">
              <w:rPr>
                <w:rFonts w:asciiTheme="minorHAnsi" w:hAnsiTheme="minorHAnsi" w:cstheme="minorHAnsi"/>
                <w:snapToGrid w:val="0"/>
                <w:szCs w:val="18"/>
              </w:rPr>
              <w:t>Negligible</w:t>
            </w:r>
          </w:p>
        </w:tc>
      </w:tr>
      <w:tr w:rsidR="00C40111" w:rsidRPr="000A724B" w14:paraId="6D057694" w14:textId="77777777" w:rsidTr="00205EC0">
        <w:trPr>
          <w:cantSplit/>
        </w:trPr>
        <w:tc>
          <w:tcPr>
            <w:tcW w:w="698" w:type="pct"/>
            <w:tcBorders>
              <w:top w:val="single" w:sz="8" w:space="0" w:color="C0C0C0"/>
              <w:left w:val="single" w:sz="8" w:space="0" w:color="auto"/>
              <w:bottom w:val="single" w:sz="8" w:space="0" w:color="C0C0C0"/>
              <w:right w:val="nil"/>
            </w:tcBorders>
            <w:vAlign w:val="center"/>
          </w:tcPr>
          <w:p w14:paraId="6F6A03A3"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Moderate</w:t>
            </w:r>
          </w:p>
        </w:tc>
        <w:tc>
          <w:tcPr>
            <w:tcW w:w="717" w:type="pct"/>
            <w:tcBorders>
              <w:top w:val="single" w:sz="8" w:space="0" w:color="C0C0C0"/>
              <w:left w:val="nil"/>
              <w:bottom w:val="single" w:sz="8" w:space="0" w:color="C0C0C0"/>
            </w:tcBorders>
            <w:vAlign w:val="center"/>
          </w:tcPr>
          <w:p w14:paraId="511A8637"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bottom w:val="single" w:sz="8" w:space="0" w:color="C0C0C0"/>
            </w:tcBorders>
            <w:shd w:val="clear" w:color="auto" w:fill="FFFF99"/>
            <w:vAlign w:val="center"/>
          </w:tcPr>
          <w:p w14:paraId="019BCB85"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Low</w:t>
            </w:r>
          </w:p>
        </w:tc>
        <w:tc>
          <w:tcPr>
            <w:tcW w:w="717" w:type="pct"/>
            <w:shd w:val="clear" w:color="auto" w:fill="FFFF99"/>
            <w:vAlign w:val="center"/>
          </w:tcPr>
          <w:p w14:paraId="50DB5122"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Low</w:t>
            </w:r>
          </w:p>
        </w:tc>
        <w:tc>
          <w:tcPr>
            <w:tcW w:w="717" w:type="pct"/>
            <w:shd w:val="clear" w:color="auto" w:fill="CCFFCC"/>
            <w:vAlign w:val="center"/>
          </w:tcPr>
          <w:p w14:paraId="08C45874"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Very Low</w:t>
            </w:r>
          </w:p>
        </w:tc>
        <w:tc>
          <w:tcPr>
            <w:tcW w:w="717" w:type="pct"/>
            <w:shd w:val="clear" w:color="auto" w:fill="CCFFFF"/>
            <w:vAlign w:val="center"/>
          </w:tcPr>
          <w:p w14:paraId="6F820393"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69D00966" w14:textId="77777777" w:rsidR="00C40111" w:rsidRPr="000A724B" w:rsidRDefault="00C40111" w:rsidP="00205EC0">
            <w:pPr>
              <w:pStyle w:val="TableText"/>
              <w:rPr>
                <w:rFonts w:asciiTheme="minorHAnsi" w:hAnsiTheme="minorHAnsi" w:cstheme="minorHAnsi"/>
                <w:snapToGrid w:val="0"/>
                <w:szCs w:val="18"/>
              </w:rPr>
            </w:pPr>
            <w:r w:rsidRPr="000A724B">
              <w:rPr>
                <w:rFonts w:asciiTheme="minorHAnsi" w:hAnsiTheme="minorHAnsi" w:cstheme="minorHAnsi"/>
                <w:snapToGrid w:val="0"/>
                <w:szCs w:val="18"/>
              </w:rPr>
              <w:t>Negligible</w:t>
            </w:r>
          </w:p>
        </w:tc>
      </w:tr>
      <w:tr w:rsidR="00C40111" w:rsidRPr="000A724B" w14:paraId="0503A414" w14:textId="77777777" w:rsidTr="00205EC0">
        <w:trPr>
          <w:cantSplit/>
        </w:trPr>
        <w:tc>
          <w:tcPr>
            <w:tcW w:w="698" w:type="pct"/>
            <w:tcBorders>
              <w:top w:val="single" w:sz="8" w:space="0" w:color="C0C0C0"/>
              <w:left w:val="single" w:sz="8" w:space="0" w:color="auto"/>
              <w:bottom w:val="single" w:sz="8" w:space="0" w:color="C0C0C0"/>
              <w:right w:val="nil"/>
            </w:tcBorders>
            <w:vAlign w:val="center"/>
          </w:tcPr>
          <w:p w14:paraId="05A2F485"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Low</w:t>
            </w:r>
          </w:p>
        </w:tc>
        <w:tc>
          <w:tcPr>
            <w:tcW w:w="717" w:type="pct"/>
            <w:tcBorders>
              <w:top w:val="single" w:sz="8" w:space="0" w:color="C0C0C0"/>
              <w:left w:val="nil"/>
              <w:bottom w:val="single" w:sz="8" w:space="0" w:color="C0C0C0"/>
              <w:right w:val="nil"/>
            </w:tcBorders>
            <w:vAlign w:val="center"/>
          </w:tcPr>
          <w:p w14:paraId="578B4365"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14A5528F"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bottom w:val="single" w:sz="8" w:space="0" w:color="C0C0C0"/>
            </w:tcBorders>
            <w:shd w:val="clear" w:color="auto" w:fill="CCFFCC"/>
            <w:vAlign w:val="center"/>
          </w:tcPr>
          <w:p w14:paraId="255CFBC3"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Very Low</w:t>
            </w:r>
          </w:p>
        </w:tc>
        <w:tc>
          <w:tcPr>
            <w:tcW w:w="717" w:type="pct"/>
            <w:shd w:val="clear" w:color="auto" w:fill="CCFFCC"/>
            <w:vAlign w:val="center"/>
          </w:tcPr>
          <w:p w14:paraId="7B332A13"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Very Low</w:t>
            </w:r>
          </w:p>
        </w:tc>
        <w:tc>
          <w:tcPr>
            <w:tcW w:w="717" w:type="pct"/>
            <w:shd w:val="clear" w:color="auto" w:fill="CCFFFF"/>
            <w:vAlign w:val="center"/>
          </w:tcPr>
          <w:p w14:paraId="74E20A9E"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1EBE4902" w14:textId="77777777" w:rsidR="00C40111" w:rsidRPr="000A724B" w:rsidRDefault="00C40111" w:rsidP="00205EC0">
            <w:pPr>
              <w:pStyle w:val="TableText"/>
              <w:rPr>
                <w:rFonts w:asciiTheme="minorHAnsi" w:hAnsiTheme="minorHAnsi" w:cstheme="minorHAnsi"/>
                <w:snapToGrid w:val="0"/>
                <w:szCs w:val="18"/>
              </w:rPr>
            </w:pPr>
            <w:r w:rsidRPr="000A724B">
              <w:rPr>
                <w:rFonts w:asciiTheme="minorHAnsi" w:hAnsiTheme="minorHAnsi" w:cstheme="minorHAnsi"/>
                <w:snapToGrid w:val="0"/>
                <w:szCs w:val="18"/>
              </w:rPr>
              <w:t>Negligible</w:t>
            </w:r>
          </w:p>
        </w:tc>
      </w:tr>
      <w:tr w:rsidR="00C40111" w:rsidRPr="000A724B" w14:paraId="14E7EBA2" w14:textId="77777777" w:rsidTr="00205EC0">
        <w:trPr>
          <w:cantSplit/>
        </w:trPr>
        <w:tc>
          <w:tcPr>
            <w:tcW w:w="698" w:type="pct"/>
            <w:tcBorders>
              <w:top w:val="single" w:sz="8" w:space="0" w:color="C0C0C0"/>
              <w:left w:val="single" w:sz="8" w:space="0" w:color="auto"/>
              <w:bottom w:val="single" w:sz="8" w:space="0" w:color="C0C0C0"/>
              <w:right w:val="nil"/>
            </w:tcBorders>
            <w:vAlign w:val="center"/>
          </w:tcPr>
          <w:p w14:paraId="77BA3847"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Very Low</w:t>
            </w:r>
          </w:p>
        </w:tc>
        <w:tc>
          <w:tcPr>
            <w:tcW w:w="717" w:type="pct"/>
            <w:tcBorders>
              <w:top w:val="single" w:sz="8" w:space="0" w:color="C0C0C0"/>
              <w:left w:val="nil"/>
              <w:bottom w:val="single" w:sz="8" w:space="0" w:color="C0C0C0"/>
              <w:right w:val="nil"/>
            </w:tcBorders>
            <w:vAlign w:val="center"/>
          </w:tcPr>
          <w:p w14:paraId="3E0DF1A8"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37FC893B"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6E29760C"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bottom w:val="single" w:sz="8" w:space="0" w:color="C0C0C0"/>
            </w:tcBorders>
            <w:shd w:val="clear" w:color="auto" w:fill="CCFFFF"/>
            <w:vAlign w:val="center"/>
          </w:tcPr>
          <w:p w14:paraId="47A28D7D"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Extremely Low</w:t>
            </w:r>
          </w:p>
        </w:tc>
        <w:tc>
          <w:tcPr>
            <w:tcW w:w="717" w:type="pct"/>
            <w:shd w:val="clear" w:color="auto" w:fill="CCFFFF"/>
            <w:vAlign w:val="center"/>
          </w:tcPr>
          <w:p w14:paraId="421ADA3D"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1B332A3B" w14:textId="77777777" w:rsidR="00C40111" w:rsidRPr="000A724B" w:rsidRDefault="00C40111" w:rsidP="00205EC0">
            <w:pPr>
              <w:pStyle w:val="TableText"/>
              <w:rPr>
                <w:rFonts w:asciiTheme="minorHAnsi" w:hAnsiTheme="minorHAnsi" w:cstheme="minorHAnsi"/>
                <w:snapToGrid w:val="0"/>
                <w:szCs w:val="18"/>
              </w:rPr>
            </w:pPr>
            <w:r w:rsidRPr="000A724B">
              <w:rPr>
                <w:rFonts w:asciiTheme="minorHAnsi" w:hAnsiTheme="minorHAnsi" w:cstheme="minorHAnsi"/>
                <w:snapToGrid w:val="0"/>
                <w:szCs w:val="18"/>
              </w:rPr>
              <w:t>Negligible</w:t>
            </w:r>
          </w:p>
        </w:tc>
      </w:tr>
      <w:tr w:rsidR="00C40111" w:rsidRPr="000A724B" w14:paraId="2054ACE7" w14:textId="77777777" w:rsidTr="00205EC0">
        <w:trPr>
          <w:cantSplit/>
        </w:trPr>
        <w:tc>
          <w:tcPr>
            <w:tcW w:w="698" w:type="pct"/>
            <w:tcBorders>
              <w:top w:val="single" w:sz="8" w:space="0" w:color="C0C0C0"/>
              <w:left w:val="single" w:sz="8" w:space="0" w:color="auto"/>
              <w:bottom w:val="single" w:sz="8" w:space="0" w:color="C0C0C0"/>
              <w:right w:val="nil"/>
            </w:tcBorders>
            <w:vAlign w:val="center"/>
          </w:tcPr>
          <w:p w14:paraId="2047634C"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Extremely Low</w:t>
            </w:r>
          </w:p>
        </w:tc>
        <w:tc>
          <w:tcPr>
            <w:tcW w:w="717" w:type="pct"/>
            <w:tcBorders>
              <w:top w:val="single" w:sz="8" w:space="0" w:color="C0C0C0"/>
              <w:left w:val="nil"/>
              <w:bottom w:val="single" w:sz="8" w:space="0" w:color="C0C0C0"/>
              <w:right w:val="nil"/>
            </w:tcBorders>
            <w:vAlign w:val="center"/>
          </w:tcPr>
          <w:p w14:paraId="6DB90BFC"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6F0DB748"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C0C0C0"/>
              <w:right w:val="nil"/>
            </w:tcBorders>
            <w:vAlign w:val="center"/>
          </w:tcPr>
          <w:p w14:paraId="7C3D455B"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C0C0C0"/>
            </w:tcBorders>
            <w:vAlign w:val="center"/>
          </w:tcPr>
          <w:p w14:paraId="559AAC2B"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bottom w:val="single" w:sz="8" w:space="0" w:color="C0C0C0"/>
            </w:tcBorders>
            <w:shd w:val="clear" w:color="auto" w:fill="F2F2F2" w:themeFill="background1" w:themeFillShade="F2"/>
            <w:vAlign w:val="center"/>
          </w:tcPr>
          <w:p w14:paraId="29CBCE0E" w14:textId="77777777" w:rsidR="00C40111" w:rsidRPr="000A724B" w:rsidRDefault="00C40111" w:rsidP="00205EC0">
            <w:pPr>
              <w:pStyle w:val="TableText"/>
              <w:rPr>
                <w:rFonts w:asciiTheme="minorHAnsi" w:hAnsiTheme="minorHAnsi" w:cstheme="minorHAnsi"/>
                <w:snapToGrid w:val="0"/>
              </w:rPr>
            </w:pPr>
            <w:r w:rsidRPr="000A724B">
              <w:rPr>
                <w:rFonts w:asciiTheme="minorHAnsi" w:hAnsiTheme="minorHAnsi" w:cstheme="minorHAnsi"/>
                <w:snapToGrid w:val="0"/>
              </w:rPr>
              <w:t>Negligible</w:t>
            </w:r>
          </w:p>
        </w:tc>
        <w:tc>
          <w:tcPr>
            <w:tcW w:w="716" w:type="pct"/>
            <w:tcBorders>
              <w:right w:val="single" w:sz="8" w:space="0" w:color="auto"/>
            </w:tcBorders>
            <w:shd w:val="clear" w:color="auto" w:fill="F2F2F2" w:themeFill="background1" w:themeFillShade="F2"/>
            <w:vAlign w:val="center"/>
          </w:tcPr>
          <w:p w14:paraId="0AACC029" w14:textId="77777777" w:rsidR="00C40111" w:rsidRPr="000A724B" w:rsidRDefault="00C40111" w:rsidP="00205EC0">
            <w:pPr>
              <w:pStyle w:val="TableText"/>
              <w:rPr>
                <w:rFonts w:asciiTheme="minorHAnsi" w:hAnsiTheme="minorHAnsi" w:cstheme="minorHAnsi"/>
                <w:snapToGrid w:val="0"/>
                <w:szCs w:val="18"/>
              </w:rPr>
            </w:pPr>
            <w:r w:rsidRPr="000A724B">
              <w:rPr>
                <w:rFonts w:asciiTheme="minorHAnsi" w:hAnsiTheme="minorHAnsi" w:cstheme="minorHAnsi"/>
                <w:snapToGrid w:val="0"/>
                <w:szCs w:val="18"/>
              </w:rPr>
              <w:t>Negligible</w:t>
            </w:r>
          </w:p>
        </w:tc>
      </w:tr>
      <w:tr w:rsidR="00C40111" w:rsidRPr="000A724B" w14:paraId="79A9F7AE" w14:textId="77777777" w:rsidTr="00205EC0">
        <w:trPr>
          <w:cantSplit/>
        </w:trPr>
        <w:tc>
          <w:tcPr>
            <w:tcW w:w="698" w:type="pct"/>
            <w:tcBorders>
              <w:top w:val="single" w:sz="8" w:space="0" w:color="C0C0C0"/>
              <w:left w:val="single" w:sz="8" w:space="0" w:color="auto"/>
              <w:bottom w:val="single" w:sz="8" w:space="0" w:color="auto"/>
              <w:right w:val="nil"/>
            </w:tcBorders>
            <w:vAlign w:val="center"/>
          </w:tcPr>
          <w:p w14:paraId="6B79E2BF"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Negligible</w:t>
            </w:r>
          </w:p>
        </w:tc>
        <w:tc>
          <w:tcPr>
            <w:tcW w:w="717" w:type="pct"/>
            <w:tcBorders>
              <w:top w:val="single" w:sz="8" w:space="0" w:color="C0C0C0"/>
              <w:left w:val="nil"/>
              <w:bottom w:val="single" w:sz="8" w:space="0" w:color="auto"/>
              <w:right w:val="nil"/>
            </w:tcBorders>
            <w:vAlign w:val="center"/>
          </w:tcPr>
          <w:p w14:paraId="3DFCA881"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20D94517"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4A3C503B"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auto"/>
              <w:right w:val="nil"/>
            </w:tcBorders>
            <w:vAlign w:val="center"/>
          </w:tcPr>
          <w:p w14:paraId="06DECF37"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7" w:type="pct"/>
            <w:tcBorders>
              <w:top w:val="single" w:sz="8" w:space="0" w:color="C0C0C0"/>
              <w:left w:val="nil"/>
              <w:bottom w:val="single" w:sz="8" w:space="0" w:color="auto"/>
            </w:tcBorders>
            <w:vAlign w:val="center"/>
          </w:tcPr>
          <w:p w14:paraId="2CC0140C" w14:textId="77777777" w:rsidR="00C40111" w:rsidRPr="000A724B" w:rsidRDefault="00C40111" w:rsidP="00205EC0">
            <w:pPr>
              <w:pStyle w:val="TableText"/>
              <w:rPr>
                <w:rFonts w:asciiTheme="minorHAnsi" w:hAnsiTheme="minorHAnsi" w:cstheme="minorHAnsi"/>
              </w:rPr>
            </w:pPr>
            <w:r w:rsidRPr="000A724B">
              <w:rPr>
                <w:rFonts w:asciiTheme="minorHAnsi" w:hAnsiTheme="minorHAnsi" w:cstheme="minorHAnsi"/>
              </w:rPr>
              <w:t>–</w:t>
            </w:r>
          </w:p>
        </w:tc>
        <w:tc>
          <w:tcPr>
            <w:tcW w:w="716" w:type="pct"/>
            <w:tcBorders>
              <w:bottom w:val="single" w:sz="8" w:space="0" w:color="auto"/>
              <w:right w:val="single" w:sz="8" w:space="0" w:color="auto"/>
            </w:tcBorders>
            <w:shd w:val="clear" w:color="auto" w:fill="F2F2F2" w:themeFill="background1" w:themeFillShade="F2"/>
            <w:vAlign w:val="center"/>
          </w:tcPr>
          <w:p w14:paraId="5FCDEA7F" w14:textId="77777777" w:rsidR="00C40111" w:rsidRPr="000A724B" w:rsidRDefault="00C40111" w:rsidP="00205EC0">
            <w:pPr>
              <w:pStyle w:val="TableText"/>
              <w:rPr>
                <w:rFonts w:asciiTheme="minorHAnsi" w:hAnsiTheme="minorHAnsi" w:cstheme="minorHAnsi"/>
                <w:szCs w:val="18"/>
              </w:rPr>
            </w:pPr>
            <w:r w:rsidRPr="000A724B">
              <w:rPr>
                <w:rFonts w:asciiTheme="minorHAnsi" w:hAnsiTheme="minorHAnsi" w:cstheme="minorHAnsi"/>
                <w:snapToGrid w:val="0"/>
                <w:szCs w:val="18"/>
              </w:rPr>
              <w:t>Negligible</w:t>
            </w:r>
          </w:p>
        </w:tc>
      </w:tr>
    </w:tbl>
    <w:p w14:paraId="088FBD7C" w14:textId="77777777" w:rsidR="00C40111" w:rsidRDefault="00C40111" w:rsidP="00C40111">
      <w:pPr>
        <w:pStyle w:val="Heading5"/>
      </w:pPr>
      <w:r>
        <w:t>Time and volume of trade</w:t>
      </w:r>
    </w:p>
    <w:p w14:paraId="0D64E77C"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One factor affecting the likelihood of entry is the volume and duration of trade. If all other conditions remain the same, the overall likelihood of entry will increase as time passes and the overall volume of trade increases.</w:t>
      </w:r>
    </w:p>
    <w:p w14:paraId="731144AE"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w:t>
      </w:r>
      <w:proofErr w:type="gramStart"/>
      <w:r w:rsidRPr="000A724B">
        <w:rPr>
          <w:rFonts w:asciiTheme="minorHAnsi" w:hAnsiTheme="minorHAnsi" w:cstheme="minorHAnsi"/>
        </w:rPr>
        <w:t>taken into account</w:t>
      </w:r>
      <w:proofErr w:type="gramEnd"/>
      <w:r w:rsidRPr="000A724B">
        <w:rPr>
          <w:rFonts w:asciiTheme="minorHAnsi" w:hAnsiTheme="minorHAnsi" w:cstheme="minorHAnsi"/>
        </w:rPr>
        <w:t xml:space="preserve">. The consideration of the likelihood of entry, establishment and spread and subsequent consequences </w:t>
      </w:r>
      <w:proofErr w:type="gramStart"/>
      <w:r w:rsidRPr="000A724B">
        <w:rPr>
          <w:rFonts w:asciiTheme="minorHAnsi" w:hAnsiTheme="minorHAnsi" w:cstheme="minorHAnsi"/>
        </w:rPr>
        <w:t>takes into account</w:t>
      </w:r>
      <w:proofErr w:type="gramEnd"/>
      <w:r w:rsidRPr="000A724B">
        <w:rPr>
          <w:rFonts w:asciiTheme="minorHAnsi" w:hAnsiTheme="minorHAnsi" w:cstheme="minorHAnsi"/>
        </w:rPr>
        <w:t xml:space="preserve"> events that might happen over </w:t>
      </w:r>
      <w:proofErr w:type="gramStart"/>
      <w:r w:rsidRPr="000A724B">
        <w:rPr>
          <w:rFonts w:asciiTheme="minorHAnsi" w:hAnsiTheme="minorHAnsi" w:cstheme="minorHAnsi"/>
        </w:rPr>
        <w:t>a number of</w:t>
      </w:r>
      <w:proofErr w:type="gramEnd"/>
      <w:r w:rsidRPr="000A724B">
        <w:rPr>
          <w:rFonts w:asciiTheme="minorHAnsi" w:hAnsiTheme="minorHAnsi" w:cstheme="minorHAnsi"/>
        </w:rPr>
        <w:t xml:space="preserve"> years even though only one year’s volume of trade is being considered. This difference reflects biological and </w:t>
      </w:r>
      <w:r w:rsidRPr="000A724B">
        <w:rPr>
          <w:rFonts w:asciiTheme="minorHAnsi" w:hAnsiTheme="minorHAnsi" w:cstheme="minorHAnsi"/>
        </w:rPr>
        <w:lastRenderedPageBreak/>
        <w:t>ecological facts, for example where a pest or disease may establish in the year of import but spread may take many years.</w:t>
      </w:r>
    </w:p>
    <w:p w14:paraId="7884AFBC"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The use of a </w:t>
      </w:r>
      <w:proofErr w:type="gramStart"/>
      <w:r w:rsidRPr="000A724B">
        <w:rPr>
          <w:rFonts w:asciiTheme="minorHAnsi" w:hAnsiTheme="minorHAnsi" w:cstheme="minorHAnsi"/>
        </w:rPr>
        <w:t>one year</w:t>
      </w:r>
      <w:proofErr w:type="gramEnd"/>
      <w:r w:rsidRPr="000A724B">
        <w:rPr>
          <w:rFonts w:asciiTheme="minorHAnsi" w:hAnsiTheme="minorHAnsi" w:cstheme="minorHAnsi"/>
        </w:rPr>
        <w:t xml:space="preserve"> volume of trade has been </w:t>
      </w:r>
      <w:proofErr w:type="gramStart"/>
      <w:r w:rsidRPr="000A724B">
        <w:rPr>
          <w:rFonts w:asciiTheme="minorHAnsi" w:hAnsiTheme="minorHAnsi" w:cstheme="minorHAnsi"/>
        </w:rPr>
        <w:t>taken into account</w:t>
      </w:r>
      <w:proofErr w:type="gramEnd"/>
      <w:r w:rsidRPr="000A724B">
        <w:rPr>
          <w:rFonts w:asciiTheme="minorHAnsi" w:hAnsiTheme="minorHAnsi" w:cstheme="minorHAnsi"/>
        </w:rPr>
        <w:t xml:space="preserve">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387C8B99" w14:textId="77777777" w:rsidR="00C40111" w:rsidRDefault="00C40111" w:rsidP="00F85722">
      <w:pPr>
        <w:pStyle w:val="Heading4-Appendix"/>
        <w:numPr>
          <w:ilvl w:val="0"/>
          <w:numId w:val="4"/>
        </w:numPr>
        <w:tabs>
          <w:tab w:val="num" w:pos="720"/>
        </w:tabs>
      </w:pPr>
      <w:r>
        <w:t>Assessment of potential consequences</w:t>
      </w:r>
    </w:p>
    <w:p w14:paraId="1D043A5C" w14:textId="77777777"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 xml:space="preserve">In estimating the potential consequences of a pest if the pest were to enter, establish and spread in Australia, the department uses a 2-step process. In the first step, a qualitative descriptor of the impact is assigned to each of the direct and indirect criteria in terms of the </w:t>
      </w:r>
      <w:r w:rsidRPr="000A724B">
        <w:rPr>
          <w:rStyle w:val="Emphasis"/>
          <w:rFonts w:asciiTheme="minorHAnsi" w:hAnsiTheme="minorHAnsi" w:cstheme="minorHAnsi"/>
          <w:color w:val="000000" w:themeColor="text1"/>
        </w:rPr>
        <w:t>level of impact</w:t>
      </w:r>
      <w:r w:rsidRPr="000A724B">
        <w:rPr>
          <w:rFonts w:asciiTheme="minorHAnsi" w:hAnsiTheme="minorHAnsi" w:cstheme="minorHAnsi"/>
          <w:color w:val="000000" w:themeColor="text1"/>
        </w:rPr>
        <w:t xml:space="preserve"> and the </w:t>
      </w:r>
      <w:r w:rsidRPr="000A724B">
        <w:rPr>
          <w:rStyle w:val="Emphasis"/>
          <w:rFonts w:asciiTheme="minorHAnsi" w:hAnsiTheme="minorHAnsi" w:cstheme="minorHAnsi"/>
          <w:color w:val="000000" w:themeColor="text1"/>
        </w:rPr>
        <w:t>magnitude of impact</w:t>
      </w:r>
      <w:r w:rsidRPr="000A724B">
        <w:rPr>
          <w:rFonts w:asciiTheme="minorHAnsi" w:hAnsiTheme="minorHAnsi" w:cstheme="minorHAnsi"/>
          <w:color w:val="000000" w:themeColor="text1"/>
        </w:rPr>
        <w:t>. The second step involves combining the impacts for each of the criteria to obtain an ‘overall consequences’ estimation.</w:t>
      </w:r>
    </w:p>
    <w:p w14:paraId="463FA3BA" w14:textId="77777777" w:rsidR="00C40111" w:rsidRPr="000A724B" w:rsidRDefault="00C40111" w:rsidP="00C40111">
      <w:pPr>
        <w:rPr>
          <w:rFonts w:asciiTheme="minorHAnsi" w:hAnsiTheme="minorHAnsi" w:cstheme="minorHAnsi"/>
          <w:b/>
          <w:bCs/>
        </w:rPr>
      </w:pPr>
      <w:r w:rsidRPr="000A724B">
        <w:rPr>
          <w:rStyle w:val="Strong"/>
          <w:rFonts w:asciiTheme="minorHAnsi" w:hAnsiTheme="minorHAnsi" w:cstheme="minorHAnsi"/>
        </w:rPr>
        <w:t>Step 1: Assessing direct and indirect impacts</w:t>
      </w:r>
    </w:p>
    <w:p w14:paraId="1278FB47"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Direct pest impacts are considered in the context of the impacts on:</w:t>
      </w:r>
    </w:p>
    <w:p w14:paraId="464C8B10" w14:textId="77777777" w:rsidR="00C40111" w:rsidRPr="000A724B" w:rsidRDefault="00C40111" w:rsidP="00C40111">
      <w:pPr>
        <w:pStyle w:val="ListBullet"/>
        <w:rPr>
          <w:rFonts w:asciiTheme="minorHAnsi" w:hAnsiTheme="minorHAnsi" w:cstheme="minorHAnsi"/>
        </w:rPr>
      </w:pPr>
      <w:bookmarkStart w:id="59" w:name="_Ref524354990"/>
      <w:bookmarkStart w:id="60" w:name="_Toc6906416"/>
      <w:r w:rsidRPr="000A724B">
        <w:rPr>
          <w:rFonts w:asciiTheme="minorHAnsi" w:hAnsiTheme="minorHAnsi" w:cstheme="minorHAnsi"/>
        </w:rPr>
        <w:t>the life or health of plants and plant products</w:t>
      </w:r>
    </w:p>
    <w:p w14:paraId="017FCE77" w14:textId="77777777" w:rsidR="00C40111" w:rsidRPr="000A724B" w:rsidRDefault="00C40111" w:rsidP="00C40111">
      <w:pPr>
        <w:pStyle w:val="ListBullet"/>
        <w:numPr>
          <w:ilvl w:val="0"/>
          <w:numId w:val="0"/>
        </w:numPr>
        <w:ind w:left="397"/>
        <w:rPr>
          <w:rFonts w:asciiTheme="minorHAnsi" w:hAnsiTheme="minorHAnsi" w:cstheme="minorHAnsi"/>
        </w:rPr>
      </w:pPr>
      <w:r w:rsidRPr="000A724B">
        <w:rPr>
          <w:rFonts w:asciiTheme="minorHAnsi" w:hAnsiTheme="minorHAnsi" w:cstheme="minorHAnsi"/>
        </w:rPr>
        <w:t>This may include pest impacts on the life or health of the plants and production effects (yield or quality) either at harvest or during storage.</w:t>
      </w:r>
    </w:p>
    <w:p w14:paraId="1F20630E" w14:textId="77777777" w:rsidR="00C40111" w:rsidRPr="000A724B" w:rsidRDefault="00C40111" w:rsidP="00F85722">
      <w:pPr>
        <w:pStyle w:val="ListBullet2"/>
        <w:numPr>
          <w:ilvl w:val="1"/>
          <w:numId w:val="1"/>
        </w:numPr>
        <w:tabs>
          <w:tab w:val="clear" w:pos="643"/>
          <w:tab w:val="num" w:pos="794"/>
        </w:tabs>
        <w:ind w:left="794" w:hanging="397"/>
        <w:rPr>
          <w:rFonts w:asciiTheme="minorHAnsi" w:hAnsiTheme="minorHAnsi" w:cstheme="minorHAnsi"/>
        </w:rPr>
      </w:pPr>
      <w:r w:rsidRPr="000A724B">
        <w:rPr>
          <w:rFonts w:asciiTheme="minorHAnsi" w:hAnsiTheme="minorHAnsi" w:cstheme="minorHAnsi"/>
        </w:rPr>
        <w:t>Where applicable, pest impacts on the life or health of humans or of animals and animal products may also be considered.</w:t>
      </w:r>
    </w:p>
    <w:p w14:paraId="3884CFED"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other aspects of the environment.</w:t>
      </w:r>
    </w:p>
    <w:p w14:paraId="5A299325"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Indirect pest </w:t>
      </w:r>
      <w:r w:rsidRPr="000A724B">
        <w:rPr>
          <w:rFonts w:asciiTheme="minorHAnsi" w:hAnsiTheme="minorHAnsi" w:cstheme="minorHAnsi"/>
          <w:color w:val="000000" w:themeColor="text1"/>
        </w:rPr>
        <w:t>impacts</w:t>
      </w:r>
      <w:r w:rsidRPr="000A724B">
        <w:rPr>
          <w:rFonts w:asciiTheme="minorHAnsi" w:hAnsiTheme="minorHAnsi" w:cstheme="minorHAnsi"/>
        </w:rPr>
        <w:t xml:space="preserve"> are considered in the context of the </w:t>
      </w:r>
      <w:r w:rsidRPr="000A724B">
        <w:rPr>
          <w:rFonts w:asciiTheme="minorHAnsi" w:hAnsiTheme="minorHAnsi" w:cstheme="minorHAnsi"/>
          <w:color w:val="000000" w:themeColor="text1"/>
        </w:rPr>
        <w:t>impacts</w:t>
      </w:r>
      <w:r w:rsidRPr="000A724B">
        <w:rPr>
          <w:rFonts w:asciiTheme="minorHAnsi" w:hAnsiTheme="minorHAnsi" w:cstheme="minorHAnsi"/>
        </w:rPr>
        <w:t xml:space="preserve"> on:</w:t>
      </w:r>
    </w:p>
    <w:p w14:paraId="07FEE516" w14:textId="77777777" w:rsidR="00C40111" w:rsidRPr="000A724B" w:rsidRDefault="00C40111" w:rsidP="00C40111">
      <w:pPr>
        <w:pStyle w:val="ListBullet"/>
        <w:rPr>
          <w:rFonts w:asciiTheme="minorHAnsi" w:hAnsiTheme="minorHAnsi" w:cstheme="minorHAnsi"/>
          <w:color w:val="000000" w:themeColor="text1"/>
        </w:rPr>
      </w:pPr>
      <w:r w:rsidRPr="000A724B">
        <w:rPr>
          <w:rFonts w:asciiTheme="minorHAnsi" w:hAnsiTheme="minorHAnsi" w:cstheme="minorHAnsi"/>
          <w:color w:val="000000" w:themeColor="text1"/>
        </w:rPr>
        <w:t>eradication and control</w:t>
      </w:r>
    </w:p>
    <w:p w14:paraId="58A72D05" w14:textId="77777777" w:rsidR="00C40111" w:rsidRPr="000A724B" w:rsidRDefault="00C40111" w:rsidP="00C40111">
      <w:pPr>
        <w:pStyle w:val="ListBullet"/>
        <w:numPr>
          <w:ilvl w:val="0"/>
          <w:numId w:val="0"/>
        </w:numPr>
        <w:ind w:left="397"/>
        <w:rPr>
          <w:rFonts w:asciiTheme="minorHAnsi" w:hAnsiTheme="minorHAnsi" w:cstheme="minorHAnsi"/>
          <w:color w:val="000000" w:themeColor="text1"/>
        </w:rPr>
      </w:pPr>
      <w:r w:rsidRPr="000A724B">
        <w:rPr>
          <w:rFonts w:asciiTheme="minorHAnsi" w:hAnsiTheme="minorHAnsi" w:cstheme="minorHAnsi"/>
          <w:color w:val="000000" w:themeColor="text1"/>
        </w:rPr>
        <w:t xml:space="preserve">This may include pest impacts on new or modified </w:t>
      </w:r>
      <w:r w:rsidRPr="000A724B">
        <w:rPr>
          <w:rFonts w:asciiTheme="minorHAnsi" w:hAnsiTheme="minorHAnsi" w:cstheme="minorHAnsi"/>
        </w:rPr>
        <w:t>eradication, control</w:t>
      </w:r>
      <w:r w:rsidRPr="000A724B">
        <w:rPr>
          <w:rFonts w:asciiTheme="minorHAnsi" w:hAnsiTheme="minorHAnsi" w:cstheme="minorHAnsi"/>
          <w:color w:val="000000" w:themeColor="text1"/>
        </w:rPr>
        <w:t>, surveillance or monitoring and compensation strategies or programs.</w:t>
      </w:r>
    </w:p>
    <w:p w14:paraId="20770338" w14:textId="77777777" w:rsidR="00C40111" w:rsidRPr="000A724B" w:rsidRDefault="00C40111" w:rsidP="00C40111">
      <w:pPr>
        <w:pStyle w:val="ListBullet"/>
        <w:rPr>
          <w:rFonts w:asciiTheme="minorHAnsi" w:hAnsiTheme="minorHAnsi" w:cstheme="minorHAnsi"/>
          <w:color w:val="000000" w:themeColor="text1"/>
        </w:rPr>
      </w:pPr>
      <w:r w:rsidRPr="000A724B">
        <w:rPr>
          <w:rFonts w:asciiTheme="minorHAnsi" w:hAnsiTheme="minorHAnsi" w:cstheme="minorHAnsi"/>
        </w:rPr>
        <w:t>domestic trade</w:t>
      </w:r>
    </w:p>
    <w:p w14:paraId="10C32C20" w14:textId="77777777" w:rsidR="00C40111" w:rsidRPr="000A724B" w:rsidRDefault="00C40111" w:rsidP="00C40111">
      <w:pPr>
        <w:pStyle w:val="ListBullet"/>
        <w:numPr>
          <w:ilvl w:val="0"/>
          <w:numId w:val="0"/>
        </w:numPr>
        <w:ind w:left="397"/>
        <w:rPr>
          <w:rFonts w:asciiTheme="minorHAnsi" w:hAnsiTheme="minorHAnsi" w:cstheme="minorHAnsi"/>
          <w:color w:val="000000" w:themeColor="text1"/>
        </w:rPr>
      </w:pPr>
      <w:r w:rsidRPr="000A724B">
        <w:rPr>
          <w:rFonts w:asciiTheme="minorHAnsi" w:hAnsiTheme="minorHAnsi" w:cstheme="minorHAnsi"/>
          <w:color w:val="000000" w:themeColor="text1"/>
        </w:rPr>
        <w:t xml:space="preserve">This may include pest impacts on domestic trade or industry, including changes in domestic consumer demand </w:t>
      </w:r>
      <w:r w:rsidRPr="000A724B">
        <w:rPr>
          <w:rFonts w:asciiTheme="minorHAnsi" w:hAnsiTheme="minorHAnsi" w:cstheme="minorHAnsi"/>
        </w:rPr>
        <w:t>for a product resulting from quality changes</w:t>
      </w:r>
      <w:r w:rsidRPr="000A724B">
        <w:rPr>
          <w:rFonts w:asciiTheme="minorHAnsi" w:hAnsiTheme="minorHAnsi" w:cstheme="minorHAnsi"/>
          <w:color w:val="538135" w:themeColor="accent6" w:themeShade="BF"/>
        </w:rPr>
        <w:t xml:space="preserve"> </w:t>
      </w:r>
      <w:r w:rsidRPr="000A724B">
        <w:rPr>
          <w:rFonts w:asciiTheme="minorHAnsi" w:hAnsiTheme="minorHAnsi" w:cstheme="minorHAnsi"/>
          <w:color w:val="000000" w:themeColor="text1"/>
        </w:rPr>
        <w:t>and effects on other industries supplying inputs to, or using outputs from, directly affected industries.</w:t>
      </w:r>
    </w:p>
    <w:p w14:paraId="2A80849E"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rPr>
        <w:t>international trade</w:t>
      </w:r>
    </w:p>
    <w:p w14:paraId="1F6C75B2" w14:textId="77777777" w:rsidR="00C40111" w:rsidRPr="000A724B" w:rsidRDefault="00C40111" w:rsidP="00C40111">
      <w:pPr>
        <w:pStyle w:val="ListBullet"/>
        <w:numPr>
          <w:ilvl w:val="0"/>
          <w:numId w:val="0"/>
        </w:numPr>
        <w:ind w:left="397"/>
        <w:rPr>
          <w:rFonts w:asciiTheme="minorHAnsi" w:hAnsiTheme="minorHAnsi" w:cstheme="minorHAnsi"/>
        </w:rPr>
      </w:pPr>
      <w:r w:rsidRPr="000A724B">
        <w:rPr>
          <w:rFonts w:asciiTheme="minorHAnsi" w:hAnsiTheme="minorHAnsi" w:cstheme="minorHAnsi"/>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1EEBEE68" w14:textId="77777777" w:rsidR="00C40111" w:rsidRPr="000A724B" w:rsidRDefault="00C40111" w:rsidP="00C40111">
      <w:pPr>
        <w:pStyle w:val="ListBullet"/>
        <w:rPr>
          <w:rFonts w:asciiTheme="minorHAnsi" w:hAnsiTheme="minorHAnsi" w:cstheme="minorHAnsi"/>
          <w:color w:val="000000" w:themeColor="text1"/>
        </w:rPr>
      </w:pPr>
      <w:r w:rsidRPr="000A724B">
        <w:rPr>
          <w:rFonts w:asciiTheme="minorHAnsi" w:hAnsiTheme="minorHAnsi" w:cstheme="minorHAnsi"/>
          <w:color w:val="000000" w:themeColor="text1"/>
        </w:rPr>
        <w:t xml:space="preserve">non-commercial and </w:t>
      </w:r>
      <w:r w:rsidRPr="000A724B">
        <w:rPr>
          <w:rFonts w:asciiTheme="minorHAnsi" w:hAnsiTheme="minorHAnsi" w:cstheme="minorHAnsi"/>
        </w:rPr>
        <w:t>environment</w:t>
      </w:r>
    </w:p>
    <w:p w14:paraId="5C25BCDC" w14:textId="77777777" w:rsidR="00C40111" w:rsidRPr="000A724B" w:rsidRDefault="00C40111" w:rsidP="00C40111">
      <w:pPr>
        <w:pStyle w:val="ListBullet"/>
        <w:numPr>
          <w:ilvl w:val="0"/>
          <w:numId w:val="0"/>
        </w:numPr>
        <w:ind w:left="397"/>
        <w:rPr>
          <w:rFonts w:asciiTheme="minorHAnsi" w:hAnsiTheme="minorHAnsi" w:cstheme="minorHAnsi"/>
          <w:color w:val="000000" w:themeColor="text1"/>
        </w:rPr>
      </w:pPr>
      <w:r w:rsidRPr="000A724B">
        <w:rPr>
          <w:rFonts w:asciiTheme="minorHAnsi" w:hAnsiTheme="minorHAnsi" w:cstheme="minorHAnsi"/>
          <w:color w:val="000000" w:themeColor="text1"/>
        </w:rPr>
        <w:t>This may include pest impacts on the community and environment, including reduced tourism, reduced rural and regional economic viability, loss of social amenity, and any ‘side effects’ of control measures.</w:t>
      </w:r>
    </w:p>
    <w:p w14:paraId="2ECB1CCA"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lastRenderedPageBreak/>
        <w:t xml:space="preserve">For </w:t>
      </w:r>
      <w:r w:rsidRPr="000A724B">
        <w:rPr>
          <w:rFonts w:asciiTheme="minorHAnsi" w:hAnsiTheme="minorHAnsi" w:cstheme="minorHAnsi"/>
          <w:color w:val="000000" w:themeColor="text1"/>
        </w:rPr>
        <w:t>each</w:t>
      </w:r>
      <w:r w:rsidRPr="000A724B">
        <w:rPr>
          <w:rFonts w:asciiTheme="minorHAnsi" w:hAnsiTheme="minorHAnsi" w:cstheme="minorHAnsi"/>
        </w:rPr>
        <w:t xml:space="preserve"> of these </w:t>
      </w:r>
      <w:r w:rsidRPr="000A724B">
        <w:rPr>
          <w:rFonts w:asciiTheme="minorHAnsi" w:hAnsiTheme="minorHAnsi" w:cstheme="minorHAnsi"/>
          <w:color w:val="000000" w:themeColor="text1"/>
        </w:rPr>
        <w:t xml:space="preserve">direct and indirect </w:t>
      </w:r>
      <w:r w:rsidRPr="000A724B">
        <w:rPr>
          <w:rFonts w:asciiTheme="minorHAnsi" w:hAnsiTheme="minorHAnsi" w:cstheme="minorHAnsi"/>
        </w:rPr>
        <w:t xml:space="preserve">criteria, the </w:t>
      </w:r>
      <w:r w:rsidRPr="000A724B">
        <w:rPr>
          <w:rFonts w:asciiTheme="minorHAnsi" w:hAnsiTheme="minorHAnsi" w:cstheme="minorHAnsi"/>
          <w:color w:val="000000" w:themeColor="text1"/>
        </w:rPr>
        <w:t xml:space="preserve">level of impact is </w:t>
      </w:r>
      <w:r w:rsidRPr="000A724B">
        <w:rPr>
          <w:rFonts w:asciiTheme="minorHAnsi" w:hAnsiTheme="minorHAnsi" w:cstheme="minorHAnsi"/>
        </w:rPr>
        <w:t>estimated over 4 geographic levels, defined as:</w:t>
      </w:r>
    </w:p>
    <w:p w14:paraId="411C3531" w14:textId="77777777" w:rsidR="00C40111" w:rsidRPr="000A724B" w:rsidRDefault="00C40111" w:rsidP="00C40111">
      <w:pPr>
        <w:pStyle w:val="ListBullet"/>
        <w:rPr>
          <w:rFonts w:asciiTheme="minorHAnsi" w:hAnsiTheme="minorHAnsi" w:cstheme="minorHAnsi"/>
        </w:rPr>
      </w:pPr>
      <w:r w:rsidRPr="000A724B">
        <w:rPr>
          <w:rStyle w:val="Strong"/>
          <w:rFonts w:asciiTheme="minorHAnsi" w:hAnsiTheme="minorHAnsi" w:cstheme="minorHAnsi"/>
        </w:rPr>
        <w:t>Local</w:t>
      </w:r>
      <w:r w:rsidRPr="000A724B">
        <w:rPr>
          <w:rFonts w:asciiTheme="minorHAnsi" w:hAnsiTheme="minorHAnsi" w:cstheme="minorHAnsi"/>
        </w:rPr>
        <w:t>–an aggregate of households or enterprises (a rural community, a town or a local government area)</w:t>
      </w:r>
    </w:p>
    <w:p w14:paraId="72318166" w14:textId="77777777" w:rsidR="00C40111" w:rsidRPr="000A724B" w:rsidRDefault="00C40111" w:rsidP="00C40111">
      <w:pPr>
        <w:pStyle w:val="ListBullet"/>
        <w:rPr>
          <w:rFonts w:asciiTheme="minorHAnsi" w:hAnsiTheme="minorHAnsi" w:cstheme="minorHAnsi"/>
        </w:rPr>
      </w:pPr>
      <w:r w:rsidRPr="000A724B">
        <w:rPr>
          <w:rStyle w:val="Strong"/>
          <w:rFonts w:asciiTheme="minorHAnsi" w:hAnsiTheme="minorHAnsi" w:cstheme="minorHAnsi"/>
        </w:rPr>
        <w:t>District</w:t>
      </w:r>
      <w:r w:rsidRPr="000A724B">
        <w:rPr>
          <w:rFonts w:asciiTheme="minorHAnsi" w:hAnsiTheme="minorHAnsi" w:cstheme="minorHAnsi"/>
        </w:rPr>
        <w:t>–a geographically or geopolitically associated collection of aggregates (generally a recognised section of a state or territory, such as ‘Far North Queensland’)</w:t>
      </w:r>
    </w:p>
    <w:p w14:paraId="703E15C5" w14:textId="77777777" w:rsidR="00C40111" w:rsidRPr="000A724B" w:rsidRDefault="00C40111" w:rsidP="00C40111">
      <w:pPr>
        <w:pStyle w:val="ListBullet"/>
        <w:rPr>
          <w:rFonts w:asciiTheme="minorHAnsi" w:hAnsiTheme="minorHAnsi" w:cstheme="minorHAnsi"/>
        </w:rPr>
      </w:pPr>
      <w:r w:rsidRPr="000A724B">
        <w:rPr>
          <w:rStyle w:val="Strong"/>
          <w:rFonts w:asciiTheme="minorHAnsi" w:hAnsiTheme="minorHAnsi" w:cstheme="minorHAnsi"/>
        </w:rPr>
        <w:t>Regional</w:t>
      </w:r>
      <w:r w:rsidRPr="000A724B">
        <w:rPr>
          <w:rFonts w:asciiTheme="minorHAnsi" w:hAnsiTheme="minorHAnsi" w:cstheme="minorHAnsi"/>
        </w:rPr>
        <w:t>–a geographically or geopolitically associated collection of districts in a geographic area (generally a state or territory, although there may be exceptions with larger states such as Western Australia)</w:t>
      </w:r>
    </w:p>
    <w:p w14:paraId="18D6202E" w14:textId="77777777" w:rsidR="00C40111" w:rsidRPr="000A724B" w:rsidRDefault="00C40111" w:rsidP="00C40111">
      <w:pPr>
        <w:pStyle w:val="ListBullet"/>
        <w:rPr>
          <w:rFonts w:asciiTheme="minorHAnsi" w:hAnsiTheme="minorHAnsi" w:cstheme="minorHAnsi"/>
        </w:rPr>
      </w:pPr>
      <w:r w:rsidRPr="000A724B">
        <w:rPr>
          <w:rStyle w:val="Strong"/>
          <w:rFonts w:asciiTheme="minorHAnsi" w:hAnsiTheme="minorHAnsi" w:cstheme="minorHAnsi"/>
        </w:rPr>
        <w:t>National</w:t>
      </w:r>
      <w:r w:rsidRPr="000A724B">
        <w:rPr>
          <w:rFonts w:asciiTheme="minorHAnsi" w:hAnsiTheme="minorHAnsi" w:cstheme="minorHAnsi"/>
        </w:rPr>
        <w:t>–Australia wide (Australian mainland states and territories and Tasmania).</w:t>
      </w:r>
    </w:p>
    <w:p w14:paraId="699D30B1" w14:textId="77777777" w:rsidR="00C40111" w:rsidRPr="000A724B" w:rsidRDefault="00C40111" w:rsidP="00C40111">
      <w:pPr>
        <w:rPr>
          <w:rFonts w:asciiTheme="minorHAnsi" w:hAnsiTheme="minorHAnsi" w:cstheme="minorHAnsi"/>
        </w:rPr>
      </w:pPr>
      <w:r w:rsidRPr="000A724B">
        <w:rPr>
          <w:rFonts w:asciiTheme="minorHAnsi" w:hAnsiTheme="minorHAnsi" w:cstheme="minorHAnsi"/>
        </w:rPr>
        <w:t xml:space="preserve">For each criterion, the magnitude of </w:t>
      </w:r>
      <w:r w:rsidRPr="000A724B">
        <w:rPr>
          <w:rFonts w:asciiTheme="minorHAnsi" w:hAnsiTheme="minorHAnsi" w:cstheme="minorHAnsi"/>
          <w:color w:val="000000" w:themeColor="text1"/>
        </w:rPr>
        <w:t xml:space="preserve">impact </w:t>
      </w:r>
      <w:r w:rsidRPr="000A724B">
        <w:rPr>
          <w:rFonts w:asciiTheme="minorHAnsi" w:hAnsiTheme="minorHAnsi" w:cstheme="minorHAnsi"/>
        </w:rPr>
        <w:t xml:space="preserve">at each of these </w:t>
      </w:r>
      <w:r w:rsidRPr="000A724B">
        <w:rPr>
          <w:rFonts w:asciiTheme="minorHAnsi" w:hAnsiTheme="minorHAnsi" w:cstheme="minorHAnsi"/>
          <w:color w:val="000000" w:themeColor="text1"/>
        </w:rPr>
        <w:t>geographic</w:t>
      </w:r>
      <w:r w:rsidRPr="000A724B">
        <w:rPr>
          <w:rFonts w:asciiTheme="minorHAnsi" w:hAnsiTheme="minorHAnsi" w:cstheme="minorHAnsi"/>
          <w:color w:val="538135" w:themeColor="accent6" w:themeShade="BF"/>
        </w:rPr>
        <w:t xml:space="preserve"> </w:t>
      </w:r>
      <w:r w:rsidRPr="000A724B">
        <w:rPr>
          <w:rFonts w:asciiTheme="minorHAnsi" w:hAnsiTheme="minorHAnsi" w:cstheme="minorHAnsi"/>
        </w:rPr>
        <w:t>levels is described using 4 categories, defined as:</w:t>
      </w:r>
    </w:p>
    <w:p w14:paraId="4E61E80B" w14:textId="77777777" w:rsidR="00C40111" w:rsidRPr="000A724B" w:rsidRDefault="00C40111" w:rsidP="00C40111">
      <w:pPr>
        <w:pStyle w:val="ListBullet"/>
        <w:rPr>
          <w:rFonts w:asciiTheme="minorHAnsi" w:hAnsiTheme="minorHAnsi" w:cstheme="minorHAnsi"/>
          <w:color w:val="000000" w:themeColor="text1"/>
        </w:rPr>
      </w:pPr>
      <w:r w:rsidRPr="000A724B">
        <w:rPr>
          <w:rStyle w:val="Strong"/>
          <w:rFonts w:asciiTheme="minorHAnsi" w:hAnsiTheme="minorHAnsi" w:cstheme="minorHAnsi"/>
          <w:color w:val="000000" w:themeColor="text1"/>
        </w:rPr>
        <w:t xml:space="preserve">Unlikely to be </w:t>
      </w:r>
      <w:r w:rsidRPr="000A724B">
        <w:rPr>
          <w:rStyle w:val="Strong"/>
          <w:rFonts w:asciiTheme="minorHAnsi" w:hAnsiTheme="minorHAnsi" w:cstheme="minorHAnsi"/>
        </w:rPr>
        <w:t>discernible</w:t>
      </w:r>
      <w:r w:rsidRPr="000A724B">
        <w:rPr>
          <w:rFonts w:asciiTheme="minorHAnsi" w:hAnsiTheme="minorHAnsi" w:cstheme="minorHAnsi"/>
        </w:rPr>
        <w:t xml:space="preserve">–pest impact </w:t>
      </w:r>
      <w:r w:rsidRPr="000A724B">
        <w:rPr>
          <w:rFonts w:asciiTheme="minorHAnsi" w:hAnsiTheme="minorHAnsi" w:cstheme="minorHAnsi"/>
          <w:color w:val="000000" w:themeColor="text1"/>
        </w:rPr>
        <w:t>is not usually distinguishable from normal day-to-day variation in the criterion</w:t>
      </w:r>
    </w:p>
    <w:p w14:paraId="1D0FBD7F" w14:textId="77777777" w:rsidR="00C40111" w:rsidRPr="000A724B" w:rsidRDefault="00C40111" w:rsidP="00C40111">
      <w:pPr>
        <w:pStyle w:val="ListBullet"/>
        <w:rPr>
          <w:rFonts w:asciiTheme="minorHAnsi" w:hAnsiTheme="minorHAnsi" w:cstheme="minorHAnsi"/>
        </w:rPr>
      </w:pPr>
      <w:r w:rsidRPr="000A724B">
        <w:rPr>
          <w:rStyle w:val="Strong"/>
          <w:rFonts w:asciiTheme="minorHAnsi" w:hAnsiTheme="minorHAnsi" w:cstheme="minorHAnsi"/>
        </w:rPr>
        <w:t>Minor significance</w:t>
      </w:r>
      <w:r w:rsidRPr="000A724B">
        <w:rPr>
          <w:rFonts w:asciiTheme="minorHAnsi" w:hAnsiTheme="minorHAnsi" w:cstheme="minorHAnsi"/>
        </w:rP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7FE58042" w14:textId="77777777" w:rsidR="00C40111" w:rsidRPr="000A724B" w:rsidRDefault="00C40111" w:rsidP="00C40111">
      <w:pPr>
        <w:pStyle w:val="ListBullet"/>
        <w:rPr>
          <w:rFonts w:asciiTheme="minorHAnsi" w:hAnsiTheme="minorHAnsi" w:cstheme="minorHAnsi"/>
        </w:rPr>
      </w:pPr>
      <w:proofErr w:type="gramStart"/>
      <w:r w:rsidRPr="000A724B">
        <w:rPr>
          <w:rFonts w:asciiTheme="minorHAnsi" w:hAnsiTheme="minorHAnsi" w:cstheme="minorHAnsi"/>
          <w:b/>
        </w:rPr>
        <w:t>Significant</w:t>
      </w:r>
      <w:r w:rsidRPr="000A724B">
        <w:rPr>
          <w:rFonts w:asciiTheme="minorHAnsi" w:hAnsiTheme="minorHAnsi" w:cstheme="minorHAnsi"/>
        </w:rPr>
        <w:t>–expected</w:t>
      </w:r>
      <w:proofErr w:type="gramEnd"/>
      <w:r w:rsidRPr="000A724B">
        <w:rPr>
          <w:rFonts w:asciiTheme="minorHAnsi" w:hAnsiTheme="minorHAnsi" w:cstheme="minorHAnsi"/>
        </w:rPr>
        <w:t xml:space="preserve">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22765CFD" w14:textId="77777777" w:rsidR="00C40111" w:rsidRPr="000A724B" w:rsidRDefault="00C40111" w:rsidP="00C40111">
      <w:pPr>
        <w:pStyle w:val="ListBullet"/>
        <w:rPr>
          <w:rFonts w:asciiTheme="minorHAnsi" w:hAnsiTheme="minorHAnsi" w:cstheme="minorHAnsi"/>
        </w:rPr>
      </w:pPr>
      <w:r w:rsidRPr="000A724B">
        <w:rPr>
          <w:rFonts w:asciiTheme="minorHAnsi" w:hAnsiTheme="minorHAnsi" w:cstheme="minorHAnsi"/>
          <w:b/>
        </w:rPr>
        <w:t>Major significance</w:t>
      </w:r>
      <w:r w:rsidRPr="000A724B">
        <w:rPr>
          <w:rFonts w:asciiTheme="minorHAnsi" w:hAnsiTheme="minorHAnsi" w:cstheme="minorHAnsi"/>
        </w:rPr>
        <w:t>–expected to threaten the economic viability through a large increase in mortality/morbidity of hosts, or a large decrease in production. Expected to severely or irreversibly damage the intrinsic ‘value’ of non-commercial criteria.</w:t>
      </w:r>
    </w:p>
    <w:p w14:paraId="31DA16E0" w14:textId="15EC091D"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 xml:space="preserve">Each individual direct or indirect impact is given an </w:t>
      </w:r>
      <w:r w:rsidRPr="000A724B">
        <w:rPr>
          <w:rFonts w:asciiTheme="minorHAnsi" w:hAnsiTheme="minorHAnsi" w:cstheme="minorHAnsi"/>
        </w:rPr>
        <w:t xml:space="preserve">impact score (A–G) using </w:t>
      </w:r>
      <w:r w:rsidRPr="000A724B">
        <w:rPr>
          <w:rFonts w:asciiTheme="minorHAnsi" w:hAnsiTheme="minorHAnsi" w:cstheme="minorHAnsi"/>
          <w:color w:val="000000" w:themeColor="text1"/>
        </w:rPr>
        <w:t xml:space="preserve">the decision rules in </w:t>
      </w:r>
      <w:r w:rsidRPr="000A724B">
        <w:rPr>
          <w:rFonts w:asciiTheme="minorHAnsi" w:hAnsiTheme="minorHAnsi" w:cstheme="minorHAnsi"/>
          <w:color w:val="000000" w:themeColor="text1"/>
        </w:rPr>
        <w:fldChar w:fldCharType="begin"/>
      </w:r>
      <w:r w:rsidRPr="000A724B">
        <w:rPr>
          <w:rFonts w:asciiTheme="minorHAnsi" w:hAnsiTheme="minorHAnsi" w:cstheme="minorHAnsi"/>
          <w:color w:val="000000" w:themeColor="text1"/>
        </w:rPr>
        <w:instrText xml:space="preserve"> REF _Ref90446454 \h </w:instrText>
      </w:r>
      <w:r w:rsidR="000A724B">
        <w:rPr>
          <w:rFonts w:asciiTheme="minorHAnsi" w:hAnsiTheme="minorHAnsi" w:cstheme="minorHAnsi"/>
          <w:color w:val="000000" w:themeColor="text1"/>
        </w:rPr>
        <w:instrText xml:space="preserve"> \* MERGEFORMAT </w:instrText>
      </w:r>
      <w:r w:rsidRPr="000A724B">
        <w:rPr>
          <w:rFonts w:asciiTheme="minorHAnsi" w:hAnsiTheme="minorHAnsi" w:cstheme="minorHAnsi"/>
          <w:color w:val="000000" w:themeColor="text1"/>
        </w:rPr>
      </w:r>
      <w:r w:rsidRPr="000A724B">
        <w:rPr>
          <w:rFonts w:asciiTheme="minorHAnsi" w:hAnsiTheme="minorHAnsi" w:cstheme="minorHAnsi"/>
          <w:color w:val="000000" w:themeColor="text1"/>
        </w:rPr>
        <w:fldChar w:fldCharType="separate"/>
      </w:r>
      <w:r w:rsidR="00D07917" w:rsidRPr="000A724B">
        <w:rPr>
          <w:rFonts w:asciiTheme="minorHAnsi" w:hAnsiTheme="minorHAnsi" w:cstheme="minorHAnsi"/>
        </w:rPr>
        <w:t>Figure A.</w:t>
      </w:r>
      <w:r w:rsidR="00D07917">
        <w:rPr>
          <w:rFonts w:asciiTheme="minorHAnsi" w:hAnsiTheme="minorHAnsi" w:cstheme="minorHAnsi"/>
          <w:noProof/>
        </w:rPr>
        <w:t>1</w:t>
      </w:r>
      <w:r w:rsidRPr="000A724B">
        <w:rPr>
          <w:rFonts w:asciiTheme="minorHAnsi" w:hAnsiTheme="minorHAnsi" w:cstheme="minorHAnsi"/>
          <w:color w:val="000000" w:themeColor="text1"/>
        </w:rPr>
        <w:fldChar w:fldCharType="end"/>
      </w:r>
      <w:r w:rsidRPr="000A724B">
        <w:rPr>
          <w:rFonts w:asciiTheme="minorHAnsi" w:hAnsiTheme="minorHAnsi" w:cstheme="minorHAnsi"/>
          <w:color w:val="000000" w:themeColor="text1"/>
        </w:rPr>
        <w:t xml:space="preserve">. This is done by determining which of the shaded cells with bold font in </w:t>
      </w:r>
      <w:r w:rsidRPr="000A724B">
        <w:rPr>
          <w:rFonts w:asciiTheme="minorHAnsi" w:hAnsiTheme="minorHAnsi" w:cstheme="minorHAnsi"/>
          <w:color w:val="000000" w:themeColor="text1"/>
        </w:rPr>
        <w:fldChar w:fldCharType="begin"/>
      </w:r>
      <w:r w:rsidRPr="000A724B">
        <w:rPr>
          <w:rFonts w:asciiTheme="minorHAnsi" w:hAnsiTheme="minorHAnsi" w:cstheme="minorHAnsi"/>
          <w:color w:val="000000" w:themeColor="text1"/>
        </w:rPr>
        <w:instrText xml:space="preserve"> REF _Ref90446454 \h </w:instrText>
      </w:r>
      <w:r w:rsidR="000A724B">
        <w:rPr>
          <w:rFonts w:asciiTheme="minorHAnsi" w:hAnsiTheme="minorHAnsi" w:cstheme="minorHAnsi"/>
          <w:color w:val="000000" w:themeColor="text1"/>
        </w:rPr>
        <w:instrText xml:space="preserve"> \* MERGEFORMAT </w:instrText>
      </w:r>
      <w:r w:rsidRPr="000A724B">
        <w:rPr>
          <w:rFonts w:asciiTheme="minorHAnsi" w:hAnsiTheme="minorHAnsi" w:cstheme="minorHAnsi"/>
          <w:color w:val="000000" w:themeColor="text1"/>
        </w:rPr>
      </w:r>
      <w:r w:rsidRPr="000A724B">
        <w:rPr>
          <w:rFonts w:asciiTheme="minorHAnsi" w:hAnsiTheme="minorHAnsi" w:cstheme="minorHAnsi"/>
          <w:color w:val="000000" w:themeColor="text1"/>
        </w:rPr>
        <w:fldChar w:fldCharType="separate"/>
      </w:r>
      <w:r w:rsidR="00D07917" w:rsidRPr="000A724B">
        <w:rPr>
          <w:rFonts w:asciiTheme="minorHAnsi" w:hAnsiTheme="minorHAnsi" w:cstheme="minorHAnsi"/>
        </w:rPr>
        <w:t>Figure A.</w:t>
      </w:r>
      <w:r w:rsidR="00D07917">
        <w:rPr>
          <w:rFonts w:asciiTheme="minorHAnsi" w:hAnsiTheme="minorHAnsi" w:cstheme="minorHAnsi"/>
          <w:noProof/>
        </w:rPr>
        <w:t>1</w:t>
      </w:r>
      <w:r w:rsidRPr="000A724B">
        <w:rPr>
          <w:rFonts w:asciiTheme="minorHAnsi" w:hAnsiTheme="minorHAnsi" w:cstheme="minorHAnsi"/>
          <w:color w:val="000000" w:themeColor="text1"/>
        </w:rPr>
        <w:fldChar w:fldCharType="end"/>
      </w:r>
      <w:r w:rsidRPr="000A724B">
        <w:rPr>
          <w:rFonts w:asciiTheme="minorHAnsi" w:hAnsiTheme="minorHAnsi" w:cstheme="minorHAnsi"/>
          <w:color w:val="000000" w:themeColor="text1"/>
        </w:rPr>
        <w:t xml:space="preserve"> correspond to the level and magnitude of the </w:t>
      </w:r>
      <w:proofErr w:type="gramStart"/>
      <w:r w:rsidRPr="000A724B">
        <w:rPr>
          <w:rFonts w:asciiTheme="minorHAnsi" w:hAnsiTheme="minorHAnsi" w:cstheme="minorHAnsi"/>
          <w:color w:val="000000" w:themeColor="text1"/>
        </w:rPr>
        <w:t>particular impact</w:t>
      </w:r>
      <w:proofErr w:type="gramEnd"/>
      <w:r w:rsidRPr="000A724B">
        <w:rPr>
          <w:rFonts w:asciiTheme="minorHAnsi" w:hAnsiTheme="minorHAnsi" w:cstheme="minorHAnsi"/>
          <w:color w:val="000000" w:themeColor="text1"/>
        </w:rPr>
        <w:t>.</w:t>
      </w:r>
    </w:p>
    <w:p w14:paraId="16AC555C" w14:textId="77777777" w:rsidR="00C40111" w:rsidRPr="000A724B" w:rsidRDefault="00C40111" w:rsidP="00C40111">
      <w:pPr>
        <w:rPr>
          <w:rFonts w:asciiTheme="minorHAnsi" w:hAnsiTheme="minorHAnsi" w:cstheme="minorHAnsi"/>
          <w:color w:val="000000" w:themeColor="text1"/>
        </w:rPr>
      </w:pPr>
      <w:r w:rsidRPr="000A724B">
        <w:rPr>
          <w:rFonts w:asciiTheme="minorHAnsi" w:hAnsiTheme="minorHAnsi" w:cstheme="minorHAnsi"/>
          <w:color w:val="000000" w:themeColor="text1"/>
        </w:rPr>
        <w:t>The following are considered during this process:</w:t>
      </w:r>
    </w:p>
    <w:p w14:paraId="6C5376EC" w14:textId="77777777" w:rsidR="00C40111" w:rsidRPr="000A724B" w:rsidRDefault="00C40111" w:rsidP="00C40111">
      <w:pPr>
        <w:pStyle w:val="ListBullet"/>
        <w:rPr>
          <w:rFonts w:asciiTheme="minorHAnsi" w:hAnsiTheme="minorHAnsi" w:cstheme="minorHAnsi"/>
          <w:color w:val="000000" w:themeColor="text1"/>
        </w:rPr>
      </w:pPr>
      <w:r w:rsidRPr="000A724B">
        <w:rPr>
          <w:rFonts w:asciiTheme="minorHAnsi" w:hAnsiTheme="minorHAnsi" w:cstheme="minorHAnsi"/>
          <w:color w:val="000000" w:themeColor="text1"/>
        </w:rPr>
        <w:t>At each geographic level below 'National', an impact more serious than ‘Minor significance’ is considered at least 'Minor significance' at the level above. For example, a ‘Significant’ impact at the state or territory level is considered equivalent to at least a ‘Minor significance’ impact at the national level.</w:t>
      </w:r>
    </w:p>
    <w:p w14:paraId="59062708" w14:textId="77777777" w:rsidR="00C40111" w:rsidRPr="000A724B" w:rsidRDefault="00C40111" w:rsidP="00C40111">
      <w:pPr>
        <w:pStyle w:val="ListBullet"/>
        <w:rPr>
          <w:rFonts w:asciiTheme="minorHAnsi" w:hAnsiTheme="minorHAnsi" w:cstheme="minorHAnsi"/>
          <w:color w:val="000000" w:themeColor="text1"/>
        </w:rPr>
      </w:pPr>
      <w:r w:rsidRPr="000A724B">
        <w:rPr>
          <w:rFonts w:asciiTheme="minorHAnsi" w:hAnsiTheme="minorHAnsi" w:cstheme="minorHAnsi"/>
          <w:color w:val="000000" w:themeColor="text1"/>
        </w:rPr>
        <w:t>If the impact of a pest at a given level is in multiple states or territories, districts or regions or local areas, it is considered to represent at least the same magnitude of impact at the next highest geographic level. For example, a ‘Minor significance’ impact in multiple states or territories represents a ‘Minor significance’ impact at the national level.</w:t>
      </w:r>
      <w:bookmarkStart w:id="61" w:name="_Ref17718804"/>
    </w:p>
    <w:p w14:paraId="5C143BF1" w14:textId="77777777" w:rsidR="00C40111" w:rsidRPr="000A724B" w:rsidRDefault="00C40111" w:rsidP="00C40111">
      <w:pPr>
        <w:pStyle w:val="ListBullet"/>
        <w:rPr>
          <w:rFonts w:asciiTheme="minorHAnsi" w:hAnsiTheme="minorHAnsi" w:cstheme="minorHAnsi"/>
          <w:color w:val="000000" w:themeColor="text1"/>
        </w:rPr>
      </w:pPr>
      <w:r w:rsidRPr="000A724B">
        <w:rPr>
          <w:rFonts w:asciiTheme="minorHAnsi" w:hAnsiTheme="minorHAnsi" w:cstheme="minorHAnsi"/>
          <w:color w:val="000000" w:themeColor="text1"/>
        </w:rPr>
        <w:t>The geographic distribution of an impact does not necessarily determine the impact. For example, an outbreak could occur on one orchard/farm, but the impact could potentially still be considered at a state or national level.</w:t>
      </w:r>
    </w:p>
    <w:p w14:paraId="0F4C64D2" w14:textId="33F5A300" w:rsidR="00C40111" w:rsidRPr="000A724B" w:rsidRDefault="00C40111" w:rsidP="00C40111">
      <w:pPr>
        <w:pStyle w:val="Caption"/>
        <w:rPr>
          <w:rFonts w:asciiTheme="minorHAnsi" w:hAnsiTheme="minorHAnsi" w:cstheme="minorHAnsi"/>
        </w:rPr>
      </w:pPr>
      <w:bookmarkStart w:id="62" w:name="_Ref90446454"/>
      <w:r w:rsidRPr="000A724B">
        <w:rPr>
          <w:rFonts w:asciiTheme="minorHAnsi" w:hAnsiTheme="minorHAnsi" w:cstheme="minorHAnsi"/>
        </w:rPr>
        <w:lastRenderedPageBreak/>
        <w:t>Figure A.</w:t>
      </w:r>
      <w:r w:rsidR="00162872" w:rsidRPr="000A724B">
        <w:rPr>
          <w:rFonts w:asciiTheme="minorHAnsi" w:hAnsiTheme="minorHAnsi" w:cstheme="minorHAnsi"/>
        </w:rPr>
        <w:fldChar w:fldCharType="begin"/>
      </w:r>
      <w:r w:rsidR="00162872" w:rsidRPr="000A724B">
        <w:rPr>
          <w:rFonts w:asciiTheme="minorHAnsi" w:hAnsiTheme="minorHAnsi" w:cstheme="minorHAnsi"/>
        </w:rPr>
        <w:instrText xml:space="preserve"> SEQ Figure \* ARABIC \s 2 </w:instrText>
      </w:r>
      <w:r w:rsidR="00162872" w:rsidRPr="000A724B">
        <w:rPr>
          <w:rFonts w:asciiTheme="minorHAnsi" w:hAnsiTheme="minorHAnsi" w:cstheme="minorHAnsi"/>
        </w:rPr>
        <w:fldChar w:fldCharType="separate"/>
      </w:r>
      <w:r w:rsidR="00D07917">
        <w:rPr>
          <w:rFonts w:asciiTheme="minorHAnsi" w:hAnsiTheme="minorHAnsi" w:cstheme="minorHAnsi"/>
          <w:noProof/>
        </w:rPr>
        <w:t>1</w:t>
      </w:r>
      <w:r w:rsidR="00162872" w:rsidRPr="000A724B">
        <w:rPr>
          <w:rFonts w:asciiTheme="minorHAnsi" w:hAnsiTheme="minorHAnsi" w:cstheme="minorHAnsi"/>
          <w:noProof/>
        </w:rPr>
        <w:fldChar w:fldCharType="end"/>
      </w:r>
      <w:bookmarkEnd w:id="62"/>
      <w:r w:rsidRPr="000A724B">
        <w:rPr>
          <w:rFonts w:asciiTheme="minorHAnsi" w:hAnsiTheme="minorHAnsi" w:cstheme="minorHAnsi"/>
        </w:rPr>
        <w:t xml:space="preserve"> Decision rules for determining the impact score for each direct and indirect criterion, based on the </w:t>
      </w:r>
      <w:r w:rsidRPr="000A724B">
        <w:rPr>
          <w:rFonts w:asciiTheme="minorHAnsi" w:hAnsiTheme="minorHAnsi" w:cstheme="minorHAnsi"/>
          <w:i/>
          <w:iCs/>
        </w:rPr>
        <w:t>level of impact</w:t>
      </w:r>
      <w:r w:rsidRPr="000A724B">
        <w:rPr>
          <w:rFonts w:asciiTheme="minorHAnsi" w:hAnsiTheme="minorHAnsi" w:cstheme="minorHAnsi"/>
        </w:rPr>
        <w:t xml:space="preserve"> and the </w:t>
      </w:r>
      <w:r w:rsidRPr="000A724B">
        <w:rPr>
          <w:rFonts w:asciiTheme="minorHAnsi" w:hAnsiTheme="minorHAnsi" w:cstheme="minorHAnsi"/>
          <w:i/>
          <w:iCs/>
        </w:rPr>
        <w:t>magnitude of impact</w:t>
      </w:r>
    </w:p>
    <w:p w14:paraId="00C47EB8" w14:textId="4A730FD3" w:rsidR="00C40111" w:rsidRDefault="00381F40" w:rsidP="00C40111">
      <w:pPr>
        <w:pStyle w:val="FigureTableNoteSource"/>
      </w:pPr>
      <w:r>
        <w:rPr>
          <w:noProof/>
        </w:rPr>
        <w:drawing>
          <wp:inline distT="0" distB="0" distL="0" distR="0" wp14:anchorId="6DDB127E" wp14:editId="33407270">
            <wp:extent cx="5761355" cy="5053965"/>
            <wp:effectExtent l="0" t="0" r="0" b="0"/>
            <wp:docPr id="91088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1355" cy="5053965"/>
                    </a:xfrm>
                    <a:prstGeom prst="rect">
                      <a:avLst/>
                    </a:prstGeom>
                    <a:noFill/>
                  </pic:spPr>
                </pic:pic>
              </a:graphicData>
            </a:graphic>
          </wp:inline>
        </w:drawing>
      </w:r>
    </w:p>
    <w:p w14:paraId="0D3E15B0" w14:textId="77777777" w:rsidR="00C40111" w:rsidRDefault="00C40111" w:rsidP="00C40111">
      <w:pPr>
        <w:pStyle w:val="FigureTableNoteSource"/>
      </w:pPr>
      <w:r>
        <w:t>For each criterion:</w:t>
      </w:r>
    </w:p>
    <w:p w14:paraId="21D2C74C" w14:textId="77777777" w:rsidR="00C40111" w:rsidRDefault="00C40111" w:rsidP="00F85722">
      <w:pPr>
        <w:pStyle w:val="FigureTableNoteSource"/>
        <w:numPr>
          <w:ilvl w:val="0"/>
          <w:numId w:val="7"/>
        </w:numPr>
        <w:rPr>
          <w:rStyle w:val="Emphasis"/>
          <w:i w:val="0"/>
          <w:iCs w:val="0"/>
        </w:rPr>
      </w:pPr>
      <w:r>
        <w:t xml:space="preserve">the </w:t>
      </w:r>
      <w:r>
        <w:rPr>
          <w:rStyle w:val="Emphasis"/>
        </w:rPr>
        <w:t>level of impact is estimated over 4 geographic levels: local, district, regional and national</w:t>
      </w:r>
    </w:p>
    <w:p w14:paraId="2E348318" w14:textId="77777777" w:rsidR="00C40111" w:rsidRDefault="00C40111" w:rsidP="00F85722">
      <w:pPr>
        <w:pStyle w:val="FigureTableNoteSource"/>
        <w:numPr>
          <w:ilvl w:val="0"/>
          <w:numId w:val="7"/>
        </w:numPr>
      </w:pPr>
      <w:r>
        <w:t xml:space="preserve">the </w:t>
      </w:r>
      <w:r>
        <w:rPr>
          <w:i/>
          <w:iCs/>
        </w:rPr>
        <w:t xml:space="preserve">magnitude of impact </w:t>
      </w:r>
      <w:r>
        <w:t>at each of the 4 geographic levels is described using 4 categories: unlikely to be discernible, minor significance, significant and major significance</w:t>
      </w:r>
    </w:p>
    <w:p w14:paraId="2F95EEB3" w14:textId="77777777" w:rsidR="00C40111" w:rsidRPr="009E5354" w:rsidRDefault="00C40111" w:rsidP="00F85722">
      <w:pPr>
        <w:pStyle w:val="FigureTableNoteSource"/>
        <w:numPr>
          <w:ilvl w:val="0"/>
          <w:numId w:val="7"/>
        </w:numPr>
      </w:pPr>
      <w:r>
        <w:t>an impact score (A–G) is assigned by determining which of the shaded cells with bold font correspond to the level and magnitude of impact.</w:t>
      </w:r>
    </w:p>
    <w:p w14:paraId="25F302FC" w14:textId="335D6B82" w:rsidR="00C40111" w:rsidRPr="00381F40" w:rsidRDefault="00C40111" w:rsidP="00C40111">
      <w:pPr>
        <w:rPr>
          <w:rStyle w:val="Strong"/>
          <w:rFonts w:asciiTheme="minorHAnsi" w:hAnsiTheme="minorHAnsi" w:cstheme="minorHAnsi"/>
        </w:rPr>
      </w:pPr>
      <w:r w:rsidRPr="00381F40">
        <w:rPr>
          <w:rStyle w:val="Strong"/>
          <w:rFonts w:asciiTheme="minorHAnsi" w:hAnsiTheme="minorHAnsi" w:cstheme="minorHAnsi"/>
        </w:rPr>
        <w:t>Step</w:t>
      </w:r>
      <w:r w:rsidR="00D14268" w:rsidRPr="00381F40">
        <w:rPr>
          <w:rStyle w:val="Strong"/>
          <w:rFonts w:asciiTheme="minorHAnsi" w:hAnsiTheme="minorHAnsi" w:cstheme="minorHAnsi"/>
        </w:rPr>
        <w:t xml:space="preserve"> </w:t>
      </w:r>
      <w:r w:rsidRPr="00381F40">
        <w:rPr>
          <w:rStyle w:val="Strong"/>
          <w:rFonts w:asciiTheme="minorHAnsi" w:hAnsiTheme="minorHAnsi" w:cstheme="minorHAnsi"/>
        </w:rPr>
        <w:t>2: Combining direct and indirect impacts</w:t>
      </w:r>
    </w:p>
    <w:p w14:paraId="76C65758" w14:textId="4FDF5D1E" w:rsidR="00C40111" w:rsidRPr="00381F40" w:rsidRDefault="00C40111" w:rsidP="00C40111">
      <w:pPr>
        <w:jc w:val="both"/>
        <w:rPr>
          <w:rFonts w:asciiTheme="minorHAnsi" w:hAnsiTheme="minorHAnsi" w:cstheme="minorHAnsi"/>
          <w:color w:val="000000" w:themeColor="text1"/>
        </w:rPr>
      </w:pPr>
      <w:r w:rsidRPr="00381F40">
        <w:rPr>
          <w:rFonts w:asciiTheme="minorHAnsi" w:hAnsiTheme="minorHAnsi" w:cstheme="minorHAnsi"/>
        </w:rPr>
        <w:t xml:space="preserve">The overall consequence for each pest </w:t>
      </w:r>
      <w:r w:rsidRPr="00381F40">
        <w:rPr>
          <w:rFonts w:asciiTheme="minorHAnsi" w:hAnsiTheme="minorHAnsi" w:cstheme="minorHAnsi"/>
          <w:color w:val="000000" w:themeColor="text1"/>
        </w:rPr>
        <w:t xml:space="preserve">or each group of pests </w:t>
      </w:r>
      <w:r w:rsidRPr="00381F40">
        <w:rPr>
          <w:rFonts w:asciiTheme="minorHAnsi" w:hAnsiTheme="minorHAnsi" w:cstheme="minorHAnsi"/>
        </w:rPr>
        <w:t xml:space="preserve">is achieved by combining the impact scores (A–G) for each direct and indirect </w:t>
      </w:r>
      <w:r w:rsidRPr="00381F40">
        <w:rPr>
          <w:rFonts w:asciiTheme="minorHAnsi" w:hAnsiTheme="minorHAnsi" w:cstheme="minorHAnsi"/>
          <w:color w:val="000000" w:themeColor="text1"/>
        </w:rPr>
        <w:t>criterion</w:t>
      </w:r>
      <w:r w:rsidRPr="00381F40">
        <w:rPr>
          <w:rFonts w:asciiTheme="minorHAnsi" w:hAnsiTheme="minorHAnsi" w:cstheme="minorHAnsi"/>
          <w:color w:val="538135" w:themeColor="accent6" w:themeShade="BF"/>
        </w:rPr>
        <w:t xml:space="preserve"> </w:t>
      </w:r>
      <w:r w:rsidRPr="00381F40">
        <w:rPr>
          <w:rFonts w:asciiTheme="minorHAnsi" w:hAnsiTheme="minorHAnsi" w:cstheme="minorHAnsi"/>
        </w:rPr>
        <w:t xml:space="preserve">using </w:t>
      </w:r>
      <w:r w:rsidRPr="00381F40">
        <w:rPr>
          <w:rFonts w:asciiTheme="minorHAnsi" w:hAnsiTheme="minorHAnsi" w:cstheme="minorHAnsi"/>
          <w:color w:val="000000" w:themeColor="text1"/>
        </w:rPr>
        <w:t>the</w:t>
      </w:r>
      <w:r w:rsidRPr="00381F40">
        <w:rPr>
          <w:rFonts w:asciiTheme="minorHAnsi" w:hAnsiTheme="minorHAnsi" w:cstheme="minorHAnsi"/>
        </w:rPr>
        <w:t xml:space="preserve"> decision rules </w:t>
      </w:r>
      <w:r w:rsidRPr="00381F40">
        <w:rPr>
          <w:rFonts w:asciiTheme="minorHAnsi" w:hAnsiTheme="minorHAnsi" w:cstheme="minorHAnsi"/>
          <w:color w:val="000000" w:themeColor="text1"/>
        </w:rPr>
        <w:t>in</w:t>
      </w:r>
      <w:r w:rsidRPr="00381F40">
        <w:rPr>
          <w:rFonts w:asciiTheme="minorHAnsi" w:hAnsiTheme="minorHAnsi" w:cstheme="minorHAnsi"/>
          <w:color w:val="538135" w:themeColor="accent6" w:themeShade="BF"/>
        </w:rPr>
        <w:t xml:space="preserve"> </w:t>
      </w:r>
      <w:r w:rsidRPr="00381F40">
        <w:rPr>
          <w:rFonts w:asciiTheme="minorHAnsi" w:hAnsiTheme="minorHAnsi" w:cstheme="minorHAnsi"/>
        </w:rPr>
        <w:fldChar w:fldCharType="begin"/>
      </w:r>
      <w:r w:rsidRPr="00381F40">
        <w:rPr>
          <w:rFonts w:asciiTheme="minorHAnsi" w:hAnsiTheme="minorHAnsi" w:cstheme="minorHAnsi"/>
        </w:rPr>
        <w:instrText xml:space="preserve"> REF _Ref524355002 \h  \* MERGEFORMAT </w:instrText>
      </w:r>
      <w:r w:rsidRPr="00381F40">
        <w:rPr>
          <w:rFonts w:asciiTheme="minorHAnsi" w:hAnsiTheme="minorHAnsi" w:cstheme="minorHAnsi"/>
        </w:rPr>
      </w:r>
      <w:r w:rsidRPr="00381F40">
        <w:rPr>
          <w:rFonts w:asciiTheme="minorHAnsi" w:hAnsiTheme="minorHAnsi" w:cstheme="minorHAnsi"/>
        </w:rPr>
        <w:fldChar w:fldCharType="separate"/>
      </w:r>
      <w:r w:rsidR="00D07917" w:rsidRPr="00381F40">
        <w:rPr>
          <w:rFonts w:asciiTheme="minorHAnsi" w:hAnsiTheme="minorHAnsi" w:cstheme="minorHAnsi"/>
        </w:rPr>
        <w:t xml:space="preserve">Table </w:t>
      </w:r>
      <w:r w:rsidR="00D07917" w:rsidRPr="00381F40">
        <w:rPr>
          <w:rFonts w:asciiTheme="minorHAnsi" w:hAnsiTheme="minorHAnsi" w:cstheme="minorHAnsi"/>
          <w:noProof/>
        </w:rPr>
        <w:t>A.</w:t>
      </w:r>
      <w:r w:rsidR="00D07917" w:rsidRPr="00D07917">
        <w:rPr>
          <w:rFonts w:asciiTheme="minorHAnsi" w:hAnsiTheme="minorHAnsi" w:cstheme="minorHAnsi"/>
          <w:noProof/>
          <w:color w:val="000000" w:themeColor="text1"/>
        </w:rPr>
        <w:t>3</w:t>
      </w:r>
      <w:r w:rsidRPr="00381F40">
        <w:rPr>
          <w:rFonts w:asciiTheme="minorHAnsi" w:hAnsiTheme="minorHAnsi" w:cstheme="minorHAnsi"/>
        </w:rPr>
        <w:fldChar w:fldCharType="end"/>
      </w:r>
      <w:r w:rsidRPr="00381F40">
        <w:rPr>
          <w:rFonts w:asciiTheme="minorHAnsi" w:hAnsiTheme="minorHAnsi" w:cstheme="minorHAnsi"/>
        </w:rPr>
        <w:t xml:space="preserve">. These rules are mutually exclusive and are assessed in numerical order until one applies. </w:t>
      </w:r>
      <w:r w:rsidRPr="00381F40">
        <w:rPr>
          <w:rFonts w:asciiTheme="minorHAnsi" w:hAnsiTheme="minorHAnsi" w:cstheme="minorHAnsi"/>
          <w:color w:val="000000" w:themeColor="text1"/>
        </w:rPr>
        <w:t>For example, if the first rule does not apply, the second rule is considered, and so on.</w:t>
      </w:r>
    </w:p>
    <w:p w14:paraId="3211D2B4" w14:textId="6D2A9AF6" w:rsidR="00C40111" w:rsidRPr="00381F40" w:rsidRDefault="00C40111" w:rsidP="00C40111">
      <w:pPr>
        <w:pStyle w:val="Tablecaption"/>
        <w:rPr>
          <w:rFonts w:asciiTheme="minorHAnsi" w:hAnsiTheme="minorHAnsi" w:cstheme="minorHAnsi"/>
        </w:rPr>
      </w:pPr>
      <w:bookmarkStart w:id="63" w:name="_Ref524355002"/>
      <w:bookmarkStart w:id="64" w:name="_Toc6906417"/>
      <w:bookmarkStart w:id="65" w:name="_Toc112674178"/>
      <w:bookmarkStart w:id="66" w:name="_Toc216420333"/>
      <w:bookmarkEnd w:id="59"/>
      <w:bookmarkEnd w:id="60"/>
      <w:bookmarkEnd w:id="61"/>
      <w:r w:rsidRPr="00381F40">
        <w:rPr>
          <w:rFonts w:asciiTheme="minorHAnsi" w:hAnsiTheme="minorHAnsi" w:cstheme="minorHAnsi"/>
        </w:rPr>
        <w:lastRenderedPageBreak/>
        <w:t>Table A.</w:t>
      </w:r>
      <w:r w:rsidR="00234947" w:rsidRPr="00381F40">
        <w:rPr>
          <w:rFonts w:asciiTheme="minorHAnsi" w:hAnsiTheme="minorHAnsi" w:cstheme="minorHAnsi"/>
        </w:rPr>
        <w:fldChar w:fldCharType="begin"/>
      </w:r>
      <w:r w:rsidR="00234947" w:rsidRPr="00381F40">
        <w:rPr>
          <w:rFonts w:asciiTheme="minorHAnsi" w:hAnsiTheme="minorHAnsi" w:cstheme="minorHAnsi"/>
        </w:rPr>
        <w:instrText xml:space="preserve"> SEQ Table \* ARABIC \s 2 </w:instrText>
      </w:r>
      <w:r w:rsidR="00234947" w:rsidRPr="00381F40">
        <w:rPr>
          <w:rFonts w:asciiTheme="minorHAnsi" w:hAnsiTheme="minorHAnsi" w:cstheme="minorHAnsi"/>
        </w:rPr>
        <w:fldChar w:fldCharType="separate"/>
      </w:r>
      <w:r w:rsidR="00D07917">
        <w:rPr>
          <w:rFonts w:asciiTheme="minorHAnsi" w:hAnsiTheme="minorHAnsi" w:cstheme="minorHAnsi"/>
          <w:noProof/>
        </w:rPr>
        <w:t>3</w:t>
      </w:r>
      <w:r w:rsidR="00234947" w:rsidRPr="00381F40">
        <w:rPr>
          <w:rFonts w:asciiTheme="minorHAnsi" w:hAnsiTheme="minorHAnsi" w:cstheme="minorHAnsi"/>
        </w:rPr>
        <w:fldChar w:fldCharType="end"/>
      </w:r>
      <w:bookmarkEnd w:id="63"/>
      <w:r w:rsidRPr="00381F40">
        <w:rPr>
          <w:rFonts w:asciiTheme="minorHAnsi" w:hAnsiTheme="minorHAnsi" w:cstheme="minorHAnsi"/>
        </w:rPr>
        <w:t xml:space="preserve"> Decision rules for determining the overall consequence rating for each pest</w:t>
      </w:r>
      <w:bookmarkEnd w:id="64"/>
      <w:bookmarkEnd w:id="65"/>
      <w:bookmarkEnd w:id="66"/>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C40111" w:rsidRPr="00381F40" w14:paraId="20E4964F" w14:textId="77777777" w:rsidTr="00205EC0">
        <w:trPr>
          <w:trHeight w:val="414"/>
        </w:trPr>
        <w:tc>
          <w:tcPr>
            <w:tcW w:w="440" w:type="pct"/>
            <w:tcBorders>
              <w:top w:val="single" w:sz="4" w:space="0" w:color="auto"/>
              <w:bottom w:val="single" w:sz="4" w:space="0" w:color="auto"/>
            </w:tcBorders>
          </w:tcPr>
          <w:p w14:paraId="70CD0BB2" w14:textId="77777777" w:rsidR="00C40111" w:rsidRPr="00381F40" w:rsidRDefault="00C40111" w:rsidP="00205EC0">
            <w:pPr>
              <w:pStyle w:val="TableHeading"/>
              <w:rPr>
                <w:rFonts w:asciiTheme="minorHAnsi" w:hAnsiTheme="minorHAnsi" w:cstheme="minorHAnsi"/>
              </w:rPr>
            </w:pPr>
            <w:r w:rsidRPr="00381F40">
              <w:rPr>
                <w:rFonts w:asciiTheme="minorHAnsi" w:hAnsiTheme="minorHAnsi" w:cstheme="minorHAnsi"/>
              </w:rPr>
              <w:t>Rule</w:t>
            </w:r>
          </w:p>
        </w:tc>
        <w:tc>
          <w:tcPr>
            <w:tcW w:w="3206" w:type="pct"/>
            <w:tcBorders>
              <w:top w:val="single" w:sz="4" w:space="0" w:color="auto"/>
              <w:bottom w:val="single" w:sz="4" w:space="0" w:color="auto"/>
            </w:tcBorders>
          </w:tcPr>
          <w:p w14:paraId="0546905F" w14:textId="77777777" w:rsidR="00C40111" w:rsidRPr="00381F40" w:rsidRDefault="00C40111" w:rsidP="00205EC0">
            <w:pPr>
              <w:pStyle w:val="TableHeading"/>
              <w:rPr>
                <w:rFonts w:asciiTheme="minorHAnsi" w:hAnsiTheme="minorHAnsi" w:cstheme="minorHAnsi"/>
              </w:rPr>
            </w:pPr>
            <w:r w:rsidRPr="00381F40">
              <w:rPr>
                <w:rFonts w:asciiTheme="minorHAnsi" w:hAnsiTheme="minorHAnsi" w:cstheme="minorHAnsi"/>
              </w:rPr>
              <w:t>The impact scores for consequences of direct and indirect criteria</w:t>
            </w:r>
          </w:p>
        </w:tc>
        <w:tc>
          <w:tcPr>
            <w:tcW w:w="1354" w:type="pct"/>
            <w:tcBorders>
              <w:top w:val="single" w:sz="4" w:space="0" w:color="auto"/>
              <w:bottom w:val="single" w:sz="4" w:space="0" w:color="auto"/>
            </w:tcBorders>
          </w:tcPr>
          <w:p w14:paraId="7F1D44C8" w14:textId="77777777" w:rsidR="00C40111" w:rsidRPr="00381F40" w:rsidRDefault="00C40111" w:rsidP="00205EC0">
            <w:pPr>
              <w:pStyle w:val="TableHeading"/>
              <w:rPr>
                <w:rFonts w:asciiTheme="minorHAnsi" w:hAnsiTheme="minorHAnsi" w:cstheme="minorHAnsi"/>
              </w:rPr>
            </w:pPr>
            <w:r w:rsidRPr="00381F40">
              <w:rPr>
                <w:rFonts w:asciiTheme="minorHAnsi" w:hAnsiTheme="minorHAnsi" w:cstheme="minorHAnsi"/>
              </w:rPr>
              <w:t>Overall consequence rating</w:t>
            </w:r>
          </w:p>
        </w:tc>
      </w:tr>
      <w:tr w:rsidR="00C40111" w:rsidRPr="00381F40" w14:paraId="61931862" w14:textId="77777777" w:rsidTr="00205EC0">
        <w:trPr>
          <w:trHeight w:val="414"/>
        </w:trPr>
        <w:tc>
          <w:tcPr>
            <w:tcW w:w="440" w:type="pct"/>
            <w:tcBorders>
              <w:top w:val="single" w:sz="4" w:space="0" w:color="auto"/>
              <w:bottom w:val="nil"/>
            </w:tcBorders>
          </w:tcPr>
          <w:p w14:paraId="7C670CA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1</w:t>
            </w:r>
          </w:p>
        </w:tc>
        <w:tc>
          <w:tcPr>
            <w:tcW w:w="3206" w:type="pct"/>
            <w:tcBorders>
              <w:top w:val="single" w:sz="4" w:space="0" w:color="auto"/>
              <w:bottom w:val="nil"/>
            </w:tcBorders>
          </w:tcPr>
          <w:p w14:paraId="185DF04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Any criterion has an impact of ‘G’; or</w:t>
            </w:r>
            <w:r w:rsidRPr="00381F40">
              <w:rPr>
                <w:rFonts w:asciiTheme="minorHAnsi" w:hAnsiTheme="minorHAnsi" w:cstheme="minorHAnsi"/>
              </w:rPr>
              <w:br/>
              <w:t>more than one criterion has an impact of ‘F’; or</w:t>
            </w:r>
            <w:r w:rsidRPr="00381F40">
              <w:rPr>
                <w:rFonts w:asciiTheme="minorHAnsi" w:hAnsiTheme="minorHAnsi" w:cstheme="minorHAnsi"/>
              </w:rPr>
              <w:br/>
              <w:t>a single criterion has an impact of ‘F’ and each remaining criterion an ‘E’.</w:t>
            </w:r>
          </w:p>
        </w:tc>
        <w:tc>
          <w:tcPr>
            <w:tcW w:w="1354" w:type="pct"/>
            <w:tcBorders>
              <w:top w:val="single" w:sz="4" w:space="0" w:color="auto"/>
              <w:bottom w:val="nil"/>
            </w:tcBorders>
          </w:tcPr>
          <w:p w14:paraId="66D702C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Extreme</w:t>
            </w:r>
          </w:p>
        </w:tc>
      </w:tr>
      <w:tr w:rsidR="00C40111" w:rsidRPr="00381F40" w14:paraId="4DE2C94C" w14:textId="77777777" w:rsidTr="00205EC0">
        <w:trPr>
          <w:trHeight w:val="414"/>
        </w:trPr>
        <w:tc>
          <w:tcPr>
            <w:tcW w:w="440" w:type="pct"/>
            <w:tcBorders>
              <w:top w:val="nil"/>
              <w:bottom w:val="nil"/>
            </w:tcBorders>
          </w:tcPr>
          <w:p w14:paraId="631B645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2</w:t>
            </w:r>
          </w:p>
        </w:tc>
        <w:tc>
          <w:tcPr>
            <w:tcW w:w="3206" w:type="pct"/>
            <w:tcBorders>
              <w:top w:val="nil"/>
              <w:bottom w:val="nil"/>
            </w:tcBorders>
          </w:tcPr>
          <w:p w14:paraId="2CE5E175"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A single criterion has an impact of ‘F’; or</w:t>
            </w:r>
            <w:r w:rsidRPr="00381F40">
              <w:rPr>
                <w:rFonts w:asciiTheme="minorHAnsi" w:hAnsiTheme="minorHAnsi" w:cstheme="minorHAnsi"/>
              </w:rPr>
              <w:br/>
              <w:t>all criteria have an impact of ‘E’.</w:t>
            </w:r>
          </w:p>
        </w:tc>
        <w:tc>
          <w:tcPr>
            <w:tcW w:w="1354" w:type="pct"/>
            <w:tcBorders>
              <w:top w:val="nil"/>
              <w:bottom w:val="nil"/>
            </w:tcBorders>
          </w:tcPr>
          <w:p w14:paraId="0A071CA6"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High</w:t>
            </w:r>
          </w:p>
        </w:tc>
      </w:tr>
      <w:tr w:rsidR="00C40111" w:rsidRPr="00381F40" w14:paraId="586730D7" w14:textId="77777777" w:rsidTr="00205EC0">
        <w:trPr>
          <w:trHeight w:val="414"/>
        </w:trPr>
        <w:tc>
          <w:tcPr>
            <w:tcW w:w="440" w:type="pct"/>
            <w:tcBorders>
              <w:top w:val="nil"/>
              <w:bottom w:val="nil"/>
            </w:tcBorders>
          </w:tcPr>
          <w:p w14:paraId="10513CE8"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3</w:t>
            </w:r>
          </w:p>
        </w:tc>
        <w:tc>
          <w:tcPr>
            <w:tcW w:w="3206" w:type="pct"/>
            <w:tcBorders>
              <w:top w:val="nil"/>
              <w:bottom w:val="nil"/>
            </w:tcBorders>
          </w:tcPr>
          <w:p w14:paraId="179A5106"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One or more criteria have an impact of ‘E’; or</w:t>
            </w:r>
            <w:r w:rsidRPr="00381F40">
              <w:rPr>
                <w:rFonts w:asciiTheme="minorHAnsi" w:hAnsiTheme="minorHAnsi" w:cstheme="minorHAnsi"/>
              </w:rPr>
              <w:br/>
              <w:t>all criteria have an impact of ‘D’.</w:t>
            </w:r>
          </w:p>
        </w:tc>
        <w:tc>
          <w:tcPr>
            <w:tcW w:w="1354" w:type="pct"/>
            <w:tcBorders>
              <w:top w:val="nil"/>
              <w:bottom w:val="nil"/>
            </w:tcBorders>
          </w:tcPr>
          <w:p w14:paraId="1623044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w:t>
            </w:r>
          </w:p>
        </w:tc>
      </w:tr>
      <w:tr w:rsidR="00C40111" w:rsidRPr="00381F40" w14:paraId="36142188" w14:textId="77777777" w:rsidTr="00205EC0">
        <w:trPr>
          <w:trHeight w:val="414"/>
        </w:trPr>
        <w:tc>
          <w:tcPr>
            <w:tcW w:w="440" w:type="pct"/>
            <w:tcBorders>
              <w:top w:val="nil"/>
              <w:bottom w:val="nil"/>
            </w:tcBorders>
          </w:tcPr>
          <w:p w14:paraId="09C99248"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4</w:t>
            </w:r>
          </w:p>
        </w:tc>
        <w:tc>
          <w:tcPr>
            <w:tcW w:w="3206" w:type="pct"/>
            <w:tcBorders>
              <w:top w:val="nil"/>
              <w:bottom w:val="nil"/>
            </w:tcBorders>
          </w:tcPr>
          <w:p w14:paraId="14FD9665"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One or more criteria have an impact of ‘D’; or</w:t>
            </w:r>
            <w:r w:rsidRPr="00381F40">
              <w:rPr>
                <w:rFonts w:asciiTheme="minorHAnsi" w:hAnsiTheme="minorHAnsi" w:cstheme="minorHAnsi"/>
              </w:rPr>
              <w:br/>
              <w:t>all criteria have an impact of ‘C’.</w:t>
            </w:r>
          </w:p>
        </w:tc>
        <w:tc>
          <w:tcPr>
            <w:tcW w:w="1354" w:type="pct"/>
            <w:tcBorders>
              <w:top w:val="nil"/>
              <w:bottom w:val="nil"/>
            </w:tcBorders>
          </w:tcPr>
          <w:p w14:paraId="5F7F6A0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w:t>
            </w:r>
          </w:p>
        </w:tc>
      </w:tr>
      <w:tr w:rsidR="00C40111" w:rsidRPr="00381F40" w14:paraId="7CEAC57E" w14:textId="77777777" w:rsidTr="00205EC0">
        <w:trPr>
          <w:trHeight w:val="414"/>
        </w:trPr>
        <w:tc>
          <w:tcPr>
            <w:tcW w:w="440" w:type="pct"/>
            <w:tcBorders>
              <w:top w:val="nil"/>
              <w:bottom w:val="nil"/>
            </w:tcBorders>
          </w:tcPr>
          <w:p w14:paraId="3D5729B6"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5</w:t>
            </w:r>
          </w:p>
        </w:tc>
        <w:tc>
          <w:tcPr>
            <w:tcW w:w="3206" w:type="pct"/>
            <w:tcBorders>
              <w:top w:val="nil"/>
              <w:bottom w:val="nil"/>
            </w:tcBorders>
          </w:tcPr>
          <w:p w14:paraId="53E7F3A6"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One or more criteria have an impact of ‘C’; or</w:t>
            </w:r>
            <w:r w:rsidRPr="00381F40">
              <w:rPr>
                <w:rFonts w:asciiTheme="minorHAnsi" w:hAnsiTheme="minorHAnsi" w:cstheme="minorHAnsi"/>
              </w:rPr>
              <w:br/>
              <w:t>all criteria have an impact of ‘B’.</w:t>
            </w:r>
          </w:p>
        </w:tc>
        <w:tc>
          <w:tcPr>
            <w:tcW w:w="1354" w:type="pct"/>
            <w:tcBorders>
              <w:top w:val="nil"/>
              <w:bottom w:val="nil"/>
            </w:tcBorders>
          </w:tcPr>
          <w:p w14:paraId="047AFA8E"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Very Low</w:t>
            </w:r>
          </w:p>
        </w:tc>
      </w:tr>
      <w:tr w:rsidR="00C40111" w:rsidRPr="00381F40" w14:paraId="0F589A63" w14:textId="77777777" w:rsidTr="00205EC0">
        <w:trPr>
          <w:trHeight w:val="414"/>
        </w:trPr>
        <w:tc>
          <w:tcPr>
            <w:tcW w:w="440" w:type="pct"/>
            <w:tcBorders>
              <w:top w:val="nil"/>
              <w:bottom w:val="single" w:sz="4" w:space="0" w:color="auto"/>
            </w:tcBorders>
          </w:tcPr>
          <w:p w14:paraId="55A75D8C" w14:textId="77777777" w:rsidR="00C40111" w:rsidRPr="00381F40" w:rsidRDefault="00C40111" w:rsidP="00205EC0">
            <w:pPr>
              <w:pStyle w:val="TableText"/>
              <w:rPr>
                <w:rFonts w:asciiTheme="minorHAnsi" w:hAnsiTheme="minorHAnsi" w:cstheme="minorHAnsi"/>
              </w:rPr>
            </w:pPr>
            <w:r w:rsidRPr="00381F40">
              <w:rPr>
                <w:rFonts w:asciiTheme="minorHAnsi" w:hAnsiTheme="minorHAnsi" w:cstheme="minorHAnsi"/>
              </w:rPr>
              <w:t>6</w:t>
            </w:r>
          </w:p>
        </w:tc>
        <w:tc>
          <w:tcPr>
            <w:tcW w:w="3206" w:type="pct"/>
            <w:tcBorders>
              <w:top w:val="nil"/>
              <w:bottom w:val="single" w:sz="4" w:space="0" w:color="auto"/>
            </w:tcBorders>
          </w:tcPr>
          <w:p w14:paraId="0C3D26AB" w14:textId="77777777" w:rsidR="000A1085"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One or more but not all criteria have an impact of ‘B’, and</w:t>
            </w:r>
            <w:r w:rsidR="000A1085" w:rsidRPr="00381F40">
              <w:rPr>
                <w:rFonts w:asciiTheme="minorHAnsi" w:hAnsiTheme="minorHAnsi" w:cstheme="minorHAnsi"/>
              </w:rPr>
              <w:t xml:space="preserve"> </w:t>
            </w:r>
            <w:r w:rsidRPr="00381F40">
              <w:rPr>
                <w:rFonts w:asciiTheme="minorHAnsi" w:hAnsiTheme="minorHAnsi" w:cstheme="minorHAnsi"/>
              </w:rPr>
              <w:t>all remaining criteria have an impact of ‘A’; or</w:t>
            </w:r>
          </w:p>
          <w:p w14:paraId="10BC978F" w14:textId="21011C5B" w:rsidR="00C40111" w:rsidRPr="00381F40" w:rsidRDefault="00C40111" w:rsidP="00205EC0">
            <w:pPr>
              <w:pStyle w:val="TableText"/>
              <w:keepNext/>
              <w:rPr>
                <w:rFonts w:asciiTheme="minorHAnsi" w:hAnsiTheme="minorHAnsi" w:cstheme="minorHAnsi"/>
                <w:highlight w:val="yellow"/>
              </w:rPr>
            </w:pPr>
            <w:r w:rsidRPr="00381F40">
              <w:rPr>
                <w:rFonts w:asciiTheme="minorHAnsi" w:hAnsiTheme="minorHAnsi" w:cstheme="minorHAnsi"/>
              </w:rPr>
              <w:t>all criteria have an impact of ‘A’.</w:t>
            </w:r>
          </w:p>
        </w:tc>
        <w:tc>
          <w:tcPr>
            <w:tcW w:w="1354" w:type="pct"/>
            <w:tcBorders>
              <w:top w:val="nil"/>
              <w:bottom w:val="single" w:sz="4" w:space="0" w:color="auto"/>
            </w:tcBorders>
          </w:tcPr>
          <w:p w14:paraId="2E0EF84E"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w:t>
            </w:r>
          </w:p>
        </w:tc>
      </w:tr>
    </w:tbl>
    <w:p w14:paraId="55277778" w14:textId="77777777" w:rsidR="00C40111" w:rsidRDefault="00C40111" w:rsidP="00F85722">
      <w:pPr>
        <w:pStyle w:val="Heading4-Appendix"/>
        <w:numPr>
          <w:ilvl w:val="0"/>
          <w:numId w:val="4"/>
        </w:numPr>
        <w:tabs>
          <w:tab w:val="num" w:pos="720"/>
        </w:tabs>
      </w:pPr>
      <w:r>
        <w:t>Estimation of the unrestricted risk</w:t>
      </w:r>
    </w:p>
    <w:p w14:paraId="661F1693" w14:textId="612D1EDA" w:rsidR="00C40111" w:rsidRPr="00381F40" w:rsidRDefault="00C40111" w:rsidP="00C40111">
      <w:pPr>
        <w:rPr>
          <w:rFonts w:asciiTheme="minorHAnsi" w:hAnsiTheme="minorHAnsi" w:cstheme="minorHAnsi"/>
        </w:rPr>
      </w:pPr>
      <w:r w:rsidRPr="00381F40">
        <w:rPr>
          <w:rFonts w:asciiTheme="minorHAnsi" w:hAnsiTheme="minorHAnsi" w:cstheme="minorHAnsi"/>
        </w:rPr>
        <w:t>Once the assessment of the likelihood of entry, establishment and spread and for potential consequences are completed, the unrestricted risk can be determined for each pest or each group of pests. This is determined by using a risk estimation matrix (</w:t>
      </w:r>
      <w:r w:rsidRPr="00381F40">
        <w:rPr>
          <w:rFonts w:asciiTheme="minorHAnsi" w:hAnsiTheme="minorHAnsi" w:cstheme="minorHAnsi"/>
        </w:rPr>
        <w:fldChar w:fldCharType="begin"/>
      </w:r>
      <w:r w:rsidRPr="00381F40">
        <w:rPr>
          <w:rFonts w:asciiTheme="minorHAnsi" w:hAnsiTheme="minorHAnsi" w:cstheme="minorHAnsi"/>
        </w:rPr>
        <w:instrText xml:space="preserve"> REF _Ref524355015 \h  \* MERGEFORMAT </w:instrText>
      </w:r>
      <w:r w:rsidRPr="00381F40">
        <w:rPr>
          <w:rFonts w:asciiTheme="minorHAnsi" w:hAnsiTheme="minorHAnsi" w:cstheme="minorHAnsi"/>
        </w:rPr>
      </w:r>
      <w:r w:rsidRPr="00381F40">
        <w:rPr>
          <w:rFonts w:asciiTheme="minorHAnsi" w:hAnsiTheme="minorHAnsi" w:cstheme="minorHAnsi"/>
        </w:rPr>
        <w:fldChar w:fldCharType="separate"/>
      </w:r>
      <w:r w:rsidR="00D07917" w:rsidRPr="00381F40">
        <w:rPr>
          <w:rFonts w:asciiTheme="minorHAnsi" w:hAnsiTheme="minorHAnsi" w:cstheme="minorHAnsi"/>
        </w:rPr>
        <w:t xml:space="preserve">Table </w:t>
      </w:r>
      <w:r w:rsidR="00D07917" w:rsidRPr="00381F40">
        <w:rPr>
          <w:rFonts w:asciiTheme="minorHAnsi" w:hAnsiTheme="minorHAnsi" w:cstheme="minorHAnsi"/>
          <w:noProof/>
        </w:rPr>
        <w:t>A.</w:t>
      </w:r>
      <w:r w:rsidR="00D07917">
        <w:rPr>
          <w:rFonts w:asciiTheme="minorHAnsi" w:hAnsiTheme="minorHAnsi" w:cstheme="minorHAnsi"/>
          <w:noProof/>
        </w:rPr>
        <w:t>4</w:t>
      </w:r>
      <w:r w:rsidRPr="00381F40">
        <w:rPr>
          <w:rFonts w:asciiTheme="minorHAnsi" w:hAnsiTheme="minorHAnsi" w:cstheme="minorHAnsi"/>
        </w:rPr>
        <w:fldChar w:fldCharType="end"/>
      </w:r>
      <w:r w:rsidRPr="00381F40">
        <w:rPr>
          <w:rFonts w:asciiTheme="minorHAnsi" w:hAnsiTheme="minorHAnsi" w:cstheme="minorHAnsi"/>
        </w:rPr>
        <w:t>) to combine the estimates of the likelihood of entry, establishment and spread and the overall consequences of pest establishment and spread.</w:t>
      </w:r>
    </w:p>
    <w:p w14:paraId="51B1F964" w14:textId="56E2297F" w:rsidR="00C40111" w:rsidRPr="00381F40" w:rsidRDefault="00C40111" w:rsidP="00C40111">
      <w:pPr>
        <w:rPr>
          <w:rFonts w:asciiTheme="minorHAnsi" w:hAnsiTheme="minorHAnsi" w:cstheme="minorHAnsi"/>
        </w:rPr>
      </w:pPr>
      <w:r w:rsidRPr="00381F40">
        <w:rPr>
          <w:rFonts w:asciiTheme="minorHAnsi" w:hAnsiTheme="minorHAnsi" w:cstheme="minorHAnsi"/>
        </w:rPr>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w:t>
      </w:r>
      <w:proofErr w:type="gramStart"/>
      <w:r w:rsidRPr="00381F40">
        <w:rPr>
          <w:rFonts w:asciiTheme="minorHAnsi" w:hAnsiTheme="minorHAnsi" w:cstheme="minorHAnsi"/>
        </w:rPr>
        <w:t>High</w:t>
      </w:r>
      <w:proofErr w:type="gramEnd"/>
      <w:r w:rsidRPr="00381F40">
        <w:rPr>
          <w:rFonts w:asciiTheme="minorHAnsi" w:hAnsiTheme="minorHAnsi" w:cstheme="minorHAnsi"/>
        </w:rPr>
        <w:t xml:space="preserve"> likelihood combined with Low consequences—the matrix is not symmetrical. For example, the former combination would give an unrestricted risk rating of Moderate, whereas the latter would give a Low rating.</w:t>
      </w:r>
    </w:p>
    <w:p w14:paraId="33B95210" w14:textId="435BCF6F" w:rsidR="00C40111" w:rsidRPr="00381F40" w:rsidRDefault="00C40111" w:rsidP="00C40111">
      <w:pPr>
        <w:pStyle w:val="Tablecaption"/>
        <w:rPr>
          <w:rFonts w:asciiTheme="minorHAnsi" w:hAnsiTheme="minorHAnsi" w:cstheme="minorHAnsi"/>
        </w:rPr>
      </w:pPr>
      <w:bookmarkStart w:id="67" w:name="_Ref524355015"/>
      <w:bookmarkStart w:id="68" w:name="_Toc6906418"/>
      <w:bookmarkStart w:id="69" w:name="_Toc112674179"/>
      <w:bookmarkStart w:id="70" w:name="_Toc216420334"/>
      <w:r w:rsidRPr="00381F40">
        <w:rPr>
          <w:rFonts w:asciiTheme="minorHAnsi" w:hAnsiTheme="minorHAnsi" w:cstheme="minorHAnsi"/>
        </w:rPr>
        <w:t>Table A.</w:t>
      </w:r>
      <w:r w:rsidR="00234947" w:rsidRPr="00381F40">
        <w:rPr>
          <w:rFonts w:asciiTheme="minorHAnsi" w:hAnsiTheme="minorHAnsi" w:cstheme="minorHAnsi"/>
        </w:rPr>
        <w:fldChar w:fldCharType="begin"/>
      </w:r>
      <w:r w:rsidR="00234947" w:rsidRPr="00381F40">
        <w:rPr>
          <w:rFonts w:asciiTheme="minorHAnsi" w:hAnsiTheme="minorHAnsi" w:cstheme="minorHAnsi"/>
        </w:rPr>
        <w:instrText xml:space="preserve"> SEQ Table \* ARABIC \s 2 </w:instrText>
      </w:r>
      <w:r w:rsidR="00234947" w:rsidRPr="00381F40">
        <w:rPr>
          <w:rFonts w:asciiTheme="minorHAnsi" w:hAnsiTheme="minorHAnsi" w:cstheme="minorHAnsi"/>
        </w:rPr>
        <w:fldChar w:fldCharType="separate"/>
      </w:r>
      <w:r w:rsidR="00D07917">
        <w:rPr>
          <w:rFonts w:asciiTheme="minorHAnsi" w:hAnsiTheme="minorHAnsi" w:cstheme="minorHAnsi"/>
          <w:noProof/>
        </w:rPr>
        <w:t>4</w:t>
      </w:r>
      <w:r w:rsidR="00234947" w:rsidRPr="00381F40">
        <w:rPr>
          <w:rFonts w:asciiTheme="minorHAnsi" w:hAnsiTheme="minorHAnsi" w:cstheme="minorHAnsi"/>
        </w:rPr>
        <w:fldChar w:fldCharType="end"/>
      </w:r>
      <w:bookmarkEnd w:id="67"/>
      <w:r w:rsidRPr="00381F40">
        <w:rPr>
          <w:rFonts w:asciiTheme="minorHAnsi" w:hAnsiTheme="minorHAnsi" w:cstheme="minorHAnsi"/>
        </w:rPr>
        <w:t xml:space="preserve"> Risk estimation matrix</w:t>
      </w:r>
      <w:bookmarkEnd w:id="68"/>
      <w:bookmarkEnd w:id="69"/>
      <w:bookmarkEnd w:id="70"/>
    </w:p>
    <w:tbl>
      <w:tblPr>
        <w:tblW w:w="5000" w:type="pct"/>
        <w:tblLook w:val="0000" w:firstRow="0" w:lastRow="0" w:firstColumn="0" w:lastColumn="0" w:noHBand="0" w:noVBand="0"/>
      </w:tblPr>
      <w:tblGrid>
        <w:gridCol w:w="1438"/>
        <w:gridCol w:w="1270"/>
        <w:gridCol w:w="1270"/>
        <w:gridCol w:w="1272"/>
        <w:gridCol w:w="1270"/>
        <w:gridCol w:w="1270"/>
        <w:gridCol w:w="1270"/>
      </w:tblGrid>
      <w:tr w:rsidR="00C40111" w:rsidRPr="00381F40" w14:paraId="43631E18" w14:textId="77777777" w:rsidTr="00205EC0">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678DF665"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vAlign w:val="bottom"/>
          </w:tcPr>
          <w:p w14:paraId="4C325E9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Consequences of pest entry, establishment and spread</w:t>
            </w:r>
          </w:p>
        </w:tc>
      </w:tr>
      <w:tr w:rsidR="00C40111" w:rsidRPr="00381F40" w14:paraId="6AAA6AC0" w14:textId="77777777" w:rsidTr="00205EC0">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4C865FC0" w14:textId="77777777" w:rsidR="00C40111" w:rsidRPr="00381F40" w:rsidRDefault="00C40111" w:rsidP="00205EC0">
            <w:pPr>
              <w:pStyle w:val="TableText"/>
              <w:keepNext/>
              <w:rPr>
                <w:rFonts w:asciiTheme="minorHAnsi" w:hAnsiTheme="minorHAnsi" w:cstheme="minorHAnsi"/>
                <w:color w:val="FFFFFF" w:themeColor="background1"/>
              </w:rPr>
            </w:pPr>
          </w:p>
        </w:tc>
        <w:tc>
          <w:tcPr>
            <w:tcW w:w="701" w:type="pct"/>
            <w:tcBorders>
              <w:top w:val="single" w:sz="4" w:space="0" w:color="BFBFBF" w:themeColor="background1" w:themeShade="BF"/>
              <w:left w:val="nil"/>
              <w:bottom w:val="single" w:sz="8" w:space="0" w:color="C0C0C0"/>
            </w:tcBorders>
            <w:vAlign w:val="bottom"/>
          </w:tcPr>
          <w:p w14:paraId="5A142B34"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 xml:space="preserve">Negligible </w:t>
            </w:r>
          </w:p>
        </w:tc>
        <w:tc>
          <w:tcPr>
            <w:tcW w:w="701" w:type="pct"/>
            <w:tcBorders>
              <w:top w:val="single" w:sz="4" w:space="0" w:color="BFBFBF" w:themeColor="background1" w:themeShade="BF"/>
              <w:bottom w:val="single" w:sz="8" w:space="0" w:color="C0C0C0"/>
            </w:tcBorders>
            <w:vAlign w:val="bottom"/>
          </w:tcPr>
          <w:p w14:paraId="52CA5DA7"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Very Low</w:t>
            </w:r>
          </w:p>
        </w:tc>
        <w:tc>
          <w:tcPr>
            <w:tcW w:w="702" w:type="pct"/>
            <w:tcBorders>
              <w:top w:val="single" w:sz="4" w:space="0" w:color="BFBFBF" w:themeColor="background1" w:themeShade="BF"/>
              <w:bottom w:val="single" w:sz="8" w:space="0" w:color="C0C0C0"/>
            </w:tcBorders>
            <w:vAlign w:val="bottom"/>
          </w:tcPr>
          <w:p w14:paraId="3877C1DC"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 xml:space="preserve">Low </w:t>
            </w:r>
          </w:p>
        </w:tc>
        <w:tc>
          <w:tcPr>
            <w:tcW w:w="701" w:type="pct"/>
            <w:tcBorders>
              <w:top w:val="single" w:sz="4" w:space="0" w:color="BFBFBF" w:themeColor="background1" w:themeShade="BF"/>
              <w:bottom w:val="single" w:sz="8" w:space="0" w:color="C0C0C0"/>
            </w:tcBorders>
            <w:vAlign w:val="bottom"/>
          </w:tcPr>
          <w:p w14:paraId="6554E7DE"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w:t>
            </w:r>
          </w:p>
        </w:tc>
        <w:tc>
          <w:tcPr>
            <w:tcW w:w="701" w:type="pct"/>
            <w:tcBorders>
              <w:top w:val="single" w:sz="4" w:space="0" w:color="BFBFBF" w:themeColor="background1" w:themeShade="BF"/>
              <w:bottom w:val="single" w:sz="8" w:space="0" w:color="C0C0C0"/>
            </w:tcBorders>
            <w:vAlign w:val="bottom"/>
          </w:tcPr>
          <w:p w14:paraId="05500C6A"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High</w:t>
            </w:r>
          </w:p>
        </w:tc>
        <w:tc>
          <w:tcPr>
            <w:tcW w:w="701" w:type="pct"/>
            <w:tcBorders>
              <w:top w:val="single" w:sz="4" w:space="0" w:color="BFBFBF" w:themeColor="background1" w:themeShade="BF"/>
              <w:bottom w:val="single" w:sz="8" w:space="0" w:color="C0C0C0"/>
              <w:right w:val="single" w:sz="4" w:space="0" w:color="auto"/>
            </w:tcBorders>
            <w:vAlign w:val="bottom"/>
          </w:tcPr>
          <w:p w14:paraId="6AF8ED09"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 xml:space="preserve">Extreme </w:t>
            </w:r>
          </w:p>
        </w:tc>
      </w:tr>
      <w:tr w:rsidR="00C40111" w:rsidRPr="00381F40" w14:paraId="7CF5DDA4"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6CE4AF4"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531E282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46F6BB14" w14:textId="77777777" w:rsidR="00C40111" w:rsidRPr="00381F40" w:rsidRDefault="00C40111" w:rsidP="00205EC0">
            <w:pPr>
              <w:pStyle w:val="TableText"/>
              <w:keepNext/>
              <w:rPr>
                <w:rFonts w:asciiTheme="minorHAnsi" w:hAnsiTheme="minorHAnsi" w:cstheme="minorHAnsi"/>
                <w:color w:val="FFFFFF"/>
              </w:rPr>
            </w:pPr>
            <w:r w:rsidRPr="00381F40">
              <w:rPr>
                <w:rFonts w:asciiTheme="minorHAnsi" w:hAnsiTheme="minorHAnsi" w:cstheme="minorHAnsi"/>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0273CB7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2F51DFAA"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72FE3627"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1D706C42"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Extreme risk</w:t>
            </w:r>
          </w:p>
        </w:tc>
      </w:tr>
      <w:tr w:rsidR="00C40111" w:rsidRPr="00381F40" w14:paraId="1C92E1FE"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F44C938"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CE8783C"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D595842" w14:textId="77777777" w:rsidR="00C40111" w:rsidRPr="00381F40" w:rsidRDefault="00C40111" w:rsidP="00205EC0">
            <w:pPr>
              <w:pStyle w:val="TableText"/>
              <w:keepNext/>
              <w:rPr>
                <w:rFonts w:asciiTheme="minorHAnsi" w:hAnsiTheme="minorHAnsi" w:cstheme="minorHAnsi"/>
                <w:color w:val="FFFFFF"/>
              </w:rPr>
            </w:pPr>
            <w:r w:rsidRPr="00381F40">
              <w:rPr>
                <w:rFonts w:asciiTheme="minorHAnsi" w:hAnsiTheme="minorHAnsi" w:cstheme="minorHAnsi"/>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779BBA3C"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2C447CF8"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5A7B0298"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3C1F6C84"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Extreme risk</w:t>
            </w:r>
          </w:p>
        </w:tc>
      </w:tr>
      <w:tr w:rsidR="00C40111" w:rsidRPr="00381F40" w14:paraId="5670CDC5"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9F47F2D"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3BFBA2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D54B3EC"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25872B18" w14:textId="77777777" w:rsidR="00C40111" w:rsidRPr="00381F40" w:rsidRDefault="00C40111" w:rsidP="00205EC0">
            <w:pPr>
              <w:pStyle w:val="TableText"/>
              <w:keepNext/>
              <w:rPr>
                <w:rFonts w:asciiTheme="minorHAnsi" w:hAnsiTheme="minorHAnsi" w:cstheme="minorHAnsi"/>
                <w:color w:val="FFFFFF"/>
              </w:rPr>
            </w:pPr>
            <w:r w:rsidRPr="00381F40">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D8D00B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3560A9B8"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585BD7C0"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High risk</w:t>
            </w:r>
          </w:p>
        </w:tc>
      </w:tr>
      <w:tr w:rsidR="00C40111" w:rsidRPr="00381F40" w14:paraId="4951256A"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092E36C"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E2B6C71"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2EC0C75"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4A6C36F"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CA47ED9" w14:textId="77777777" w:rsidR="00C40111" w:rsidRPr="00381F40" w:rsidRDefault="00C40111" w:rsidP="00205EC0">
            <w:pPr>
              <w:pStyle w:val="TableText"/>
              <w:keepNext/>
              <w:rPr>
                <w:rFonts w:asciiTheme="minorHAnsi" w:hAnsiTheme="minorHAnsi" w:cstheme="minorHAnsi"/>
                <w:color w:val="FFFFFF"/>
              </w:rPr>
            </w:pPr>
            <w:r w:rsidRPr="00381F40">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DA318B0"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44F6C0D9"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Moderate risk</w:t>
            </w:r>
          </w:p>
        </w:tc>
      </w:tr>
      <w:tr w:rsidR="00C40111" w:rsidRPr="00381F40" w14:paraId="0A64F868" w14:textId="77777777" w:rsidTr="00205EC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9153284"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D3FD814"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5516736"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EF14454"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8D72FD2"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25254F3" w14:textId="77777777" w:rsidR="00C40111" w:rsidRPr="00381F40" w:rsidRDefault="00C40111" w:rsidP="00205EC0">
            <w:pPr>
              <w:pStyle w:val="TableText"/>
              <w:keepNext/>
              <w:rPr>
                <w:rFonts w:asciiTheme="minorHAnsi" w:hAnsiTheme="minorHAnsi" w:cstheme="minorHAnsi"/>
                <w:color w:val="FFFFFF"/>
              </w:rPr>
            </w:pPr>
            <w:r w:rsidRPr="00381F40">
              <w:rPr>
                <w:rFonts w:asciiTheme="minorHAnsi" w:hAnsiTheme="minorHAnsi" w:cstheme="minorHAnsi"/>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2B919099"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Low risk</w:t>
            </w:r>
          </w:p>
        </w:tc>
      </w:tr>
      <w:tr w:rsidR="00C40111" w:rsidRPr="00381F40" w14:paraId="19841E2F" w14:textId="77777777" w:rsidTr="00205EC0">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5E9A6873" w14:textId="77777777" w:rsidR="00C40111" w:rsidRPr="00381F40" w:rsidRDefault="00C40111" w:rsidP="00205EC0">
            <w:pPr>
              <w:pStyle w:val="TableText"/>
              <w:rPr>
                <w:rFonts w:asciiTheme="minorHAnsi" w:hAnsiTheme="minorHAnsi" w:cstheme="minorHAnsi"/>
              </w:rPr>
            </w:pPr>
            <w:r w:rsidRPr="00381F40">
              <w:rPr>
                <w:rFonts w:asciiTheme="minorHAnsi" w:hAnsiTheme="minorHAnsi" w:cstheme="minorHAnsi"/>
              </w:rP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64A5E63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B7E5933"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930C55B"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F100700"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4E98E20" w14:textId="77777777" w:rsidR="00C40111" w:rsidRPr="00381F40" w:rsidRDefault="00C40111" w:rsidP="00205EC0">
            <w:pPr>
              <w:pStyle w:val="TableText"/>
              <w:keepNext/>
              <w:rPr>
                <w:rFonts w:asciiTheme="minorHAnsi" w:hAnsiTheme="minorHAnsi" w:cstheme="minorHAnsi"/>
              </w:rPr>
            </w:pPr>
            <w:r w:rsidRPr="00381F40">
              <w:rPr>
                <w:rFonts w:asciiTheme="minorHAnsi" w:hAnsiTheme="minorHAnsi" w:cstheme="minorHAnsi"/>
              </w:rP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1EFE36AC" w14:textId="77777777" w:rsidR="00C40111" w:rsidRPr="00381F40" w:rsidRDefault="00C40111" w:rsidP="00205EC0">
            <w:pPr>
              <w:pStyle w:val="TableText"/>
              <w:keepNext/>
              <w:rPr>
                <w:rFonts w:asciiTheme="minorHAnsi" w:hAnsiTheme="minorHAnsi" w:cstheme="minorHAnsi"/>
                <w:color w:val="FFFFFF"/>
              </w:rPr>
            </w:pPr>
            <w:r w:rsidRPr="00381F40">
              <w:rPr>
                <w:rFonts w:asciiTheme="minorHAnsi" w:hAnsiTheme="minorHAnsi" w:cstheme="minorHAnsi"/>
                <w:color w:val="FFFFFF"/>
              </w:rPr>
              <w:t>Very Low risk</w:t>
            </w:r>
          </w:p>
        </w:tc>
      </w:tr>
    </w:tbl>
    <w:p w14:paraId="7C869F4D" w14:textId="77777777" w:rsidR="00C40111" w:rsidRDefault="00C40111" w:rsidP="00F85722">
      <w:pPr>
        <w:pStyle w:val="Heading4-Appendix"/>
        <w:numPr>
          <w:ilvl w:val="0"/>
          <w:numId w:val="4"/>
        </w:numPr>
        <w:tabs>
          <w:tab w:val="num" w:pos="720"/>
        </w:tabs>
      </w:pPr>
      <w:r>
        <w:t>The appropriate level of protection (ALOP) for Australia</w:t>
      </w:r>
    </w:p>
    <w:p w14:paraId="539A4FF2" w14:textId="77777777" w:rsidR="00C40111" w:rsidRPr="00381F40" w:rsidRDefault="00C40111" w:rsidP="00C40111">
      <w:pPr>
        <w:rPr>
          <w:rFonts w:asciiTheme="minorHAnsi" w:hAnsiTheme="minorHAnsi" w:cstheme="minorHAnsi"/>
        </w:rPr>
      </w:pPr>
      <w:r w:rsidRPr="00381F40">
        <w:rPr>
          <w:rFonts w:asciiTheme="minorHAnsi" w:hAnsiTheme="minorHAnsi" w:cstheme="minorHAnsi"/>
        </w:rPr>
        <w:t xml:space="preserve">The SPS Agreement defines the concept of an ‘appropriate level of sanitary or phytosanitary protection (ALOP)’ as the level of protection deemed appropriate by the WTO Member establishing a </w:t>
      </w:r>
      <w:r w:rsidRPr="00381F40">
        <w:rPr>
          <w:rFonts w:asciiTheme="minorHAnsi" w:hAnsiTheme="minorHAnsi" w:cstheme="minorHAnsi"/>
        </w:rPr>
        <w:lastRenderedPageBreak/>
        <w:t>sanitary or phytosanitary measure to protect human, animal or plant life or health within its territory.</w:t>
      </w:r>
    </w:p>
    <w:p w14:paraId="61F9E43C" w14:textId="4523439D" w:rsidR="00C40111" w:rsidRPr="00381F40" w:rsidRDefault="00C40111" w:rsidP="00C40111">
      <w:pPr>
        <w:rPr>
          <w:rFonts w:asciiTheme="minorHAnsi" w:hAnsiTheme="minorHAnsi" w:cstheme="minorHAnsi"/>
        </w:rPr>
      </w:pPr>
      <w:r w:rsidRPr="00381F40">
        <w:rPr>
          <w:rFonts w:asciiTheme="minorHAnsi" w:hAnsiTheme="minorHAnsi" w:cstheme="minorHAnsi"/>
        </w:rP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Pr="00381F40">
        <w:rPr>
          <w:rFonts w:asciiTheme="minorHAnsi" w:hAnsiTheme="minorHAnsi" w:cstheme="minorHAnsi"/>
        </w:rPr>
        <w:fldChar w:fldCharType="begin"/>
      </w:r>
      <w:r w:rsidRPr="00381F40">
        <w:rPr>
          <w:rFonts w:asciiTheme="minorHAnsi" w:hAnsiTheme="minorHAnsi" w:cstheme="minorHAnsi"/>
        </w:rPr>
        <w:instrText xml:space="preserve"> REF _Ref524355015 \h  \* MERGEFORMAT </w:instrText>
      </w:r>
      <w:r w:rsidRPr="00381F40">
        <w:rPr>
          <w:rFonts w:asciiTheme="minorHAnsi" w:hAnsiTheme="minorHAnsi" w:cstheme="minorHAnsi"/>
        </w:rPr>
      </w:r>
      <w:r w:rsidRPr="00381F40">
        <w:rPr>
          <w:rFonts w:asciiTheme="minorHAnsi" w:hAnsiTheme="minorHAnsi" w:cstheme="minorHAnsi"/>
        </w:rPr>
        <w:fldChar w:fldCharType="separate"/>
      </w:r>
      <w:r w:rsidR="00D07917" w:rsidRPr="00381F40">
        <w:rPr>
          <w:rFonts w:asciiTheme="minorHAnsi" w:hAnsiTheme="minorHAnsi" w:cstheme="minorHAnsi"/>
        </w:rPr>
        <w:t xml:space="preserve">Table </w:t>
      </w:r>
      <w:r w:rsidR="00D07917" w:rsidRPr="00381F40">
        <w:rPr>
          <w:rFonts w:asciiTheme="minorHAnsi" w:hAnsiTheme="minorHAnsi" w:cstheme="minorHAnsi"/>
          <w:noProof/>
        </w:rPr>
        <w:t>A.</w:t>
      </w:r>
      <w:r w:rsidR="00D07917">
        <w:rPr>
          <w:rFonts w:asciiTheme="minorHAnsi" w:hAnsiTheme="minorHAnsi" w:cstheme="minorHAnsi"/>
          <w:noProof/>
        </w:rPr>
        <w:t>4</w:t>
      </w:r>
      <w:r w:rsidRPr="00381F40">
        <w:rPr>
          <w:rFonts w:asciiTheme="minorHAnsi" w:hAnsiTheme="minorHAnsi" w:cstheme="minorHAnsi"/>
        </w:rPr>
        <w:fldChar w:fldCharType="end"/>
      </w:r>
      <w:r w:rsidRPr="00381F40">
        <w:rPr>
          <w:rFonts w:asciiTheme="minorHAnsi" w:hAnsiTheme="minorHAnsi" w:cstheme="minorHAnsi"/>
        </w:rPr>
        <w:t xml:space="preserve"> marked ‘Very Low risk’ represents the ALOP for Australia.</w:t>
      </w:r>
    </w:p>
    <w:p w14:paraId="4AB5AC29" w14:textId="77777777" w:rsidR="00C40111" w:rsidRDefault="00C40111" w:rsidP="00F85722">
      <w:pPr>
        <w:pStyle w:val="Heading4-Appendix"/>
        <w:numPr>
          <w:ilvl w:val="0"/>
          <w:numId w:val="4"/>
        </w:numPr>
        <w:tabs>
          <w:tab w:val="num" w:pos="720"/>
        </w:tabs>
      </w:pPr>
      <w:bookmarkStart w:id="71" w:name="_Ref524681905"/>
      <w:r>
        <w:t>Adoption of outcomes from previous assessments</w:t>
      </w:r>
      <w:bookmarkEnd w:id="71"/>
    </w:p>
    <w:p w14:paraId="369A7CFB" w14:textId="77777777" w:rsidR="00C40111" w:rsidRPr="00381F40" w:rsidRDefault="00C40111" w:rsidP="00C40111">
      <w:pPr>
        <w:rPr>
          <w:rFonts w:asciiTheme="minorHAnsi" w:hAnsiTheme="minorHAnsi" w:cstheme="minorHAnsi"/>
        </w:rPr>
      </w:pPr>
      <w:r w:rsidRPr="00381F40">
        <w:rPr>
          <w:rFonts w:asciiTheme="minorHAnsi" w:hAnsiTheme="minorHAnsi" w:cstheme="minorHAnsi"/>
        </w:rPr>
        <w:t>Outcomes of previous risk assessments have been adopted in this assessment for pests for which the risk profile is assessed as comparable to previously assessed situations.</w:t>
      </w:r>
    </w:p>
    <w:p w14:paraId="5FB98C16" w14:textId="77777777" w:rsidR="00C40111" w:rsidRPr="00381F40" w:rsidRDefault="00C40111" w:rsidP="00C40111">
      <w:pPr>
        <w:rPr>
          <w:rFonts w:asciiTheme="minorHAnsi" w:hAnsiTheme="minorHAnsi" w:cstheme="minorHAnsi"/>
        </w:rPr>
      </w:pPr>
      <w:r w:rsidRPr="00381F40">
        <w:rPr>
          <w:rFonts w:asciiTheme="minorHAnsi" w:hAnsiTheme="minorHAnsi" w:cstheme="minorHAnsi"/>
        </w:rPr>
        <w:t xml:space="preserve">The prospective adoption of previous risk assessment ratings for the likelihood of importation and the likelihood of distribution is considered on a case-by-case basis by comparing factors relevant to the pathway being assessed with those assessed previously. For assessment of the likelihood of importation, factors considered/compared include the commodity type, the prevalence of the pest and commercial production practices in the exporting country/region. For assessment of the likelihood of distribution of a pest the factors considered/compared include the commodity type, </w:t>
      </w:r>
      <w:r w:rsidRPr="00381F40">
        <w:rPr>
          <w:rFonts w:asciiTheme="minorHAnsi" w:hAnsiTheme="minorHAnsi" w:cstheme="minorHAnsi"/>
          <w:color w:val="000000" w:themeColor="text1"/>
        </w:rPr>
        <w:t>the ways the imported produce will be distributed within Australia as a result of the processing, sale or disposal of the imported produc</w:t>
      </w:r>
      <w:r w:rsidRPr="00381F40">
        <w:rPr>
          <w:rFonts w:asciiTheme="minorHAnsi" w:hAnsiTheme="minorHAnsi" w:cstheme="minorHAnsi"/>
        </w:rPr>
        <w:t xml:space="preserve">e, and the time of year when importation </w:t>
      </w:r>
      <w:r w:rsidRPr="00381F40">
        <w:rPr>
          <w:rFonts w:asciiTheme="minorHAnsi" w:hAnsiTheme="minorHAnsi" w:cstheme="minorHAnsi"/>
          <w:color w:val="000000" w:themeColor="text1"/>
        </w:rPr>
        <w:t>occurs</w:t>
      </w:r>
      <w:r w:rsidRPr="00381F40">
        <w:rPr>
          <w:rFonts w:asciiTheme="minorHAnsi" w:hAnsiTheme="minorHAnsi" w:cstheme="minorHAnsi"/>
          <w:color w:val="538135" w:themeColor="accent6" w:themeShade="BF"/>
        </w:rPr>
        <w:t xml:space="preserve"> </w:t>
      </w:r>
      <w:r w:rsidRPr="00381F40">
        <w:rPr>
          <w:rFonts w:asciiTheme="minorHAnsi" w:hAnsiTheme="minorHAnsi" w:cstheme="minorHAnsi"/>
          <w:color w:val="000000" w:themeColor="text1"/>
        </w:rPr>
        <w:t>and</w:t>
      </w:r>
      <w:r w:rsidRPr="00381F40">
        <w:rPr>
          <w:rFonts w:asciiTheme="minorHAnsi" w:hAnsiTheme="minorHAnsi" w:cstheme="minorHAnsi"/>
        </w:rPr>
        <w:t xml:space="preserve"> the availability and susceptibility of hosts at that time. After comparing these factors and reviewing the latest literature, previously determined ratings may be adopted if the department considers the likelihoods for the pathway being assessed to be comparable to those assigned in the previous assessment(s), and there is no new information to suggest that the ratings assigned in the previous assessment(s) have changed.</w:t>
      </w:r>
    </w:p>
    <w:p w14:paraId="6C401F33" w14:textId="349CEE27" w:rsidR="00C40111" w:rsidRPr="00381F40" w:rsidRDefault="00C40111" w:rsidP="00C40111">
      <w:pPr>
        <w:rPr>
          <w:rFonts w:asciiTheme="minorHAnsi" w:hAnsiTheme="minorHAnsi" w:cstheme="minorHAnsi"/>
        </w:rPr>
      </w:pPr>
      <w:r w:rsidRPr="00381F40">
        <w:rPr>
          <w:rFonts w:asciiTheme="minorHAnsi" w:hAnsiTheme="minorHAnsi" w:cstheme="minorHAnsi"/>
        </w:rPr>
        <w:t>The likelihood</w:t>
      </w:r>
      <w:r w:rsidR="003044D9" w:rsidRPr="00381F40">
        <w:rPr>
          <w:rFonts w:asciiTheme="minorHAnsi" w:hAnsiTheme="minorHAnsi" w:cstheme="minorHAnsi"/>
        </w:rPr>
        <w:t>s</w:t>
      </w:r>
      <w:r w:rsidRPr="00381F40">
        <w:rPr>
          <w:rFonts w:asciiTheme="minorHAnsi" w:hAnsiTheme="minorHAnsi" w:cstheme="minorHAnsi"/>
        </w:rPr>
        <w:t xml:space="preserve"> of establishment and of spread of a pest species in the PRA area will be comparable between risk assessments, regardless of the </w:t>
      </w:r>
      <w:r w:rsidRPr="00381F40">
        <w:rPr>
          <w:rFonts w:asciiTheme="minorHAnsi" w:hAnsiTheme="minorHAnsi" w:cstheme="minorHAnsi"/>
          <w:color w:val="000000" w:themeColor="text1"/>
        </w:rPr>
        <w:t xml:space="preserve">import </w:t>
      </w:r>
      <w:r w:rsidRPr="00381F40">
        <w:rPr>
          <w:rFonts w:asciiTheme="minorHAnsi" w:hAnsiTheme="minorHAnsi" w:cstheme="minorHAnsi"/>
        </w:rPr>
        <w:t xml:space="preserve">pathway through which the pest </w:t>
      </w:r>
      <w:r w:rsidRPr="00381F40">
        <w:rPr>
          <w:rFonts w:asciiTheme="minorHAnsi" w:hAnsiTheme="minorHAnsi" w:cstheme="minorHAnsi"/>
          <w:color w:val="000000" w:themeColor="text1"/>
        </w:rPr>
        <w:t>has entered the PRA area</w:t>
      </w:r>
      <w:r w:rsidRPr="00381F40">
        <w:rPr>
          <w:rFonts w:asciiTheme="minorHAnsi" w:hAnsiTheme="minorHAnsi" w:cstheme="minorHAnsi"/>
        </w:rPr>
        <w:t>. This is because these likelihoods relate specifically to conditions and events that occur in the PRA area and are independent of the import pathway. Similarly, the estimate of potential consequences associated with a pest species is also independent of the import pathway. Therefore, the likelihoods of establishment and of spread of a pest, and the estimate of potential consequences, are directly comparable between assessments</w:t>
      </w:r>
      <w:r w:rsidRPr="00381F40">
        <w:rPr>
          <w:rFonts w:asciiTheme="minorHAnsi" w:hAnsiTheme="minorHAnsi" w:cstheme="minorHAnsi"/>
          <w:color w:val="538135" w:themeColor="accent6" w:themeShade="BF"/>
        </w:rPr>
        <w:t xml:space="preserve">. </w:t>
      </w:r>
      <w:r w:rsidRPr="00381F40">
        <w:rPr>
          <w:rFonts w:asciiTheme="minorHAnsi" w:hAnsiTheme="minorHAnsi" w:cstheme="minorHAnsi"/>
          <w:color w:val="000000" w:themeColor="text1"/>
        </w:rPr>
        <w:t>If there is no new information available that would significantly change the ratings for establishment or spread or the consequences the pests may cause, the ratings assigned in the previous assessments for these components</w:t>
      </w:r>
      <w:r w:rsidRPr="00381F40">
        <w:rPr>
          <w:rFonts w:asciiTheme="minorHAnsi" w:hAnsiTheme="minorHAnsi" w:cstheme="minorHAnsi"/>
        </w:rPr>
        <w:t xml:space="preserve"> may be adopted with confidence.</w:t>
      </w:r>
    </w:p>
    <w:p w14:paraId="72F9E75A" w14:textId="77777777" w:rsidR="00C40111" w:rsidRDefault="00C40111" w:rsidP="00F85722">
      <w:pPr>
        <w:pStyle w:val="Heading4-Appendix"/>
        <w:numPr>
          <w:ilvl w:val="0"/>
          <w:numId w:val="4"/>
        </w:numPr>
        <w:tabs>
          <w:tab w:val="num" w:pos="720"/>
        </w:tabs>
      </w:pPr>
      <w:bookmarkStart w:id="72" w:name="_Ref524681882"/>
      <w:bookmarkStart w:id="73" w:name="_Ref51070313"/>
      <w:r>
        <w:t>Application of Group PRA</w:t>
      </w:r>
      <w:bookmarkEnd w:id="72"/>
      <w:r>
        <w:t xml:space="preserve">s </w:t>
      </w:r>
      <w:r w:rsidRPr="00474449">
        <w:t>to this risk analysis</w:t>
      </w:r>
      <w:bookmarkEnd w:id="73"/>
    </w:p>
    <w:p w14:paraId="782D6366" w14:textId="77777777" w:rsidR="00C40111" w:rsidRPr="00E8707C" w:rsidRDefault="00C40111" w:rsidP="00C40111">
      <w:pPr>
        <w:rPr>
          <w:rFonts w:asciiTheme="minorHAnsi" w:hAnsiTheme="minorHAnsi" w:cstheme="minorHAnsi"/>
        </w:rPr>
      </w:pPr>
      <w:r w:rsidRPr="00E8707C">
        <w:rPr>
          <w:rFonts w:asciiTheme="minorHAnsi" w:hAnsiTheme="minorHAnsi" w:cstheme="minorHAnsi"/>
        </w:rPr>
        <w:t>The Group PRAs that were applied to this risk analysis are:</w:t>
      </w:r>
    </w:p>
    <w:p w14:paraId="004B3C11" w14:textId="282CEF5D"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color w:val="000000" w:themeColor="text1"/>
        </w:rPr>
        <w:t xml:space="preserve">the </w:t>
      </w:r>
      <w:r w:rsidRPr="00E8707C">
        <w:rPr>
          <w:rFonts w:asciiTheme="minorHAnsi" w:hAnsiTheme="minorHAnsi" w:cstheme="minorHAnsi"/>
          <w:i/>
          <w:color w:val="000000" w:themeColor="text1"/>
        </w:rPr>
        <w:t xml:space="preserve">Final group pest risk analysis for thrips and </w:t>
      </w:r>
      <w:proofErr w:type="spellStart"/>
      <w:r w:rsidRPr="00E8707C">
        <w:rPr>
          <w:rFonts w:asciiTheme="minorHAnsi" w:hAnsiTheme="minorHAnsi" w:cstheme="minorHAnsi"/>
          <w:i/>
          <w:color w:val="000000" w:themeColor="text1"/>
        </w:rPr>
        <w:t>orthotospoviruses</w:t>
      </w:r>
      <w:proofErr w:type="spellEnd"/>
      <w:r w:rsidRPr="00E8707C">
        <w:rPr>
          <w:rFonts w:asciiTheme="minorHAnsi" w:hAnsiTheme="minorHAnsi" w:cstheme="minorHAnsi"/>
          <w:i/>
          <w:color w:val="000000" w:themeColor="text1"/>
        </w:rPr>
        <w:t xml:space="preserve"> on fresh fruit, vegetable, </w:t>
      </w:r>
      <w:proofErr w:type="gramStart"/>
      <w:r w:rsidRPr="00E8707C">
        <w:rPr>
          <w:rFonts w:asciiTheme="minorHAnsi" w:hAnsiTheme="minorHAnsi" w:cstheme="minorHAnsi"/>
          <w:i/>
          <w:color w:val="000000" w:themeColor="text1"/>
        </w:rPr>
        <w:t>cut-flower</w:t>
      </w:r>
      <w:proofErr w:type="gramEnd"/>
      <w:r w:rsidRPr="00E8707C">
        <w:rPr>
          <w:rFonts w:asciiTheme="minorHAnsi" w:hAnsiTheme="minorHAnsi" w:cstheme="minorHAnsi"/>
          <w:i/>
          <w:color w:val="000000" w:themeColor="text1"/>
        </w:rPr>
        <w:t xml:space="preserve"> and foliage imports</w:t>
      </w:r>
      <w:r w:rsidRPr="00E8707C">
        <w:rPr>
          <w:rFonts w:asciiTheme="minorHAnsi" w:hAnsiTheme="minorHAnsi" w:cstheme="minorHAnsi"/>
          <w:color w:val="000000" w:themeColor="text1"/>
        </w:rPr>
        <w:t xml:space="preserve"> (thrips Group PRA) </w:t>
      </w:r>
      <w:r w:rsidR="00050AD9" w:rsidRPr="00E8707C">
        <w:rPr>
          <w:rFonts w:asciiTheme="minorHAnsi" w:hAnsiTheme="minorHAnsi" w:cstheme="minorHAnsi"/>
          <w:color w:val="000000" w:themeColor="text1"/>
        </w:rPr>
        <w:t>(</w:t>
      </w:r>
      <w:r w:rsidRPr="00E8707C">
        <w:rPr>
          <w:rFonts w:asciiTheme="minorHAnsi" w:hAnsiTheme="minorHAnsi" w:cstheme="minorHAnsi"/>
          <w:color w:val="000000" w:themeColor="text1"/>
        </w:rPr>
        <w:t>DAWR 2017</w:t>
      </w:r>
      <w:r w:rsidR="00050AD9" w:rsidRPr="00E8707C">
        <w:rPr>
          <w:rFonts w:asciiTheme="minorHAnsi" w:hAnsiTheme="minorHAnsi" w:cstheme="minorHAnsi"/>
          <w:color w:val="000000" w:themeColor="text1"/>
        </w:rPr>
        <w:t>)</w:t>
      </w:r>
      <w:r w:rsidRPr="00E8707C">
        <w:rPr>
          <w:rFonts w:asciiTheme="minorHAnsi" w:hAnsiTheme="minorHAnsi" w:cstheme="minorHAnsi"/>
          <w:color w:val="000000" w:themeColor="text1"/>
        </w:rPr>
        <w:t>.</w:t>
      </w:r>
    </w:p>
    <w:p w14:paraId="614BFCF7" w14:textId="55EDD747"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t xml:space="preserve">the </w:t>
      </w:r>
      <w:r w:rsidRPr="00E8707C">
        <w:rPr>
          <w:rFonts w:asciiTheme="minorHAnsi" w:hAnsiTheme="minorHAnsi" w:cstheme="minorHAnsi"/>
          <w:i/>
        </w:rPr>
        <w:t xml:space="preserve">Final group pest risk analysis for mealybugs and the viruses they transmit on fresh fruit, vegetable, </w:t>
      </w:r>
      <w:proofErr w:type="gramStart"/>
      <w:r w:rsidRPr="00E8707C">
        <w:rPr>
          <w:rFonts w:asciiTheme="minorHAnsi" w:hAnsiTheme="minorHAnsi" w:cstheme="minorHAnsi"/>
          <w:i/>
        </w:rPr>
        <w:t>cut-flower</w:t>
      </w:r>
      <w:proofErr w:type="gramEnd"/>
      <w:r w:rsidRPr="00E8707C">
        <w:rPr>
          <w:rFonts w:asciiTheme="minorHAnsi" w:hAnsiTheme="minorHAnsi" w:cstheme="minorHAnsi"/>
          <w:i/>
        </w:rPr>
        <w:t xml:space="preserve"> and foliage imports</w:t>
      </w:r>
      <w:r w:rsidRPr="00E8707C">
        <w:rPr>
          <w:rFonts w:asciiTheme="minorHAnsi" w:hAnsiTheme="minorHAnsi" w:cstheme="minorHAnsi"/>
        </w:rPr>
        <w:t xml:space="preserve"> (mealybugs Group PRA) </w:t>
      </w:r>
      <w:r w:rsidR="00050AD9" w:rsidRPr="00E8707C">
        <w:rPr>
          <w:rFonts w:asciiTheme="minorHAnsi" w:hAnsiTheme="minorHAnsi" w:cstheme="minorHAnsi"/>
        </w:rPr>
        <w:t>(</w:t>
      </w:r>
      <w:r w:rsidRPr="00E8707C">
        <w:rPr>
          <w:rFonts w:asciiTheme="minorHAnsi" w:hAnsiTheme="minorHAnsi" w:cstheme="minorHAnsi"/>
        </w:rPr>
        <w:t>DAWR 2019</w:t>
      </w:r>
      <w:r w:rsidR="00050AD9" w:rsidRPr="00E8707C">
        <w:rPr>
          <w:rFonts w:asciiTheme="minorHAnsi" w:hAnsiTheme="minorHAnsi" w:cstheme="minorHAnsi"/>
        </w:rPr>
        <w:t>)</w:t>
      </w:r>
      <w:r w:rsidRPr="00E8707C">
        <w:rPr>
          <w:rFonts w:asciiTheme="minorHAnsi" w:hAnsiTheme="minorHAnsi" w:cstheme="minorHAnsi"/>
        </w:rPr>
        <w:t>.</w:t>
      </w:r>
    </w:p>
    <w:p w14:paraId="3B3470B1" w14:textId="131BD3FB"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lastRenderedPageBreak/>
        <w:t xml:space="preserve">the </w:t>
      </w:r>
      <w:r w:rsidRPr="00E8707C">
        <w:rPr>
          <w:rFonts w:asciiTheme="minorHAnsi" w:hAnsiTheme="minorHAnsi" w:cstheme="minorHAnsi"/>
          <w:i/>
        </w:rPr>
        <w:t xml:space="preserve">Final group pest risk analysis for soft and hard scale insects on fresh fruit, vegetable, </w:t>
      </w:r>
      <w:proofErr w:type="gramStart"/>
      <w:r w:rsidRPr="00E8707C">
        <w:rPr>
          <w:rFonts w:asciiTheme="minorHAnsi" w:hAnsiTheme="minorHAnsi" w:cstheme="minorHAnsi"/>
          <w:i/>
        </w:rPr>
        <w:t>cut-flower</w:t>
      </w:r>
      <w:proofErr w:type="gramEnd"/>
      <w:r w:rsidRPr="00E8707C">
        <w:rPr>
          <w:rFonts w:asciiTheme="minorHAnsi" w:hAnsiTheme="minorHAnsi" w:cstheme="minorHAnsi"/>
          <w:i/>
        </w:rPr>
        <w:t xml:space="preserve"> and foliage imports</w:t>
      </w:r>
      <w:r w:rsidRPr="00E8707C">
        <w:rPr>
          <w:rFonts w:asciiTheme="minorHAnsi" w:hAnsiTheme="minorHAnsi" w:cstheme="minorHAnsi"/>
        </w:rPr>
        <w:t xml:space="preserve"> (scales Group PRA) </w:t>
      </w:r>
      <w:r w:rsidR="00050AD9" w:rsidRPr="00E8707C">
        <w:rPr>
          <w:rFonts w:asciiTheme="minorHAnsi" w:hAnsiTheme="minorHAnsi" w:cstheme="minorHAnsi"/>
        </w:rPr>
        <w:t>(</w:t>
      </w:r>
      <w:r w:rsidRPr="00E8707C">
        <w:rPr>
          <w:rFonts w:asciiTheme="minorHAnsi" w:hAnsiTheme="minorHAnsi" w:cstheme="minorHAnsi"/>
        </w:rPr>
        <w:t>DAWE 2021</w:t>
      </w:r>
      <w:r w:rsidR="00050AD9" w:rsidRPr="00E8707C">
        <w:rPr>
          <w:rFonts w:asciiTheme="minorHAnsi" w:hAnsiTheme="minorHAnsi" w:cstheme="minorHAnsi"/>
        </w:rPr>
        <w:t>)</w:t>
      </w:r>
      <w:r w:rsidRPr="00E8707C">
        <w:rPr>
          <w:rFonts w:asciiTheme="minorHAnsi" w:hAnsiTheme="minorHAnsi" w:cstheme="minorHAnsi"/>
        </w:rPr>
        <w:t>.</w:t>
      </w:r>
    </w:p>
    <w:p w14:paraId="65D3F9CF" w14:textId="7DC60A0C" w:rsidR="00C40111" w:rsidRPr="00E8707C" w:rsidRDefault="00C40111" w:rsidP="00C40111">
      <w:pPr>
        <w:rPr>
          <w:rFonts w:asciiTheme="minorHAnsi" w:hAnsiTheme="minorHAnsi" w:cstheme="minorHAnsi"/>
        </w:rPr>
      </w:pPr>
      <w:r w:rsidRPr="00E8707C">
        <w:rPr>
          <w:rFonts w:asciiTheme="minorHAnsi" w:hAnsiTheme="minorHAnsi" w:cstheme="minorHAnsi"/>
        </w:rPr>
        <w:t xml:space="preserve">The Group PRA approach is consistent with relevant international standards and requirements–including ISPM 2: </w:t>
      </w:r>
      <w:r w:rsidRPr="00E8707C">
        <w:rPr>
          <w:rFonts w:asciiTheme="minorHAnsi" w:hAnsiTheme="minorHAnsi" w:cstheme="minorHAnsi"/>
          <w:i/>
          <w:iCs/>
        </w:rPr>
        <w:t>Framework for Pest Risk Analysis</w:t>
      </w:r>
      <w:r w:rsidRPr="00E8707C">
        <w:rPr>
          <w:rFonts w:asciiTheme="minorHAnsi" w:hAnsiTheme="minorHAnsi" w:cstheme="minorHAnsi"/>
        </w:rPr>
        <w:t xml:space="preserve"> </w:t>
      </w:r>
      <w:r w:rsidR="008F5F34" w:rsidRPr="00E8707C">
        <w:rPr>
          <w:rFonts w:asciiTheme="minorHAnsi" w:hAnsiTheme="minorHAnsi" w:cstheme="minorHAnsi"/>
        </w:rPr>
        <w:t>(FAO 2019a)</w:t>
      </w:r>
      <w:r w:rsidRPr="00E8707C">
        <w:rPr>
          <w:rFonts w:asciiTheme="minorHAnsi" w:hAnsiTheme="minorHAnsi" w:cstheme="minorHAnsi"/>
        </w:rPr>
        <w:t xml:space="preserve">, ISPM 11: Pest Risk Analysis for Quarantine Pests </w:t>
      </w:r>
      <w:r w:rsidR="008F5F34" w:rsidRPr="00E8707C">
        <w:rPr>
          <w:rFonts w:asciiTheme="minorHAnsi" w:hAnsiTheme="minorHAnsi" w:cstheme="minorHAnsi"/>
        </w:rPr>
        <w:t>(FAO 2019b)</w:t>
      </w:r>
      <w:r w:rsidRPr="00E8707C">
        <w:rPr>
          <w:rFonts w:asciiTheme="minorHAnsi" w:hAnsiTheme="minorHAnsi" w:cstheme="minorHAnsi"/>
        </w:rPr>
        <w:t xml:space="preserve"> and the SPS Agreement </w:t>
      </w:r>
      <w:r w:rsidR="00292E60" w:rsidRPr="00E8707C">
        <w:rPr>
          <w:rFonts w:asciiTheme="minorHAnsi" w:hAnsiTheme="minorHAnsi" w:cstheme="minorHAnsi"/>
        </w:rPr>
        <w:t>(</w:t>
      </w:r>
      <w:r w:rsidRPr="00E8707C">
        <w:rPr>
          <w:rFonts w:asciiTheme="minorHAnsi" w:hAnsiTheme="minorHAnsi" w:cstheme="minorHAnsi"/>
        </w:rPr>
        <w:t>WTO 1995</w:t>
      </w:r>
      <w:r w:rsidR="00292E60" w:rsidRPr="00E8707C">
        <w:rPr>
          <w:rFonts w:asciiTheme="minorHAnsi" w:hAnsiTheme="minorHAnsi" w:cstheme="minorHAnsi"/>
        </w:rPr>
        <w:t>)</w:t>
      </w:r>
      <w:r w:rsidRPr="00E8707C">
        <w:rPr>
          <w:rFonts w:asciiTheme="minorHAnsi" w:hAnsiTheme="minorHAnsi" w:cstheme="minorHAnsi"/>
        </w:rPr>
        <w:t>. ISPM 2 states that ‘Specific organisms may … be analysed individually, or in groups where individual species share common biological characteristics.’</w:t>
      </w:r>
    </w:p>
    <w:p w14:paraId="10236D4B" w14:textId="2AAC6AFB" w:rsidR="00C40111" w:rsidRPr="00E8707C" w:rsidRDefault="00C40111" w:rsidP="00C40111">
      <w:pPr>
        <w:rPr>
          <w:rFonts w:asciiTheme="minorHAnsi" w:hAnsiTheme="minorHAnsi" w:cstheme="minorHAnsi"/>
        </w:rPr>
      </w:pPr>
      <w:r w:rsidRPr="00E8707C">
        <w:rPr>
          <w:rFonts w:asciiTheme="minorHAnsi" w:hAnsiTheme="minorHAnsi" w:cstheme="minorHAnsi"/>
        </w:rPr>
        <w:t xml:space="preserve">Risk estimates derived from a Group PRA are ‘indicative’ in character. This is because the likelihood of entry (the combined likelihoods of importation and distribution) can be influenced by a range of pathway-specific factors, as explained in section </w:t>
      </w:r>
      <w:r w:rsidRPr="00E8707C">
        <w:rPr>
          <w:rFonts w:asciiTheme="minorHAnsi" w:hAnsiTheme="minorHAnsi" w:cstheme="minorHAnsi"/>
        </w:rPr>
        <w:fldChar w:fldCharType="begin"/>
      </w:r>
      <w:r w:rsidRPr="00E8707C">
        <w:rPr>
          <w:rFonts w:asciiTheme="minorHAnsi" w:hAnsiTheme="minorHAnsi" w:cstheme="minorHAnsi"/>
        </w:rPr>
        <w:instrText xml:space="preserve"> REF _Ref524681905 \r \h  \* MERGEFORMAT </w:instrText>
      </w:r>
      <w:r w:rsidRPr="00E8707C">
        <w:rPr>
          <w:rFonts w:asciiTheme="minorHAnsi" w:hAnsiTheme="minorHAnsi" w:cstheme="minorHAnsi"/>
        </w:rPr>
      </w:r>
      <w:r w:rsidRPr="00E8707C">
        <w:rPr>
          <w:rFonts w:asciiTheme="minorHAnsi" w:hAnsiTheme="minorHAnsi" w:cstheme="minorHAnsi"/>
        </w:rPr>
        <w:fldChar w:fldCharType="separate"/>
      </w:r>
      <w:r w:rsidR="00D07917">
        <w:rPr>
          <w:rFonts w:asciiTheme="minorHAnsi" w:hAnsiTheme="minorHAnsi" w:cstheme="minorHAnsi"/>
        </w:rPr>
        <w:t>A2.6</w:t>
      </w:r>
      <w:r w:rsidRPr="00E8707C">
        <w:rPr>
          <w:rFonts w:asciiTheme="minorHAnsi" w:hAnsiTheme="minorHAnsi" w:cstheme="minorHAnsi"/>
        </w:rPr>
        <w:fldChar w:fldCharType="end"/>
      </w:r>
      <w:r w:rsidRPr="00E8707C">
        <w:rPr>
          <w:rFonts w:asciiTheme="minorHAnsi" w:hAnsiTheme="minorHAnsi" w:cstheme="minorHAnsi"/>
        </w:rPr>
        <w:t>. Therefore, the indicative likelihood of entry from a Group PRA needs to be verified on a case-by-case basis.</w:t>
      </w:r>
    </w:p>
    <w:p w14:paraId="3A2489B9" w14:textId="5A273E70" w:rsidR="00C40111" w:rsidRPr="00E8707C" w:rsidRDefault="00C40111" w:rsidP="00C40111">
      <w:pPr>
        <w:rPr>
          <w:rFonts w:asciiTheme="minorHAnsi" w:hAnsiTheme="minorHAnsi" w:cstheme="minorHAnsi"/>
        </w:rPr>
      </w:pPr>
      <w:r w:rsidRPr="00E8707C">
        <w:rPr>
          <w:rFonts w:asciiTheme="minorHAnsi" w:hAnsiTheme="minorHAnsi" w:cstheme="minorHAnsi"/>
        </w:rPr>
        <w:t xml:space="preserve">In contrast, and as noted in section </w:t>
      </w:r>
      <w:r w:rsidRPr="00E8707C">
        <w:rPr>
          <w:rFonts w:asciiTheme="minorHAnsi" w:hAnsiTheme="minorHAnsi" w:cstheme="minorHAnsi"/>
        </w:rPr>
        <w:fldChar w:fldCharType="begin"/>
      </w:r>
      <w:r w:rsidRPr="00E8707C">
        <w:rPr>
          <w:rFonts w:asciiTheme="minorHAnsi" w:hAnsiTheme="minorHAnsi" w:cstheme="minorHAnsi"/>
        </w:rPr>
        <w:instrText xml:space="preserve"> REF _Ref524681905 \r \h  \* MERGEFORMAT </w:instrText>
      </w:r>
      <w:r w:rsidRPr="00E8707C">
        <w:rPr>
          <w:rFonts w:asciiTheme="minorHAnsi" w:hAnsiTheme="minorHAnsi" w:cstheme="minorHAnsi"/>
        </w:rPr>
      </w:r>
      <w:r w:rsidRPr="00E8707C">
        <w:rPr>
          <w:rFonts w:asciiTheme="minorHAnsi" w:hAnsiTheme="minorHAnsi" w:cstheme="minorHAnsi"/>
        </w:rPr>
        <w:fldChar w:fldCharType="separate"/>
      </w:r>
      <w:r w:rsidR="00D07917">
        <w:rPr>
          <w:rFonts w:asciiTheme="minorHAnsi" w:hAnsiTheme="minorHAnsi" w:cstheme="minorHAnsi"/>
        </w:rPr>
        <w:t>A2.6</w:t>
      </w:r>
      <w:r w:rsidRPr="00E8707C">
        <w:rPr>
          <w:rFonts w:asciiTheme="minorHAnsi" w:hAnsiTheme="minorHAnsi" w:cstheme="minorHAnsi"/>
        </w:rPr>
        <w:fldChar w:fldCharType="end"/>
      </w:r>
      <w:r w:rsidRPr="00E8707C">
        <w:rPr>
          <w:rFonts w:asciiTheme="minorHAnsi" w:hAnsiTheme="minorHAnsi" w:cstheme="minorHAnsi"/>
        </w:rPr>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unless there is specific evidence to suggest otherwise, a Group PRA assessment can be applied as the default outcome for any pest species on a plant import pathway once the previously assigned likelihood of entry has been verified.</w:t>
      </w:r>
    </w:p>
    <w:p w14:paraId="26C44FE1" w14:textId="77777777" w:rsidR="00C40111" w:rsidRPr="00E8707C" w:rsidRDefault="00C40111" w:rsidP="00C40111">
      <w:pPr>
        <w:rPr>
          <w:rFonts w:asciiTheme="minorHAnsi" w:hAnsiTheme="minorHAnsi" w:cstheme="minorHAnsi"/>
        </w:rPr>
      </w:pPr>
      <w:r w:rsidRPr="00E8707C">
        <w:rPr>
          <w:rFonts w:asciiTheme="minorHAnsi" w:hAnsiTheme="minorHAnsi" w:cstheme="minorHAnsi"/>
        </w:rPr>
        <w:t>In a scenario where the likelihood of entry for a pest species on a commodity is assessed as different to the indicative estimate, the Group PRA-derived likelihoods of establishment and spread and the estimate of consequences can still be used, but the overall risk rating (the URE) may change.</w:t>
      </w:r>
    </w:p>
    <w:p w14:paraId="54394420" w14:textId="77777777" w:rsidR="00C40111" w:rsidRPr="00E8707C" w:rsidRDefault="00C40111" w:rsidP="00C40111">
      <w:pPr>
        <w:rPr>
          <w:rFonts w:asciiTheme="minorHAnsi" w:hAnsiTheme="minorHAnsi" w:cstheme="minorHAnsi"/>
        </w:rPr>
      </w:pPr>
      <w:r w:rsidRPr="00E8707C">
        <w:rPr>
          <w:rFonts w:asciiTheme="minorHAnsi" w:hAnsiTheme="minorHAnsi" w:cstheme="minorHAnsi"/>
        </w:rPr>
        <w:t>Application of Group policy involves identification of up to 3 species of each relevant group associated with the import pathway. However, if any other quarantine pests or regulated articles not included in this risk analysis and/or in the relevant group policies are detected at pre-export or on arrival in Australia, the relevant Group policy will also apply.</w:t>
      </w:r>
    </w:p>
    <w:p w14:paraId="33F77437" w14:textId="77777777" w:rsidR="00C40111" w:rsidRDefault="00C40111" w:rsidP="00F85722">
      <w:pPr>
        <w:pStyle w:val="Heading3-Appendix"/>
        <w:numPr>
          <w:ilvl w:val="0"/>
          <w:numId w:val="5"/>
        </w:numPr>
        <w:tabs>
          <w:tab w:val="num" w:pos="720"/>
        </w:tabs>
        <w:ind w:left="357" w:hanging="357"/>
      </w:pPr>
      <w:bookmarkStart w:id="74" w:name="_Toc389741444"/>
      <w:bookmarkStart w:id="75" w:name="_Toc6906042"/>
      <w:r>
        <w:t>Stage 3: Pest risk management</w:t>
      </w:r>
      <w:bookmarkEnd w:id="74"/>
      <w:bookmarkEnd w:id="75"/>
    </w:p>
    <w:p w14:paraId="37322DBC" w14:textId="77777777" w:rsidR="00C40111" w:rsidRPr="00E8707C" w:rsidRDefault="00C40111" w:rsidP="00C40111">
      <w:pPr>
        <w:rPr>
          <w:rFonts w:asciiTheme="minorHAnsi" w:hAnsiTheme="minorHAnsi" w:cstheme="minorHAnsi"/>
        </w:rPr>
      </w:pPr>
      <w:r w:rsidRPr="00E8707C">
        <w:rPr>
          <w:rFonts w:asciiTheme="minorHAnsi" w:hAnsiTheme="minorHAnsi" w:cstheme="minorHAnsi"/>
        </w:rPr>
        <w:t>Pest risk management describes the process of identifying and implementing phytosanitary measures to manage risks to achieve the ALOP for Australia, while ensuring that any negative effects on trade are minimised.</w:t>
      </w:r>
    </w:p>
    <w:p w14:paraId="1B115147" w14:textId="77777777" w:rsidR="00C40111" w:rsidRPr="00E8707C" w:rsidRDefault="00C40111" w:rsidP="00C40111">
      <w:pPr>
        <w:rPr>
          <w:rFonts w:asciiTheme="minorHAnsi" w:hAnsiTheme="minorHAnsi" w:cstheme="minorHAnsi"/>
        </w:rPr>
      </w:pPr>
      <w:r w:rsidRPr="00E8707C">
        <w:rPr>
          <w:rFonts w:asciiTheme="minorHAnsi" w:hAnsiTheme="minorHAnsi" w:cstheme="minorHAnsi"/>
        </w:rP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proposed/recommended phytosanitary measures (or combination of measures) is evaluated, using the same approach as used to evaluate the unrestricted risk. This ensures the restricted risk for the relevant pest or pests achieves the ALOP for Australia.</w:t>
      </w:r>
    </w:p>
    <w:p w14:paraId="0267CB51" w14:textId="36EC28F3" w:rsidR="00C40111" w:rsidRPr="00E8707C" w:rsidRDefault="00C40111" w:rsidP="00C40111">
      <w:pPr>
        <w:rPr>
          <w:rFonts w:asciiTheme="minorHAnsi" w:hAnsiTheme="minorHAnsi" w:cstheme="minorHAnsi"/>
        </w:rPr>
      </w:pPr>
      <w:r w:rsidRPr="00E8707C">
        <w:rPr>
          <w:rFonts w:asciiTheme="minorHAnsi" w:hAnsiTheme="minorHAnsi" w:cstheme="minorHAnsi"/>
        </w:rPr>
        <w:t xml:space="preserve">ISPM 11 </w:t>
      </w:r>
      <w:r w:rsidR="00D83A7F" w:rsidRPr="00E8707C">
        <w:rPr>
          <w:rFonts w:asciiTheme="minorHAnsi" w:hAnsiTheme="minorHAnsi" w:cstheme="minorHAnsi"/>
        </w:rPr>
        <w:t xml:space="preserve">(FAO 2019b) </w:t>
      </w:r>
      <w:r w:rsidRPr="00E8707C">
        <w:rPr>
          <w:rFonts w:asciiTheme="minorHAnsi" w:hAnsiTheme="minorHAnsi" w:cstheme="minorHAnsi"/>
        </w:rPr>
        <w:t>provides details on the identification and selection of appropriate risk management options and notes that the choice of measures should be based on their effectiveness in reducing the likelihood of entry of the pest.</w:t>
      </w:r>
    </w:p>
    <w:p w14:paraId="62EF9094" w14:textId="77777777" w:rsidR="00C40111" w:rsidRPr="00E8707C" w:rsidRDefault="00C40111" w:rsidP="00C40111">
      <w:pPr>
        <w:rPr>
          <w:rFonts w:asciiTheme="minorHAnsi" w:hAnsiTheme="minorHAnsi" w:cstheme="minorHAnsi"/>
        </w:rPr>
      </w:pPr>
      <w:r w:rsidRPr="00E8707C">
        <w:rPr>
          <w:rFonts w:asciiTheme="minorHAnsi" w:hAnsiTheme="minorHAnsi" w:cstheme="minorHAnsi"/>
        </w:rPr>
        <w:lastRenderedPageBreak/>
        <w:t>Examples given of measures commonly applied to traded commodities include:</w:t>
      </w:r>
    </w:p>
    <w:p w14:paraId="1B8A79C7" w14:textId="77777777"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2A6E8303" w14:textId="77777777"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6CA4DB03" w14:textId="77777777"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t>options ensuring that the area, place or site of production or crop is free from the pest—for example, pest-free area, pest-free place of production or pest-free production site</w:t>
      </w:r>
    </w:p>
    <w:p w14:paraId="0B72E287" w14:textId="77777777"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t>options for other types of pathways—for example, consider natural spread, measures for human travellers and their baggage, cleaning or disinfestations of contaminated machinery</w:t>
      </w:r>
    </w:p>
    <w:p w14:paraId="5168FFD4" w14:textId="77777777" w:rsidR="00C40111" w:rsidRPr="00E8707C" w:rsidRDefault="00C40111" w:rsidP="00C40111">
      <w:pPr>
        <w:pStyle w:val="ListBullet"/>
        <w:jc w:val="both"/>
        <w:rPr>
          <w:rFonts w:asciiTheme="minorHAnsi" w:hAnsiTheme="minorHAnsi" w:cstheme="minorHAnsi"/>
        </w:rPr>
      </w:pPr>
      <w:r w:rsidRPr="00E8707C">
        <w:rPr>
          <w:rFonts w:asciiTheme="minorHAnsi" w:hAnsiTheme="minorHAnsi" w:cstheme="minorHAnsi"/>
        </w:rPr>
        <w:t>options within the importing country—for example, surveillance and eradication programs</w:t>
      </w:r>
    </w:p>
    <w:p w14:paraId="3F7FEA36" w14:textId="37BBBE16" w:rsidR="00634925" w:rsidRPr="00E8707C" w:rsidRDefault="00C40111" w:rsidP="00B56499">
      <w:pPr>
        <w:pStyle w:val="ListBullet"/>
        <w:tabs>
          <w:tab w:val="left" w:pos="1878"/>
        </w:tabs>
        <w:jc w:val="both"/>
        <w:rPr>
          <w:rFonts w:asciiTheme="minorHAnsi" w:hAnsiTheme="minorHAnsi" w:cstheme="minorHAnsi"/>
        </w:rPr>
      </w:pPr>
      <w:r w:rsidRPr="00E8707C">
        <w:rPr>
          <w:rFonts w:asciiTheme="minorHAnsi" w:hAnsiTheme="minorHAnsi" w:cstheme="minorHAnsi"/>
        </w:rPr>
        <w:t>prohibition of commodities—if no satisfactory measure can be found</w:t>
      </w:r>
      <w:r w:rsidR="00B76C44" w:rsidRPr="00E8707C">
        <w:rPr>
          <w:rFonts w:asciiTheme="minorHAnsi" w:hAnsiTheme="minorHAnsi" w:cstheme="minorHAnsi"/>
        </w:rPr>
        <w:t>.</w:t>
      </w:r>
    </w:p>
    <w:p w14:paraId="21987DE8" w14:textId="798562C2" w:rsidR="00B76C44" w:rsidRPr="00B76C44" w:rsidRDefault="00B76C44" w:rsidP="00B76C44">
      <w:pPr>
        <w:tabs>
          <w:tab w:val="left" w:pos="1878"/>
        </w:tabs>
        <w:rPr>
          <w:lang w:val="en-US"/>
        </w:rPr>
        <w:sectPr w:rsidR="00B76C44" w:rsidRPr="00B76C44">
          <w:headerReference w:type="even" r:id="rId70"/>
          <w:headerReference w:type="default" r:id="rId71"/>
          <w:footerReference w:type="even" r:id="rId72"/>
          <w:footerReference w:type="default" r:id="rId73"/>
          <w:headerReference w:type="first" r:id="rId74"/>
          <w:footerReference w:type="first" r:id="rId75"/>
          <w:pgSz w:w="11906" w:h="16838"/>
          <w:pgMar w:top="1418" w:right="1418" w:bottom="1418" w:left="1418" w:header="567" w:footer="283" w:gutter="0"/>
          <w:cols w:space="708"/>
          <w:docGrid w:linePitch="360"/>
        </w:sectPr>
      </w:pPr>
      <w:r w:rsidRPr="00E8707C">
        <w:rPr>
          <w:rFonts w:asciiTheme="minorHAnsi" w:hAnsiTheme="minorHAnsi" w:cstheme="minorHAnsi"/>
          <w:lang w:val="en-US"/>
        </w:rPr>
        <w:tab/>
      </w:r>
    </w:p>
    <w:p w14:paraId="147A5084" w14:textId="2B861143" w:rsidR="00684F28" w:rsidRDefault="00D0393D" w:rsidP="00B96F59">
      <w:pPr>
        <w:pStyle w:val="Heading2"/>
        <w:numPr>
          <w:ilvl w:val="0"/>
          <w:numId w:val="0"/>
        </w:numPr>
        <w:ind w:left="794" w:hanging="794"/>
      </w:pPr>
      <w:bookmarkStart w:id="76" w:name="_Toc114642149"/>
      <w:bookmarkStart w:id="77" w:name="_Toc216420328"/>
      <w:r>
        <w:lastRenderedPageBreak/>
        <w:t>Glossary</w:t>
      </w:r>
      <w:r w:rsidR="00DF5FEC">
        <w:t>, acronyms and abbreviations</w:t>
      </w:r>
      <w:bookmarkEnd w:id="76"/>
      <w:bookmarkEnd w:id="77"/>
    </w:p>
    <w:tbl>
      <w:tblPr>
        <w:tblW w:w="5000" w:type="pct"/>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2737"/>
        <w:gridCol w:w="6333"/>
      </w:tblGrid>
      <w:tr w:rsidR="00684F28" w:rsidRPr="00684F28" w14:paraId="3BFAEAE9" w14:textId="77777777" w:rsidTr="00FA2565">
        <w:trPr>
          <w:cantSplit/>
          <w:tblHeader/>
        </w:trPr>
        <w:tc>
          <w:tcPr>
            <w:tcW w:w="1509" w:type="pct"/>
            <w:tcBorders>
              <w:top w:val="single" w:sz="4" w:space="0" w:color="auto"/>
              <w:bottom w:val="single" w:sz="4" w:space="0" w:color="auto"/>
            </w:tcBorders>
          </w:tcPr>
          <w:p w14:paraId="38CAFAF2" w14:textId="77777777" w:rsidR="00684F28" w:rsidRPr="00E8707C" w:rsidRDefault="00684F28" w:rsidP="00684F28">
            <w:pPr>
              <w:keepNext/>
              <w:spacing w:before="60" w:after="60" w:line="240" w:lineRule="auto"/>
              <w:rPr>
                <w:rFonts w:asciiTheme="minorHAnsi" w:hAnsiTheme="minorHAnsi" w:cstheme="minorHAnsi"/>
                <w:b/>
                <w:sz w:val="18"/>
              </w:rPr>
            </w:pPr>
            <w:r w:rsidRPr="00E8707C">
              <w:rPr>
                <w:rFonts w:asciiTheme="minorHAnsi" w:hAnsiTheme="minorHAnsi" w:cstheme="minorHAnsi"/>
                <w:b/>
                <w:sz w:val="18"/>
              </w:rPr>
              <w:t>Term or abbreviation</w:t>
            </w:r>
          </w:p>
        </w:tc>
        <w:tc>
          <w:tcPr>
            <w:tcW w:w="3491" w:type="pct"/>
            <w:tcBorders>
              <w:top w:val="single" w:sz="4" w:space="0" w:color="auto"/>
              <w:bottom w:val="single" w:sz="4" w:space="0" w:color="auto"/>
            </w:tcBorders>
          </w:tcPr>
          <w:p w14:paraId="5E09E09E" w14:textId="77777777" w:rsidR="00684F28" w:rsidRPr="00E8707C" w:rsidRDefault="00684F28" w:rsidP="00684F28">
            <w:pPr>
              <w:keepNext/>
              <w:spacing w:before="60" w:after="60" w:line="240" w:lineRule="auto"/>
              <w:rPr>
                <w:rFonts w:asciiTheme="minorHAnsi" w:hAnsiTheme="minorHAnsi" w:cstheme="minorHAnsi"/>
                <w:b/>
                <w:sz w:val="18"/>
              </w:rPr>
            </w:pPr>
            <w:r w:rsidRPr="00E8707C">
              <w:rPr>
                <w:rFonts w:asciiTheme="minorHAnsi" w:hAnsiTheme="minorHAnsi" w:cstheme="minorHAnsi"/>
                <w:b/>
                <w:sz w:val="18"/>
              </w:rPr>
              <w:t>Definition</w:t>
            </w:r>
          </w:p>
        </w:tc>
      </w:tr>
      <w:tr w:rsidR="00684F28" w:rsidRPr="00684F28" w14:paraId="1B9DC1BB" w14:textId="77777777" w:rsidTr="00FA2565">
        <w:tc>
          <w:tcPr>
            <w:tcW w:w="1509" w:type="pct"/>
            <w:tcBorders>
              <w:top w:val="single" w:sz="4" w:space="0" w:color="auto"/>
            </w:tcBorders>
          </w:tcPr>
          <w:p w14:paraId="2412BA7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ACT</w:t>
            </w:r>
          </w:p>
        </w:tc>
        <w:tc>
          <w:tcPr>
            <w:tcW w:w="3491" w:type="pct"/>
            <w:tcBorders>
              <w:top w:val="single" w:sz="4" w:space="0" w:color="auto"/>
            </w:tcBorders>
          </w:tcPr>
          <w:p w14:paraId="7D896968"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Australian Capital Territory</w:t>
            </w:r>
          </w:p>
        </w:tc>
      </w:tr>
      <w:tr w:rsidR="00684F28" w:rsidRPr="00684F28" w14:paraId="1F255EAA" w14:textId="77777777" w:rsidTr="00FA2565">
        <w:tc>
          <w:tcPr>
            <w:tcW w:w="1509" w:type="pct"/>
          </w:tcPr>
          <w:p w14:paraId="0E1DDBA8"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Additional declaration</w:t>
            </w:r>
          </w:p>
        </w:tc>
        <w:tc>
          <w:tcPr>
            <w:tcW w:w="3491" w:type="pct"/>
          </w:tcPr>
          <w:p w14:paraId="2A8082C4" w14:textId="72EFE756"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statement that is required by an importing country to be entered on a phytosanitary certificate and which provides specific additional information on a consignment in relation to regulated pests</w:t>
            </w:r>
            <w:r w:rsidR="0002171F" w:rsidRPr="00E8707C">
              <w:rPr>
                <w:rFonts w:asciiTheme="minorHAnsi" w:hAnsiTheme="minorHAnsi" w:cstheme="minorHAnsi"/>
                <w:sz w:val="18"/>
              </w:rPr>
              <w:t xml:space="preserve"> or regulated articles</w:t>
            </w:r>
            <w:r w:rsidRPr="00E8707C">
              <w:rPr>
                <w:rFonts w:asciiTheme="minorHAnsi" w:hAnsiTheme="minorHAnsi" w:cstheme="minorHAnsi"/>
                <w:sz w:val="18"/>
              </w:rPr>
              <w:t xml:space="preserve"> (</w:t>
            </w:r>
            <w:r w:rsidR="00044E22">
              <w:rPr>
                <w:rFonts w:asciiTheme="minorHAnsi" w:hAnsiTheme="minorHAnsi" w:cstheme="minorHAnsi"/>
                <w:sz w:val="18"/>
              </w:rPr>
              <w:t>FAO 2024</w:t>
            </w:r>
            <w:r w:rsidRPr="00E8707C">
              <w:rPr>
                <w:rFonts w:asciiTheme="minorHAnsi" w:hAnsiTheme="minorHAnsi" w:cstheme="minorHAnsi"/>
                <w:sz w:val="18"/>
              </w:rPr>
              <w:t>).</w:t>
            </w:r>
          </w:p>
        </w:tc>
      </w:tr>
      <w:tr w:rsidR="00684F28" w:rsidRPr="00684F28" w14:paraId="08C4DBBE" w14:textId="77777777" w:rsidTr="00FA2565">
        <w:tc>
          <w:tcPr>
            <w:tcW w:w="1509" w:type="pct"/>
          </w:tcPr>
          <w:p w14:paraId="77AD61D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Appropriate level of protection (ALOP)</w:t>
            </w:r>
          </w:p>
        </w:tc>
        <w:tc>
          <w:tcPr>
            <w:tcW w:w="3491" w:type="pct"/>
          </w:tcPr>
          <w:p w14:paraId="518F7D40" w14:textId="076756E9"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level of protection deemed appropriate by the Member establishing a sanitary or phytosanitary measure to protect human, animal or plant life or health within its territory</w:t>
            </w:r>
            <w:r w:rsidR="00B773D5" w:rsidRPr="00E8707C">
              <w:rPr>
                <w:rFonts w:asciiTheme="minorHAnsi" w:hAnsiTheme="minorHAnsi" w:cstheme="minorHAnsi"/>
                <w:sz w:val="18"/>
              </w:rPr>
              <w:t xml:space="preserve"> (WTO 1995)</w:t>
            </w:r>
            <w:r w:rsidRPr="00E8707C">
              <w:rPr>
                <w:rFonts w:asciiTheme="minorHAnsi" w:hAnsiTheme="minorHAnsi" w:cstheme="minorHAnsi"/>
                <w:sz w:val="18"/>
              </w:rPr>
              <w:t>.</w:t>
            </w:r>
          </w:p>
        </w:tc>
      </w:tr>
      <w:tr w:rsidR="00684F28" w:rsidRPr="00684F28" w14:paraId="69EB5A83" w14:textId="77777777" w:rsidTr="00FA2565">
        <w:tc>
          <w:tcPr>
            <w:tcW w:w="1509" w:type="pct"/>
          </w:tcPr>
          <w:p w14:paraId="032EB33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Appropriate level of protection (ALOP) for Australia</w:t>
            </w:r>
          </w:p>
        </w:tc>
        <w:tc>
          <w:tcPr>
            <w:tcW w:w="3491" w:type="pct"/>
          </w:tcPr>
          <w:p w14:paraId="319CDD8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w:t>
            </w:r>
            <w:r w:rsidRPr="00E8707C">
              <w:rPr>
                <w:rFonts w:asciiTheme="minorHAnsi" w:hAnsiTheme="minorHAnsi" w:cstheme="minorHAnsi"/>
                <w:i/>
                <w:sz w:val="18"/>
              </w:rPr>
              <w:t>Biosecurity Act 2015</w:t>
            </w:r>
            <w:r w:rsidRPr="00E8707C">
              <w:rPr>
                <w:rFonts w:asciiTheme="minorHAnsi" w:hAnsiTheme="minorHAnsi" w:cstheme="minorHAnsi"/>
                <w:sz w:val="18"/>
              </w:rPr>
              <w:t xml:space="preserve"> defines the appropriate level of protection (or ALOP) for Australia as a high level of sanitary and phytosanitary protection aimed at reducing biosecurity risks to very low, but not to zero.</w:t>
            </w:r>
          </w:p>
        </w:tc>
      </w:tr>
      <w:tr w:rsidR="00684F28" w:rsidRPr="00684F28" w14:paraId="6C6B8452" w14:textId="77777777" w:rsidTr="00FA2565">
        <w:tc>
          <w:tcPr>
            <w:tcW w:w="1509" w:type="pct"/>
          </w:tcPr>
          <w:p w14:paraId="04FC359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Area</w:t>
            </w:r>
          </w:p>
        </w:tc>
        <w:tc>
          <w:tcPr>
            <w:tcW w:w="3491" w:type="pct"/>
          </w:tcPr>
          <w:p w14:paraId="5AA0F889" w14:textId="7BBDAF98"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officially defined country, part of a country or all or parts of several countries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4E802896" w14:textId="77777777" w:rsidTr="00FA2565">
        <w:tc>
          <w:tcPr>
            <w:tcW w:w="1509" w:type="pct"/>
          </w:tcPr>
          <w:p w14:paraId="73C034D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Area of low pest prevalence</w:t>
            </w:r>
          </w:p>
        </w:tc>
        <w:tc>
          <w:tcPr>
            <w:tcW w:w="3491" w:type="pct"/>
          </w:tcPr>
          <w:p w14:paraId="2FB85ACD" w14:textId="0A296E96"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area, whether all of a country, part of a country, or all parts of several countries, as identified by the competent authorities, in which a specific </w:t>
            </w:r>
            <w:r w:rsidR="00C51921" w:rsidRPr="00E8707C">
              <w:rPr>
                <w:rFonts w:asciiTheme="minorHAnsi" w:hAnsiTheme="minorHAnsi" w:cstheme="minorHAnsi"/>
                <w:sz w:val="18"/>
              </w:rPr>
              <w:t xml:space="preserve">pest is present at low levels and which is subject to effective surveillance or control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5DB12623" w14:textId="77777777" w:rsidTr="00FA2565">
        <w:tc>
          <w:tcPr>
            <w:tcW w:w="1509" w:type="pct"/>
          </w:tcPr>
          <w:p w14:paraId="25A1F296"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Arthropod</w:t>
            </w:r>
          </w:p>
        </w:tc>
        <w:tc>
          <w:tcPr>
            <w:tcW w:w="3491" w:type="pct"/>
          </w:tcPr>
          <w:p w14:paraId="50E4342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largest phylum of animals, including the insects, arachnids and crustaceans.</w:t>
            </w:r>
          </w:p>
        </w:tc>
      </w:tr>
      <w:tr w:rsidR="00684F28" w:rsidRPr="00684F28" w14:paraId="676CFAE8" w14:textId="77777777" w:rsidTr="00FA2565">
        <w:tc>
          <w:tcPr>
            <w:tcW w:w="1509" w:type="pct"/>
          </w:tcPr>
          <w:p w14:paraId="7010FD7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Asexual reproduction</w:t>
            </w:r>
          </w:p>
        </w:tc>
        <w:tc>
          <w:tcPr>
            <w:tcW w:w="3491" w:type="pct"/>
          </w:tcPr>
          <w:p w14:paraId="56D93FA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development of a new individual from a single cell or group of cells in the absence of meiosis.</w:t>
            </w:r>
          </w:p>
        </w:tc>
      </w:tr>
      <w:tr w:rsidR="00684F28" w:rsidRPr="00684F28" w14:paraId="5311A7D6" w14:textId="77777777" w:rsidTr="00FA2565">
        <w:tc>
          <w:tcPr>
            <w:tcW w:w="1509" w:type="pct"/>
          </w:tcPr>
          <w:p w14:paraId="5AE28A6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color w:val="000000" w:themeColor="text1"/>
                <w:sz w:val="18"/>
              </w:rPr>
              <w:t>Australian territory</w:t>
            </w:r>
          </w:p>
        </w:tc>
        <w:tc>
          <w:tcPr>
            <w:tcW w:w="3491" w:type="pct"/>
          </w:tcPr>
          <w:p w14:paraId="3FE5198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color w:val="000000" w:themeColor="text1"/>
                <w:sz w:val="18"/>
              </w:rPr>
              <w:t xml:space="preserve">Australian territory as referenced in the </w:t>
            </w:r>
            <w:r w:rsidRPr="00E8707C">
              <w:rPr>
                <w:rFonts w:asciiTheme="minorHAnsi" w:hAnsiTheme="minorHAnsi" w:cstheme="minorHAnsi"/>
                <w:i/>
                <w:color w:val="000000" w:themeColor="text1"/>
                <w:sz w:val="18"/>
              </w:rPr>
              <w:t>Biosecurity Act 2015</w:t>
            </w:r>
            <w:r w:rsidRPr="00E8707C">
              <w:rPr>
                <w:rFonts w:asciiTheme="minorHAnsi" w:hAnsiTheme="minorHAnsi" w:cstheme="minorHAnsi"/>
                <w:color w:val="000000" w:themeColor="text1"/>
                <w:sz w:val="18"/>
              </w:rPr>
              <w:t xml:space="preserve"> refers to Australia, Christmas Island and Cocos (Keeling) Islands and any external Territory to which that provision extends.</w:t>
            </w:r>
          </w:p>
        </w:tc>
      </w:tr>
      <w:tr w:rsidR="00684F28" w:rsidRPr="00684F28" w14:paraId="239C41DE" w14:textId="77777777" w:rsidTr="00FA2565">
        <w:tc>
          <w:tcPr>
            <w:tcW w:w="1509" w:type="pct"/>
          </w:tcPr>
          <w:p w14:paraId="67609B6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BA</w:t>
            </w:r>
          </w:p>
        </w:tc>
        <w:tc>
          <w:tcPr>
            <w:tcW w:w="3491" w:type="pct"/>
          </w:tcPr>
          <w:p w14:paraId="00359B8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Biosecurity Advice</w:t>
            </w:r>
          </w:p>
        </w:tc>
      </w:tr>
      <w:tr w:rsidR="00684F28" w:rsidRPr="00684F28" w14:paraId="300341B1" w14:textId="77777777" w:rsidTr="00FA2565">
        <w:tc>
          <w:tcPr>
            <w:tcW w:w="1509" w:type="pct"/>
          </w:tcPr>
          <w:p w14:paraId="3C97A17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BICON</w:t>
            </w:r>
          </w:p>
        </w:tc>
        <w:tc>
          <w:tcPr>
            <w:tcW w:w="3491" w:type="pct"/>
          </w:tcPr>
          <w:p w14:paraId="201B175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Australia's Biosecurity Import Conditions system</w:t>
            </w:r>
          </w:p>
          <w:p w14:paraId="4A5B6A21" w14:textId="77777777" w:rsidR="00684F28" w:rsidRPr="00E8707C" w:rsidRDefault="00684F28" w:rsidP="00684F28">
            <w:pPr>
              <w:spacing w:before="60" w:after="60" w:line="240" w:lineRule="auto"/>
              <w:rPr>
                <w:rFonts w:asciiTheme="minorHAnsi" w:hAnsiTheme="minorHAnsi" w:cstheme="minorHAnsi"/>
                <w:sz w:val="18"/>
              </w:rPr>
            </w:pPr>
            <w:hyperlink r:id="rId76" w:history="1">
              <w:r w:rsidRPr="00E8707C">
                <w:rPr>
                  <w:rFonts w:asciiTheme="minorHAnsi" w:hAnsiTheme="minorHAnsi" w:cstheme="minorHAnsi"/>
                  <w:color w:val="165788"/>
                  <w:sz w:val="18"/>
                  <w:u w:val="single"/>
                </w:rPr>
                <w:t>bicon.agriculture.gov.au/BiconWeb4.0</w:t>
              </w:r>
            </w:hyperlink>
          </w:p>
        </w:tc>
      </w:tr>
      <w:tr w:rsidR="00B773D5" w:rsidRPr="00684F28" w14:paraId="63280D19" w14:textId="77777777" w:rsidTr="00FA2565">
        <w:tc>
          <w:tcPr>
            <w:tcW w:w="1509" w:type="pct"/>
          </w:tcPr>
          <w:p w14:paraId="0666AF77" w14:textId="2A3D4D0F" w:rsidR="00B773D5" w:rsidRPr="00E8707C" w:rsidRDefault="00B773D5"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Biological control agent</w:t>
            </w:r>
          </w:p>
        </w:tc>
        <w:tc>
          <w:tcPr>
            <w:tcW w:w="3491" w:type="pct"/>
          </w:tcPr>
          <w:p w14:paraId="2C66145D" w14:textId="555E707E" w:rsidR="00B773D5" w:rsidRPr="00E8707C" w:rsidRDefault="00B773D5"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natural enemy, antagonist or competitor, or other organism, used for pest control (</w:t>
            </w:r>
            <w:r w:rsidR="00044E22">
              <w:rPr>
                <w:rFonts w:asciiTheme="minorHAnsi" w:hAnsiTheme="minorHAnsi" w:cstheme="minorHAnsi"/>
                <w:sz w:val="18"/>
              </w:rPr>
              <w:t>FAO 2024</w:t>
            </w:r>
            <w:r w:rsidRPr="00E8707C">
              <w:rPr>
                <w:rFonts w:asciiTheme="minorHAnsi" w:hAnsiTheme="minorHAnsi" w:cstheme="minorHAnsi"/>
                <w:sz w:val="18"/>
              </w:rPr>
              <w:t>).</w:t>
            </w:r>
          </w:p>
        </w:tc>
      </w:tr>
      <w:tr w:rsidR="00684F28" w:rsidRPr="00684F28" w14:paraId="5A7C9FE4" w14:textId="77777777" w:rsidTr="00FA2565">
        <w:tc>
          <w:tcPr>
            <w:tcW w:w="1509" w:type="pct"/>
          </w:tcPr>
          <w:p w14:paraId="07FBE4A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Biosecurity</w:t>
            </w:r>
          </w:p>
        </w:tc>
        <w:tc>
          <w:tcPr>
            <w:tcW w:w="3491" w:type="pct"/>
          </w:tcPr>
          <w:p w14:paraId="657F2A0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prevention of the entry, establishment or spread of unwanted pests and infectious disease agents to protect human, animal or plant health or life, and the environment.</w:t>
            </w:r>
          </w:p>
        </w:tc>
      </w:tr>
      <w:tr w:rsidR="00684F28" w:rsidRPr="00684F28" w14:paraId="076448EE" w14:textId="77777777" w:rsidTr="00FA2565">
        <w:tc>
          <w:tcPr>
            <w:tcW w:w="1509" w:type="pct"/>
          </w:tcPr>
          <w:p w14:paraId="7A0EDAF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Biosecurity import risk analysis (BIRA)</w:t>
            </w:r>
          </w:p>
        </w:tc>
        <w:tc>
          <w:tcPr>
            <w:tcW w:w="3491" w:type="pct"/>
          </w:tcPr>
          <w:p w14:paraId="26F45B6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w:t>
            </w:r>
            <w:r w:rsidRPr="00E8707C">
              <w:rPr>
                <w:rFonts w:asciiTheme="minorHAnsi" w:hAnsiTheme="minorHAnsi" w:cstheme="minorHAnsi"/>
                <w:i/>
                <w:sz w:val="18"/>
              </w:rPr>
              <w:t>Biosecurity Act 2015</w:t>
            </w:r>
            <w:r w:rsidRPr="00E8707C">
              <w:rPr>
                <w:rFonts w:asciiTheme="minorHAnsi" w:hAnsiTheme="minorHAnsi" w:cstheme="minorHAnsi"/>
                <w:sz w:val="18"/>
              </w:rP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684F28" w:rsidRPr="00684F28" w14:paraId="4FF5D02D" w14:textId="77777777" w:rsidTr="00FA2565">
        <w:tc>
          <w:tcPr>
            <w:tcW w:w="1509" w:type="pct"/>
          </w:tcPr>
          <w:p w14:paraId="2D4E8E4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Biosecurity measures</w:t>
            </w:r>
          </w:p>
        </w:tc>
        <w:tc>
          <w:tcPr>
            <w:tcW w:w="3491" w:type="pct"/>
          </w:tcPr>
          <w:p w14:paraId="39B42B8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w:t>
            </w:r>
            <w:r w:rsidRPr="00E8707C">
              <w:rPr>
                <w:rFonts w:asciiTheme="minorHAnsi" w:hAnsiTheme="minorHAnsi" w:cstheme="minorHAnsi"/>
                <w:i/>
                <w:sz w:val="18"/>
              </w:rPr>
              <w:t>Biosecurity Act 2015</w:t>
            </w:r>
            <w:r w:rsidRPr="00E8707C">
              <w:rPr>
                <w:rFonts w:asciiTheme="minorHAnsi" w:hAnsiTheme="minorHAnsi" w:cstheme="minorHAnsi"/>
                <w:sz w:val="18"/>
              </w:rP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684F28" w:rsidRPr="00684F28" w14:paraId="56E136CE" w14:textId="77777777" w:rsidTr="00FA2565">
        <w:tc>
          <w:tcPr>
            <w:tcW w:w="1509" w:type="pct"/>
          </w:tcPr>
          <w:p w14:paraId="24401FCC"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Biosecurity risk</w:t>
            </w:r>
          </w:p>
        </w:tc>
        <w:tc>
          <w:tcPr>
            <w:tcW w:w="3491" w:type="pct"/>
          </w:tcPr>
          <w:p w14:paraId="4B109998"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w:t>
            </w:r>
            <w:r w:rsidRPr="00E8707C">
              <w:rPr>
                <w:rFonts w:asciiTheme="minorHAnsi" w:hAnsiTheme="minorHAnsi" w:cstheme="minorHAnsi"/>
                <w:i/>
                <w:sz w:val="18"/>
              </w:rPr>
              <w:t>Biosecurity Act 2015</w:t>
            </w:r>
            <w:r w:rsidRPr="00E8707C">
              <w:rPr>
                <w:rFonts w:asciiTheme="minorHAnsi" w:hAnsiTheme="minorHAnsi" w:cstheme="minorHAnsi"/>
                <w:sz w:val="18"/>
              </w:rP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B25518" w:rsidRPr="00684F28" w14:paraId="6CC6943E" w14:textId="77777777" w:rsidTr="00FA2565">
        <w:tc>
          <w:tcPr>
            <w:tcW w:w="1509" w:type="pct"/>
          </w:tcPr>
          <w:p w14:paraId="46AC6784" w14:textId="3023BF16" w:rsidR="00B25518" w:rsidRPr="00E8707C" w:rsidRDefault="00B25518" w:rsidP="00684F28">
            <w:pPr>
              <w:spacing w:before="60" w:after="60" w:line="240" w:lineRule="auto"/>
              <w:rPr>
                <w:rFonts w:asciiTheme="minorHAnsi" w:hAnsiTheme="minorHAnsi" w:cstheme="minorHAnsi"/>
                <w:sz w:val="18"/>
              </w:rPr>
            </w:pPr>
            <w:r>
              <w:rPr>
                <w:rFonts w:asciiTheme="minorHAnsi" w:hAnsiTheme="minorHAnsi" w:cstheme="minorHAnsi"/>
                <w:sz w:val="18"/>
              </w:rPr>
              <w:t>CABI</w:t>
            </w:r>
          </w:p>
        </w:tc>
        <w:tc>
          <w:tcPr>
            <w:tcW w:w="3491" w:type="pct"/>
          </w:tcPr>
          <w:p w14:paraId="5F0C0FCA" w14:textId="4DBE2410" w:rsidR="00B25518" w:rsidRPr="00E8707C" w:rsidRDefault="00B25518" w:rsidP="00684F28">
            <w:pPr>
              <w:spacing w:before="60" w:after="60" w:line="240" w:lineRule="auto"/>
              <w:rPr>
                <w:rFonts w:asciiTheme="minorHAnsi" w:hAnsiTheme="minorHAnsi" w:cstheme="minorHAnsi"/>
                <w:sz w:val="18"/>
              </w:rPr>
            </w:pPr>
            <w:r>
              <w:rPr>
                <w:rFonts w:asciiTheme="minorHAnsi" w:hAnsiTheme="minorHAnsi" w:cstheme="minorHAnsi"/>
                <w:sz w:val="18"/>
              </w:rPr>
              <w:t>Centre for Agriculture and Bioscience International</w:t>
            </w:r>
          </w:p>
        </w:tc>
      </w:tr>
      <w:tr w:rsidR="00684F28" w:rsidRPr="00684F28" w14:paraId="5E2723EB" w14:textId="77777777" w:rsidTr="00FA2565">
        <w:tc>
          <w:tcPr>
            <w:tcW w:w="1509" w:type="pct"/>
          </w:tcPr>
          <w:p w14:paraId="19006DD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Calyx</w:t>
            </w:r>
          </w:p>
        </w:tc>
        <w:tc>
          <w:tcPr>
            <w:tcW w:w="3491" w:type="pct"/>
          </w:tcPr>
          <w:p w14:paraId="4082348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collective term referring to all of the sepals in a flower.</w:t>
            </w:r>
          </w:p>
        </w:tc>
      </w:tr>
      <w:tr w:rsidR="00684F28" w:rsidRPr="00684F28" w14:paraId="7C580140" w14:textId="77777777" w:rsidTr="00FA2565">
        <w:tc>
          <w:tcPr>
            <w:tcW w:w="1509" w:type="pct"/>
          </w:tcPr>
          <w:p w14:paraId="1E99E3A3"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lastRenderedPageBreak/>
              <w:t>Consignment</w:t>
            </w:r>
          </w:p>
        </w:tc>
        <w:tc>
          <w:tcPr>
            <w:tcW w:w="3491" w:type="pct"/>
          </w:tcPr>
          <w:p w14:paraId="10BEA1F5" w14:textId="7E45950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 quantity of plants, plant products or other articles being moved from one country to another and covered, when required, by a single phytosanitary certificate (a consignment may be composed of one or more commodities or lots)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DAF5E7E" w14:textId="77777777" w:rsidTr="00FA2565">
        <w:tc>
          <w:tcPr>
            <w:tcW w:w="1509" w:type="pct"/>
          </w:tcPr>
          <w:p w14:paraId="5734FED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Control (of a pest)</w:t>
            </w:r>
          </w:p>
        </w:tc>
        <w:tc>
          <w:tcPr>
            <w:tcW w:w="3491" w:type="pct"/>
          </w:tcPr>
          <w:p w14:paraId="272265FD" w14:textId="4BD2F415"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Suppression, containment or eradication of a pest population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748A5712" w14:textId="77777777" w:rsidTr="00FA2565">
        <w:tc>
          <w:tcPr>
            <w:tcW w:w="1509" w:type="pct"/>
          </w:tcPr>
          <w:p w14:paraId="7BC901D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Crawler</w:t>
            </w:r>
          </w:p>
        </w:tc>
        <w:tc>
          <w:tcPr>
            <w:tcW w:w="3491" w:type="pct"/>
          </w:tcPr>
          <w:p w14:paraId="69581E2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Intermediate mobile nymph stage of certain arthropods.</w:t>
            </w:r>
          </w:p>
        </w:tc>
      </w:tr>
      <w:tr w:rsidR="00C33F81" w:rsidRPr="00684F28" w14:paraId="3FC09A54" w14:textId="77777777" w:rsidTr="00FA2565">
        <w:tc>
          <w:tcPr>
            <w:tcW w:w="1509" w:type="pct"/>
          </w:tcPr>
          <w:p w14:paraId="5A41B27A" w14:textId="5D603EFB" w:rsidR="00C33F81" w:rsidRPr="00E8707C" w:rsidRDefault="00C33F81"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CSIRO</w:t>
            </w:r>
          </w:p>
        </w:tc>
        <w:tc>
          <w:tcPr>
            <w:tcW w:w="3491" w:type="pct"/>
          </w:tcPr>
          <w:p w14:paraId="2568C7AA" w14:textId="5B60A2AA" w:rsidR="00C33F81" w:rsidRPr="00E8707C" w:rsidRDefault="00C33F81"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Commonwealth Scientific and Industrial Research Organisation</w:t>
            </w:r>
          </w:p>
        </w:tc>
      </w:tr>
      <w:tr w:rsidR="00684F28" w:rsidRPr="00684F28" w14:paraId="576BA8C4" w14:textId="77777777" w:rsidTr="00FA2565">
        <w:tc>
          <w:tcPr>
            <w:tcW w:w="1509" w:type="pct"/>
          </w:tcPr>
          <w:p w14:paraId="7A3B4C9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Endangered area</w:t>
            </w:r>
          </w:p>
        </w:tc>
        <w:tc>
          <w:tcPr>
            <w:tcW w:w="3491" w:type="pct"/>
          </w:tcPr>
          <w:p w14:paraId="4FF725A2" w14:textId="23C7562C"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area where ecological factors favour the establishment of a pest whose presence in the area will result in economically important loss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DCCDA82" w14:textId="77777777" w:rsidTr="00FA2565">
        <w:tc>
          <w:tcPr>
            <w:tcW w:w="1509" w:type="pct"/>
          </w:tcPr>
          <w:p w14:paraId="58365D2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Endemic</w:t>
            </w:r>
          </w:p>
        </w:tc>
        <w:tc>
          <w:tcPr>
            <w:tcW w:w="3491" w:type="pct"/>
          </w:tcPr>
          <w:p w14:paraId="38A0042C"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Belonging to, native to, or prevalent in a particular geography, area or environment.</w:t>
            </w:r>
          </w:p>
        </w:tc>
      </w:tr>
      <w:tr w:rsidR="00684F28" w:rsidRPr="00684F28" w14:paraId="6DA321F9" w14:textId="77777777" w:rsidTr="00FA2565">
        <w:tc>
          <w:tcPr>
            <w:tcW w:w="1509" w:type="pct"/>
          </w:tcPr>
          <w:p w14:paraId="66E794D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Entry (of a pest)</w:t>
            </w:r>
          </w:p>
        </w:tc>
        <w:tc>
          <w:tcPr>
            <w:tcW w:w="3491" w:type="pct"/>
          </w:tcPr>
          <w:p w14:paraId="5D465120" w14:textId="3BE132E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Movement of a pest into an area where it is not yet present, or present but not widely distributed and being officially controlled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579649C4" w14:textId="77777777" w:rsidTr="00FA2565">
        <w:tc>
          <w:tcPr>
            <w:tcW w:w="1509" w:type="pct"/>
          </w:tcPr>
          <w:p w14:paraId="265B362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EP</w:t>
            </w:r>
          </w:p>
        </w:tc>
        <w:tc>
          <w:tcPr>
            <w:tcW w:w="3491" w:type="pct"/>
          </w:tcPr>
          <w:p w14:paraId="143886C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Existing policy. This denotes that a pest species has previously been assessed in another policy published by the department.</w:t>
            </w:r>
          </w:p>
        </w:tc>
      </w:tr>
      <w:tr w:rsidR="00684F28" w:rsidRPr="00684F28" w14:paraId="57FBBD35" w14:textId="77777777" w:rsidTr="00FA2565">
        <w:tc>
          <w:tcPr>
            <w:tcW w:w="1509" w:type="pct"/>
          </w:tcPr>
          <w:p w14:paraId="3B98D22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Establishment (of a pest)</w:t>
            </w:r>
          </w:p>
        </w:tc>
        <w:tc>
          <w:tcPr>
            <w:tcW w:w="3491" w:type="pct"/>
          </w:tcPr>
          <w:p w14:paraId="70C1DB02" w14:textId="2F08381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Perpetuation, for the foreseeable future, of a pest within an area after entry </w:t>
            </w:r>
            <w:r w:rsidR="00F310E4" w:rsidRPr="00E8707C">
              <w:rPr>
                <w:rFonts w:asciiTheme="minorHAnsi" w:hAnsiTheme="minorHAnsi" w:cstheme="minorHAnsi"/>
                <w:sz w:val="18"/>
              </w:rPr>
              <w:t>(</w:t>
            </w:r>
            <w:r w:rsidR="00044E22">
              <w:rPr>
                <w:rFonts w:asciiTheme="minorHAnsi" w:hAnsiTheme="minorHAnsi" w:cstheme="minorHAnsi"/>
                <w:sz w:val="18"/>
              </w:rPr>
              <w:t>FAO 2024</w:t>
            </w:r>
            <w:r w:rsidR="00F310E4"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5226E01" w14:textId="77777777" w:rsidTr="00FA2565">
        <w:tc>
          <w:tcPr>
            <w:tcW w:w="1509" w:type="pct"/>
          </w:tcPr>
          <w:p w14:paraId="6F96803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FAO</w:t>
            </w:r>
          </w:p>
        </w:tc>
        <w:tc>
          <w:tcPr>
            <w:tcW w:w="3491" w:type="pct"/>
          </w:tcPr>
          <w:p w14:paraId="7BC2397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Food and Agriculture Organization of the United Nations</w:t>
            </w:r>
          </w:p>
        </w:tc>
      </w:tr>
      <w:tr w:rsidR="00684F28" w:rsidRPr="00684F28" w14:paraId="6833D01B" w14:textId="77777777" w:rsidTr="00FA2565">
        <w:tc>
          <w:tcPr>
            <w:tcW w:w="1509" w:type="pct"/>
          </w:tcPr>
          <w:p w14:paraId="74E300F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Fresh</w:t>
            </w:r>
          </w:p>
        </w:tc>
        <w:tc>
          <w:tcPr>
            <w:tcW w:w="3491" w:type="pct"/>
          </w:tcPr>
          <w:p w14:paraId="43A9E7F1" w14:textId="35B481C6"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Living; not dried, deep-frozen or otherwise conserved </w:t>
            </w:r>
            <w:r w:rsidR="00222120" w:rsidRPr="00E8707C">
              <w:rPr>
                <w:rFonts w:asciiTheme="minorHAnsi" w:hAnsiTheme="minorHAnsi" w:cstheme="minorHAnsi"/>
                <w:sz w:val="18"/>
              </w:rPr>
              <w:t>(</w:t>
            </w:r>
            <w:r w:rsidR="00044E22">
              <w:rPr>
                <w:rFonts w:asciiTheme="minorHAnsi" w:hAnsiTheme="minorHAnsi" w:cstheme="minorHAnsi"/>
                <w:sz w:val="18"/>
              </w:rPr>
              <w:t>FAO 2024</w:t>
            </w:r>
            <w:r w:rsidR="00222120"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0BBE5615" w14:textId="77777777" w:rsidTr="00FA2565">
        <w:tc>
          <w:tcPr>
            <w:tcW w:w="1509" w:type="pct"/>
          </w:tcPr>
          <w:p w14:paraId="26C3878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FSANZ</w:t>
            </w:r>
          </w:p>
        </w:tc>
        <w:tc>
          <w:tcPr>
            <w:tcW w:w="3491" w:type="pct"/>
          </w:tcPr>
          <w:p w14:paraId="3634341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Food Standards Australia New Zealand (</w:t>
            </w:r>
            <w:hyperlink r:id="rId77" w:history="1">
              <w:r w:rsidRPr="00E8707C">
                <w:rPr>
                  <w:rFonts w:asciiTheme="minorHAnsi" w:hAnsiTheme="minorHAnsi" w:cstheme="minorHAnsi"/>
                  <w:color w:val="165788"/>
                  <w:sz w:val="18"/>
                  <w:u w:val="single"/>
                </w:rPr>
                <w:t>foodstandards.gov.au/Pages/default.aspx</w:t>
              </w:r>
            </w:hyperlink>
            <w:r w:rsidRPr="00E8707C">
              <w:rPr>
                <w:rFonts w:asciiTheme="minorHAnsi" w:hAnsiTheme="minorHAnsi" w:cstheme="minorHAnsi"/>
                <w:sz w:val="18"/>
              </w:rPr>
              <w:t>) and the Australia New Zealand Food Standards Code (</w:t>
            </w:r>
            <w:hyperlink r:id="rId78" w:history="1">
              <w:r w:rsidRPr="00E8707C">
                <w:rPr>
                  <w:rFonts w:asciiTheme="minorHAnsi" w:hAnsiTheme="minorHAnsi" w:cstheme="minorHAnsi"/>
                  <w:color w:val="165788"/>
                  <w:sz w:val="18"/>
                  <w:u w:val="single"/>
                </w:rPr>
                <w:t>foodstandards.gov.au/code/Pages/default.aspx</w:t>
              </w:r>
            </w:hyperlink>
            <w:r w:rsidRPr="00E8707C">
              <w:rPr>
                <w:rFonts w:asciiTheme="minorHAnsi" w:hAnsiTheme="minorHAnsi" w:cstheme="minorHAnsi"/>
                <w:sz w:val="18"/>
              </w:rPr>
              <w:t>)</w:t>
            </w:r>
          </w:p>
        </w:tc>
      </w:tr>
      <w:tr w:rsidR="00684F28" w:rsidRPr="00684F28" w14:paraId="7F023E52" w14:textId="77777777" w:rsidTr="00FA2565">
        <w:tc>
          <w:tcPr>
            <w:tcW w:w="1509" w:type="pct"/>
          </w:tcPr>
          <w:p w14:paraId="1FF9184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Fumigation</w:t>
            </w:r>
          </w:p>
        </w:tc>
        <w:tc>
          <w:tcPr>
            <w:tcW w:w="3491" w:type="pct"/>
          </w:tcPr>
          <w:p w14:paraId="3226366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method of pest control that completely fills an area with gaseous pesticides to suffocate or poison the pests within.</w:t>
            </w:r>
          </w:p>
        </w:tc>
      </w:tr>
      <w:tr w:rsidR="00684F28" w:rsidRPr="00684F28" w14:paraId="79AC5B80" w14:textId="77777777" w:rsidTr="00FA2565">
        <w:tc>
          <w:tcPr>
            <w:tcW w:w="1509" w:type="pct"/>
          </w:tcPr>
          <w:p w14:paraId="141DCA6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Genus</w:t>
            </w:r>
          </w:p>
        </w:tc>
        <w:tc>
          <w:tcPr>
            <w:tcW w:w="3491" w:type="pct"/>
          </w:tcPr>
          <w:p w14:paraId="55E97EA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684F28" w:rsidRPr="00684F28" w14:paraId="0865510B" w14:textId="77777777" w:rsidTr="00FA2565">
        <w:tc>
          <w:tcPr>
            <w:tcW w:w="1509" w:type="pct"/>
          </w:tcPr>
          <w:p w14:paraId="643F3C5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Goods</w:t>
            </w:r>
          </w:p>
        </w:tc>
        <w:tc>
          <w:tcPr>
            <w:tcW w:w="3491" w:type="pct"/>
          </w:tcPr>
          <w:p w14:paraId="68FB367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w:t>
            </w:r>
            <w:r w:rsidRPr="00E8707C">
              <w:rPr>
                <w:rFonts w:asciiTheme="minorHAnsi" w:hAnsiTheme="minorHAnsi" w:cstheme="minorHAnsi"/>
                <w:i/>
                <w:sz w:val="18"/>
              </w:rPr>
              <w:t>Biosecurity Act 2015</w:t>
            </w:r>
            <w:r w:rsidRPr="00E8707C">
              <w:rPr>
                <w:rFonts w:asciiTheme="minorHAnsi" w:hAnsiTheme="minorHAnsi" w:cstheme="minorHAnsi"/>
                <w:sz w:val="18"/>
              </w:rPr>
              <w:t xml:space="preserve"> defines goods as an animal, a plant (whether moveable or not), a sample or specimen of a disease agent, a pest, mail or any other article, substance or thing (including, but not limited to, any kind of moveable property).</w:t>
            </w:r>
          </w:p>
        </w:tc>
      </w:tr>
      <w:tr w:rsidR="00684F28" w:rsidRPr="00684F28" w14:paraId="29FBF744" w14:textId="77777777" w:rsidTr="00FA2565">
        <w:tc>
          <w:tcPr>
            <w:tcW w:w="1509" w:type="pct"/>
          </w:tcPr>
          <w:p w14:paraId="77970EF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Host</w:t>
            </w:r>
          </w:p>
        </w:tc>
        <w:tc>
          <w:tcPr>
            <w:tcW w:w="3491" w:type="pct"/>
          </w:tcPr>
          <w:p w14:paraId="792560B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An organism that harbours a parasite, mutual partner, or commensal partner, typically providing nourishment and shelter.</w:t>
            </w:r>
          </w:p>
        </w:tc>
      </w:tr>
      <w:tr w:rsidR="00684F28" w:rsidRPr="00684F28" w14:paraId="6AB1B5C1" w14:textId="77777777" w:rsidTr="00FA2565">
        <w:tc>
          <w:tcPr>
            <w:tcW w:w="1509" w:type="pct"/>
          </w:tcPr>
          <w:p w14:paraId="4249BAC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Host range</w:t>
            </w:r>
          </w:p>
        </w:tc>
        <w:tc>
          <w:tcPr>
            <w:tcW w:w="3491" w:type="pct"/>
          </w:tcPr>
          <w:p w14:paraId="218E49CB" w14:textId="778D2302"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Species capable, under natural conditions, of sustaining a specific pest or other organism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3EAE4829" w14:textId="77777777" w:rsidTr="00FA2565">
        <w:tc>
          <w:tcPr>
            <w:tcW w:w="1509" w:type="pct"/>
          </w:tcPr>
          <w:p w14:paraId="3E96921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Import permit</w:t>
            </w:r>
          </w:p>
        </w:tc>
        <w:tc>
          <w:tcPr>
            <w:tcW w:w="3491" w:type="pct"/>
          </w:tcPr>
          <w:p w14:paraId="31705D0B" w14:textId="16F187D4"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Official document authorising importation of a commodity in accordance with specified phytosanitary import requirements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2B2F05F5" w14:textId="77777777" w:rsidTr="00FA2565">
        <w:tc>
          <w:tcPr>
            <w:tcW w:w="1509" w:type="pct"/>
          </w:tcPr>
          <w:p w14:paraId="3F132C9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Infection</w:t>
            </w:r>
          </w:p>
        </w:tc>
        <w:tc>
          <w:tcPr>
            <w:tcW w:w="3491" w:type="pct"/>
          </w:tcPr>
          <w:p w14:paraId="5DA201E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internal ‘endophytic’ colonisation of a plant, or plant organ, and is generally associated with the development of disease symptoms as the integrity of cells and/or biological processes are disrupted.</w:t>
            </w:r>
          </w:p>
        </w:tc>
      </w:tr>
      <w:tr w:rsidR="00684F28" w:rsidRPr="00684F28" w14:paraId="717943C0" w14:textId="77777777" w:rsidTr="00FA2565">
        <w:tc>
          <w:tcPr>
            <w:tcW w:w="1509" w:type="pct"/>
          </w:tcPr>
          <w:p w14:paraId="46044D16"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Infestation (of a commodity)</w:t>
            </w:r>
          </w:p>
        </w:tc>
        <w:tc>
          <w:tcPr>
            <w:tcW w:w="3491" w:type="pct"/>
          </w:tcPr>
          <w:p w14:paraId="2E0E30F7" w14:textId="25871AD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Presence in a commodity of a living pest of the plant or plant product concerned. Infestation includes infection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971A4C2" w14:textId="77777777" w:rsidTr="00FA2565">
        <w:tc>
          <w:tcPr>
            <w:tcW w:w="1509" w:type="pct"/>
          </w:tcPr>
          <w:p w14:paraId="54291CA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Inspection</w:t>
            </w:r>
          </w:p>
        </w:tc>
        <w:tc>
          <w:tcPr>
            <w:tcW w:w="3491" w:type="pct"/>
          </w:tcPr>
          <w:p w14:paraId="483D0EE8" w14:textId="5A3B87AE"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Official visual examination of plants, plant products or other regulated articles to determine if pests are present or to determine compliance with phytosanitary regulations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7F8EBEA3" w14:textId="77777777" w:rsidTr="00FA2565">
        <w:tc>
          <w:tcPr>
            <w:tcW w:w="1509" w:type="pct"/>
          </w:tcPr>
          <w:p w14:paraId="47CA957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Intended use</w:t>
            </w:r>
          </w:p>
        </w:tc>
        <w:tc>
          <w:tcPr>
            <w:tcW w:w="3491" w:type="pct"/>
          </w:tcPr>
          <w:p w14:paraId="41D410A1" w14:textId="42EE6639"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Declared purpose for which plants, plant products, or other articles are imported, produced or used </w:t>
            </w:r>
            <w:r w:rsidR="00BC5DE1" w:rsidRPr="00E8707C">
              <w:rPr>
                <w:rFonts w:asciiTheme="minorHAnsi" w:hAnsiTheme="minorHAnsi" w:cstheme="minorHAnsi"/>
                <w:sz w:val="18"/>
              </w:rPr>
              <w:t>(</w:t>
            </w:r>
            <w:r w:rsidR="00044E22">
              <w:rPr>
                <w:rFonts w:asciiTheme="minorHAnsi" w:hAnsiTheme="minorHAnsi" w:cstheme="minorHAnsi"/>
                <w:sz w:val="18"/>
              </w:rPr>
              <w:t>FAO 2024</w:t>
            </w:r>
            <w:r w:rsidR="00BC5DE1"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12C9AF5B" w14:textId="77777777" w:rsidTr="00FA2565">
        <w:tc>
          <w:tcPr>
            <w:tcW w:w="1509" w:type="pct"/>
          </w:tcPr>
          <w:p w14:paraId="22345E5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Interception (of a pest)</w:t>
            </w:r>
          </w:p>
        </w:tc>
        <w:tc>
          <w:tcPr>
            <w:tcW w:w="3491" w:type="pct"/>
          </w:tcPr>
          <w:p w14:paraId="4E14E608" w14:textId="481B6C72"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detection of a pest during inspection or testing of an imported consignment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3F69A117" w14:textId="77777777" w:rsidTr="00FA2565">
        <w:tc>
          <w:tcPr>
            <w:tcW w:w="1509" w:type="pct"/>
          </w:tcPr>
          <w:p w14:paraId="5E58DF7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lastRenderedPageBreak/>
              <w:t>International Plant Protection Convention (IPPC)</w:t>
            </w:r>
          </w:p>
        </w:tc>
        <w:tc>
          <w:tcPr>
            <w:tcW w:w="3491" w:type="pct"/>
          </w:tcPr>
          <w:p w14:paraId="1282CFC6"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lang w:val="en"/>
              </w:rPr>
              <w:t xml:space="preserve">The IPPC is an international plant health agreement, established in 1952, that aims to protect </w:t>
            </w:r>
            <w:proofErr w:type="gramStart"/>
            <w:r w:rsidRPr="00E8707C">
              <w:rPr>
                <w:rFonts w:asciiTheme="minorHAnsi" w:hAnsiTheme="minorHAnsi" w:cstheme="minorHAnsi"/>
                <w:sz w:val="18"/>
                <w:lang w:val="en"/>
              </w:rPr>
              <w:t>cultivated and</w:t>
            </w:r>
            <w:proofErr w:type="gramEnd"/>
            <w:r w:rsidRPr="00E8707C">
              <w:rPr>
                <w:rFonts w:asciiTheme="minorHAnsi" w:hAnsiTheme="minorHAnsi" w:cstheme="minorHAnsi"/>
                <w:sz w:val="18"/>
                <w:lang w:val="en"/>
              </w:rPr>
              <w:t xml:space="preserve"> wild plants by preventing the introduction and spread of pests. The IPPC provides an international framework for plant protection that includes developing International Standards for Phytosanitary Measures (ISPMs) for safeguarding plant resources.</w:t>
            </w:r>
          </w:p>
        </w:tc>
      </w:tr>
      <w:tr w:rsidR="00684F28" w:rsidRPr="00684F28" w14:paraId="1FC3BF60" w14:textId="77777777" w:rsidTr="00FA2565">
        <w:tc>
          <w:tcPr>
            <w:tcW w:w="1509" w:type="pct"/>
          </w:tcPr>
          <w:p w14:paraId="5255D81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International Standard for Phytosanitary Measures (ISPM)</w:t>
            </w:r>
          </w:p>
        </w:tc>
        <w:tc>
          <w:tcPr>
            <w:tcW w:w="3491" w:type="pct"/>
          </w:tcPr>
          <w:p w14:paraId="42505B1A" w14:textId="54754826"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international standard adopted by the Conference of the Food and Agriculture Organization, the Interim Commission on Phytosanitary Measures or the Commission on Phytosanitary Measures, established under the IPPC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5001F2AD" w14:textId="77777777" w:rsidTr="00FA2565">
        <w:tc>
          <w:tcPr>
            <w:tcW w:w="1509" w:type="pct"/>
          </w:tcPr>
          <w:p w14:paraId="339191E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Introduction (of a pest)</w:t>
            </w:r>
          </w:p>
        </w:tc>
        <w:tc>
          <w:tcPr>
            <w:tcW w:w="3491" w:type="pct"/>
          </w:tcPr>
          <w:p w14:paraId="729818F2" w14:textId="52793351"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entry of a pest resulting in its establishment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769F8886" w14:textId="77777777" w:rsidTr="00FA2565">
        <w:tc>
          <w:tcPr>
            <w:tcW w:w="1509" w:type="pct"/>
          </w:tcPr>
          <w:p w14:paraId="75C7ACF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Larva</w:t>
            </w:r>
          </w:p>
        </w:tc>
        <w:tc>
          <w:tcPr>
            <w:tcW w:w="3491" w:type="pct"/>
          </w:tcPr>
          <w:p w14:paraId="0842681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juvenile form of animal with indirect development, undergoing metamorphosis (for example, insects or amphibians).</w:t>
            </w:r>
          </w:p>
        </w:tc>
      </w:tr>
      <w:tr w:rsidR="00684F28" w:rsidRPr="00684F28" w14:paraId="30A8765D" w14:textId="77777777" w:rsidTr="00FA2565">
        <w:trPr>
          <w:cantSplit/>
        </w:trPr>
        <w:tc>
          <w:tcPr>
            <w:tcW w:w="1509" w:type="pct"/>
          </w:tcPr>
          <w:p w14:paraId="614584E6"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Lot</w:t>
            </w:r>
          </w:p>
        </w:tc>
        <w:tc>
          <w:tcPr>
            <w:tcW w:w="3491" w:type="pct"/>
          </w:tcPr>
          <w:p w14:paraId="43084E16" w14:textId="717D76E4"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 number of units of a single commodity, identifiable by its homogeneity of composition, origin et cetera, forming part of a consignment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 Within this report a ‘lot’ refers to a quantity of fruit of a single variety, harvested from a single production site during a single pick and packed at one time.</w:t>
            </w:r>
          </w:p>
        </w:tc>
      </w:tr>
      <w:tr w:rsidR="00684F28" w:rsidRPr="00684F28" w14:paraId="06022FF6" w14:textId="77777777" w:rsidTr="00FA2565">
        <w:tc>
          <w:tcPr>
            <w:tcW w:w="1509" w:type="pct"/>
          </w:tcPr>
          <w:p w14:paraId="49D1957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Mature fruit</w:t>
            </w:r>
          </w:p>
        </w:tc>
        <w:tc>
          <w:tcPr>
            <w:tcW w:w="3491" w:type="pct"/>
          </w:tcPr>
          <w:p w14:paraId="0860D61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Commercial maturity is the start of the ripening process. The ripening process will then continue and provide a product that is acceptable to consumers. Maturity assessments include colour, starch, index, soluble solids content, flesh firmness, acidity, and ethylene production rate.</w:t>
            </w:r>
          </w:p>
        </w:tc>
      </w:tr>
      <w:tr w:rsidR="00684F28" w:rsidRPr="00684F28" w14:paraId="49A264C5" w14:textId="77777777" w:rsidTr="00FA2565">
        <w:tc>
          <w:tcPr>
            <w:tcW w:w="1509" w:type="pct"/>
          </w:tcPr>
          <w:p w14:paraId="1CF6B0A8"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National Plant Protection Organization (NPPO)</w:t>
            </w:r>
          </w:p>
        </w:tc>
        <w:tc>
          <w:tcPr>
            <w:tcW w:w="3491" w:type="pct"/>
          </w:tcPr>
          <w:p w14:paraId="3EE3F107" w14:textId="3DD9B031"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Official service established by a government to discharge the functions specified by the IPPC </w:t>
            </w:r>
            <w:r w:rsidR="00B07D3E" w:rsidRPr="00E8707C">
              <w:rPr>
                <w:rFonts w:asciiTheme="minorHAnsi" w:hAnsiTheme="minorHAnsi" w:cstheme="minorHAnsi"/>
                <w:sz w:val="18"/>
              </w:rPr>
              <w:t>(</w:t>
            </w:r>
            <w:r w:rsidR="00044E22">
              <w:rPr>
                <w:rFonts w:asciiTheme="minorHAnsi" w:hAnsiTheme="minorHAnsi" w:cstheme="minorHAnsi"/>
                <w:sz w:val="18"/>
              </w:rPr>
              <w:t>FAO 2024</w:t>
            </w:r>
            <w:r w:rsidR="00B07D3E" w:rsidRPr="00E8707C">
              <w:rPr>
                <w:rFonts w:asciiTheme="minorHAnsi" w:hAnsiTheme="minorHAnsi" w:cstheme="minorHAnsi"/>
                <w:sz w:val="18"/>
              </w:rPr>
              <w:t>)</w:t>
            </w:r>
            <w:r w:rsidRPr="00E8707C">
              <w:rPr>
                <w:rFonts w:asciiTheme="minorHAnsi" w:hAnsiTheme="minorHAnsi" w:cstheme="minorHAnsi"/>
                <w:sz w:val="18"/>
              </w:rPr>
              <w:t>.</w:t>
            </w:r>
          </w:p>
        </w:tc>
      </w:tr>
      <w:tr w:rsidR="00042E10" w:rsidRPr="00684F28" w14:paraId="00EFB54D" w14:textId="77777777" w:rsidTr="00FA2565">
        <w:tc>
          <w:tcPr>
            <w:tcW w:w="1509" w:type="pct"/>
          </w:tcPr>
          <w:p w14:paraId="1EBB8CFB" w14:textId="09E532D3" w:rsidR="00042E10" w:rsidRPr="00E8707C" w:rsidRDefault="00042E10" w:rsidP="00684F28">
            <w:pPr>
              <w:spacing w:before="60" w:after="60" w:line="240" w:lineRule="auto"/>
              <w:rPr>
                <w:rFonts w:asciiTheme="minorHAnsi" w:hAnsiTheme="minorHAnsi" w:cstheme="minorHAnsi"/>
                <w:sz w:val="18"/>
              </w:rPr>
            </w:pPr>
            <w:r>
              <w:rPr>
                <w:rFonts w:asciiTheme="minorHAnsi" w:hAnsiTheme="minorHAnsi" w:cstheme="minorHAnsi"/>
                <w:sz w:val="18"/>
              </w:rPr>
              <w:t>Non-target species</w:t>
            </w:r>
          </w:p>
        </w:tc>
        <w:tc>
          <w:tcPr>
            <w:tcW w:w="3491" w:type="pct"/>
          </w:tcPr>
          <w:p w14:paraId="1C1C337B" w14:textId="1FEA3E2A" w:rsidR="00042E10" w:rsidRPr="00E8707C" w:rsidRDefault="00042E10" w:rsidP="00684F28">
            <w:pPr>
              <w:spacing w:before="60" w:after="60" w:line="240" w:lineRule="auto"/>
              <w:rPr>
                <w:rFonts w:asciiTheme="minorHAnsi" w:hAnsiTheme="minorHAnsi" w:cstheme="minorHAnsi"/>
                <w:sz w:val="18"/>
              </w:rPr>
            </w:pPr>
            <w:r>
              <w:rPr>
                <w:rFonts w:asciiTheme="minorHAnsi" w:hAnsiTheme="minorHAnsi" w:cstheme="minorHAnsi"/>
                <w:sz w:val="18"/>
              </w:rPr>
              <w:t>Also known as off-target species, these are species, either plant or invertebrate, that are not targeted by a biological control agent.</w:t>
            </w:r>
          </w:p>
        </w:tc>
      </w:tr>
      <w:tr w:rsidR="00684F28" w:rsidRPr="00684F28" w14:paraId="5F22F51F" w14:textId="77777777" w:rsidTr="00FA2565">
        <w:tc>
          <w:tcPr>
            <w:tcW w:w="1509" w:type="pct"/>
          </w:tcPr>
          <w:p w14:paraId="7600C17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NSW</w:t>
            </w:r>
          </w:p>
        </w:tc>
        <w:tc>
          <w:tcPr>
            <w:tcW w:w="3491" w:type="pct"/>
          </w:tcPr>
          <w:p w14:paraId="160BD62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state of New South Wales in Australia.</w:t>
            </w:r>
          </w:p>
        </w:tc>
      </w:tr>
      <w:tr w:rsidR="00684F28" w:rsidRPr="00684F28" w14:paraId="2A242F1B" w14:textId="77777777" w:rsidTr="00FA2565">
        <w:tc>
          <w:tcPr>
            <w:tcW w:w="1509" w:type="pct"/>
          </w:tcPr>
          <w:p w14:paraId="5B22A27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NT</w:t>
            </w:r>
          </w:p>
        </w:tc>
        <w:tc>
          <w:tcPr>
            <w:tcW w:w="3491" w:type="pct"/>
          </w:tcPr>
          <w:p w14:paraId="5AC09BC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Northern Territory of Australia.</w:t>
            </w:r>
          </w:p>
        </w:tc>
      </w:tr>
      <w:tr w:rsidR="00684F28" w:rsidRPr="00684F28" w14:paraId="0D659B22" w14:textId="77777777" w:rsidTr="00FA2565">
        <w:tc>
          <w:tcPr>
            <w:tcW w:w="1509" w:type="pct"/>
          </w:tcPr>
          <w:p w14:paraId="492FD92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Nymph</w:t>
            </w:r>
          </w:p>
        </w:tc>
        <w:tc>
          <w:tcPr>
            <w:tcW w:w="3491" w:type="pct"/>
          </w:tcPr>
          <w:p w14:paraId="4BAB804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immature form of some insect species that undergoes incomplete metamorphosis. It is not to be confused with larva, as its overall form is already that of the adult.</w:t>
            </w:r>
          </w:p>
        </w:tc>
      </w:tr>
      <w:tr w:rsidR="00684F28" w:rsidRPr="00684F28" w14:paraId="386D49FB" w14:textId="77777777" w:rsidTr="00FA2565">
        <w:tc>
          <w:tcPr>
            <w:tcW w:w="1509" w:type="pct"/>
          </w:tcPr>
          <w:p w14:paraId="0DFD31A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Official control</w:t>
            </w:r>
          </w:p>
        </w:tc>
        <w:tc>
          <w:tcPr>
            <w:tcW w:w="3491" w:type="pct"/>
          </w:tcPr>
          <w:p w14:paraId="4567C13E" w14:textId="08AA9619"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35205F" w:rsidRPr="00684F28" w14:paraId="499A4A97" w14:textId="77777777" w:rsidTr="00FA2565">
        <w:tc>
          <w:tcPr>
            <w:tcW w:w="1509" w:type="pct"/>
          </w:tcPr>
          <w:p w14:paraId="669B33BD" w14:textId="1FF72373" w:rsidR="0035205F" w:rsidRPr="00E8707C" w:rsidRDefault="0035205F" w:rsidP="00684F28">
            <w:pPr>
              <w:spacing w:before="60" w:after="60" w:line="240" w:lineRule="auto"/>
              <w:rPr>
                <w:rFonts w:asciiTheme="minorHAnsi" w:hAnsiTheme="minorHAnsi" w:cstheme="minorHAnsi"/>
                <w:sz w:val="18"/>
              </w:rPr>
            </w:pPr>
            <w:r>
              <w:rPr>
                <w:rFonts w:asciiTheme="minorHAnsi" w:hAnsiTheme="minorHAnsi" w:cstheme="minorHAnsi"/>
                <w:sz w:val="18"/>
              </w:rPr>
              <w:t>Off</w:t>
            </w:r>
            <w:r w:rsidR="005D5525">
              <w:rPr>
                <w:rFonts w:asciiTheme="minorHAnsi" w:hAnsiTheme="minorHAnsi" w:cstheme="minorHAnsi"/>
                <w:sz w:val="18"/>
              </w:rPr>
              <w:t>-target effects</w:t>
            </w:r>
          </w:p>
        </w:tc>
        <w:tc>
          <w:tcPr>
            <w:tcW w:w="3491" w:type="pct"/>
          </w:tcPr>
          <w:p w14:paraId="6B1CC40E" w14:textId="0C079488" w:rsidR="0035205F" w:rsidRPr="00E8707C" w:rsidRDefault="005D5525" w:rsidP="00684F28">
            <w:pPr>
              <w:spacing w:before="60" w:after="60" w:line="240" w:lineRule="auto"/>
              <w:rPr>
                <w:rFonts w:asciiTheme="minorHAnsi" w:hAnsiTheme="minorHAnsi" w:cstheme="minorHAnsi"/>
                <w:sz w:val="18"/>
              </w:rPr>
            </w:pPr>
            <w:r>
              <w:rPr>
                <w:rFonts w:asciiTheme="minorHAnsi" w:hAnsiTheme="minorHAnsi" w:cstheme="minorHAnsi"/>
                <w:sz w:val="18"/>
              </w:rPr>
              <w:t>The impact that a biological control agent has on a non-target species.</w:t>
            </w:r>
          </w:p>
        </w:tc>
      </w:tr>
      <w:tr w:rsidR="008D17F9" w:rsidRPr="00684F28" w14:paraId="522B08C2" w14:textId="77777777" w:rsidTr="00FA2565">
        <w:tc>
          <w:tcPr>
            <w:tcW w:w="1509" w:type="pct"/>
          </w:tcPr>
          <w:p w14:paraId="1A7982DF" w14:textId="006C2831" w:rsidR="008D17F9" w:rsidRPr="00E8707C" w:rsidRDefault="008D17F9" w:rsidP="00684F28">
            <w:pPr>
              <w:spacing w:before="60" w:after="60" w:line="240" w:lineRule="auto"/>
              <w:rPr>
                <w:rFonts w:asciiTheme="minorHAnsi" w:hAnsiTheme="minorHAnsi" w:cstheme="minorHAnsi"/>
                <w:sz w:val="18"/>
              </w:rPr>
            </w:pPr>
            <w:proofErr w:type="spellStart"/>
            <w:r>
              <w:rPr>
                <w:rFonts w:asciiTheme="minorHAnsi" w:hAnsiTheme="minorHAnsi" w:cstheme="minorHAnsi"/>
                <w:sz w:val="18"/>
              </w:rPr>
              <w:t>Parasitoid</w:t>
            </w:r>
            <w:proofErr w:type="spellEnd"/>
          </w:p>
        </w:tc>
        <w:tc>
          <w:tcPr>
            <w:tcW w:w="3491" w:type="pct"/>
          </w:tcPr>
          <w:p w14:paraId="429E68E6" w14:textId="3A2075EF" w:rsidR="008D17F9" w:rsidRPr="00E8707C" w:rsidRDefault="008D17F9" w:rsidP="00684F28">
            <w:pPr>
              <w:spacing w:before="60" w:after="60" w:line="240" w:lineRule="auto"/>
              <w:rPr>
                <w:rFonts w:asciiTheme="minorHAnsi" w:hAnsiTheme="minorHAnsi" w:cstheme="minorHAnsi"/>
                <w:sz w:val="18"/>
              </w:rPr>
            </w:pPr>
            <w:r>
              <w:rPr>
                <w:rFonts w:asciiTheme="minorHAnsi" w:hAnsiTheme="minorHAnsi" w:cstheme="minorHAnsi"/>
                <w:sz w:val="18"/>
              </w:rPr>
              <w:t>An insect parasitic only in its immature stages, killing its host in the process of its development, and free living as an adult (FAO 2024).</w:t>
            </w:r>
          </w:p>
        </w:tc>
      </w:tr>
      <w:tr w:rsidR="00684F28" w:rsidRPr="00684F28" w14:paraId="024F31BD" w14:textId="77777777" w:rsidTr="00FA2565">
        <w:tc>
          <w:tcPr>
            <w:tcW w:w="1509" w:type="pct"/>
          </w:tcPr>
          <w:p w14:paraId="53BBEF9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Pathogen</w:t>
            </w:r>
          </w:p>
        </w:tc>
        <w:tc>
          <w:tcPr>
            <w:tcW w:w="3491" w:type="pct"/>
          </w:tcPr>
          <w:p w14:paraId="6BE3195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 biological agent that can cause disease to its host.</w:t>
            </w:r>
          </w:p>
        </w:tc>
      </w:tr>
      <w:tr w:rsidR="00684F28" w:rsidRPr="00684F28" w14:paraId="3D83CCFC" w14:textId="77777777" w:rsidTr="00FA2565">
        <w:tc>
          <w:tcPr>
            <w:tcW w:w="1509" w:type="pct"/>
          </w:tcPr>
          <w:p w14:paraId="3333D62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Pathway</w:t>
            </w:r>
          </w:p>
        </w:tc>
        <w:tc>
          <w:tcPr>
            <w:tcW w:w="3491" w:type="pct"/>
          </w:tcPr>
          <w:p w14:paraId="66AAB237" w14:textId="091476DE"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Any means that </w:t>
            </w:r>
            <w:proofErr w:type="gramStart"/>
            <w:r w:rsidRPr="00E8707C">
              <w:rPr>
                <w:rFonts w:asciiTheme="minorHAnsi" w:hAnsiTheme="minorHAnsi" w:cstheme="minorHAnsi"/>
                <w:sz w:val="18"/>
              </w:rPr>
              <w:t>allows</w:t>
            </w:r>
            <w:proofErr w:type="gramEnd"/>
            <w:r w:rsidRPr="00E8707C">
              <w:rPr>
                <w:rFonts w:asciiTheme="minorHAnsi" w:hAnsiTheme="minorHAnsi" w:cstheme="minorHAnsi"/>
                <w:sz w:val="18"/>
              </w:rPr>
              <w:t xml:space="preserve"> the entry or spread of a pest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7CACC2E9" w14:textId="77777777" w:rsidTr="00FA2565">
        <w:tc>
          <w:tcPr>
            <w:tcW w:w="1509" w:type="pct"/>
          </w:tcPr>
          <w:p w14:paraId="045BB3B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w:t>
            </w:r>
          </w:p>
        </w:tc>
        <w:tc>
          <w:tcPr>
            <w:tcW w:w="3491" w:type="pct"/>
          </w:tcPr>
          <w:p w14:paraId="4D096677" w14:textId="13C91B0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Any species, strain or biotype of plant, animal, or pathogenic agent injurious to plants or plant products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8596CC4" w14:textId="77777777" w:rsidTr="00FA2565">
        <w:tc>
          <w:tcPr>
            <w:tcW w:w="1509" w:type="pct"/>
          </w:tcPr>
          <w:p w14:paraId="0ABE632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categorisation</w:t>
            </w:r>
          </w:p>
        </w:tc>
        <w:tc>
          <w:tcPr>
            <w:tcW w:w="3491" w:type="pct"/>
          </w:tcPr>
          <w:p w14:paraId="44ED8D7A" w14:textId="36130AA2"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process for determining whether a pest has or has not the characteristics of a quarantine pest or those of a regulated non-quarantine pest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p>
        </w:tc>
      </w:tr>
      <w:tr w:rsidR="00684F28" w:rsidRPr="00684F28" w14:paraId="44FCAB0D" w14:textId="77777777" w:rsidTr="00FA2565">
        <w:tc>
          <w:tcPr>
            <w:tcW w:w="1509" w:type="pct"/>
          </w:tcPr>
          <w:p w14:paraId="49AE872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free area (PFA)</w:t>
            </w:r>
          </w:p>
        </w:tc>
        <w:tc>
          <w:tcPr>
            <w:tcW w:w="3491" w:type="pct"/>
          </w:tcPr>
          <w:p w14:paraId="4784995F" w14:textId="708E3671"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area in which a specific pest </w:t>
            </w:r>
            <w:r w:rsidR="00BC5DE1" w:rsidRPr="00E8707C">
              <w:rPr>
                <w:rFonts w:asciiTheme="minorHAnsi" w:hAnsiTheme="minorHAnsi" w:cstheme="minorHAnsi"/>
                <w:sz w:val="18"/>
              </w:rPr>
              <w:t>is absent</w:t>
            </w:r>
            <w:r w:rsidRPr="00E8707C">
              <w:rPr>
                <w:rFonts w:asciiTheme="minorHAnsi" w:hAnsiTheme="minorHAnsi" w:cstheme="minorHAnsi"/>
                <w:sz w:val="18"/>
              </w:rPr>
              <w:t xml:space="preserve"> as demonstrated by scientific evidence and in which, where appropriate, this condition is being officially maintained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7AF7A38B" w14:textId="77777777" w:rsidTr="00FA2565">
        <w:tc>
          <w:tcPr>
            <w:tcW w:w="1509" w:type="pct"/>
          </w:tcPr>
          <w:p w14:paraId="2C3AEDE3"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free place of production (PFPP)</w:t>
            </w:r>
          </w:p>
        </w:tc>
        <w:tc>
          <w:tcPr>
            <w:tcW w:w="3491" w:type="pct"/>
          </w:tcPr>
          <w:p w14:paraId="6BC4E0F9" w14:textId="09D4F7F5"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Place of production in which a specific pest </w:t>
            </w:r>
            <w:r w:rsidR="00B710A6" w:rsidRPr="00E8707C">
              <w:rPr>
                <w:rFonts w:asciiTheme="minorHAnsi" w:hAnsiTheme="minorHAnsi" w:cstheme="minorHAnsi"/>
                <w:sz w:val="18"/>
              </w:rPr>
              <w:t>is absent</w:t>
            </w:r>
            <w:r w:rsidRPr="00E8707C">
              <w:rPr>
                <w:rFonts w:asciiTheme="minorHAnsi" w:hAnsiTheme="minorHAnsi" w:cstheme="minorHAnsi"/>
                <w:sz w:val="18"/>
              </w:rPr>
              <w:t xml:space="preserve"> as demonstrated by scientific evidence and in which, where appropriate, this condition is being officially maintained for a defined period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052AC34B" w14:textId="77777777" w:rsidTr="00FA2565">
        <w:tc>
          <w:tcPr>
            <w:tcW w:w="1509" w:type="pct"/>
          </w:tcPr>
          <w:p w14:paraId="094A0BB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lastRenderedPageBreak/>
              <w:t>Pest free production site (PFPS)</w:t>
            </w:r>
          </w:p>
        </w:tc>
        <w:tc>
          <w:tcPr>
            <w:tcW w:w="3491" w:type="pct"/>
          </w:tcPr>
          <w:p w14:paraId="78AFA3C5" w14:textId="0BA7E525"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 production site in which a specific pest is absent, as demonstrated by scientific evidence, and in which, where appropriate, this condition is being officially maintained for a defined period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2157E8DF" w14:textId="77777777" w:rsidTr="00FA2565">
        <w:tc>
          <w:tcPr>
            <w:tcW w:w="1509" w:type="pct"/>
          </w:tcPr>
          <w:p w14:paraId="5492B823"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risk analysis (PRA)</w:t>
            </w:r>
          </w:p>
        </w:tc>
        <w:tc>
          <w:tcPr>
            <w:tcW w:w="3491" w:type="pct"/>
          </w:tcPr>
          <w:p w14:paraId="1BAEF0C8" w14:textId="1E581FF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The process of evaluating biological or other scientific and economic evidence to determine whether an organism is a pest, whether it should be regulated, and the strength of any phytosanitary measures to be taken against it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59925ABC" w14:textId="77777777" w:rsidTr="00FA2565">
        <w:tc>
          <w:tcPr>
            <w:tcW w:w="1509" w:type="pct"/>
          </w:tcPr>
          <w:p w14:paraId="448D800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risk assessment (for quarantine pests)</w:t>
            </w:r>
          </w:p>
        </w:tc>
        <w:tc>
          <w:tcPr>
            <w:tcW w:w="3491" w:type="pct"/>
          </w:tcPr>
          <w:p w14:paraId="0375CEFC" w14:textId="7B45FF30"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Evaluation of the probability of the introduction and spread of a pest and of the magnitude of the associated potential economic consequences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01B4C1D4" w14:textId="77777777" w:rsidTr="00FA2565">
        <w:tc>
          <w:tcPr>
            <w:tcW w:w="1509" w:type="pct"/>
          </w:tcPr>
          <w:p w14:paraId="5EAFB92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risk assessment (for regulated non-quarantine pests)</w:t>
            </w:r>
          </w:p>
        </w:tc>
        <w:tc>
          <w:tcPr>
            <w:tcW w:w="3491" w:type="pct"/>
          </w:tcPr>
          <w:p w14:paraId="16602694" w14:textId="2752DC43"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Evaluation of the probability that a pest in plants for planting affects the intended use of those plants with an economically unacceptable impact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11A4E11A" w14:textId="77777777" w:rsidTr="00FA2565">
        <w:tc>
          <w:tcPr>
            <w:tcW w:w="1509" w:type="pct"/>
          </w:tcPr>
          <w:p w14:paraId="0E7C8F2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risk management (for quarantine pests)</w:t>
            </w:r>
          </w:p>
        </w:tc>
        <w:tc>
          <w:tcPr>
            <w:tcW w:w="3491" w:type="pct"/>
          </w:tcPr>
          <w:p w14:paraId="5B8B7F70" w14:textId="07727500"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Evaluation and selection of options to reduce the risk of introduction and spread of a pest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48AED9EE" w14:textId="77777777" w:rsidTr="00FA2565">
        <w:tc>
          <w:tcPr>
            <w:tcW w:w="1509" w:type="pct"/>
          </w:tcPr>
          <w:p w14:paraId="7D5C6E1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risk management (for regulated non-quarantine pests)</w:t>
            </w:r>
          </w:p>
        </w:tc>
        <w:tc>
          <w:tcPr>
            <w:tcW w:w="3491" w:type="pct"/>
          </w:tcPr>
          <w:p w14:paraId="5DF986A2" w14:textId="7647D595"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Evaluation and selection of options to reduce the risk that a pest in plants for planting causes an economically unacceptable impact on the intended use of those plants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9AB8B8B" w14:textId="77777777" w:rsidTr="00FA2565">
        <w:tc>
          <w:tcPr>
            <w:tcW w:w="1509" w:type="pct"/>
          </w:tcPr>
          <w:p w14:paraId="76EB5A9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Pest status (in an area)</w:t>
            </w:r>
          </w:p>
        </w:tc>
        <w:tc>
          <w:tcPr>
            <w:tcW w:w="3491" w:type="pct"/>
          </w:tcPr>
          <w:p w14:paraId="3DFE8E72" w14:textId="0716EF51"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Presence or absence, at the present time, of a pest in an area, including where appropriate its distribution, as officially determined using expert judgement on the basis of current and historical pest records and other information </w:t>
            </w:r>
            <w:r w:rsidR="0025213E" w:rsidRPr="00E8707C">
              <w:rPr>
                <w:rFonts w:asciiTheme="minorHAnsi" w:hAnsiTheme="minorHAnsi" w:cstheme="minorHAnsi"/>
                <w:sz w:val="18"/>
              </w:rPr>
              <w:t>(</w:t>
            </w:r>
            <w:r w:rsidR="00044E22">
              <w:rPr>
                <w:rFonts w:asciiTheme="minorHAnsi" w:hAnsiTheme="minorHAnsi" w:cstheme="minorHAnsi"/>
                <w:sz w:val="18"/>
              </w:rPr>
              <w:t>FAO 2024</w:t>
            </w:r>
            <w:r w:rsidR="0025213E"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5C3EEEFA" w14:textId="77777777" w:rsidTr="00FA2565">
        <w:tc>
          <w:tcPr>
            <w:tcW w:w="1509" w:type="pct"/>
          </w:tcPr>
          <w:p w14:paraId="7515556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Phytosanitary certificate</w:t>
            </w:r>
          </w:p>
        </w:tc>
        <w:tc>
          <w:tcPr>
            <w:tcW w:w="3491" w:type="pct"/>
          </w:tcPr>
          <w:p w14:paraId="4E7AE8B9" w14:textId="7398F2A6"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official paper document or its official electronic equivalent, consistent with the model certificates of the IPPC, attesting that a consignment meets phytosanitary import requirements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46B838D8" w14:textId="77777777" w:rsidTr="00FA2565">
        <w:tc>
          <w:tcPr>
            <w:tcW w:w="1509" w:type="pct"/>
          </w:tcPr>
          <w:p w14:paraId="7562CAA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Phytosanitary certification</w:t>
            </w:r>
          </w:p>
        </w:tc>
        <w:tc>
          <w:tcPr>
            <w:tcW w:w="3491" w:type="pct"/>
          </w:tcPr>
          <w:p w14:paraId="6A046C36" w14:textId="4F4DB82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Use of phytosanitary procedures leading to the issue of a phytosanitary certificate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040825B6" w14:textId="77777777" w:rsidTr="00FA2565">
        <w:tc>
          <w:tcPr>
            <w:tcW w:w="1509" w:type="pct"/>
          </w:tcPr>
          <w:p w14:paraId="24699F8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Phytosanitary measure</w:t>
            </w:r>
          </w:p>
        </w:tc>
        <w:tc>
          <w:tcPr>
            <w:tcW w:w="3491" w:type="pct"/>
          </w:tcPr>
          <w:p w14:paraId="03197E1F" w14:textId="2599CF75"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Phytosanitary relates to the health of plants. Any legislation, regulation or official procedure having the purpose to prevent the introduction or spread of quarantine pests, or to limit the economic impact of regulated non-quarantine pests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 xml:space="preserve">. In this risk analysis the term ‘phytosanitary measure’ and ‘risk management measure’ may be used interchangeably. </w:t>
            </w:r>
          </w:p>
        </w:tc>
      </w:tr>
      <w:tr w:rsidR="00684F28" w:rsidRPr="00684F28" w14:paraId="2A4BBC6F" w14:textId="77777777" w:rsidTr="00FA2565">
        <w:tc>
          <w:tcPr>
            <w:tcW w:w="1509" w:type="pct"/>
          </w:tcPr>
          <w:p w14:paraId="479B5E4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Phytosanitary procedure</w:t>
            </w:r>
          </w:p>
        </w:tc>
        <w:tc>
          <w:tcPr>
            <w:tcW w:w="3491" w:type="pct"/>
          </w:tcPr>
          <w:p w14:paraId="2E7DC718" w14:textId="7BCD6812"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Any official method for implementing phytosanitary measures including the performance of inspections, tests, surveillance or treatments in connection with regulated pests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1523F45B" w14:textId="77777777" w:rsidTr="00FA2565">
        <w:tc>
          <w:tcPr>
            <w:tcW w:w="1509" w:type="pct"/>
          </w:tcPr>
          <w:p w14:paraId="3688CA9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Phytosanitary regulation</w:t>
            </w:r>
          </w:p>
        </w:tc>
        <w:tc>
          <w:tcPr>
            <w:tcW w:w="3491" w:type="pct"/>
          </w:tcPr>
          <w:p w14:paraId="38CFC0CB" w14:textId="3377BDE1"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Official rule to prevent the introduction or spread of quarantine pests, or to limit the economic impact of regulated non-quarantine pests, including establishment of procedures for phytosanitary certification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105078E6" w14:textId="77777777" w:rsidTr="00FA2565">
        <w:tc>
          <w:tcPr>
            <w:tcW w:w="1509" w:type="pct"/>
          </w:tcPr>
          <w:p w14:paraId="1F61FAE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Polyphagous</w:t>
            </w:r>
          </w:p>
        </w:tc>
        <w:tc>
          <w:tcPr>
            <w:tcW w:w="3491" w:type="pct"/>
          </w:tcPr>
          <w:p w14:paraId="0CE38ACC"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Feeding on a relatively large number of hosts from different plant family and/or genera.</w:t>
            </w:r>
          </w:p>
        </w:tc>
      </w:tr>
      <w:tr w:rsidR="00684F28" w:rsidRPr="00684F28" w14:paraId="5B2AD05E" w14:textId="77777777" w:rsidTr="00FA2565">
        <w:tc>
          <w:tcPr>
            <w:tcW w:w="1509" w:type="pct"/>
          </w:tcPr>
          <w:p w14:paraId="7A3AB94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PRA area</w:t>
            </w:r>
          </w:p>
        </w:tc>
        <w:tc>
          <w:tcPr>
            <w:tcW w:w="3491" w:type="pct"/>
          </w:tcPr>
          <w:p w14:paraId="39E32C64" w14:textId="353A474B"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Area in relation to which a pest risk analysis is conducted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4829863D" w14:textId="77777777" w:rsidTr="00FA2565">
        <w:tc>
          <w:tcPr>
            <w:tcW w:w="1509" w:type="pct"/>
          </w:tcPr>
          <w:p w14:paraId="0CA4FFF3"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Qld</w:t>
            </w:r>
          </w:p>
        </w:tc>
        <w:tc>
          <w:tcPr>
            <w:tcW w:w="3491" w:type="pct"/>
          </w:tcPr>
          <w:p w14:paraId="30FBD51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state of Queensland in Australia.</w:t>
            </w:r>
          </w:p>
        </w:tc>
      </w:tr>
      <w:tr w:rsidR="00684F28" w:rsidRPr="00684F28" w14:paraId="378EF774" w14:textId="77777777" w:rsidTr="00FA2565">
        <w:tc>
          <w:tcPr>
            <w:tcW w:w="1509" w:type="pct"/>
          </w:tcPr>
          <w:p w14:paraId="7C0FB5E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Quarantine</w:t>
            </w:r>
          </w:p>
        </w:tc>
        <w:tc>
          <w:tcPr>
            <w:tcW w:w="3491" w:type="pct"/>
          </w:tcPr>
          <w:p w14:paraId="01C32C81" w14:textId="51390E39"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Official confinement of regulated articles</w:t>
            </w:r>
            <w:r w:rsidR="003E054E" w:rsidRPr="00E8707C">
              <w:rPr>
                <w:rFonts w:asciiTheme="minorHAnsi" w:hAnsiTheme="minorHAnsi" w:cstheme="minorHAnsi"/>
                <w:sz w:val="18"/>
              </w:rPr>
              <w:t>,</w:t>
            </w:r>
            <w:r w:rsidRPr="00E8707C">
              <w:rPr>
                <w:rFonts w:asciiTheme="minorHAnsi" w:hAnsiTheme="minorHAnsi" w:cstheme="minorHAnsi"/>
                <w:sz w:val="18"/>
              </w:rPr>
              <w:t xml:space="preserve"> </w:t>
            </w:r>
            <w:r w:rsidR="003E054E" w:rsidRPr="00E8707C">
              <w:rPr>
                <w:rFonts w:asciiTheme="minorHAnsi" w:hAnsiTheme="minorHAnsi" w:cstheme="minorHAnsi"/>
                <w:sz w:val="18"/>
              </w:rPr>
              <w:t xml:space="preserve">pests or beneficial organisms for inspection, testing, treatment, observation or research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1B3DDEBA" w14:textId="77777777" w:rsidTr="00FA2565">
        <w:tc>
          <w:tcPr>
            <w:tcW w:w="1509" w:type="pct"/>
          </w:tcPr>
          <w:p w14:paraId="02B7E58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Quarantine pest</w:t>
            </w:r>
          </w:p>
        </w:tc>
        <w:tc>
          <w:tcPr>
            <w:tcW w:w="3491" w:type="pct"/>
          </w:tcPr>
          <w:p w14:paraId="63ED21FD" w14:textId="76B8B4D4"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 pest of potential economic importance to the area endangered thereby and not yet present there, or present but not widely distributed and being officially controlled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0E64CE3" w14:textId="77777777" w:rsidTr="00FA2565">
        <w:tc>
          <w:tcPr>
            <w:tcW w:w="1509" w:type="pct"/>
          </w:tcPr>
          <w:p w14:paraId="2F963AB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Regulated article (RA)</w:t>
            </w:r>
          </w:p>
        </w:tc>
        <w:tc>
          <w:tcPr>
            <w:tcW w:w="3491" w:type="pct"/>
          </w:tcPr>
          <w:p w14:paraId="31569030" w14:textId="7F1B7F8A"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48455521" w14:textId="77777777" w:rsidTr="00FA2565">
        <w:tc>
          <w:tcPr>
            <w:tcW w:w="1509" w:type="pct"/>
          </w:tcPr>
          <w:p w14:paraId="7E209D4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Regulated non-quarantine pest</w:t>
            </w:r>
          </w:p>
        </w:tc>
        <w:tc>
          <w:tcPr>
            <w:tcW w:w="3491" w:type="pct"/>
          </w:tcPr>
          <w:p w14:paraId="443F379D" w14:textId="4F10D2BF"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 non-quarantine pest whose presence in plants for planting affects the intended use of those plants with an economically unacceptable impact and which is </w:t>
            </w:r>
            <w:r w:rsidRPr="00E8707C">
              <w:rPr>
                <w:rFonts w:asciiTheme="minorHAnsi" w:hAnsiTheme="minorHAnsi" w:cstheme="minorHAnsi"/>
                <w:sz w:val="18"/>
              </w:rPr>
              <w:lastRenderedPageBreak/>
              <w:t xml:space="preserve">therefore regulated within the territory of the importing contracting party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001AD4BB" w14:textId="77777777" w:rsidTr="00FA2565">
        <w:tc>
          <w:tcPr>
            <w:tcW w:w="1509" w:type="pct"/>
          </w:tcPr>
          <w:p w14:paraId="26DFBDB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lastRenderedPageBreak/>
              <w:t>Regulated pest</w:t>
            </w:r>
          </w:p>
        </w:tc>
        <w:tc>
          <w:tcPr>
            <w:tcW w:w="3491" w:type="pct"/>
          </w:tcPr>
          <w:p w14:paraId="707CD596" w14:textId="4F8EEBE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 quarantine pest or a regulated non-quarantine pest </w:t>
            </w:r>
            <w:r w:rsidR="001B5A2F" w:rsidRPr="00E8707C">
              <w:rPr>
                <w:rFonts w:asciiTheme="minorHAnsi" w:hAnsiTheme="minorHAnsi" w:cstheme="minorHAnsi"/>
                <w:sz w:val="18"/>
              </w:rPr>
              <w:t>(</w:t>
            </w:r>
            <w:r w:rsidR="00044E22">
              <w:rPr>
                <w:rFonts w:asciiTheme="minorHAnsi" w:hAnsiTheme="minorHAnsi" w:cstheme="minorHAnsi"/>
                <w:sz w:val="18"/>
              </w:rPr>
              <w:t>FAO 2024</w:t>
            </w:r>
            <w:r w:rsidR="001B5A2F"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7E05563" w14:textId="77777777" w:rsidTr="00FA2565">
        <w:tc>
          <w:tcPr>
            <w:tcW w:w="1509" w:type="pct"/>
          </w:tcPr>
          <w:p w14:paraId="205FB98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Restricted risk</w:t>
            </w:r>
          </w:p>
        </w:tc>
        <w:tc>
          <w:tcPr>
            <w:tcW w:w="3491" w:type="pct"/>
          </w:tcPr>
          <w:p w14:paraId="135CBD8C"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Restricted risk is the risk estimate when risk management measures are applied.</w:t>
            </w:r>
          </w:p>
        </w:tc>
      </w:tr>
      <w:tr w:rsidR="00684F28" w:rsidRPr="00684F28" w14:paraId="4FEBFB02" w14:textId="77777777" w:rsidTr="00FA2565">
        <w:tc>
          <w:tcPr>
            <w:tcW w:w="1509" w:type="pct"/>
          </w:tcPr>
          <w:p w14:paraId="24389347"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Risk analysis</w:t>
            </w:r>
          </w:p>
        </w:tc>
        <w:tc>
          <w:tcPr>
            <w:tcW w:w="3491" w:type="pct"/>
          </w:tcPr>
          <w:p w14:paraId="2976DC3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684F28" w:rsidRPr="00684F28" w14:paraId="7F43EBA0" w14:textId="77777777" w:rsidTr="00FA2565">
        <w:tc>
          <w:tcPr>
            <w:tcW w:w="1509" w:type="pct"/>
          </w:tcPr>
          <w:p w14:paraId="2B09565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Risk management measure</w:t>
            </w:r>
          </w:p>
        </w:tc>
        <w:tc>
          <w:tcPr>
            <w:tcW w:w="3491" w:type="pct"/>
          </w:tcPr>
          <w:p w14:paraId="20412C0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684F28" w:rsidRPr="00684F28" w14:paraId="5D69051F" w14:textId="77777777" w:rsidTr="00FA2565">
        <w:tc>
          <w:tcPr>
            <w:tcW w:w="1509" w:type="pct"/>
          </w:tcPr>
          <w:p w14:paraId="6BB3517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SA</w:t>
            </w:r>
          </w:p>
        </w:tc>
        <w:tc>
          <w:tcPr>
            <w:tcW w:w="3491" w:type="pct"/>
          </w:tcPr>
          <w:p w14:paraId="5948EAE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state of South Australia.</w:t>
            </w:r>
          </w:p>
        </w:tc>
      </w:tr>
      <w:tr w:rsidR="00684F28" w:rsidRPr="00684F28" w14:paraId="31B3E589" w14:textId="77777777" w:rsidTr="00FA2565">
        <w:tc>
          <w:tcPr>
            <w:tcW w:w="1509" w:type="pct"/>
          </w:tcPr>
          <w:p w14:paraId="20F6689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Saprophyte</w:t>
            </w:r>
          </w:p>
        </w:tc>
        <w:tc>
          <w:tcPr>
            <w:tcW w:w="3491" w:type="pct"/>
          </w:tcPr>
          <w:p w14:paraId="2817BCD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An organism deriving its nourishment from dead organic matter.</w:t>
            </w:r>
          </w:p>
        </w:tc>
      </w:tr>
      <w:tr w:rsidR="00684F28" w:rsidRPr="00684F28" w14:paraId="4A82AB7B" w14:textId="77777777" w:rsidTr="00FA2565">
        <w:tc>
          <w:tcPr>
            <w:tcW w:w="1509" w:type="pct"/>
          </w:tcPr>
          <w:p w14:paraId="5D798E6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Spread (of a pest)</w:t>
            </w:r>
          </w:p>
        </w:tc>
        <w:tc>
          <w:tcPr>
            <w:tcW w:w="3491" w:type="pct"/>
          </w:tcPr>
          <w:p w14:paraId="1B594397" w14:textId="599EE16D"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Expansion of the geographical distribution of a pest within an area </w:t>
            </w:r>
            <w:r w:rsidR="00C33F81" w:rsidRPr="00E8707C">
              <w:rPr>
                <w:rFonts w:asciiTheme="minorHAnsi" w:hAnsiTheme="minorHAnsi" w:cstheme="minorHAnsi"/>
                <w:sz w:val="18"/>
              </w:rPr>
              <w:t>(</w:t>
            </w:r>
            <w:r w:rsidR="00044E22">
              <w:rPr>
                <w:rFonts w:asciiTheme="minorHAnsi" w:hAnsiTheme="minorHAnsi" w:cstheme="minorHAnsi"/>
                <w:sz w:val="18"/>
              </w:rPr>
              <w:t>FAO 2024</w:t>
            </w:r>
            <w:r w:rsidR="00C33F81"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1A3C9CAB" w14:textId="77777777" w:rsidTr="00FA2565">
        <w:tc>
          <w:tcPr>
            <w:tcW w:w="1509" w:type="pct"/>
          </w:tcPr>
          <w:p w14:paraId="11F96D4C"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SPS Agreement</w:t>
            </w:r>
          </w:p>
        </w:tc>
        <w:tc>
          <w:tcPr>
            <w:tcW w:w="3491" w:type="pct"/>
          </w:tcPr>
          <w:p w14:paraId="28E2A76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WTO Agreement on the Application of Sanitary and Phytosanitary Measures.</w:t>
            </w:r>
          </w:p>
        </w:tc>
      </w:tr>
      <w:tr w:rsidR="00684F28" w:rsidRPr="00684F28" w14:paraId="531D53DB" w14:textId="77777777" w:rsidTr="00FA2565">
        <w:tc>
          <w:tcPr>
            <w:tcW w:w="1509" w:type="pct"/>
          </w:tcPr>
          <w:p w14:paraId="225310D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Stakeholders</w:t>
            </w:r>
          </w:p>
        </w:tc>
        <w:tc>
          <w:tcPr>
            <w:tcW w:w="3491" w:type="pct"/>
          </w:tcPr>
          <w:p w14:paraId="67B9848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Government agencies, individuals, community or industry groups or organizations, whether in Australia or overseas, including the proponent/applicant for a specific proposal, who have an interest in the policy issues.</w:t>
            </w:r>
          </w:p>
        </w:tc>
      </w:tr>
      <w:tr w:rsidR="00684F28" w:rsidRPr="00684F28" w14:paraId="36C50E22" w14:textId="77777777" w:rsidTr="00FA2565">
        <w:tc>
          <w:tcPr>
            <w:tcW w:w="1509" w:type="pct"/>
          </w:tcPr>
          <w:p w14:paraId="2726D03A"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Surveillance</w:t>
            </w:r>
          </w:p>
        </w:tc>
        <w:tc>
          <w:tcPr>
            <w:tcW w:w="3491" w:type="pct"/>
          </w:tcPr>
          <w:p w14:paraId="170F087B" w14:textId="573640B0"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An official process which collects and records data on </w:t>
            </w:r>
            <w:r w:rsidR="00951526" w:rsidRPr="00E8707C">
              <w:rPr>
                <w:rFonts w:asciiTheme="minorHAnsi" w:hAnsiTheme="minorHAnsi" w:cstheme="minorHAnsi"/>
                <w:sz w:val="18"/>
              </w:rPr>
              <w:t>pest presence or absence by survey,</w:t>
            </w:r>
            <w:r w:rsidRPr="00E8707C">
              <w:rPr>
                <w:rFonts w:asciiTheme="minorHAnsi" w:hAnsiTheme="minorHAnsi" w:cstheme="minorHAnsi"/>
                <w:sz w:val="18"/>
              </w:rPr>
              <w:t xml:space="preserve"> monitoring or other procedures </w:t>
            </w:r>
            <w:r w:rsidR="00C33F81" w:rsidRPr="00E8707C">
              <w:rPr>
                <w:rFonts w:asciiTheme="minorHAnsi" w:hAnsiTheme="minorHAnsi" w:cstheme="minorHAnsi"/>
                <w:sz w:val="18"/>
              </w:rPr>
              <w:t>(</w:t>
            </w:r>
            <w:r w:rsidR="00044E22">
              <w:rPr>
                <w:rFonts w:asciiTheme="minorHAnsi" w:hAnsiTheme="minorHAnsi" w:cstheme="minorHAnsi"/>
                <w:sz w:val="18"/>
              </w:rPr>
              <w:t>FAO 2024</w:t>
            </w:r>
            <w:r w:rsidR="00C33F81"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528E1126" w14:textId="77777777" w:rsidTr="00FA2565">
        <w:tc>
          <w:tcPr>
            <w:tcW w:w="1509" w:type="pct"/>
          </w:tcPr>
          <w:p w14:paraId="40BBF1B6"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Systems approach(es)</w:t>
            </w:r>
          </w:p>
        </w:tc>
        <w:tc>
          <w:tcPr>
            <w:tcW w:w="3491" w:type="pct"/>
          </w:tcPr>
          <w:p w14:paraId="0534B846"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integration of different risk management measures, at least 2 of which act independently, and which cumulatively achieve the appropriate level of protection against regulated pests.</w:t>
            </w:r>
          </w:p>
        </w:tc>
      </w:tr>
      <w:tr w:rsidR="00684F28" w:rsidRPr="00684F28" w14:paraId="0BEB1E70" w14:textId="77777777" w:rsidTr="00FA2565">
        <w:tc>
          <w:tcPr>
            <w:tcW w:w="1509" w:type="pct"/>
          </w:tcPr>
          <w:p w14:paraId="2F34AFBB"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Tas.</w:t>
            </w:r>
          </w:p>
        </w:tc>
        <w:tc>
          <w:tcPr>
            <w:tcW w:w="3491" w:type="pct"/>
          </w:tcPr>
          <w:p w14:paraId="1346530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state of Tasmania in Australia.</w:t>
            </w:r>
          </w:p>
        </w:tc>
      </w:tr>
      <w:tr w:rsidR="00684F28" w:rsidRPr="00684F28" w14:paraId="5112CDFA" w14:textId="77777777" w:rsidTr="00FA2565">
        <w:tc>
          <w:tcPr>
            <w:tcW w:w="1509" w:type="pct"/>
          </w:tcPr>
          <w:p w14:paraId="55FB76B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Trash</w:t>
            </w:r>
          </w:p>
        </w:tc>
        <w:tc>
          <w:tcPr>
            <w:tcW w:w="3491" w:type="pct"/>
          </w:tcPr>
          <w:p w14:paraId="2B05537F"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Soil, splinters, twigs, leaves and other plant material, other than fruit as defined in the scope of this risk analysis.</w:t>
            </w:r>
          </w:p>
          <w:p w14:paraId="0660F7E5"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For example, stem and leaf material, seeds, soil, animal matter/parts or other extraneous material</w:t>
            </w:r>
          </w:p>
        </w:tc>
      </w:tr>
      <w:tr w:rsidR="00684F28" w:rsidRPr="00684F28" w14:paraId="052968AC" w14:textId="77777777" w:rsidTr="00FA2565">
        <w:tc>
          <w:tcPr>
            <w:tcW w:w="1509" w:type="pct"/>
          </w:tcPr>
          <w:p w14:paraId="5974DC17" w14:textId="055553EF"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Treatment</w:t>
            </w:r>
            <w:r w:rsidR="000E00C0" w:rsidRPr="00E8707C">
              <w:rPr>
                <w:rFonts w:asciiTheme="minorHAnsi" w:hAnsiTheme="minorHAnsi" w:cstheme="minorHAnsi"/>
                <w:sz w:val="18"/>
              </w:rPr>
              <w:t xml:space="preserve"> (as a phytosanitary measure)</w:t>
            </w:r>
          </w:p>
        </w:tc>
        <w:tc>
          <w:tcPr>
            <w:tcW w:w="3491" w:type="pct"/>
          </w:tcPr>
          <w:p w14:paraId="732C4A40" w14:textId="14115DF0"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 xml:space="preserve">Official procedure for </w:t>
            </w:r>
            <w:r w:rsidR="000E00C0" w:rsidRPr="00E8707C">
              <w:rPr>
                <w:rFonts w:asciiTheme="minorHAnsi" w:hAnsiTheme="minorHAnsi" w:cstheme="minorHAnsi"/>
                <w:sz w:val="18"/>
              </w:rPr>
              <w:t xml:space="preserve">killing, inactivating, removing, rendering infertile or devitalising regulated pests </w:t>
            </w:r>
            <w:r w:rsidR="00C33F81" w:rsidRPr="00E8707C">
              <w:rPr>
                <w:rFonts w:asciiTheme="minorHAnsi" w:hAnsiTheme="minorHAnsi" w:cstheme="minorHAnsi"/>
                <w:sz w:val="18"/>
              </w:rPr>
              <w:t>(</w:t>
            </w:r>
            <w:r w:rsidR="00044E22">
              <w:rPr>
                <w:rFonts w:asciiTheme="minorHAnsi" w:hAnsiTheme="minorHAnsi" w:cstheme="minorHAnsi"/>
                <w:sz w:val="18"/>
              </w:rPr>
              <w:t>FAO 2024</w:t>
            </w:r>
            <w:r w:rsidR="00C33F81" w:rsidRPr="00E8707C">
              <w:rPr>
                <w:rFonts w:asciiTheme="minorHAnsi" w:hAnsiTheme="minorHAnsi" w:cstheme="minorHAnsi"/>
                <w:sz w:val="18"/>
              </w:rPr>
              <w:t>)</w:t>
            </w:r>
            <w:r w:rsidRPr="00E8707C">
              <w:rPr>
                <w:rFonts w:asciiTheme="minorHAnsi" w:hAnsiTheme="minorHAnsi" w:cstheme="minorHAnsi"/>
                <w:sz w:val="18"/>
              </w:rPr>
              <w:t>.</w:t>
            </w:r>
          </w:p>
        </w:tc>
      </w:tr>
      <w:tr w:rsidR="00684F28" w:rsidRPr="00684F28" w14:paraId="6CFB7756" w14:textId="77777777" w:rsidTr="00FA2565">
        <w:tc>
          <w:tcPr>
            <w:tcW w:w="1509" w:type="pct"/>
          </w:tcPr>
          <w:p w14:paraId="20A145DC"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Unrestricted risk</w:t>
            </w:r>
          </w:p>
        </w:tc>
        <w:tc>
          <w:tcPr>
            <w:tcW w:w="3491" w:type="pct"/>
          </w:tcPr>
          <w:p w14:paraId="6601C55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Unrestricted risk estimates apply in the absence of risk management measures.</w:t>
            </w:r>
          </w:p>
        </w:tc>
      </w:tr>
      <w:tr w:rsidR="00684F28" w:rsidRPr="00684F28" w14:paraId="7F1044E1" w14:textId="77777777" w:rsidTr="00FA2565">
        <w:tc>
          <w:tcPr>
            <w:tcW w:w="1509" w:type="pct"/>
          </w:tcPr>
          <w:p w14:paraId="061DFFF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Vector</w:t>
            </w:r>
          </w:p>
        </w:tc>
        <w:tc>
          <w:tcPr>
            <w:tcW w:w="3491" w:type="pct"/>
          </w:tcPr>
          <w:p w14:paraId="47F0E1B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In this report, a vector is an organism that is capable of harbouring and spreading a pest from one host to another.</w:t>
            </w:r>
          </w:p>
        </w:tc>
      </w:tr>
      <w:tr w:rsidR="00684F28" w:rsidRPr="00684F28" w14:paraId="2E845D7F" w14:textId="77777777" w:rsidTr="00FA2565">
        <w:tc>
          <w:tcPr>
            <w:tcW w:w="1509" w:type="pct"/>
          </w:tcPr>
          <w:p w14:paraId="2E2F614D"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Viable</w:t>
            </w:r>
          </w:p>
        </w:tc>
        <w:tc>
          <w:tcPr>
            <w:tcW w:w="3491" w:type="pct"/>
          </w:tcPr>
          <w:p w14:paraId="6AB4A0A9"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Alive, able to germinate or capable of growth and/or development.</w:t>
            </w:r>
          </w:p>
        </w:tc>
      </w:tr>
      <w:tr w:rsidR="00684F28" w:rsidRPr="00684F28" w14:paraId="5F3D99C5" w14:textId="77777777" w:rsidTr="00FA2565">
        <w:tc>
          <w:tcPr>
            <w:tcW w:w="1509" w:type="pct"/>
          </w:tcPr>
          <w:p w14:paraId="27038C68"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Vic.</w:t>
            </w:r>
          </w:p>
        </w:tc>
        <w:tc>
          <w:tcPr>
            <w:tcW w:w="3491" w:type="pct"/>
          </w:tcPr>
          <w:p w14:paraId="4E2E3F42"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state of Victoria in Australia.</w:t>
            </w:r>
          </w:p>
        </w:tc>
      </w:tr>
      <w:tr w:rsidR="00684F28" w:rsidRPr="00684F28" w14:paraId="7A42349E" w14:textId="77777777" w:rsidTr="00FA2565">
        <w:tc>
          <w:tcPr>
            <w:tcW w:w="1509" w:type="pct"/>
          </w:tcPr>
          <w:p w14:paraId="59410FC1"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WA</w:t>
            </w:r>
          </w:p>
        </w:tc>
        <w:tc>
          <w:tcPr>
            <w:tcW w:w="3491" w:type="pct"/>
          </w:tcPr>
          <w:p w14:paraId="30063C40"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The state of Western Australia.</w:t>
            </w:r>
          </w:p>
        </w:tc>
      </w:tr>
      <w:tr w:rsidR="00684F28" w:rsidRPr="00684F28" w14:paraId="727ADE01" w14:textId="77777777" w:rsidTr="00FA2565">
        <w:tc>
          <w:tcPr>
            <w:tcW w:w="1509" w:type="pct"/>
          </w:tcPr>
          <w:p w14:paraId="58E99BA4"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WTO</w:t>
            </w:r>
          </w:p>
        </w:tc>
        <w:tc>
          <w:tcPr>
            <w:tcW w:w="3491" w:type="pct"/>
          </w:tcPr>
          <w:p w14:paraId="1504C15E" w14:textId="77777777" w:rsidR="00684F28" w:rsidRPr="00E8707C" w:rsidRDefault="00684F28" w:rsidP="00684F28">
            <w:pPr>
              <w:spacing w:before="60" w:after="60" w:line="240" w:lineRule="auto"/>
              <w:rPr>
                <w:rFonts w:asciiTheme="minorHAnsi" w:hAnsiTheme="minorHAnsi" w:cstheme="minorHAnsi"/>
                <w:sz w:val="18"/>
              </w:rPr>
            </w:pPr>
            <w:r w:rsidRPr="00E8707C">
              <w:rPr>
                <w:rFonts w:asciiTheme="minorHAnsi" w:hAnsiTheme="minorHAnsi" w:cstheme="minorHAnsi"/>
                <w:sz w:val="18"/>
              </w:rPr>
              <w:t>World Trade Organization</w:t>
            </w:r>
          </w:p>
        </w:tc>
      </w:tr>
    </w:tbl>
    <w:p w14:paraId="00730796" w14:textId="2A4FA491" w:rsidR="00684F28" w:rsidRPr="00684F28" w:rsidRDefault="00684F28" w:rsidP="00684F28">
      <w:pPr>
        <w:sectPr w:rsidR="00684F28" w:rsidRPr="00684F28" w:rsidSect="00736319">
          <w:headerReference w:type="even" r:id="rId79"/>
          <w:headerReference w:type="default" r:id="rId80"/>
          <w:footerReference w:type="even" r:id="rId81"/>
          <w:footerReference w:type="default" r:id="rId82"/>
          <w:headerReference w:type="first" r:id="rId83"/>
          <w:footerReference w:type="first" r:id="rId84"/>
          <w:pgSz w:w="11906" w:h="16838"/>
          <w:pgMar w:top="1418" w:right="1418" w:bottom="1418" w:left="1418" w:header="567" w:footer="283" w:gutter="0"/>
          <w:cols w:space="708"/>
          <w:docGrid w:linePitch="360"/>
        </w:sectPr>
      </w:pPr>
    </w:p>
    <w:p w14:paraId="57F6AF87" w14:textId="77777777" w:rsidR="00736319" w:rsidRDefault="00D0393D" w:rsidP="00B96F59">
      <w:pPr>
        <w:pStyle w:val="Heading2"/>
        <w:numPr>
          <w:ilvl w:val="0"/>
          <w:numId w:val="0"/>
        </w:numPr>
        <w:ind w:left="794" w:hanging="794"/>
      </w:pPr>
      <w:bookmarkStart w:id="78" w:name="_Toc114642150"/>
      <w:bookmarkStart w:id="79" w:name="_Toc216420329"/>
      <w:r>
        <w:lastRenderedPageBreak/>
        <w:t>References</w:t>
      </w:r>
      <w:bookmarkEnd w:id="78"/>
      <w:bookmarkEnd w:id="79"/>
    </w:p>
    <w:p w14:paraId="00E66BED" w14:textId="77777777" w:rsidR="009D2A7D" w:rsidRPr="00E8707C" w:rsidRDefault="009D2A7D" w:rsidP="009D2A7D">
      <w:pPr>
        <w:pStyle w:val="EndNoteBibliography"/>
        <w:rPr>
          <w:rFonts w:asciiTheme="minorHAnsi" w:hAnsiTheme="minorHAnsi" w:cstheme="minorHAnsi"/>
        </w:rPr>
      </w:pPr>
      <w:r w:rsidRPr="00E8707C">
        <w:rPr>
          <w:rFonts w:asciiTheme="minorHAnsi" w:hAnsiTheme="minorHAnsi" w:cstheme="minorHAnsi"/>
        </w:rPr>
        <w:t xml:space="preserve">Briese, D 2005, ‘Translating host-specificity test results into the real world: the need to harmonize the yin and yang of current testing procedures’, </w:t>
      </w:r>
      <w:r w:rsidRPr="00E8707C">
        <w:rPr>
          <w:rFonts w:asciiTheme="minorHAnsi" w:hAnsiTheme="minorHAnsi" w:cstheme="minorHAnsi"/>
          <w:i/>
        </w:rPr>
        <w:t>Biological Control</w:t>
      </w:r>
      <w:r w:rsidRPr="00E8707C">
        <w:rPr>
          <w:rFonts w:asciiTheme="minorHAnsi" w:hAnsiTheme="minorHAnsi" w:cstheme="minorHAnsi"/>
        </w:rPr>
        <w:t>, vol. 35, pp. 208-214.</w:t>
      </w:r>
    </w:p>
    <w:p w14:paraId="5283EED7" w14:textId="12466C57" w:rsidR="00BE03BC" w:rsidRPr="00E8707C" w:rsidRDefault="00BE03BC" w:rsidP="009D2A7D">
      <w:pPr>
        <w:pStyle w:val="EndNoteBibliography"/>
        <w:rPr>
          <w:rFonts w:asciiTheme="minorHAnsi" w:hAnsiTheme="minorHAnsi" w:cstheme="minorHAnsi"/>
        </w:rPr>
      </w:pPr>
      <w:r w:rsidRPr="00E8707C">
        <w:rPr>
          <w:rFonts w:asciiTheme="minorHAnsi" w:hAnsiTheme="minorHAnsi" w:cstheme="minorHAnsi"/>
        </w:rPr>
        <w:t xml:space="preserve">DAWE 2021, Final group pest risk analysis for soft and hard scale insects on fresh fruit, vegetable, cut-flower and foliage imports, Department of Agriculture, Water and the Environment, Canberra, available at </w:t>
      </w:r>
      <w:hyperlink r:id="rId85" w:history="1">
        <w:r w:rsidRPr="00E8707C">
          <w:rPr>
            <w:rStyle w:val="Hyperlink"/>
            <w:rFonts w:asciiTheme="minorHAnsi" w:hAnsiTheme="minorHAnsi" w:cstheme="minorHAnsi"/>
          </w:rPr>
          <w:t>https://www.awe.gov.au/biosecurity-trade/policy/risk-analysis/group-pest-risk-analyses/scales</w:t>
        </w:r>
      </w:hyperlink>
      <w:r w:rsidRPr="00E8707C">
        <w:rPr>
          <w:rFonts w:asciiTheme="minorHAnsi" w:hAnsiTheme="minorHAnsi" w:cstheme="minorHAnsi"/>
        </w:rPr>
        <w:t>.</w:t>
      </w:r>
    </w:p>
    <w:p w14:paraId="1A4B3077" w14:textId="273065B5" w:rsidR="00BE03BC" w:rsidRPr="00E8707C" w:rsidRDefault="00BE03BC" w:rsidP="009D2A7D">
      <w:pPr>
        <w:pStyle w:val="EndNoteBibliography"/>
        <w:rPr>
          <w:rFonts w:asciiTheme="minorHAnsi" w:hAnsiTheme="minorHAnsi" w:cstheme="minorHAnsi"/>
        </w:rPr>
      </w:pPr>
      <w:r w:rsidRPr="00E8707C">
        <w:rPr>
          <w:rFonts w:asciiTheme="minorHAnsi" w:hAnsiTheme="minorHAnsi" w:cstheme="minorHAnsi"/>
        </w:rPr>
        <w:t xml:space="preserve">DAWR 2017, Final group pest risk analysis for thrips and orthotospoviruses on fresh fruit, vegetable, cut-flower and foliage imports, Department of Agriculture and Water Resources, Canberra, available at </w:t>
      </w:r>
      <w:hyperlink r:id="rId86" w:history="1">
        <w:r w:rsidRPr="00E8707C">
          <w:rPr>
            <w:rStyle w:val="Hyperlink"/>
            <w:rFonts w:asciiTheme="minorHAnsi" w:hAnsiTheme="minorHAnsi" w:cstheme="minorHAnsi"/>
          </w:rPr>
          <w:t>https://www.awe.gov.au/biosecurity-trade/policy/risk-analysis/group-pest-risk-analyses/group-pra-thrips-orthotospoviruses/final-report</w:t>
        </w:r>
      </w:hyperlink>
      <w:r w:rsidRPr="00E8707C">
        <w:rPr>
          <w:rFonts w:asciiTheme="minorHAnsi" w:hAnsiTheme="minorHAnsi" w:cstheme="minorHAnsi"/>
        </w:rPr>
        <w:t>.</w:t>
      </w:r>
    </w:p>
    <w:p w14:paraId="2143B816" w14:textId="178460DE" w:rsidR="00BE03BC" w:rsidRPr="00E8707C" w:rsidRDefault="00BE03BC" w:rsidP="009D2A7D">
      <w:pPr>
        <w:pStyle w:val="EndNoteBibliography"/>
        <w:rPr>
          <w:rFonts w:asciiTheme="minorHAnsi" w:hAnsiTheme="minorHAnsi" w:cstheme="minorHAnsi"/>
        </w:rPr>
      </w:pPr>
      <w:r w:rsidRPr="00E8707C">
        <w:rPr>
          <w:rFonts w:asciiTheme="minorHAnsi" w:hAnsiTheme="minorHAnsi" w:cstheme="minorHAnsi"/>
        </w:rPr>
        <w:t xml:space="preserve">DAWE 2019, Final group pest risk analysis for mealybugs and the viruses they transmit on fresh fruit, vegetable, cut-flower and foliage imports, Department of Agriculture and Water Resources, Canberra, available at </w:t>
      </w:r>
      <w:hyperlink r:id="rId87" w:history="1">
        <w:r w:rsidRPr="00E8707C">
          <w:rPr>
            <w:rStyle w:val="Hyperlink"/>
            <w:rFonts w:asciiTheme="minorHAnsi" w:hAnsiTheme="minorHAnsi" w:cstheme="minorHAnsi"/>
          </w:rPr>
          <w:t>https://www.awe.gov.au/biosecurity-trade/policy/risk-analysis/group-pest-risk-analyses/mealybugs/final-report</w:t>
        </w:r>
      </w:hyperlink>
      <w:r w:rsidRPr="00E8707C">
        <w:rPr>
          <w:rFonts w:asciiTheme="minorHAnsi" w:hAnsiTheme="minorHAnsi" w:cstheme="minorHAnsi"/>
        </w:rPr>
        <w:t xml:space="preserve">. </w:t>
      </w:r>
    </w:p>
    <w:p w14:paraId="22C7208A" w14:textId="0E61C3E1" w:rsidR="009D2A7D" w:rsidRPr="00E8707C" w:rsidRDefault="009D2A7D" w:rsidP="009D2A7D">
      <w:pPr>
        <w:pStyle w:val="EndNoteBibliography"/>
        <w:rPr>
          <w:rFonts w:asciiTheme="minorHAnsi" w:hAnsiTheme="minorHAnsi" w:cstheme="minorHAnsi"/>
        </w:rPr>
      </w:pPr>
      <w:r w:rsidRPr="00E8707C">
        <w:rPr>
          <w:rFonts w:asciiTheme="minorHAnsi" w:hAnsiTheme="minorHAnsi" w:cstheme="minorHAnsi"/>
        </w:rPr>
        <w:t xml:space="preserve">FAO 2017, </w:t>
      </w:r>
      <w:r w:rsidRPr="00E8707C">
        <w:rPr>
          <w:rFonts w:asciiTheme="minorHAnsi" w:hAnsiTheme="minorHAnsi" w:cstheme="minorHAnsi"/>
          <w:i/>
        </w:rPr>
        <w:t>International Standards for Phytosanitary Measures (ISPM) no. 3: Guidelines for the export, shipment, import and release of biological control agents and other beneficial organisms</w:t>
      </w:r>
      <w:r w:rsidRPr="00E8707C">
        <w:rPr>
          <w:rFonts w:asciiTheme="minorHAnsi" w:hAnsiTheme="minorHAnsi" w:cstheme="minorHAnsi"/>
        </w:rPr>
        <w:t xml:space="preserve">, Food and Agriculture Organization of the United Nations, Rome, available at </w:t>
      </w:r>
      <w:bookmarkStart w:id="80" w:name="_Hlk112678256"/>
      <w:r w:rsidR="004D7335" w:rsidRPr="00E8707C">
        <w:rPr>
          <w:rFonts w:asciiTheme="minorHAnsi" w:hAnsiTheme="minorHAnsi" w:cstheme="minorHAnsi"/>
        </w:rPr>
        <w:fldChar w:fldCharType="begin"/>
      </w:r>
      <w:r w:rsidR="004D7335" w:rsidRPr="00E8707C">
        <w:rPr>
          <w:rFonts w:asciiTheme="minorHAnsi" w:hAnsiTheme="minorHAnsi" w:cstheme="minorHAnsi"/>
        </w:rPr>
        <w:instrText xml:space="preserve"> HYPERLINK "https://www.ippc.int/en/core-activities/standards-setting/ispms/" </w:instrText>
      </w:r>
      <w:r w:rsidR="004D7335" w:rsidRPr="00E8707C">
        <w:rPr>
          <w:rFonts w:asciiTheme="minorHAnsi" w:hAnsiTheme="minorHAnsi" w:cstheme="minorHAnsi"/>
        </w:rPr>
      </w:r>
      <w:r w:rsidR="004D7335" w:rsidRPr="00E8707C">
        <w:rPr>
          <w:rFonts w:asciiTheme="minorHAnsi" w:hAnsiTheme="minorHAnsi" w:cstheme="minorHAnsi"/>
        </w:rPr>
        <w:fldChar w:fldCharType="separate"/>
      </w:r>
      <w:r w:rsidR="004D7335" w:rsidRPr="00E8707C">
        <w:rPr>
          <w:rStyle w:val="Hyperlink"/>
          <w:rFonts w:asciiTheme="minorHAnsi" w:hAnsiTheme="minorHAnsi" w:cstheme="minorHAnsi"/>
        </w:rPr>
        <w:t>https://www.ippc.int/en/core-activities/standards-setting/ispms/</w:t>
      </w:r>
      <w:r w:rsidR="004D7335" w:rsidRPr="00E8707C">
        <w:rPr>
          <w:rFonts w:asciiTheme="minorHAnsi" w:hAnsiTheme="minorHAnsi" w:cstheme="minorHAnsi"/>
        </w:rPr>
        <w:fldChar w:fldCharType="end"/>
      </w:r>
      <w:bookmarkEnd w:id="80"/>
      <w:r w:rsidRPr="00E8707C">
        <w:rPr>
          <w:rFonts w:asciiTheme="minorHAnsi" w:hAnsiTheme="minorHAnsi" w:cstheme="minorHAnsi"/>
        </w:rPr>
        <w:t>.</w:t>
      </w:r>
      <w:r w:rsidR="004D7335" w:rsidRPr="00E8707C">
        <w:rPr>
          <w:rFonts w:asciiTheme="minorHAnsi" w:hAnsiTheme="minorHAnsi" w:cstheme="minorHAnsi"/>
        </w:rPr>
        <w:t xml:space="preserve"> </w:t>
      </w:r>
    </w:p>
    <w:p w14:paraId="4C3825E0" w14:textId="5AF14131" w:rsidR="009D2A7D" w:rsidRPr="00E8707C" w:rsidRDefault="009D2A7D" w:rsidP="009D2A7D">
      <w:pPr>
        <w:pStyle w:val="EndNoteBibliography"/>
        <w:rPr>
          <w:rFonts w:asciiTheme="minorHAnsi" w:hAnsiTheme="minorHAnsi" w:cstheme="minorHAnsi"/>
        </w:rPr>
      </w:pPr>
      <w:r w:rsidRPr="00E8707C">
        <w:rPr>
          <w:rFonts w:asciiTheme="minorHAnsi" w:hAnsiTheme="minorHAnsi" w:cstheme="minorHAnsi"/>
        </w:rPr>
        <w:t xml:space="preserve">FAO </w:t>
      </w:r>
      <w:r w:rsidR="00D21A8E" w:rsidRPr="00E8707C">
        <w:rPr>
          <w:rFonts w:asciiTheme="minorHAnsi" w:hAnsiTheme="minorHAnsi" w:cstheme="minorHAnsi"/>
        </w:rPr>
        <w:t>2019a</w:t>
      </w:r>
      <w:r w:rsidRPr="00E8707C">
        <w:rPr>
          <w:rFonts w:asciiTheme="minorHAnsi" w:hAnsiTheme="minorHAnsi" w:cstheme="minorHAnsi"/>
          <w:i/>
        </w:rPr>
        <w:t>, International Standards for Phytosanitary Measures (ISPM) no. 2: Framework for pest risk analysis</w:t>
      </w:r>
      <w:r w:rsidRPr="00E8707C">
        <w:rPr>
          <w:rFonts w:asciiTheme="minorHAnsi" w:hAnsiTheme="minorHAnsi" w:cstheme="minorHAnsi"/>
        </w:rPr>
        <w:t xml:space="preserve">, Food and Agriculture Organization of the United Nations, Rome, available at </w:t>
      </w:r>
      <w:hyperlink r:id="rId88" w:history="1">
        <w:r w:rsidR="004D7335" w:rsidRPr="00E8707C">
          <w:rPr>
            <w:rStyle w:val="Hyperlink"/>
            <w:rFonts w:asciiTheme="minorHAnsi" w:hAnsiTheme="minorHAnsi" w:cstheme="minorHAnsi"/>
            <w:lang w:val="en-AU"/>
          </w:rPr>
          <w:t>https://www.ippc.int/en/core-activities/standards-setting/ispms/</w:t>
        </w:r>
      </w:hyperlink>
      <w:r w:rsidRPr="00E8707C">
        <w:rPr>
          <w:rFonts w:asciiTheme="minorHAnsi" w:hAnsiTheme="minorHAnsi" w:cstheme="minorHAnsi"/>
        </w:rPr>
        <w:t>.</w:t>
      </w:r>
    </w:p>
    <w:p w14:paraId="453B6B8D" w14:textId="0459BB27" w:rsidR="009D2A7D" w:rsidRPr="00E8707C" w:rsidRDefault="009D2A7D" w:rsidP="009D2A7D">
      <w:pPr>
        <w:pStyle w:val="EndNoteBibliography"/>
        <w:rPr>
          <w:rFonts w:asciiTheme="minorHAnsi" w:hAnsiTheme="minorHAnsi" w:cstheme="minorHAnsi"/>
        </w:rPr>
      </w:pPr>
      <w:r w:rsidRPr="00E8707C">
        <w:rPr>
          <w:rFonts w:asciiTheme="minorHAnsi" w:hAnsiTheme="minorHAnsi" w:cstheme="minorHAnsi"/>
        </w:rPr>
        <w:t xml:space="preserve">FAO </w:t>
      </w:r>
      <w:r w:rsidR="00B32D0B" w:rsidRPr="00E8707C">
        <w:rPr>
          <w:rFonts w:asciiTheme="minorHAnsi" w:hAnsiTheme="minorHAnsi" w:cstheme="minorHAnsi"/>
        </w:rPr>
        <w:t>2019b</w:t>
      </w:r>
      <w:r w:rsidRPr="00E8707C">
        <w:rPr>
          <w:rFonts w:asciiTheme="minorHAnsi" w:hAnsiTheme="minorHAnsi" w:cstheme="minorHAnsi"/>
        </w:rPr>
        <w:t xml:space="preserve">, </w:t>
      </w:r>
      <w:r w:rsidRPr="00E8707C">
        <w:rPr>
          <w:rFonts w:asciiTheme="minorHAnsi" w:hAnsiTheme="minorHAnsi" w:cstheme="minorHAnsi"/>
          <w:i/>
        </w:rPr>
        <w:t>International Standards for Phytosanitary Measures (ISPM) no. 11: Pest risk analysis for quarantine pests</w:t>
      </w:r>
      <w:r w:rsidRPr="00E8707C">
        <w:rPr>
          <w:rFonts w:asciiTheme="minorHAnsi" w:hAnsiTheme="minorHAnsi" w:cstheme="minorHAnsi"/>
        </w:rPr>
        <w:t xml:space="preserve">, Food and Agriculture Organization of the United Nations, Rome, available at </w:t>
      </w:r>
      <w:hyperlink r:id="rId89" w:history="1">
        <w:r w:rsidR="004D7335" w:rsidRPr="00E8707C">
          <w:rPr>
            <w:rStyle w:val="Hyperlink"/>
            <w:rFonts w:asciiTheme="minorHAnsi" w:hAnsiTheme="minorHAnsi" w:cstheme="minorHAnsi"/>
            <w:lang w:val="en-AU"/>
          </w:rPr>
          <w:t>https://www.ippc.int/en/core-activities/standards-setting/ispms/</w:t>
        </w:r>
      </w:hyperlink>
      <w:r w:rsidRPr="00E8707C">
        <w:rPr>
          <w:rFonts w:asciiTheme="minorHAnsi" w:hAnsiTheme="minorHAnsi" w:cstheme="minorHAnsi"/>
        </w:rPr>
        <w:t>.</w:t>
      </w:r>
    </w:p>
    <w:p w14:paraId="08EEEF3D" w14:textId="442A07CB" w:rsidR="00D14268" w:rsidRDefault="003A0F4C" w:rsidP="009D2A7D">
      <w:pPr>
        <w:pStyle w:val="EndNoteBibliography"/>
        <w:rPr>
          <w:rFonts w:asciiTheme="minorHAnsi" w:hAnsiTheme="minorHAnsi" w:cstheme="minorHAnsi"/>
          <w:lang w:val="en-AU"/>
        </w:rPr>
      </w:pPr>
      <w:r w:rsidRPr="00E8707C">
        <w:rPr>
          <w:rFonts w:asciiTheme="minorHAnsi" w:hAnsiTheme="minorHAnsi" w:cstheme="minorHAnsi"/>
          <w:lang w:val="en-AU"/>
        </w:rPr>
        <w:t>FAO 202</w:t>
      </w:r>
      <w:r w:rsidR="004873B7">
        <w:rPr>
          <w:rFonts w:asciiTheme="minorHAnsi" w:hAnsiTheme="minorHAnsi" w:cstheme="minorHAnsi"/>
          <w:lang w:val="en-AU"/>
        </w:rPr>
        <w:t>4</w:t>
      </w:r>
      <w:r w:rsidR="00D14268" w:rsidRPr="00E8707C">
        <w:rPr>
          <w:rFonts w:asciiTheme="minorHAnsi" w:hAnsiTheme="minorHAnsi" w:cstheme="minorHAnsi"/>
          <w:lang w:val="en-AU"/>
        </w:rPr>
        <w:t xml:space="preserve">, </w:t>
      </w:r>
      <w:r w:rsidR="00D14268" w:rsidRPr="00E8707C">
        <w:rPr>
          <w:rFonts w:asciiTheme="minorHAnsi" w:hAnsiTheme="minorHAnsi" w:cstheme="minorHAnsi"/>
          <w:i/>
          <w:lang w:val="en-AU"/>
        </w:rPr>
        <w:t>International Standards for Phytosanitary Measures (ISPM) no. 5: Glossary of phytosanitary terms</w:t>
      </w:r>
      <w:r w:rsidR="00D14268" w:rsidRPr="00E8707C">
        <w:rPr>
          <w:rFonts w:asciiTheme="minorHAnsi" w:hAnsiTheme="minorHAnsi" w:cstheme="minorHAnsi"/>
          <w:lang w:val="en-AU"/>
        </w:rPr>
        <w:t xml:space="preserve">, Food and Agriculture Organization of the United Nations, Rome, available at </w:t>
      </w:r>
      <w:hyperlink r:id="rId90" w:history="1">
        <w:r w:rsidR="004D7335" w:rsidRPr="00E8707C">
          <w:rPr>
            <w:rStyle w:val="Hyperlink"/>
            <w:rFonts w:asciiTheme="minorHAnsi" w:hAnsiTheme="minorHAnsi" w:cstheme="minorHAnsi"/>
            <w:lang w:val="en-AU"/>
          </w:rPr>
          <w:t>https://www.ippc.int/en/core-activities/standards-setting/ispms/</w:t>
        </w:r>
      </w:hyperlink>
      <w:r w:rsidR="00D14268" w:rsidRPr="00E8707C">
        <w:rPr>
          <w:rFonts w:asciiTheme="minorHAnsi" w:hAnsiTheme="minorHAnsi" w:cstheme="minorHAnsi"/>
          <w:lang w:val="en-AU"/>
        </w:rPr>
        <w:t>.</w:t>
      </w:r>
    </w:p>
    <w:p w14:paraId="1B2EA1D4" w14:textId="16C72372" w:rsidR="004F47E6" w:rsidRPr="00E8707C" w:rsidRDefault="004F47E6" w:rsidP="009D2A7D">
      <w:pPr>
        <w:pStyle w:val="EndNoteBibliography"/>
        <w:rPr>
          <w:rFonts w:asciiTheme="minorHAnsi" w:hAnsiTheme="minorHAnsi" w:cstheme="minorHAnsi"/>
        </w:rPr>
      </w:pPr>
      <w:r>
        <w:rPr>
          <w:rFonts w:asciiTheme="minorHAnsi" w:hAnsiTheme="minorHAnsi" w:cstheme="minorHAnsi"/>
          <w:lang w:val="en-AU"/>
        </w:rPr>
        <w:t xml:space="preserve">Thomas SE, Evans HC, Cortat G, Koutsidou C, Day MD &amp; Ellison CA 2021, </w:t>
      </w:r>
      <w:r w:rsidR="007530F8">
        <w:rPr>
          <w:rFonts w:asciiTheme="minorHAnsi" w:hAnsiTheme="minorHAnsi" w:cstheme="minorHAnsi"/>
          <w:lang w:val="en-AU"/>
        </w:rPr>
        <w:t>‘</w:t>
      </w:r>
      <w:hyperlink r:id="rId91" w:history="1">
        <w:r w:rsidRPr="00F027B5">
          <w:rPr>
            <w:rStyle w:val="Hyperlink"/>
            <w:rFonts w:asciiTheme="minorHAnsi" w:hAnsiTheme="minorHAnsi" w:cstheme="minorHAnsi"/>
            <w:lang w:val="en-AU"/>
          </w:rPr>
          <w:t xml:space="preserve">Assessment of the microcyclic rust </w:t>
        </w:r>
        <w:r w:rsidRPr="00F027B5">
          <w:rPr>
            <w:rStyle w:val="Hyperlink"/>
            <w:rFonts w:asciiTheme="minorHAnsi" w:hAnsiTheme="minorHAnsi" w:cstheme="minorHAnsi"/>
            <w:i/>
            <w:iCs/>
            <w:lang w:val="en-AU"/>
          </w:rPr>
          <w:t>Puccinia lantanae</w:t>
        </w:r>
        <w:r w:rsidRPr="00F027B5">
          <w:rPr>
            <w:rStyle w:val="Hyperlink"/>
            <w:rFonts w:asciiTheme="minorHAnsi" w:hAnsiTheme="minorHAnsi" w:cstheme="minorHAnsi"/>
            <w:lang w:val="en-AU"/>
          </w:rPr>
          <w:t xml:space="preserve"> as a classical biological control agent of the pantropical weed </w:t>
        </w:r>
        <w:r w:rsidRPr="00F027B5">
          <w:rPr>
            <w:rStyle w:val="Hyperlink"/>
            <w:rFonts w:asciiTheme="minorHAnsi" w:hAnsiTheme="minorHAnsi" w:cstheme="minorHAnsi"/>
            <w:i/>
            <w:iCs/>
            <w:lang w:val="en-AU"/>
          </w:rPr>
          <w:t>Lantana camara</w:t>
        </w:r>
      </w:hyperlink>
      <w:r w:rsidR="007530F8">
        <w:rPr>
          <w:rFonts w:asciiTheme="minorHAnsi" w:hAnsiTheme="minorHAnsi" w:cstheme="minorHAnsi"/>
          <w:lang w:val="en-AU"/>
        </w:rPr>
        <w:t>’, Biological Control, vol. 160, 104688.</w:t>
      </w:r>
    </w:p>
    <w:p w14:paraId="1399D412" w14:textId="249AAD4A" w:rsidR="009D2A7D" w:rsidRPr="00E8707C" w:rsidRDefault="009D2A7D" w:rsidP="009D2A7D">
      <w:pPr>
        <w:rPr>
          <w:rFonts w:asciiTheme="minorHAnsi" w:hAnsiTheme="minorHAnsi" w:cstheme="minorHAnsi"/>
        </w:rPr>
      </w:pPr>
      <w:r w:rsidRPr="00E8707C">
        <w:rPr>
          <w:rFonts w:asciiTheme="minorHAnsi" w:hAnsiTheme="minorHAnsi" w:cstheme="minorHAnsi"/>
        </w:rPr>
        <w:t xml:space="preserve">WTO 1995, ‘The WTO agreement on the application of sanitary and phytosanitary measures (SPS Agreement)’, World Trade Organisation, Switzerland, available at  </w:t>
      </w:r>
      <w:hyperlink r:id="rId92" w:history="1">
        <w:r w:rsidR="004D7335" w:rsidRPr="00E8707C">
          <w:rPr>
            <w:rStyle w:val="Hyperlink"/>
            <w:rFonts w:asciiTheme="minorHAnsi" w:hAnsiTheme="minorHAnsi" w:cstheme="minorHAnsi"/>
          </w:rPr>
          <w:t>https://www.wto.org/english/tratop_e/sps_e/spsagr_e.htm</w:t>
        </w:r>
      </w:hyperlink>
      <w:r w:rsidRPr="00E8707C">
        <w:rPr>
          <w:rFonts w:asciiTheme="minorHAnsi" w:hAnsiTheme="minorHAnsi" w:cstheme="minorHAnsi"/>
        </w:rPr>
        <w:t>.</w:t>
      </w:r>
      <w:r w:rsidR="004D7335" w:rsidRPr="00E8707C">
        <w:rPr>
          <w:rFonts w:asciiTheme="minorHAnsi" w:hAnsiTheme="minorHAnsi" w:cstheme="minorHAnsi"/>
        </w:rPr>
        <w:t xml:space="preserve"> </w:t>
      </w:r>
    </w:p>
    <w:p w14:paraId="53F6BC75" w14:textId="3D6FB102" w:rsidR="003F28C7" w:rsidRDefault="003F28C7" w:rsidP="009D2A7D">
      <w:pPr>
        <w:pStyle w:val="EndNoteBibliography"/>
      </w:pPr>
    </w:p>
    <w:sectPr w:rsidR="003F28C7" w:rsidSect="00736319">
      <w:headerReference w:type="even" r:id="rId93"/>
      <w:headerReference w:type="default" r:id="rId94"/>
      <w:footerReference w:type="even" r:id="rId95"/>
      <w:footerReference w:type="default" r:id="rId96"/>
      <w:headerReference w:type="first" r:id="rId97"/>
      <w:footerReference w:type="first" r:id="rId9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A1CD1" w14:textId="77777777" w:rsidR="00AB2880" w:rsidRDefault="00AB2880">
      <w:pPr>
        <w:spacing w:after="0" w:line="240" w:lineRule="auto"/>
      </w:pPr>
      <w:r>
        <w:separator/>
      </w:r>
    </w:p>
  </w:endnote>
  <w:endnote w:type="continuationSeparator" w:id="0">
    <w:p w14:paraId="49F9C7AE" w14:textId="77777777" w:rsidR="00AB2880" w:rsidRDefault="00AB2880">
      <w:pPr>
        <w:spacing w:after="0" w:line="240" w:lineRule="auto"/>
      </w:pPr>
      <w:r>
        <w:continuationSeparator/>
      </w:r>
    </w:p>
  </w:endnote>
  <w:endnote w:type="continuationNotice" w:id="1">
    <w:p w14:paraId="35E4B6D6" w14:textId="77777777" w:rsidR="00AB2880" w:rsidRDefault="00AB2880">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4637F" w14:textId="7E0EA83E" w:rsidR="008C75C3" w:rsidRDefault="008C75C3">
    <w:pPr>
      <w:pStyle w:val="Footer"/>
    </w:pPr>
    <w:r>
      <w:rPr>
        <w:noProof/>
      </w:rPr>
      <mc:AlternateContent>
        <mc:Choice Requires="wps">
          <w:drawing>
            <wp:anchor distT="0" distB="0" distL="0" distR="0" simplePos="0" relativeHeight="251693056" behindDoc="0" locked="0" layoutInCell="1" allowOverlap="1" wp14:anchorId="13594AB6" wp14:editId="47C69378">
              <wp:simplePos x="635" y="635"/>
              <wp:positionH relativeFrom="page">
                <wp:align>center</wp:align>
              </wp:positionH>
              <wp:positionV relativeFrom="page">
                <wp:align>bottom</wp:align>
              </wp:positionV>
              <wp:extent cx="551815" cy="404495"/>
              <wp:effectExtent l="0" t="0" r="635" b="0"/>
              <wp:wrapNone/>
              <wp:docPr id="675264615"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F5A38A" w14:textId="3B8FAA1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94AB6" id="_x0000_t202" coordsize="21600,21600" o:spt="202" path="m,l,21600r21600,l21600,xe">
              <v:stroke joinstyle="miter"/>
              <v:path gradientshapeok="t" o:connecttype="rect"/>
            </v:shapetype>
            <v:shape id="Text Box 35" o:spid="_x0000_s1028" type="#_x0000_t202" alt="OFFICIAL" style="position:absolute;left:0;text-align:left;margin-left:0;margin-top:0;width:43.45pt;height:31.85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5F5A38A" w14:textId="3B8FAA1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809B" w14:textId="4CA0E6FA" w:rsidR="008C75C3" w:rsidRDefault="008C75C3">
    <w:pPr>
      <w:pStyle w:val="Footer"/>
    </w:pPr>
    <w:r>
      <w:rPr>
        <w:noProof/>
      </w:rPr>
      <mc:AlternateContent>
        <mc:Choice Requires="wps">
          <w:drawing>
            <wp:anchor distT="0" distB="0" distL="0" distR="0" simplePos="0" relativeHeight="251702272" behindDoc="0" locked="0" layoutInCell="1" allowOverlap="1" wp14:anchorId="53C9D465" wp14:editId="66F25159">
              <wp:simplePos x="635" y="635"/>
              <wp:positionH relativeFrom="page">
                <wp:align>center</wp:align>
              </wp:positionH>
              <wp:positionV relativeFrom="page">
                <wp:align>bottom</wp:align>
              </wp:positionV>
              <wp:extent cx="551815" cy="404495"/>
              <wp:effectExtent l="0" t="0" r="635" b="0"/>
              <wp:wrapNone/>
              <wp:docPr id="1675916394"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C86B11F" w14:textId="3645DF9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C9D465" id="_x0000_t202" coordsize="21600,21600" o:spt="202" path="m,l,21600r21600,l21600,xe">
              <v:stroke joinstyle="miter"/>
              <v:path gradientshapeok="t" o:connecttype="rect"/>
            </v:shapetype>
            <v:shape id="Text Box 44" o:spid="_x0000_s1046" type="#_x0000_t202" alt="OFFICIAL" style="position:absolute;left:0;text-align:left;margin-left:0;margin-top:0;width:43.45pt;height:31.85pt;z-index:25170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G/DEBA4CAAAd&#10;BAAADgAAAAAAAAAAAAAAAAAuAgAAZHJzL2Uyb0RvYy54bWxQSwECLQAUAAYACAAAACEAH1WiDdsA&#10;AAADAQAADwAAAAAAAAAAAAAAAABoBAAAZHJzL2Rvd25yZXYueG1sUEsFBgAAAAAEAAQA8wAAAHAF&#10;AAAAAA==&#10;" filled="f" stroked="f">
              <v:textbox style="mso-fit-shape-to-text:t" inset="0,0,0,15pt">
                <w:txbxContent>
                  <w:p w14:paraId="5C86B11F" w14:textId="3645DF9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437B0" w14:textId="21F649AA" w:rsidR="008C75C3" w:rsidRDefault="008C75C3">
    <w:pPr>
      <w:pStyle w:val="Footer"/>
    </w:pPr>
    <w:r>
      <w:rPr>
        <w:noProof/>
      </w:rPr>
      <mc:AlternateContent>
        <mc:Choice Requires="wps">
          <w:drawing>
            <wp:anchor distT="0" distB="0" distL="0" distR="0" simplePos="0" relativeHeight="251703296" behindDoc="0" locked="0" layoutInCell="1" allowOverlap="1" wp14:anchorId="0074C7AB" wp14:editId="3AC61A5A">
              <wp:simplePos x="635" y="635"/>
              <wp:positionH relativeFrom="page">
                <wp:align>center</wp:align>
              </wp:positionH>
              <wp:positionV relativeFrom="page">
                <wp:align>bottom</wp:align>
              </wp:positionV>
              <wp:extent cx="551815" cy="404495"/>
              <wp:effectExtent l="0" t="0" r="635" b="0"/>
              <wp:wrapNone/>
              <wp:docPr id="584369869"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A693C43" w14:textId="6239CD5D"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74C7AB" id="_x0000_t202" coordsize="21600,21600" o:spt="202" path="m,l,21600r21600,l21600,xe">
              <v:stroke joinstyle="miter"/>
              <v:path gradientshapeok="t" o:connecttype="rect"/>
            </v:shapetype>
            <v:shape id="Text Box 45" o:spid="_x0000_s1047" type="#_x0000_t202" alt="OFFICIAL" style="position:absolute;left:0;text-align:left;margin-left:0;margin-top:0;width:43.45pt;height:31.85pt;z-index:2517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Y5Dg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V7a30F9wqkcDAv3lq9brL1hPrwwhxvGQVC1&#10;4RkPqaCrKJwtShpwP//lj/lIPEYp6VAxFTUoaUrUd4MLieIaDTcau2QUt/k8x7g56AdAHRb4JCxP&#10;JnpdUKMpHeg31PMqFsIQMxzLVXQ3mg9hkC6+By5Wq5SEOrIsbMzW8ggd+YpkvvZvzNkz4wFX9QSj&#10;nFj5jvghN970dnUISH/aSuR2IPJMOWow7fX8XqLIf/9PWddXvfwF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k92OQ4CAAAd&#10;BAAADgAAAAAAAAAAAAAAAAAuAgAAZHJzL2Uyb0RvYy54bWxQSwECLQAUAAYACAAAACEAH1WiDdsA&#10;AAADAQAADwAAAAAAAAAAAAAAAABoBAAAZHJzL2Rvd25yZXYueG1sUEsFBgAAAAAEAAQA8wAAAHAF&#10;AAAAAA==&#10;" filled="f" stroked="f">
              <v:textbox style="mso-fit-shape-to-text:t" inset="0,0,0,15pt">
                <w:txbxContent>
                  <w:p w14:paraId="6A693C43" w14:textId="6239CD5D"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2E3C" w14:textId="42A02102" w:rsidR="008C75C3" w:rsidRDefault="008C75C3">
    <w:pPr>
      <w:pStyle w:val="Footer"/>
    </w:pPr>
    <w:r>
      <w:rPr>
        <w:noProof/>
      </w:rPr>
      <mc:AlternateContent>
        <mc:Choice Requires="wps">
          <w:drawing>
            <wp:anchor distT="0" distB="0" distL="0" distR="0" simplePos="0" relativeHeight="251701248" behindDoc="0" locked="0" layoutInCell="1" allowOverlap="1" wp14:anchorId="141F1EB3" wp14:editId="7B9AFB44">
              <wp:simplePos x="635" y="635"/>
              <wp:positionH relativeFrom="page">
                <wp:align>center</wp:align>
              </wp:positionH>
              <wp:positionV relativeFrom="page">
                <wp:align>bottom</wp:align>
              </wp:positionV>
              <wp:extent cx="551815" cy="404495"/>
              <wp:effectExtent l="0" t="0" r="635" b="0"/>
              <wp:wrapNone/>
              <wp:docPr id="618479671"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4B4D840" w14:textId="38D9002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1F1EB3" id="_x0000_t202" coordsize="21600,21600" o:spt="202" path="m,l,21600r21600,l21600,xe">
              <v:stroke joinstyle="miter"/>
              <v:path gradientshapeok="t" o:connecttype="rect"/>
            </v:shapetype>
            <v:shape id="Text Box 43" o:spid="_x0000_s1049" type="#_x0000_t202" alt="OFFICIAL" style="position:absolute;left:0;text-align:left;margin-left:0;margin-top:0;width:43.45pt;height:31.85pt;z-index:2517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NC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dPp5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wxE0IPAgAA&#10;HQQAAA4AAAAAAAAAAAAAAAAALgIAAGRycy9lMm9Eb2MueG1sUEsBAi0AFAAGAAgAAAAhAB9Vog3b&#10;AAAAAwEAAA8AAAAAAAAAAAAAAAAAaQQAAGRycy9kb3ducmV2LnhtbFBLBQYAAAAABAAEAPMAAABx&#10;BQAAAAA=&#10;" filled="f" stroked="f">
              <v:textbox style="mso-fit-shape-to-text:t" inset="0,0,0,15pt">
                <w:txbxContent>
                  <w:p w14:paraId="54B4D840" w14:textId="38D9002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20074" w14:textId="797D637C" w:rsidR="008C75C3" w:rsidRDefault="008C75C3">
    <w:pPr>
      <w:pStyle w:val="Footer"/>
    </w:pPr>
    <w:r>
      <w:rPr>
        <w:noProof/>
      </w:rPr>
      <mc:AlternateContent>
        <mc:Choice Requires="wps">
          <w:drawing>
            <wp:anchor distT="0" distB="0" distL="0" distR="0" simplePos="0" relativeHeight="251705344" behindDoc="0" locked="0" layoutInCell="1" allowOverlap="1" wp14:anchorId="5A5E95C4" wp14:editId="02DBABAB">
              <wp:simplePos x="635" y="635"/>
              <wp:positionH relativeFrom="page">
                <wp:align>center</wp:align>
              </wp:positionH>
              <wp:positionV relativeFrom="page">
                <wp:align>bottom</wp:align>
              </wp:positionV>
              <wp:extent cx="551815" cy="404495"/>
              <wp:effectExtent l="0" t="0" r="635" b="0"/>
              <wp:wrapNone/>
              <wp:docPr id="1038129946"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FC09689" w14:textId="6A5BC6F4"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5E95C4" id="_x0000_t202" coordsize="21600,21600" o:spt="202" path="m,l,21600r21600,l21600,xe">
              <v:stroke joinstyle="miter"/>
              <v:path gradientshapeok="t" o:connecttype="rect"/>
            </v:shapetype>
            <v:shape id="Text Box 47" o:spid="_x0000_s1052" type="#_x0000_t202" alt="OFFICIAL" style="position:absolute;left:0;text-align:left;margin-left:0;margin-top:0;width:43.45pt;height:31.85pt;z-index:251705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HVza4kPAgAA&#10;HQQAAA4AAAAAAAAAAAAAAAAALgIAAGRycy9lMm9Eb2MueG1sUEsBAi0AFAAGAAgAAAAhAB9Vog3b&#10;AAAAAwEAAA8AAAAAAAAAAAAAAAAAaQQAAGRycy9kb3ducmV2LnhtbFBLBQYAAAAABAAEAPMAAABx&#10;BQAAAAA=&#10;" filled="f" stroked="f">
              <v:textbox style="mso-fit-shape-to-text:t" inset="0,0,0,15pt">
                <w:txbxContent>
                  <w:p w14:paraId="0FC09689" w14:textId="6A5BC6F4"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BC1F9" w14:textId="2856B20D" w:rsidR="009D2A7D" w:rsidRDefault="008C75C3">
    <w:pPr>
      <w:pStyle w:val="Footer"/>
      <w:tabs>
        <w:tab w:val="clear" w:pos="4536"/>
        <w:tab w:val="center" w:pos="9072"/>
      </w:tabs>
      <w:jc w:val="left"/>
    </w:pPr>
    <w:r>
      <w:rPr>
        <w:noProof/>
      </w:rPr>
      <mc:AlternateContent>
        <mc:Choice Requires="wps">
          <w:drawing>
            <wp:anchor distT="0" distB="0" distL="0" distR="0" simplePos="0" relativeHeight="251706368" behindDoc="0" locked="0" layoutInCell="1" allowOverlap="1" wp14:anchorId="20F97271" wp14:editId="130C3CB8">
              <wp:simplePos x="635" y="635"/>
              <wp:positionH relativeFrom="page">
                <wp:align>center</wp:align>
              </wp:positionH>
              <wp:positionV relativeFrom="page">
                <wp:align>bottom</wp:align>
              </wp:positionV>
              <wp:extent cx="551815" cy="404495"/>
              <wp:effectExtent l="0" t="0" r="635" b="0"/>
              <wp:wrapNone/>
              <wp:docPr id="1586082471"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2F7D143" w14:textId="1823C50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F97271" id="_x0000_t202" coordsize="21600,21600" o:spt="202" path="m,l,21600r21600,l21600,xe">
              <v:stroke joinstyle="miter"/>
              <v:path gradientshapeok="t" o:connecttype="rect"/>
            </v:shapetype>
            <v:shape id="Text Box 48" o:spid="_x0000_s1053" type="#_x0000_t202" alt="OFFICIAL" style="position:absolute;margin-left:0;margin-top:0;width:43.45pt;height:31.85pt;z-index:2517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BjM2bQPAgAA&#10;HQQAAA4AAAAAAAAAAAAAAAAALgIAAGRycy9lMm9Eb2MueG1sUEsBAi0AFAAGAAgAAAAhAB9Vog3b&#10;AAAAAwEAAA8AAAAAAAAAAAAAAAAAaQQAAGRycy9kb3ducmV2LnhtbFBLBQYAAAAABAAEAPMAAABx&#10;BQAAAAA=&#10;" filled="f" stroked="f">
              <v:textbox style="mso-fit-shape-to-text:t" inset="0,0,0,15pt">
                <w:txbxContent>
                  <w:p w14:paraId="22F7D143" w14:textId="1823C50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9D2A7D">
      <w:t xml:space="preserve">Department of Agriculture, </w:t>
    </w:r>
    <w:r w:rsidR="00A05558">
      <w:t>Fisheries and Forestry</w:t>
    </w:r>
    <w:r w:rsidR="009D2A7D">
      <w:tab/>
    </w:r>
    <w:r w:rsidR="009D2A7D">
      <w:fldChar w:fldCharType="begin"/>
    </w:r>
    <w:r w:rsidR="009D2A7D">
      <w:instrText xml:space="preserve"> PAGE   \* MERGEFORMAT </w:instrText>
    </w:r>
    <w:r w:rsidR="009D2A7D">
      <w:fldChar w:fldCharType="separate"/>
    </w:r>
    <w:r w:rsidR="00732E8F">
      <w:rPr>
        <w:noProof/>
      </w:rPr>
      <w:t>4</w:t>
    </w:r>
    <w:r w:rsidR="009D2A7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6DA12" w14:textId="5C6609D5" w:rsidR="008C75C3" w:rsidRDefault="008C75C3">
    <w:pPr>
      <w:pStyle w:val="Footer"/>
    </w:pPr>
    <w:r>
      <w:rPr>
        <w:noProof/>
      </w:rPr>
      <mc:AlternateContent>
        <mc:Choice Requires="wps">
          <w:drawing>
            <wp:anchor distT="0" distB="0" distL="0" distR="0" simplePos="0" relativeHeight="251704320" behindDoc="0" locked="0" layoutInCell="1" allowOverlap="1" wp14:anchorId="51941994" wp14:editId="556CEA23">
              <wp:simplePos x="635" y="635"/>
              <wp:positionH relativeFrom="page">
                <wp:align>center</wp:align>
              </wp:positionH>
              <wp:positionV relativeFrom="page">
                <wp:align>bottom</wp:align>
              </wp:positionV>
              <wp:extent cx="551815" cy="404495"/>
              <wp:effectExtent l="0" t="0" r="635" b="0"/>
              <wp:wrapNone/>
              <wp:docPr id="63169150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6516843" w14:textId="3C19A51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941994" id="_x0000_t202" coordsize="21600,21600" o:spt="202" path="m,l,21600r21600,l21600,xe">
              <v:stroke joinstyle="miter"/>
              <v:path gradientshapeok="t" o:connecttype="rect"/>
            </v:shapetype>
            <v:shape id="Text Box 46" o:spid="_x0000_s1055" type="#_x0000_t202" alt="OFFICIAL" style="position:absolute;left:0;text-align:left;margin-left:0;margin-top:0;width:43.45pt;height:31.85pt;z-index:2517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F+ykg8PAgAA&#10;HQQAAA4AAAAAAAAAAAAAAAAALgIAAGRycy9lMm9Eb2MueG1sUEsBAi0AFAAGAAgAAAAhAB9Vog3b&#10;AAAAAwEAAA8AAAAAAAAAAAAAAAAAaQQAAGRycy9kb3ducmV2LnhtbFBLBQYAAAAABAAEAPMAAABx&#10;BQAAAAA=&#10;" filled="f" stroked="f">
              <v:textbox style="mso-fit-shape-to-text:t" inset="0,0,0,15pt">
                <w:txbxContent>
                  <w:p w14:paraId="46516843" w14:textId="3C19A51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6DEE5" w14:textId="042EE76D" w:rsidR="008C75C3" w:rsidRDefault="008C75C3">
    <w:pPr>
      <w:pStyle w:val="Footer"/>
    </w:pPr>
    <w:r>
      <w:rPr>
        <w:noProof/>
      </w:rPr>
      <mc:AlternateContent>
        <mc:Choice Requires="wps">
          <w:drawing>
            <wp:anchor distT="0" distB="0" distL="0" distR="0" simplePos="0" relativeHeight="251708416" behindDoc="0" locked="0" layoutInCell="1" allowOverlap="1" wp14:anchorId="1670E145" wp14:editId="59952B16">
              <wp:simplePos x="635" y="635"/>
              <wp:positionH relativeFrom="page">
                <wp:align>center</wp:align>
              </wp:positionH>
              <wp:positionV relativeFrom="page">
                <wp:align>bottom</wp:align>
              </wp:positionV>
              <wp:extent cx="551815" cy="404495"/>
              <wp:effectExtent l="0" t="0" r="635" b="0"/>
              <wp:wrapNone/>
              <wp:docPr id="903316243"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8E73513" w14:textId="38EC0D98"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70E145" id="_x0000_t202" coordsize="21600,21600" o:spt="202" path="m,l,21600r21600,l21600,xe">
              <v:stroke joinstyle="miter"/>
              <v:path gradientshapeok="t" o:connecttype="rect"/>
            </v:shapetype>
            <v:shape id="Text Box 50" o:spid="_x0000_s1058" type="#_x0000_t202" alt="OFFICIAL" style="position:absolute;left:0;text-align:left;margin-left:0;margin-top:0;width:43.45pt;height:31.85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9M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9PN0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Jshn0wPAgAA&#10;HQQAAA4AAAAAAAAAAAAAAAAALgIAAGRycy9lMm9Eb2MueG1sUEsBAi0AFAAGAAgAAAAhAB9Vog3b&#10;AAAAAwEAAA8AAAAAAAAAAAAAAAAAaQQAAGRycy9kb3ducmV2LnhtbFBLBQYAAAAABAAEAPMAAABx&#10;BQAAAAA=&#10;" filled="f" stroked="f">
              <v:textbox style="mso-fit-shape-to-text:t" inset="0,0,0,15pt">
                <w:txbxContent>
                  <w:p w14:paraId="58E73513" w14:textId="38EC0D98"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70F2A" w14:textId="0CCA90E3" w:rsidR="008C75C3" w:rsidRDefault="008C75C3">
    <w:pPr>
      <w:pStyle w:val="Footer"/>
    </w:pPr>
    <w:r>
      <w:rPr>
        <w:noProof/>
      </w:rPr>
      <mc:AlternateContent>
        <mc:Choice Requires="wps">
          <w:drawing>
            <wp:anchor distT="0" distB="0" distL="0" distR="0" simplePos="0" relativeHeight="251709440" behindDoc="0" locked="0" layoutInCell="1" allowOverlap="1" wp14:anchorId="52251E6B" wp14:editId="7449EADA">
              <wp:simplePos x="635" y="635"/>
              <wp:positionH relativeFrom="page">
                <wp:align>center</wp:align>
              </wp:positionH>
              <wp:positionV relativeFrom="page">
                <wp:align>bottom</wp:align>
              </wp:positionV>
              <wp:extent cx="551815" cy="404495"/>
              <wp:effectExtent l="0" t="0" r="635" b="0"/>
              <wp:wrapNone/>
              <wp:docPr id="225593112"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42BA837" w14:textId="69E1040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251E6B" id="_x0000_t202" coordsize="21600,21600" o:spt="202" path="m,l,21600r21600,l21600,xe">
              <v:stroke joinstyle="miter"/>
              <v:path gradientshapeok="t" o:connecttype="rect"/>
            </v:shapetype>
            <v:shape id="Text Box 51" o:spid="_x0000_s1059" type="#_x0000_t202" alt="OFFICIAL" style="position:absolute;left:0;text-align:left;margin-left:0;margin-top:0;width:43.45pt;height:31.85pt;z-index:2517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" filled="f" stroked="f">
              <v:textbox style="mso-fit-shape-to-text:t" inset="0,0,0,15pt">
                <w:txbxContent>
                  <w:p w14:paraId="142BA837" w14:textId="69E1040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4B71B" w14:textId="09B46DB6" w:rsidR="008C75C3" w:rsidRDefault="008C75C3">
    <w:pPr>
      <w:pStyle w:val="Footer"/>
    </w:pPr>
    <w:r>
      <w:rPr>
        <w:noProof/>
      </w:rPr>
      <mc:AlternateContent>
        <mc:Choice Requires="wps">
          <w:drawing>
            <wp:anchor distT="0" distB="0" distL="0" distR="0" simplePos="0" relativeHeight="251707392" behindDoc="0" locked="0" layoutInCell="1" allowOverlap="1" wp14:anchorId="69E1A399" wp14:editId="5345360F">
              <wp:simplePos x="635" y="635"/>
              <wp:positionH relativeFrom="page">
                <wp:align>center</wp:align>
              </wp:positionH>
              <wp:positionV relativeFrom="page">
                <wp:align>bottom</wp:align>
              </wp:positionV>
              <wp:extent cx="551815" cy="404495"/>
              <wp:effectExtent l="0" t="0" r="635" b="0"/>
              <wp:wrapNone/>
              <wp:docPr id="1975096060"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20EF69A" w14:textId="13171D8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E1A399" id="_x0000_t202" coordsize="21600,21600" o:spt="202" path="m,l,21600r21600,l21600,xe">
              <v:stroke joinstyle="miter"/>
              <v:path gradientshapeok="t" o:connecttype="rect"/>
            </v:shapetype>
            <v:shape id="Text Box 49" o:spid="_x0000_s1061" type="#_x0000_t202" alt="OFFICIAL" style="position:absolute;left:0;text-align:left;margin-left:0;margin-top:0;width:43.45pt;height:31.85pt;z-index:25170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B2C/A4CAAAd&#10;BAAADgAAAAAAAAAAAAAAAAAuAgAAZHJzL2Uyb0RvYy54bWxQSwECLQAUAAYACAAAACEAH1WiDdsA&#10;AAADAQAADwAAAAAAAAAAAAAAAABoBAAAZHJzL2Rvd25yZXYueG1sUEsFBgAAAAAEAAQA8wAAAHAF&#10;AAAAAA==&#10;" filled="f" stroked="f">
              <v:textbox style="mso-fit-shape-to-text:t" inset="0,0,0,15pt">
                <w:txbxContent>
                  <w:p w14:paraId="020EF69A" w14:textId="13171D8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C135A" w14:textId="1155A6D3" w:rsidR="008C75C3" w:rsidRDefault="008C75C3">
    <w:pPr>
      <w:pStyle w:val="Footer"/>
    </w:pPr>
    <w:r>
      <w:rPr>
        <w:noProof/>
      </w:rPr>
      <mc:AlternateContent>
        <mc:Choice Requires="wps">
          <w:drawing>
            <wp:anchor distT="0" distB="0" distL="0" distR="0" simplePos="0" relativeHeight="251711488" behindDoc="0" locked="0" layoutInCell="1" allowOverlap="1" wp14:anchorId="1DEDB20A" wp14:editId="75A163D6">
              <wp:simplePos x="635" y="635"/>
              <wp:positionH relativeFrom="page">
                <wp:align>center</wp:align>
              </wp:positionH>
              <wp:positionV relativeFrom="page">
                <wp:align>bottom</wp:align>
              </wp:positionV>
              <wp:extent cx="551815" cy="404495"/>
              <wp:effectExtent l="0" t="0" r="635" b="0"/>
              <wp:wrapNone/>
              <wp:docPr id="1152626775"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C5D04B5" w14:textId="078A61D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EDB20A" id="_x0000_t202" coordsize="21600,21600" o:spt="202" path="m,l,21600r21600,l21600,xe">
              <v:stroke joinstyle="miter"/>
              <v:path gradientshapeok="t" o:connecttype="rect"/>
            </v:shapetype>
            <v:shape id="Text Box 53" o:spid="_x0000_s1064" type="#_x0000_t202" alt="OFFICIAL" style="position:absolute;left:0;text-align:left;margin-left:0;margin-top:0;width:43.45pt;height:31.85pt;z-index:2517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GiiHgEPAgAA&#10;HQQAAA4AAAAAAAAAAAAAAAAALgIAAGRycy9lMm9Eb2MueG1sUEsBAi0AFAAGAAgAAAAhAB9Vog3b&#10;AAAAAwEAAA8AAAAAAAAAAAAAAAAAaQQAAGRycy9kb3ducmV2LnhtbFBLBQYAAAAABAAEAPMAAABx&#10;BQAAAAA=&#10;" filled="f" stroked="f">
              <v:textbox style="mso-fit-shape-to-text:t" inset="0,0,0,15pt">
                <w:txbxContent>
                  <w:p w14:paraId="2C5D04B5" w14:textId="078A61D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97AE0" w14:textId="2AE6856E" w:rsidR="009D2A7D" w:rsidRDefault="008C75C3">
    <w:pPr>
      <w:pStyle w:val="Footer"/>
      <w:tabs>
        <w:tab w:val="clear" w:pos="4536"/>
        <w:tab w:val="center" w:pos="9072"/>
      </w:tabs>
      <w:jc w:val="left"/>
    </w:pPr>
    <w:r>
      <w:rPr>
        <w:noProof/>
      </w:rPr>
      <mc:AlternateContent>
        <mc:Choice Requires="wps">
          <w:drawing>
            <wp:anchor distT="0" distB="0" distL="0" distR="0" simplePos="0" relativeHeight="251694080" behindDoc="0" locked="0" layoutInCell="1" allowOverlap="1" wp14:anchorId="6899939E" wp14:editId="7E5C4A58">
              <wp:simplePos x="904875" y="10315575"/>
              <wp:positionH relativeFrom="page">
                <wp:align>center</wp:align>
              </wp:positionH>
              <wp:positionV relativeFrom="page">
                <wp:align>bottom</wp:align>
              </wp:positionV>
              <wp:extent cx="551815" cy="404495"/>
              <wp:effectExtent l="0" t="0" r="635" b="0"/>
              <wp:wrapNone/>
              <wp:docPr id="830495013"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62471B2" w14:textId="2F2A989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99939E" id="_x0000_t202" coordsize="21600,21600" o:spt="202" path="m,l,21600r21600,l21600,xe">
              <v:stroke joinstyle="miter"/>
              <v:path gradientshapeok="t" o:connecttype="rect"/>
            </v:shapetype>
            <v:shape id="Text Box 36" o:spid="_x0000_s1029" type="#_x0000_t202" alt="OFFICIAL" style="position:absolute;margin-left:0;margin-top:0;width:43.45pt;height:31.85pt;z-index:2516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362471B2" w14:textId="2F2A989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FE4FF" w14:textId="097102D6" w:rsidR="009D2A7D" w:rsidRDefault="008C75C3">
    <w:pPr>
      <w:pStyle w:val="Footer"/>
      <w:tabs>
        <w:tab w:val="clear" w:pos="4536"/>
        <w:tab w:val="right" w:pos="9072"/>
        <w:tab w:val="left" w:pos="14034"/>
      </w:tabs>
      <w:spacing w:before="120"/>
      <w:jc w:val="left"/>
    </w:pPr>
    <w:r>
      <w:rPr>
        <w:noProof/>
      </w:rPr>
      <mc:AlternateContent>
        <mc:Choice Requires="wps">
          <w:drawing>
            <wp:anchor distT="0" distB="0" distL="0" distR="0" simplePos="0" relativeHeight="251712512" behindDoc="0" locked="0" layoutInCell="1" allowOverlap="1" wp14:anchorId="4F869120" wp14:editId="4FBFB946">
              <wp:simplePos x="635" y="635"/>
              <wp:positionH relativeFrom="page">
                <wp:align>center</wp:align>
              </wp:positionH>
              <wp:positionV relativeFrom="page">
                <wp:align>bottom</wp:align>
              </wp:positionV>
              <wp:extent cx="551815" cy="404495"/>
              <wp:effectExtent l="0" t="0" r="635" b="0"/>
              <wp:wrapNone/>
              <wp:docPr id="1661321449"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6985829" w14:textId="1D7AC49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69120" id="_x0000_t202" coordsize="21600,21600" o:spt="202" path="m,l,21600r21600,l21600,xe">
              <v:stroke joinstyle="miter"/>
              <v:path gradientshapeok="t" o:connecttype="rect"/>
            </v:shapetype>
            <v:shape id="Text Box 54" o:spid="_x0000_s1065" type="#_x0000_t202" alt="OFFICIAL" style="position:absolute;margin-left:0;margin-top:0;width:43.45pt;height:31.85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AUdrDwPAgAA&#10;HQQAAA4AAAAAAAAAAAAAAAAALgIAAGRycy9lMm9Eb2MueG1sUEsBAi0AFAAGAAgAAAAhAB9Vog3b&#10;AAAAAwEAAA8AAAAAAAAAAAAAAAAAaQQAAGRycy9kb3ducmV2LnhtbFBLBQYAAAAABAAEAPMAAABx&#10;BQAAAAA=&#10;" filled="f" stroked="f">
              <v:textbox style="mso-fit-shape-to-text:t" inset="0,0,0,15pt">
                <w:txbxContent>
                  <w:p w14:paraId="06985829" w14:textId="1D7AC49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9D2A7D">
      <w:t xml:space="preserve">Department of Agriculture, </w:t>
    </w:r>
    <w:r w:rsidR="00A05558">
      <w:t>Fisheries and Forestry</w:t>
    </w:r>
    <w:r w:rsidR="009D2A7D">
      <w:tab/>
    </w:r>
    <w:r w:rsidR="009D2A7D">
      <w:fldChar w:fldCharType="begin"/>
    </w:r>
    <w:r w:rsidR="009D2A7D">
      <w:instrText xml:space="preserve"> PAGE   \* MERGEFORMAT </w:instrText>
    </w:r>
    <w:r w:rsidR="009D2A7D">
      <w:fldChar w:fldCharType="separate"/>
    </w:r>
    <w:r w:rsidR="00732E8F">
      <w:rPr>
        <w:noProof/>
      </w:rPr>
      <w:t>23</w:t>
    </w:r>
    <w:r w:rsidR="009D2A7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7664" w14:textId="32D9746E" w:rsidR="008C75C3" w:rsidRDefault="008C75C3">
    <w:pPr>
      <w:pStyle w:val="Footer"/>
    </w:pPr>
    <w:r>
      <w:rPr>
        <w:noProof/>
      </w:rPr>
      <mc:AlternateContent>
        <mc:Choice Requires="wps">
          <w:drawing>
            <wp:anchor distT="0" distB="0" distL="0" distR="0" simplePos="0" relativeHeight="251710464" behindDoc="0" locked="0" layoutInCell="1" allowOverlap="1" wp14:anchorId="5B5465CB" wp14:editId="6A576C2B">
              <wp:simplePos x="635" y="635"/>
              <wp:positionH relativeFrom="page">
                <wp:align>center</wp:align>
              </wp:positionH>
              <wp:positionV relativeFrom="page">
                <wp:align>bottom</wp:align>
              </wp:positionV>
              <wp:extent cx="551815" cy="404495"/>
              <wp:effectExtent l="0" t="0" r="635" b="0"/>
              <wp:wrapNone/>
              <wp:docPr id="1777538663"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5B1E78" w14:textId="1BAC9A8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5465CB" id="_x0000_t202" coordsize="21600,21600" o:spt="202" path="m,l,21600r21600,l21600,xe">
              <v:stroke joinstyle="miter"/>
              <v:path gradientshapeok="t" o:connecttype="rect"/>
            </v:shapetype>
            <v:shape id="Text Box 52" o:spid="_x0000_s1067" type="#_x0000_t202" alt="OFFICIAL" style="position:absolute;left:0;text-align:left;margin-left:0;margin-top:0;width:43.45pt;height:31.85pt;z-index:2517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GT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Uv7NTQnnMrBuHBv+abD2lvmwwtzuGEcBFUb&#10;nvGQCvqKwtmipAX342/+mI/EY5SSHhVTUYOSpkR9M7iQKK7JcJNRJ6O4yxc5xs1BPwDqsMAnYXky&#10;0euCmkzpQL+hntexEIaY4ViuovVkPoRRuvgeuFivUxLqyLKwNTvLI3TkK5L5OrwxZ8+MB1zVE0xy&#10;YuU74sfceNPb9SEg/WkrkduRyDPlqMG01/N7iSL/9T9lXV/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qzxkw4CAAAd&#10;BAAADgAAAAAAAAAAAAAAAAAuAgAAZHJzL2Uyb0RvYy54bWxQSwECLQAUAAYACAAAACEAH1WiDdsA&#10;AAADAQAADwAAAAAAAAAAAAAAAABoBAAAZHJzL2Rvd25yZXYueG1sUEsFBgAAAAAEAAQA8wAAAHAF&#10;AAAAAA==&#10;" filled="f" stroked="f">
              <v:textbox style="mso-fit-shape-to-text:t" inset="0,0,0,15pt">
                <w:txbxContent>
                  <w:p w14:paraId="2D5B1E78" w14:textId="1BAC9A8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19DF4" w14:textId="645AD8AF" w:rsidR="008C75C3" w:rsidRDefault="008C75C3">
    <w:pPr>
      <w:pStyle w:val="Footer"/>
    </w:pPr>
    <w:r>
      <w:rPr>
        <w:noProof/>
      </w:rPr>
      <mc:AlternateContent>
        <mc:Choice Requires="wps">
          <w:drawing>
            <wp:anchor distT="0" distB="0" distL="0" distR="0" simplePos="0" relativeHeight="251714560" behindDoc="0" locked="0" layoutInCell="1" allowOverlap="1" wp14:anchorId="0C379A1A" wp14:editId="29013CAB">
              <wp:simplePos x="635" y="635"/>
              <wp:positionH relativeFrom="page">
                <wp:align>center</wp:align>
              </wp:positionH>
              <wp:positionV relativeFrom="page">
                <wp:align>bottom</wp:align>
              </wp:positionV>
              <wp:extent cx="551815" cy="404495"/>
              <wp:effectExtent l="0" t="0" r="635" b="0"/>
              <wp:wrapNone/>
              <wp:docPr id="532004875"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F92C69" w14:textId="1829AA9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379A1A" id="_x0000_t202" coordsize="21600,21600" o:spt="202" path="m,l,21600r21600,l21600,xe">
              <v:stroke joinstyle="miter"/>
              <v:path gradientshapeok="t" o:connecttype="rect"/>
            </v:shapetype>
            <v:shape id="Text Box 56" o:spid="_x0000_s1070" type="#_x0000_t202" alt="OFFICIAL" style="position:absolute;left:0;text-align:left;margin-left:0;margin-top:0;width:43.45pt;height:31.85pt;z-index:25171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lY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fnUfg3NCadyMC7cW77psPaW+fDCHG4YB0HV&#10;hmc8pIK+onC2KGnB/fibP+Yj8RilpEfFVNSgpClR3wwuJIprMtxk1Mko7vJFjnFz0A+AOizwSVie&#10;TPS6oCZTOtBvqOd1LIQhZjiWq2g9mQ9hlC6+By7W65SEOrIsbM3O8ggd+Ypkvg5vzNkz4wFX9QST&#10;nFj5jvgxN970dn0ISH/aSuR2JPJMOWow7fX8XqLIf/1PWddXvfoJ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c+6JWA4CAAAd&#10;BAAADgAAAAAAAAAAAAAAAAAuAgAAZHJzL2Uyb0RvYy54bWxQSwECLQAUAAYACAAAACEAH1WiDdsA&#10;AAADAQAADwAAAAAAAAAAAAAAAABoBAAAZHJzL2Rvd25yZXYueG1sUEsFBgAAAAAEAAQA8wAAAHAF&#10;AAAAAA==&#10;" filled="f" stroked="f">
              <v:textbox style="mso-fit-shape-to-text:t" inset="0,0,0,15pt">
                <w:txbxContent>
                  <w:p w14:paraId="5EF92C69" w14:textId="1829AA9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B7562" w14:textId="53EE17F3" w:rsidR="008C75C3" w:rsidRDefault="008C75C3">
    <w:pPr>
      <w:pStyle w:val="Footer"/>
    </w:pPr>
    <w:r>
      <w:rPr>
        <w:noProof/>
      </w:rPr>
      <mc:AlternateContent>
        <mc:Choice Requires="wps">
          <w:drawing>
            <wp:anchor distT="0" distB="0" distL="0" distR="0" simplePos="0" relativeHeight="251715584" behindDoc="0" locked="0" layoutInCell="1" allowOverlap="1" wp14:anchorId="701996A6" wp14:editId="4642CBBD">
              <wp:simplePos x="635" y="635"/>
              <wp:positionH relativeFrom="page">
                <wp:align>center</wp:align>
              </wp:positionH>
              <wp:positionV relativeFrom="page">
                <wp:align>bottom</wp:align>
              </wp:positionV>
              <wp:extent cx="551815" cy="404495"/>
              <wp:effectExtent l="0" t="0" r="635" b="0"/>
              <wp:wrapNone/>
              <wp:docPr id="863148565"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8D9AB26" w14:textId="3187C85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1996A6" id="_x0000_t202" coordsize="21600,21600" o:spt="202" path="m,l,21600r21600,l21600,xe">
              <v:stroke joinstyle="miter"/>
              <v:path gradientshapeok="t" o:connecttype="rect"/>
            </v:shapetype>
            <v:shape id="Text Box 57" o:spid="_x0000_s1071" type="#_x0000_t202" alt="OFFICIAL" style="position:absolute;left:0;text-align:left;margin-left:0;margin-top:0;width:43.45pt;height:31.85pt;z-index:2517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tl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ZUPBWOri3UR5oK4bRw7+Sqpdpr4cOLQNowDUKq&#10;Dc90aAN9xeFscdYA/vibP+YT8RTlrCfFVNySpDkz3ywtJIprNHA0tsko7vJZTnG77x6AdFjQk3Ay&#10;meTFYEZTI3RvpOdlLEQhYSWVq/h2NB/CSbr0HqRaLlMS6ciJsLYbJyN05CuS+Tq8CXRnxgOt6glG&#10;OYnyHfGn3HjTu+U+EP1pK1ciz5STBtNez+8livzX/5R1fdWLnwA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eUTtlDQIAAB0E&#10;AAAOAAAAAAAAAAAAAAAAAC4CAABkcnMvZTJvRG9jLnhtbFBLAQItABQABgAIAAAAIQAfVaIN2wAA&#10;AAMBAAAPAAAAAAAAAAAAAAAAAGcEAABkcnMvZG93bnJldi54bWxQSwUGAAAAAAQABADzAAAAbwUA&#10;AAAA&#10;" filled="f" stroked="f">
              <v:textbox style="mso-fit-shape-to-text:t" inset="0,0,0,15pt">
                <w:txbxContent>
                  <w:p w14:paraId="58D9AB26" w14:textId="3187C85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609EA" w14:textId="1EB758D7" w:rsidR="008C75C3" w:rsidRDefault="008C75C3">
    <w:pPr>
      <w:pStyle w:val="Footer"/>
    </w:pPr>
    <w:r>
      <w:rPr>
        <w:noProof/>
      </w:rPr>
      <mc:AlternateContent>
        <mc:Choice Requires="wps">
          <w:drawing>
            <wp:anchor distT="0" distB="0" distL="0" distR="0" simplePos="0" relativeHeight="251713536" behindDoc="0" locked="0" layoutInCell="1" allowOverlap="1" wp14:anchorId="7AD7EF44" wp14:editId="2C1E1D27">
              <wp:simplePos x="635" y="635"/>
              <wp:positionH relativeFrom="page">
                <wp:align>center</wp:align>
              </wp:positionH>
              <wp:positionV relativeFrom="page">
                <wp:align>bottom</wp:align>
              </wp:positionV>
              <wp:extent cx="551815" cy="404495"/>
              <wp:effectExtent l="0" t="0" r="635" b="0"/>
              <wp:wrapNone/>
              <wp:docPr id="354715222"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886B4E1" w14:textId="62D61FA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D7EF44" id="_x0000_t202" coordsize="21600,21600" o:spt="202" path="m,l,21600r21600,l21600,xe">
              <v:stroke joinstyle="miter"/>
              <v:path gradientshapeok="t" o:connecttype="rect"/>
            </v:shapetype>
            <v:shape id="Text Box 55" o:spid="_x0000_s1073" type="#_x0000_t202" alt="OFFICIAL" style="position:absolute;left:0;text-align:left;margin-left:0;margin-top:0;width:43.45pt;height:31.85pt;z-index:2517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4e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4t/G9rdQH3EqB8PCveWrFmuvmQ9PzOGGcRBU&#10;bXjEQyroKgoni5IG3O+P/DEficcoJR0qpqIGJU2J+mlwIVFco+FGY5uM4iaf5Rg3e30HqMMCn4Tl&#10;yUSvC2o0pQP9gnpexkIYYoZjuYpuR/MuDNLF98DFcpmSUEeWhbXZWB6hI1+RzOf+hTl7Yjzgqh5g&#10;lBMr3xA/5Mab3i73AelPW4ncDkSeKEcNpr2e3ksU+ev/lHV51Ys/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MQvXh4PAgAA&#10;HQQAAA4AAAAAAAAAAAAAAAAALgIAAGRycy9lMm9Eb2MueG1sUEsBAi0AFAAGAAgAAAAhAB9Vog3b&#10;AAAAAwEAAA8AAAAAAAAAAAAAAAAAaQQAAGRycy9kb3ducmV2LnhtbFBLBQYAAAAABAAEAPMAAABx&#10;BQAAAAA=&#10;" filled="f" stroked="f">
              <v:textbox style="mso-fit-shape-to-text:t" inset="0,0,0,15pt">
                <w:txbxContent>
                  <w:p w14:paraId="7886B4E1" w14:textId="62D61FA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82059" w14:textId="6D2F19BA" w:rsidR="008C75C3" w:rsidRDefault="008C75C3">
    <w:pPr>
      <w:pStyle w:val="Footer"/>
    </w:pPr>
    <w:r>
      <w:rPr>
        <w:noProof/>
      </w:rPr>
      <mc:AlternateContent>
        <mc:Choice Requires="wps">
          <w:drawing>
            <wp:anchor distT="0" distB="0" distL="0" distR="0" simplePos="0" relativeHeight="251717632" behindDoc="0" locked="0" layoutInCell="1" allowOverlap="1" wp14:anchorId="42FAE689" wp14:editId="7DDA36B9">
              <wp:simplePos x="635" y="635"/>
              <wp:positionH relativeFrom="page">
                <wp:align>center</wp:align>
              </wp:positionH>
              <wp:positionV relativeFrom="page">
                <wp:align>bottom</wp:align>
              </wp:positionV>
              <wp:extent cx="551815" cy="404495"/>
              <wp:effectExtent l="0" t="0" r="635" b="0"/>
              <wp:wrapNone/>
              <wp:docPr id="1664969021"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2396D5" w14:textId="6B5E467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FAE689" id="_x0000_t202" coordsize="21600,21600" o:spt="202" path="m,l,21600r21600,l21600,xe">
              <v:stroke joinstyle="miter"/>
              <v:path gradientshapeok="t" o:connecttype="rect"/>
            </v:shapetype>
            <v:shape id="Text Box 59" o:spid="_x0000_s1076" type="#_x0000_t202" alt="OFFICIAL" style="position:absolute;left:0;text-align:left;margin-left:0;margin-top:0;width:43.45pt;height:31.85pt;z-index:251717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2d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DZL4jK4t1EfaCuFEuHdy1VLvtfDhRSAxTIuQ&#10;asMzHdpAX3E4W5w1gD/+5o/5BDxFOetJMRW3JGnOzDdLhERxjQaOxjYZxV0+yylu990DkA4LehJO&#10;JpO8GMxoaoTujfS8jI0oJKykdhXfjuZDOEmX3oNUy2VKIh05EdZ242QsHfGKYL4ObwLdGfFAVD3B&#10;KCdRvgP+lBtverfcB4I/sXIF8gw5aTDxen4vUeS//qes66te/AQ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dvH2dDQIAAB0E&#10;AAAOAAAAAAAAAAAAAAAAAC4CAABkcnMvZTJvRG9jLnhtbFBLAQItABQABgAIAAAAIQAfVaIN2wAA&#10;AAMBAAAPAAAAAAAAAAAAAAAAAGcEAABkcnMvZG93bnJldi54bWxQSwUGAAAAAAQABADzAAAAbwUA&#10;AAAA&#10;" filled="f" stroked="f">
              <v:textbox style="mso-fit-shape-to-text:t" inset="0,0,0,15pt">
                <w:txbxContent>
                  <w:p w14:paraId="372396D5" w14:textId="6B5E467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A41B" w14:textId="7F57DDDD" w:rsidR="008C75C3" w:rsidRDefault="008C75C3">
    <w:pPr>
      <w:pStyle w:val="Footer"/>
    </w:pPr>
    <w:r>
      <w:rPr>
        <w:noProof/>
      </w:rPr>
      <mc:AlternateContent>
        <mc:Choice Requires="wps">
          <w:drawing>
            <wp:anchor distT="0" distB="0" distL="0" distR="0" simplePos="0" relativeHeight="251718656" behindDoc="0" locked="0" layoutInCell="1" allowOverlap="1" wp14:anchorId="68E7678F" wp14:editId="7F33BD1C">
              <wp:simplePos x="635" y="635"/>
              <wp:positionH relativeFrom="page">
                <wp:align>center</wp:align>
              </wp:positionH>
              <wp:positionV relativeFrom="page">
                <wp:align>bottom</wp:align>
              </wp:positionV>
              <wp:extent cx="551815" cy="404495"/>
              <wp:effectExtent l="0" t="0" r="635" b="0"/>
              <wp:wrapNone/>
              <wp:docPr id="609240220"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6DF393E" w14:textId="4CA3EE1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E7678F" id="_x0000_t202" coordsize="21600,21600" o:spt="202" path="m,l,21600r21600,l21600,xe">
              <v:stroke joinstyle="miter"/>
              <v:path gradientshapeok="t" o:connecttype="rect"/>
            </v:shapetype>
            <v:shape id="Text Box 60" o:spid="_x0000_s1077" type="#_x0000_t202" alt="OFFICIAL" style="position:absolute;left:0;text-align:left;margin-left:0;margin-top:0;width:43.45pt;height:31.85pt;z-index:25171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g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8APPoA4CAAAd&#10;BAAADgAAAAAAAAAAAAAAAAAuAgAAZHJzL2Uyb0RvYy54bWxQSwECLQAUAAYACAAAACEAH1WiDdsA&#10;AAADAQAADwAAAAAAAAAAAAAAAABoBAAAZHJzL2Rvd25yZXYueG1sUEsFBgAAAAAEAAQA8wAAAHAF&#10;AAAAAA==&#10;" filled="f" stroked="f">
              <v:textbox style="mso-fit-shape-to-text:t" inset="0,0,0,15pt">
                <w:txbxContent>
                  <w:p w14:paraId="56DF393E" w14:textId="4CA3EE1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4B529" w14:textId="21C692A2" w:rsidR="008C75C3" w:rsidRDefault="008C75C3">
    <w:pPr>
      <w:pStyle w:val="Footer"/>
    </w:pPr>
    <w:r>
      <w:rPr>
        <w:noProof/>
      </w:rPr>
      <mc:AlternateContent>
        <mc:Choice Requires="wps">
          <w:drawing>
            <wp:anchor distT="0" distB="0" distL="0" distR="0" simplePos="0" relativeHeight="251716608" behindDoc="0" locked="0" layoutInCell="1" allowOverlap="1" wp14:anchorId="59F42478" wp14:editId="3AB3DC3D">
              <wp:simplePos x="635" y="635"/>
              <wp:positionH relativeFrom="page">
                <wp:align>center</wp:align>
              </wp:positionH>
              <wp:positionV relativeFrom="page">
                <wp:align>bottom</wp:align>
              </wp:positionV>
              <wp:extent cx="551815" cy="404495"/>
              <wp:effectExtent l="0" t="0" r="635" b="0"/>
              <wp:wrapNone/>
              <wp:docPr id="766871031"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371583A" w14:textId="6E528C9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F42478" id="_x0000_t202" coordsize="21600,21600" o:spt="202" path="m,l,21600r21600,l21600,xe">
              <v:stroke joinstyle="miter"/>
              <v:path gradientshapeok="t" o:connecttype="rect"/>
            </v:shapetype>
            <v:shape id="Text Box 58" o:spid="_x0000_s1079" type="#_x0000_t202" alt="OFFICIAL" style="position:absolute;left:0;text-align:left;margin-left:0;margin-top:0;width:43.45pt;height:31.85pt;z-index:2517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rb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Rr6O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Cp9qtsPAgAA&#10;HQQAAA4AAAAAAAAAAAAAAAAALgIAAGRycy9lMm9Eb2MueG1sUEsBAi0AFAAGAAgAAAAhAB9Vog3b&#10;AAAAAwEAAA8AAAAAAAAAAAAAAAAAaQQAAGRycy9kb3ducmV2LnhtbFBLBQYAAAAABAAEAPMAAABx&#10;BQAAAAA=&#10;" filled="f" stroked="f">
              <v:textbox style="mso-fit-shape-to-text:t" inset="0,0,0,15pt">
                <w:txbxContent>
                  <w:p w14:paraId="4371583A" w14:textId="6E528C9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49DE1" w14:textId="4360CD4D" w:rsidR="008C75C3" w:rsidRDefault="008C75C3">
    <w:pPr>
      <w:pStyle w:val="Footer"/>
    </w:pPr>
    <w:r>
      <w:rPr>
        <w:noProof/>
      </w:rPr>
      <mc:AlternateContent>
        <mc:Choice Requires="wps">
          <w:drawing>
            <wp:anchor distT="0" distB="0" distL="0" distR="0" simplePos="0" relativeHeight="251720704" behindDoc="0" locked="0" layoutInCell="1" allowOverlap="1" wp14:anchorId="73B0E055" wp14:editId="4811893C">
              <wp:simplePos x="635" y="635"/>
              <wp:positionH relativeFrom="page">
                <wp:align>center</wp:align>
              </wp:positionH>
              <wp:positionV relativeFrom="page">
                <wp:align>bottom</wp:align>
              </wp:positionV>
              <wp:extent cx="551815" cy="404495"/>
              <wp:effectExtent l="0" t="0" r="635" b="0"/>
              <wp:wrapNone/>
              <wp:docPr id="1896499473"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F99A511" w14:textId="645E38B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B0E055" id="_x0000_t202" coordsize="21600,21600" o:spt="202" path="m,l,21600r21600,l21600,xe">
              <v:stroke joinstyle="miter"/>
              <v:path gradientshapeok="t" o:connecttype="rect"/>
            </v:shapetype>
            <v:shape id="Text Box 62" o:spid="_x0000_s1082" type="#_x0000_t202" alt="OFFICIAL" style="position:absolute;left:0;text-align:left;margin-left:0;margin-top:0;width:43.45pt;height:31.85pt;z-index:25172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IQDwIAAB0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jI9dj+1uojziVg2Hh3vJVi7XXzIdn5nDDOAiq&#10;NjzhIRV0FYWTRUkD7vdn/piPxGOUkg4VU1GDkqZE/TS4kCiu0XCjsU1GcZvPcoybvb4H1GGBT8Ly&#10;ZKLXBTWa0oF+RT0vYyEMMcOxXEW3o3kfBunie+BiuUxJqCPLwtpsLI/Qka9I5kv/ypw9MR5wVY8w&#10;yomV74gfcuNNb5f7gPSnrURuByJPlKMG015P7yWK/O1/yrq86sUf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M/0hAPAgAA&#10;HQQAAA4AAAAAAAAAAAAAAAAALgIAAGRycy9lMm9Eb2MueG1sUEsBAi0AFAAGAAgAAAAhAB9Vog3b&#10;AAAAAwEAAA8AAAAAAAAAAAAAAAAAaQQAAGRycy9kb3ducmV2LnhtbFBLBQYAAAAABAAEAPMAAABx&#10;BQAAAAA=&#10;" filled="f" stroked="f">
              <v:textbox style="mso-fit-shape-to-text:t" inset="0,0,0,15pt">
                <w:txbxContent>
                  <w:p w14:paraId="1F99A511" w14:textId="645E38B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7177C" w14:textId="4091A146" w:rsidR="008C75C3" w:rsidRDefault="008C75C3">
    <w:pPr>
      <w:pStyle w:val="Footer"/>
    </w:pPr>
    <w:r>
      <w:rPr>
        <w:noProof/>
      </w:rPr>
      <mc:AlternateContent>
        <mc:Choice Requires="wps">
          <w:drawing>
            <wp:anchor distT="0" distB="0" distL="0" distR="0" simplePos="0" relativeHeight="251721728" behindDoc="0" locked="0" layoutInCell="1" allowOverlap="1" wp14:anchorId="2DE4D612" wp14:editId="6DD7D10D">
              <wp:simplePos x="635" y="635"/>
              <wp:positionH relativeFrom="page">
                <wp:align>center</wp:align>
              </wp:positionH>
              <wp:positionV relativeFrom="page">
                <wp:align>bottom</wp:align>
              </wp:positionV>
              <wp:extent cx="551815" cy="404495"/>
              <wp:effectExtent l="0" t="0" r="635" b="0"/>
              <wp:wrapNone/>
              <wp:docPr id="1419368392"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181CDD1" w14:textId="6BC18EE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E4D612" id="_x0000_t202" coordsize="21600,21600" o:spt="202" path="m,l,21600r21600,l21600,xe">
              <v:stroke joinstyle="miter"/>
              <v:path gradientshapeok="t" o:connecttype="rect"/>
            </v:shapetype>
            <v:shape id="Text Box 63" o:spid="_x0000_s1083" type="#_x0000_t202" alt="OFFICIAL" style="position:absolute;left:0;text-align:left;margin-left:0;margin-top:0;width:43.45pt;height:31.85pt;z-index:2517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At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Rr6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J6AYC0PAgAA&#10;HQQAAA4AAAAAAAAAAAAAAAAALgIAAGRycy9lMm9Eb2MueG1sUEsBAi0AFAAGAAgAAAAhAB9Vog3b&#10;AAAAAwEAAA8AAAAAAAAAAAAAAAAAaQQAAGRycy9kb3ducmV2LnhtbFBLBQYAAAAABAAEAPMAAABx&#10;BQAAAAA=&#10;" filled="f" stroked="f">
              <v:textbox style="mso-fit-shape-to-text:t" inset="0,0,0,15pt">
                <w:txbxContent>
                  <w:p w14:paraId="0181CDD1" w14:textId="6BC18EE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1D3E7" w14:textId="2FD4FDA6" w:rsidR="008C75C3" w:rsidRDefault="008C75C3">
    <w:pPr>
      <w:pStyle w:val="Footer"/>
    </w:pPr>
    <w:r>
      <w:rPr>
        <w:noProof/>
      </w:rPr>
      <mc:AlternateContent>
        <mc:Choice Requires="wps">
          <w:drawing>
            <wp:anchor distT="0" distB="0" distL="0" distR="0" simplePos="0" relativeHeight="251692032" behindDoc="0" locked="0" layoutInCell="1" allowOverlap="1" wp14:anchorId="191394C3" wp14:editId="48030A12">
              <wp:simplePos x="635" y="635"/>
              <wp:positionH relativeFrom="page">
                <wp:align>center</wp:align>
              </wp:positionH>
              <wp:positionV relativeFrom="page">
                <wp:align>bottom</wp:align>
              </wp:positionV>
              <wp:extent cx="551815" cy="404495"/>
              <wp:effectExtent l="0" t="0" r="635" b="0"/>
              <wp:wrapNone/>
              <wp:docPr id="2026835174"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472C64" w14:textId="767EDC0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1394C3" id="_x0000_t202" coordsize="21600,21600" o:spt="202" path="m,l,21600r21600,l21600,xe">
              <v:stroke joinstyle="miter"/>
              <v:path gradientshapeok="t" o:connecttype="rect"/>
            </v:shapetype>
            <v:shape id="Text Box 34" o:spid="_x0000_s1031" type="#_x0000_t202" alt="OFFICIAL" style="position:absolute;left:0;text-align:left;margin-left:0;margin-top:0;width:43.45pt;height:31.8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65472C64" w14:textId="767EDC0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695FD" w14:textId="363B5172" w:rsidR="008C75C3" w:rsidRDefault="008C75C3">
    <w:pPr>
      <w:pStyle w:val="Footer"/>
    </w:pPr>
    <w:r>
      <w:rPr>
        <w:noProof/>
      </w:rPr>
      <mc:AlternateContent>
        <mc:Choice Requires="wps">
          <w:drawing>
            <wp:anchor distT="0" distB="0" distL="0" distR="0" simplePos="0" relativeHeight="251719680" behindDoc="0" locked="0" layoutInCell="1" allowOverlap="1" wp14:anchorId="1CB04BC5" wp14:editId="65013A75">
              <wp:simplePos x="635" y="635"/>
              <wp:positionH relativeFrom="page">
                <wp:align>center</wp:align>
              </wp:positionH>
              <wp:positionV relativeFrom="page">
                <wp:align>bottom</wp:align>
              </wp:positionV>
              <wp:extent cx="551815" cy="404495"/>
              <wp:effectExtent l="0" t="0" r="635" b="0"/>
              <wp:wrapNone/>
              <wp:docPr id="1531112516"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DAFE442" w14:textId="0FD4B19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B04BC5" id="_x0000_t202" coordsize="21600,21600" o:spt="202" path="m,l,21600r21600,l21600,xe">
              <v:stroke joinstyle="miter"/>
              <v:path gradientshapeok="t" o:connecttype="rect"/>
            </v:shapetype>
            <v:shape id="Text Box 61" o:spid="_x0000_s1085" type="#_x0000_t202" alt="OFFICIAL" style="position:absolute;left:0;text-align:left;margin-left:0;margin-top:0;width:43.45pt;height:31.85pt;z-index:2517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WDwIAAB0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2xkfnY/g7qE07lYFi4t3zdYu0N8+GFOdwwDoKq&#10;Dc94SAVdReFsUdKA+/kvf8xH4jFKSYeKqahBSVOivhtcSBTXaLjR2CWjmOezHOPmoB8AdVjgk7A8&#10;meh1QY2mdKDfUM+rWAhDzHAsV9HdaD6EQbr4HrhYrVIS6siysDFbyyN05CuS+dq/MWfPjAdc1ROM&#10;cmLlO+KH3HjT29UhIP1pK5Hbgcgz5ajBtNfze4ki//0/ZV1f9fIX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Nn+K5YPAgAA&#10;HQQAAA4AAAAAAAAAAAAAAAAALgIAAGRycy9lMm9Eb2MueG1sUEsBAi0AFAAGAAgAAAAhAB9Vog3b&#10;AAAAAwEAAA8AAAAAAAAAAAAAAAAAaQQAAGRycy9kb3ducmV2LnhtbFBLBQYAAAAABAAEAPMAAABx&#10;BQAAAAA=&#10;" filled="f" stroked="f">
              <v:textbox style="mso-fit-shape-to-text:t" inset="0,0,0,15pt">
                <w:txbxContent>
                  <w:p w14:paraId="6DAFE442" w14:textId="0FD4B19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4265" w14:textId="68CAA3B3" w:rsidR="008C75C3" w:rsidRDefault="008C75C3">
    <w:pPr>
      <w:pStyle w:val="Footer"/>
    </w:pPr>
    <w:r>
      <w:rPr>
        <w:noProof/>
      </w:rPr>
      <mc:AlternateContent>
        <mc:Choice Requires="wps">
          <w:drawing>
            <wp:anchor distT="0" distB="0" distL="0" distR="0" simplePos="0" relativeHeight="251723776" behindDoc="0" locked="0" layoutInCell="1" allowOverlap="1" wp14:anchorId="40F6F566" wp14:editId="2EF4B646">
              <wp:simplePos x="635" y="635"/>
              <wp:positionH relativeFrom="page">
                <wp:align>center</wp:align>
              </wp:positionH>
              <wp:positionV relativeFrom="page">
                <wp:align>bottom</wp:align>
              </wp:positionV>
              <wp:extent cx="551815" cy="404495"/>
              <wp:effectExtent l="0" t="0" r="635" b="0"/>
              <wp:wrapNone/>
              <wp:docPr id="1552647232"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8C06E62" w14:textId="4957854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F6F566" id="_x0000_t202" coordsize="21600,21600" o:spt="202" path="m,l,21600r21600,l21600,xe">
              <v:stroke joinstyle="miter"/>
              <v:path gradientshapeok="t" o:connecttype="rect"/>
            </v:shapetype>
            <v:shape id="Text Box 65" o:spid="_x0000_s1088" type="#_x0000_t202" alt="OFFICIAL" style="position:absolute;left:0;text-align:left;margin-left:0;margin-top:0;width:43.45pt;height:31.85pt;z-index:251723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kzW7MPAgAA&#10;HQQAAA4AAAAAAAAAAAAAAAAALgIAAGRycy9lMm9Eb2MueG1sUEsBAi0AFAAGAAgAAAAhAB9Vog3b&#10;AAAAAwEAAA8AAAAAAAAAAAAAAAAAaQQAAGRycy9kb3ducmV2LnhtbFBLBQYAAAAABAAEAPMAAABx&#10;BQAAAAA=&#10;" filled="f" stroked="f">
              <v:textbox style="mso-fit-shape-to-text:t" inset="0,0,0,15pt">
                <w:txbxContent>
                  <w:p w14:paraId="38C06E62" w14:textId="4957854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300D1" w14:textId="3245EBCF" w:rsidR="008C75C3" w:rsidRDefault="008C75C3">
    <w:pPr>
      <w:pStyle w:val="Footer"/>
    </w:pPr>
    <w:r>
      <w:rPr>
        <w:noProof/>
      </w:rPr>
      <mc:AlternateContent>
        <mc:Choice Requires="wps">
          <w:drawing>
            <wp:anchor distT="0" distB="0" distL="0" distR="0" simplePos="0" relativeHeight="251724800" behindDoc="0" locked="0" layoutInCell="1" allowOverlap="1" wp14:anchorId="3F744562" wp14:editId="37CC4D8A">
              <wp:simplePos x="635" y="635"/>
              <wp:positionH relativeFrom="page">
                <wp:align>center</wp:align>
              </wp:positionH>
              <wp:positionV relativeFrom="page">
                <wp:align>bottom</wp:align>
              </wp:positionV>
              <wp:extent cx="551815" cy="404495"/>
              <wp:effectExtent l="0" t="0" r="635" b="0"/>
              <wp:wrapNone/>
              <wp:docPr id="1564781847"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15EF5AB" w14:textId="73036D0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744562" id="_x0000_t202" coordsize="21600,21600" o:spt="202" path="m,l,21600r21600,l21600,xe">
              <v:stroke joinstyle="miter"/>
              <v:path gradientshapeok="t" o:connecttype="rect"/>
            </v:shapetype>
            <v:shape id="Text Box 66" o:spid="_x0000_s1089" type="#_x0000_t202" alt="OFFICIAL" style="position:absolute;left:0;text-align:left;margin-left:0;margin-top:0;width:43.45pt;height:31.85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" filled="f" stroked="f">
              <v:textbox style="mso-fit-shape-to-text:t" inset="0,0,0,15pt">
                <w:txbxContent>
                  <w:p w14:paraId="415EF5AB" w14:textId="73036D0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E1A4" w14:textId="10E1DF56" w:rsidR="008C75C3" w:rsidRDefault="008C75C3">
    <w:pPr>
      <w:pStyle w:val="Footer"/>
    </w:pPr>
    <w:r>
      <w:rPr>
        <w:noProof/>
      </w:rPr>
      <mc:AlternateContent>
        <mc:Choice Requires="wps">
          <w:drawing>
            <wp:anchor distT="0" distB="0" distL="0" distR="0" simplePos="0" relativeHeight="251722752" behindDoc="0" locked="0" layoutInCell="1" allowOverlap="1" wp14:anchorId="4441954C" wp14:editId="64DF7BF1">
              <wp:simplePos x="635" y="635"/>
              <wp:positionH relativeFrom="page">
                <wp:align>center</wp:align>
              </wp:positionH>
              <wp:positionV relativeFrom="page">
                <wp:align>bottom</wp:align>
              </wp:positionV>
              <wp:extent cx="551815" cy="404495"/>
              <wp:effectExtent l="0" t="0" r="635" b="0"/>
              <wp:wrapNone/>
              <wp:docPr id="2074327209"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B9E803A" w14:textId="0AAA3326"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41954C" id="_x0000_t202" coordsize="21600,21600" o:spt="202" path="m,l,21600r21600,l21600,xe">
              <v:stroke joinstyle="miter"/>
              <v:path gradientshapeok="t" o:connecttype="rect"/>
            </v:shapetype>
            <v:shape id="Text Box 64" o:spid="_x0000_s1091" type="#_x0000_t202" alt="OFFICIAL" style="position:absolute;left:0;text-align:left;margin-left:0;margin-top:0;width:43.45pt;height:31.85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g9GAw4CAAAd&#10;BAAADgAAAAAAAAAAAAAAAAAuAgAAZHJzL2Uyb0RvYy54bWxQSwECLQAUAAYACAAAACEAH1WiDdsA&#10;AAADAQAADwAAAAAAAAAAAAAAAABoBAAAZHJzL2Rvd25yZXYueG1sUEsFBgAAAAAEAAQA8wAAAHAF&#10;AAAAAA==&#10;" filled="f" stroked="f">
              <v:textbox style="mso-fit-shape-to-text:t" inset="0,0,0,15pt">
                <w:txbxContent>
                  <w:p w14:paraId="7B9E803A" w14:textId="0AAA3326"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BAF0" w14:textId="6E8C6D95" w:rsidR="008C75C3" w:rsidRDefault="008C75C3">
    <w:pPr>
      <w:pStyle w:val="Footer"/>
    </w:pPr>
    <w:r>
      <w:rPr>
        <w:noProof/>
      </w:rPr>
      <mc:AlternateContent>
        <mc:Choice Requires="wps">
          <w:drawing>
            <wp:anchor distT="0" distB="0" distL="0" distR="0" simplePos="0" relativeHeight="251696128" behindDoc="0" locked="0" layoutInCell="1" allowOverlap="1" wp14:anchorId="1C54DFEC" wp14:editId="61B6D956">
              <wp:simplePos x="635" y="635"/>
              <wp:positionH relativeFrom="page">
                <wp:align>center</wp:align>
              </wp:positionH>
              <wp:positionV relativeFrom="page">
                <wp:align>bottom</wp:align>
              </wp:positionV>
              <wp:extent cx="551815" cy="404495"/>
              <wp:effectExtent l="0" t="0" r="635" b="0"/>
              <wp:wrapNone/>
              <wp:docPr id="669194945"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F3321E" w14:textId="17D66CC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54DFEC" id="_x0000_t202" coordsize="21600,21600" o:spt="202" path="m,l,21600r21600,l21600,xe">
              <v:stroke joinstyle="miter"/>
              <v:path gradientshapeok="t" o:connecttype="rect"/>
            </v:shapetype>
            <v:shape id="Text Box 38" o:spid="_x0000_s1034" type="#_x0000_t202" alt="OFFICIAL" style="position:absolute;left:0;text-align:left;margin-left:0;margin-top:0;width:43.45pt;height:31.85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07F3321E" w14:textId="17D66CC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0475" w14:textId="654829C3" w:rsidR="009D2A7D" w:rsidRDefault="008C75C3">
    <w:pPr>
      <w:pStyle w:val="Footer"/>
      <w:tabs>
        <w:tab w:val="clear" w:pos="4536"/>
        <w:tab w:val="center" w:pos="9072"/>
      </w:tabs>
      <w:jc w:val="left"/>
    </w:pPr>
    <w:r>
      <w:rPr>
        <w:noProof/>
      </w:rPr>
      <mc:AlternateContent>
        <mc:Choice Requires="wps">
          <w:drawing>
            <wp:anchor distT="0" distB="0" distL="0" distR="0" simplePos="0" relativeHeight="251697152" behindDoc="0" locked="0" layoutInCell="1" allowOverlap="1" wp14:anchorId="1C770877" wp14:editId="38133CC8">
              <wp:simplePos x="635" y="635"/>
              <wp:positionH relativeFrom="page">
                <wp:align>center</wp:align>
              </wp:positionH>
              <wp:positionV relativeFrom="page">
                <wp:align>bottom</wp:align>
              </wp:positionV>
              <wp:extent cx="551815" cy="404495"/>
              <wp:effectExtent l="0" t="0" r="635" b="0"/>
              <wp:wrapNone/>
              <wp:docPr id="1433467259"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302F6C" w14:textId="2497F86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770877" id="_x0000_t202" coordsize="21600,21600" o:spt="202" path="m,l,21600r21600,l21600,xe">
              <v:stroke joinstyle="miter"/>
              <v:path gradientshapeok="t" o:connecttype="rect"/>
            </v:shapetype>
            <v:shape id="Text Box 39" o:spid="_x0000_s1035" type="#_x0000_t202" alt="OFFICIAL" style="position:absolute;margin-left:0;margin-top:0;width:43.45pt;height:31.85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XqRlQA4CAAAc&#10;BAAADgAAAAAAAAAAAAAAAAAuAgAAZHJzL2Uyb0RvYy54bWxQSwECLQAUAAYACAAAACEAH1WiDdsA&#10;AAADAQAADwAAAAAAAAAAAAAAAABoBAAAZHJzL2Rvd25yZXYueG1sUEsFBgAAAAAEAAQA8wAAAHAF&#10;AAAAAA==&#10;" filled="f" stroked="f">
              <v:textbox style="mso-fit-shape-to-text:t" inset="0,0,0,15pt">
                <w:txbxContent>
                  <w:p w14:paraId="05302F6C" w14:textId="2497F86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C6ACE" w14:textId="5458E22A" w:rsidR="008C75C3" w:rsidRDefault="008C75C3">
    <w:pPr>
      <w:pStyle w:val="Footer"/>
    </w:pPr>
    <w:r>
      <w:rPr>
        <w:noProof/>
      </w:rPr>
      <mc:AlternateContent>
        <mc:Choice Requires="wps">
          <w:drawing>
            <wp:anchor distT="0" distB="0" distL="0" distR="0" simplePos="0" relativeHeight="251695104" behindDoc="0" locked="0" layoutInCell="1" allowOverlap="1" wp14:anchorId="70E94191" wp14:editId="052FC667">
              <wp:simplePos x="635" y="635"/>
              <wp:positionH relativeFrom="page">
                <wp:align>center</wp:align>
              </wp:positionH>
              <wp:positionV relativeFrom="page">
                <wp:align>bottom</wp:align>
              </wp:positionV>
              <wp:extent cx="551815" cy="404495"/>
              <wp:effectExtent l="0" t="0" r="635" b="0"/>
              <wp:wrapNone/>
              <wp:docPr id="1720013377"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7B35A6" w14:textId="37C60E54"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E94191" id="_x0000_t202" coordsize="21600,21600" o:spt="202" path="m,l,21600r21600,l21600,xe">
              <v:stroke joinstyle="miter"/>
              <v:path gradientshapeok="t" o:connecttype="rect"/>
            </v:shapetype>
            <v:shape id="Text Box 37" o:spid="_x0000_s1037" type="#_x0000_t202" alt="OFFICIAL" style="position:absolute;left:0;text-align:left;margin-left:0;margin-top:0;width:43.45pt;height:31.85pt;z-index:2516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5E7B35A6" w14:textId="37C60E54"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1FB79" w14:textId="7D2A4572" w:rsidR="008C75C3" w:rsidRDefault="008C75C3">
    <w:pPr>
      <w:pStyle w:val="Footer"/>
    </w:pPr>
    <w:r>
      <w:rPr>
        <w:noProof/>
      </w:rPr>
      <mc:AlternateContent>
        <mc:Choice Requires="wps">
          <w:drawing>
            <wp:anchor distT="0" distB="0" distL="0" distR="0" simplePos="0" relativeHeight="251699200" behindDoc="0" locked="0" layoutInCell="1" allowOverlap="1" wp14:anchorId="59B72BB6" wp14:editId="6FB98C88">
              <wp:simplePos x="635" y="635"/>
              <wp:positionH relativeFrom="page">
                <wp:align>center</wp:align>
              </wp:positionH>
              <wp:positionV relativeFrom="page">
                <wp:align>bottom</wp:align>
              </wp:positionV>
              <wp:extent cx="551815" cy="404495"/>
              <wp:effectExtent l="0" t="0" r="635" b="0"/>
              <wp:wrapNone/>
              <wp:docPr id="739638868"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B2245E" w14:textId="4829ECF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B72BB6" id="_x0000_t202" coordsize="21600,21600" o:spt="202" path="m,l,21600r21600,l21600,xe">
              <v:stroke joinstyle="miter"/>
              <v:path gradientshapeok="t" o:connecttype="rect"/>
            </v:shapetype>
            <v:shape id="Text Box 41" o:spid="_x0000_s1040" type="#_x0000_t202" alt="OFFICIAL" style="position:absolute;left:0;text-align:left;margin-left:0;margin-top:0;width:43.45pt;height:31.85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n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Op/RqaE07lYFy4t3zTYe0t8+GFOdwwDoKq&#10;Dc94SAV9ReFsUdKC+/E3f8xH4jFKSY+KqahBSVOivhlcSBTXZLjJqJNR3OWLHOPmoB8AdVjgk7A8&#10;meh1QU2mdKDfUM/rWAhDzHAsV9F6Mh/CKF18D1ys1ykJdWRZ2Jqd5RE68hXJfB3emLNnxgOu6gkm&#10;ObHyHfFjbrzp7foQkP60lcjtSOSZctRg2uv5vUSR//qfsq6vevUT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fxNpw4CAAAd&#10;BAAADgAAAAAAAAAAAAAAAAAuAgAAZHJzL2Uyb0RvYy54bWxQSwECLQAUAAYACAAAACEAH1WiDdsA&#10;AAADAQAADwAAAAAAAAAAAAAAAABoBAAAZHJzL2Rvd25yZXYueG1sUEsFBgAAAAAEAAQA8wAAAHAF&#10;AAAAAA==&#10;" filled="f" stroked="f">
              <v:textbox style="mso-fit-shape-to-text:t" inset="0,0,0,15pt">
                <w:txbxContent>
                  <w:p w14:paraId="37B2245E" w14:textId="4829ECF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2AAF" w14:textId="7C92C19C" w:rsidR="008C75C3" w:rsidRDefault="008C75C3">
    <w:pPr>
      <w:pStyle w:val="Footer"/>
    </w:pPr>
    <w:r>
      <w:rPr>
        <w:noProof/>
      </w:rPr>
      <mc:AlternateContent>
        <mc:Choice Requires="wps">
          <w:drawing>
            <wp:anchor distT="0" distB="0" distL="0" distR="0" simplePos="0" relativeHeight="251700224" behindDoc="0" locked="0" layoutInCell="1" allowOverlap="1" wp14:anchorId="251A69B8" wp14:editId="3352D5D3">
              <wp:simplePos x="635" y="635"/>
              <wp:positionH relativeFrom="page">
                <wp:align>center</wp:align>
              </wp:positionH>
              <wp:positionV relativeFrom="page">
                <wp:align>bottom</wp:align>
              </wp:positionV>
              <wp:extent cx="551815" cy="404495"/>
              <wp:effectExtent l="0" t="0" r="635" b="0"/>
              <wp:wrapNone/>
              <wp:docPr id="535738848"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7053E36" w14:textId="4F30905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1A69B8" id="_x0000_t202" coordsize="21600,21600" o:spt="202" path="m,l,21600r21600,l21600,xe">
              <v:stroke joinstyle="miter"/>
              <v:path gradientshapeok="t" o:connecttype="rect"/>
            </v:shapetype>
            <v:shape id="Text Box 42" o:spid="_x0000_s1041" type="#_x0000_t202" alt="OFFICIAL" style="position:absolute;left:0;text-align:left;margin-left:0;margin-top:0;width:43.45pt;height:31.85pt;z-index:2517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bUfSocXVuojzQVwmnh3slVS7XXwocXgbRhGoRU&#10;G57p0Ab6isPZ4qwB/PE3f8wn4inKWU+KqbglSXNmvllaSBTXaOBobJNR3OWznOJ23z0A6bCgJ+Fk&#10;MsmLwYymRujeSM/LWIhCwkoqV/HtaD6Ek3TpPUi1XKYk0pETYW03TkboyFck83V4E+jOjAda1ROM&#10;chLlO+JPufGmd8t9IPrTVq5EniknDaa9nt9LFPmv/ynr+qoXPwE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sQ/+aDQIAAB0E&#10;AAAOAAAAAAAAAAAAAAAAAC4CAABkcnMvZTJvRG9jLnhtbFBLAQItABQABgAIAAAAIQAfVaIN2wAA&#10;AAMBAAAPAAAAAAAAAAAAAAAAAGcEAABkcnMvZG93bnJldi54bWxQSwUGAAAAAAQABADzAAAAbwUA&#10;AAAA&#10;" filled="f" stroked="f">
              <v:textbox style="mso-fit-shape-to-text:t" inset="0,0,0,15pt">
                <w:txbxContent>
                  <w:p w14:paraId="67053E36" w14:textId="4F30905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A6F83" w14:textId="698B05A1" w:rsidR="008C75C3" w:rsidRDefault="008C75C3">
    <w:pPr>
      <w:pStyle w:val="Footer"/>
    </w:pPr>
    <w:r>
      <w:rPr>
        <w:noProof/>
      </w:rPr>
      <mc:AlternateContent>
        <mc:Choice Requires="wps">
          <w:drawing>
            <wp:anchor distT="0" distB="0" distL="0" distR="0" simplePos="0" relativeHeight="251698176" behindDoc="0" locked="0" layoutInCell="1" allowOverlap="1" wp14:anchorId="1563CDE1" wp14:editId="57471E5E">
              <wp:simplePos x="635" y="635"/>
              <wp:positionH relativeFrom="page">
                <wp:align>center</wp:align>
              </wp:positionH>
              <wp:positionV relativeFrom="page">
                <wp:align>bottom</wp:align>
              </wp:positionV>
              <wp:extent cx="551815" cy="404495"/>
              <wp:effectExtent l="0" t="0" r="635" b="0"/>
              <wp:wrapNone/>
              <wp:docPr id="95593950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E587B23" w14:textId="1378B4D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3CDE1" id="_x0000_t202" coordsize="21600,21600" o:spt="202" path="m,l,21600r21600,l21600,xe">
              <v:stroke joinstyle="miter"/>
              <v:path gradientshapeok="t" o:connecttype="rect"/>
            </v:shapetype>
            <v:shape id="Text Box 40" o:spid="_x0000_s1043" type="#_x0000_t202" alt="OFFICIAL" style="position:absolute;left:0;text-align:left;margin-left:0;margin-top:0;width:43.45pt;height:31.85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h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7r+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Y9muEPAgAA&#10;HQQAAA4AAAAAAAAAAAAAAAAALgIAAGRycy9lMm9Eb2MueG1sUEsBAi0AFAAGAAgAAAAhAB9Vog3b&#10;AAAAAwEAAA8AAAAAAAAAAAAAAAAAaQQAAGRycy9kb3ducmV2LnhtbFBLBQYAAAAABAAEAPMAAABx&#10;BQAAAAA=&#10;" filled="f" stroked="f">
              <v:textbox style="mso-fit-shape-to-text:t" inset="0,0,0,15pt">
                <w:txbxContent>
                  <w:p w14:paraId="2E587B23" w14:textId="1378B4D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BEB06" w14:textId="77777777" w:rsidR="00AB2880" w:rsidRDefault="00AB2880">
      <w:pPr>
        <w:spacing w:after="0" w:line="240" w:lineRule="auto"/>
      </w:pPr>
      <w:r>
        <w:separator/>
      </w:r>
    </w:p>
  </w:footnote>
  <w:footnote w:type="continuationSeparator" w:id="0">
    <w:p w14:paraId="79FEBFFB" w14:textId="77777777" w:rsidR="00AB2880" w:rsidRDefault="00AB2880">
      <w:pPr>
        <w:spacing w:after="0" w:line="240" w:lineRule="auto"/>
      </w:pPr>
      <w:r>
        <w:continuationSeparator/>
      </w:r>
    </w:p>
  </w:footnote>
  <w:footnote w:type="continuationNotice" w:id="1">
    <w:p w14:paraId="5C580D32" w14:textId="77777777" w:rsidR="00AB2880" w:rsidRDefault="00AB2880">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55BC5" w14:textId="083B8BDF" w:rsidR="008C75C3" w:rsidRDefault="008C75C3">
    <w:pPr>
      <w:pStyle w:val="Header"/>
    </w:pPr>
    <w:r>
      <w:rPr>
        <w:noProof/>
      </w:rPr>
      <mc:AlternateContent>
        <mc:Choice Requires="wps">
          <w:drawing>
            <wp:anchor distT="0" distB="0" distL="0" distR="0" simplePos="0" relativeHeight="251659264" behindDoc="0" locked="0" layoutInCell="1" allowOverlap="1" wp14:anchorId="6F7192D9" wp14:editId="54F9A0DB">
              <wp:simplePos x="635" y="635"/>
              <wp:positionH relativeFrom="page">
                <wp:align>center</wp:align>
              </wp:positionH>
              <wp:positionV relativeFrom="page">
                <wp:align>top</wp:align>
              </wp:positionV>
              <wp:extent cx="551815" cy="404495"/>
              <wp:effectExtent l="0" t="0" r="635" b="14605"/>
              <wp:wrapNone/>
              <wp:docPr id="61513981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CCB7571" w14:textId="34653CA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7192D9"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4CCB7571" w14:textId="34653CA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3A37" w14:textId="2C2D3F76" w:rsidR="008C75C3" w:rsidRDefault="008C75C3">
    <w:pPr>
      <w:pStyle w:val="Header"/>
    </w:pPr>
    <w:r>
      <w:rPr>
        <w:noProof/>
      </w:rPr>
      <mc:AlternateContent>
        <mc:Choice Requires="wps">
          <w:drawing>
            <wp:anchor distT="0" distB="0" distL="0" distR="0" simplePos="0" relativeHeight="251668480" behindDoc="0" locked="0" layoutInCell="1" allowOverlap="1" wp14:anchorId="5EE84FD5" wp14:editId="480EF0CA">
              <wp:simplePos x="635" y="635"/>
              <wp:positionH relativeFrom="page">
                <wp:align>center</wp:align>
              </wp:positionH>
              <wp:positionV relativeFrom="page">
                <wp:align>top</wp:align>
              </wp:positionV>
              <wp:extent cx="551815" cy="404495"/>
              <wp:effectExtent l="0" t="0" r="635" b="14605"/>
              <wp:wrapNone/>
              <wp:docPr id="1037082844"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2732B5" w14:textId="46D11B3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E84FD5" id="_x0000_t202" coordsize="21600,21600" o:spt="202" path="m,l,21600r21600,l21600,xe">
              <v:stroke joinstyle="miter"/>
              <v:path gradientshapeok="t" o:connecttype="rect"/>
            </v:shapetype>
            <v:shape id="Text Box 11" o:spid="_x0000_s1044" type="#_x0000_t202" alt="OFFICIAL" style="position:absolute;left:0;text-align:left;margin-left:0;margin-top:0;width:43.45pt;height:31.8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LT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X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COzLTDgIAAB0E&#10;AAAOAAAAAAAAAAAAAAAAAC4CAABkcnMvZTJvRG9jLnhtbFBLAQItABQABgAIAAAAIQD8pn6y2gAA&#10;AAMBAAAPAAAAAAAAAAAAAAAAAGgEAABkcnMvZG93bnJldi54bWxQSwUGAAAAAAQABADzAAAAbwUA&#10;AAAA&#10;" filled="f" stroked="f">
              <v:textbox style="mso-fit-shape-to-text:t" inset="0,15pt,0,0">
                <w:txbxContent>
                  <w:p w14:paraId="3C2732B5" w14:textId="46D11B3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C2B7" w14:textId="42D9B24F" w:rsidR="009D2A7D" w:rsidRDefault="008C75C3">
    <w:pPr>
      <w:pStyle w:val="Header"/>
      <w:tabs>
        <w:tab w:val="clear" w:pos="4820"/>
        <w:tab w:val="center" w:pos="8505"/>
      </w:tabs>
      <w:jc w:val="left"/>
    </w:pPr>
    <w:bookmarkStart w:id="10" w:name="_Hlk157607138"/>
    <w:r>
      <w:rPr>
        <w:i/>
        <w:iCs/>
        <w:noProof/>
      </w:rPr>
      <mc:AlternateContent>
        <mc:Choice Requires="wps">
          <w:drawing>
            <wp:anchor distT="0" distB="0" distL="0" distR="0" simplePos="0" relativeHeight="251669504" behindDoc="0" locked="0" layoutInCell="1" allowOverlap="1" wp14:anchorId="50BD80A6" wp14:editId="3955DC96">
              <wp:simplePos x="635" y="635"/>
              <wp:positionH relativeFrom="page">
                <wp:align>center</wp:align>
              </wp:positionH>
              <wp:positionV relativeFrom="page">
                <wp:align>top</wp:align>
              </wp:positionV>
              <wp:extent cx="551815" cy="404495"/>
              <wp:effectExtent l="0" t="0" r="635" b="14605"/>
              <wp:wrapNone/>
              <wp:docPr id="33192900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32880C7" w14:textId="63E11F2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BD80A6" id="_x0000_t202" coordsize="21600,21600" o:spt="202" path="m,l,21600r21600,l21600,xe">
              <v:stroke joinstyle="miter"/>
              <v:path gradientshapeok="t" o:connecttype="rect"/>
            </v:shapetype>
            <v:shape id="Text Box 12" o:spid="_x0000_s1045" type="#_x0000_t202" alt="OFFICIAL" style="position:absolute;margin-left:0;margin-top:0;width:43.45pt;height:31.8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DuDgIAAB0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2x+/nY/g7qE07lYFi4t3zdYu0N8+GFOdwwDoKq&#10;Dc94SAVdReFsUdKA+/kvf8xH4jFKSYeKqahBSVOivhtcSBRXMop5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vhIDuDgIAAB0E&#10;AAAOAAAAAAAAAAAAAAAAAC4CAABkcnMvZTJvRG9jLnhtbFBLAQItABQABgAIAAAAIQD8pn6y2gAA&#10;AAMBAAAPAAAAAAAAAAAAAAAAAGgEAABkcnMvZG93bnJldi54bWxQSwUGAAAAAAQABADzAAAAbwUA&#10;AAAA&#10;" filled="f" stroked="f">
              <v:textbox style="mso-fit-shape-to-text:t" inset="0,15pt,0,0">
                <w:txbxContent>
                  <w:p w14:paraId="232880C7" w14:textId="63E11F2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723B50" w:rsidRPr="00AD3900">
      <w:rPr>
        <w:i/>
        <w:iCs/>
      </w:rPr>
      <w:t xml:space="preserve">Puccinia </w:t>
    </w:r>
    <w:proofErr w:type="spellStart"/>
    <w:r w:rsidR="00723B50" w:rsidRPr="00AD3900">
      <w:rPr>
        <w:i/>
        <w:iCs/>
      </w:rPr>
      <w:t>lantanae</w:t>
    </w:r>
    <w:proofErr w:type="spellEnd"/>
    <w:r w:rsidR="00723B50" w:rsidRPr="00723B50">
      <w:t xml:space="preserve"> draft risk analysis</w:t>
    </w:r>
    <w:bookmarkEnd w:id="10"/>
    <w:r w:rsidR="009D2A7D">
      <w:tab/>
    </w:r>
    <w:r w:rsidR="00AB0C2A">
      <w:t>Maps</w:t>
    </w:r>
    <w:r w:rsidR="007A502E">
      <w:t xml:space="preserve"> of Australia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CB3BD" w14:textId="350A4AF1" w:rsidR="008C75C3" w:rsidRDefault="008C75C3">
    <w:pPr>
      <w:pStyle w:val="Header"/>
    </w:pPr>
    <w:r>
      <w:rPr>
        <w:noProof/>
      </w:rPr>
      <mc:AlternateContent>
        <mc:Choice Requires="wps">
          <w:drawing>
            <wp:anchor distT="0" distB="0" distL="0" distR="0" simplePos="0" relativeHeight="251667456" behindDoc="0" locked="0" layoutInCell="1" allowOverlap="1" wp14:anchorId="66E9BDAA" wp14:editId="4F9D9083">
              <wp:simplePos x="635" y="635"/>
              <wp:positionH relativeFrom="page">
                <wp:align>center</wp:align>
              </wp:positionH>
              <wp:positionV relativeFrom="page">
                <wp:align>top</wp:align>
              </wp:positionV>
              <wp:extent cx="551815" cy="404495"/>
              <wp:effectExtent l="0" t="0" r="635" b="14605"/>
              <wp:wrapNone/>
              <wp:docPr id="63252579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3B4AF88" w14:textId="65BEBEC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9BDAA" id="_x0000_t202" coordsize="21600,21600" o:spt="202" path="m,l,21600r21600,l21600,xe">
              <v:stroke joinstyle="miter"/>
              <v:path gradientshapeok="t" o:connecttype="rect"/>
            </v:shapetype>
            <v:shape id="Text Box 10" o:spid="_x0000_s1048" type="#_x0000_t202" alt="OFFICIAL" style="position:absolute;left:0;text-align:left;margin-left:0;margin-top:0;width:43.45pt;height:31.8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DL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U7H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X0nwyw8CAAAd&#10;BAAADgAAAAAAAAAAAAAAAAAuAgAAZHJzL2Uyb0RvYy54bWxQSwECLQAUAAYACAAAACEA/KZ+stoA&#10;AAADAQAADwAAAAAAAAAAAAAAAABpBAAAZHJzL2Rvd25yZXYueG1sUEsFBgAAAAAEAAQA8wAAAHAF&#10;AAAAAA==&#10;" filled="f" stroked="f">
              <v:textbox style="mso-fit-shape-to-text:t" inset="0,15pt,0,0">
                <w:txbxContent>
                  <w:p w14:paraId="23B4AF88" w14:textId="65BEBECF"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B7214" w14:textId="5F571BA6" w:rsidR="008C75C3" w:rsidRDefault="008C75C3">
    <w:pPr>
      <w:pStyle w:val="Header"/>
    </w:pPr>
    <w:r>
      <w:rPr>
        <w:noProof/>
      </w:rPr>
      <mc:AlternateContent>
        <mc:Choice Requires="wps">
          <w:drawing>
            <wp:anchor distT="0" distB="0" distL="0" distR="0" simplePos="0" relativeHeight="251671552" behindDoc="0" locked="0" layoutInCell="1" allowOverlap="1" wp14:anchorId="2BCC973B" wp14:editId="2463072B">
              <wp:simplePos x="635" y="635"/>
              <wp:positionH relativeFrom="page">
                <wp:align>center</wp:align>
              </wp:positionH>
              <wp:positionV relativeFrom="page">
                <wp:align>top</wp:align>
              </wp:positionV>
              <wp:extent cx="551815" cy="404495"/>
              <wp:effectExtent l="0" t="0" r="635" b="14605"/>
              <wp:wrapNone/>
              <wp:docPr id="823666215"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DAB772" w14:textId="3ABC524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CC973B" id="_x0000_t202" coordsize="21600,21600" o:spt="202" path="m,l,21600r21600,l21600,xe">
              <v:stroke joinstyle="miter"/>
              <v:path gradientshapeok="t" o:connecttype="rect"/>
            </v:shapetype>
            <v:shape id="Text Box 14" o:spid="_x0000_s1050" type="#_x0000_t202" alt="OFFICIAL" style="position:absolute;left:0;text-align:left;margin-left:0;margin-top:0;width:43.45pt;height:31.8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9G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c7G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McpfRg8CAAAd&#10;BAAADgAAAAAAAAAAAAAAAAAuAgAAZHJzL2Uyb0RvYy54bWxQSwECLQAUAAYACAAAACEA/KZ+stoA&#10;AAADAQAADwAAAAAAAAAAAAAAAABpBAAAZHJzL2Rvd25yZXYueG1sUEsFBgAAAAAEAAQA8wAAAHAF&#10;AAAAAA==&#10;" filled="f" stroked="f">
              <v:textbox style="mso-fit-shape-to-text:t" inset="0,15pt,0,0">
                <w:txbxContent>
                  <w:p w14:paraId="2DDAB772" w14:textId="3ABC524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7B30" w14:textId="177B8A23" w:rsidR="009D2A7D" w:rsidRDefault="008C75C3">
    <w:pPr>
      <w:pStyle w:val="Header"/>
      <w:tabs>
        <w:tab w:val="clear" w:pos="4820"/>
        <w:tab w:val="center" w:pos="8505"/>
      </w:tabs>
      <w:jc w:val="left"/>
    </w:pPr>
    <w:r>
      <w:rPr>
        <w:i/>
        <w:iCs/>
        <w:noProof/>
      </w:rPr>
      <mc:AlternateContent>
        <mc:Choice Requires="wps">
          <w:drawing>
            <wp:anchor distT="0" distB="0" distL="0" distR="0" simplePos="0" relativeHeight="251672576" behindDoc="0" locked="0" layoutInCell="1" allowOverlap="1" wp14:anchorId="23003649" wp14:editId="0F26EA6C">
              <wp:simplePos x="635" y="635"/>
              <wp:positionH relativeFrom="page">
                <wp:align>center</wp:align>
              </wp:positionH>
              <wp:positionV relativeFrom="page">
                <wp:align>top</wp:align>
              </wp:positionV>
              <wp:extent cx="551815" cy="404495"/>
              <wp:effectExtent l="0" t="0" r="635" b="14605"/>
              <wp:wrapNone/>
              <wp:docPr id="1800861506"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245DFE0" w14:textId="5DAA84EA"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003649" id="_x0000_t202" coordsize="21600,21600" o:spt="202" path="m,l,21600r21600,l21600,xe">
              <v:stroke joinstyle="miter"/>
              <v:path gradientshapeok="t" o:connecttype="rect"/>
            </v:shapetype>
            <v:shape id="Text Box 15" o:spid="_x0000_s1051" type="#_x0000_t202" alt="OFFICIAL" style="position:absolute;margin-left:0;margin-top:0;width:43.45pt;height:31.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x17XsNAgAAHQQA&#10;AA4AAAAAAAAAAAAAAAAALgIAAGRycy9lMm9Eb2MueG1sUEsBAi0AFAAGAAgAAAAhAPymfrLaAAAA&#10;AwEAAA8AAAAAAAAAAAAAAAAAZwQAAGRycy9kb3ducmV2LnhtbFBLBQYAAAAABAAEAPMAAABuBQAA&#10;AAA=&#10;" filled="f" stroked="f">
              <v:textbox style="mso-fit-shape-to-text:t" inset="0,15pt,0,0">
                <w:txbxContent>
                  <w:p w14:paraId="5245DFE0" w14:textId="5DAA84EA"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81444F" w:rsidRPr="00AD3900">
      <w:rPr>
        <w:i/>
        <w:iCs/>
      </w:rPr>
      <w:t xml:space="preserve">Puccinia </w:t>
    </w:r>
    <w:proofErr w:type="spellStart"/>
    <w:r w:rsidR="0081444F" w:rsidRPr="00AD3900">
      <w:rPr>
        <w:i/>
        <w:iCs/>
      </w:rPr>
      <w:t>lantanae</w:t>
    </w:r>
    <w:proofErr w:type="spellEnd"/>
    <w:r w:rsidR="0081444F" w:rsidRPr="00723B50">
      <w:t xml:space="preserve"> draft risk analysis</w:t>
    </w:r>
    <w:r w:rsidR="009D2A7D">
      <w:tab/>
      <w:t>Summary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78B30" w14:textId="262C0A89" w:rsidR="008C75C3" w:rsidRDefault="008C75C3">
    <w:pPr>
      <w:pStyle w:val="Header"/>
    </w:pPr>
    <w:r>
      <w:rPr>
        <w:noProof/>
      </w:rPr>
      <mc:AlternateContent>
        <mc:Choice Requires="wps">
          <w:drawing>
            <wp:anchor distT="0" distB="0" distL="0" distR="0" simplePos="0" relativeHeight="251670528" behindDoc="0" locked="0" layoutInCell="1" allowOverlap="1" wp14:anchorId="029CE6B1" wp14:editId="0A7704D9">
              <wp:simplePos x="635" y="635"/>
              <wp:positionH relativeFrom="page">
                <wp:align>center</wp:align>
              </wp:positionH>
              <wp:positionV relativeFrom="page">
                <wp:align>top</wp:align>
              </wp:positionV>
              <wp:extent cx="551815" cy="404495"/>
              <wp:effectExtent l="0" t="0" r="635" b="14605"/>
              <wp:wrapNone/>
              <wp:docPr id="1804384760"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935661" w14:textId="5565C0E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9CE6B1" id="_x0000_t202" coordsize="21600,21600" o:spt="202" path="m,l,21600r21600,l21600,xe">
              <v:stroke joinstyle="miter"/>
              <v:path gradientshapeok="t" o:connecttype="rect"/>
            </v:shapetype>
            <v:shape id="Text Box 13" o:spid="_x0000_s1054" type="#_x0000_t202" alt="OFFICIAL" style="position:absolute;left:0;text-align:left;margin-left:0;margin-top:0;width:43.45pt;height:31.8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rMpxhg8CAAAd&#10;BAAADgAAAAAAAAAAAAAAAAAuAgAAZHJzL2Uyb0RvYy54bWxQSwECLQAUAAYACAAAACEA/KZ+stoA&#10;AAADAQAADwAAAAAAAAAAAAAAAABpBAAAZHJzL2Rvd25yZXYueG1sUEsFBgAAAAAEAAQA8wAAAHAF&#10;AAAAAA==&#10;" filled="f" stroked="f">
              <v:textbox style="mso-fit-shape-to-text:t" inset="0,15pt,0,0">
                <w:txbxContent>
                  <w:p w14:paraId="5E935661" w14:textId="5565C0E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9F594" w14:textId="61B6E299" w:rsidR="008C75C3" w:rsidRDefault="008C75C3">
    <w:pPr>
      <w:pStyle w:val="Header"/>
    </w:pPr>
    <w:r>
      <w:rPr>
        <w:noProof/>
      </w:rPr>
      <mc:AlternateContent>
        <mc:Choice Requires="wps">
          <w:drawing>
            <wp:anchor distT="0" distB="0" distL="0" distR="0" simplePos="0" relativeHeight="251674624" behindDoc="0" locked="0" layoutInCell="1" allowOverlap="1" wp14:anchorId="401FE970" wp14:editId="498CE1AE">
              <wp:simplePos x="635" y="635"/>
              <wp:positionH relativeFrom="page">
                <wp:align>center</wp:align>
              </wp:positionH>
              <wp:positionV relativeFrom="page">
                <wp:align>top</wp:align>
              </wp:positionV>
              <wp:extent cx="551815" cy="404495"/>
              <wp:effectExtent l="0" t="0" r="635" b="14605"/>
              <wp:wrapNone/>
              <wp:docPr id="207848954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BD28868" w14:textId="16C7D05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1FE970" id="_x0000_t202" coordsize="21600,21600" o:spt="202" path="m,l,21600r21600,l21600,xe">
              <v:stroke joinstyle="miter"/>
              <v:path gradientshapeok="t" o:connecttype="rect"/>
            </v:shapetype>
            <v:shape id="Text Box 17" o:spid="_x0000_s1056" type="#_x0000_t202" alt="OFFICIAL" style="position:absolute;left:0;text-align:left;margin-left:0;margin-top:0;width:43.45pt;height:31.8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fmKuDDgIAAB0E&#10;AAAOAAAAAAAAAAAAAAAAAC4CAABkcnMvZTJvRG9jLnhtbFBLAQItABQABgAIAAAAIQD8pn6y2gAA&#10;AAMBAAAPAAAAAAAAAAAAAAAAAGgEAABkcnMvZG93bnJldi54bWxQSwUGAAAAAAQABADzAAAAbwUA&#10;AAAA&#10;" filled="f" stroked="f">
              <v:textbox style="mso-fit-shape-to-text:t" inset="0,15pt,0,0">
                <w:txbxContent>
                  <w:p w14:paraId="3BD28868" w14:textId="16C7D05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1D6C" w14:textId="52A582EA" w:rsidR="009D2A7D" w:rsidRDefault="008C75C3">
    <w:pPr>
      <w:pStyle w:val="Header"/>
      <w:tabs>
        <w:tab w:val="clear" w:pos="4820"/>
        <w:tab w:val="center" w:pos="8505"/>
      </w:tabs>
      <w:jc w:val="left"/>
    </w:pPr>
    <w:r>
      <w:rPr>
        <w:i/>
        <w:iCs/>
        <w:noProof/>
      </w:rPr>
      <mc:AlternateContent>
        <mc:Choice Requires="wps">
          <w:drawing>
            <wp:anchor distT="0" distB="0" distL="0" distR="0" simplePos="0" relativeHeight="251675648" behindDoc="0" locked="0" layoutInCell="1" allowOverlap="1" wp14:anchorId="09EBCE1C" wp14:editId="437DF40D">
              <wp:simplePos x="635" y="635"/>
              <wp:positionH relativeFrom="page">
                <wp:align>center</wp:align>
              </wp:positionH>
              <wp:positionV relativeFrom="page">
                <wp:align>top</wp:align>
              </wp:positionV>
              <wp:extent cx="551815" cy="404495"/>
              <wp:effectExtent l="0" t="0" r="635" b="14605"/>
              <wp:wrapNone/>
              <wp:docPr id="1379173773"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2D773C" w14:textId="1C44129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EBCE1C" id="_x0000_t202" coordsize="21600,21600" o:spt="202" path="m,l,21600r21600,l21600,xe">
              <v:stroke joinstyle="miter"/>
              <v:path gradientshapeok="t" o:connecttype="rect"/>
            </v:shapetype>
            <v:shape id="Text Box 18" o:spid="_x0000_s1057" type="#_x0000_t202" alt="OFFICIAL" style="position:absolute;margin-left:0;margin-top:0;width:43.45pt;height:31.8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m+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dz+1uojziVg2Hh3vJVi7XXzIcn5nDDOAiq&#10;NjziIRV0FYWTRUkD7vdH/piPxGOUkg4VU1GDkqZE/TS4kCiuZBQ3+SzHmxvd29Ewe30HqMMCn4Tl&#10;yYx5QY2mdKBfUM/LWAhDzHAsV9EwmndhkC6+By6Wy5SEOrIsrM3G8ggd+YpkPvcvzNkT4wFX9QCj&#10;nFj5hvghN/7p7XIfkP60lcjtQOSJctRg2uvpvUSRv76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yJxm+DgIAAB0E&#10;AAAOAAAAAAAAAAAAAAAAAC4CAABkcnMvZTJvRG9jLnhtbFBLAQItABQABgAIAAAAIQD8pn6y2gAA&#10;AAMBAAAPAAAAAAAAAAAAAAAAAGgEAABkcnMvZG93bnJldi54bWxQSwUGAAAAAAQABADzAAAAbwUA&#10;AAAA&#10;" filled="f" stroked="f">
              <v:textbox style="mso-fit-shape-to-text:t" inset="0,15pt,0,0">
                <w:txbxContent>
                  <w:p w14:paraId="652D773C" w14:textId="1C44129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81444F" w:rsidRPr="00AD3900">
      <w:rPr>
        <w:i/>
        <w:iCs/>
      </w:rPr>
      <w:t xml:space="preserve">Puccinia </w:t>
    </w:r>
    <w:proofErr w:type="spellStart"/>
    <w:r w:rsidR="0081444F" w:rsidRPr="00AD3900">
      <w:rPr>
        <w:i/>
        <w:iCs/>
      </w:rPr>
      <w:t>lantanae</w:t>
    </w:r>
    <w:proofErr w:type="spellEnd"/>
    <w:r w:rsidR="0081444F" w:rsidRPr="00723B50">
      <w:t xml:space="preserve"> draft risk analysis</w:t>
    </w:r>
    <w:r w:rsidR="009D2A7D">
      <w:tab/>
      <w:t>Introduction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B79C1" w14:textId="35970D55" w:rsidR="008C75C3" w:rsidRDefault="008C75C3">
    <w:pPr>
      <w:pStyle w:val="Header"/>
    </w:pPr>
    <w:r>
      <w:rPr>
        <w:noProof/>
      </w:rPr>
      <mc:AlternateContent>
        <mc:Choice Requires="wps">
          <w:drawing>
            <wp:anchor distT="0" distB="0" distL="0" distR="0" simplePos="0" relativeHeight="251673600" behindDoc="0" locked="0" layoutInCell="1" allowOverlap="1" wp14:anchorId="7EE7454D" wp14:editId="1D13B790">
              <wp:simplePos x="635" y="635"/>
              <wp:positionH relativeFrom="page">
                <wp:align>center</wp:align>
              </wp:positionH>
              <wp:positionV relativeFrom="page">
                <wp:align>top</wp:align>
              </wp:positionV>
              <wp:extent cx="551815" cy="404495"/>
              <wp:effectExtent l="0" t="0" r="635" b="14605"/>
              <wp:wrapNone/>
              <wp:docPr id="212598687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134DDE2" w14:textId="3430E5A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E7454D" id="_x0000_t202" coordsize="21600,21600" o:spt="202" path="m,l,21600r21600,l21600,xe">
              <v:stroke joinstyle="miter"/>
              <v:path gradientshapeok="t" o:connecttype="rect"/>
            </v:shapetype>
            <v:shape id="Text Box 16" o:spid="_x0000_s1060" type="#_x0000_t202" alt="OFFICIAL" style="position:absolute;left:0;text-align:left;margin-left:0;margin-top:0;width:43.45pt;height:31.8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F1Dw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fp2P4W6iNO5WBYuLd81WLtNfPhiTncMA6C&#10;qg2PeEgFXUXhZFHSgPv9kT/mI/EYpaRDxVTUoKQpUT8NLiSKKxnFTT7L8eZG93Y0zF7fAeqwwCdh&#10;eTJjXlCjKR3oF9TzMhbCEDMcy1U0jOZdGKSL74GL5TIloY4sC2uzsTxCR74imc/9C3P2xHjAVT3A&#10;KCdWviF+yI1/ervcB6Q/bSVyOxB5ohw1mPZ6ei9R5K/vKevyqhd/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a2VhdQ8CAAAd&#10;BAAADgAAAAAAAAAAAAAAAAAuAgAAZHJzL2Uyb0RvYy54bWxQSwECLQAUAAYACAAAACEA/KZ+stoA&#10;AAADAQAADwAAAAAAAAAAAAAAAABpBAAAZHJzL2Rvd25yZXYueG1sUEsFBgAAAAAEAAQA8wAAAHAF&#10;AAAAAA==&#10;" filled="f" stroked="f">
              <v:textbox style="mso-fit-shape-to-text:t" inset="0,15pt,0,0">
                <w:txbxContent>
                  <w:p w14:paraId="1134DDE2" w14:textId="3430E5AB"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560DC" w14:textId="6FC4AE72" w:rsidR="008C75C3" w:rsidRDefault="008C75C3">
    <w:pPr>
      <w:pStyle w:val="Header"/>
    </w:pPr>
    <w:r>
      <w:rPr>
        <w:noProof/>
      </w:rPr>
      <mc:AlternateContent>
        <mc:Choice Requires="wps">
          <w:drawing>
            <wp:anchor distT="0" distB="0" distL="0" distR="0" simplePos="0" relativeHeight="251677696" behindDoc="0" locked="0" layoutInCell="1" allowOverlap="1" wp14:anchorId="67654BF4" wp14:editId="461B3F68">
              <wp:simplePos x="635" y="635"/>
              <wp:positionH relativeFrom="page">
                <wp:align>center</wp:align>
              </wp:positionH>
              <wp:positionV relativeFrom="page">
                <wp:align>top</wp:align>
              </wp:positionV>
              <wp:extent cx="551815" cy="404495"/>
              <wp:effectExtent l="0" t="0" r="635" b="14605"/>
              <wp:wrapNone/>
              <wp:docPr id="1079367495"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6FC38B" w14:textId="3DAD8DF4"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654BF4" id="_x0000_t202" coordsize="21600,21600" o:spt="202" path="m,l,21600r21600,l21600,xe">
              <v:stroke joinstyle="miter"/>
              <v:path gradientshapeok="t" o:connecttype="rect"/>
            </v:shapetype>
            <v:shape id="Text Box 20" o:spid="_x0000_s1062" type="#_x0000_t202" alt="OFFICIAL" style="position:absolute;left:0;text-align:left;margin-left:0;margin-top:0;width:43.45pt;height:31.8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sRsEDg8CAAAd&#10;BAAADgAAAAAAAAAAAAAAAAAuAgAAZHJzL2Uyb0RvYy54bWxQSwECLQAUAAYACAAAACEA/KZ+stoA&#10;AAADAQAADwAAAAAAAAAAAAAAAABpBAAAZHJzL2Rvd25yZXYueG1sUEsFBgAAAAAEAAQA8wAAAHAF&#10;AAAAAA==&#10;" filled="f" stroked="f">
              <v:textbox style="mso-fit-shape-to-text:t" inset="0,15pt,0,0">
                <w:txbxContent>
                  <w:p w14:paraId="3F6FC38B" w14:textId="3DAD8DF4"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35DE" w14:textId="287E13D6" w:rsidR="009D2A7D" w:rsidRDefault="008C75C3">
    <w:pPr>
      <w:pStyle w:val="Header"/>
      <w:tabs>
        <w:tab w:val="clear" w:pos="4820"/>
        <w:tab w:val="center" w:pos="8505"/>
      </w:tabs>
      <w:jc w:val="left"/>
    </w:pPr>
    <w:r>
      <w:rPr>
        <w:noProof/>
      </w:rPr>
      <mc:AlternateContent>
        <mc:Choice Requires="wps">
          <w:drawing>
            <wp:anchor distT="0" distB="0" distL="0" distR="0" simplePos="0" relativeHeight="251660288" behindDoc="0" locked="0" layoutInCell="1" allowOverlap="1" wp14:anchorId="07CBBFEE" wp14:editId="60ECF04F">
              <wp:simplePos x="904875" y="361950"/>
              <wp:positionH relativeFrom="page">
                <wp:align>center</wp:align>
              </wp:positionH>
              <wp:positionV relativeFrom="page">
                <wp:align>top</wp:align>
              </wp:positionV>
              <wp:extent cx="551815" cy="404495"/>
              <wp:effectExtent l="0" t="0" r="635" b="14605"/>
              <wp:wrapNone/>
              <wp:docPr id="9178267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141BE06" w14:textId="2223B27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CBBFEE"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1141BE06" w14:textId="2223B27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A37233">
      <w:rPr>
        <w:noProof/>
      </w:rPr>
      <w:drawing>
        <wp:inline distT="0" distB="0" distL="0" distR="0" wp14:anchorId="771C6955" wp14:editId="779ECA02">
          <wp:extent cx="2121535" cy="6216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535" cy="621665"/>
                  </a:xfrm>
                  <a:prstGeom prst="rect">
                    <a:avLst/>
                  </a:prstGeom>
                  <a:noFill/>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4F8EA" w14:textId="329C2406" w:rsidR="009D2A7D" w:rsidRDefault="008C75C3">
    <w:pPr>
      <w:pStyle w:val="Header"/>
      <w:tabs>
        <w:tab w:val="clear" w:pos="4820"/>
        <w:tab w:val="center" w:pos="8505"/>
        <w:tab w:val="center" w:pos="13041"/>
      </w:tabs>
      <w:jc w:val="left"/>
    </w:pPr>
    <w:r>
      <w:rPr>
        <w:i/>
        <w:iCs/>
        <w:noProof/>
      </w:rPr>
      <mc:AlternateContent>
        <mc:Choice Requires="wps">
          <w:drawing>
            <wp:anchor distT="0" distB="0" distL="0" distR="0" simplePos="0" relativeHeight="251678720" behindDoc="0" locked="0" layoutInCell="1" allowOverlap="1" wp14:anchorId="4FF25A57" wp14:editId="0E301CFC">
              <wp:simplePos x="635" y="635"/>
              <wp:positionH relativeFrom="page">
                <wp:align>center</wp:align>
              </wp:positionH>
              <wp:positionV relativeFrom="page">
                <wp:align>top</wp:align>
              </wp:positionV>
              <wp:extent cx="551815" cy="404495"/>
              <wp:effectExtent l="0" t="0" r="635" b="14605"/>
              <wp:wrapNone/>
              <wp:docPr id="676321127"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C8DAA77" w14:textId="01D14FF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F25A57" id="_x0000_t202" coordsize="21600,21600" o:spt="202" path="m,l,21600r21600,l21600,xe">
              <v:stroke joinstyle="miter"/>
              <v:path gradientshapeok="t" o:connecttype="rect"/>
            </v:shapetype>
            <v:shape id="Text Box 21" o:spid="_x0000_s1063" type="#_x0000_t202" alt="OFFICIAL" style="position:absolute;margin-left:0;margin-top:0;width:43.45pt;height:31.8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3KS2Mw8CAAAd&#10;BAAADgAAAAAAAAAAAAAAAAAuAgAAZHJzL2Uyb0RvYy54bWxQSwECLQAUAAYACAAAACEA/KZ+stoA&#10;AAADAQAADwAAAAAAAAAAAAAAAABpBAAAZHJzL2Rvd25yZXYueG1sUEsFBgAAAAAEAAQA8wAAAHAF&#10;AAAAAA==&#10;" filled="f" stroked="f">
              <v:textbox style="mso-fit-shape-to-text:t" inset="0,15pt,0,0">
                <w:txbxContent>
                  <w:p w14:paraId="1C8DAA77" w14:textId="01D14FF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81444F" w:rsidRPr="00AD3900">
      <w:rPr>
        <w:i/>
        <w:iCs/>
      </w:rPr>
      <w:t xml:space="preserve">Puccinia </w:t>
    </w:r>
    <w:proofErr w:type="spellStart"/>
    <w:r w:rsidR="0081444F" w:rsidRPr="00AD3900">
      <w:rPr>
        <w:i/>
        <w:iCs/>
      </w:rPr>
      <w:t>lantanae</w:t>
    </w:r>
    <w:proofErr w:type="spellEnd"/>
    <w:r w:rsidR="0081444F" w:rsidRPr="00723B50">
      <w:t xml:space="preserve"> draft risk analysis</w:t>
    </w:r>
    <w:r w:rsidR="009D2A7D">
      <w:tab/>
      <w:t>Method &amp; assessment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FCA4A" w14:textId="092ABE95" w:rsidR="008C75C3" w:rsidRDefault="008C75C3">
    <w:pPr>
      <w:pStyle w:val="Header"/>
    </w:pPr>
    <w:r>
      <w:rPr>
        <w:noProof/>
      </w:rPr>
      <mc:AlternateContent>
        <mc:Choice Requires="wps">
          <w:drawing>
            <wp:anchor distT="0" distB="0" distL="0" distR="0" simplePos="0" relativeHeight="251676672" behindDoc="0" locked="0" layoutInCell="1" allowOverlap="1" wp14:anchorId="47DE0F54" wp14:editId="151290DF">
              <wp:simplePos x="635" y="635"/>
              <wp:positionH relativeFrom="page">
                <wp:align>center</wp:align>
              </wp:positionH>
              <wp:positionV relativeFrom="page">
                <wp:align>top</wp:align>
              </wp:positionV>
              <wp:extent cx="551815" cy="404495"/>
              <wp:effectExtent l="0" t="0" r="635" b="14605"/>
              <wp:wrapNone/>
              <wp:docPr id="1209917531"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EC0CC4A" w14:textId="456A20BA"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DE0F54" id="_x0000_t202" coordsize="21600,21600" o:spt="202" path="m,l,21600r21600,l21600,xe">
              <v:stroke joinstyle="miter"/>
              <v:path gradientshapeok="t" o:connecttype="rect"/>
            </v:shapetype>
            <v:shape id="Text Box 19" o:spid="_x0000_s1066" type="#_x0000_t202" alt="OFFICIAL" style="position:absolute;left:0;text-align:left;margin-left:0;margin-top:0;width:43.45pt;height:31.8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IaDQ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aOxaf291CfcSoHw8K95ZsWa2+ZDy/M4YZxEFRt&#10;eMZDKugqCqNFSQPux9/8MR+JxyglHSqmogYlTYn6ZnAhUVzJKO7yRY43N7n3k2GO+gFQhwU+CcuT&#10;GfOCmkzpQL+hntexEIaY4ViuomEyH8IgXXwPXKzXKQl1ZFnYmp3lETryFcl87d+YsyPjAVf1BJOc&#10;WPmO+CE3/unt+hiQ/rSVyO1A5Eg5ajDtdXwvUeS/3lPW9VW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nUEhoNAgAAHQQA&#10;AA4AAAAAAAAAAAAAAAAALgIAAGRycy9lMm9Eb2MueG1sUEsBAi0AFAAGAAgAAAAhAPymfrLaAAAA&#10;AwEAAA8AAAAAAAAAAAAAAAAAZwQAAGRycy9kb3ducmV2LnhtbFBLBQYAAAAABAAEAPMAAABuBQAA&#10;AAA=&#10;" filled="f" stroked="f">
              <v:textbox style="mso-fit-shape-to-text:t" inset="0,15pt,0,0">
                <w:txbxContent>
                  <w:p w14:paraId="7EC0CC4A" w14:textId="456A20BA"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7F61" w14:textId="451D059B" w:rsidR="008C75C3" w:rsidRDefault="008C75C3">
    <w:pPr>
      <w:pStyle w:val="Header"/>
    </w:pPr>
    <w:r>
      <w:rPr>
        <w:noProof/>
      </w:rPr>
      <mc:AlternateContent>
        <mc:Choice Requires="wps">
          <w:drawing>
            <wp:anchor distT="0" distB="0" distL="0" distR="0" simplePos="0" relativeHeight="251680768" behindDoc="0" locked="0" layoutInCell="1" allowOverlap="1" wp14:anchorId="056CE946" wp14:editId="06AEE2A8">
              <wp:simplePos x="635" y="635"/>
              <wp:positionH relativeFrom="page">
                <wp:align>center</wp:align>
              </wp:positionH>
              <wp:positionV relativeFrom="page">
                <wp:align>top</wp:align>
              </wp:positionV>
              <wp:extent cx="551815" cy="404495"/>
              <wp:effectExtent l="0" t="0" r="635" b="14605"/>
              <wp:wrapNone/>
              <wp:docPr id="1669384154"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0AA07E" w14:textId="12BBF20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6CE946" id="_x0000_t202" coordsize="21600,21600" o:spt="202" path="m,l,21600r21600,l21600,xe">
              <v:stroke joinstyle="miter"/>
              <v:path gradientshapeok="t" o:connecttype="rect"/>
            </v:shapetype>
            <v:shape id="Text Box 23" o:spid="_x0000_s1068" type="#_x0000_t202" alt="OFFICIAL" style="position:absolute;left:0;text-align:left;margin-left:0;margin-top:0;width:43.45pt;height:31.8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dh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ZYfDq2v4P6hFM5GBbuLV+3WHvDfHhhDjeMg6Bq&#10;wzMeUkFXUThblDTgfv7LH/OReIxS0qFiKmpQ0pSo7wYXEsWVjOI2n+d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DqndhDgIAAB0E&#10;AAAOAAAAAAAAAAAAAAAAAC4CAABkcnMvZTJvRG9jLnhtbFBLAQItABQABgAIAAAAIQD8pn6y2gAA&#10;AAMBAAAPAAAAAAAAAAAAAAAAAGgEAABkcnMvZG93bnJldi54bWxQSwUGAAAAAAQABADzAAAAbwUA&#10;AAAA&#10;" filled="f" stroked="f">
              <v:textbox style="mso-fit-shape-to-text:t" inset="0,15pt,0,0">
                <w:txbxContent>
                  <w:p w14:paraId="600AA07E" w14:textId="12BBF20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FB3E3" w14:textId="2B1ECBEE" w:rsidR="009D2A7D" w:rsidRDefault="008C75C3">
    <w:pPr>
      <w:pStyle w:val="Header"/>
      <w:tabs>
        <w:tab w:val="clear" w:pos="4820"/>
        <w:tab w:val="center" w:pos="8505"/>
        <w:tab w:val="center" w:pos="13041"/>
      </w:tabs>
      <w:jc w:val="left"/>
    </w:pPr>
    <w:r>
      <w:rPr>
        <w:i/>
        <w:iCs/>
        <w:noProof/>
      </w:rPr>
      <mc:AlternateContent>
        <mc:Choice Requires="wps">
          <w:drawing>
            <wp:anchor distT="0" distB="0" distL="0" distR="0" simplePos="0" relativeHeight="251681792" behindDoc="0" locked="0" layoutInCell="1" allowOverlap="1" wp14:anchorId="22DADD78" wp14:editId="125144EA">
              <wp:simplePos x="635" y="635"/>
              <wp:positionH relativeFrom="page">
                <wp:align>center</wp:align>
              </wp:positionH>
              <wp:positionV relativeFrom="page">
                <wp:align>top</wp:align>
              </wp:positionV>
              <wp:extent cx="551815" cy="404495"/>
              <wp:effectExtent l="0" t="0" r="635" b="14605"/>
              <wp:wrapNone/>
              <wp:docPr id="559657519"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3F5C80E" w14:textId="7708996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DADD78" id="_x0000_t202" coordsize="21600,21600" o:spt="202" path="m,l,21600r21600,l21600,xe">
              <v:stroke joinstyle="miter"/>
              <v:path gradientshapeok="t" o:connecttype="rect"/>
            </v:shapetype>
            <v:shape id="Text Box 24" o:spid="_x0000_s1069" type="#_x0000_t202" alt="OFFICIAL" style="position:absolute;margin-left:0;margin-top:0;width:43.45pt;height:31.8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Vc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4l/H9rdQH3EqB8PCveWrFmuvmQ9PzOGGcRBU&#10;bXjEQyroKgoni5IG3O+P/DEficcoJR0qpqIGJU2J+mlwIVFcyShu8lmONze6t6Nh9voOUIcFPgnL&#10;kxnzghpN6UC/oJ6XsRCGmOFYrqJhNO/CIF18D1wslykJdWRZWJuN5RE68hXJfO5fmLMnxgOu6gFG&#10;ObHyDfFDbvzT2+U+IP1pK5HbgcgT5ajBtNfTe4kif31PWZdXvfgD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uFcVcDgIAAB0E&#10;AAAOAAAAAAAAAAAAAAAAAC4CAABkcnMvZTJvRG9jLnhtbFBLAQItABQABgAIAAAAIQD8pn6y2gAA&#10;AAMBAAAPAAAAAAAAAAAAAAAAAGgEAABkcnMvZG93bnJldi54bWxQSwUGAAAAAAQABADzAAAAbwUA&#10;AAAA&#10;" filled="f" stroked="f">
              <v:textbox style="mso-fit-shape-to-text:t" inset="0,15pt,0,0">
                <w:txbxContent>
                  <w:p w14:paraId="33F5C80E" w14:textId="7708996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81444F" w:rsidRPr="00AD3900">
      <w:rPr>
        <w:i/>
        <w:iCs/>
      </w:rPr>
      <w:t xml:space="preserve">Puccinia </w:t>
    </w:r>
    <w:proofErr w:type="spellStart"/>
    <w:r w:rsidR="0081444F" w:rsidRPr="00AD3900">
      <w:rPr>
        <w:i/>
        <w:iCs/>
      </w:rPr>
      <w:t>lantanae</w:t>
    </w:r>
    <w:proofErr w:type="spellEnd"/>
    <w:r w:rsidR="0081444F" w:rsidRPr="00723B50">
      <w:t xml:space="preserve"> draft risk analysis</w:t>
    </w:r>
    <w:r w:rsidR="009D2A7D">
      <w:tab/>
      <w:t>Conclusion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98A63" w14:textId="3FB373E6" w:rsidR="008C75C3" w:rsidRDefault="008C75C3">
    <w:pPr>
      <w:pStyle w:val="Header"/>
    </w:pPr>
    <w:r>
      <w:rPr>
        <w:noProof/>
      </w:rPr>
      <mc:AlternateContent>
        <mc:Choice Requires="wps">
          <w:drawing>
            <wp:anchor distT="0" distB="0" distL="0" distR="0" simplePos="0" relativeHeight="251679744" behindDoc="0" locked="0" layoutInCell="1" allowOverlap="1" wp14:anchorId="62720EA7" wp14:editId="517BF877">
              <wp:simplePos x="635" y="635"/>
              <wp:positionH relativeFrom="page">
                <wp:align>center</wp:align>
              </wp:positionH>
              <wp:positionV relativeFrom="page">
                <wp:align>top</wp:align>
              </wp:positionV>
              <wp:extent cx="551815" cy="404495"/>
              <wp:effectExtent l="0" t="0" r="635" b="14605"/>
              <wp:wrapNone/>
              <wp:docPr id="1063127091"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FF4E337" w14:textId="40BD7E3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720EA7" id="_x0000_t202" coordsize="21600,21600" o:spt="202" path="m,l,21600r21600,l21600,xe">
              <v:stroke joinstyle="miter"/>
              <v:path gradientshapeok="t" o:connecttype="rect"/>
            </v:shapetype>
            <v:shape id="Text Box 22" o:spid="_x0000_s1072" type="#_x0000_t202" alt="OFFICIAL" style="position:absolute;left:0;text-align:left;margin-left:0;margin-top:0;width:43.45pt;height:31.8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2X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8eux/S3UR5zKwbBwb/mqxdpr5sMzc7hhHARV&#10;G57wkAq6isLJoqQB9/szf8xH4jFKSYeKqahBSVOifhpcSBRXMorbfJbjzY3u7WiYvb4H1GGBT8Ly&#10;ZMa8oEZTOtCvqOdlLIQhZjiWq2gYzfswSBffAxfLZUpCHVkW1mZjeYSOfEUyX/pX5uyJ8YCreoRR&#10;Tqx8R/yQG//0drkPSH/aSuR2IPJEOWow7fX0XqLI395T1uVV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3V72XDgIAAB0E&#10;AAAOAAAAAAAAAAAAAAAAAC4CAABkcnMvZTJvRG9jLnhtbFBLAQItABQABgAIAAAAIQD8pn6y2gAA&#10;AAMBAAAPAAAAAAAAAAAAAAAAAGgEAABkcnMvZG93bnJldi54bWxQSwUGAAAAAAQABADzAAAAbwUA&#10;AAAA&#10;" filled="f" stroked="f">
              <v:textbox style="mso-fit-shape-to-text:t" inset="0,15pt,0,0">
                <w:txbxContent>
                  <w:p w14:paraId="0FF4E337" w14:textId="40BD7E30"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20BC0" w14:textId="23F850FA" w:rsidR="008C75C3" w:rsidRDefault="008C75C3">
    <w:pPr>
      <w:pStyle w:val="Header"/>
    </w:pPr>
    <w:r>
      <w:rPr>
        <w:noProof/>
      </w:rPr>
      <mc:AlternateContent>
        <mc:Choice Requires="wps">
          <w:drawing>
            <wp:anchor distT="0" distB="0" distL="0" distR="0" simplePos="0" relativeHeight="251683840" behindDoc="0" locked="0" layoutInCell="1" allowOverlap="1" wp14:anchorId="0847489C" wp14:editId="0E9FC02F">
              <wp:simplePos x="635" y="635"/>
              <wp:positionH relativeFrom="page">
                <wp:align>center</wp:align>
              </wp:positionH>
              <wp:positionV relativeFrom="page">
                <wp:align>top</wp:align>
              </wp:positionV>
              <wp:extent cx="551815" cy="404495"/>
              <wp:effectExtent l="0" t="0" r="635" b="14605"/>
              <wp:wrapNone/>
              <wp:docPr id="210144000"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B095D0" w14:textId="0C702A3A"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47489C" id="_x0000_t202" coordsize="21600,21600" o:spt="202" path="m,l,21600r21600,l21600,xe">
              <v:stroke joinstyle="miter"/>
              <v:path gradientshapeok="t" o:connecttype="rect"/>
            </v:shapetype>
            <v:shape id="Text Box 26" o:spid="_x0000_s1074" type="#_x0000_t202" alt="OFFICIAL" style="position:absolute;left:0;text-align:left;margin-left:0;margin-top:0;width:43.45pt;height:31.8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Ys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ZYfD62v4P6hFM5GBbuLV+3WHvDfHhhDjeMg6Bq&#10;wzMeUkFXUThblDTgfv7LH/OReIxS0qFiKmpQ0pSo7wYXEsWVjOI2n+V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wKfYsDgIAAB0E&#10;AAAOAAAAAAAAAAAAAAAAAC4CAABkcnMvZTJvRG9jLnhtbFBLAQItABQABgAIAAAAIQD8pn6y2gAA&#10;AAMBAAAPAAAAAAAAAAAAAAAAAGgEAABkcnMvZG93bnJldi54bWxQSwUGAAAAAAQABADzAAAAbwUA&#10;AAAA&#10;" filled="f" stroked="f">
              <v:textbox style="mso-fit-shape-to-text:t" inset="0,15pt,0,0">
                <w:txbxContent>
                  <w:p w14:paraId="37B095D0" w14:textId="0C702A3A"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9AEDF" w14:textId="57822374" w:rsidR="009D2A7D" w:rsidRDefault="008C75C3">
    <w:pPr>
      <w:pStyle w:val="Header"/>
      <w:tabs>
        <w:tab w:val="clear" w:pos="4820"/>
        <w:tab w:val="center" w:pos="8505"/>
        <w:tab w:val="center" w:pos="13041"/>
      </w:tabs>
      <w:jc w:val="left"/>
    </w:pPr>
    <w:r>
      <w:rPr>
        <w:i/>
        <w:iCs/>
        <w:noProof/>
      </w:rPr>
      <mc:AlternateContent>
        <mc:Choice Requires="wps">
          <w:drawing>
            <wp:anchor distT="0" distB="0" distL="0" distR="0" simplePos="0" relativeHeight="251684864" behindDoc="0" locked="0" layoutInCell="1" allowOverlap="1" wp14:anchorId="5F24F937" wp14:editId="604A9A2E">
              <wp:simplePos x="635" y="635"/>
              <wp:positionH relativeFrom="page">
                <wp:align>center</wp:align>
              </wp:positionH>
              <wp:positionV relativeFrom="page">
                <wp:align>top</wp:align>
              </wp:positionV>
              <wp:extent cx="551815" cy="404495"/>
              <wp:effectExtent l="0" t="0" r="635" b="14605"/>
              <wp:wrapNone/>
              <wp:docPr id="603539983"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5AF4BD5" w14:textId="40FD17D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24F937" id="_x0000_t202" coordsize="21600,21600" o:spt="202" path="m,l,21600r21600,l21600,xe">
              <v:stroke joinstyle="miter"/>
              <v:path gradientshapeok="t" o:connecttype="rect"/>
            </v:shapetype>
            <v:shape id="Text Box 27" o:spid="_x0000_s1075" type="#_x0000_t202" alt="OFFICIAL" style="position:absolute;margin-left:0;margin-top:0;width:43.45pt;height:31.8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QRDgIAAB0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2x+Hxsfwf1CadyMCzcW75usfaG+fDCHG4YB0HV&#10;hmc8pIKuonC2KGnA/fyXP+Yj8RilpEPFVNSgpClR3w0uJIorGcU8n+V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dlkQRDgIAAB0E&#10;AAAOAAAAAAAAAAAAAAAAAC4CAABkcnMvZTJvRG9jLnhtbFBLAQItABQABgAIAAAAIQD8pn6y2gAA&#10;AAMBAAAPAAAAAAAAAAAAAAAAAGgEAABkcnMvZG93bnJldi54bWxQSwUGAAAAAAQABADzAAAAbwUA&#10;AAAA&#10;" filled="f" stroked="f">
              <v:textbox style="mso-fit-shape-to-text:t" inset="0,15pt,0,0">
                <w:txbxContent>
                  <w:p w14:paraId="55AF4BD5" w14:textId="40FD17D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81444F" w:rsidRPr="00AD3900">
      <w:rPr>
        <w:i/>
        <w:iCs/>
      </w:rPr>
      <w:t xml:space="preserve">Puccinia </w:t>
    </w:r>
    <w:proofErr w:type="spellStart"/>
    <w:r w:rsidR="0081444F" w:rsidRPr="00AD3900">
      <w:rPr>
        <w:i/>
        <w:iCs/>
      </w:rPr>
      <w:t>lantanae</w:t>
    </w:r>
    <w:proofErr w:type="spellEnd"/>
    <w:r w:rsidR="0081444F" w:rsidRPr="00723B50">
      <w:t xml:space="preserve"> draft risk analysis</w:t>
    </w:r>
    <w:r w:rsidR="009D2A7D">
      <w:tab/>
      <w:t>Appendix 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0808" w14:textId="2B0EE76D" w:rsidR="008C75C3" w:rsidRDefault="008C75C3">
    <w:pPr>
      <w:pStyle w:val="Header"/>
    </w:pPr>
    <w:r>
      <w:rPr>
        <w:noProof/>
      </w:rPr>
      <mc:AlternateContent>
        <mc:Choice Requires="wps">
          <w:drawing>
            <wp:anchor distT="0" distB="0" distL="0" distR="0" simplePos="0" relativeHeight="251682816" behindDoc="0" locked="0" layoutInCell="1" allowOverlap="1" wp14:anchorId="75D0FD5D" wp14:editId="7E7CE162">
              <wp:simplePos x="635" y="635"/>
              <wp:positionH relativeFrom="page">
                <wp:align>center</wp:align>
              </wp:positionH>
              <wp:positionV relativeFrom="page">
                <wp:align>top</wp:align>
              </wp:positionV>
              <wp:extent cx="551815" cy="404495"/>
              <wp:effectExtent l="0" t="0" r="635" b="14605"/>
              <wp:wrapNone/>
              <wp:docPr id="639844490"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A9670EF" w14:textId="48773CB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D0FD5D" id="_x0000_t202" coordsize="21600,21600" o:spt="202" path="m,l,21600r21600,l21600,xe">
              <v:stroke joinstyle="miter"/>
              <v:path gradientshapeok="t" o:connecttype="rect"/>
            </v:shapetype>
            <v:shape id="Text Box 25" o:spid="_x0000_s1078" type="#_x0000_t202" alt="OFFICIAL" style="position:absolute;left:0;text-align:left;margin-left:0;margin-top:0;width:43.45pt;height:31.8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lS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yH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ZBUlSDgIAAB0E&#10;AAAOAAAAAAAAAAAAAAAAAC4CAABkcnMvZTJvRG9jLnhtbFBLAQItABQABgAIAAAAIQD8pn6y2gAA&#10;AAMBAAAPAAAAAAAAAAAAAAAAAGgEAABkcnMvZG93bnJldi54bWxQSwUGAAAAAAQABADzAAAAbwUA&#10;AAAA&#10;" filled="f" stroked="f">
              <v:textbox style="mso-fit-shape-to-text:t" inset="0,15pt,0,0">
                <w:txbxContent>
                  <w:p w14:paraId="0A9670EF" w14:textId="48773CB1"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5C93" w14:textId="61B79BEB" w:rsidR="008C75C3" w:rsidRDefault="008C75C3">
    <w:pPr>
      <w:pStyle w:val="Header"/>
    </w:pPr>
    <w:r>
      <w:rPr>
        <w:noProof/>
      </w:rPr>
      <mc:AlternateContent>
        <mc:Choice Requires="wps">
          <w:drawing>
            <wp:anchor distT="0" distB="0" distL="0" distR="0" simplePos="0" relativeHeight="251686912" behindDoc="0" locked="0" layoutInCell="1" allowOverlap="1" wp14:anchorId="5BE57663" wp14:editId="1DE02FC9">
              <wp:simplePos x="635" y="635"/>
              <wp:positionH relativeFrom="page">
                <wp:align>center</wp:align>
              </wp:positionH>
              <wp:positionV relativeFrom="page">
                <wp:align>top</wp:align>
              </wp:positionV>
              <wp:extent cx="551815" cy="404495"/>
              <wp:effectExtent l="0" t="0" r="635" b="14605"/>
              <wp:wrapNone/>
              <wp:docPr id="84295278"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99108AC" w14:textId="4C069A0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E57663" id="_x0000_t202" coordsize="21600,21600" o:spt="202" path="m,l,21600r21600,l21600,xe">
              <v:stroke joinstyle="miter"/>
              <v:path gradientshapeok="t" o:connecttype="rect"/>
            </v:shapetype>
            <v:shape id="Text Box 29" o:spid="_x0000_s1080" type="#_x0000_t202" alt="OFFICIAL" style="position:absolute;left:0;text-align:left;margin-left:0;margin-top:0;width:43.45pt;height:31.8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bfDg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RuZT+3uozziVg2Hh3vJNi7W3zIcX5nDDOAiq&#10;NjzjIRV0FYXRoqQB9+Nv/piPxGOUkg4VU1GDkqZEfTO4kCiuZBR3+SLHm5vc+8kwR/0AqMMCn4Tl&#10;yYx5QU2mdKDfUM/rWAhDzHAsV9EwmQ9hkC6+By7W65SEOrIsbM3O8ggd+YpkvvZvzNmR8YCreoJJ&#10;Tqx8R/yQG//0dn0MSH/aSuR2IHKkHDWY9jq+lyjyX+8p6/qqVz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3hubfDgIAAB0E&#10;AAAOAAAAAAAAAAAAAAAAAC4CAABkcnMvZTJvRG9jLnhtbFBLAQItABQABgAIAAAAIQD8pn6y2gAA&#10;AAMBAAAPAAAAAAAAAAAAAAAAAGgEAABkcnMvZG93bnJldi54bWxQSwUGAAAAAAQABADzAAAAbwUA&#10;AAAA&#10;" filled="f" stroked="f">
              <v:textbox style="mso-fit-shape-to-text:t" inset="0,15pt,0,0">
                <w:txbxContent>
                  <w:p w14:paraId="799108AC" w14:textId="4C069A0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AC9C" w14:textId="3697099C" w:rsidR="009D2A7D" w:rsidRDefault="008C75C3">
    <w:pPr>
      <w:pStyle w:val="Header"/>
      <w:tabs>
        <w:tab w:val="clear" w:pos="4820"/>
        <w:tab w:val="center" w:pos="8505"/>
        <w:tab w:val="center" w:pos="13041"/>
      </w:tabs>
      <w:jc w:val="left"/>
    </w:pPr>
    <w:r>
      <w:rPr>
        <w:i/>
        <w:iCs/>
        <w:noProof/>
      </w:rPr>
      <mc:AlternateContent>
        <mc:Choice Requires="wps">
          <w:drawing>
            <wp:anchor distT="0" distB="0" distL="0" distR="0" simplePos="0" relativeHeight="251687936" behindDoc="0" locked="0" layoutInCell="1" allowOverlap="1" wp14:anchorId="6D5AE366" wp14:editId="554691ED">
              <wp:simplePos x="635" y="635"/>
              <wp:positionH relativeFrom="page">
                <wp:align>center</wp:align>
              </wp:positionH>
              <wp:positionV relativeFrom="page">
                <wp:align>top</wp:align>
              </wp:positionV>
              <wp:extent cx="551815" cy="404495"/>
              <wp:effectExtent l="0" t="0" r="635" b="14605"/>
              <wp:wrapNone/>
              <wp:docPr id="1339717315"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9C8CB7E" w14:textId="273388B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5AE366" id="_x0000_t202" coordsize="21600,21600" o:spt="202" path="m,l,21600r21600,l21600,xe">
              <v:stroke joinstyle="miter"/>
              <v:path gradientshapeok="t" o:connecttype="rect"/>
            </v:shapetype>
            <v:shape id="Text Box 30" o:spid="_x0000_s1081" type="#_x0000_t202" alt="OFFICIAL" style="position:absolute;margin-left:0;margin-top:0;width:43.45pt;height:31.8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TiDQ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aOjUzt76E+41QOhoV7yzct1t4yH16Yww3jIKja&#10;8IyHVNBVFEaLkgbcj7/5Yz4Sj1FKOlRMRQ1KmhL1zeBCoriSUdzlixxvbnLvJ8Mc9QOgDgt8EpYn&#10;M+YFNZnSgX5DPa9jIQwxw7FcRcNkPoRBuvgeuFivUxLqyLKwNTvLI3TkK5L52r8xZ0fGA67qCSY5&#10;sfId8UNu/NPb9TEg/WkrkduByJFy1GDa6/heosh/vaes66te/QQ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No5VOINAgAAHQQA&#10;AA4AAAAAAAAAAAAAAAAALgIAAGRycy9lMm9Eb2MueG1sUEsBAi0AFAAGAAgAAAAhAPymfrLaAAAA&#10;AwEAAA8AAAAAAAAAAAAAAAAAZwQAAGRycy9kb3ducmV2LnhtbFBLBQYAAAAABAAEAPMAAABuBQAA&#10;AAA=&#10;" filled="f" stroked="f">
              <v:textbox style="mso-fit-shape-to-text:t" inset="0,15pt,0,0">
                <w:txbxContent>
                  <w:p w14:paraId="79C8CB7E" w14:textId="273388B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81444F" w:rsidRPr="00AD3900">
      <w:rPr>
        <w:i/>
        <w:iCs/>
      </w:rPr>
      <w:t xml:space="preserve">Puccinia </w:t>
    </w:r>
    <w:proofErr w:type="spellStart"/>
    <w:r w:rsidR="0081444F" w:rsidRPr="00AD3900">
      <w:rPr>
        <w:i/>
        <w:iCs/>
      </w:rPr>
      <w:t>lantanae</w:t>
    </w:r>
    <w:proofErr w:type="spellEnd"/>
    <w:r w:rsidR="0081444F" w:rsidRPr="00723B50">
      <w:t xml:space="preserve"> draft risk analysis</w:t>
    </w:r>
    <w:r w:rsidR="009D2A7D">
      <w:tab/>
    </w:r>
    <w:r w:rsidR="00F90DF4">
      <w:t>Glossary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47D6" w14:textId="4C816AC4" w:rsidR="008C75C3" w:rsidRDefault="008C75C3">
    <w:pPr>
      <w:pStyle w:val="Header"/>
    </w:pPr>
    <w:r>
      <w:rPr>
        <w:noProof/>
      </w:rPr>
      <mc:AlternateContent>
        <mc:Choice Requires="wps">
          <w:drawing>
            <wp:anchor distT="0" distB="0" distL="0" distR="0" simplePos="0" relativeHeight="251658240" behindDoc="0" locked="0" layoutInCell="1" allowOverlap="1" wp14:anchorId="1BE9C456" wp14:editId="5A9ADD0F">
              <wp:simplePos x="635" y="635"/>
              <wp:positionH relativeFrom="page">
                <wp:align>center</wp:align>
              </wp:positionH>
              <wp:positionV relativeFrom="page">
                <wp:align>top</wp:align>
              </wp:positionV>
              <wp:extent cx="551815" cy="404495"/>
              <wp:effectExtent l="0" t="0" r="635" b="14605"/>
              <wp:wrapNone/>
              <wp:docPr id="60042434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2E65408" w14:textId="1932A16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E9C456"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42E65408" w14:textId="1932A16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4DAAC" w14:textId="5738456A" w:rsidR="008C75C3" w:rsidRDefault="008C75C3">
    <w:pPr>
      <w:pStyle w:val="Header"/>
    </w:pPr>
    <w:r>
      <w:rPr>
        <w:noProof/>
      </w:rPr>
      <mc:AlternateContent>
        <mc:Choice Requires="wps">
          <w:drawing>
            <wp:anchor distT="0" distB="0" distL="0" distR="0" simplePos="0" relativeHeight="251685888" behindDoc="0" locked="0" layoutInCell="1" allowOverlap="1" wp14:anchorId="24CBD092" wp14:editId="138B1A2E">
              <wp:simplePos x="635" y="635"/>
              <wp:positionH relativeFrom="page">
                <wp:align>center</wp:align>
              </wp:positionH>
              <wp:positionV relativeFrom="page">
                <wp:align>top</wp:align>
              </wp:positionV>
              <wp:extent cx="551815" cy="404495"/>
              <wp:effectExtent l="0" t="0" r="635" b="14605"/>
              <wp:wrapNone/>
              <wp:docPr id="1056736842"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0C23F0F" w14:textId="76F9F03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CBD092" id="_x0000_t202" coordsize="21600,21600" o:spt="202" path="m,l,21600r21600,l21600,xe">
              <v:stroke joinstyle="miter"/>
              <v:path gradientshapeok="t" o:connecttype="rect"/>
            </v:shapetype>
            <v:shape id="Text Box 28" o:spid="_x0000_s1084" type="#_x0000_t202" alt="OFFICIAL" style="position:absolute;left:0;text-align:left;margin-left:0;margin-top:0;width:43.45pt;height:31.8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gf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yH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qhsgfDgIAAB0E&#10;AAAOAAAAAAAAAAAAAAAAAC4CAABkcnMvZTJvRG9jLnhtbFBLAQItABQABgAIAAAAIQD8pn6y2gAA&#10;AAMBAAAPAAAAAAAAAAAAAAAAAGgEAABkcnMvZG93bnJldi54bWxQSwUGAAAAAAQABADzAAAAbwUA&#10;AAAA&#10;" filled="f" stroked="f">
              <v:textbox style="mso-fit-shape-to-text:t" inset="0,15pt,0,0">
                <w:txbxContent>
                  <w:p w14:paraId="40C23F0F" w14:textId="76F9F039"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6413" w14:textId="73153123" w:rsidR="008C75C3" w:rsidRDefault="008C75C3">
    <w:pPr>
      <w:pStyle w:val="Header"/>
    </w:pPr>
    <w:r>
      <w:rPr>
        <w:noProof/>
      </w:rPr>
      <mc:AlternateContent>
        <mc:Choice Requires="wps">
          <w:drawing>
            <wp:anchor distT="0" distB="0" distL="0" distR="0" simplePos="0" relativeHeight="251689984" behindDoc="0" locked="0" layoutInCell="1" allowOverlap="1" wp14:anchorId="0F0AF0B9" wp14:editId="76074ABF">
              <wp:simplePos x="635" y="635"/>
              <wp:positionH relativeFrom="page">
                <wp:align>center</wp:align>
              </wp:positionH>
              <wp:positionV relativeFrom="page">
                <wp:align>top</wp:align>
              </wp:positionV>
              <wp:extent cx="551815" cy="404495"/>
              <wp:effectExtent l="0" t="0" r="635" b="14605"/>
              <wp:wrapNone/>
              <wp:docPr id="536387019"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C2F5595" w14:textId="6EF333A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AF0B9" id="_x0000_t202" coordsize="21600,21600" o:spt="202" path="m,l,21600r21600,l21600,xe">
              <v:stroke joinstyle="miter"/>
              <v:path gradientshapeok="t" o:connecttype="rect"/>
            </v:shapetype>
            <v:shape id="Text Box 32" o:spid="_x0000_s1086" type="#_x0000_t202" alt="OFFICIAL" style="position:absolute;left:0;text-align:left;margin-left:0;margin-top:0;width:43.45pt;height:31.8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O2Kb3wNAgAAHQQA&#10;AA4AAAAAAAAAAAAAAAAALgIAAGRycy9lMm9Eb2MueG1sUEsBAi0AFAAGAAgAAAAhAPymfrLaAAAA&#10;AwEAAA8AAAAAAAAAAAAAAAAAZwQAAGRycy9kb3ducmV2LnhtbFBLBQYAAAAABAAEAPMAAABuBQAA&#10;AAA=&#10;" filled="f" stroked="f">
              <v:textbox style="mso-fit-shape-to-text:t" inset="0,15pt,0,0">
                <w:txbxContent>
                  <w:p w14:paraId="6C2F5595" w14:textId="6EF333AE"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0808" w14:textId="5B5871CC" w:rsidR="00F90DF4" w:rsidRDefault="008C75C3">
    <w:pPr>
      <w:pStyle w:val="Header"/>
      <w:tabs>
        <w:tab w:val="clear" w:pos="4820"/>
        <w:tab w:val="center" w:pos="8505"/>
        <w:tab w:val="center" w:pos="13041"/>
      </w:tabs>
      <w:jc w:val="left"/>
    </w:pPr>
    <w:r>
      <w:rPr>
        <w:i/>
        <w:iCs/>
        <w:noProof/>
      </w:rPr>
      <mc:AlternateContent>
        <mc:Choice Requires="wps">
          <w:drawing>
            <wp:anchor distT="0" distB="0" distL="0" distR="0" simplePos="0" relativeHeight="251691008" behindDoc="0" locked="0" layoutInCell="1" allowOverlap="1" wp14:anchorId="638256A0" wp14:editId="72BDEF0A">
              <wp:simplePos x="635" y="635"/>
              <wp:positionH relativeFrom="page">
                <wp:align>center</wp:align>
              </wp:positionH>
              <wp:positionV relativeFrom="page">
                <wp:align>top</wp:align>
              </wp:positionV>
              <wp:extent cx="551815" cy="404495"/>
              <wp:effectExtent l="0" t="0" r="635" b="14605"/>
              <wp:wrapNone/>
              <wp:docPr id="1605505332"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5E809C7" w14:textId="71CBF6D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8256A0" id="_x0000_t202" coordsize="21600,21600" o:spt="202" path="m,l,21600r21600,l21600,xe">
              <v:stroke joinstyle="miter"/>
              <v:path gradientshapeok="t" o:connecttype="rect"/>
            </v:shapetype>
            <v:shape id="Text Box 33" o:spid="_x0000_s1087" type="#_x0000_t202" alt="OFFICIAL" style="position:absolute;margin-left:0;margin-top:0;width:43.45pt;height:31.8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1B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Prc/hbqI07lYFi4t3zVYu018+GZOdwwDoKq&#10;DU94SAVdReFkUdKA+/2ZP+Yj8RilpEPFVNSgpClRPw0uJIorGcVtPsvx5kb3djTMXt8D6rDAJ2F5&#10;MmNeUKMpHehX1PMyFsIQMxzLVTSM5n0YpIvvgYvlMiWhjiwLa7OxPEJHviKZL/0rc/bEeMBVPcIo&#10;J1a+I37IjX96u9wHpD9tJXI7EHmiHDWY9np6L1Hkb+8p6/KqF3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ANd1BDgIAAB0E&#10;AAAOAAAAAAAAAAAAAAAAAC4CAABkcnMvZTJvRG9jLnhtbFBLAQItABQABgAIAAAAIQD8pn6y2gAA&#10;AAMBAAAPAAAAAAAAAAAAAAAAAGgEAABkcnMvZG93bnJldi54bWxQSwUGAAAAAAQABADzAAAAbwUA&#10;AAAA&#10;" filled="f" stroked="f">
              <v:textbox style="mso-fit-shape-to-text:t" inset="0,15pt,0,0">
                <w:txbxContent>
                  <w:p w14:paraId="45E809C7" w14:textId="71CBF6D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81444F" w:rsidRPr="00AD3900">
      <w:rPr>
        <w:i/>
        <w:iCs/>
      </w:rPr>
      <w:t xml:space="preserve">Puccinia </w:t>
    </w:r>
    <w:proofErr w:type="spellStart"/>
    <w:r w:rsidR="0081444F" w:rsidRPr="00AD3900">
      <w:rPr>
        <w:i/>
        <w:iCs/>
      </w:rPr>
      <w:t>lantanae</w:t>
    </w:r>
    <w:proofErr w:type="spellEnd"/>
    <w:r w:rsidR="0081444F" w:rsidRPr="00723B50">
      <w:t xml:space="preserve"> draft risk analysis</w:t>
    </w:r>
    <w:r w:rsidR="00F90DF4">
      <w:tab/>
      <w:t>References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94DE3" w14:textId="5A0C1FB5" w:rsidR="008C75C3" w:rsidRDefault="008C75C3">
    <w:pPr>
      <w:pStyle w:val="Header"/>
    </w:pPr>
    <w:r>
      <w:rPr>
        <w:noProof/>
      </w:rPr>
      <mc:AlternateContent>
        <mc:Choice Requires="wps">
          <w:drawing>
            <wp:anchor distT="0" distB="0" distL="0" distR="0" simplePos="0" relativeHeight="251688960" behindDoc="0" locked="0" layoutInCell="1" allowOverlap="1" wp14:anchorId="1E293F4B" wp14:editId="0589F168">
              <wp:simplePos x="635" y="635"/>
              <wp:positionH relativeFrom="page">
                <wp:align>center</wp:align>
              </wp:positionH>
              <wp:positionV relativeFrom="page">
                <wp:align>top</wp:align>
              </wp:positionV>
              <wp:extent cx="551815" cy="404495"/>
              <wp:effectExtent l="0" t="0" r="635" b="14605"/>
              <wp:wrapNone/>
              <wp:docPr id="606068987"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C5571DF" w14:textId="64FE381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293F4B" id="_x0000_t202" coordsize="21600,21600" o:spt="202" path="m,l,21600r21600,l21600,xe">
              <v:stroke joinstyle="miter"/>
              <v:path gradientshapeok="t" o:connecttype="rect"/>
            </v:shapetype>
            <v:shape id="Text Box 31" o:spid="_x0000_s1090" type="#_x0000_t202" alt="OFFICIAL" style="position:absolute;left:0;text-align:left;margin-left:0;margin-top:0;width:43.45pt;height:31.8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WKDw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o6tr+F+ohTORgW7i1ftVh7zXx4Zg43jIOg&#10;asMTHlJBV1E4WZQ04H5/5o/5SDxGKelQMRU1KGlK1E+DC4niSkZxm89yvLnRvR0Ns9f3gDos8ElY&#10;nsyYF9RoSgf6FfW8jIUwxAzHchUNo3kfBunie+BiuUxJqCPLwtpsLI/Qka9I5kv/ypw9MR5wVY8w&#10;yomV74gfcuOf3i73AelPW4ncDkSeKEcNpr2e3ksU+dt7yrq86sUf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WXelig8CAAAd&#10;BAAADgAAAAAAAAAAAAAAAAAuAgAAZHJzL2Uyb0RvYy54bWxQSwECLQAUAAYACAAAACEA/KZ+stoA&#10;AAADAQAADwAAAAAAAAAAAAAAAABpBAAAZHJzL2Rvd25yZXYueG1sUEsFBgAAAAAEAAQA8wAAAHAF&#10;AAAAAA==&#10;" filled="f" stroked="f">
              <v:textbox style="mso-fit-shape-to-text:t" inset="0,15pt,0,0">
                <w:txbxContent>
                  <w:p w14:paraId="2C5571DF" w14:textId="64FE3813"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0BB3" w14:textId="29D0471E" w:rsidR="008C75C3" w:rsidRDefault="008C75C3">
    <w:pPr>
      <w:pStyle w:val="Header"/>
    </w:pPr>
    <w:r>
      <w:rPr>
        <w:noProof/>
      </w:rPr>
      <mc:AlternateContent>
        <mc:Choice Requires="wps">
          <w:drawing>
            <wp:anchor distT="0" distB="0" distL="0" distR="0" simplePos="0" relativeHeight="251662336" behindDoc="0" locked="0" layoutInCell="1" allowOverlap="1" wp14:anchorId="36450DC9" wp14:editId="34716B43">
              <wp:simplePos x="635" y="635"/>
              <wp:positionH relativeFrom="page">
                <wp:align>center</wp:align>
              </wp:positionH>
              <wp:positionV relativeFrom="page">
                <wp:align>top</wp:align>
              </wp:positionV>
              <wp:extent cx="551815" cy="404495"/>
              <wp:effectExtent l="0" t="0" r="635" b="14605"/>
              <wp:wrapNone/>
              <wp:docPr id="22348361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E1CAE1" w14:textId="383107E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450DC9" id="_x0000_t202" coordsize="21600,21600" o:spt="202" path="m,l,21600r21600,l21600,xe">
              <v:stroke joinstyle="miter"/>
              <v:path gradientshapeok="t" o:connecttype="rect"/>
            </v:shapetype>
            <v:shape id="Text Box 5" o:spid="_x0000_s1032" type="#_x0000_t202" alt="OFFICIAL" style="position:absolute;left:0;text-align:left;margin-left:0;margin-top:0;width:43.45pt;height:31.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73E1CAE1" w14:textId="383107E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9224B" w14:textId="13E448EF" w:rsidR="009D2A7D" w:rsidRDefault="008C75C3">
    <w:pPr>
      <w:pStyle w:val="Header"/>
      <w:tabs>
        <w:tab w:val="clear" w:pos="4820"/>
        <w:tab w:val="center" w:pos="8505"/>
      </w:tabs>
      <w:jc w:val="left"/>
    </w:pPr>
    <w:r>
      <w:rPr>
        <w:noProof/>
      </w:rPr>
      <mc:AlternateContent>
        <mc:Choice Requires="wps">
          <w:drawing>
            <wp:anchor distT="0" distB="0" distL="0" distR="0" simplePos="0" relativeHeight="251663360" behindDoc="0" locked="0" layoutInCell="1" allowOverlap="1" wp14:anchorId="37CEA75B" wp14:editId="2B701B04">
              <wp:simplePos x="635" y="635"/>
              <wp:positionH relativeFrom="page">
                <wp:align>center</wp:align>
              </wp:positionH>
              <wp:positionV relativeFrom="page">
                <wp:align>top</wp:align>
              </wp:positionV>
              <wp:extent cx="551815" cy="404495"/>
              <wp:effectExtent l="0" t="0" r="635" b="14605"/>
              <wp:wrapNone/>
              <wp:docPr id="213572784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99D13B9" w14:textId="0A0A6E36"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CEA75B" id="_x0000_t202" coordsize="21600,21600" o:spt="202" path="m,l,21600r21600,l21600,xe">
              <v:stroke joinstyle="miter"/>
              <v:path gradientshapeok="t" o:connecttype="rect"/>
            </v:shapetype>
            <v:shape id="Text Box 6" o:spid="_x0000_s1033" type="#_x0000_t202" alt="OFFICIAL" style="position:absolute;margin-left:0;margin-top:0;width:43.45pt;height:31.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299D13B9" w14:textId="0A0A6E36"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13B5" w14:textId="7BFC234E" w:rsidR="008C75C3" w:rsidRDefault="008C75C3">
    <w:pPr>
      <w:pStyle w:val="Header"/>
    </w:pPr>
    <w:r>
      <w:rPr>
        <w:noProof/>
      </w:rPr>
      <mc:AlternateContent>
        <mc:Choice Requires="wps">
          <w:drawing>
            <wp:anchor distT="0" distB="0" distL="0" distR="0" simplePos="0" relativeHeight="251661312" behindDoc="0" locked="0" layoutInCell="1" allowOverlap="1" wp14:anchorId="12E3703C" wp14:editId="795881A6">
              <wp:simplePos x="635" y="635"/>
              <wp:positionH relativeFrom="page">
                <wp:align>center</wp:align>
              </wp:positionH>
              <wp:positionV relativeFrom="page">
                <wp:align>top</wp:align>
              </wp:positionV>
              <wp:extent cx="551815" cy="404495"/>
              <wp:effectExtent l="0" t="0" r="635" b="14605"/>
              <wp:wrapNone/>
              <wp:docPr id="152026990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91AD2B6" w14:textId="3512437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E3703C" id="_x0000_t202" coordsize="21600,21600" o:spt="202" path="m,l,21600r21600,l21600,xe">
              <v:stroke joinstyle="miter"/>
              <v:path gradientshapeok="t" o:connecttype="rect"/>
            </v:shapetype>
            <v:shape id="Text Box 4" o:spid="_x0000_s1036" type="#_x0000_t202" alt="OFFICIAL" style="position:absolute;left:0;text-align:left;margin-left:0;margin-top:0;width:43.45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191AD2B6" w14:textId="35124372"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CDC1" w14:textId="4E6F2FBE" w:rsidR="002A326D" w:rsidRDefault="008C75C3">
    <w:pPr>
      <w:pStyle w:val="Header"/>
    </w:pPr>
    <w:r>
      <w:rPr>
        <w:noProof/>
      </w:rPr>
      <mc:AlternateContent>
        <mc:Choice Requires="wps">
          <w:drawing>
            <wp:anchor distT="0" distB="0" distL="0" distR="0" simplePos="0" relativeHeight="251665408" behindDoc="0" locked="0" layoutInCell="1" allowOverlap="1" wp14:anchorId="1A876E08" wp14:editId="71929684">
              <wp:simplePos x="635" y="635"/>
              <wp:positionH relativeFrom="page">
                <wp:align>center</wp:align>
              </wp:positionH>
              <wp:positionV relativeFrom="page">
                <wp:align>top</wp:align>
              </wp:positionV>
              <wp:extent cx="551815" cy="404495"/>
              <wp:effectExtent l="0" t="0" r="635" b="14605"/>
              <wp:wrapNone/>
              <wp:docPr id="11374242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B0C0704" w14:textId="7776165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876E08" id="_x0000_t202" coordsize="21600,21600" o:spt="202" path="m,l,21600r21600,l21600,xe">
              <v:stroke joinstyle="miter"/>
              <v:path gradientshapeok="t" o:connecttype="rect"/>
            </v:shapetype>
            <v:shape id="Text Box 8" o:spid="_x0000_s1038" type="#_x0000_t202" alt="OFFICIAL" style="position:absolute;left:0;text-align:left;margin-left:0;margin-top:0;width:43.45pt;height:31.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e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X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xuLOeDgIAAB0E&#10;AAAOAAAAAAAAAAAAAAAAAC4CAABkcnMvZTJvRG9jLnhtbFBLAQItABQABgAIAAAAIQD8pn6y2gAA&#10;AAMBAAAPAAAAAAAAAAAAAAAAAGgEAABkcnMvZG93bnJldi54bWxQSwUGAAAAAAQABADzAAAAbwUA&#10;AAAA&#10;" filled="f" stroked="f">
              <v:textbox style="mso-fit-shape-to-text:t" inset="0,15pt,0,0">
                <w:txbxContent>
                  <w:p w14:paraId="5B0C0704" w14:textId="77761657"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AAB37" w14:textId="71C2D776" w:rsidR="002A326D" w:rsidRDefault="008C75C3" w:rsidP="00C54718">
    <w:pPr>
      <w:pStyle w:val="Header"/>
      <w:rPr>
        <w:b/>
      </w:rPr>
    </w:pPr>
    <w:r>
      <w:rPr>
        <w:b/>
        <w:noProof/>
      </w:rPr>
      <mc:AlternateContent>
        <mc:Choice Requires="wps">
          <w:drawing>
            <wp:anchor distT="0" distB="0" distL="0" distR="0" simplePos="0" relativeHeight="251666432" behindDoc="0" locked="0" layoutInCell="1" allowOverlap="1" wp14:anchorId="2BE1D892" wp14:editId="55813307">
              <wp:simplePos x="635" y="635"/>
              <wp:positionH relativeFrom="page">
                <wp:align>center</wp:align>
              </wp:positionH>
              <wp:positionV relativeFrom="page">
                <wp:align>top</wp:align>
              </wp:positionV>
              <wp:extent cx="551815" cy="404495"/>
              <wp:effectExtent l="0" t="0" r="635" b="14605"/>
              <wp:wrapNone/>
              <wp:docPr id="988423435"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355A83F" w14:textId="0824274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E1D892" id="_x0000_t202" coordsize="21600,21600" o:spt="202" path="m,l,21600r21600,l21600,xe">
              <v:stroke joinstyle="miter"/>
              <v:path gradientshapeok="t" o:connecttype="rect"/>
            </v:shapetype>
            <v:shape id="Text Box 9" o:spid="_x0000_s1039" type="#_x0000_t202" alt="OFFICIAL" style="position:absolute;left:0;text-align:left;margin-left:0;margin-top:0;width:43.45pt;height:31.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Gj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7r+O7W+hPuJUDoaFe8tXLdZeMx+emMMN4yCo&#10;2vCIh1TQVRROFiUNuN8f+WM+Eo9RSjpUTEUNSpoS9dPgQqK4klHc5LMcb250b0fD7PUdoA4LfBKW&#10;JzPmBTWa0oF+QT0vYyEMMcOxXEXDaN6FQbr4HrhYLlMS6siysDYbyyN05CuS+dy/MGdPjAdc1QOM&#10;cmLlG+KH3Pint8t9QPrTViK3A5EnylGDaa+n9xJF/vqesi6vevEH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cBwGjDgIAAB0E&#10;AAAOAAAAAAAAAAAAAAAAAC4CAABkcnMvZTJvRG9jLnhtbFBLAQItABQABgAIAAAAIQD8pn6y2gAA&#10;AAMBAAAPAAAAAAAAAAAAAAAAAGgEAABkcnMvZG93bnJldi54bWxQSwUGAAAAAAQABADzAAAAbwUA&#10;AAAA&#10;" filled="f" stroked="f">
              <v:textbox style="mso-fit-shape-to-text:t" inset="0,15pt,0,0">
                <w:txbxContent>
                  <w:p w14:paraId="0355A83F" w14:textId="08242745"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r w:rsidR="002A326D" w:rsidRPr="00D552E1">
      <w:rPr>
        <w:b/>
      </w:rPr>
      <w:ptab w:relativeTo="margin" w:alignment="left" w:leader="none"/>
    </w:r>
    <w:r w:rsidR="002A326D">
      <w:rPr>
        <w:b/>
      </w:rPr>
      <w:ptab w:relativeTo="margin" w:alignment="left" w:leader="none"/>
    </w:r>
    <w:fldSimple w:instr=" STYLEREF  &quot;Heading 1&quot;  \* MERGEFORMAT ">
      <w:r w:rsidR="00D07917">
        <w:rPr>
          <w:noProof/>
        </w:rPr>
        <w:t xml:space="preserve">Draft risk analysis report for the release of Puccinia </w:t>
      </w:r>
      <w:r w:rsidR="00D07917" w:rsidRPr="00D07917">
        <w:rPr>
          <w:i/>
          <w:iCs/>
          <w:noProof/>
        </w:rPr>
        <w:t>lantanae for</w:t>
      </w:r>
      <w:r w:rsidR="00D07917">
        <w:rPr>
          <w:noProof/>
        </w:rPr>
        <w:t xml:space="preserve"> the biological control of Lantana </w:t>
      </w:r>
      <w:r w:rsidR="00D07917" w:rsidRPr="00D07917">
        <w:rPr>
          <w:i/>
          <w:iCs/>
          <w:noProof/>
        </w:rPr>
        <w:t>camara</w:t>
      </w:r>
    </w:fldSimple>
  </w:p>
  <w:p w14:paraId="21E72FDA" w14:textId="77777777" w:rsidR="002A326D" w:rsidRPr="003E176F" w:rsidRDefault="002A326D" w:rsidP="003E176F">
    <w:pPr>
      <w:pStyle w:val="Header"/>
    </w:pPr>
    <w:r>
      <w:t xml:space="preserve">Table of contents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129ED" w14:textId="6E71D1E9" w:rsidR="002A326D" w:rsidRDefault="008C75C3">
    <w:pPr>
      <w:pStyle w:val="Header"/>
    </w:pPr>
    <w:r>
      <w:rPr>
        <w:noProof/>
      </w:rPr>
      <mc:AlternateContent>
        <mc:Choice Requires="wps">
          <w:drawing>
            <wp:anchor distT="0" distB="0" distL="0" distR="0" simplePos="0" relativeHeight="251664384" behindDoc="0" locked="0" layoutInCell="1" allowOverlap="1" wp14:anchorId="1F8ED96C" wp14:editId="527184DC">
              <wp:simplePos x="635" y="635"/>
              <wp:positionH relativeFrom="page">
                <wp:align>center</wp:align>
              </wp:positionH>
              <wp:positionV relativeFrom="page">
                <wp:align>top</wp:align>
              </wp:positionV>
              <wp:extent cx="551815" cy="404495"/>
              <wp:effectExtent l="0" t="0" r="635" b="14605"/>
              <wp:wrapNone/>
              <wp:docPr id="16690375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B68F18" w14:textId="279C809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8ED96C" id="_x0000_t202" coordsize="21600,21600" o:spt="202" path="m,l,21600r21600,l21600,xe">
              <v:stroke joinstyle="miter"/>
              <v:path gradientshapeok="t" o:connecttype="rect"/>
            </v:shapetype>
            <v:shape id="Text Box 7" o:spid="_x0000_s1042" type="#_x0000_t202" alt="OFFICIAL" style="position:absolute;left:0;text-align:left;margin-left:0;margin-top:0;width:43.45pt;height:31.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65B68F18" w14:textId="279C809C" w:rsidR="008C75C3" w:rsidRPr="008C75C3" w:rsidRDefault="008C75C3" w:rsidP="008C75C3">
                    <w:pPr>
                      <w:spacing w:after="0"/>
                      <w:rPr>
                        <w:rFonts w:ascii="Calibri" w:eastAsia="Calibri" w:hAnsi="Calibri" w:cs="Calibri"/>
                        <w:noProof/>
                        <w:color w:val="FF0000"/>
                        <w:sz w:val="24"/>
                        <w:szCs w:val="24"/>
                      </w:rPr>
                    </w:pPr>
                    <w:r w:rsidRPr="008C75C3">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DC017AC"/>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8A7FD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38012A"/>
    <w:multiLevelType w:val="multilevel"/>
    <w:tmpl w:val="5882FBC4"/>
    <w:lvl w:ilvl="0">
      <w:start w:val="1"/>
      <w:numFmt w:val="decimal"/>
      <w:lvlText w:val="A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4"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0F206BAF"/>
    <w:multiLevelType w:val="hybridMultilevel"/>
    <w:tmpl w:val="DEA05698"/>
    <w:lvl w:ilvl="0" w:tplc="83B4FBDC">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53399E"/>
    <w:multiLevelType w:val="multilevel"/>
    <w:tmpl w:val="40A462FE"/>
    <w:numStyleLink w:val="heading"/>
  </w:abstractNum>
  <w:abstractNum w:abstractNumId="8"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2E7921E8"/>
    <w:multiLevelType w:val="multilevel"/>
    <w:tmpl w:val="DBBC36CC"/>
    <w:lvl w:ilvl="0">
      <w:start w:val="1"/>
      <w:numFmt w:val="decimal"/>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0B2504F"/>
    <w:multiLevelType w:val="hybridMultilevel"/>
    <w:tmpl w:val="6C2AEE98"/>
    <w:lvl w:ilvl="0" w:tplc="16F04A8C">
      <w:start w:val="1"/>
      <w:numFmt w:val="decimal"/>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2"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72EF18DD"/>
    <w:multiLevelType w:val="hybridMultilevel"/>
    <w:tmpl w:val="526676C2"/>
    <w:lvl w:ilvl="0" w:tplc="9048C5A2">
      <w:start w:val="1"/>
      <w:numFmt w:val="decimal"/>
      <w:pStyle w:val="Heading5-Appendix"/>
      <w:lvlText w:val="A%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5940649">
    <w:abstractNumId w:val="1"/>
  </w:num>
  <w:num w:numId="2" w16cid:durableId="703598071">
    <w:abstractNumId w:val="3"/>
  </w:num>
  <w:num w:numId="3" w16cid:durableId="2057965380">
    <w:abstractNumId w:val="8"/>
  </w:num>
  <w:num w:numId="4" w16cid:durableId="1001468289">
    <w:abstractNumId w:val="9"/>
  </w:num>
  <w:num w:numId="5" w16cid:durableId="1294214074">
    <w:abstractNumId w:val="10"/>
  </w:num>
  <w:num w:numId="6" w16cid:durableId="1017074514">
    <w:abstractNumId w:val="2"/>
  </w:num>
  <w:num w:numId="7" w16cid:durableId="991714432">
    <w:abstractNumId w:val="5"/>
  </w:num>
  <w:num w:numId="8" w16cid:durableId="2090692723">
    <w:abstractNumId w:val="13"/>
  </w:num>
  <w:num w:numId="9" w16cid:durableId="957762972">
    <w:abstractNumId w:val="11"/>
  </w:num>
  <w:num w:numId="10" w16cid:durableId="278878663">
    <w:abstractNumId w:val="4"/>
  </w:num>
  <w:num w:numId="11" w16cid:durableId="1626035690">
    <w:abstractNumId w:val="7"/>
  </w:num>
  <w:num w:numId="12" w16cid:durableId="845435209">
    <w:abstractNumId w:val="16"/>
  </w:num>
  <w:num w:numId="13" w16cid:durableId="879173648">
    <w:abstractNumId w:val="8"/>
  </w:num>
  <w:num w:numId="14" w16cid:durableId="1942830492">
    <w:abstractNumId w:val="14"/>
  </w:num>
  <w:num w:numId="15" w16cid:durableId="963730701">
    <w:abstractNumId w:val="12"/>
  </w:num>
  <w:num w:numId="16" w16cid:durableId="2134983185">
    <w:abstractNumId w:val="15"/>
  </w:num>
  <w:num w:numId="17" w16cid:durableId="1092160724">
    <w:abstractNumId w:val="6"/>
  </w:num>
  <w:num w:numId="18" w16cid:durableId="6561023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D0393D"/>
    <w:rsid w:val="00006554"/>
    <w:rsid w:val="00006924"/>
    <w:rsid w:val="000207A3"/>
    <w:rsid w:val="00020BB4"/>
    <w:rsid w:val="0002171F"/>
    <w:rsid w:val="00023544"/>
    <w:rsid w:val="000354C1"/>
    <w:rsid w:val="00042E10"/>
    <w:rsid w:val="00043EE4"/>
    <w:rsid w:val="0004450F"/>
    <w:rsid w:val="00044566"/>
    <w:rsid w:val="00044E22"/>
    <w:rsid w:val="00046D1E"/>
    <w:rsid w:val="00050AD9"/>
    <w:rsid w:val="000515D7"/>
    <w:rsid w:val="0005348D"/>
    <w:rsid w:val="00065767"/>
    <w:rsid w:val="00072B62"/>
    <w:rsid w:val="00083279"/>
    <w:rsid w:val="00085775"/>
    <w:rsid w:val="00090D68"/>
    <w:rsid w:val="00093AB5"/>
    <w:rsid w:val="00094BAC"/>
    <w:rsid w:val="000A1085"/>
    <w:rsid w:val="000A123A"/>
    <w:rsid w:val="000A191D"/>
    <w:rsid w:val="000A581C"/>
    <w:rsid w:val="000A6360"/>
    <w:rsid w:val="000A724B"/>
    <w:rsid w:val="000A7F63"/>
    <w:rsid w:val="000B3F86"/>
    <w:rsid w:val="000C5E17"/>
    <w:rsid w:val="000C688F"/>
    <w:rsid w:val="000D3B57"/>
    <w:rsid w:val="000D3C00"/>
    <w:rsid w:val="000D7686"/>
    <w:rsid w:val="000E00C0"/>
    <w:rsid w:val="000E136A"/>
    <w:rsid w:val="000E28D3"/>
    <w:rsid w:val="000E33BA"/>
    <w:rsid w:val="000E3922"/>
    <w:rsid w:val="000E7706"/>
    <w:rsid w:val="000F4C09"/>
    <w:rsid w:val="000F5F3F"/>
    <w:rsid w:val="00100810"/>
    <w:rsid w:val="0012143F"/>
    <w:rsid w:val="00123CA4"/>
    <w:rsid w:val="00132FC5"/>
    <w:rsid w:val="00133E30"/>
    <w:rsid w:val="00137941"/>
    <w:rsid w:val="00147992"/>
    <w:rsid w:val="00161B09"/>
    <w:rsid w:val="00162872"/>
    <w:rsid w:val="00166BD8"/>
    <w:rsid w:val="00171413"/>
    <w:rsid w:val="00171AF6"/>
    <w:rsid w:val="001729F0"/>
    <w:rsid w:val="001741D2"/>
    <w:rsid w:val="001758F9"/>
    <w:rsid w:val="001861AF"/>
    <w:rsid w:val="00186BBC"/>
    <w:rsid w:val="0019092D"/>
    <w:rsid w:val="00194489"/>
    <w:rsid w:val="00194CEE"/>
    <w:rsid w:val="00194EAB"/>
    <w:rsid w:val="00194F39"/>
    <w:rsid w:val="001A3448"/>
    <w:rsid w:val="001A41FC"/>
    <w:rsid w:val="001B198B"/>
    <w:rsid w:val="001B5A2F"/>
    <w:rsid w:val="001C17C2"/>
    <w:rsid w:val="001D7940"/>
    <w:rsid w:val="001E1702"/>
    <w:rsid w:val="001E4D2B"/>
    <w:rsid w:val="001E73EE"/>
    <w:rsid w:val="00201F78"/>
    <w:rsid w:val="00202A01"/>
    <w:rsid w:val="00202E70"/>
    <w:rsid w:val="00210126"/>
    <w:rsid w:val="00222120"/>
    <w:rsid w:val="0022256E"/>
    <w:rsid w:val="00223312"/>
    <w:rsid w:val="00225036"/>
    <w:rsid w:val="002329C9"/>
    <w:rsid w:val="00234947"/>
    <w:rsid w:val="0023606E"/>
    <w:rsid w:val="0025193F"/>
    <w:rsid w:val="0025213E"/>
    <w:rsid w:val="00262F00"/>
    <w:rsid w:val="00265406"/>
    <w:rsid w:val="00265A5E"/>
    <w:rsid w:val="00275B0E"/>
    <w:rsid w:val="002764F5"/>
    <w:rsid w:val="00284176"/>
    <w:rsid w:val="00285730"/>
    <w:rsid w:val="00292E60"/>
    <w:rsid w:val="00292F88"/>
    <w:rsid w:val="002A0968"/>
    <w:rsid w:val="002A326D"/>
    <w:rsid w:val="002A763C"/>
    <w:rsid w:val="002B4E46"/>
    <w:rsid w:val="002B5365"/>
    <w:rsid w:val="002B5CD3"/>
    <w:rsid w:val="002C0133"/>
    <w:rsid w:val="002C0431"/>
    <w:rsid w:val="002C1D03"/>
    <w:rsid w:val="002C2701"/>
    <w:rsid w:val="002C4263"/>
    <w:rsid w:val="002C6F6A"/>
    <w:rsid w:val="002D76E7"/>
    <w:rsid w:val="002E0115"/>
    <w:rsid w:val="002E55C8"/>
    <w:rsid w:val="002E778B"/>
    <w:rsid w:val="002F25F9"/>
    <w:rsid w:val="002F6FD3"/>
    <w:rsid w:val="00300781"/>
    <w:rsid w:val="003042D9"/>
    <w:rsid w:val="003044D9"/>
    <w:rsid w:val="003058E9"/>
    <w:rsid w:val="003073C5"/>
    <w:rsid w:val="00311157"/>
    <w:rsid w:val="00320ABB"/>
    <w:rsid w:val="0032188A"/>
    <w:rsid w:val="003317F2"/>
    <w:rsid w:val="00332442"/>
    <w:rsid w:val="00334140"/>
    <w:rsid w:val="003349B5"/>
    <w:rsid w:val="00335406"/>
    <w:rsid w:val="00341D85"/>
    <w:rsid w:val="00343121"/>
    <w:rsid w:val="00346410"/>
    <w:rsid w:val="0035205F"/>
    <w:rsid w:val="003537DF"/>
    <w:rsid w:val="003554FF"/>
    <w:rsid w:val="00355C1F"/>
    <w:rsid w:val="00357E32"/>
    <w:rsid w:val="003615BA"/>
    <w:rsid w:val="0036381D"/>
    <w:rsid w:val="00364694"/>
    <w:rsid w:val="00370871"/>
    <w:rsid w:val="00374458"/>
    <w:rsid w:val="00381F40"/>
    <w:rsid w:val="00384000"/>
    <w:rsid w:val="003877B6"/>
    <w:rsid w:val="0039271F"/>
    <w:rsid w:val="003A0F4C"/>
    <w:rsid w:val="003A3A2A"/>
    <w:rsid w:val="003A7194"/>
    <w:rsid w:val="003B70B0"/>
    <w:rsid w:val="003C09D7"/>
    <w:rsid w:val="003C162C"/>
    <w:rsid w:val="003C3CC2"/>
    <w:rsid w:val="003D065E"/>
    <w:rsid w:val="003D1A1A"/>
    <w:rsid w:val="003D7728"/>
    <w:rsid w:val="003E054E"/>
    <w:rsid w:val="003E5934"/>
    <w:rsid w:val="003F1537"/>
    <w:rsid w:val="003F28C7"/>
    <w:rsid w:val="003F405A"/>
    <w:rsid w:val="00411948"/>
    <w:rsid w:val="0041452E"/>
    <w:rsid w:val="00414FF0"/>
    <w:rsid w:val="00420110"/>
    <w:rsid w:val="004204C6"/>
    <w:rsid w:val="004222F8"/>
    <w:rsid w:val="00423801"/>
    <w:rsid w:val="004258B7"/>
    <w:rsid w:val="00427A82"/>
    <w:rsid w:val="00427CE4"/>
    <w:rsid w:val="0043271B"/>
    <w:rsid w:val="00432990"/>
    <w:rsid w:val="00433507"/>
    <w:rsid w:val="004366BF"/>
    <w:rsid w:val="00442194"/>
    <w:rsid w:val="00446AC3"/>
    <w:rsid w:val="00451025"/>
    <w:rsid w:val="00451D9A"/>
    <w:rsid w:val="004572D4"/>
    <w:rsid w:val="00463CE0"/>
    <w:rsid w:val="0046420C"/>
    <w:rsid w:val="00467E35"/>
    <w:rsid w:val="00471F8F"/>
    <w:rsid w:val="00472B02"/>
    <w:rsid w:val="004873B7"/>
    <w:rsid w:val="004914D3"/>
    <w:rsid w:val="004A6B26"/>
    <w:rsid w:val="004B6DF7"/>
    <w:rsid w:val="004D7335"/>
    <w:rsid w:val="004F47E6"/>
    <w:rsid w:val="004F52CE"/>
    <w:rsid w:val="00501D2E"/>
    <w:rsid w:val="0051733B"/>
    <w:rsid w:val="00522A30"/>
    <w:rsid w:val="00532F00"/>
    <w:rsid w:val="005346DF"/>
    <w:rsid w:val="0053679A"/>
    <w:rsid w:val="00536CF7"/>
    <w:rsid w:val="00544076"/>
    <w:rsid w:val="005444B1"/>
    <w:rsid w:val="00547E7E"/>
    <w:rsid w:val="00556D24"/>
    <w:rsid w:val="00562AE7"/>
    <w:rsid w:val="005644B9"/>
    <w:rsid w:val="00573F5F"/>
    <w:rsid w:val="0057400A"/>
    <w:rsid w:val="0057414A"/>
    <w:rsid w:val="0057429D"/>
    <w:rsid w:val="005914B9"/>
    <w:rsid w:val="005A3BE8"/>
    <w:rsid w:val="005A5C18"/>
    <w:rsid w:val="005A5D7E"/>
    <w:rsid w:val="005A7F1F"/>
    <w:rsid w:val="005B252B"/>
    <w:rsid w:val="005B4881"/>
    <w:rsid w:val="005B63AD"/>
    <w:rsid w:val="005C1BD0"/>
    <w:rsid w:val="005D0044"/>
    <w:rsid w:val="005D059C"/>
    <w:rsid w:val="005D5525"/>
    <w:rsid w:val="005D6AD4"/>
    <w:rsid w:val="005D7422"/>
    <w:rsid w:val="005E0201"/>
    <w:rsid w:val="005E0A90"/>
    <w:rsid w:val="005E3C5C"/>
    <w:rsid w:val="005F15DE"/>
    <w:rsid w:val="005F1701"/>
    <w:rsid w:val="005F7160"/>
    <w:rsid w:val="00601359"/>
    <w:rsid w:val="0060634A"/>
    <w:rsid w:val="00614A0A"/>
    <w:rsid w:val="00615CEF"/>
    <w:rsid w:val="006204F2"/>
    <w:rsid w:val="0063103A"/>
    <w:rsid w:val="006342FB"/>
    <w:rsid w:val="00634925"/>
    <w:rsid w:val="006368C6"/>
    <w:rsid w:val="00640BBF"/>
    <w:rsid w:val="00654351"/>
    <w:rsid w:val="00656762"/>
    <w:rsid w:val="00657B19"/>
    <w:rsid w:val="00684F28"/>
    <w:rsid w:val="006875EA"/>
    <w:rsid w:val="00691207"/>
    <w:rsid w:val="006A5B5C"/>
    <w:rsid w:val="006A6464"/>
    <w:rsid w:val="006B0659"/>
    <w:rsid w:val="006E14E8"/>
    <w:rsid w:val="006E4A56"/>
    <w:rsid w:val="006F157A"/>
    <w:rsid w:val="006F1726"/>
    <w:rsid w:val="006F29A0"/>
    <w:rsid w:val="006F7796"/>
    <w:rsid w:val="00704F80"/>
    <w:rsid w:val="00714FFC"/>
    <w:rsid w:val="0072396C"/>
    <w:rsid w:val="00723B50"/>
    <w:rsid w:val="00724244"/>
    <w:rsid w:val="00732465"/>
    <w:rsid w:val="00732E8F"/>
    <w:rsid w:val="00732EC3"/>
    <w:rsid w:val="00735771"/>
    <w:rsid w:val="00736319"/>
    <w:rsid w:val="0074074F"/>
    <w:rsid w:val="00740BF2"/>
    <w:rsid w:val="00740E19"/>
    <w:rsid w:val="00743092"/>
    <w:rsid w:val="00752972"/>
    <w:rsid w:val="007530F8"/>
    <w:rsid w:val="0076250B"/>
    <w:rsid w:val="007635BE"/>
    <w:rsid w:val="00764C8E"/>
    <w:rsid w:val="0076506E"/>
    <w:rsid w:val="007667CA"/>
    <w:rsid w:val="00781CBF"/>
    <w:rsid w:val="00791C8E"/>
    <w:rsid w:val="00792761"/>
    <w:rsid w:val="00795CEA"/>
    <w:rsid w:val="007A1B29"/>
    <w:rsid w:val="007A502E"/>
    <w:rsid w:val="007B4128"/>
    <w:rsid w:val="007B4BAD"/>
    <w:rsid w:val="007B751B"/>
    <w:rsid w:val="007B7BEF"/>
    <w:rsid w:val="007C049B"/>
    <w:rsid w:val="007C0D1B"/>
    <w:rsid w:val="007C3530"/>
    <w:rsid w:val="007C659D"/>
    <w:rsid w:val="007D4C8D"/>
    <w:rsid w:val="007E4AEA"/>
    <w:rsid w:val="007F0C41"/>
    <w:rsid w:val="007F143B"/>
    <w:rsid w:val="007F4D3B"/>
    <w:rsid w:val="007F7C2B"/>
    <w:rsid w:val="0080379C"/>
    <w:rsid w:val="008120ED"/>
    <w:rsid w:val="0081444F"/>
    <w:rsid w:val="00822613"/>
    <w:rsid w:val="00823044"/>
    <w:rsid w:val="0082339B"/>
    <w:rsid w:val="00826AA9"/>
    <w:rsid w:val="008270EC"/>
    <w:rsid w:val="00832BC3"/>
    <w:rsid w:val="008351ED"/>
    <w:rsid w:val="0083636A"/>
    <w:rsid w:val="00851E8C"/>
    <w:rsid w:val="008561F1"/>
    <w:rsid w:val="00857344"/>
    <w:rsid w:val="0086247F"/>
    <w:rsid w:val="00865A47"/>
    <w:rsid w:val="00896855"/>
    <w:rsid w:val="008A008A"/>
    <w:rsid w:val="008A41FB"/>
    <w:rsid w:val="008A4397"/>
    <w:rsid w:val="008A778F"/>
    <w:rsid w:val="008B1073"/>
    <w:rsid w:val="008B1209"/>
    <w:rsid w:val="008B2FC1"/>
    <w:rsid w:val="008C44AD"/>
    <w:rsid w:val="008C48C0"/>
    <w:rsid w:val="008C75C3"/>
    <w:rsid w:val="008D17F9"/>
    <w:rsid w:val="008D1D0E"/>
    <w:rsid w:val="008D39F0"/>
    <w:rsid w:val="008D3B1E"/>
    <w:rsid w:val="008D40A0"/>
    <w:rsid w:val="008D7B31"/>
    <w:rsid w:val="008F32D2"/>
    <w:rsid w:val="008F460C"/>
    <w:rsid w:val="008F5F34"/>
    <w:rsid w:val="008F6EED"/>
    <w:rsid w:val="009160C7"/>
    <w:rsid w:val="0091716D"/>
    <w:rsid w:val="00921312"/>
    <w:rsid w:val="0092363E"/>
    <w:rsid w:val="0092491C"/>
    <w:rsid w:val="00924D97"/>
    <w:rsid w:val="009265A6"/>
    <w:rsid w:val="009321CD"/>
    <w:rsid w:val="009352D1"/>
    <w:rsid w:val="00943527"/>
    <w:rsid w:val="00947E6B"/>
    <w:rsid w:val="00951526"/>
    <w:rsid w:val="00951DEA"/>
    <w:rsid w:val="009525DC"/>
    <w:rsid w:val="00953860"/>
    <w:rsid w:val="00957782"/>
    <w:rsid w:val="009639E3"/>
    <w:rsid w:val="00964C19"/>
    <w:rsid w:val="00965F95"/>
    <w:rsid w:val="00967890"/>
    <w:rsid w:val="00970B10"/>
    <w:rsid w:val="00971A74"/>
    <w:rsid w:val="00972887"/>
    <w:rsid w:val="00973849"/>
    <w:rsid w:val="0098086F"/>
    <w:rsid w:val="00982940"/>
    <w:rsid w:val="0098384A"/>
    <w:rsid w:val="009974FE"/>
    <w:rsid w:val="009A260F"/>
    <w:rsid w:val="009A3561"/>
    <w:rsid w:val="009A53A8"/>
    <w:rsid w:val="009A6369"/>
    <w:rsid w:val="009B1341"/>
    <w:rsid w:val="009B1D59"/>
    <w:rsid w:val="009C1154"/>
    <w:rsid w:val="009C25D9"/>
    <w:rsid w:val="009D028C"/>
    <w:rsid w:val="009D2216"/>
    <w:rsid w:val="009D2A7D"/>
    <w:rsid w:val="009D44A2"/>
    <w:rsid w:val="009E22FC"/>
    <w:rsid w:val="00A00B38"/>
    <w:rsid w:val="00A05558"/>
    <w:rsid w:val="00A10A6A"/>
    <w:rsid w:val="00A112E1"/>
    <w:rsid w:val="00A11475"/>
    <w:rsid w:val="00A142D0"/>
    <w:rsid w:val="00A159AA"/>
    <w:rsid w:val="00A17E14"/>
    <w:rsid w:val="00A362E0"/>
    <w:rsid w:val="00A36952"/>
    <w:rsid w:val="00A37233"/>
    <w:rsid w:val="00A400FF"/>
    <w:rsid w:val="00A460DA"/>
    <w:rsid w:val="00A4637F"/>
    <w:rsid w:val="00A4644E"/>
    <w:rsid w:val="00A51762"/>
    <w:rsid w:val="00A52A70"/>
    <w:rsid w:val="00A65715"/>
    <w:rsid w:val="00A754C0"/>
    <w:rsid w:val="00A81002"/>
    <w:rsid w:val="00A8392D"/>
    <w:rsid w:val="00A87250"/>
    <w:rsid w:val="00A8759C"/>
    <w:rsid w:val="00AA431D"/>
    <w:rsid w:val="00AA6A2F"/>
    <w:rsid w:val="00AA7259"/>
    <w:rsid w:val="00AB087A"/>
    <w:rsid w:val="00AB0C2A"/>
    <w:rsid w:val="00AB2789"/>
    <w:rsid w:val="00AB2880"/>
    <w:rsid w:val="00AC1CF3"/>
    <w:rsid w:val="00AD3900"/>
    <w:rsid w:val="00AD5DF3"/>
    <w:rsid w:val="00AE07EF"/>
    <w:rsid w:val="00B0338D"/>
    <w:rsid w:val="00B03B30"/>
    <w:rsid w:val="00B07D3E"/>
    <w:rsid w:val="00B20BC6"/>
    <w:rsid w:val="00B21A9B"/>
    <w:rsid w:val="00B24D06"/>
    <w:rsid w:val="00B2543C"/>
    <w:rsid w:val="00B25518"/>
    <w:rsid w:val="00B274C3"/>
    <w:rsid w:val="00B320A1"/>
    <w:rsid w:val="00B325BB"/>
    <w:rsid w:val="00B32D0B"/>
    <w:rsid w:val="00B4082F"/>
    <w:rsid w:val="00B41EB7"/>
    <w:rsid w:val="00B4490D"/>
    <w:rsid w:val="00B450F5"/>
    <w:rsid w:val="00B45EBD"/>
    <w:rsid w:val="00B51F66"/>
    <w:rsid w:val="00B606D7"/>
    <w:rsid w:val="00B710A6"/>
    <w:rsid w:val="00B74987"/>
    <w:rsid w:val="00B76C44"/>
    <w:rsid w:val="00B773D5"/>
    <w:rsid w:val="00B82CA0"/>
    <w:rsid w:val="00B8378C"/>
    <w:rsid w:val="00B94F74"/>
    <w:rsid w:val="00B96F59"/>
    <w:rsid w:val="00BA520E"/>
    <w:rsid w:val="00BB5CA4"/>
    <w:rsid w:val="00BB7782"/>
    <w:rsid w:val="00BC014E"/>
    <w:rsid w:val="00BC59FD"/>
    <w:rsid w:val="00BC5DE1"/>
    <w:rsid w:val="00BD1414"/>
    <w:rsid w:val="00BE03BC"/>
    <w:rsid w:val="00BE09D5"/>
    <w:rsid w:val="00BE09EE"/>
    <w:rsid w:val="00BE199A"/>
    <w:rsid w:val="00BE73C0"/>
    <w:rsid w:val="00BF09EE"/>
    <w:rsid w:val="00BF0A65"/>
    <w:rsid w:val="00BF1903"/>
    <w:rsid w:val="00BF4A67"/>
    <w:rsid w:val="00C00F7A"/>
    <w:rsid w:val="00C15B4C"/>
    <w:rsid w:val="00C21661"/>
    <w:rsid w:val="00C24A37"/>
    <w:rsid w:val="00C25EFA"/>
    <w:rsid w:val="00C31FF1"/>
    <w:rsid w:val="00C33F81"/>
    <w:rsid w:val="00C3450E"/>
    <w:rsid w:val="00C350C1"/>
    <w:rsid w:val="00C40111"/>
    <w:rsid w:val="00C43C3E"/>
    <w:rsid w:val="00C43DDD"/>
    <w:rsid w:val="00C51921"/>
    <w:rsid w:val="00C51BF2"/>
    <w:rsid w:val="00C55589"/>
    <w:rsid w:val="00C55E57"/>
    <w:rsid w:val="00C6367B"/>
    <w:rsid w:val="00C638D2"/>
    <w:rsid w:val="00C6395B"/>
    <w:rsid w:val="00C65958"/>
    <w:rsid w:val="00C66EAD"/>
    <w:rsid w:val="00C6774F"/>
    <w:rsid w:val="00C810FE"/>
    <w:rsid w:val="00C83904"/>
    <w:rsid w:val="00C86601"/>
    <w:rsid w:val="00C86BBF"/>
    <w:rsid w:val="00C92132"/>
    <w:rsid w:val="00C95351"/>
    <w:rsid w:val="00C973D2"/>
    <w:rsid w:val="00CA4C80"/>
    <w:rsid w:val="00CB6892"/>
    <w:rsid w:val="00CC3373"/>
    <w:rsid w:val="00CC5D07"/>
    <w:rsid w:val="00CD2608"/>
    <w:rsid w:val="00CD5C29"/>
    <w:rsid w:val="00CD60FD"/>
    <w:rsid w:val="00CD6AB4"/>
    <w:rsid w:val="00CD74EF"/>
    <w:rsid w:val="00CE0E1B"/>
    <w:rsid w:val="00CE3D44"/>
    <w:rsid w:val="00CE5CCD"/>
    <w:rsid w:val="00D00C46"/>
    <w:rsid w:val="00D0393D"/>
    <w:rsid w:val="00D07917"/>
    <w:rsid w:val="00D12963"/>
    <w:rsid w:val="00D12F04"/>
    <w:rsid w:val="00D14240"/>
    <w:rsid w:val="00D14268"/>
    <w:rsid w:val="00D21A8E"/>
    <w:rsid w:val="00D2221A"/>
    <w:rsid w:val="00D22F71"/>
    <w:rsid w:val="00D23E74"/>
    <w:rsid w:val="00D436DC"/>
    <w:rsid w:val="00D56EC8"/>
    <w:rsid w:val="00D6157C"/>
    <w:rsid w:val="00D71258"/>
    <w:rsid w:val="00D76C1B"/>
    <w:rsid w:val="00D77678"/>
    <w:rsid w:val="00D8213C"/>
    <w:rsid w:val="00D83A7F"/>
    <w:rsid w:val="00D84C41"/>
    <w:rsid w:val="00D87910"/>
    <w:rsid w:val="00DA3C18"/>
    <w:rsid w:val="00DA459F"/>
    <w:rsid w:val="00DB0726"/>
    <w:rsid w:val="00DB0960"/>
    <w:rsid w:val="00DC44DC"/>
    <w:rsid w:val="00DD7624"/>
    <w:rsid w:val="00DE119C"/>
    <w:rsid w:val="00DE7B82"/>
    <w:rsid w:val="00DF1010"/>
    <w:rsid w:val="00DF11D4"/>
    <w:rsid w:val="00DF5FEC"/>
    <w:rsid w:val="00DF6997"/>
    <w:rsid w:val="00DF6A27"/>
    <w:rsid w:val="00E01CAB"/>
    <w:rsid w:val="00E01CDA"/>
    <w:rsid w:val="00E031C3"/>
    <w:rsid w:val="00E038DF"/>
    <w:rsid w:val="00E0394B"/>
    <w:rsid w:val="00E068EF"/>
    <w:rsid w:val="00E06A47"/>
    <w:rsid w:val="00E11553"/>
    <w:rsid w:val="00E12593"/>
    <w:rsid w:val="00E15C1D"/>
    <w:rsid w:val="00E15E40"/>
    <w:rsid w:val="00E2217F"/>
    <w:rsid w:val="00E24690"/>
    <w:rsid w:val="00E25169"/>
    <w:rsid w:val="00E27266"/>
    <w:rsid w:val="00E339A9"/>
    <w:rsid w:val="00E37340"/>
    <w:rsid w:val="00E3787B"/>
    <w:rsid w:val="00E423A8"/>
    <w:rsid w:val="00E45736"/>
    <w:rsid w:val="00E622F4"/>
    <w:rsid w:val="00E67C21"/>
    <w:rsid w:val="00E71200"/>
    <w:rsid w:val="00E749FF"/>
    <w:rsid w:val="00E77871"/>
    <w:rsid w:val="00E81B66"/>
    <w:rsid w:val="00E81DCD"/>
    <w:rsid w:val="00E845A8"/>
    <w:rsid w:val="00E8707C"/>
    <w:rsid w:val="00E93A5C"/>
    <w:rsid w:val="00E9467A"/>
    <w:rsid w:val="00EA2B66"/>
    <w:rsid w:val="00EA5121"/>
    <w:rsid w:val="00EA6368"/>
    <w:rsid w:val="00EB1100"/>
    <w:rsid w:val="00EB3A67"/>
    <w:rsid w:val="00EC07C8"/>
    <w:rsid w:val="00ED01FB"/>
    <w:rsid w:val="00ED37AE"/>
    <w:rsid w:val="00ED6171"/>
    <w:rsid w:val="00ED7FED"/>
    <w:rsid w:val="00EE1ADE"/>
    <w:rsid w:val="00EE2133"/>
    <w:rsid w:val="00EE2F28"/>
    <w:rsid w:val="00EE4D02"/>
    <w:rsid w:val="00EF09E2"/>
    <w:rsid w:val="00F01E67"/>
    <w:rsid w:val="00F027B5"/>
    <w:rsid w:val="00F04575"/>
    <w:rsid w:val="00F07DA9"/>
    <w:rsid w:val="00F1386C"/>
    <w:rsid w:val="00F22050"/>
    <w:rsid w:val="00F227B6"/>
    <w:rsid w:val="00F235E8"/>
    <w:rsid w:val="00F30D34"/>
    <w:rsid w:val="00F310E4"/>
    <w:rsid w:val="00F412A4"/>
    <w:rsid w:val="00F518AA"/>
    <w:rsid w:val="00F51D42"/>
    <w:rsid w:val="00F55629"/>
    <w:rsid w:val="00F57C38"/>
    <w:rsid w:val="00F61971"/>
    <w:rsid w:val="00F646BD"/>
    <w:rsid w:val="00F65612"/>
    <w:rsid w:val="00F72D5E"/>
    <w:rsid w:val="00F72FA3"/>
    <w:rsid w:val="00F74DCD"/>
    <w:rsid w:val="00F75B8B"/>
    <w:rsid w:val="00F763DE"/>
    <w:rsid w:val="00F82514"/>
    <w:rsid w:val="00F82DE4"/>
    <w:rsid w:val="00F82F27"/>
    <w:rsid w:val="00F82FCF"/>
    <w:rsid w:val="00F85722"/>
    <w:rsid w:val="00F874C8"/>
    <w:rsid w:val="00F90DF4"/>
    <w:rsid w:val="00F95DB8"/>
    <w:rsid w:val="00F97361"/>
    <w:rsid w:val="00FB012E"/>
    <w:rsid w:val="00FB07E6"/>
    <w:rsid w:val="00FB131A"/>
    <w:rsid w:val="00FB54E7"/>
    <w:rsid w:val="00FB6673"/>
    <w:rsid w:val="00FB779B"/>
    <w:rsid w:val="00FD1289"/>
    <w:rsid w:val="00FD2650"/>
    <w:rsid w:val="00FD3B5B"/>
    <w:rsid w:val="00FE17FF"/>
    <w:rsid w:val="00FE61B9"/>
    <w:rsid w:val="00FE6406"/>
    <w:rsid w:val="00FF161D"/>
    <w:rsid w:val="00FF30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D02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semiHidden="1" w:uiPriority="12" w:qFormat="1"/>
    <w:lsdException w:name="heading 2" w:semiHidden="1" w:uiPriority="12" w:unhideWhenUsed="1" w:qFormat="1"/>
    <w:lsdException w:name="heading 3" w:semiHidden="1" w:uiPriority="13" w:unhideWhenUsed="1" w:qFormat="1"/>
    <w:lsdException w:name="heading 4" w:semiHidden="1" w:uiPriority="14" w:unhideWhenUsed="1" w:qFormat="1"/>
    <w:lsdException w:name="heading 5" w:semiHidden="1" w:uiPriority="15" w:unhideWhenUsed="1" w:qFormat="1"/>
    <w:lsdException w:name="heading 6" w:semiHidden="1" w:uiPriority="16"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8" w:unhideWhenUsed="1"/>
    <w:lsdException w:name="footer" w:semiHidden="1" w:uiPriority="27" w:unhideWhenUsed="1"/>
    <w:lsdException w:name="index heading" w:semiHidden="1" w:unhideWhenUsed="1"/>
    <w:lsdException w:name="caption" w:semiHidden="1" w:uiPriority="1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25"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4AD"/>
    <w:pPr>
      <w:spacing w:after="200" w:line="276" w:lineRule="auto"/>
    </w:pPr>
    <w:rPr>
      <w:rFonts w:eastAsiaTheme="minorHAnsi" w:cstheme="minorBidi"/>
      <w:sz w:val="22"/>
      <w:szCs w:val="22"/>
      <w:lang w:eastAsia="en-US"/>
    </w:rPr>
  </w:style>
  <w:style w:type="paragraph" w:styleId="Heading1">
    <w:name w:val="heading 1"/>
    <w:basedOn w:val="Normal"/>
    <w:next w:val="Normal"/>
    <w:link w:val="Heading1Char"/>
    <w:uiPriority w:val="12"/>
    <w:qFormat/>
    <w:rsid w:val="00F85722"/>
    <w:pPr>
      <w:keepNext/>
      <w:keepLines/>
      <w:spacing w:before="360" w:after="0" w:line="240" w:lineRule="auto"/>
      <w:contextualSpacing/>
      <w:outlineLvl w:val="0"/>
    </w:pPr>
    <w:rPr>
      <w:rFonts w:ascii="Calibri" w:hAnsi="Calibri" w:cs="Calibri"/>
      <w:b/>
      <w:sz w:val="60"/>
    </w:rPr>
  </w:style>
  <w:style w:type="paragraph" w:styleId="Heading2">
    <w:name w:val="heading 2"/>
    <w:next w:val="Normal"/>
    <w:link w:val="Heading2Char"/>
    <w:uiPriority w:val="12"/>
    <w:qFormat/>
    <w:rsid w:val="002329C9"/>
    <w:pPr>
      <w:pageBreakBefore/>
      <w:numPr>
        <w:numId w:val="11"/>
      </w:numPr>
      <w:spacing w:after="120"/>
      <w:outlineLvl w:val="1"/>
    </w:pPr>
    <w:rPr>
      <w:rFonts w:ascii="Calibri" w:eastAsiaTheme="majorEastAsia" w:hAnsi="Calibri" w:cstheme="majorBidi"/>
      <w:b/>
      <w:bCs/>
      <w:color w:val="002855"/>
      <w:sz w:val="34"/>
      <w:szCs w:val="26"/>
      <w:lang w:eastAsia="en-US"/>
    </w:rPr>
  </w:style>
  <w:style w:type="paragraph" w:styleId="Heading3">
    <w:name w:val="heading 3"/>
    <w:next w:val="Normal"/>
    <w:link w:val="Heading3Char"/>
    <w:uiPriority w:val="13"/>
    <w:qFormat/>
    <w:rsid w:val="002329C9"/>
    <w:pPr>
      <w:keepNext/>
      <w:keepLines/>
      <w:numPr>
        <w:ilvl w:val="1"/>
        <w:numId w:val="11"/>
      </w:numPr>
      <w:spacing w:before="120" w:after="120"/>
      <w:outlineLvl w:val="2"/>
    </w:pPr>
    <w:rPr>
      <w:rFonts w:ascii="Calibri" w:eastAsiaTheme="minorHAnsi" w:hAnsi="Calibri" w:cstheme="minorBidi"/>
      <w:b/>
      <w:bCs/>
      <w:color w:val="005F86"/>
      <w:sz w:val="28"/>
      <w:szCs w:val="22"/>
      <w:lang w:eastAsia="en-US"/>
    </w:rPr>
  </w:style>
  <w:style w:type="paragraph" w:styleId="Heading4">
    <w:name w:val="heading 4"/>
    <w:next w:val="Normal"/>
    <w:link w:val="Heading4Char"/>
    <w:uiPriority w:val="14"/>
    <w:qFormat/>
    <w:rsid w:val="002329C9"/>
    <w:pPr>
      <w:keepNext/>
      <w:keepLines/>
      <w:numPr>
        <w:ilvl w:val="2"/>
        <w:numId w:val="11"/>
      </w:numPr>
      <w:spacing w:before="120" w:after="120"/>
      <w:outlineLvl w:val="3"/>
    </w:pPr>
    <w:rPr>
      <w:rFonts w:ascii="Calibri" w:eastAsiaTheme="minorHAnsi" w:hAnsi="Calibri" w:cstheme="minorBidi"/>
      <w:b/>
      <w:bCs/>
      <w:iCs/>
      <w:color w:val="000000"/>
      <w:sz w:val="24"/>
      <w:szCs w:val="22"/>
      <w:lang w:eastAsia="en-US"/>
    </w:rPr>
  </w:style>
  <w:style w:type="paragraph" w:styleId="Heading5">
    <w:name w:val="heading 5"/>
    <w:next w:val="Normal"/>
    <w:link w:val="Heading5Char"/>
    <w:uiPriority w:val="15"/>
    <w:qFormat/>
    <w:rsid w:val="00F85722"/>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16"/>
    <w:qFormat/>
    <w:rsid w:val="00F85722"/>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semiHidden/>
    <w:rsid w:val="00F85722"/>
    <w:pPr>
      <w:outlineLvl w:val="6"/>
    </w:pPr>
    <w:rPr>
      <w:rFonts w:asciiTheme="majorHAnsi" w:eastAsiaTheme="majorEastAsia" w:hAnsiTheme="majorHAnsi" w:cstheme="majorBidi"/>
      <w:i/>
      <w:color w:val="1F4D78"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F85722"/>
    <w:rPr>
      <w:sz w:val="20"/>
      <w:szCs w:val="20"/>
    </w:rPr>
  </w:style>
  <w:style w:type="character" w:customStyle="1" w:styleId="CommentTextChar">
    <w:name w:val="Comment Text Char"/>
    <w:basedOn w:val="DefaultParagraphFont"/>
    <w:link w:val="CommentText"/>
    <w:uiPriority w:val="99"/>
    <w:rsid w:val="008C44AD"/>
    <w:rPr>
      <w:rFonts w:eastAsiaTheme="minorHAnsi" w:cstheme="minorBidi"/>
      <w:lang w:eastAsia="en-US"/>
    </w:rPr>
  </w:style>
  <w:style w:type="paragraph" w:styleId="Header">
    <w:name w:val="header"/>
    <w:basedOn w:val="Normal"/>
    <w:link w:val="HeaderChar"/>
    <w:uiPriority w:val="28"/>
    <w:rsid w:val="00F85722"/>
    <w:pPr>
      <w:tabs>
        <w:tab w:val="center" w:pos="4820"/>
      </w:tabs>
      <w:spacing w:after="60" w:line="240" w:lineRule="auto"/>
      <w:jc w:val="center"/>
    </w:pPr>
    <w:rPr>
      <w:rFonts w:ascii="Calibri" w:hAnsi="Calibri"/>
      <w:sz w:val="20"/>
    </w:rPr>
  </w:style>
  <w:style w:type="character" w:customStyle="1" w:styleId="HeaderChar">
    <w:name w:val="Header Char"/>
    <w:basedOn w:val="DefaultParagraphFont"/>
    <w:link w:val="Header"/>
    <w:uiPriority w:val="28"/>
    <w:rsid w:val="00F85722"/>
    <w:rPr>
      <w:rFonts w:ascii="Calibri" w:eastAsiaTheme="minorHAnsi" w:hAnsi="Calibri" w:cstheme="minorBidi"/>
      <w:szCs w:val="22"/>
      <w:lang w:eastAsia="en-US"/>
    </w:rPr>
  </w:style>
  <w:style w:type="paragraph" w:styleId="Footer">
    <w:name w:val="footer"/>
    <w:basedOn w:val="Normal"/>
    <w:link w:val="FooterChar"/>
    <w:uiPriority w:val="27"/>
    <w:rsid w:val="00F85722"/>
    <w:pPr>
      <w:tabs>
        <w:tab w:val="center" w:pos="4536"/>
      </w:tabs>
      <w:spacing w:after="60" w:line="240" w:lineRule="auto"/>
      <w:jc w:val="center"/>
    </w:pPr>
    <w:rPr>
      <w:rFonts w:ascii="Calibri" w:hAnsi="Calibri"/>
      <w:sz w:val="20"/>
    </w:rPr>
  </w:style>
  <w:style w:type="character" w:customStyle="1" w:styleId="FooterChar">
    <w:name w:val="Footer Char"/>
    <w:basedOn w:val="DefaultParagraphFont"/>
    <w:link w:val="Footer"/>
    <w:uiPriority w:val="27"/>
    <w:rsid w:val="00F85722"/>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F85722"/>
    <w:rPr>
      <w:sz w:val="16"/>
      <w:szCs w:val="16"/>
    </w:rPr>
  </w:style>
  <w:style w:type="paragraph" w:styleId="CommentSubject">
    <w:name w:val="annotation subject"/>
    <w:basedOn w:val="CommentText"/>
    <w:next w:val="CommentText"/>
    <w:link w:val="CommentSubjectChar"/>
    <w:uiPriority w:val="99"/>
    <w:semiHidden/>
    <w:unhideWhenUsed/>
    <w:rsid w:val="00F85722"/>
    <w:rPr>
      <w:b/>
      <w:bCs/>
    </w:rPr>
  </w:style>
  <w:style w:type="character" w:customStyle="1" w:styleId="CommentSubjectChar">
    <w:name w:val="Comment Subject Char"/>
    <w:basedOn w:val="CommentTextChar"/>
    <w:link w:val="CommentSubject"/>
    <w:uiPriority w:val="99"/>
    <w:semiHidden/>
    <w:rsid w:val="00F85722"/>
    <w:rPr>
      <w:rFonts w:eastAsiaTheme="minorHAnsi" w:cstheme="minorBidi"/>
      <w:b/>
      <w:bCs/>
      <w:lang w:eastAsia="en-US"/>
    </w:rPr>
  </w:style>
  <w:style w:type="paragraph" w:styleId="BalloonText">
    <w:name w:val="Balloon Text"/>
    <w:basedOn w:val="Normal"/>
    <w:link w:val="BalloonTextChar"/>
    <w:uiPriority w:val="99"/>
    <w:semiHidden/>
    <w:unhideWhenUsed/>
    <w:rsid w:val="00F85722"/>
    <w:rPr>
      <w:rFonts w:ascii="Calibri" w:hAnsi="Calibri"/>
      <w:sz w:val="18"/>
      <w:szCs w:val="18"/>
    </w:rPr>
  </w:style>
  <w:style w:type="character" w:customStyle="1" w:styleId="BalloonTextChar">
    <w:name w:val="Balloon Text Char"/>
    <w:basedOn w:val="DefaultParagraphFont"/>
    <w:link w:val="BalloonText"/>
    <w:uiPriority w:val="99"/>
    <w:semiHidden/>
    <w:rsid w:val="00F85722"/>
    <w:rPr>
      <w:rFonts w:ascii="Calibri" w:eastAsiaTheme="minorHAnsi" w:hAnsi="Calibri" w:cstheme="minorBidi"/>
      <w:sz w:val="18"/>
      <w:szCs w:val="18"/>
      <w:lang w:eastAsia="en-US"/>
    </w:rPr>
  </w:style>
  <w:style w:type="table" w:styleId="TableGrid">
    <w:name w:val="Table Grid"/>
    <w:basedOn w:val="TableNormal"/>
    <w:uiPriority w:val="59"/>
    <w:rsid w:val="00F8572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F85722"/>
    <w:rPr>
      <w:sz w:val="16"/>
    </w:rPr>
  </w:style>
  <w:style w:type="numbering" w:customStyle="1" w:styleId="Headings">
    <w:name w:val="Headings"/>
    <w:uiPriority w:val="99"/>
    <w:rsid w:val="00F85722"/>
    <w:pPr>
      <w:numPr>
        <w:numId w:val="3"/>
      </w:numPr>
    </w:pPr>
  </w:style>
  <w:style w:type="character" w:customStyle="1" w:styleId="Heading1Char">
    <w:name w:val="Heading 1 Char"/>
    <w:basedOn w:val="DefaultParagraphFont"/>
    <w:link w:val="Heading1"/>
    <w:uiPriority w:val="12"/>
    <w:rsid w:val="00F85722"/>
    <w:rPr>
      <w:rFonts w:ascii="Calibri" w:eastAsiaTheme="minorHAnsi" w:hAnsi="Calibri" w:cs="Calibri"/>
      <w:b/>
      <w:sz w:val="60"/>
      <w:szCs w:val="22"/>
      <w:lang w:eastAsia="en-US"/>
    </w:rPr>
  </w:style>
  <w:style w:type="paragraph" w:styleId="ListParagraph">
    <w:name w:val="List Paragraph"/>
    <w:basedOn w:val="Normal"/>
    <w:uiPriority w:val="99"/>
    <w:semiHidden/>
    <w:qFormat/>
    <w:rsid w:val="006F1726"/>
    <w:pPr>
      <w:ind w:left="720"/>
    </w:pPr>
  </w:style>
  <w:style w:type="character" w:customStyle="1" w:styleId="Heading2Char">
    <w:name w:val="Heading 2 Char"/>
    <w:basedOn w:val="DefaultParagraphFont"/>
    <w:link w:val="Heading2"/>
    <w:uiPriority w:val="12"/>
    <w:rsid w:val="002329C9"/>
    <w:rPr>
      <w:rFonts w:ascii="Calibri" w:eastAsiaTheme="majorEastAsia" w:hAnsi="Calibri" w:cstheme="majorBidi"/>
      <w:b/>
      <w:bCs/>
      <w:color w:val="002855"/>
      <w:sz w:val="34"/>
      <w:szCs w:val="26"/>
      <w:lang w:eastAsia="en-US"/>
    </w:rPr>
  </w:style>
  <w:style w:type="character" w:customStyle="1" w:styleId="Heading3Char">
    <w:name w:val="Heading 3 Char"/>
    <w:basedOn w:val="DefaultParagraphFont"/>
    <w:link w:val="Heading3"/>
    <w:uiPriority w:val="13"/>
    <w:rsid w:val="002329C9"/>
    <w:rPr>
      <w:rFonts w:ascii="Calibri" w:eastAsiaTheme="minorHAnsi" w:hAnsi="Calibri" w:cstheme="minorBidi"/>
      <w:b/>
      <w:bCs/>
      <w:color w:val="005F86"/>
      <w:sz w:val="28"/>
      <w:szCs w:val="22"/>
      <w:lang w:eastAsia="en-US"/>
    </w:rPr>
  </w:style>
  <w:style w:type="character" w:customStyle="1" w:styleId="Heading4Char">
    <w:name w:val="Heading 4 Char"/>
    <w:basedOn w:val="DefaultParagraphFont"/>
    <w:link w:val="Heading4"/>
    <w:uiPriority w:val="14"/>
    <w:rsid w:val="002329C9"/>
    <w:rPr>
      <w:rFonts w:ascii="Calibri" w:eastAsiaTheme="minorHAnsi" w:hAnsi="Calibri" w:cstheme="minorBidi"/>
      <w:b/>
      <w:bCs/>
      <w:iCs/>
      <w:color w:val="000000"/>
      <w:sz w:val="24"/>
      <w:szCs w:val="22"/>
      <w:lang w:eastAsia="en-US"/>
    </w:rPr>
  </w:style>
  <w:style w:type="character" w:customStyle="1" w:styleId="Heading5Char">
    <w:name w:val="Heading 5 Char"/>
    <w:basedOn w:val="DefaultParagraphFont"/>
    <w:link w:val="Heading5"/>
    <w:uiPriority w:val="15"/>
    <w:rsid w:val="00F85722"/>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F85722"/>
    <w:pPr>
      <w:ind w:left="709" w:right="567"/>
    </w:pPr>
    <w:rPr>
      <w:iCs/>
      <w:color w:val="000000"/>
    </w:rPr>
  </w:style>
  <w:style w:type="character" w:customStyle="1" w:styleId="QuoteChar">
    <w:name w:val="Quote Char"/>
    <w:basedOn w:val="DefaultParagraphFont"/>
    <w:link w:val="Quote"/>
    <w:uiPriority w:val="18"/>
    <w:rsid w:val="00F85722"/>
    <w:rPr>
      <w:rFonts w:eastAsiaTheme="minorHAnsi" w:cstheme="minorBidi"/>
      <w:iCs/>
      <w:color w:val="000000"/>
      <w:sz w:val="22"/>
      <w:szCs w:val="22"/>
      <w:lang w:eastAsia="en-US"/>
    </w:rPr>
  </w:style>
  <w:style w:type="paragraph" w:customStyle="1" w:styleId="BoxText">
    <w:name w:val="Box Text"/>
    <w:basedOn w:val="Normal"/>
    <w:uiPriority w:val="19"/>
    <w:semiHidden/>
    <w:qFormat/>
    <w:rsid w:val="00F85722"/>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7"/>
    <w:qFormat/>
    <w:rsid w:val="00F85722"/>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rsid w:val="00F85722"/>
    <w:pPr>
      <w:spacing w:line="240" w:lineRule="auto"/>
      <w:contextualSpacing/>
    </w:pPr>
    <w:rPr>
      <w:rFonts w:ascii="Calibri" w:hAnsi="Calibri"/>
      <w:sz w:val="18"/>
    </w:rPr>
  </w:style>
  <w:style w:type="paragraph" w:styleId="Title">
    <w:name w:val="Title"/>
    <w:basedOn w:val="Normal"/>
    <w:next w:val="Normal"/>
    <w:link w:val="TitleChar"/>
    <w:uiPriority w:val="10"/>
    <w:semiHidden/>
    <w:qFormat/>
    <w:rsid w:val="00F857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8C44AD"/>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23"/>
    <w:semiHidden/>
    <w:qFormat/>
    <w:rsid w:val="006F1726"/>
    <w:pPr>
      <w:spacing w:after="840" w:line="240" w:lineRule="auto"/>
    </w:pPr>
    <w:rPr>
      <w:rFonts w:ascii="Calibri" w:hAnsi="Calibri" w:cs="Calibri"/>
      <w:sz w:val="68"/>
      <w:szCs w:val="72"/>
    </w:rPr>
  </w:style>
  <w:style w:type="character" w:customStyle="1" w:styleId="SubtitleChar">
    <w:name w:val="Subtitle Char"/>
    <w:link w:val="Subtitle"/>
    <w:uiPriority w:val="23"/>
    <w:semiHidden/>
    <w:rsid w:val="008C44AD"/>
    <w:rPr>
      <w:rFonts w:ascii="Calibri" w:eastAsiaTheme="minorHAnsi" w:hAnsi="Calibri" w:cs="Calibri"/>
      <w:sz w:val="68"/>
      <w:szCs w:val="72"/>
      <w:lang w:eastAsia="en-US"/>
    </w:rPr>
  </w:style>
  <w:style w:type="paragraph" w:styleId="TOCHeading">
    <w:name w:val="TOC Heading"/>
    <w:next w:val="Normal"/>
    <w:uiPriority w:val="39"/>
    <w:qFormat/>
    <w:rsid w:val="002329C9"/>
    <w:rPr>
      <w:rFonts w:ascii="Calibri" w:eastAsiaTheme="majorEastAsia" w:hAnsi="Calibri" w:cstheme="majorBidi"/>
      <w:b/>
      <w:bCs/>
      <w:color w:val="002855"/>
      <w:sz w:val="34"/>
      <w:szCs w:val="28"/>
      <w:lang w:val="en-US" w:eastAsia="en-US"/>
    </w:rPr>
  </w:style>
  <w:style w:type="paragraph" w:styleId="TOC1">
    <w:name w:val="toc 1"/>
    <w:next w:val="Normal"/>
    <w:uiPriority w:val="39"/>
    <w:rsid w:val="00F85722"/>
    <w:pPr>
      <w:tabs>
        <w:tab w:val="left" w:pos="426"/>
        <w:tab w:val="right" w:leader="dot" w:pos="9072"/>
      </w:tabs>
      <w:spacing w:before="120" w:after="120"/>
      <w:ind w:left="851" w:hanging="851"/>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rsid w:val="00F85722"/>
    <w:pPr>
      <w:tabs>
        <w:tab w:val="right" w:leader="dot" w:pos="9060"/>
      </w:tabs>
      <w:spacing w:before="120" w:after="120" w:line="240" w:lineRule="auto"/>
      <w:ind w:left="1105" w:hanging="680"/>
    </w:pPr>
    <w:rPr>
      <w:rFonts w:asciiTheme="minorHAnsi" w:hAnsiTheme="minorHAnsi"/>
      <w:noProof/>
    </w:rPr>
  </w:style>
  <w:style w:type="paragraph" w:styleId="TOC3">
    <w:name w:val="toc 3"/>
    <w:basedOn w:val="Normal"/>
    <w:next w:val="Normal"/>
    <w:uiPriority w:val="39"/>
    <w:rsid w:val="00F85722"/>
    <w:pPr>
      <w:tabs>
        <w:tab w:val="right" w:leader="dot" w:pos="9072"/>
      </w:tabs>
      <w:spacing w:before="120" w:after="120" w:line="240" w:lineRule="auto"/>
      <w:ind w:left="1361" w:hanging="907"/>
    </w:pPr>
    <w:rPr>
      <w:noProof/>
    </w:rPr>
  </w:style>
  <w:style w:type="character" w:styleId="Hyperlink">
    <w:name w:val="Hyperlink"/>
    <w:basedOn w:val="DefaultParagraphFont"/>
    <w:uiPriority w:val="99"/>
    <w:qFormat/>
    <w:rsid w:val="00F85722"/>
    <w:rPr>
      <w:color w:val="165788"/>
      <w:u w:val="single"/>
    </w:rPr>
  </w:style>
  <w:style w:type="paragraph" w:styleId="ListBullet">
    <w:name w:val="List Bullet"/>
    <w:uiPriority w:val="7"/>
    <w:qFormat/>
    <w:rsid w:val="00F85722"/>
    <w:pPr>
      <w:numPr>
        <w:numId w:val="14"/>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F85722"/>
    <w:pPr>
      <w:spacing w:before="120" w:after="120" w:line="240" w:lineRule="auto"/>
      <w:ind w:left="936" w:hanging="936"/>
    </w:pPr>
    <w:rPr>
      <w:rFonts w:asciiTheme="minorHAnsi" w:hAnsiTheme="minorHAnsi"/>
    </w:rPr>
  </w:style>
  <w:style w:type="paragraph" w:styleId="ListBullet2">
    <w:name w:val="List Bullet 2"/>
    <w:uiPriority w:val="8"/>
    <w:qFormat/>
    <w:rsid w:val="00F85722"/>
    <w:pPr>
      <w:numPr>
        <w:ilvl w:val="1"/>
        <w:numId w:val="14"/>
      </w:numPr>
      <w:spacing w:before="120" w:after="120"/>
    </w:pPr>
    <w:rPr>
      <w:rFonts w:eastAsiaTheme="minorHAnsi" w:cstheme="minorBidi"/>
      <w:sz w:val="22"/>
      <w:szCs w:val="22"/>
      <w:lang w:eastAsia="en-US"/>
    </w:rPr>
  </w:style>
  <w:style w:type="paragraph" w:styleId="ListNumber">
    <w:name w:val="List Number"/>
    <w:basedOn w:val="Normal"/>
    <w:uiPriority w:val="9"/>
    <w:qFormat/>
    <w:rsid w:val="00F85722"/>
    <w:pPr>
      <w:numPr>
        <w:numId w:val="15"/>
      </w:numPr>
      <w:spacing w:before="120" w:after="120" w:line="280" w:lineRule="atLeast"/>
    </w:pPr>
    <w:rPr>
      <w:szCs w:val="20"/>
    </w:rPr>
  </w:style>
  <w:style w:type="paragraph" w:styleId="ListNumber2">
    <w:name w:val="List Number 2"/>
    <w:uiPriority w:val="10"/>
    <w:qFormat/>
    <w:rsid w:val="00F85722"/>
    <w:pPr>
      <w:numPr>
        <w:ilvl w:val="1"/>
        <w:numId w:val="15"/>
      </w:numPr>
      <w:spacing w:before="120" w:after="120" w:line="264" w:lineRule="auto"/>
    </w:pPr>
    <w:rPr>
      <w:rFonts w:eastAsia="Times New Roman"/>
      <w:sz w:val="22"/>
      <w:szCs w:val="24"/>
      <w:lang w:eastAsia="en-US"/>
    </w:rPr>
  </w:style>
  <w:style w:type="paragraph" w:styleId="ListNumber3">
    <w:name w:val="List Number 3"/>
    <w:uiPriority w:val="11"/>
    <w:qFormat/>
    <w:rsid w:val="00F85722"/>
    <w:pPr>
      <w:numPr>
        <w:ilvl w:val="2"/>
        <w:numId w:val="15"/>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F8572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F85722"/>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F85722"/>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rsid w:val="00F85722"/>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F85722"/>
    <w:pPr>
      <w:keepNext/>
    </w:pPr>
    <w:rPr>
      <w:b/>
    </w:rPr>
  </w:style>
  <w:style w:type="character" w:styleId="PlaceholderText">
    <w:name w:val="Placeholder Text"/>
    <w:basedOn w:val="DefaultParagraphFont"/>
    <w:uiPriority w:val="99"/>
    <w:semiHidden/>
    <w:rsid w:val="00F85722"/>
    <w:rPr>
      <w:color w:val="808080"/>
    </w:rPr>
  </w:style>
  <w:style w:type="paragraph" w:customStyle="1" w:styleId="Author">
    <w:name w:val="Author"/>
    <w:basedOn w:val="Normal"/>
    <w:next w:val="Normal"/>
    <w:uiPriority w:val="24"/>
    <w:semiHidden/>
    <w:qFormat/>
    <w:rsid w:val="00F85722"/>
    <w:pPr>
      <w:spacing w:after="60"/>
    </w:pPr>
    <w:rPr>
      <w:b/>
      <w:sz w:val="28"/>
      <w:szCs w:val="28"/>
    </w:rPr>
  </w:style>
  <w:style w:type="paragraph" w:customStyle="1" w:styleId="AuthorOrganisationAffiliation">
    <w:name w:val="Author Organisation/Affiliation"/>
    <w:basedOn w:val="Normal"/>
    <w:next w:val="Normal"/>
    <w:uiPriority w:val="25"/>
    <w:semiHidden/>
    <w:qFormat/>
    <w:rsid w:val="00F85722"/>
    <w:pPr>
      <w:spacing w:after="720"/>
    </w:pPr>
  </w:style>
  <w:style w:type="character" w:styleId="Strong">
    <w:name w:val="Strong"/>
    <w:uiPriority w:val="22"/>
    <w:qFormat/>
    <w:rsid w:val="00F85722"/>
    <w:rPr>
      <w:b/>
      <w:bCs/>
    </w:rPr>
  </w:style>
  <w:style w:type="paragraph" w:customStyle="1" w:styleId="Glossary">
    <w:name w:val="Glossary"/>
    <w:basedOn w:val="Normal"/>
    <w:link w:val="GlossaryChar"/>
    <w:uiPriority w:val="28"/>
    <w:semiHidden/>
    <w:qFormat/>
    <w:rsid w:val="006F1726"/>
    <w:pPr>
      <w:spacing w:before="120" w:after="120"/>
      <w:ind w:left="2126" w:hanging="2126"/>
    </w:pPr>
    <w:rPr>
      <w:color w:val="000000"/>
    </w:rPr>
  </w:style>
  <w:style w:type="character" w:customStyle="1" w:styleId="GlossaryChar">
    <w:name w:val="Glossary Char"/>
    <w:link w:val="Glossary"/>
    <w:uiPriority w:val="28"/>
    <w:semiHidden/>
    <w:rsid w:val="008C44AD"/>
    <w:rPr>
      <w:rFonts w:eastAsiaTheme="minorHAnsi" w:cstheme="minorBidi"/>
      <w:color w:val="000000"/>
      <w:sz w:val="22"/>
      <w:szCs w:val="22"/>
      <w:lang w:eastAsia="en-US"/>
    </w:rPr>
  </w:style>
  <w:style w:type="character" w:styleId="Emphasis">
    <w:name w:val="Emphasis"/>
    <w:basedOn w:val="DefaultParagraphFont"/>
    <w:uiPriority w:val="11"/>
    <w:qFormat/>
    <w:rsid w:val="00F85722"/>
    <w:rPr>
      <w:i/>
      <w:iCs/>
    </w:rPr>
  </w:style>
  <w:style w:type="paragraph" w:styleId="TOAHeading">
    <w:name w:val="toa heading"/>
    <w:basedOn w:val="Heading1"/>
    <w:next w:val="Normal"/>
    <w:uiPriority w:val="99"/>
    <w:semiHidden/>
    <w:unhideWhenUsed/>
    <w:rsid w:val="00F85722"/>
    <w:pPr>
      <w:spacing w:before="120"/>
    </w:pPr>
    <w:rPr>
      <w:bCs/>
      <w:sz w:val="24"/>
    </w:rPr>
  </w:style>
  <w:style w:type="paragraph" w:styleId="NormalWeb">
    <w:name w:val="Normal (Web)"/>
    <w:basedOn w:val="Normal"/>
    <w:uiPriority w:val="99"/>
    <w:semiHidden/>
    <w:unhideWhenUsed/>
    <w:rsid w:val="00F85722"/>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semiHidden/>
    <w:qFormat/>
    <w:rsid w:val="00F85722"/>
    <w:pPr>
      <w:numPr>
        <w:numId w:val="8"/>
      </w:numPr>
    </w:pPr>
  </w:style>
  <w:style w:type="paragraph" w:customStyle="1" w:styleId="TableBullet">
    <w:name w:val="Table Bullet"/>
    <w:basedOn w:val="TableText"/>
    <w:uiPriority w:val="5"/>
    <w:semiHidden/>
    <w:qFormat/>
    <w:rsid w:val="00F85722"/>
    <w:pPr>
      <w:numPr>
        <w:numId w:val="17"/>
      </w:numPr>
    </w:pPr>
  </w:style>
  <w:style w:type="paragraph" w:styleId="DocumentMap">
    <w:name w:val="Document Map"/>
    <w:basedOn w:val="Normal"/>
    <w:link w:val="DocumentMapChar"/>
    <w:uiPriority w:val="99"/>
    <w:semiHidden/>
    <w:unhideWhenUsed/>
    <w:rsid w:val="00F8572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5722"/>
    <w:rPr>
      <w:rFonts w:ascii="Tahoma" w:eastAsiaTheme="minorHAnsi" w:hAnsi="Tahoma" w:cs="Tahoma"/>
      <w:sz w:val="16"/>
      <w:szCs w:val="16"/>
      <w:lang w:eastAsia="en-US"/>
    </w:rPr>
  </w:style>
  <w:style w:type="paragraph" w:customStyle="1" w:styleId="TOCHeadingsamepage">
    <w:name w:val="TOC Heading (same page)"/>
    <w:basedOn w:val="TOCHeading"/>
    <w:next w:val="Normal"/>
    <w:uiPriority w:val="39"/>
    <w:rsid w:val="00F85722"/>
  </w:style>
  <w:style w:type="paragraph" w:customStyle="1" w:styleId="BoxHeading">
    <w:name w:val="Box Heading"/>
    <w:basedOn w:val="BoxText"/>
    <w:uiPriority w:val="20"/>
    <w:semiHidden/>
    <w:qFormat/>
    <w:rsid w:val="00F85722"/>
    <w:pPr>
      <w:spacing w:line="240" w:lineRule="auto"/>
    </w:pPr>
    <w:rPr>
      <w:b/>
    </w:rPr>
  </w:style>
  <w:style w:type="paragraph" w:customStyle="1" w:styleId="Picture">
    <w:name w:val="Picture"/>
    <w:basedOn w:val="Normal"/>
    <w:uiPriority w:val="17"/>
    <w:semiHidden/>
    <w:qFormat/>
    <w:rsid w:val="00F85722"/>
    <w:pPr>
      <w:spacing w:before="120" w:after="120" w:line="240" w:lineRule="auto"/>
    </w:pPr>
    <w:rPr>
      <w:noProof/>
      <w:lang w:eastAsia="en-AU"/>
    </w:rPr>
  </w:style>
  <w:style w:type="paragraph" w:customStyle="1" w:styleId="Securityclassification">
    <w:name w:val="Security classification"/>
    <w:basedOn w:val="Header"/>
    <w:next w:val="Header"/>
    <w:uiPriority w:val="21"/>
    <w:qFormat/>
    <w:rsid w:val="00F85722"/>
    <w:pPr>
      <w:spacing w:after="0"/>
    </w:pPr>
    <w:rPr>
      <w:b/>
      <w:caps/>
      <w:color w:val="FF0000"/>
      <w:sz w:val="36"/>
      <w:szCs w:val="36"/>
    </w:rPr>
  </w:style>
  <w:style w:type="paragraph" w:customStyle="1" w:styleId="DisseminationLimitingMarker">
    <w:name w:val="Dissemination Limiting Marker"/>
    <w:basedOn w:val="Header"/>
    <w:next w:val="Header"/>
    <w:uiPriority w:val="22"/>
    <w:qFormat/>
    <w:rsid w:val="00F85722"/>
    <w:pPr>
      <w:spacing w:after="0"/>
    </w:pPr>
    <w:rPr>
      <w:b/>
      <w:color w:val="FF0000"/>
      <w:sz w:val="36"/>
      <w:szCs w:val="36"/>
    </w:rPr>
  </w:style>
  <w:style w:type="paragraph" w:styleId="FootnoteText">
    <w:name w:val="footnote text"/>
    <w:basedOn w:val="Normal"/>
    <w:link w:val="FootnoteTextChar"/>
    <w:uiPriority w:val="99"/>
    <w:semiHidden/>
    <w:rsid w:val="00F85722"/>
    <w:pPr>
      <w:spacing w:after="60" w:line="264" w:lineRule="auto"/>
    </w:pPr>
    <w:rPr>
      <w:sz w:val="20"/>
      <w:szCs w:val="20"/>
    </w:rPr>
  </w:style>
  <w:style w:type="character" w:customStyle="1" w:styleId="FootnoteTextChar">
    <w:name w:val="Footnote Text Char"/>
    <w:basedOn w:val="DefaultParagraphFont"/>
    <w:link w:val="FootnoteText"/>
    <w:uiPriority w:val="99"/>
    <w:semiHidden/>
    <w:rsid w:val="008C44AD"/>
    <w:rPr>
      <w:rFonts w:eastAsiaTheme="minorHAnsi" w:cstheme="minorBidi"/>
      <w:lang w:eastAsia="en-US"/>
    </w:rPr>
  </w:style>
  <w:style w:type="character" w:styleId="FootnoteReference">
    <w:name w:val="footnote reference"/>
    <w:basedOn w:val="DefaultParagraphFont"/>
    <w:uiPriority w:val="99"/>
    <w:semiHidden/>
    <w:unhideWhenUsed/>
    <w:rsid w:val="00F85722"/>
    <w:rPr>
      <w:vertAlign w:val="superscript"/>
    </w:rPr>
  </w:style>
  <w:style w:type="paragraph" w:styleId="EndnoteText">
    <w:name w:val="endnote text"/>
    <w:basedOn w:val="Normal"/>
    <w:link w:val="EndnoteTextChar"/>
    <w:uiPriority w:val="25"/>
    <w:unhideWhenUsed/>
    <w:rsid w:val="00F85722"/>
    <w:pPr>
      <w:spacing w:before="120" w:after="240" w:line="240" w:lineRule="auto"/>
    </w:pPr>
    <w:rPr>
      <w:szCs w:val="20"/>
    </w:rPr>
  </w:style>
  <w:style w:type="character" w:customStyle="1" w:styleId="EndnoteTextChar">
    <w:name w:val="Endnote Text Char"/>
    <w:basedOn w:val="DefaultParagraphFont"/>
    <w:link w:val="EndnoteText"/>
    <w:uiPriority w:val="25"/>
    <w:rsid w:val="00F85722"/>
    <w:rPr>
      <w:rFonts w:eastAsiaTheme="minorHAnsi" w:cstheme="minorBidi"/>
      <w:sz w:val="22"/>
      <w:lang w:eastAsia="en-US"/>
    </w:rPr>
  </w:style>
  <w:style w:type="character" w:styleId="EndnoteReference">
    <w:name w:val="endnote reference"/>
    <w:basedOn w:val="DefaultParagraphFont"/>
    <w:uiPriority w:val="99"/>
    <w:semiHidden/>
    <w:unhideWhenUsed/>
    <w:rsid w:val="00F85722"/>
    <w:rPr>
      <w:vertAlign w:val="superscript"/>
    </w:rPr>
  </w:style>
  <w:style w:type="character" w:styleId="FollowedHyperlink">
    <w:name w:val="FollowedHyperlink"/>
    <w:basedOn w:val="DefaultParagraphFont"/>
    <w:uiPriority w:val="99"/>
    <w:semiHidden/>
    <w:unhideWhenUsed/>
    <w:rsid w:val="00F85722"/>
    <w:rPr>
      <w:color w:val="800080"/>
      <w:u w:val="single"/>
    </w:rPr>
  </w:style>
  <w:style w:type="paragraph" w:customStyle="1" w:styleId="BoxSource">
    <w:name w:val="Box Source"/>
    <w:basedOn w:val="FigureTableNoteSource"/>
    <w:uiPriority w:val="22"/>
    <w:semiHidden/>
    <w:qFormat/>
    <w:rsid w:val="00F85722"/>
    <w:pPr>
      <w:pBdr>
        <w:top w:val="single" w:sz="4" w:space="10" w:color="auto"/>
        <w:left w:val="single" w:sz="4" w:space="10" w:color="auto"/>
        <w:bottom w:val="single" w:sz="4" w:space="10" w:color="auto"/>
        <w:right w:val="single" w:sz="4" w:space="10" w:color="auto"/>
      </w:pBdr>
    </w:pPr>
    <w:rPr>
      <w:lang w:val="en-US"/>
    </w:rPr>
  </w:style>
  <w:style w:type="paragraph" w:customStyle="1" w:styleId="Heading2Nonumber">
    <w:name w:val="Heading 2 No number"/>
    <w:basedOn w:val="Heading2"/>
    <w:next w:val="Normal"/>
    <w:semiHidden/>
    <w:qFormat/>
    <w:rsid w:val="006F1726"/>
  </w:style>
  <w:style w:type="paragraph" w:customStyle="1" w:styleId="Heading1nonumbers">
    <w:name w:val="Heading 1 (no numbers)"/>
    <w:basedOn w:val="Heading1"/>
    <w:semiHidden/>
    <w:qFormat/>
    <w:rsid w:val="006F1726"/>
    <w:rPr>
      <w:lang w:val="en-US"/>
    </w:rPr>
  </w:style>
  <w:style w:type="numbering" w:customStyle="1" w:styleId="captions">
    <w:name w:val="captions"/>
    <w:uiPriority w:val="99"/>
    <w:rsid w:val="00F85722"/>
    <w:pPr>
      <w:numPr>
        <w:numId w:val="9"/>
      </w:numPr>
    </w:pPr>
  </w:style>
  <w:style w:type="paragraph" w:customStyle="1" w:styleId="TableText0">
    <w:name w:val="TableText"/>
    <w:basedOn w:val="Normal"/>
    <w:link w:val="TableTextChar0"/>
    <w:semiHidden/>
    <w:rsid w:val="006F1726"/>
    <w:pPr>
      <w:keepNext/>
      <w:spacing w:before="60" w:after="60" w:line="240" w:lineRule="auto"/>
    </w:pPr>
    <w:rPr>
      <w:rFonts w:ascii="Times New Roman" w:hAnsi="Times New Roman"/>
      <w:color w:val="000000"/>
      <w:sz w:val="16"/>
      <w:szCs w:val="20"/>
    </w:rPr>
  </w:style>
  <w:style w:type="character" w:customStyle="1" w:styleId="TableTextChar0">
    <w:name w:val="TableText Char"/>
    <w:link w:val="TableText0"/>
    <w:semiHidden/>
    <w:rsid w:val="008C44AD"/>
    <w:rPr>
      <w:rFonts w:ascii="Times New Roman" w:eastAsiaTheme="minorHAnsi" w:hAnsi="Times New Roman" w:cstheme="minorBidi"/>
      <w:color w:val="000000"/>
      <w:sz w:val="16"/>
      <w:lang w:eastAsia="en-US"/>
    </w:rPr>
  </w:style>
  <w:style w:type="paragraph" w:customStyle="1" w:styleId="TableNotes">
    <w:name w:val="TableNotes"/>
    <w:basedOn w:val="Normal"/>
    <w:link w:val="TableNotesChar"/>
    <w:semiHidden/>
    <w:rsid w:val="00F85722"/>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semiHidden/>
    <w:rsid w:val="008C44AD"/>
    <w:rPr>
      <w:rFonts w:ascii="Arial Narrow" w:eastAsiaTheme="minorHAnsi" w:hAnsi="Arial Narrow" w:cstheme="minorBidi"/>
      <w:color w:val="000000"/>
      <w:sz w:val="16"/>
      <w:szCs w:val="22"/>
      <w:lang w:eastAsia="en-US"/>
    </w:rPr>
  </w:style>
  <w:style w:type="paragraph" w:customStyle="1" w:styleId="AQISNum">
    <w:name w:val="AQIS Num"/>
    <w:basedOn w:val="Normal"/>
    <w:next w:val="Normal"/>
    <w:link w:val="AQISNumChar"/>
    <w:semiHidden/>
    <w:rsid w:val="006F1726"/>
    <w:pPr>
      <w:numPr>
        <w:numId w:val="2"/>
      </w:numPr>
      <w:spacing w:before="60" w:after="0" w:line="280" w:lineRule="atLeast"/>
    </w:pPr>
    <w:rPr>
      <w:rFonts w:ascii="Times New Roman" w:hAnsi="Times New Roman"/>
      <w:sz w:val="24"/>
      <w:szCs w:val="20"/>
    </w:rPr>
  </w:style>
  <w:style w:type="character" w:customStyle="1" w:styleId="TableTextChar">
    <w:name w:val="Table Text Char"/>
    <w:basedOn w:val="DefaultParagraphFont"/>
    <w:link w:val="TableText"/>
    <w:rsid w:val="00F85722"/>
    <w:rPr>
      <w:rFonts w:eastAsiaTheme="minorHAnsi" w:cstheme="minorBidi"/>
      <w:sz w:val="18"/>
      <w:szCs w:val="22"/>
      <w:lang w:eastAsia="en-US"/>
    </w:rPr>
  </w:style>
  <w:style w:type="character" w:customStyle="1" w:styleId="AQISNumChar">
    <w:name w:val="AQIS Num Char"/>
    <w:link w:val="AQISNum"/>
    <w:semiHidden/>
    <w:rsid w:val="008C44AD"/>
    <w:rPr>
      <w:rFonts w:ascii="Times New Roman" w:eastAsiaTheme="minorHAnsi" w:hAnsi="Times New Roman" w:cstheme="minorBidi"/>
      <w:sz w:val="24"/>
      <w:lang w:eastAsia="en-US"/>
    </w:rPr>
  </w:style>
  <w:style w:type="paragraph" w:customStyle="1" w:styleId="Heading6plain">
    <w:name w:val="Heading 6 plain"/>
    <w:basedOn w:val="Heading5"/>
    <w:link w:val="Heading6plainChar"/>
    <w:semiHidden/>
    <w:qFormat/>
    <w:rsid w:val="006F1726"/>
    <w:rPr>
      <w:b w:val="0"/>
    </w:rPr>
  </w:style>
  <w:style w:type="character" w:customStyle="1" w:styleId="Heading6plainChar">
    <w:name w:val="Heading 6 plain Char"/>
    <w:basedOn w:val="Heading5Char"/>
    <w:link w:val="Heading6plain"/>
    <w:semiHidden/>
    <w:rsid w:val="008C44AD"/>
    <w:rPr>
      <w:rFonts w:ascii="Calibri" w:eastAsiaTheme="minorHAnsi" w:hAnsi="Calibri" w:cstheme="minorBidi"/>
      <w:b w:val="0"/>
      <w:sz w:val="22"/>
      <w:szCs w:val="22"/>
      <w:lang w:eastAsia="en-US"/>
    </w:rPr>
  </w:style>
  <w:style w:type="numbering" w:customStyle="1" w:styleId="List1">
    <w:name w:val="List1"/>
    <w:basedOn w:val="NoList"/>
    <w:uiPriority w:val="99"/>
    <w:rsid w:val="00F85722"/>
    <w:pPr>
      <w:numPr>
        <w:numId w:val="16"/>
      </w:numPr>
    </w:pPr>
  </w:style>
  <w:style w:type="character" w:customStyle="1" w:styleId="CaptionChar">
    <w:name w:val="Caption Char"/>
    <w:basedOn w:val="DefaultParagraphFont"/>
    <w:link w:val="Caption"/>
    <w:uiPriority w:val="17"/>
    <w:rsid w:val="00F85722"/>
    <w:rPr>
      <w:rFonts w:eastAsiaTheme="majorEastAsia" w:cstheme="majorBidi"/>
      <w:b/>
      <w:bCs/>
      <w:color w:val="595959" w:themeColor="text1" w:themeTint="A6"/>
      <w:szCs w:val="18"/>
      <w:lang w:eastAsia="en-US"/>
    </w:rPr>
  </w:style>
  <w:style w:type="paragraph" w:customStyle="1" w:styleId="Style1">
    <w:name w:val="Style1"/>
    <w:basedOn w:val="Heading3"/>
    <w:semiHidden/>
    <w:qFormat/>
    <w:rsid w:val="006F1726"/>
  </w:style>
  <w:style w:type="paragraph" w:customStyle="1" w:styleId="Heading3Nonumber">
    <w:name w:val="Heading 3 No number"/>
    <w:basedOn w:val="Heading3"/>
    <w:semiHidden/>
    <w:qFormat/>
    <w:rsid w:val="006F1726"/>
  </w:style>
  <w:style w:type="numbering" w:customStyle="1" w:styleId="listbullets">
    <w:name w:val="list bullets"/>
    <w:uiPriority w:val="99"/>
    <w:rsid w:val="00F85722"/>
    <w:pPr>
      <w:numPr>
        <w:numId w:val="14"/>
      </w:numPr>
    </w:pPr>
  </w:style>
  <w:style w:type="numbering" w:customStyle="1" w:styleId="ListNumber1">
    <w:name w:val="List Number1"/>
    <w:uiPriority w:val="99"/>
    <w:rsid w:val="00F85722"/>
    <w:pPr>
      <w:numPr>
        <w:numId w:val="15"/>
      </w:numPr>
    </w:pPr>
  </w:style>
  <w:style w:type="paragraph" w:customStyle="1" w:styleId="EndNoteBibliography">
    <w:name w:val="EndNote Bibliography"/>
    <w:basedOn w:val="Normal"/>
    <w:link w:val="EndNoteBibliographyChar"/>
    <w:uiPriority w:val="24"/>
    <w:rsid w:val="00F85722"/>
    <w:pPr>
      <w:spacing w:before="120" w:after="240" w:line="240" w:lineRule="auto"/>
    </w:pPr>
    <w:rPr>
      <w:noProof/>
      <w:lang w:val="en-US"/>
    </w:rPr>
  </w:style>
  <w:style w:type="character" w:customStyle="1" w:styleId="EndNoteBibliographyChar">
    <w:name w:val="EndNote Bibliography Char"/>
    <w:basedOn w:val="DefaultParagraphFont"/>
    <w:link w:val="EndNoteBibliography"/>
    <w:uiPriority w:val="24"/>
    <w:rsid w:val="00F85722"/>
    <w:rPr>
      <w:rFonts w:eastAsiaTheme="minorHAnsi" w:cstheme="minorBidi"/>
      <w:noProof/>
      <w:sz w:val="22"/>
      <w:szCs w:val="22"/>
      <w:lang w:val="en-US" w:eastAsia="en-US"/>
    </w:rPr>
  </w:style>
  <w:style w:type="character" w:styleId="UnresolvedMention">
    <w:name w:val="Unresolved Mention"/>
    <w:basedOn w:val="DefaultParagraphFont"/>
    <w:uiPriority w:val="99"/>
    <w:semiHidden/>
    <w:unhideWhenUsed/>
    <w:rsid w:val="00F85722"/>
    <w:rPr>
      <w:color w:val="605E5C"/>
      <w:shd w:val="clear" w:color="auto" w:fill="E1DFDD"/>
    </w:rPr>
  </w:style>
  <w:style w:type="paragraph" w:customStyle="1" w:styleId="Heading4-Appendix">
    <w:name w:val="Heading 4 - Appendix"/>
    <w:basedOn w:val="Heading4"/>
    <w:link w:val="Heading4-AppendixChar"/>
    <w:uiPriority w:val="15"/>
    <w:qFormat/>
    <w:rsid w:val="00DF11D4"/>
    <w:pPr>
      <w:tabs>
        <w:tab w:val="num" w:pos="720"/>
      </w:tabs>
      <w:ind w:left="360" w:hanging="360"/>
      <w:jc w:val="both"/>
    </w:pPr>
  </w:style>
  <w:style w:type="character" w:customStyle="1" w:styleId="Heading4-AppendixChar">
    <w:name w:val="Heading 4 - Appendix Char"/>
    <w:basedOn w:val="Heading4Char"/>
    <w:link w:val="Heading4-Appendix"/>
    <w:uiPriority w:val="15"/>
    <w:rsid w:val="00DF11D4"/>
    <w:rPr>
      <w:rFonts w:ascii="Calibri" w:eastAsiaTheme="minorHAnsi" w:hAnsi="Calibri" w:cstheme="minorBidi"/>
      <w:b/>
      <w:bCs/>
      <w:iCs/>
      <w:color w:val="C88F42"/>
      <w:sz w:val="24"/>
      <w:szCs w:val="22"/>
      <w:lang w:eastAsia="en-US"/>
    </w:rPr>
  </w:style>
  <w:style w:type="paragraph" w:customStyle="1" w:styleId="Heading5-Appendix">
    <w:name w:val="Heading 5 - Appendix"/>
    <w:basedOn w:val="Heading5"/>
    <w:qFormat/>
    <w:rsid w:val="00F85722"/>
    <w:pPr>
      <w:numPr>
        <w:numId w:val="12"/>
      </w:numPr>
    </w:pPr>
  </w:style>
  <w:style w:type="paragraph" w:customStyle="1" w:styleId="Heading3-Appendix">
    <w:name w:val="Heading 3 - Appendix"/>
    <w:basedOn w:val="Heading3"/>
    <w:link w:val="Heading3-AppendixChar"/>
    <w:uiPriority w:val="14"/>
    <w:qFormat/>
    <w:rsid w:val="00194F39"/>
    <w:pPr>
      <w:tabs>
        <w:tab w:val="num" w:pos="720"/>
      </w:tabs>
      <w:ind w:left="357" w:hanging="357"/>
      <w:jc w:val="both"/>
    </w:pPr>
  </w:style>
  <w:style w:type="character" w:customStyle="1" w:styleId="Heading3-AppendixChar">
    <w:name w:val="Heading 3 - Appendix Char"/>
    <w:basedOn w:val="Heading3Char"/>
    <w:link w:val="Heading3-Appendix"/>
    <w:uiPriority w:val="14"/>
    <w:rsid w:val="00194F39"/>
    <w:rPr>
      <w:rFonts w:ascii="Calibri" w:eastAsiaTheme="minorHAnsi" w:hAnsi="Calibri" w:cstheme="minorBidi"/>
      <w:b/>
      <w:bCs/>
      <w:color w:val="3C2639"/>
      <w:sz w:val="28"/>
      <w:szCs w:val="22"/>
      <w:lang w:eastAsia="en-US"/>
    </w:rPr>
  </w:style>
  <w:style w:type="paragraph" w:styleId="Revision">
    <w:name w:val="Revision"/>
    <w:hidden/>
    <w:uiPriority w:val="99"/>
    <w:semiHidden/>
    <w:rsid w:val="00B20BC6"/>
    <w:rPr>
      <w:rFonts w:eastAsia="Calibri"/>
      <w:sz w:val="22"/>
      <w:szCs w:val="22"/>
      <w:lang w:eastAsia="en-US"/>
    </w:rPr>
  </w:style>
  <w:style w:type="paragraph" w:customStyle="1" w:styleId="Tablecaption">
    <w:name w:val="Table caption"/>
    <w:basedOn w:val="Caption"/>
    <w:link w:val="TablecaptionChar"/>
    <w:qFormat/>
    <w:rsid w:val="00F85722"/>
    <w:pPr>
      <w:contextualSpacing/>
    </w:pPr>
  </w:style>
  <w:style w:type="character" w:customStyle="1" w:styleId="TablecaptionChar">
    <w:name w:val="Table caption Char"/>
    <w:basedOn w:val="CaptionChar"/>
    <w:link w:val="Tablecaption"/>
    <w:rsid w:val="00F85722"/>
    <w:rPr>
      <w:rFonts w:eastAsiaTheme="majorEastAsia" w:cstheme="majorBidi"/>
      <w:b/>
      <w:bCs/>
      <w:color w:val="595959" w:themeColor="text1" w:themeTint="A6"/>
      <w:szCs w:val="18"/>
      <w:lang w:eastAsia="en-US"/>
    </w:rPr>
  </w:style>
  <w:style w:type="character" w:customStyle="1" w:styleId="TableHeadingChar">
    <w:name w:val="Table Heading Char"/>
    <w:basedOn w:val="TableTextChar"/>
    <w:link w:val="TableHeading"/>
    <w:uiPriority w:val="14"/>
    <w:rsid w:val="00F85722"/>
    <w:rPr>
      <w:rFonts w:eastAsiaTheme="minorHAnsi" w:cstheme="minorBidi"/>
      <w:b/>
      <w:sz w:val="18"/>
      <w:szCs w:val="22"/>
      <w:lang w:eastAsia="en-US"/>
    </w:rPr>
  </w:style>
  <w:style w:type="character" w:customStyle="1" w:styleId="Calibribody11withitalics">
    <w:name w:val="Calibri (body) 11 with italics"/>
    <w:basedOn w:val="DefaultParagraphFont"/>
    <w:uiPriority w:val="1"/>
    <w:semiHidden/>
    <w:rsid w:val="00F85722"/>
    <w:rPr>
      <w:rFonts w:asciiTheme="minorHAnsi" w:hAnsiTheme="minorHAnsi"/>
      <w:i/>
    </w:rPr>
  </w:style>
  <w:style w:type="character" w:customStyle="1" w:styleId="Calibribody11inred">
    <w:name w:val="Calibri (body) 11 in red"/>
    <w:basedOn w:val="Calibribody11withitalics"/>
    <w:uiPriority w:val="1"/>
    <w:semiHidden/>
    <w:rsid w:val="00F85722"/>
    <w:rPr>
      <w:rFonts w:asciiTheme="minorHAnsi" w:hAnsiTheme="minorHAnsi"/>
      <w:i w:val="0"/>
      <w:sz w:val="22"/>
    </w:rPr>
  </w:style>
  <w:style w:type="character" w:customStyle="1" w:styleId="StyleItalic">
    <w:name w:val="Style Italic"/>
    <w:basedOn w:val="DefaultParagraphFont"/>
    <w:semiHidden/>
    <w:rsid w:val="00F85722"/>
    <w:rPr>
      <w:i/>
      <w:iCs/>
    </w:rPr>
  </w:style>
  <w:style w:type="character" w:customStyle="1" w:styleId="Cambria9withitalics">
    <w:name w:val="Cambria 9 with italics"/>
    <w:basedOn w:val="StyleItalic"/>
    <w:uiPriority w:val="1"/>
    <w:semiHidden/>
    <w:rsid w:val="00F85722"/>
    <w:rPr>
      <w:rFonts w:ascii="Cambria" w:hAnsi="Cambria"/>
      <w:i/>
      <w:iCs/>
      <w:color w:val="000000" w:themeColor="text1"/>
      <w:sz w:val="18"/>
    </w:rPr>
  </w:style>
  <w:style w:type="character" w:customStyle="1" w:styleId="Defaultparagraphfont-greenhighlighted">
    <w:name w:val="Default paragraph font - green highlighted"/>
    <w:basedOn w:val="DefaultParagraphFont"/>
    <w:uiPriority w:val="1"/>
    <w:semiHidden/>
    <w:rsid w:val="00F85722"/>
  </w:style>
  <w:style w:type="character" w:customStyle="1" w:styleId="Defaultparagraphfontinred">
    <w:name w:val="Default paragraph font in red"/>
    <w:basedOn w:val="DefaultParagraphFont"/>
    <w:uiPriority w:val="1"/>
    <w:semiHidden/>
    <w:rsid w:val="00F85722"/>
    <w:rPr>
      <w:color w:val="FF0000"/>
    </w:rPr>
  </w:style>
  <w:style w:type="character" w:customStyle="1" w:styleId="DefaultParagraphFontwithitalics">
    <w:name w:val="Default Paragraph Font with italics"/>
    <w:basedOn w:val="DefaultParagraphFont"/>
    <w:uiPriority w:val="1"/>
    <w:semiHidden/>
    <w:rsid w:val="00F85722"/>
    <w:rPr>
      <w:i/>
    </w:rPr>
  </w:style>
  <w:style w:type="paragraph" w:customStyle="1" w:styleId="EndNoteBibliographyTitle">
    <w:name w:val="EndNote Bibliography Title"/>
    <w:basedOn w:val="Normal"/>
    <w:link w:val="EndNoteBibliographyTitleChar"/>
    <w:semiHidden/>
    <w:rsid w:val="00F85722"/>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F85722"/>
    <w:rPr>
      <w:rFonts w:eastAsiaTheme="minorHAnsi" w:cstheme="minorBidi"/>
      <w:noProof/>
      <w:sz w:val="22"/>
      <w:szCs w:val="22"/>
      <w:lang w:val="en-US" w:eastAsia="en-US"/>
    </w:rPr>
  </w:style>
  <w:style w:type="numbering" w:customStyle="1" w:styleId="heading">
    <w:name w:val="heading"/>
    <w:uiPriority w:val="99"/>
    <w:rsid w:val="00F85722"/>
    <w:pPr>
      <w:numPr>
        <w:numId w:val="10"/>
      </w:numPr>
    </w:pPr>
  </w:style>
  <w:style w:type="character" w:customStyle="1" w:styleId="Heading4inred">
    <w:name w:val="Heading 4 in red"/>
    <w:basedOn w:val="DefaultParagraphFont"/>
    <w:uiPriority w:val="1"/>
    <w:semiHidden/>
    <w:rsid w:val="00F85722"/>
    <w:rPr>
      <w:color w:val="FF0000"/>
    </w:rPr>
  </w:style>
  <w:style w:type="character" w:customStyle="1" w:styleId="Heading5initalics">
    <w:name w:val="Heading 5 in italics"/>
    <w:basedOn w:val="Heading5Char"/>
    <w:uiPriority w:val="1"/>
    <w:semiHidden/>
    <w:rsid w:val="00F85722"/>
    <w:rPr>
      <w:rFonts w:asciiTheme="majorHAnsi" w:eastAsiaTheme="majorEastAsia" w:hAnsiTheme="majorHAnsi" w:cstheme="majorBidi"/>
      <w:b/>
      <w:i/>
      <w:color w:val="2E74B5" w:themeColor="accent1" w:themeShade="BF"/>
      <w:sz w:val="22"/>
      <w:szCs w:val="22"/>
      <w:lang w:eastAsia="en-US"/>
    </w:rPr>
  </w:style>
  <w:style w:type="character" w:customStyle="1" w:styleId="Heading6Char">
    <w:name w:val="Heading 6 Char"/>
    <w:basedOn w:val="DefaultParagraphFont"/>
    <w:link w:val="Heading6"/>
    <w:uiPriority w:val="16"/>
    <w:rsid w:val="00F85722"/>
    <w:rPr>
      <w:rFonts w:ascii="Calibri" w:eastAsiaTheme="majorEastAsia" w:hAnsi="Calibri" w:cstheme="majorBidi"/>
      <w:i/>
      <w:sz w:val="22"/>
      <w:szCs w:val="22"/>
      <w:lang w:eastAsia="en-US"/>
    </w:rPr>
  </w:style>
  <w:style w:type="character" w:customStyle="1" w:styleId="Heading7Char">
    <w:name w:val="Heading 7 Char"/>
    <w:basedOn w:val="DefaultParagraphFont"/>
    <w:link w:val="Heading7"/>
    <w:uiPriority w:val="9"/>
    <w:semiHidden/>
    <w:rsid w:val="00F85722"/>
    <w:rPr>
      <w:rFonts w:asciiTheme="majorHAnsi" w:eastAsiaTheme="majorEastAsia" w:hAnsiTheme="majorHAnsi" w:cstheme="majorBidi"/>
      <w:i/>
      <w:color w:val="1F4D78" w:themeColor="accent1" w:themeShade="7F"/>
      <w:sz w:val="22"/>
      <w:szCs w:val="22"/>
      <w:lang w:eastAsia="en-US"/>
    </w:rPr>
  </w:style>
  <w:style w:type="paragraph" w:customStyle="1" w:styleId="TableTitle">
    <w:name w:val="Table Title"/>
    <w:basedOn w:val="Caption"/>
    <w:link w:val="TableTitleChar"/>
    <w:semiHidden/>
    <w:qFormat/>
    <w:rsid w:val="00F85722"/>
    <w:rPr>
      <w:color w:val="000000" w:themeColor="text1"/>
      <w:sz w:val="18"/>
    </w:rPr>
  </w:style>
  <w:style w:type="character" w:customStyle="1" w:styleId="TableTitleChar">
    <w:name w:val="Table Title Char"/>
    <w:basedOn w:val="CaptionChar"/>
    <w:link w:val="TableTitle"/>
    <w:semiHidden/>
    <w:rsid w:val="00F85722"/>
    <w:rPr>
      <w:rFonts w:eastAsiaTheme="majorEastAsia" w:cstheme="majorBidi"/>
      <w:b/>
      <w:bCs/>
      <w:color w:val="000000" w:themeColor="text1"/>
      <w:sz w:val="18"/>
      <w:szCs w:val="18"/>
      <w:lang w:eastAsia="en-US"/>
    </w:rPr>
  </w:style>
  <w:style w:type="paragraph" w:customStyle="1" w:styleId="Mapheading">
    <w:name w:val="Map heading"/>
    <w:basedOn w:val="TableTitle"/>
    <w:link w:val="MapheadingChar"/>
    <w:uiPriority w:val="19"/>
    <w:qFormat/>
    <w:rsid w:val="00F85722"/>
    <w:rPr>
      <w:color w:val="595959" w:themeColor="text1" w:themeTint="A6"/>
    </w:rPr>
  </w:style>
  <w:style w:type="character" w:customStyle="1" w:styleId="MapheadingChar">
    <w:name w:val="Map heading Char"/>
    <w:basedOn w:val="TableTitleChar"/>
    <w:link w:val="Mapheading"/>
    <w:uiPriority w:val="19"/>
    <w:rsid w:val="00F85722"/>
    <w:rPr>
      <w:rFonts w:eastAsiaTheme="majorEastAsia" w:cstheme="majorBidi"/>
      <w:b/>
      <w:bCs/>
      <w:color w:val="595959" w:themeColor="text1" w:themeTint="A6"/>
      <w:sz w:val="18"/>
      <w:szCs w:val="18"/>
      <w:lang w:eastAsia="en-US"/>
    </w:rPr>
  </w:style>
  <w:style w:type="paragraph" w:customStyle="1" w:styleId="Normalsmall">
    <w:name w:val="Normal small"/>
    <w:qFormat/>
    <w:rsid w:val="00F85722"/>
    <w:pPr>
      <w:spacing w:after="120" w:line="276" w:lineRule="auto"/>
    </w:pPr>
    <w:rPr>
      <w:rFonts w:eastAsiaTheme="minorHAnsi" w:cstheme="minorBidi"/>
      <w:sz w:val="18"/>
      <w:szCs w:val="18"/>
      <w:lang w:eastAsia="en-US"/>
    </w:rPr>
  </w:style>
  <w:style w:type="table" w:customStyle="1" w:styleId="TableGrid10">
    <w:name w:val="Table Grid1"/>
    <w:basedOn w:val="TableNormal"/>
    <w:next w:val="TableGrid"/>
    <w:uiPriority w:val="59"/>
    <w:rsid w:val="00F8572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withitalics">
    <w:name w:val="Table text with italics"/>
    <w:basedOn w:val="Normal"/>
    <w:semiHidden/>
    <w:qFormat/>
    <w:rsid w:val="00F85722"/>
    <w:rPr>
      <w:i/>
      <w:sz w:val="18"/>
    </w:rPr>
  </w:style>
  <w:style w:type="paragraph" w:styleId="TOC9">
    <w:name w:val="toc 9"/>
    <w:basedOn w:val="Normal"/>
    <w:next w:val="Normal"/>
    <w:autoRedefine/>
    <w:uiPriority w:val="39"/>
    <w:semiHidden/>
    <w:unhideWhenUsed/>
    <w:rsid w:val="00F8572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header" Target="header22.xml"/><Relationship Id="rId68" Type="http://schemas.openxmlformats.org/officeDocument/2006/relationships/footer" Target="footer24.xml"/><Relationship Id="rId84" Type="http://schemas.openxmlformats.org/officeDocument/2006/relationships/footer" Target="footer30.xml"/><Relationship Id="rId89" Type="http://schemas.openxmlformats.org/officeDocument/2006/relationships/hyperlink" Target="https://www.ippc.int/en/core-activities/standards-setting/ispms/" TargetMode="Externa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header" Target="header9.xml"/><Relationship Id="rId37" Type="http://schemas.openxmlformats.org/officeDocument/2006/relationships/footer" Target="footer10.xml"/><Relationship Id="rId53" Type="http://schemas.openxmlformats.org/officeDocument/2006/relationships/footer" Target="footer17.xml"/><Relationship Id="rId58" Type="http://schemas.openxmlformats.org/officeDocument/2006/relationships/header" Target="header20.xml"/><Relationship Id="rId74" Type="http://schemas.openxmlformats.org/officeDocument/2006/relationships/header" Target="header27.xml"/><Relationship Id="rId79" Type="http://schemas.openxmlformats.org/officeDocument/2006/relationships/header" Target="header28.xml"/><Relationship Id="rId5" Type="http://schemas.openxmlformats.org/officeDocument/2006/relationships/webSettings" Target="webSettings.xml"/><Relationship Id="rId90" Type="http://schemas.openxmlformats.org/officeDocument/2006/relationships/hyperlink" Target="https://www.ippc.int/en/core-activities/standards-setting/ispms/" TargetMode="External"/><Relationship Id="rId95" Type="http://schemas.openxmlformats.org/officeDocument/2006/relationships/footer" Target="footer31.xml"/><Relationship Id="rId22" Type="http://schemas.openxmlformats.org/officeDocument/2006/relationships/header" Target="header5.xml"/><Relationship Id="rId27" Type="http://schemas.openxmlformats.org/officeDocument/2006/relationships/hyperlink" Target="https://www.landcareresearch.co.nz/discover-our-research/biodiversity-biosecurity/weed-biocontrol/projects-agents/biocontrol-agents/lantana-blister-rust" TargetMode="External"/><Relationship Id="rId43" Type="http://schemas.openxmlformats.org/officeDocument/2006/relationships/header" Target="header14.xml"/><Relationship Id="rId48" Type="http://schemas.openxmlformats.org/officeDocument/2006/relationships/hyperlink" Target="http://www.agriculture.gov.au/biosecurity/risk-analysis/guidelines" TargetMode="External"/><Relationship Id="rId64" Type="http://schemas.openxmlformats.org/officeDocument/2006/relationships/header" Target="header23.xml"/><Relationship Id="rId69" Type="http://schemas.openxmlformats.org/officeDocument/2006/relationships/image" Target="media/image6.png"/><Relationship Id="rId80" Type="http://schemas.openxmlformats.org/officeDocument/2006/relationships/header" Target="header29.xml"/><Relationship Id="rId85" Type="http://schemas.openxmlformats.org/officeDocument/2006/relationships/hyperlink" Target="https://www.awe.gov.au/biosecurity-trade/policy/risk-analysis/group-pest-risk-analyses/scale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agriculture.gov.au/biosecurity-trade/policy/risk-analysis/biological-control-agents/risk-analyses" TargetMode="Externa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header" Target="header15.xml"/><Relationship Id="rId59" Type="http://schemas.openxmlformats.org/officeDocument/2006/relationships/footer" Target="footer19.xml"/><Relationship Id="rId67" Type="http://schemas.openxmlformats.org/officeDocument/2006/relationships/header" Target="header24.xml"/><Relationship Id="rId20" Type="http://schemas.openxmlformats.org/officeDocument/2006/relationships/hyperlink" Target="https://www.agriculture.gov.au/biosecurity-trade/policy/risk-analysis/memos" TargetMode="External"/><Relationship Id="rId41" Type="http://schemas.openxmlformats.org/officeDocument/2006/relationships/image" Target="media/image5.png"/><Relationship Id="rId54" Type="http://schemas.openxmlformats.org/officeDocument/2006/relationships/header" Target="header18.xml"/><Relationship Id="rId62" Type="http://schemas.openxmlformats.org/officeDocument/2006/relationships/footer" Target="footer21.xml"/><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header" Target="header30.xml"/><Relationship Id="rId88" Type="http://schemas.openxmlformats.org/officeDocument/2006/relationships/hyperlink" Target="https://www.ippc.int/en/core-activities/standards-setting/ispms/" TargetMode="External"/><Relationship Id="rId91" Type="http://schemas.openxmlformats.org/officeDocument/2006/relationships/hyperlink" Target="https://www.sciencedirect.com/science/article/pii/S1049964421001572" TargetMode="External"/><Relationship Id="rId96"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4.0/legalcode" TargetMode="Externa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yperlink" Target="https://www.agriculture.gov.au/biosecurity-trade/policy/risk-analysis/biological-control-agents/protocol_for_biological_control_agents" TargetMode="External"/><Relationship Id="rId57" Type="http://schemas.openxmlformats.org/officeDocument/2006/relationships/header" Target="header19.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footer" Target="footer13.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hyperlink" Target="https://www.foodstandards.gov.au/code/Pages/default.aspx" TargetMode="External"/><Relationship Id="rId81" Type="http://schemas.openxmlformats.org/officeDocument/2006/relationships/footer" Target="footer28.xml"/><Relationship Id="rId86" Type="http://schemas.openxmlformats.org/officeDocument/2006/relationships/hyperlink" Target="https://www.awe.gov.au/biosecurity-trade/policy/risk-analysis/group-pest-risk-analyses/group-pra-thrips-orthotospoviruses/final-report" TargetMode="External"/><Relationship Id="rId94" Type="http://schemas.openxmlformats.org/officeDocument/2006/relationships/header" Target="header3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awe.gov.au/" TargetMode="External"/><Relationship Id="rId39" Type="http://schemas.openxmlformats.org/officeDocument/2006/relationships/header" Target="header12.xml"/><Relationship Id="rId34" Type="http://schemas.openxmlformats.org/officeDocument/2006/relationships/image" Target="media/image4.png"/><Relationship Id="rId50" Type="http://schemas.openxmlformats.org/officeDocument/2006/relationships/header" Target="header16.xml"/><Relationship Id="rId55" Type="http://schemas.openxmlformats.org/officeDocument/2006/relationships/footer" Target="footer18.xml"/><Relationship Id="rId76" Type="http://schemas.openxmlformats.org/officeDocument/2006/relationships/hyperlink" Target="https://bicon.agriculture.gov.au/BiconWeb4.0" TargetMode="External"/><Relationship Id="rId97"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header" Target="header26.xml"/><Relationship Id="rId92" Type="http://schemas.openxmlformats.org/officeDocument/2006/relationships/hyperlink" Target="https://www.wto.org/english/tratop_e/sps_e/spsagr_e.htm" TargetMode="Externa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footer" Target="footer12.xml"/><Relationship Id="rId45" Type="http://schemas.openxmlformats.org/officeDocument/2006/relationships/footer" Target="footer14.xml"/><Relationship Id="rId66" Type="http://schemas.openxmlformats.org/officeDocument/2006/relationships/footer" Target="footer23.xml"/><Relationship Id="rId87" Type="http://schemas.openxmlformats.org/officeDocument/2006/relationships/hyperlink" Target="https://www.awe.gov.au/biosecurity-trade/policy/risk-analysis/group-pest-risk-analyses/mealybugs/final-report" TargetMode="External"/><Relationship Id="rId61" Type="http://schemas.openxmlformats.org/officeDocument/2006/relationships/header" Target="header21.xml"/><Relationship Id="rId82" Type="http://schemas.openxmlformats.org/officeDocument/2006/relationships/footer" Target="footer29.xml"/><Relationship Id="rId19" Type="http://schemas.openxmlformats.org/officeDocument/2006/relationships/hyperlink" Target="mailto:plantstakeholders@agriculture.gov.au" TargetMode="External"/><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header" Target="header10.xml"/><Relationship Id="rId56" Type="http://schemas.openxmlformats.org/officeDocument/2006/relationships/hyperlink" Target="https://www.sciencedirect.com/science/article/pii/S1049964421001572" TargetMode="External"/><Relationship Id="rId77" Type="http://schemas.openxmlformats.org/officeDocument/2006/relationships/hyperlink" Target="https://www.foodstandards.gov.au/Pages/default.aspx"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footer" Target="footer25.xml"/><Relationship Id="rId93" Type="http://schemas.openxmlformats.org/officeDocument/2006/relationships/header" Target="header31.xml"/><Relationship Id="rId98" Type="http://schemas.openxmlformats.org/officeDocument/2006/relationships/footer" Target="footer3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E05E2E-DB91-42F5-A0D2-CEBF87AC20E8}">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13481</Words>
  <Characters>76842</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90143</CharactersWithSpaces>
  <SharedDoc>false</SharedDoc>
  <HLinks>
    <vt:vector size="78" baseType="variant">
      <vt:variant>
        <vt:i4>327735</vt:i4>
      </vt:variant>
      <vt:variant>
        <vt:i4>119</vt:i4>
      </vt:variant>
      <vt:variant>
        <vt:i4>0</vt:i4>
      </vt:variant>
      <vt:variant>
        <vt:i4>5</vt:i4>
      </vt:variant>
      <vt:variant>
        <vt:lpwstr>https://www.wto.org/english/tratop_e/sps_e/spsagr_e.htm</vt:lpwstr>
      </vt:variant>
      <vt:variant>
        <vt:lpwstr/>
      </vt:variant>
      <vt:variant>
        <vt:i4>524297</vt:i4>
      </vt:variant>
      <vt:variant>
        <vt:i4>116</vt:i4>
      </vt:variant>
      <vt:variant>
        <vt:i4>0</vt:i4>
      </vt:variant>
      <vt:variant>
        <vt:i4>5</vt:i4>
      </vt:variant>
      <vt:variant>
        <vt:lpwstr>https://www.ippc.int/en/core-activities/standards-setting/ispms/</vt:lpwstr>
      </vt:variant>
      <vt:variant>
        <vt:lpwstr/>
      </vt:variant>
      <vt:variant>
        <vt:i4>524297</vt:i4>
      </vt:variant>
      <vt:variant>
        <vt:i4>113</vt:i4>
      </vt:variant>
      <vt:variant>
        <vt:i4>0</vt:i4>
      </vt:variant>
      <vt:variant>
        <vt:i4>5</vt:i4>
      </vt:variant>
      <vt:variant>
        <vt:lpwstr>https://www.ippc.int/en/core-activities/standards-setting/ispms/</vt:lpwstr>
      </vt:variant>
      <vt:variant>
        <vt:lpwstr/>
      </vt:variant>
      <vt:variant>
        <vt:i4>524297</vt:i4>
      </vt:variant>
      <vt:variant>
        <vt:i4>110</vt:i4>
      </vt:variant>
      <vt:variant>
        <vt:i4>0</vt:i4>
      </vt:variant>
      <vt:variant>
        <vt:i4>5</vt:i4>
      </vt:variant>
      <vt:variant>
        <vt:lpwstr>https://www.ippc.int/en/core-activities/standards-setting/ispms/</vt:lpwstr>
      </vt:variant>
      <vt:variant>
        <vt:lpwstr/>
      </vt:variant>
      <vt:variant>
        <vt:i4>524297</vt:i4>
      </vt:variant>
      <vt:variant>
        <vt:i4>107</vt:i4>
      </vt:variant>
      <vt:variant>
        <vt:i4>0</vt:i4>
      </vt:variant>
      <vt:variant>
        <vt:i4>5</vt:i4>
      </vt:variant>
      <vt:variant>
        <vt:lpwstr>https://www.ippc.int/en/core-activities/standards-setting/ispms/</vt:lpwstr>
      </vt:variant>
      <vt:variant>
        <vt:lpwstr/>
      </vt:variant>
      <vt:variant>
        <vt:i4>7471201</vt:i4>
      </vt:variant>
      <vt:variant>
        <vt:i4>99</vt:i4>
      </vt:variant>
      <vt:variant>
        <vt:i4>0</vt:i4>
      </vt:variant>
      <vt:variant>
        <vt:i4>5</vt:i4>
      </vt:variant>
      <vt:variant>
        <vt:lpwstr>http://www.daff.gov.au/ba/reviews/biological-control-agents/protocol_for_biological_control_agents</vt:lpwstr>
      </vt:variant>
      <vt:variant>
        <vt:lpwstr/>
      </vt:variant>
      <vt:variant>
        <vt:i4>7667827</vt:i4>
      </vt:variant>
      <vt:variant>
        <vt:i4>96</vt:i4>
      </vt:variant>
      <vt:variant>
        <vt:i4>0</vt:i4>
      </vt:variant>
      <vt:variant>
        <vt:i4>5</vt:i4>
      </vt:variant>
      <vt:variant>
        <vt:lpwstr>http://www.agriculture.gov.au/biosecurity/risk-analysis/guidelines</vt:lpwstr>
      </vt:variant>
      <vt:variant>
        <vt:lpwstr/>
      </vt:variant>
      <vt:variant>
        <vt:i4>2031636</vt:i4>
      </vt:variant>
      <vt:variant>
        <vt:i4>15</vt:i4>
      </vt:variant>
      <vt:variant>
        <vt:i4>0</vt:i4>
      </vt:variant>
      <vt:variant>
        <vt:i4>5</vt:i4>
      </vt:variant>
      <vt:variant>
        <vt:lpwstr>http://www.agriculture.gov.au/biosecurity/risk-analysis/memos</vt:lpwstr>
      </vt:variant>
      <vt:variant>
        <vt:lpwstr/>
      </vt:variant>
      <vt:variant>
        <vt:i4>8060954</vt:i4>
      </vt:variant>
      <vt:variant>
        <vt:i4>12</vt:i4>
      </vt:variant>
      <vt:variant>
        <vt:i4>0</vt:i4>
      </vt:variant>
      <vt:variant>
        <vt:i4>5</vt:i4>
      </vt:variant>
      <vt:variant>
        <vt:lpwstr>mailto:plant@agriculture.gov.au</vt:lpwstr>
      </vt:variant>
      <vt:variant>
        <vt:lpwstr/>
      </vt:variant>
      <vt:variant>
        <vt:i4>7864375</vt:i4>
      </vt:variant>
      <vt:variant>
        <vt:i4>9</vt:i4>
      </vt:variant>
      <vt:variant>
        <vt:i4>0</vt:i4>
      </vt:variant>
      <vt:variant>
        <vt:i4>5</vt:i4>
      </vt:variant>
      <vt:variant>
        <vt:lpwstr>http://www.agriculture.gov.au/</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risk analysis report for the release of Puccinia lantanae</dc:title>
  <dc:subject/>
  <dc:creator/>
  <cp:keywords/>
  <dc:description/>
  <cp:lastModifiedBy/>
  <cp:revision>1</cp:revision>
  <dcterms:created xsi:type="dcterms:W3CDTF">2026-01-28T00:08:00Z</dcterms:created>
  <dcterms:modified xsi:type="dcterms:W3CDTF">2026-01-28T00:09:00Z</dcterms:modified>
  <cp:contentStatus/>
</cp:coreProperties>
</file>