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EF5D" w14:textId="315F2A26" w:rsidR="00E362EF" w:rsidRPr="00A16700" w:rsidRDefault="003C32EE" w:rsidP="00745F63">
      <w:pPr>
        <w:pStyle w:val="Heading1"/>
        <w:spacing w:before="1680"/>
      </w:pPr>
      <w:r>
        <w:t>Forum p</w:t>
      </w:r>
      <w:r w:rsidR="00E121C1">
        <w:t>rogram</w:t>
      </w:r>
    </w:p>
    <w:p w14:paraId="7E19BECA" w14:textId="395E192E" w:rsidR="00E121C1" w:rsidRDefault="00E121C1" w:rsidP="00E121C1">
      <w:r w:rsidRPr="00286426">
        <w:t xml:space="preserve">The 2025 National Drought Forum will </w:t>
      </w:r>
      <w:r w:rsidR="00286426">
        <w:t>build</w:t>
      </w:r>
      <w:r w:rsidR="00286426" w:rsidRPr="00286426">
        <w:t xml:space="preserve"> on the insights of previous forums</w:t>
      </w:r>
      <w:r w:rsidR="00425276">
        <w:t xml:space="preserve"> and </w:t>
      </w:r>
      <w:r w:rsidR="00286426" w:rsidRPr="00286426">
        <w:t>play a crucial role in ensuring</w:t>
      </w:r>
      <w:r w:rsidR="007F1431">
        <w:t xml:space="preserve"> that</w:t>
      </w:r>
      <w:r w:rsidR="00286426" w:rsidRPr="00286426">
        <w:t xml:space="preserve"> our approach to drought preparedness, response and recovery remains effective and meets the needs of</w:t>
      </w:r>
      <w:r w:rsidR="007F1431">
        <w:t xml:space="preserve"> </w:t>
      </w:r>
      <w:r w:rsidR="00286426" w:rsidRPr="00286426">
        <w:t xml:space="preserve">our farmers and rural and regional communities. With parts of southern Australia experiencing </w:t>
      </w:r>
      <w:r w:rsidR="00022651">
        <w:t>drought</w:t>
      </w:r>
      <w:r w:rsidR="00286426" w:rsidRPr="00E53CF3">
        <w:t xml:space="preserve">, </w:t>
      </w:r>
      <w:r w:rsidR="00E53CF3" w:rsidRPr="00211465">
        <w:t>i</w:t>
      </w:r>
      <w:r w:rsidR="00E53CF3">
        <w:t>t’</w:t>
      </w:r>
      <w:r w:rsidR="00E53CF3" w:rsidRPr="00211465">
        <w:t xml:space="preserve">s </w:t>
      </w:r>
      <w:r w:rsidR="007A4E31">
        <w:t>important</w:t>
      </w:r>
      <w:r w:rsidR="00286426" w:rsidRPr="00E53CF3">
        <w:t xml:space="preserve"> to</w:t>
      </w:r>
      <w:r w:rsidR="00286426" w:rsidRPr="00286426">
        <w:t xml:space="preserve"> discuss our approach to managing drought at a national level.</w:t>
      </w:r>
    </w:p>
    <w:p w14:paraId="340DE9AF" w14:textId="0800F6B1" w:rsidR="00553A60" w:rsidRDefault="00286426" w:rsidP="00E121C1">
      <w:r w:rsidRPr="00286426">
        <w:t xml:space="preserve">This year’s program has been shaped to reflect current and future drought priorities, including an opportunity to examine </w:t>
      </w:r>
      <w:r w:rsidR="00B36BE3">
        <w:t xml:space="preserve">existing </w:t>
      </w:r>
      <w:r w:rsidRPr="00286426">
        <w:t>policies and programs</w:t>
      </w:r>
      <w:r w:rsidR="00D86B3A">
        <w:t>,</w:t>
      </w:r>
      <w:r w:rsidRPr="00286426">
        <w:t xml:space="preserve"> and issues such as mental health and wellbeing, climate change and food security.</w:t>
      </w:r>
    </w:p>
    <w:p w14:paraId="47F95D4C" w14:textId="56218777" w:rsidR="00844A60" w:rsidRDefault="00844A60" w:rsidP="00844A60">
      <w:pPr>
        <w:pStyle w:val="Heading3"/>
      </w:pPr>
      <w:r>
        <w:t>Welcome to the 2025 National Drought Forum</w:t>
      </w:r>
    </w:p>
    <w:p w14:paraId="64C1A29F" w14:textId="099AE781" w:rsidR="00844A60" w:rsidRPr="00844A60" w:rsidRDefault="00844A60" w:rsidP="00844A60">
      <w:pPr>
        <w:pStyle w:val="Heading4"/>
        <w:rPr>
          <w:b/>
          <w:bCs w:val="0"/>
        </w:rPr>
      </w:pPr>
      <w:r w:rsidRPr="00844A60">
        <w:rPr>
          <w:b/>
          <w:bCs w:val="0"/>
        </w:rPr>
        <w:t>Julie Collins MP, Minister for Agriculture, Fisheries and Forestry</w:t>
      </w:r>
    </w:p>
    <w:p w14:paraId="2AAA526E" w14:textId="59266901" w:rsidR="00945BB1" w:rsidRDefault="00945BB1" w:rsidP="00945BB1">
      <w:r>
        <w:t>Welcome to the 2025 National Drought Forum.</w:t>
      </w:r>
    </w:p>
    <w:p w14:paraId="37B95B0E" w14:textId="02A708F2" w:rsidR="00945BB1" w:rsidRDefault="00945BB1" w:rsidP="00945BB1">
      <w:r>
        <w:t>It is a privilege to bring together such a diverse range of stakeholders to explore the current and emerging challenges facing drought policy. From peak industry bodies, sector leaders, Indigenous representatives, community organisations, financial institutions, unions, through to all levels of government.</w:t>
      </w:r>
    </w:p>
    <w:p w14:paraId="25F6CAA0" w14:textId="5D0EE54F" w:rsidR="00945BB1" w:rsidRDefault="00945BB1" w:rsidP="00945BB1">
      <w:r>
        <w:t>This forum is a collaborative platform to share insights, challenge assumptions, and strengthen our collective approach to how we manage drought in Australia. We know that drought is not a question of if, but when. That is why proactive, inclusive, and enduring policy is essential.</w:t>
      </w:r>
    </w:p>
    <w:p w14:paraId="07C81812" w14:textId="77777777" w:rsidR="00945BB1" w:rsidRDefault="00945BB1" w:rsidP="00945BB1">
      <w:r>
        <w:t xml:space="preserve">The Albanese Labor Government remains steadfast in its commitment to supporting farmers and regional communities – before, during, and after drought. </w:t>
      </w:r>
    </w:p>
    <w:p w14:paraId="78683C6E" w14:textId="08C58AC2" w:rsidR="00945BB1" w:rsidRDefault="00945BB1" w:rsidP="00945BB1">
      <w:r>
        <w:t>Our support programs are always available, and we enable individuals to choose the assistance they need, when they need it.</w:t>
      </w:r>
      <w:r w:rsidR="009467DE">
        <w:t xml:space="preserve"> </w:t>
      </w:r>
      <w:r>
        <w:t>Initiatives like the Rural Financial Counselling Service, Farm Household Allowance, Regional Investment Corporation loans, and Farm Management Deposits provide critical financial support to those who access it.</w:t>
      </w:r>
    </w:p>
    <w:p w14:paraId="162F1233" w14:textId="5DED5DEC" w:rsidR="00945BB1" w:rsidRDefault="00945BB1" w:rsidP="00945BB1">
      <w:r>
        <w:t>Through the $5 billion Future Drought Fund, we are investing in long-term preparedness – building the capacity of our agricultural sector.</w:t>
      </w:r>
      <w:r w:rsidR="009467DE">
        <w:t xml:space="preserve"> </w:t>
      </w:r>
      <w:r>
        <w:t>This includes innovation, infrastructure, and community-led solutions that ensure farming remains viable and vibrant into the future.</w:t>
      </w:r>
    </w:p>
    <w:p w14:paraId="26D9E6E0" w14:textId="77777777" w:rsidR="00945BB1" w:rsidRDefault="00945BB1" w:rsidP="00945BB1">
      <w:r>
        <w:t xml:space="preserve">This forum is an important opportunity to bring together voices from across the drought policy landscape to ensure our policies reflect the challenges of today, and the aspirations of those who live and work in our regions. </w:t>
      </w:r>
    </w:p>
    <w:p w14:paraId="107AE9A2" w14:textId="77777777" w:rsidR="00945BB1" w:rsidRDefault="00945BB1" w:rsidP="00945BB1">
      <w:r>
        <w:lastRenderedPageBreak/>
        <w:t>The Albanese Labor Government will always stand up for our farmers, producers, and regional and rural communities.</w:t>
      </w:r>
    </w:p>
    <w:p w14:paraId="56619F8D" w14:textId="77777777" w:rsidR="00945BB1" w:rsidRDefault="00945BB1" w:rsidP="00945BB1">
      <w:r>
        <w:t xml:space="preserve">That is why I look forward to the many productive discussions that will be had at the 2025 National Drought Forum. </w:t>
      </w:r>
    </w:p>
    <w:p w14:paraId="7664BC1F" w14:textId="7A32CACC" w:rsidR="00844A60" w:rsidRDefault="00945BB1" w:rsidP="00945BB1">
      <w:r>
        <w:t>To find out more about drought assistance, visit drought.gov.au.</w:t>
      </w:r>
    </w:p>
    <w:p w14:paraId="4D403CBD" w14:textId="4139ED42" w:rsidR="00844A60" w:rsidRPr="00844A60" w:rsidRDefault="00844A60" w:rsidP="00844A60">
      <w:pPr>
        <w:pStyle w:val="Heading4"/>
        <w:rPr>
          <w:b/>
          <w:bCs w:val="0"/>
        </w:rPr>
      </w:pPr>
      <w:r w:rsidRPr="00844A60">
        <w:rPr>
          <w:b/>
          <w:bCs w:val="0"/>
        </w:rPr>
        <w:t>David Jochinke, President, National Farmers’ Federation</w:t>
      </w:r>
    </w:p>
    <w:p w14:paraId="1582767E" w14:textId="77777777" w:rsidR="00844A60" w:rsidRDefault="00844A60" w:rsidP="00844A60">
      <w:r>
        <w:t>As Australian agriculture drives toward its $100 billion goal, drought preparedness must remain front and centre. Drought is part of life for farm businesses and regional, rural and remote communities, but it shouldn’t be a sentence to hardship. Farmers are no strangers to risk. They plan for tough seasons, but when droughts stretch across years, farmers and communities need tools to stay afloat, recover and prepare for the next one.</w:t>
      </w:r>
    </w:p>
    <w:p w14:paraId="49087BB7" w14:textId="77777777" w:rsidR="00844A60" w:rsidRDefault="00844A60" w:rsidP="00844A60">
      <w:r>
        <w:t>With climate change making droughts more frequent and severe, we can’t afford to wait until the dust hits the fan. Our renewed drought policy, released earlier this year, sets a clear path for national action, built on preparedness, risk management and shared responsibility between industry and Government.</w:t>
      </w:r>
    </w:p>
    <w:p w14:paraId="657F014E" w14:textId="77777777" w:rsidR="00844A60" w:rsidRDefault="00844A60" w:rsidP="00844A60">
      <w:r>
        <w:t>The National Drought Forum brings together the right people at the right time. Government, industry and communities all have a role in ensuring drought policy is practical, proactive and grounded in lived experience.</w:t>
      </w:r>
    </w:p>
    <w:p w14:paraId="203E7E1C" w14:textId="546207C5" w:rsidR="00844A60" w:rsidRPr="00844A60" w:rsidRDefault="00844A60" w:rsidP="00844A60">
      <w:r>
        <w:t>We thank DAFF for leading the forum again, and to all attendees for being part of this important conversation as an opportunity to support agriculture’s preparedness. Let’s get to work.</w:t>
      </w:r>
    </w:p>
    <w:p w14:paraId="05015E6E" w14:textId="77777777" w:rsidR="00844A60" w:rsidRPr="00844A60" w:rsidRDefault="00844A60" w:rsidP="00844A60"/>
    <w:p w14:paraId="182782AC" w14:textId="77777777" w:rsidR="00B36BE3" w:rsidRDefault="00E121C1" w:rsidP="00ED6D71">
      <w:pPr>
        <w:pStyle w:val="Heading2"/>
        <w:numPr>
          <w:ilvl w:val="0"/>
          <w:numId w:val="0"/>
        </w:numPr>
        <w:ind w:left="720" w:hanging="720"/>
      </w:pPr>
      <w:r w:rsidRPr="00A33BA5">
        <w:t>Monday, 8 September 2025</w:t>
      </w:r>
    </w:p>
    <w:p w14:paraId="0DC3EA93" w14:textId="28E81C3D" w:rsidR="00F26D7E" w:rsidRDefault="00F26D7E" w:rsidP="006A2764">
      <w:pPr>
        <w:pStyle w:val="Heading3"/>
      </w:pPr>
      <w:r>
        <w:t>Optional site visit</w:t>
      </w:r>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360"/>
        <w:gridCol w:w="6710"/>
      </w:tblGrid>
      <w:tr w:rsidR="00F26D7E" w:rsidRPr="00727738" w14:paraId="06794FEA" w14:textId="77777777" w:rsidTr="005E48D1">
        <w:trPr>
          <w:cantSplit/>
          <w:tblHeader/>
        </w:trPr>
        <w:tc>
          <w:tcPr>
            <w:tcW w:w="1301" w:type="pct"/>
            <w:shd w:val="clear" w:color="auto" w:fill="auto"/>
            <w:tcMar>
              <w:left w:w="108" w:type="dxa"/>
              <w:right w:w="108" w:type="dxa"/>
            </w:tcMar>
          </w:tcPr>
          <w:p w14:paraId="17085318" w14:textId="77777777" w:rsidR="00F26D7E" w:rsidRPr="00727738" w:rsidRDefault="00F26D7E" w:rsidP="0075318F">
            <w:pPr>
              <w:pStyle w:val="TableHeading"/>
            </w:pPr>
            <w:r w:rsidRPr="00727738">
              <w:t>Time</w:t>
            </w:r>
          </w:p>
        </w:tc>
        <w:tc>
          <w:tcPr>
            <w:tcW w:w="3699" w:type="pct"/>
            <w:shd w:val="clear" w:color="auto" w:fill="auto"/>
            <w:tcMar>
              <w:left w:w="108" w:type="dxa"/>
              <w:right w:w="108" w:type="dxa"/>
            </w:tcMar>
          </w:tcPr>
          <w:p w14:paraId="356889C0" w14:textId="77777777" w:rsidR="00F26D7E" w:rsidRPr="00727738" w:rsidRDefault="00F26D7E" w:rsidP="0075318F">
            <w:pPr>
              <w:pStyle w:val="TableHeading"/>
              <w:rPr>
                <w:highlight w:val="yellow"/>
              </w:rPr>
            </w:pPr>
            <w:r>
              <w:t>D</w:t>
            </w:r>
            <w:r w:rsidRPr="00727738">
              <w:t>escription</w:t>
            </w:r>
          </w:p>
        </w:tc>
      </w:tr>
      <w:tr w:rsidR="00F26D7E" w14:paraId="0F1BDFAB" w14:textId="77777777" w:rsidTr="005E48D1">
        <w:tc>
          <w:tcPr>
            <w:tcW w:w="1301" w:type="pct"/>
            <w:tcMar>
              <w:left w:w="108" w:type="dxa"/>
              <w:right w:w="108" w:type="dxa"/>
            </w:tcMar>
          </w:tcPr>
          <w:p w14:paraId="2626D89C" w14:textId="77777777" w:rsidR="00F26D7E" w:rsidRDefault="00F26D7E" w:rsidP="00F26D7E">
            <w:pPr>
              <w:pStyle w:val="TableText"/>
              <w:keepNext/>
            </w:pPr>
            <w:r>
              <w:t>9:00 am to 12:15 pm</w:t>
            </w:r>
          </w:p>
        </w:tc>
        <w:tc>
          <w:tcPr>
            <w:tcW w:w="3699" w:type="pct"/>
            <w:tcMar>
              <w:left w:w="108" w:type="dxa"/>
              <w:right w:w="108" w:type="dxa"/>
            </w:tcMar>
          </w:tcPr>
          <w:p w14:paraId="3B50B2A9" w14:textId="71AF85F7" w:rsidR="00F26D7E" w:rsidRPr="00F26D7E" w:rsidRDefault="00F26D7E" w:rsidP="00F26D7E">
            <w:pPr>
              <w:pStyle w:val="TableText"/>
              <w:rPr>
                <w:b/>
                <w:bCs/>
              </w:rPr>
            </w:pPr>
            <w:r w:rsidRPr="00F26D7E">
              <w:rPr>
                <w:b/>
                <w:bCs/>
              </w:rPr>
              <w:t xml:space="preserve">South Australian Drought Resilience Adoption and Innovation Hub Site </w:t>
            </w:r>
            <w:r w:rsidR="007A4E31">
              <w:rPr>
                <w:b/>
                <w:bCs/>
              </w:rPr>
              <w:t>v</w:t>
            </w:r>
            <w:r w:rsidRPr="00F26D7E">
              <w:rPr>
                <w:b/>
                <w:bCs/>
              </w:rPr>
              <w:t>isit</w:t>
            </w:r>
          </w:p>
          <w:p w14:paraId="6FAE5C67" w14:textId="3A0468C5" w:rsidR="00F26D7E" w:rsidRDefault="00F26D7E" w:rsidP="00206086">
            <w:pPr>
              <w:pStyle w:val="TableText"/>
            </w:pPr>
            <w:r w:rsidRPr="009B67BF">
              <w:t xml:space="preserve">The tour to Roseworthy provides an opportunity for forum attendees to visit </w:t>
            </w:r>
            <w:r w:rsidR="005E7FF8">
              <w:t>2 </w:t>
            </w:r>
            <w:r w:rsidR="005E7FF8" w:rsidRPr="009B67BF">
              <w:t>Future</w:t>
            </w:r>
            <w:r w:rsidR="005E7FF8">
              <w:t> </w:t>
            </w:r>
            <w:r w:rsidRPr="009B67BF">
              <w:t>Drought Fund drought</w:t>
            </w:r>
            <w:r>
              <w:t>-</w:t>
            </w:r>
            <w:r w:rsidRPr="009B67BF">
              <w:t xml:space="preserve">resilience research, development and adoption </w:t>
            </w:r>
            <w:r w:rsidR="005E7FF8" w:rsidRPr="009B67BF">
              <w:t>sites</w:t>
            </w:r>
            <w:r w:rsidR="005E7FF8">
              <w:t> </w:t>
            </w:r>
            <w:r>
              <w:t>devoted to</w:t>
            </w:r>
            <w:r w:rsidRPr="009B67BF">
              <w:t xml:space="preserve"> broadacre cropping and livestock production</w:t>
            </w:r>
            <w:r>
              <w:t>.</w:t>
            </w:r>
          </w:p>
        </w:tc>
      </w:tr>
    </w:tbl>
    <w:p w14:paraId="27ADCB6A" w14:textId="77777777" w:rsidR="00206086" w:rsidRDefault="00206086" w:rsidP="00956CEA">
      <w:pPr>
        <w:pStyle w:val="Heading3"/>
        <w:spacing w:before="120" w:after="60"/>
      </w:pPr>
    </w:p>
    <w:p w14:paraId="222AC980" w14:textId="77777777" w:rsidR="00206086" w:rsidRDefault="00206086">
      <w:pPr>
        <w:spacing w:after="0" w:line="240" w:lineRule="auto"/>
        <w:rPr>
          <w:rFonts w:ascii="Calibri" w:eastAsia="Times New Roman" w:hAnsi="Calibri" w:cs="Times New Roman"/>
          <w:b/>
          <w:bCs/>
          <w:sz w:val="32"/>
          <w:szCs w:val="32"/>
        </w:rPr>
      </w:pPr>
      <w:r>
        <w:br w:type="page"/>
      </w:r>
    </w:p>
    <w:p w14:paraId="60841CF6" w14:textId="516170A2" w:rsidR="00052799" w:rsidRDefault="00A33BA5" w:rsidP="00956CEA">
      <w:pPr>
        <w:pStyle w:val="Heading3"/>
        <w:spacing w:before="120" w:after="60"/>
      </w:pPr>
      <w:r w:rsidRPr="00A33BA5">
        <w:lastRenderedPageBreak/>
        <w:t>Day 1: Drought in context</w:t>
      </w:r>
    </w:p>
    <w:p w14:paraId="16FEA9B2" w14:textId="54B6008B" w:rsidR="00F26D7E" w:rsidRPr="00F26D7E" w:rsidRDefault="00F26D7E" w:rsidP="00956CEA">
      <w:pPr>
        <w:pStyle w:val="Heading4"/>
      </w:pPr>
      <w:r>
        <w:t>Gawler Civic Centre</w:t>
      </w:r>
      <w:r w:rsidR="00211465">
        <w:t xml:space="preserve">, 1:00 </w:t>
      </w:r>
      <w:r w:rsidR="000E4502">
        <w:t>to</w:t>
      </w:r>
      <w:r w:rsidR="00211465">
        <w:t xml:space="preserve"> 5:</w:t>
      </w:r>
      <w:r w:rsidR="00211465" w:rsidRPr="000E4502">
        <w:t>00</w:t>
      </w:r>
      <w:r w:rsidR="000E4502">
        <w:t xml:space="preserve"> </w:t>
      </w:r>
      <w:r w:rsidR="00211465" w:rsidRPr="000E4502">
        <w:t>pm</w:t>
      </w:r>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134"/>
        <w:gridCol w:w="1560"/>
        <w:gridCol w:w="6376"/>
      </w:tblGrid>
      <w:tr w:rsidR="00F26D7E" w:rsidRPr="00727738" w14:paraId="76CC1438" w14:textId="77777777" w:rsidTr="005E48D1">
        <w:trPr>
          <w:cantSplit/>
          <w:tblHeader/>
        </w:trPr>
        <w:tc>
          <w:tcPr>
            <w:tcW w:w="625" w:type="pct"/>
          </w:tcPr>
          <w:p w14:paraId="6140E0EC" w14:textId="7821F36B" w:rsidR="00EE2A0E" w:rsidRPr="00727738" w:rsidRDefault="00CB1A9C" w:rsidP="00CB1A9C">
            <w:pPr>
              <w:pStyle w:val="TableHeading"/>
            </w:pPr>
            <w:bookmarkStart w:id="0" w:name="RowTitle_2"/>
            <w:bookmarkStart w:id="1" w:name="RowTitle_Day_1"/>
            <w:bookmarkEnd w:id="0"/>
            <w:bookmarkEnd w:id="1"/>
            <w:r>
              <w:t>Session</w:t>
            </w:r>
          </w:p>
        </w:tc>
        <w:tc>
          <w:tcPr>
            <w:tcW w:w="860" w:type="pct"/>
            <w:shd w:val="clear" w:color="auto" w:fill="auto"/>
            <w:tcMar>
              <w:left w:w="108" w:type="dxa"/>
              <w:right w:w="108" w:type="dxa"/>
            </w:tcMar>
          </w:tcPr>
          <w:p w14:paraId="3FC0E3C0" w14:textId="2D4C4006" w:rsidR="00EE2A0E" w:rsidRPr="00727738" w:rsidRDefault="00EE2A0E" w:rsidP="00CB1A9C">
            <w:pPr>
              <w:pStyle w:val="TableHeading"/>
            </w:pPr>
            <w:r w:rsidRPr="00727738">
              <w:t>Time</w:t>
            </w:r>
          </w:p>
        </w:tc>
        <w:tc>
          <w:tcPr>
            <w:tcW w:w="3515" w:type="pct"/>
            <w:shd w:val="clear" w:color="auto" w:fill="auto"/>
            <w:tcMar>
              <w:left w:w="108" w:type="dxa"/>
              <w:right w:w="108" w:type="dxa"/>
            </w:tcMar>
          </w:tcPr>
          <w:p w14:paraId="65EE01E8" w14:textId="7A6F245C" w:rsidR="00EE2A0E" w:rsidRPr="00727738" w:rsidRDefault="003A57FD" w:rsidP="00CB1A9C">
            <w:pPr>
              <w:pStyle w:val="TableHeading"/>
              <w:rPr>
                <w:highlight w:val="yellow"/>
              </w:rPr>
            </w:pPr>
            <w:r>
              <w:t>D</w:t>
            </w:r>
            <w:r w:rsidR="00EE2A0E" w:rsidRPr="00727738">
              <w:t>escription</w:t>
            </w:r>
          </w:p>
        </w:tc>
      </w:tr>
      <w:tr w:rsidR="00211465" w14:paraId="12CF8426" w14:textId="77777777" w:rsidTr="005E48D1">
        <w:tc>
          <w:tcPr>
            <w:tcW w:w="625" w:type="pct"/>
            <w:vMerge w:val="restart"/>
          </w:tcPr>
          <w:p w14:paraId="7493AE14" w14:textId="49E6197C" w:rsidR="00FD2EE0" w:rsidRDefault="00D468DC" w:rsidP="00A33BA5">
            <w:pPr>
              <w:pStyle w:val="TableText"/>
            </w:pPr>
            <w:r>
              <w:t>Opening plenary</w:t>
            </w:r>
          </w:p>
        </w:tc>
        <w:tc>
          <w:tcPr>
            <w:tcW w:w="860" w:type="pct"/>
            <w:tcMar>
              <w:left w:w="108" w:type="dxa"/>
              <w:right w:w="108" w:type="dxa"/>
            </w:tcMar>
            <w:vAlign w:val="center"/>
          </w:tcPr>
          <w:p w14:paraId="608A2A14" w14:textId="5CB75D0C" w:rsidR="00FD2EE0" w:rsidRDefault="00FD2EE0" w:rsidP="00A33BA5">
            <w:pPr>
              <w:pStyle w:val="TableText"/>
            </w:pPr>
            <w:r w:rsidRPr="00727738">
              <w:t xml:space="preserve">12:15 </w:t>
            </w:r>
            <w:r>
              <w:t xml:space="preserve">to </w:t>
            </w:r>
            <w:r w:rsidRPr="00727738">
              <w:t>12:55</w:t>
            </w:r>
            <w:r>
              <w:t> </w:t>
            </w:r>
            <w:r w:rsidRPr="00727738">
              <w:t>pm</w:t>
            </w:r>
          </w:p>
        </w:tc>
        <w:tc>
          <w:tcPr>
            <w:tcW w:w="3515" w:type="pct"/>
            <w:tcMar>
              <w:left w:w="108" w:type="dxa"/>
              <w:right w:w="108" w:type="dxa"/>
            </w:tcMar>
          </w:tcPr>
          <w:p w14:paraId="2F7D2200" w14:textId="01797233" w:rsidR="00FD2EE0" w:rsidRDefault="00FD2EE0" w:rsidP="00A33BA5">
            <w:pPr>
              <w:pStyle w:val="TableText"/>
            </w:pPr>
            <w:r w:rsidRPr="00727738">
              <w:t>Registration</w:t>
            </w:r>
            <w:r w:rsidRPr="00727738">
              <w:rPr>
                <w:b/>
              </w:rPr>
              <w:t xml:space="preserve"> </w:t>
            </w:r>
            <w:r w:rsidRPr="00727738">
              <w:rPr>
                <w:bCs/>
              </w:rPr>
              <w:t>and</w:t>
            </w:r>
            <w:r w:rsidRPr="00727738">
              <w:t xml:space="preserve"> light refreshments</w:t>
            </w:r>
          </w:p>
        </w:tc>
      </w:tr>
      <w:tr w:rsidR="00211465" w14:paraId="0386AAA8" w14:textId="77777777" w:rsidTr="005E48D1">
        <w:tc>
          <w:tcPr>
            <w:tcW w:w="625" w:type="pct"/>
            <w:vMerge/>
          </w:tcPr>
          <w:p w14:paraId="0D09C479" w14:textId="77777777" w:rsidR="00FD2EE0" w:rsidRDefault="00FD2EE0" w:rsidP="00A33BA5">
            <w:pPr>
              <w:pStyle w:val="TableText"/>
            </w:pPr>
          </w:p>
        </w:tc>
        <w:tc>
          <w:tcPr>
            <w:tcW w:w="860" w:type="pct"/>
            <w:tcMar>
              <w:left w:w="108" w:type="dxa"/>
              <w:right w:w="108" w:type="dxa"/>
            </w:tcMar>
          </w:tcPr>
          <w:p w14:paraId="4AC317E5" w14:textId="0D260EB2" w:rsidR="00FD2EE0" w:rsidRPr="00211465" w:rsidRDefault="00FD2EE0" w:rsidP="00A33BA5">
            <w:pPr>
              <w:pStyle w:val="TableText"/>
            </w:pPr>
            <w:r w:rsidRPr="00211465">
              <w:t xml:space="preserve">1:00 to </w:t>
            </w:r>
            <w:r w:rsidR="00F268D2">
              <w:t>2</w:t>
            </w:r>
            <w:r w:rsidRPr="00211465">
              <w:t>:</w:t>
            </w:r>
            <w:r w:rsidR="00F268D2">
              <w:t>30</w:t>
            </w:r>
            <w:r w:rsidRPr="00211465">
              <w:t> pm</w:t>
            </w:r>
          </w:p>
        </w:tc>
        <w:tc>
          <w:tcPr>
            <w:tcW w:w="3515" w:type="pct"/>
            <w:tcMar>
              <w:left w:w="108" w:type="dxa"/>
              <w:right w:w="108" w:type="dxa"/>
            </w:tcMar>
          </w:tcPr>
          <w:p w14:paraId="27C8D57C" w14:textId="0AA08114" w:rsidR="00FD2EE0" w:rsidRDefault="00FD2EE0" w:rsidP="00A33BA5">
            <w:pPr>
              <w:pStyle w:val="TableText"/>
              <w:rPr>
                <w:b/>
                <w:bCs/>
              </w:rPr>
            </w:pPr>
            <w:r w:rsidRPr="00F9778E">
              <w:rPr>
                <w:b/>
                <w:bCs/>
              </w:rPr>
              <w:t>Open and housekeeping</w:t>
            </w:r>
          </w:p>
          <w:p w14:paraId="0DB9BECB" w14:textId="63665408" w:rsidR="00F9778E" w:rsidRPr="00F9778E" w:rsidRDefault="00F9778E" w:rsidP="00A33BA5">
            <w:pPr>
              <w:pStyle w:val="TableText"/>
            </w:pPr>
            <w:r w:rsidRPr="00F9778E">
              <w:t xml:space="preserve">Adam </w:t>
            </w:r>
            <w:r>
              <w:t>Fennessy, Secretary, Department of Agriculture, Fisheries and Forestry</w:t>
            </w:r>
          </w:p>
          <w:p w14:paraId="086EB3C2" w14:textId="77777777" w:rsidR="00F9778E" w:rsidRDefault="00F268D2" w:rsidP="00A33BA5">
            <w:pPr>
              <w:pStyle w:val="TableText"/>
              <w:rPr>
                <w:b/>
                <w:bCs/>
              </w:rPr>
            </w:pPr>
            <w:r w:rsidRPr="00F9778E">
              <w:rPr>
                <w:b/>
                <w:bCs/>
              </w:rPr>
              <w:t>Welcome to Country</w:t>
            </w:r>
          </w:p>
          <w:p w14:paraId="6CB8CB18" w14:textId="19F2D619" w:rsidR="00F268D2" w:rsidRDefault="00F268D2" w:rsidP="00A33BA5">
            <w:pPr>
              <w:pStyle w:val="TableText"/>
            </w:pPr>
            <w:r>
              <w:t>Cliffy Wilson</w:t>
            </w:r>
          </w:p>
          <w:p w14:paraId="7962FAD9" w14:textId="653E3CF5" w:rsidR="000B7056" w:rsidRDefault="00F268D2" w:rsidP="00A33BA5">
            <w:pPr>
              <w:pStyle w:val="TableText"/>
              <w:rPr>
                <w:b/>
                <w:bCs/>
              </w:rPr>
            </w:pPr>
            <w:r w:rsidRPr="00F9778E">
              <w:rPr>
                <w:b/>
                <w:bCs/>
              </w:rPr>
              <w:t>Opening address</w:t>
            </w:r>
          </w:p>
          <w:p w14:paraId="0F0A75DD" w14:textId="557A0E6B" w:rsidR="000B7056" w:rsidRPr="004D1487" w:rsidRDefault="000B7056" w:rsidP="00A33BA5">
            <w:pPr>
              <w:pStyle w:val="TableText"/>
            </w:pPr>
            <w:r w:rsidRPr="004D1487">
              <w:t xml:space="preserve">The Hon Julie Collins </w:t>
            </w:r>
            <w:r w:rsidR="004D1487" w:rsidRPr="004D1487">
              <w:t>MP, Minister for Agriculture, Fisheries and Forestry</w:t>
            </w:r>
          </w:p>
          <w:p w14:paraId="62ADE562" w14:textId="77777777" w:rsidR="00F9778E" w:rsidRPr="00F9778E" w:rsidRDefault="00F268D2" w:rsidP="00A33BA5">
            <w:pPr>
              <w:pStyle w:val="TableText"/>
              <w:rPr>
                <w:b/>
                <w:bCs/>
              </w:rPr>
            </w:pPr>
            <w:r w:rsidRPr="00F9778E">
              <w:rPr>
                <w:b/>
                <w:bCs/>
              </w:rPr>
              <w:t>National Farmers’ Federation welcome</w:t>
            </w:r>
          </w:p>
          <w:p w14:paraId="07115BE4" w14:textId="224C42DD" w:rsidR="00F268D2" w:rsidRDefault="00F9778E" w:rsidP="00A33BA5">
            <w:pPr>
              <w:pStyle w:val="TableText"/>
            </w:pPr>
            <w:r>
              <w:t>David Jochinke, President, National Farmers’ Federation</w:t>
            </w:r>
          </w:p>
          <w:p w14:paraId="5F8F84A7" w14:textId="30E8FAB4" w:rsidR="00F9778E" w:rsidRPr="00F9778E" w:rsidRDefault="00F9778E" w:rsidP="00A33BA5">
            <w:pPr>
              <w:pStyle w:val="TableText"/>
              <w:rPr>
                <w:b/>
                <w:bCs/>
              </w:rPr>
            </w:pPr>
            <w:r>
              <w:rPr>
                <w:b/>
                <w:bCs/>
              </w:rPr>
              <w:t xml:space="preserve">Bureau of Meteorology </w:t>
            </w:r>
            <w:r w:rsidRPr="00F9778E">
              <w:rPr>
                <w:b/>
                <w:bCs/>
              </w:rPr>
              <w:t>Update</w:t>
            </w:r>
          </w:p>
          <w:p w14:paraId="7D296C91" w14:textId="4A211ADA" w:rsidR="00F9778E" w:rsidRDefault="00F9778E" w:rsidP="00A33BA5">
            <w:pPr>
              <w:pStyle w:val="TableText"/>
            </w:pPr>
            <w:r>
              <w:t>Andrew Jones, General Manager Agriculture and Water, Bureau of Meteorology</w:t>
            </w:r>
          </w:p>
          <w:p w14:paraId="79A2F3AE" w14:textId="0C1659A8" w:rsidR="00F268D2" w:rsidRDefault="00F9778E" w:rsidP="00A33BA5">
            <w:pPr>
              <w:pStyle w:val="TableText"/>
              <w:rPr>
                <w:b/>
                <w:bCs/>
              </w:rPr>
            </w:pPr>
            <w:r>
              <w:rPr>
                <w:b/>
                <w:bCs/>
              </w:rPr>
              <w:t xml:space="preserve">In conversation: </w:t>
            </w:r>
            <w:r w:rsidR="00F268D2" w:rsidRPr="00F268D2">
              <w:rPr>
                <w:b/>
                <w:bCs/>
              </w:rPr>
              <w:t>Our current drought context</w:t>
            </w:r>
          </w:p>
          <w:p w14:paraId="6BF3AA41" w14:textId="77777777" w:rsidR="00F9778E" w:rsidRDefault="00F9778E" w:rsidP="00F9778E">
            <w:pPr>
              <w:pStyle w:val="TableText"/>
            </w:pPr>
            <w:r>
              <w:t>Chair: Adam Fennessey</w:t>
            </w:r>
          </w:p>
          <w:p w14:paraId="47C117B7" w14:textId="775AAA64" w:rsidR="00F9778E" w:rsidRDefault="00F9778E" w:rsidP="00F9778E">
            <w:pPr>
              <w:pStyle w:val="TableText"/>
            </w:pPr>
            <w:r>
              <w:t>Panel includes:</w:t>
            </w:r>
          </w:p>
          <w:p w14:paraId="0195F53E" w14:textId="77777777" w:rsidR="00F9778E" w:rsidRDefault="00F9778E" w:rsidP="00866AEC">
            <w:pPr>
              <w:pStyle w:val="TableBullet"/>
            </w:pPr>
            <w:r>
              <w:t>Mel Brown, First Assistant Secretary, Farm Resilience Division, Department of Agriculture, Fisheries and Forestry</w:t>
            </w:r>
          </w:p>
          <w:p w14:paraId="7206E650" w14:textId="77777777" w:rsidR="00F9778E" w:rsidRDefault="00F9778E" w:rsidP="00866AEC">
            <w:pPr>
              <w:pStyle w:val="TableBullet"/>
            </w:pPr>
            <w:r w:rsidRPr="00F9778E">
              <w:t>David Jochinke, President, National Farmers’ Federation</w:t>
            </w:r>
          </w:p>
          <w:p w14:paraId="0B91182F" w14:textId="77777777" w:rsidR="00BE2095" w:rsidRDefault="00BE2095" w:rsidP="00866AEC">
            <w:pPr>
              <w:pStyle w:val="TableBullet"/>
            </w:pPr>
            <w:r w:rsidRPr="00BE2095">
              <w:t>Caroline Rhodes</w:t>
            </w:r>
            <w:r>
              <w:t>, CEO, Primary Producers South Australia</w:t>
            </w:r>
          </w:p>
          <w:p w14:paraId="512233D4" w14:textId="55382725" w:rsidR="00985946" w:rsidRDefault="00945BB1" w:rsidP="00866AEC">
            <w:pPr>
              <w:pStyle w:val="TableBullet"/>
            </w:pPr>
            <w:r w:rsidRPr="00945BB1">
              <w:t>Prof Mehdi Doroudi PSM</w:t>
            </w:r>
            <w:r w:rsidR="001508C2">
              <w:t xml:space="preserve">, </w:t>
            </w:r>
            <w:r>
              <w:t>Chief Executive, Department of Primary Industries and Regions</w:t>
            </w:r>
            <w:r w:rsidR="000301E5">
              <w:t>, South Australia</w:t>
            </w:r>
          </w:p>
          <w:p w14:paraId="39788009" w14:textId="0E84D9F2" w:rsidR="00985946" w:rsidRPr="00F9778E" w:rsidRDefault="008B6731" w:rsidP="00866AEC">
            <w:pPr>
              <w:pStyle w:val="TableBullet"/>
            </w:pPr>
            <w:r>
              <w:t>Dougal Purcell</w:t>
            </w:r>
            <w:r w:rsidR="001508C2">
              <w:t xml:space="preserve">, </w:t>
            </w:r>
            <w:r w:rsidR="00D11987">
              <w:t xml:space="preserve">Executive </w:t>
            </w:r>
            <w:r w:rsidR="001E73BD">
              <w:t xml:space="preserve">Director, </w:t>
            </w:r>
            <w:r w:rsidR="00D11987">
              <w:t>Agriculture Sector Development and Services, Agriculture Victoria</w:t>
            </w:r>
          </w:p>
        </w:tc>
      </w:tr>
      <w:tr w:rsidR="00211465" w14:paraId="1BBCF471" w14:textId="77777777" w:rsidTr="005E48D1">
        <w:tc>
          <w:tcPr>
            <w:tcW w:w="625" w:type="pct"/>
            <w:vMerge/>
          </w:tcPr>
          <w:p w14:paraId="6C589DB8" w14:textId="77777777" w:rsidR="00FD2EE0" w:rsidRDefault="00FD2EE0" w:rsidP="00A33BA5">
            <w:pPr>
              <w:pStyle w:val="TableText"/>
            </w:pPr>
          </w:p>
        </w:tc>
        <w:tc>
          <w:tcPr>
            <w:tcW w:w="860" w:type="pct"/>
            <w:tcMar>
              <w:left w:w="108" w:type="dxa"/>
              <w:right w:w="108" w:type="dxa"/>
            </w:tcMar>
          </w:tcPr>
          <w:p w14:paraId="1EA78CD7" w14:textId="4A5500CE" w:rsidR="00FD2EE0" w:rsidRDefault="00FD2EE0" w:rsidP="00A33BA5">
            <w:pPr>
              <w:pStyle w:val="TableText"/>
            </w:pPr>
            <w:r>
              <w:t>2:30 to 3:00 pm</w:t>
            </w:r>
          </w:p>
        </w:tc>
        <w:tc>
          <w:tcPr>
            <w:tcW w:w="3515" w:type="pct"/>
            <w:tcMar>
              <w:left w:w="108" w:type="dxa"/>
              <w:right w:w="108" w:type="dxa"/>
            </w:tcMar>
          </w:tcPr>
          <w:p w14:paraId="1CD2C449" w14:textId="3A0CB8FA" w:rsidR="00FD2EE0" w:rsidRPr="00C666B8" w:rsidRDefault="00FD2EE0" w:rsidP="00A33BA5">
            <w:pPr>
              <w:pStyle w:val="TableText"/>
            </w:pPr>
            <w:r>
              <w:t>Afternoon tea</w:t>
            </w:r>
          </w:p>
        </w:tc>
      </w:tr>
      <w:tr w:rsidR="00211465" w14:paraId="6CD406FA" w14:textId="77777777" w:rsidTr="005E48D1">
        <w:tc>
          <w:tcPr>
            <w:tcW w:w="625" w:type="pct"/>
            <w:vMerge w:val="restart"/>
          </w:tcPr>
          <w:p w14:paraId="4B4E956D" w14:textId="090A1D9E" w:rsidR="005053E9" w:rsidRDefault="00D468DC" w:rsidP="00FD2EE0">
            <w:pPr>
              <w:pStyle w:val="TableText"/>
            </w:pPr>
            <w:r>
              <w:t>Workshop and closing plenary</w:t>
            </w:r>
          </w:p>
        </w:tc>
        <w:tc>
          <w:tcPr>
            <w:tcW w:w="860" w:type="pct"/>
            <w:tcMar>
              <w:left w:w="108" w:type="dxa"/>
              <w:right w:w="108" w:type="dxa"/>
            </w:tcMar>
          </w:tcPr>
          <w:p w14:paraId="20C7584E" w14:textId="0B61949E" w:rsidR="005053E9" w:rsidRDefault="005053E9" w:rsidP="00FD2EE0">
            <w:pPr>
              <w:pStyle w:val="TableText"/>
            </w:pPr>
            <w:r w:rsidRPr="00727738">
              <w:t xml:space="preserve">3:00 </w:t>
            </w:r>
            <w:r>
              <w:t>to</w:t>
            </w:r>
            <w:r w:rsidRPr="00727738">
              <w:t xml:space="preserve"> 4:45</w:t>
            </w:r>
            <w:r>
              <w:t> </w:t>
            </w:r>
            <w:r w:rsidRPr="00727738">
              <w:t>pm</w:t>
            </w:r>
          </w:p>
        </w:tc>
        <w:tc>
          <w:tcPr>
            <w:tcW w:w="3515" w:type="pct"/>
            <w:tcMar>
              <w:left w:w="108" w:type="dxa"/>
              <w:right w:w="108" w:type="dxa"/>
            </w:tcMar>
          </w:tcPr>
          <w:p w14:paraId="398F1763" w14:textId="77E97B0B" w:rsidR="005053E9" w:rsidRPr="00FE0490" w:rsidRDefault="000F4A43" w:rsidP="00FD2EE0">
            <w:pPr>
              <w:pStyle w:val="TableText"/>
              <w:rPr>
                <w:b/>
                <w:bCs/>
              </w:rPr>
            </w:pPr>
            <w:r>
              <w:rPr>
                <w:b/>
                <w:bCs/>
              </w:rPr>
              <w:t xml:space="preserve">Workshop: </w:t>
            </w:r>
            <w:r w:rsidR="005053E9" w:rsidRPr="00E43EB2">
              <w:rPr>
                <w:b/>
                <w:bCs/>
              </w:rPr>
              <w:t>Reflecting on our drought framework</w:t>
            </w:r>
          </w:p>
          <w:p w14:paraId="41810E53" w14:textId="755B519B" w:rsidR="005053E9" w:rsidRDefault="000F4A43" w:rsidP="00FD2EE0">
            <w:pPr>
              <w:pStyle w:val="TableText"/>
            </w:pPr>
            <w:r>
              <w:t>F</w:t>
            </w:r>
            <w:r w:rsidR="005053E9" w:rsidRPr="00727738">
              <w:t>acilitator</w:t>
            </w:r>
            <w:r w:rsidR="005053E9" w:rsidRPr="009533FB">
              <w:t>:</w:t>
            </w:r>
            <w:r w:rsidR="005053E9" w:rsidRPr="00211465">
              <w:t xml:space="preserve"> </w:t>
            </w:r>
            <w:r w:rsidR="005053E9" w:rsidRPr="00727738">
              <w:t>Tanya Lehmann</w:t>
            </w:r>
          </w:p>
          <w:p w14:paraId="1A937CC8" w14:textId="79B08E02" w:rsidR="005053E9" w:rsidRDefault="005053E9" w:rsidP="00FD2EE0">
            <w:pPr>
              <w:pStyle w:val="TableText"/>
            </w:pPr>
            <w:r w:rsidRPr="00727738">
              <w:t>Explore, reflect and provide insights on how we approach drought in Australia through our policies, programs and settings</w:t>
            </w:r>
            <w:r>
              <w:t>.</w:t>
            </w:r>
          </w:p>
        </w:tc>
      </w:tr>
      <w:tr w:rsidR="00211465" w14:paraId="030CC746" w14:textId="77777777" w:rsidTr="005E48D1">
        <w:tc>
          <w:tcPr>
            <w:tcW w:w="625" w:type="pct"/>
            <w:vMerge/>
          </w:tcPr>
          <w:p w14:paraId="2D060E25" w14:textId="77777777" w:rsidR="005053E9" w:rsidRDefault="005053E9" w:rsidP="00FD2EE0">
            <w:pPr>
              <w:pStyle w:val="TableText"/>
            </w:pPr>
          </w:p>
        </w:tc>
        <w:tc>
          <w:tcPr>
            <w:tcW w:w="860" w:type="pct"/>
            <w:tcMar>
              <w:left w:w="108" w:type="dxa"/>
              <w:right w:w="108" w:type="dxa"/>
            </w:tcMar>
          </w:tcPr>
          <w:p w14:paraId="5C59719D" w14:textId="5DBF8F7A" w:rsidR="005053E9" w:rsidRDefault="005053E9" w:rsidP="00FD2EE0">
            <w:pPr>
              <w:pStyle w:val="TableText"/>
            </w:pPr>
            <w:r w:rsidRPr="00727738">
              <w:t xml:space="preserve">4:45 </w:t>
            </w:r>
            <w:r>
              <w:t>to</w:t>
            </w:r>
            <w:r w:rsidRPr="00727738">
              <w:t xml:space="preserve"> 5:00</w:t>
            </w:r>
            <w:r>
              <w:t> </w:t>
            </w:r>
            <w:r w:rsidRPr="00727738">
              <w:t>pm</w:t>
            </w:r>
          </w:p>
        </w:tc>
        <w:tc>
          <w:tcPr>
            <w:tcW w:w="3515" w:type="pct"/>
            <w:tcMar>
              <w:left w:w="108" w:type="dxa"/>
              <w:right w:w="108" w:type="dxa"/>
            </w:tcMar>
          </w:tcPr>
          <w:p w14:paraId="4A808ED7" w14:textId="77777777" w:rsidR="00313C07" w:rsidRDefault="005053E9" w:rsidP="00FD2EE0">
            <w:pPr>
              <w:pStyle w:val="TableText"/>
            </w:pPr>
            <w:r w:rsidRPr="00B41639">
              <w:t>Wrap</w:t>
            </w:r>
            <w:r w:rsidR="00A06644" w:rsidRPr="00B41639">
              <w:t>-</w:t>
            </w:r>
            <w:r w:rsidRPr="00B41639">
              <w:t>up and close</w:t>
            </w:r>
          </w:p>
          <w:p w14:paraId="6E687B82" w14:textId="3651A1E0" w:rsidR="004D1487" w:rsidRPr="00B41639" w:rsidRDefault="004D1487" w:rsidP="00FD2EE0">
            <w:pPr>
              <w:pStyle w:val="TableText"/>
            </w:pPr>
            <w:r>
              <w:t>Senator t</w:t>
            </w:r>
            <w:r w:rsidRPr="004D1487">
              <w:t xml:space="preserve">he Hon </w:t>
            </w:r>
            <w:r>
              <w:t>Anthony Chisholm</w:t>
            </w:r>
            <w:r w:rsidRPr="004D1487">
              <w:t xml:space="preserve">, </w:t>
            </w:r>
            <w:r>
              <w:t xml:space="preserve">Assistant </w:t>
            </w:r>
            <w:r w:rsidRPr="004D1487">
              <w:t>Minister for Agriculture, Fisheries and Forestry</w:t>
            </w:r>
          </w:p>
        </w:tc>
      </w:tr>
    </w:tbl>
    <w:p w14:paraId="6D5E5287" w14:textId="77777777" w:rsidR="00A3177B" w:rsidRDefault="00A3177B" w:rsidP="00ED6D71">
      <w:pPr>
        <w:pStyle w:val="Heading2"/>
        <w:numPr>
          <w:ilvl w:val="0"/>
          <w:numId w:val="0"/>
        </w:numPr>
        <w:spacing w:after="0"/>
        <w:ind w:left="720" w:hanging="720"/>
      </w:pPr>
      <w:bookmarkStart w:id="2" w:name="Title_1"/>
      <w:bookmarkStart w:id="3" w:name="RowTitle_3"/>
      <w:bookmarkEnd w:id="2"/>
      <w:bookmarkEnd w:id="3"/>
      <w:r>
        <w:t>Tuesday, 9 September 2025</w:t>
      </w:r>
    </w:p>
    <w:p w14:paraId="4C4DA65E" w14:textId="521AB9CA" w:rsidR="00193778" w:rsidRDefault="00052799" w:rsidP="00ED6D71">
      <w:pPr>
        <w:pStyle w:val="Heading3"/>
        <w:spacing w:after="0"/>
      </w:pPr>
      <w:bookmarkStart w:id="4" w:name="RowTitle_4"/>
      <w:bookmarkEnd w:id="4"/>
      <w:r>
        <w:t xml:space="preserve">Day 2: Drought </w:t>
      </w:r>
      <w:r w:rsidR="00567DDB">
        <w:t>e</w:t>
      </w:r>
      <w:r>
        <w:t>ngagement</w:t>
      </w:r>
      <w:bookmarkStart w:id="5" w:name="Title_Glossary"/>
      <w:bookmarkStart w:id="6" w:name="RowTitle_5"/>
      <w:bookmarkStart w:id="7" w:name="_Toc430782162"/>
      <w:bookmarkStart w:id="8" w:name="_Toc511376531"/>
      <w:bookmarkEnd w:id="5"/>
      <w:bookmarkEnd w:id="6"/>
    </w:p>
    <w:p w14:paraId="482EAAB0" w14:textId="7412F080" w:rsidR="000E4502" w:rsidRPr="000E4502" w:rsidRDefault="000E4502" w:rsidP="00956CEA">
      <w:pPr>
        <w:pStyle w:val="Heading4"/>
      </w:pPr>
      <w:r>
        <w:t>Gawler Civic Centre, 9:00 am to 4:</w:t>
      </w:r>
      <w:r w:rsidRPr="000E4502">
        <w:t>00</w:t>
      </w:r>
      <w:r>
        <w:t xml:space="preserve"> </w:t>
      </w:r>
      <w:r w:rsidRPr="000E4502">
        <w:t>pm</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147"/>
        <w:gridCol w:w="1578"/>
        <w:gridCol w:w="6345"/>
      </w:tblGrid>
      <w:tr w:rsidR="006A00DD" w:rsidRPr="00727738" w14:paraId="328CED96" w14:textId="77777777" w:rsidTr="005E48D1">
        <w:trPr>
          <w:cantSplit/>
          <w:tblHeader/>
        </w:trPr>
        <w:tc>
          <w:tcPr>
            <w:tcW w:w="632" w:type="pct"/>
          </w:tcPr>
          <w:p w14:paraId="5CD85F3C" w14:textId="5F86AAB8" w:rsidR="00EE2A0E" w:rsidRPr="00727738" w:rsidRDefault="00CB1A9C" w:rsidP="005F169B">
            <w:pPr>
              <w:pStyle w:val="TableHeading"/>
            </w:pPr>
            <w:bookmarkStart w:id="9" w:name="RowTitle_6"/>
            <w:bookmarkStart w:id="10" w:name="RowTitle_Day_2"/>
            <w:bookmarkEnd w:id="9"/>
            <w:bookmarkEnd w:id="10"/>
            <w:r>
              <w:t>Session</w:t>
            </w:r>
          </w:p>
        </w:tc>
        <w:tc>
          <w:tcPr>
            <w:tcW w:w="870" w:type="pct"/>
            <w:shd w:val="clear" w:color="auto" w:fill="auto"/>
            <w:tcMar>
              <w:left w:w="108" w:type="dxa"/>
              <w:right w:w="108" w:type="dxa"/>
            </w:tcMar>
          </w:tcPr>
          <w:p w14:paraId="7B832F14" w14:textId="593B8E8B" w:rsidR="00EE2A0E" w:rsidRPr="00727738" w:rsidRDefault="00EE2A0E" w:rsidP="005F169B">
            <w:pPr>
              <w:pStyle w:val="TableHeading"/>
            </w:pPr>
            <w:r w:rsidRPr="00727738">
              <w:t>Time</w:t>
            </w:r>
          </w:p>
        </w:tc>
        <w:tc>
          <w:tcPr>
            <w:tcW w:w="3498" w:type="pct"/>
            <w:shd w:val="clear" w:color="auto" w:fill="auto"/>
            <w:tcMar>
              <w:left w:w="108" w:type="dxa"/>
              <w:right w:w="108" w:type="dxa"/>
            </w:tcMar>
          </w:tcPr>
          <w:p w14:paraId="72B20594" w14:textId="317C8FF5" w:rsidR="00EE2A0E" w:rsidRPr="00727738" w:rsidRDefault="006A00DD" w:rsidP="005F169B">
            <w:pPr>
              <w:pStyle w:val="TableHeading"/>
            </w:pPr>
            <w:r>
              <w:t>Description</w:t>
            </w:r>
          </w:p>
        </w:tc>
      </w:tr>
      <w:tr w:rsidR="00B36BE3" w:rsidRPr="00727738" w14:paraId="572D9D46" w14:textId="77777777" w:rsidTr="005E48D1">
        <w:tc>
          <w:tcPr>
            <w:tcW w:w="632" w:type="pct"/>
          </w:tcPr>
          <w:p w14:paraId="77C564E7" w14:textId="3AFBE77D" w:rsidR="00B36BE3" w:rsidRPr="005C0E9D" w:rsidRDefault="006A00DD" w:rsidP="005C0E9D">
            <w:pPr>
              <w:pStyle w:val="TableText"/>
            </w:pPr>
            <w:r>
              <w:t>Opening</w:t>
            </w:r>
            <w:r w:rsidR="00211465">
              <w:t xml:space="preserve"> plenary</w:t>
            </w:r>
          </w:p>
        </w:tc>
        <w:tc>
          <w:tcPr>
            <w:tcW w:w="870" w:type="pct"/>
            <w:shd w:val="clear" w:color="auto" w:fill="auto"/>
            <w:tcMar>
              <w:left w:w="108" w:type="dxa"/>
              <w:right w:w="108" w:type="dxa"/>
            </w:tcMar>
          </w:tcPr>
          <w:p w14:paraId="6ABCF56A" w14:textId="1FF367BD" w:rsidR="00B36BE3" w:rsidRPr="00727738" w:rsidRDefault="00B36BE3" w:rsidP="005C0E9D">
            <w:pPr>
              <w:pStyle w:val="TableText"/>
            </w:pPr>
            <w:r>
              <w:t>9:00 to 9:30 am</w:t>
            </w:r>
          </w:p>
        </w:tc>
        <w:tc>
          <w:tcPr>
            <w:tcW w:w="3498" w:type="pct"/>
            <w:shd w:val="clear" w:color="auto" w:fill="auto"/>
            <w:tcMar>
              <w:left w:w="108" w:type="dxa"/>
              <w:right w:w="108" w:type="dxa"/>
            </w:tcMar>
          </w:tcPr>
          <w:p w14:paraId="6E1FDB51" w14:textId="76DD1DF6" w:rsidR="00B36BE3" w:rsidRPr="00B36BE3" w:rsidRDefault="00B36BE3" w:rsidP="00F60F54">
            <w:pPr>
              <w:pStyle w:val="TableText"/>
            </w:pPr>
            <w:r w:rsidRPr="00211465">
              <w:t>Day 2 open</w:t>
            </w:r>
            <w:r w:rsidRPr="006A00DD">
              <w:t>ing remarks</w:t>
            </w:r>
          </w:p>
        </w:tc>
      </w:tr>
      <w:tr w:rsidR="006A00DD" w:rsidRPr="00727738" w14:paraId="1C82C3F2" w14:textId="77777777" w:rsidTr="005E48D1">
        <w:tc>
          <w:tcPr>
            <w:tcW w:w="632" w:type="pct"/>
            <w:vMerge w:val="restart"/>
          </w:tcPr>
          <w:p w14:paraId="34FE3125" w14:textId="496509CC" w:rsidR="0073101A" w:rsidRPr="00727738" w:rsidRDefault="006A00DD" w:rsidP="005C0E9D">
            <w:pPr>
              <w:pStyle w:val="TableText"/>
            </w:pPr>
            <w:r>
              <w:t>Morning breakout activities</w:t>
            </w:r>
          </w:p>
        </w:tc>
        <w:tc>
          <w:tcPr>
            <w:tcW w:w="870" w:type="pct"/>
            <w:vMerge w:val="restart"/>
            <w:shd w:val="clear" w:color="auto" w:fill="auto"/>
            <w:tcMar>
              <w:left w:w="108" w:type="dxa"/>
              <w:right w:w="108" w:type="dxa"/>
            </w:tcMar>
          </w:tcPr>
          <w:p w14:paraId="31542CF8" w14:textId="73CA5A7C" w:rsidR="0073101A" w:rsidRPr="00727738" w:rsidRDefault="0073101A" w:rsidP="00687B23">
            <w:pPr>
              <w:pStyle w:val="TableText"/>
            </w:pPr>
            <w:r w:rsidRPr="00727738">
              <w:t xml:space="preserve">9:30 </w:t>
            </w:r>
            <w:r>
              <w:t>to</w:t>
            </w:r>
            <w:r w:rsidRPr="00727738">
              <w:t xml:space="preserve"> 11:00</w:t>
            </w:r>
            <w:r>
              <w:t> </w:t>
            </w:r>
            <w:r w:rsidRPr="00727738">
              <w:t>am</w:t>
            </w:r>
          </w:p>
        </w:tc>
        <w:tc>
          <w:tcPr>
            <w:tcW w:w="3498" w:type="pct"/>
            <w:shd w:val="clear" w:color="auto" w:fill="auto"/>
            <w:tcMar>
              <w:left w:w="108" w:type="dxa"/>
              <w:right w:w="108" w:type="dxa"/>
            </w:tcMar>
          </w:tcPr>
          <w:p w14:paraId="480F1D58" w14:textId="0C3BB9F7" w:rsidR="0073101A" w:rsidRPr="00FE0490" w:rsidRDefault="0073101A" w:rsidP="005C0E9D">
            <w:pPr>
              <w:pStyle w:val="TableText"/>
              <w:rPr>
                <w:b/>
                <w:bCs/>
              </w:rPr>
            </w:pPr>
            <w:r w:rsidRPr="00FE0490">
              <w:rPr>
                <w:b/>
                <w:bCs/>
              </w:rPr>
              <w:t xml:space="preserve">Workshop: </w:t>
            </w:r>
            <w:r w:rsidR="000C6478" w:rsidRPr="000C6478">
              <w:rPr>
                <w:b/>
                <w:bCs/>
              </w:rPr>
              <w:t>Strengthening mental wellbeing and preventing suicides through</w:t>
            </w:r>
            <w:r w:rsidR="005E48D1">
              <w:rPr>
                <w:b/>
                <w:bCs/>
              </w:rPr>
              <w:t> </w:t>
            </w:r>
            <w:r w:rsidR="000C6478" w:rsidRPr="000C6478">
              <w:rPr>
                <w:b/>
                <w:bCs/>
              </w:rPr>
              <w:t>drought</w:t>
            </w:r>
          </w:p>
          <w:p w14:paraId="396B6E77" w14:textId="5C010B5A" w:rsidR="00623205" w:rsidRDefault="00623205" w:rsidP="005C0E9D">
            <w:pPr>
              <w:pStyle w:val="TableText"/>
            </w:pPr>
            <w:r>
              <w:t>Room: James Martin Room</w:t>
            </w:r>
          </w:p>
          <w:p w14:paraId="6DF01C42" w14:textId="724AC4C3" w:rsidR="0073101A" w:rsidRPr="00727738" w:rsidRDefault="0073101A" w:rsidP="005C0E9D">
            <w:pPr>
              <w:pStyle w:val="TableText"/>
            </w:pPr>
            <w:r w:rsidRPr="00727738">
              <w:t>Facilitator: Tanya Lehmann</w:t>
            </w:r>
          </w:p>
          <w:p w14:paraId="054E00D6" w14:textId="34262E4C" w:rsidR="0073101A" w:rsidRPr="00727738" w:rsidRDefault="000C6478" w:rsidP="005C0E9D">
            <w:pPr>
              <w:pStyle w:val="TableText"/>
            </w:pPr>
            <w:r w:rsidRPr="000C6478">
              <w:t>Confirming the short and long-term objectives, appropriate support types and roles and responsibilities for mental health, wellbeing and suicide prevention across the drought cycle</w:t>
            </w:r>
            <w:r w:rsidR="006A2764">
              <w:t>.</w:t>
            </w:r>
          </w:p>
        </w:tc>
      </w:tr>
      <w:tr w:rsidR="006A00DD" w:rsidRPr="00727738" w14:paraId="237C274F" w14:textId="77777777" w:rsidTr="005E48D1">
        <w:tc>
          <w:tcPr>
            <w:tcW w:w="632" w:type="pct"/>
            <w:vMerge/>
          </w:tcPr>
          <w:p w14:paraId="01B0B862" w14:textId="77777777" w:rsidR="0073101A" w:rsidRPr="00727738" w:rsidRDefault="0073101A" w:rsidP="005C0E9D">
            <w:pPr>
              <w:pStyle w:val="TableText"/>
            </w:pPr>
          </w:p>
        </w:tc>
        <w:tc>
          <w:tcPr>
            <w:tcW w:w="870" w:type="pct"/>
            <w:vMerge/>
            <w:shd w:val="clear" w:color="auto" w:fill="auto"/>
            <w:tcMar>
              <w:left w:w="108" w:type="dxa"/>
              <w:right w:w="108" w:type="dxa"/>
            </w:tcMar>
            <w:vAlign w:val="center"/>
          </w:tcPr>
          <w:p w14:paraId="40873870" w14:textId="16B03A13" w:rsidR="0073101A" w:rsidRPr="00727738" w:rsidRDefault="0073101A" w:rsidP="005C0E9D">
            <w:pPr>
              <w:pStyle w:val="TableText"/>
            </w:pPr>
          </w:p>
        </w:tc>
        <w:tc>
          <w:tcPr>
            <w:tcW w:w="3498" w:type="pct"/>
            <w:shd w:val="clear" w:color="auto" w:fill="auto"/>
            <w:tcMar>
              <w:left w:w="108" w:type="dxa"/>
              <w:right w:w="108" w:type="dxa"/>
            </w:tcMar>
          </w:tcPr>
          <w:p w14:paraId="13280A5E" w14:textId="7B6028FF" w:rsidR="0073101A" w:rsidRPr="00FB16F4" w:rsidRDefault="0073101A" w:rsidP="005C0E9D">
            <w:pPr>
              <w:pStyle w:val="TableText"/>
              <w:rPr>
                <w:b/>
                <w:bCs/>
              </w:rPr>
            </w:pPr>
            <w:r w:rsidRPr="00FB16F4">
              <w:rPr>
                <w:b/>
                <w:bCs/>
              </w:rPr>
              <w:t>Panel: Farming futures and the challenge of transition</w:t>
            </w:r>
          </w:p>
          <w:p w14:paraId="1427D1C8" w14:textId="58A7CE28" w:rsidR="00623205" w:rsidRPr="00FB16F4" w:rsidRDefault="00623205" w:rsidP="005C0E9D">
            <w:pPr>
              <w:pStyle w:val="TableText"/>
            </w:pPr>
            <w:r w:rsidRPr="00FB16F4">
              <w:t>Room: Council Chamber</w:t>
            </w:r>
          </w:p>
          <w:p w14:paraId="783B5542" w14:textId="2F1D5A8E" w:rsidR="0073101A" w:rsidRPr="00FB16F4" w:rsidRDefault="0073101A" w:rsidP="005C0E9D">
            <w:pPr>
              <w:pStyle w:val="TableText"/>
            </w:pPr>
            <w:r w:rsidRPr="00FB16F4">
              <w:t>Examine key farm business transition and family succession challenges faced by Australian farmers impacted by drought and consider options to overcome the</w:t>
            </w:r>
            <w:r w:rsidR="000F4A43" w:rsidRPr="00FB16F4">
              <w:t>se challenges</w:t>
            </w:r>
            <w:r w:rsidRPr="00FB16F4">
              <w:t>.</w:t>
            </w:r>
          </w:p>
          <w:p w14:paraId="3301F9B7" w14:textId="38E95306" w:rsidR="00F9778E" w:rsidRPr="00FB16F4" w:rsidRDefault="00AB5ABE" w:rsidP="005C0E9D">
            <w:pPr>
              <w:pStyle w:val="TableText"/>
            </w:pPr>
            <w:r w:rsidRPr="00FB16F4">
              <w:t>Chair: Chris Young,</w:t>
            </w:r>
            <w:r w:rsidR="003D0B28" w:rsidRPr="00FB16F4">
              <w:t xml:space="preserve"> General Manager, Trade and Economics,</w:t>
            </w:r>
            <w:r w:rsidRPr="00FB16F4">
              <w:t xml:space="preserve"> National Farmers’ Federation</w:t>
            </w:r>
          </w:p>
          <w:p w14:paraId="5F89202D" w14:textId="77777777" w:rsidR="00AB5ABE" w:rsidRPr="00FB16F4" w:rsidRDefault="00AB5ABE" w:rsidP="005C0E9D">
            <w:pPr>
              <w:pStyle w:val="TableText"/>
            </w:pPr>
            <w:r w:rsidRPr="00FB16F4">
              <w:t>Panel includes:</w:t>
            </w:r>
          </w:p>
          <w:p w14:paraId="666737D8" w14:textId="34FC59D3" w:rsidR="00AB5ABE" w:rsidRPr="00FB16F4" w:rsidRDefault="00AB5ABE" w:rsidP="00866AEC">
            <w:pPr>
              <w:pStyle w:val="TableBullet"/>
            </w:pPr>
            <w:r w:rsidRPr="00FB16F4">
              <w:t>Isobel Knight, Director, Pro</w:t>
            </w:r>
            <w:r w:rsidR="003D0B28" w:rsidRPr="00FB16F4">
              <w:t>A</w:t>
            </w:r>
            <w:r w:rsidRPr="00FB16F4">
              <w:t>gtive</w:t>
            </w:r>
          </w:p>
          <w:p w14:paraId="41101FAD" w14:textId="77777777" w:rsidR="00AB5ABE" w:rsidRPr="00FB16F4" w:rsidRDefault="00AB5ABE" w:rsidP="00866AEC">
            <w:pPr>
              <w:pStyle w:val="TableBullet"/>
            </w:pPr>
            <w:r w:rsidRPr="00FB16F4">
              <w:t>Chris Warrick, Chair, RFCS Victoria West</w:t>
            </w:r>
          </w:p>
          <w:p w14:paraId="4919A2D5" w14:textId="19354A9F" w:rsidR="00AB5ABE" w:rsidRPr="00FB16F4" w:rsidRDefault="00AB5ABE" w:rsidP="00866AEC">
            <w:pPr>
              <w:pStyle w:val="TableBullet"/>
            </w:pPr>
            <w:r w:rsidRPr="00FB16F4">
              <w:t>Peta Ward, National General Manager, Regional &amp; Agribusiness, Westpac</w:t>
            </w:r>
          </w:p>
          <w:p w14:paraId="2C8F057D" w14:textId="77777777" w:rsidR="00CD05D4" w:rsidRPr="00FB16F4" w:rsidRDefault="00CD05D4" w:rsidP="00A46E23">
            <w:pPr>
              <w:pStyle w:val="TableBullet"/>
            </w:pPr>
            <w:r w:rsidRPr="00FB16F4">
              <w:t>John Howard, CEO, Regional Investment Corporation (RIC)</w:t>
            </w:r>
          </w:p>
          <w:p w14:paraId="1E8D0817" w14:textId="2188858F" w:rsidR="00212063" w:rsidRPr="00FB16F4" w:rsidRDefault="003D0B28" w:rsidP="00A46E23">
            <w:pPr>
              <w:pStyle w:val="TableBullet"/>
            </w:pPr>
            <w:r w:rsidRPr="00FB16F4">
              <w:t>Jock Barnett, 2025 Nuffield Drought Resilience Scholar, Nuffield Australia</w:t>
            </w:r>
          </w:p>
        </w:tc>
      </w:tr>
      <w:tr w:rsidR="006A00DD" w:rsidRPr="00727738" w14:paraId="4A576BF9" w14:textId="77777777" w:rsidTr="005E48D1">
        <w:tc>
          <w:tcPr>
            <w:tcW w:w="632" w:type="pct"/>
            <w:vMerge/>
          </w:tcPr>
          <w:p w14:paraId="173F0C19" w14:textId="77777777" w:rsidR="0073101A" w:rsidRPr="00727738" w:rsidRDefault="0073101A" w:rsidP="005C0E9D">
            <w:pPr>
              <w:pStyle w:val="TableText"/>
            </w:pPr>
          </w:p>
        </w:tc>
        <w:tc>
          <w:tcPr>
            <w:tcW w:w="870" w:type="pct"/>
            <w:vMerge/>
            <w:shd w:val="clear" w:color="auto" w:fill="auto"/>
            <w:tcMar>
              <w:left w:w="108" w:type="dxa"/>
              <w:right w:w="108" w:type="dxa"/>
            </w:tcMar>
          </w:tcPr>
          <w:p w14:paraId="633A7546" w14:textId="739E3408" w:rsidR="0073101A" w:rsidRPr="00727738" w:rsidRDefault="0073101A" w:rsidP="005C0E9D">
            <w:pPr>
              <w:pStyle w:val="TableText"/>
            </w:pPr>
          </w:p>
        </w:tc>
        <w:tc>
          <w:tcPr>
            <w:tcW w:w="3498" w:type="pct"/>
            <w:shd w:val="clear" w:color="auto" w:fill="auto"/>
            <w:tcMar>
              <w:left w:w="108" w:type="dxa"/>
              <w:right w:w="108" w:type="dxa"/>
            </w:tcMar>
          </w:tcPr>
          <w:p w14:paraId="2F0EEA7D" w14:textId="0C7B17D9" w:rsidR="0073101A" w:rsidRPr="00FB16F4" w:rsidRDefault="0073101A" w:rsidP="005C0E9D">
            <w:pPr>
              <w:pStyle w:val="TableText"/>
              <w:rPr>
                <w:b/>
                <w:bCs/>
              </w:rPr>
            </w:pPr>
            <w:r w:rsidRPr="00FB16F4">
              <w:rPr>
                <w:b/>
                <w:bCs/>
              </w:rPr>
              <w:t>Panel: Drought as a catalyst for change</w:t>
            </w:r>
          </w:p>
          <w:p w14:paraId="6DC34537" w14:textId="4CEABC03" w:rsidR="00623205" w:rsidRPr="00FB16F4" w:rsidRDefault="00623205" w:rsidP="005C0E9D">
            <w:pPr>
              <w:pStyle w:val="TableText"/>
            </w:pPr>
            <w:r w:rsidRPr="00FB16F4">
              <w:t>Room: Institute Hall</w:t>
            </w:r>
          </w:p>
          <w:p w14:paraId="049BD13E" w14:textId="389CADC6" w:rsidR="0073101A" w:rsidRPr="00FB16F4" w:rsidRDefault="0073101A" w:rsidP="005C0E9D">
            <w:pPr>
              <w:pStyle w:val="TableText"/>
            </w:pPr>
            <w:r w:rsidRPr="00FB16F4">
              <w:t>Explore the opportunities drought provides for reflection on ‘</w:t>
            </w:r>
            <w:r w:rsidR="000F4A43" w:rsidRPr="00FB16F4">
              <w:t>W</w:t>
            </w:r>
            <w:r w:rsidRPr="00FB16F4">
              <w:t>hat worked, what didn’t and what could be done differently next time?’ and how these learnings can inform risk management and decision-making at all levels, now and over the medium and long</w:t>
            </w:r>
            <w:r w:rsidR="00BD5CE3" w:rsidRPr="00FB16F4">
              <w:t xml:space="preserve"> </w:t>
            </w:r>
            <w:r w:rsidRPr="00FB16F4">
              <w:t>term.</w:t>
            </w:r>
          </w:p>
          <w:p w14:paraId="2008C5AA" w14:textId="77777777" w:rsidR="00AB5ABE" w:rsidRPr="00FB16F4" w:rsidRDefault="00AB5ABE" w:rsidP="005C0E9D">
            <w:pPr>
              <w:pStyle w:val="TableText"/>
            </w:pPr>
            <w:r w:rsidRPr="00FB16F4">
              <w:t>Chair: Ashley Herbert, Member, Future Drought Fund Consultative Committee</w:t>
            </w:r>
          </w:p>
          <w:p w14:paraId="6F4479FB" w14:textId="77777777" w:rsidR="00AB5ABE" w:rsidRPr="00FB16F4" w:rsidRDefault="00AB5ABE" w:rsidP="005C0E9D">
            <w:pPr>
              <w:pStyle w:val="TableText"/>
            </w:pPr>
            <w:r w:rsidRPr="00FB16F4">
              <w:t>Panel includes:</w:t>
            </w:r>
          </w:p>
          <w:p w14:paraId="01D626B5" w14:textId="46F884CB" w:rsidR="00AB5ABE" w:rsidRPr="00FB16F4" w:rsidRDefault="003D763D" w:rsidP="00866AEC">
            <w:pPr>
              <w:pStyle w:val="TableBullet"/>
            </w:pPr>
            <w:r w:rsidRPr="00FB16F4">
              <w:t xml:space="preserve">Dr </w:t>
            </w:r>
            <w:r w:rsidR="0036549F" w:rsidRPr="00FB16F4">
              <w:t xml:space="preserve">Jared Greenville, </w:t>
            </w:r>
            <w:r w:rsidR="00575EFA" w:rsidRPr="00FB16F4">
              <w:t>Executive Director</w:t>
            </w:r>
            <w:r w:rsidR="0036549F" w:rsidRPr="00FB16F4">
              <w:t>, ABARES</w:t>
            </w:r>
          </w:p>
          <w:p w14:paraId="40C543C2" w14:textId="155F2B48" w:rsidR="003D763D" w:rsidRPr="00FB16F4" w:rsidRDefault="003D763D" w:rsidP="00866AEC">
            <w:pPr>
              <w:pStyle w:val="TableBullet"/>
            </w:pPr>
            <w:r w:rsidRPr="00FB16F4">
              <w:t xml:space="preserve">Dr </w:t>
            </w:r>
            <w:r w:rsidR="0036549F" w:rsidRPr="00FB16F4">
              <w:t xml:space="preserve">Stephen Lee, </w:t>
            </w:r>
            <w:r w:rsidRPr="00FB16F4">
              <w:t>Director, S</w:t>
            </w:r>
            <w:r w:rsidR="003D0B28" w:rsidRPr="00FB16F4">
              <w:t xml:space="preserve">outh </w:t>
            </w:r>
            <w:r w:rsidRPr="00FB16F4">
              <w:t>A</w:t>
            </w:r>
            <w:r w:rsidR="003D0B28" w:rsidRPr="00FB16F4">
              <w:t>ustralian Drought Resilience Adoption and Innovation</w:t>
            </w:r>
            <w:r w:rsidRPr="00FB16F4">
              <w:t xml:space="preserve"> Hub</w:t>
            </w:r>
          </w:p>
          <w:p w14:paraId="1A527864" w14:textId="77777777" w:rsidR="00BE2095" w:rsidRPr="00FB16F4" w:rsidRDefault="00BE2095" w:rsidP="00866AEC">
            <w:pPr>
              <w:pStyle w:val="TableBullet"/>
            </w:pPr>
            <w:r w:rsidRPr="00FB16F4">
              <w:t>Tas Ian Loane, Drought Resilience Coordinator, TasFarmers</w:t>
            </w:r>
          </w:p>
          <w:p w14:paraId="54B1F6D7" w14:textId="25C4F6DA" w:rsidR="00212063" w:rsidRPr="00FB16F4" w:rsidRDefault="00CD05D4" w:rsidP="003D0B28">
            <w:pPr>
              <w:pStyle w:val="TableBullet"/>
            </w:pPr>
            <w:r w:rsidRPr="00FB16F4">
              <w:t>Carissa Buckland, Director Corporate Affairs &amp; Marketing</w:t>
            </w:r>
            <w:r w:rsidR="00575EFA" w:rsidRPr="00FB16F4">
              <w:t>,</w:t>
            </w:r>
            <w:r w:rsidRPr="00FB16F4">
              <w:t xml:space="preserve"> NutrienAg</w:t>
            </w:r>
            <w:r w:rsidR="00575EFA" w:rsidRPr="00FB16F4">
              <w:t xml:space="preserve"> Solutions</w:t>
            </w:r>
          </w:p>
        </w:tc>
      </w:tr>
      <w:tr w:rsidR="006A00DD" w:rsidRPr="00727738" w14:paraId="44B3AC2A" w14:textId="77777777" w:rsidTr="005E48D1">
        <w:tc>
          <w:tcPr>
            <w:tcW w:w="632" w:type="pct"/>
            <w:vMerge/>
          </w:tcPr>
          <w:p w14:paraId="130B059F" w14:textId="0CA5D3D3" w:rsidR="0073101A" w:rsidRPr="00687B23" w:rsidRDefault="0073101A" w:rsidP="00687B23">
            <w:pPr>
              <w:pStyle w:val="TableText"/>
            </w:pPr>
          </w:p>
        </w:tc>
        <w:tc>
          <w:tcPr>
            <w:tcW w:w="870" w:type="pct"/>
            <w:shd w:val="clear" w:color="auto" w:fill="auto"/>
            <w:tcMar>
              <w:left w:w="108" w:type="dxa"/>
              <w:right w:w="108" w:type="dxa"/>
            </w:tcMar>
          </w:tcPr>
          <w:p w14:paraId="28E36AF9" w14:textId="65EC557A" w:rsidR="0073101A" w:rsidRPr="00211465" w:rsidRDefault="0073101A" w:rsidP="00687B23">
            <w:pPr>
              <w:pStyle w:val="TableText"/>
              <w:rPr>
                <w:highlight w:val="yellow"/>
              </w:rPr>
            </w:pPr>
            <w:r w:rsidRPr="00214E70">
              <w:t>11:00 to 11:30 am</w:t>
            </w:r>
          </w:p>
        </w:tc>
        <w:tc>
          <w:tcPr>
            <w:tcW w:w="3498" w:type="pct"/>
            <w:shd w:val="clear" w:color="auto" w:fill="auto"/>
            <w:tcMar>
              <w:left w:w="108" w:type="dxa"/>
              <w:right w:w="108" w:type="dxa"/>
            </w:tcMar>
          </w:tcPr>
          <w:p w14:paraId="378B8D80" w14:textId="582B1571" w:rsidR="0073101A" w:rsidRPr="00211465" w:rsidRDefault="0073101A" w:rsidP="00687B23">
            <w:pPr>
              <w:pStyle w:val="TableText"/>
              <w:rPr>
                <w:b/>
                <w:bCs/>
                <w:highlight w:val="yellow"/>
              </w:rPr>
            </w:pPr>
            <w:r w:rsidRPr="00727738">
              <w:t>Morning tea</w:t>
            </w:r>
          </w:p>
        </w:tc>
      </w:tr>
      <w:tr w:rsidR="006A00DD" w:rsidRPr="00727738" w14:paraId="6A33A2BF" w14:textId="77777777" w:rsidTr="005E48D1">
        <w:tc>
          <w:tcPr>
            <w:tcW w:w="632" w:type="pct"/>
            <w:vMerge w:val="restart"/>
          </w:tcPr>
          <w:p w14:paraId="1FE8F0A8" w14:textId="5EBD48ED" w:rsidR="0073101A" w:rsidRPr="00727738" w:rsidRDefault="006A00DD" w:rsidP="00687B23">
            <w:pPr>
              <w:pStyle w:val="TableText"/>
            </w:pPr>
            <w:r>
              <w:t>Midday b</w:t>
            </w:r>
            <w:r w:rsidR="0073101A" w:rsidRPr="00687B23">
              <w:t xml:space="preserve">reakout </w:t>
            </w:r>
            <w:r w:rsidR="0073101A">
              <w:t>activities</w:t>
            </w:r>
          </w:p>
        </w:tc>
        <w:tc>
          <w:tcPr>
            <w:tcW w:w="870" w:type="pct"/>
            <w:vMerge w:val="restart"/>
            <w:shd w:val="clear" w:color="auto" w:fill="auto"/>
            <w:tcMar>
              <w:left w:w="108" w:type="dxa"/>
              <w:right w:w="108" w:type="dxa"/>
            </w:tcMar>
          </w:tcPr>
          <w:p w14:paraId="466519DF" w14:textId="12ED52A6" w:rsidR="0073101A" w:rsidRPr="00727738" w:rsidRDefault="0073101A" w:rsidP="00687B23">
            <w:pPr>
              <w:pStyle w:val="TableText"/>
            </w:pPr>
            <w:r w:rsidRPr="00727738">
              <w:t>11:30</w:t>
            </w:r>
            <w:r>
              <w:t> </w:t>
            </w:r>
            <w:r w:rsidRPr="00727738">
              <w:t xml:space="preserve">am </w:t>
            </w:r>
            <w:r>
              <w:t>to</w:t>
            </w:r>
            <w:r w:rsidRPr="00727738">
              <w:t xml:space="preserve"> 1:00</w:t>
            </w:r>
            <w:r>
              <w:t> </w:t>
            </w:r>
            <w:r w:rsidRPr="00727738">
              <w:t>pm</w:t>
            </w:r>
          </w:p>
        </w:tc>
        <w:tc>
          <w:tcPr>
            <w:tcW w:w="3498" w:type="pct"/>
            <w:shd w:val="clear" w:color="auto" w:fill="auto"/>
            <w:tcMar>
              <w:left w:w="108" w:type="dxa"/>
              <w:right w:w="108" w:type="dxa"/>
            </w:tcMar>
          </w:tcPr>
          <w:p w14:paraId="522710B2" w14:textId="77777777" w:rsidR="0073101A" w:rsidRPr="00727738" w:rsidRDefault="0073101A" w:rsidP="00687B23">
            <w:pPr>
              <w:pStyle w:val="TableText"/>
              <w:rPr>
                <w:b/>
                <w:bCs/>
              </w:rPr>
            </w:pPr>
            <w:r w:rsidRPr="00727738">
              <w:rPr>
                <w:b/>
                <w:bCs/>
              </w:rPr>
              <w:t>Workshop: The pathway out of drought</w:t>
            </w:r>
          </w:p>
          <w:p w14:paraId="3FB84D83" w14:textId="2DE9F9BE" w:rsidR="0073101A" w:rsidRDefault="0073101A" w:rsidP="00687B23">
            <w:pPr>
              <w:pStyle w:val="TableText"/>
            </w:pPr>
            <w:r w:rsidRPr="00727738">
              <w:t xml:space="preserve">Room: </w:t>
            </w:r>
            <w:r w:rsidR="00623205">
              <w:t>James Martin Room</w:t>
            </w:r>
          </w:p>
          <w:p w14:paraId="7E083BB5" w14:textId="77777777" w:rsidR="0073101A" w:rsidRDefault="006A00DD" w:rsidP="00687B23">
            <w:pPr>
              <w:pStyle w:val="TableText"/>
            </w:pPr>
            <w:r w:rsidRPr="00727738">
              <w:t xml:space="preserve">Explore and share insights on how </w:t>
            </w:r>
            <w:r>
              <w:t>we can all</w:t>
            </w:r>
            <w:r w:rsidRPr="00727738">
              <w:t xml:space="preserve"> best support recovery</w:t>
            </w:r>
            <w:r>
              <w:t>.</w:t>
            </w:r>
          </w:p>
          <w:p w14:paraId="130B807C" w14:textId="77777777" w:rsidR="00CD05D4" w:rsidRDefault="00CD05D4" w:rsidP="00687B23">
            <w:pPr>
              <w:pStyle w:val="TableText"/>
            </w:pPr>
            <w:r>
              <w:t xml:space="preserve">Introduction by Lucinda Corrigan, Member, Future Drought Fund Consultative Committee </w:t>
            </w:r>
          </w:p>
          <w:p w14:paraId="57A5144E" w14:textId="77777777" w:rsidR="0014274E" w:rsidRDefault="00131C9E" w:rsidP="00687B23">
            <w:pPr>
              <w:pStyle w:val="TableText"/>
            </w:pPr>
            <w:r w:rsidRPr="0014274E">
              <w:t>Reflections from</w:t>
            </w:r>
            <w:r w:rsidR="0014274E">
              <w:t>:</w:t>
            </w:r>
          </w:p>
          <w:p w14:paraId="3311B024" w14:textId="28A8EFD2" w:rsidR="0014274E" w:rsidRDefault="00131C9E" w:rsidP="00866AEC">
            <w:pPr>
              <w:pStyle w:val="TableBullet"/>
            </w:pPr>
            <w:r w:rsidRPr="0014274E">
              <w:t>Alex Zimmerman</w:t>
            </w:r>
            <w:r w:rsidR="0014274E">
              <w:t>, South Australian Commissioner for Drought Support</w:t>
            </w:r>
          </w:p>
          <w:p w14:paraId="2F9E6CBC" w14:textId="0AB8E333" w:rsidR="00131C9E" w:rsidRPr="00727738" w:rsidRDefault="00131C9E" w:rsidP="00866AEC">
            <w:pPr>
              <w:pStyle w:val="TableBullet"/>
            </w:pPr>
            <w:r w:rsidRPr="0014274E">
              <w:t>Peter Tuohey</w:t>
            </w:r>
            <w:r w:rsidR="0014274E">
              <w:t xml:space="preserve">, </w:t>
            </w:r>
            <w:r w:rsidR="0014274E" w:rsidRPr="0014274E">
              <w:t>Rural Assistance Commissioner</w:t>
            </w:r>
            <w:r w:rsidR="0014274E">
              <w:t xml:space="preserve">, </w:t>
            </w:r>
            <w:r w:rsidR="0014274E" w:rsidRPr="0014274E">
              <w:t>Department of Energy, Environment and Climate Action</w:t>
            </w:r>
          </w:p>
        </w:tc>
      </w:tr>
      <w:tr w:rsidR="006A00DD" w:rsidRPr="00727738" w14:paraId="5336BA38" w14:textId="77777777" w:rsidTr="005E48D1">
        <w:tc>
          <w:tcPr>
            <w:tcW w:w="632" w:type="pct"/>
            <w:vMerge/>
          </w:tcPr>
          <w:p w14:paraId="31336639" w14:textId="77777777" w:rsidR="0073101A" w:rsidRPr="00687B23" w:rsidRDefault="0073101A" w:rsidP="00687B23">
            <w:pPr>
              <w:pStyle w:val="TableText"/>
            </w:pPr>
          </w:p>
        </w:tc>
        <w:tc>
          <w:tcPr>
            <w:tcW w:w="870" w:type="pct"/>
            <w:vMerge/>
            <w:shd w:val="clear" w:color="auto" w:fill="auto"/>
            <w:tcMar>
              <w:left w:w="108" w:type="dxa"/>
              <w:right w:w="108" w:type="dxa"/>
            </w:tcMar>
          </w:tcPr>
          <w:p w14:paraId="1BE5758C" w14:textId="77777777" w:rsidR="0073101A" w:rsidRPr="00727738" w:rsidRDefault="0073101A" w:rsidP="00687B23">
            <w:pPr>
              <w:pStyle w:val="TableText"/>
            </w:pPr>
          </w:p>
        </w:tc>
        <w:tc>
          <w:tcPr>
            <w:tcW w:w="3498" w:type="pct"/>
            <w:shd w:val="clear" w:color="auto" w:fill="auto"/>
            <w:tcMar>
              <w:left w:w="108" w:type="dxa"/>
              <w:right w:w="108" w:type="dxa"/>
            </w:tcMar>
          </w:tcPr>
          <w:p w14:paraId="53AB1247" w14:textId="77777777" w:rsidR="0073101A" w:rsidRPr="00727738" w:rsidRDefault="0073101A" w:rsidP="00687B23">
            <w:pPr>
              <w:pStyle w:val="TableText"/>
              <w:rPr>
                <w:b/>
                <w:bCs/>
              </w:rPr>
            </w:pPr>
            <w:r w:rsidRPr="00E43EB2">
              <w:rPr>
                <w:b/>
                <w:bCs/>
              </w:rPr>
              <w:t>Panel: Foundations of community resilience</w:t>
            </w:r>
          </w:p>
          <w:p w14:paraId="64E91BC9" w14:textId="486C6D7D" w:rsidR="0073101A" w:rsidRDefault="0073101A" w:rsidP="00687B23">
            <w:pPr>
              <w:pStyle w:val="TableText"/>
            </w:pPr>
            <w:r w:rsidRPr="00727738">
              <w:t xml:space="preserve">Room: </w:t>
            </w:r>
            <w:r w:rsidR="00623205">
              <w:t>Council Chamber</w:t>
            </w:r>
          </w:p>
          <w:p w14:paraId="6E63E59A" w14:textId="77777777" w:rsidR="0073101A" w:rsidRDefault="0073101A" w:rsidP="00687B23">
            <w:pPr>
              <w:pStyle w:val="TableText"/>
            </w:pPr>
            <w:r w:rsidRPr="00727738">
              <w:t>Hear insights on the key elements that make a community resilient to drought and other challenges, the pathways to increasing community resilience, the importance of people and networks, and how government can best support community resilience.</w:t>
            </w:r>
          </w:p>
          <w:p w14:paraId="6270EC37" w14:textId="77777777" w:rsidR="003D763D" w:rsidRDefault="003D763D" w:rsidP="00687B23">
            <w:pPr>
              <w:pStyle w:val="TableText"/>
            </w:pPr>
            <w:r>
              <w:t xml:space="preserve">Chair: </w:t>
            </w:r>
            <w:r w:rsidRPr="003D763D">
              <w:t>Matt Linnegar</w:t>
            </w:r>
            <w:r>
              <w:t>, Chief Executive, Australian Rural Leadership Foundation</w:t>
            </w:r>
          </w:p>
          <w:p w14:paraId="09487565" w14:textId="77777777" w:rsidR="003D763D" w:rsidRDefault="003D763D" w:rsidP="00687B23">
            <w:pPr>
              <w:pStyle w:val="TableText"/>
            </w:pPr>
            <w:r>
              <w:t>Panel includes:</w:t>
            </w:r>
          </w:p>
          <w:p w14:paraId="09B9B4BA" w14:textId="180A53C6" w:rsidR="003D763D" w:rsidRDefault="00F331EA" w:rsidP="00866AEC">
            <w:pPr>
              <w:pStyle w:val="TableBullet"/>
            </w:pPr>
            <w:r w:rsidRPr="00F331EA">
              <w:t>Professor Jacki Schirmer, Director, Centre for Environmental Governance, University of Canberra</w:t>
            </w:r>
          </w:p>
          <w:p w14:paraId="1BB2D68A" w14:textId="77777777" w:rsidR="00CD05D4" w:rsidRDefault="000320B0" w:rsidP="00623205">
            <w:pPr>
              <w:pStyle w:val="TableBullet"/>
            </w:pPr>
            <w:r>
              <w:t>Ian Hamm, Chair, Future Drought Fund First Nations Advisory Group</w:t>
            </w:r>
          </w:p>
          <w:p w14:paraId="4CDB315C" w14:textId="65C720CA" w:rsidR="00FC62F5" w:rsidRPr="00727738" w:rsidRDefault="00FC62F5" w:rsidP="00623205">
            <w:pPr>
              <w:pStyle w:val="TableBullet"/>
            </w:pPr>
            <w:r>
              <w:t xml:space="preserve">Jennifer Lynch, </w:t>
            </w:r>
            <w:r w:rsidR="000339FF" w:rsidRPr="000339FF">
              <w:t>CEO, Regional Development Australia - Barossa Gawler Light Adelaide Plains</w:t>
            </w:r>
          </w:p>
        </w:tc>
      </w:tr>
      <w:tr w:rsidR="006A00DD" w:rsidRPr="00727738" w14:paraId="1FC4A5B9" w14:textId="77777777" w:rsidTr="005E48D1">
        <w:tc>
          <w:tcPr>
            <w:tcW w:w="632" w:type="pct"/>
            <w:vMerge/>
          </w:tcPr>
          <w:p w14:paraId="157677BD" w14:textId="77777777" w:rsidR="0073101A" w:rsidRPr="00687B23" w:rsidRDefault="0073101A" w:rsidP="00687B23">
            <w:pPr>
              <w:pStyle w:val="TableText"/>
            </w:pPr>
          </w:p>
        </w:tc>
        <w:tc>
          <w:tcPr>
            <w:tcW w:w="870" w:type="pct"/>
            <w:vMerge/>
            <w:shd w:val="clear" w:color="auto" w:fill="auto"/>
            <w:tcMar>
              <w:left w:w="108" w:type="dxa"/>
              <w:right w:w="108" w:type="dxa"/>
            </w:tcMar>
          </w:tcPr>
          <w:p w14:paraId="7CDC49C0" w14:textId="77777777" w:rsidR="0073101A" w:rsidRPr="00727738" w:rsidRDefault="0073101A" w:rsidP="00687B23">
            <w:pPr>
              <w:pStyle w:val="TableText"/>
            </w:pPr>
          </w:p>
        </w:tc>
        <w:tc>
          <w:tcPr>
            <w:tcW w:w="3498" w:type="pct"/>
            <w:shd w:val="clear" w:color="auto" w:fill="auto"/>
            <w:tcMar>
              <w:left w:w="108" w:type="dxa"/>
              <w:right w:w="108" w:type="dxa"/>
            </w:tcMar>
          </w:tcPr>
          <w:p w14:paraId="574969A8" w14:textId="77777777" w:rsidR="0073101A" w:rsidRPr="00727738" w:rsidRDefault="0073101A" w:rsidP="00687B23">
            <w:pPr>
              <w:pStyle w:val="TableText"/>
              <w:rPr>
                <w:b/>
                <w:bCs/>
              </w:rPr>
            </w:pPr>
            <w:r w:rsidRPr="00727738">
              <w:rPr>
                <w:b/>
                <w:bCs/>
              </w:rPr>
              <w:t xml:space="preserve">Workshop: </w:t>
            </w:r>
            <w:r w:rsidRPr="00CF4A44">
              <w:rPr>
                <w:b/>
                <w:bCs/>
              </w:rPr>
              <w:t>Drought and the future of food security</w:t>
            </w:r>
          </w:p>
          <w:p w14:paraId="3667384F" w14:textId="49D5A0C5" w:rsidR="0073101A" w:rsidRDefault="0073101A" w:rsidP="00687B23">
            <w:pPr>
              <w:pStyle w:val="TableText"/>
            </w:pPr>
            <w:r w:rsidRPr="00727738">
              <w:t xml:space="preserve">Room: </w:t>
            </w:r>
            <w:r w:rsidR="00623205">
              <w:t>Institute Hall</w:t>
            </w:r>
          </w:p>
          <w:p w14:paraId="2A063E84" w14:textId="45ACF7D7" w:rsidR="0073101A" w:rsidRPr="00727738" w:rsidRDefault="0073101A" w:rsidP="00687B23">
            <w:pPr>
              <w:pStyle w:val="TableText"/>
            </w:pPr>
            <w:r w:rsidRPr="00727738">
              <w:t>Explore the implications for food security in a future of climate extremes and drought. Discover direct and indirect consequences to help uncover innovative ideas and potential policy solutions that seek to ensure resilient food and agricultur</w:t>
            </w:r>
            <w:r w:rsidR="00FB05A6">
              <w:t>al</w:t>
            </w:r>
            <w:r w:rsidRPr="00727738">
              <w:t xml:space="preserve"> systems.</w:t>
            </w:r>
          </w:p>
        </w:tc>
      </w:tr>
      <w:tr w:rsidR="006A00DD" w:rsidRPr="00727738" w14:paraId="21BC5360" w14:textId="77777777" w:rsidTr="005E48D1">
        <w:tc>
          <w:tcPr>
            <w:tcW w:w="632" w:type="pct"/>
            <w:vMerge/>
          </w:tcPr>
          <w:p w14:paraId="0A04B3CF" w14:textId="71D50479" w:rsidR="0073101A" w:rsidRPr="00687B23" w:rsidRDefault="0073101A" w:rsidP="006C3795">
            <w:pPr>
              <w:pStyle w:val="TableText"/>
            </w:pPr>
          </w:p>
        </w:tc>
        <w:tc>
          <w:tcPr>
            <w:tcW w:w="870" w:type="pct"/>
            <w:shd w:val="clear" w:color="auto" w:fill="auto"/>
            <w:tcMar>
              <w:left w:w="108" w:type="dxa"/>
              <w:right w:w="108" w:type="dxa"/>
            </w:tcMar>
          </w:tcPr>
          <w:p w14:paraId="7172B2C9" w14:textId="3BCDDD0A" w:rsidR="0073101A" w:rsidRPr="00727738" w:rsidRDefault="0073101A" w:rsidP="006C3795">
            <w:pPr>
              <w:pStyle w:val="TableText"/>
            </w:pPr>
            <w:r w:rsidRPr="00727738">
              <w:t xml:space="preserve">1:00 </w:t>
            </w:r>
            <w:r>
              <w:t>to</w:t>
            </w:r>
            <w:r w:rsidRPr="00727738">
              <w:t xml:space="preserve"> 2:00</w:t>
            </w:r>
            <w:r>
              <w:t> </w:t>
            </w:r>
            <w:r w:rsidRPr="00727738">
              <w:t>pm</w:t>
            </w:r>
          </w:p>
        </w:tc>
        <w:tc>
          <w:tcPr>
            <w:tcW w:w="3498" w:type="pct"/>
            <w:shd w:val="clear" w:color="auto" w:fill="auto"/>
            <w:tcMar>
              <w:left w:w="108" w:type="dxa"/>
              <w:right w:w="108" w:type="dxa"/>
            </w:tcMar>
          </w:tcPr>
          <w:p w14:paraId="5841B7C3" w14:textId="0DF5DEDC" w:rsidR="008770B6" w:rsidRPr="00727738" w:rsidRDefault="0073101A" w:rsidP="008770B6">
            <w:pPr>
              <w:pStyle w:val="TableText"/>
            </w:pPr>
            <w:r w:rsidRPr="00727738">
              <w:t>Lunch</w:t>
            </w:r>
          </w:p>
        </w:tc>
      </w:tr>
      <w:tr w:rsidR="006A00DD" w:rsidRPr="00727738" w14:paraId="08537C09" w14:textId="77777777" w:rsidTr="005E48D1">
        <w:tc>
          <w:tcPr>
            <w:tcW w:w="632" w:type="pct"/>
            <w:vMerge w:val="restart"/>
          </w:tcPr>
          <w:p w14:paraId="4628F0F1" w14:textId="653FA9FD" w:rsidR="006C30BB" w:rsidRPr="00727738" w:rsidRDefault="006C30BB" w:rsidP="00042AF9">
            <w:pPr>
              <w:pStyle w:val="TableText"/>
            </w:pPr>
            <w:r w:rsidRPr="00C12EEA">
              <w:t>Plenary</w:t>
            </w:r>
            <w:r>
              <w:t xml:space="preserve"> </w:t>
            </w:r>
            <w:r w:rsidR="00211465">
              <w:t>and closing</w:t>
            </w:r>
          </w:p>
        </w:tc>
        <w:tc>
          <w:tcPr>
            <w:tcW w:w="870" w:type="pct"/>
            <w:shd w:val="clear" w:color="auto" w:fill="auto"/>
            <w:tcMar>
              <w:left w:w="108" w:type="dxa"/>
              <w:right w:w="108" w:type="dxa"/>
            </w:tcMar>
          </w:tcPr>
          <w:p w14:paraId="2BB03720" w14:textId="6D9E53AF" w:rsidR="006C30BB" w:rsidRPr="00727738" w:rsidRDefault="006C30BB" w:rsidP="00042AF9">
            <w:pPr>
              <w:pStyle w:val="TableText"/>
            </w:pPr>
            <w:r w:rsidRPr="00727738">
              <w:t xml:space="preserve">2:00 </w:t>
            </w:r>
            <w:r>
              <w:t>to</w:t>
            </w:r>
            <w:r w:rsidRPr="00727738">
              <w:t xml:space="preserve"> 3:15</w:t>
            </w:r>
            <w:r>
              <w:t> </w:t>
            </w:r>
            <w:r w:rsidRPr="00727738">
              <w:t>pm</w:t>
            </w:r>
          </w:p>
        </w:tc>
        <w:tc>
          <w:tcPr>
            <w:tcW w:w="3498" w:type="pct"/>
            <w:shd w:val="clear" w:color="auto" w:fill="auto"/>
            <w:tcMar>
              <w:left w:w="108" w:type="dxa"/>
              <w:right w:w="108" w:type="dxa"/>
            </w:tcMar>
          </w:tcPr>
          <w:p w14:paraId="6DFD46B3" w14:textId="77777777" w:rsidR="006C30BB" w:rsidRDefault="006C30BB" w:rsidP="00042AF9">
            <w:pPr>
              <w:pStyle w:val="TableText"/>
              <w:rPr>
                <w:b/>
                <w:bCs/>
              </w:rPr>
            </w:pPr>
            <w:r w:rsidRPr="00727738">
              <w:rPr>
                <w:b/>
                <w:bCs/>
              </w:rPr>
              <w:t>Panel: Drought in a changing climate</w:t>
            </w:r>
          </w:p>
          <w:p w14:paraId="7CD1ACA1" w14:textId="4BEC716B" w:rsidR="00623205" w:rsidRDefault="00623205" w:rsidP="00042AF9">
            <w:pPr>
              <w:pStyle w:val="TableText"/>
            </w:pPr>
            <w:r>
              <w:t>Room: Institute Hall</w:t>
            </w:r>
          </w:p>
          <w:p w14:paraId="3B9B04B6" w14:textId="192A0A16" w:rsidR="000320B0" w:rsidRDefault="006C30BB" w:rsidP="00042AF9">
            <w:pPr>
              <w:pStyle w:val="TableText"/>
            </w:pPr>
            <w:r w:rsidRPr="00727738">
              <w:t xml:space="preserve">Discuss the efficacy of current drought policies across </w:t>
            </w:r>
            <w:r>
              <w:t>g</w:t>
            </w:r>
            <w:r w:rsidRPr="00727738">
              <w:t>overnment and</w:t>
            </w:r>
            <w:r>
              <w:t> </w:t>
            </w:r>
            <w:r w:rsidRPr="00727738">
              <w:t>industry in the context of current drought conditions and future climate</w:t>
            </w:r>
            <w:r>
              <w:t> </w:t>
            </w:r>
            <w:r w:rsidRPr="00727738">
              <w:t>scenarios</w:t>
            </w:r>
            <w:r>
              <w:t>.</w:t>
            </w:r>
          </w:p>
          <w:p w14:paraId="7AEC7692" w14:textId="77777777" w:rsidR="000320B0" w:rsidRDefault="000320B0" w:rsidP="00042AF9">
            <w:pPr>
              <w:pStyle w:val="TableText"/>
            </w:pPr>
            <w:r>
              <w:t>Chair: Brent Finlay, Chair, Future Drought Fund Consultative Committee</w:t>
            </w:r>
          </w:p>
          <w:p w14:paraId="63EC5000" w14:textId="77777777" w:rsidR="000320B0" w:rsidRDefault="000320B0" w:rsidP="00042AF9">
            <w:pPr>
              <w:pStyle w:val="TableText"/>
            </w:pPr>
            <w:r>
              <w:t>Panel includes:</w:t>
            </w:r>
          </w:p>
          <w:p w14:paraId="0D658850" w14:textId="77777777" w:rsidR="000320B0" w:rsidRDefault="000320B0" w:rsidP="00866AEC">
            <w:pPr>
              <w:pStyle w:val="TableBullet"/>
            </w:pPr>
            <w:r>
              <w:t>Katie McRobert, Executive Director, Australian Farm Institute</w:t>
            </w:r>
          </w:p>
          <w:p w14:paraId="747781E4" w14:textId="4355CAEB" w:rsidR="000320B0" w:rsidRDefault="000320B0" w:rsidP="00866AEC">
            <w:pPr>
              <w:pStyle w:val="TableBullet"/>
            </w:pPr>
            <w:r>
              <w:t>Brett Hosking, Vice President, Victorian Farmers’ Federation</w:t>
            </w:r>
          </w:p>
          <w:p w14:paraId="59317BDF" w14:textId="77777777" w:rsidR="000320B0" w:rsidRDefault="000320B0" w:rsidP="00866AEC">
            <w:pPr>
              <w:pStyle w:val="TableBullet"/>
            </w:pPr>
            <w:r w:rsidRPr="000320B0">
              <w:t>Andrea Tschirner</w:t>
            </w:r>
            <w:r>
              <w:t>, Sustainable Agriculture Facilitator, South Australian Arid Lands Landscape Board</w:t>
            </w:r>
          </w:p>
          <w:p w14:paraId="6B784842" w14:textId="77777777" w:rsidR="00BE2095" w:rsidRDefault="00BE2095" w:rsidP="00866AEC">
            <w:pPr>
              <w:pStyle w:val="TableBullet"/>
            </w:pPr>
            <w:r>
              <w:t>Josh Gilbert, Member, Future Drought Fund Consultative Committee</w:t>
            </w:r>
          </w:p>
          <w:p w14:paraId="223F9DD8" w14:textId="0FD3EA2C" w:rsidR="00ED4113" w:rsidRPr="000320B0" w:rsidRDefault="00ED4113" w:rsidP="00866AEC">
            <w:pPr>
              <w:pStyle w:val="TableBullet"/>
            </w:pPr>
            <w:r>
              <w:t xml:space="preserve">Peter Donaghey, General Manager Agribusiness Operations, </w:t>
            </w:r>
            <w:r w:rsidRPr="00ED4113">
              <w:t xml:space="preserve">Department of </w:t>
            </w:r>
            <w:r>
              <w:t xml:space="preserve">Primary Industries, </w:t>
            </w:r>
            <w:r w:rsidRPr="00ED4113">
              <w:t>Queensland</w:t>
            </w:r>
          </w:p>
        </w:tc>
      </w:tr>
      <w:tr w:rsidR="006A00DD" w:rsidRPr="00727738" w14:paraId="28C215C3" w14:textId="77777777" w:rsidTr="005E48D1">
        <w:tc>
          <w:tcPr>
            <w:tcW w:w="632" w:type="pct"/>
            <w:vMerge/>
          </w:tcPr>
          <w:p w14:paraId="1F248F1C" w14:textId="77777777" w:rsidR="006C30BB" w:rsidRPr="00C12EEA" w:rsidRDefault="006C30BB" w:rsidP="006C30BB">
            <w:pPr>
              <w:pStyle w:val="TableText"/>
            </w:pPr>
          </w:p>
        </w:tc>
        <w:tc>
          <w:tcPr>
            <w:tcW w:w="870" w:type="pct"/>
            <w:shd w:val="clear" w:color="auto" w:fill="auto"/>
            <w:tcMar>
              <w:left w:w="108" w:type="dxa"/>
              <w:right w:w="108" w:type="dxa"/>
            </w:tcMar>
          </w:tcPr>
          <w:p w14:paraId="5892E1DD" w14:textId="38B82F01" w:rsidR="006C30BB" w:rsidRPr="00727738" w:rsidRDefault="006C30BB" w:rsidP="006C30BB">
            <w:pPr>
              <w:pStyle w:val="TableText"/>
            </w:pPr>
            <w:r w:rsidRPr="00727738">
              <w:t xml:space="preserve">3:15 </w:t>
            </w:r>
            <w:r>
              <w:t>to</w:t>
            </w:r>
            <w:r w:rsidRPr="00727738">
              <w:t xml:space="preserve"> 4:00</w:t>
            </w:r>
            <w:r>
              <w:t> </w:t>
            </w:r>
            <w:r w:rsidRPr="00727738">
              <w:t>pm</w:t>
            </w:r>
          </w:p>
        </w:tc>
        <w:tc>
          <w:tcPr>
            <w:tcW w:w="3498" w:type="pct"/>
            <w:shd w:val="clear" w:color="auto" w:fill="auto"/>
            <w:tcMar>
              <w:left w:w="108" w:type="dxa"/>
              <w:right w:w="108" w:type="dxa"/>
            </w:tcMar>
          </w:tcPr>
          <w:p w14:paraId="0CF01B4C" w14:textId="77777777" w:rsidR="006C30BB" w:rsidRDefault="006C30BB" w:rsidP="006C30BB">
            <w:pPr>
              <w:pStyle w:val="TableText"/>
              <w:rPr>
                <w:b/>
                <w:bCs/>
              </w:rPr>
            </w:pPr>
            <w:r w:rsidRPr="00211465">
              <w:rPr>
                <w:b/>
                <w:bCs/>
              </w:rPr>
              <w:t>Wrap-up and</w:t>
            </w:r>
            <w:r w:rsidRPr="00727738">
              <w:rPr>
                <w:b/>
                <w:bCs/>
              </w:rPr>
              <w:t xml:space="preserve"> closing remarks</w:t>
            </w:r>
          </w:p>
          <w:p w14:paraId="15EFBA13" w14:textId="7253F598" w:rsidR="006C30BB" w:rsidRPr="00727738" w:rsidRDefault="006C30BB" w:rsidP="006C30BB">
            <w:pPr>
              <w:pStyle w:val="TableText"/>
              <w:rPr>
                <w:b/>
                <w:bCs/>
              </w:rPr>
            </w:pPr>
            <w:r w:rsidRPr="00727738">
              <w:t>What we’ve heard and what’s next</w:t>
            </w:r>
            <w:r>
              <w:t>.</w:t>
            </w:r>
          </w:p>
        </w:tc>
      </w:tr>
    </w:tbl>
    <w:p w14:paraId="145C4009" w14:textId="77777777" w:rsidR="00042AF9" w:rsidRPr="005B31BF" w:rsidRDefault="00042AF9" w:rsidP="00956CEA">
      <w:pPr>
        <w:pStyle w:val="Normalsmall"/>
        <w:keepNext/>
        <w:spacing w:before="120"/>
        <w:rPr>
          <w:rStyle w:val="Strong"/>
          <w:sz w:val="22"/>
          <w:szCs w:val="22"/>
        </w:rPr>
      </w:pPr>
      <w:bookmarkStart w:id="11" w:name="RowTitle_7"/>
      <w:bookmarkEnd w:id="11"/>
      <w:r w:rsidRPr="005B31BF">
        <w:rPr>
          <w:rStyle w:val="Strong"/>
        </w:rPr>
        <w:t>Acknowledgement of Country</w:t>
      </w:r>
    </w:p>
    <w:p w14:paraId="3D44A126" w14:textId="04B192EA" w:rsidR="00042AF9" w:rsidRPr="005B31BF" w:rsidRDefault="00211465" w:rsidP="005B31BF">
      <w:pPr>
        <w:pStyle w:val="Normalsmall"/>
      </w:pPr>
      <w:r w:rsidRPr="00211465">
        <w:t>The Department of Agriculture, Fisheries and Forestry and the National Farmers’ Federation would like to acknowledge that the 2025 National Drought Forum is being held on Kaurna Country. We pay our respects to the Traditional Custodians of this land, their culture, their language and Elders both past and present. We recognise their knowledge and contribution to the productivity, innovation and sustainability of Australia’s agriculture, fisheries, and forestry industries.</w:t>
      </w:r>
    </w:p>
    <w:p w14:paraId="04B5A8B3" w14:textId="77777777" w:rsidR="00042AF9" w:rsidRPr="005B31BF" w:rsidRDefault="00042AF9" w:rsidP="003C32EE">
      <w:pPr>
        <w:pStyle w:val="Normalsmall"/>
        <w:spacing w:before="360"/>
      </w:pPr>
      <w:r w:rsidRPr="005B31BF">
        <w:t>© Commonwealth of Australia 2025</w:t>
      </w:r>
    </w:p>
    <w:p w14:paraId="48158968" w14:textId="77777777" w:rsidR="00042AF9" w:rsidRPr="005B31BF" w:rsidRDefault="00042AF9" w:rsidP="005B31BF">
      <w:pPr>
        <w:pStyle w:val="Normalsmall"/>
      </w:pPr>
      <w:r w:rsidRPr="005B31BF">
        <w:t>Unless otherwise noted, copyright (and any other intellectual property rights) in this publication is owned by the Commonwealth of Australia (referred to as the Commonwealth).</w:t>
      </w:r>
    </w:p>
    <w:p w14:paraId="7D454553" w14:textId="1EBC33DF" w:rsidR="00042AF9" w:rsidRPr="005B31BF" w:rsidRDefault="00042AF9" w:rsidP="005B31BF">
      <w:pPr>
        <w:pStyle w:val="Normalsmall"/>
      </w:pPr>
      <w:r w:rsidRPr="005B31BF">
        <w:t xml:space="preserve">All material in this publication is licensed under a </w:t>
      </w:r>
      <w:hyperlink r:id="rId11" w:history="1">
        <w:r w:rsidRPr="003C32EE">
          <w:rPr>
            <w:rStyle w:val="Hyperlink"/>
          </w:rPr>
          <w:t>Creative Commons Attribution 4.0 International Licence</w:t>
        </w:r>
      </w:hyperlink>
      <w:r w:rsidRPr="005B31BF">
        <w:t xml:space="preserve"> except content supplied by third parties, logos and the Commonwealth Coat of Arms.</w:t>
      </w:r>
    </w:p>
    <w:p w14:paraId="58827624" w14:textId="398B424F" w:rsidR="00262394" w:rsidRPr="005B31BF" w:rsidRDefault="00042AF9" w:rsidP="005B31BF">
      <w:pPr>
        <w:pStyle w:val="Normalsmall"/>
      </w:pPr>
      <w:r w:rsidRPr="005B31BF">
        <w:t>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bookmarkStart w:id="12" w:name="RowTitle_8"/>
      <w:bookmarkEnd w:id="12"/>
      <w:bookmarkEnd w:id="7"/>
      <w:bookmarkEnd w:id="8"/>
    </w:p>
    <w:sectPr w:rsidR="00262394" w:rsidRPr="005B31B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6383" w14:textId="77777777" w:rsidR="00BC197D" w:rsidRDefault="00BC197D">
      <w:r>
        <w:separator/>
      </w:r>
    </w:p>
    <w:p w14:paraId="742859D9" w14:textId="77777777" w:rsidR="00BC197D" w:rsidRDefault="00BC197D"/>
    <w:p w14:paraId="4B0BE20D" w14:textId="77777777" w:rsidR="00BC197D" w:rsidRDefault="00BC197D"/>
  </w:endnote>
  <w:endnote w:type="continuationSeparator" w:id="0">
    <w:p w14:paraId="734664FB" w14:textId="77777777" w:rsidR="00BC197D" w:rsidRDefault="00BC197D">
      <w:r>
        <w:continuationSeparator/>
      </w:r>
    </w:p>
    <w:p w14:paraId="6E9CDF40" w14:textId="77777777" w:rsidR="00BC197D" w:rsidRDefault="00BC197D"/>
    <w:p w14:paraId="132D9403" w14:textId="77777777" w:rsidR="00BC197D" w:rsidRDefault="00BC197D"/>
  </w:endnote>
  <w:endnote w:type="continuationNotice" w:id="1">
    <w:p w14:paraId="0491C33B" w14:textId="77777777" w:rsidR="00BC197D" w:rsidRDefault="00BC197D">
      <w:pPr>
        <w:pStyle w:val="Footer"/>
      </w:pPr>
    </w:p>
    <w:p w14:paraId="66FB5851" w14:textId="77777777" w:rsidR="00BC197D" w:rsidRDefault="00BC197D"/>
    <w:p w14:paraId="537809DF" w14:textId="77777777" w:rsidR="00BC197D" w:rsidRDefault="00BC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24AC"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7B2CFAF1" wp14:editId="07A3DC80">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BE9B4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CFAF1"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5BE9B4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BEA7" w14:textId="77777777" w:rsidR="002A193C" w:rsidRDefault="00D61857" w:rsidP="00D61857">
    <w:pPr>
      <w:pStyle w:val="Footer"/>
    </w:pPr>
    <w:r>
      <w:rPr>
        <w:noProof/>
      </w:rPr>
      <mc:AlternateContent>
        <mc:Choice Requires="wps">
          <w:drawing>
            <wp:anchor distT="0" distB="0" distL="0" distR="0" simplePos="0" relativeHeight="251676160" behindDoc="0" locked="0" layoutInCell="1" allowOverlap="1" wp14:anchorId="344ED22C" wp14:editId="4EE1BA40">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7E3998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ED22C"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7E3998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B61B" w14:textId="77777777" w:rsidR="002A193C" w:rsidRDefault="00D61857" w:rsidP="00D61857">
    <w:pPr>
      <w:pStyle w:val="Footer"/>
    </w:pPr>
    <w:r>
      <w:rPr>
        <w:noProof/>
      </w:rPr>
      <mc:AlternateContent>
        <mc:Choice Requires="wps">
          <w:drawing>
            <wp:anchor distT="0" distB="0" distL="0" distR="0" simplePos="0" relativeHeight="251674112" behindDoc="0" locked="0" layoutInCell="1" allowOverlap="1" wp14:anchorId="68650CAE" wp14:editId="07A46347">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A3D6A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50CAE"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DA3D6A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E684" w14:textId="77777777" w:rsidR="00BC197D" w:rsidRDefault="00BC197D">
      <w:r>
        <w:separator/>
      </w:r>
    </w:p>
    <w:p w14:paraId="11621B7D" w14:textId="77777777" w:rsidR="00BC197D" w:rsidRDefault="00BC197D"/>
    <w:p w14:paraId="7BC55376" w14:textId="77777777" w:rsidR="00BC197D" w:rsidRDefault="00BC197D"/>
  </w:footnote>
  <w:footnote w:type="continuationSeparator" w:id="0">
    <w:p w14:paraId="4CF6DBC4" w14:textId="77777777" w:rsidR="00BC197D" w:rsidRDefault="00BC197D">
      <w:r>
        <w:continuationSeparator/>
      </w:r>
    </w:p>
    <w:p w14:paraId="3559C32C" w14:textId="77777777" w:rsidR="00BC197D" w:rsidRDefault="00BC197D"/>
    <w:p w14:paraId="4FA14813" w14:textId="77777777" w:rsidR="00BC197D" w:rsidRDefault="00BC197D"/>
  </w:footnote>
  <w:footnote w:type="continuationNotice" w:id="1">
    <w:p w14:paraId="13E75EA3" w14:textId="77777777" w:rsidR="00BC197D" w:rsidRDefault="00BC197D">
      <w:pPr>
        <w:pStyle w:val="Footer"/>
      </w:pPr>
    </w:p>
    <w:p w14:paraId="2E265DC5" w14:textId="77777777" w:rsidR="00BC197D" w:rsidRDefault="00BC197D"/>
    <w:p w14:paraId="10E81E25" w14:textId="77777777" w:rsidR="00BC197D" w:rsidRDefault="00BC1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320C" w14:textId="7C3FB6ED"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70B19EA7" wp14:editId="692067EC">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815C2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B19EA7"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8815C2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5D55" w14:textId="1E30EB63" w:rsidR="002A193C" w:rsidRDefault="00D61857">
    <w:pPr>
      <w:pStyle w:val="Header"/>
    </w:pPr>
    <w:r>
      <w:rPr>
        <w:noProof/>
        <w:lang w:val="en-US"/>
      </w:rPr>
      <mc:AlternateContent>
        <mc:Choice Requires="wps">
          <w:drawing>
            <wp:anchor distT="0" distB="0" distL="0" distR="0" simplePos="0" relativeHeight="251673088" behindDoc="0" locked="0" layoutInCell="1" allowOverlap="1" wp14:anchorId="77E73E0C" wp14:editId="7D445076">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8177D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73E0C"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98177D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553A60">
      <w:t>2025 National Drought Forum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321B" w14:textId="28C7E07F" w:rsidR="002A193C" w:rsidRDefault="00022651" w:rsidP="00956CEA">
    <w:r>
      <w:rPr>
        <w:noProof/>
      </w:rPr>
      <w:drawing>
        <wp:anchor distT="0" distB="0" distL="114300" distR="114300" simplePos="0" relativeHeight="251677184" behindDoc="1" locked="0" layoutInCell="1" allowOverlap="1" wp14:anchorId="7B5C5C98" wp14:editId="067582D8">
          <wp:simplePos x="0" y="0"/>
          <wp:positionH relativeFrom="page">
            <wp:posOffset>171450</wp:posOffset>
          </wp:positionH>
          <wp:positionV relativeFrom="paragraph">
            <wp:posOffset>52705</wp:posOffset>
          </wp:positionV>
          <wp:extent cx="7214235" cy="1266825"/>
          <wp:effectExtent l="0" t="0" r="5715" b="9525"/>
          <wp:wrapNone/>
          <wp:docPr id="98694030" name="Picture 2" descr="2025 National Drought Forum, 8 to 9 September 2025, Gawler, South Australia. Hosted by the Department of Agriculture, Fisheries and Forestry and the National Farmer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4030" name="Picture 2" descr="2025 National Drought Forum, 8 to 9 September 2025, Gawler, South Australia. Hosted by the Department of Agriculture, Fisheries and Forestry and the National Farmers’ Fede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423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857">
      <w:rPr>
        <w:noProof/>
        <w:lang w:eastAsia="en-AU"/>
      </w:rPr>
      <mc:AlternateContent>
        <mc:Choice Requires="wps">
          <w:drawing>
            <wp:anchor distT="0" distB="0" distL="0" distR="0" simplePos="0" relativeHeight="251671040" behindDoc="0" locked="0" layoutInCell="1" allowOverlap="1" wp14:anchorId="44B3020A" wp14:editId="51157EB4">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8C06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3020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D8C06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D55"/>
    <w:multiLevelType w:val="hybridMultilevel"/>
    <w:tmpl w:val="CE006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95841"/>
    <w:multiLevelType w:val="hybridMultilevel"/>
    <w:tmpl w:val="584A949E"/>
    <w:lvl w:ilvl="0" w:tplc="651EBC04">
      <w:start w:val="20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46B07"/>
    <w:multiLevelType w:val="hybridMultilevel"/>
    <w:tmpl w:val="5A3AC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77519BA"/>
    <w:multiLevelType w:val="hybridMultilevel"/>
    <w:tmpl w:val="7770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86D26"/>
    <w:multiLevelType w:val="hybridMultilevel"/>
    <w:tmpl w:val="145A1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438DF"/>
    <w:multiLevelType w:val="hybridMultilevel"/>
    <w:tmpl w:val="9446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535769"/>
    <w:multiLevelType w:val="hybridMultilevel"/>
    <w:tmpl w:val="4EEE6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CA5741"/>
    <w:multiLevelType w:val="hybridMultilevel"/>
    <w:tmpl w:val="49C0A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75356"/>
    <w:multiLevelType w:val="hybridMultilevel"/>
    <w:tmpl w:val="9048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7B4C8F"/>
    <w:multiLevelType w:val="hybridMultilevel"/>
    <w:tmpl w:val="8F50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3206C"/>
    <w:multiLevelType w:val="hybridMultilevel"/>
    <w:tmpl w:val="FB1C2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425367"/>
    <w:multiLevelType w:val="hybridMultilevel"/>
    <w:tmpl w:val="990C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6800B4"/>
    <w:multiLevelType w:val="multilevel"/>
    <w:tmpl w:val="A0241B28"/>
    <w:numStyleLink w:val="List1"/>
  </w:abstractNum>
  <w:abstractNum w:abstractNumId="1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6"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D75A99"/>
    <w:multiLevelType w:val="hybridMultilevel"/>
    <w:tmpl w:val="AF7465D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6E0EEC"/>
    <w:multiLevelType w:val="hybridMultilevel"/>
    <w:tmpl w:val="7B70F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6E606F"/>
    <w:multiLevelType w:val="hybridMultilevel"/>
    <w:tmpl w:val="5B4033D8"/>
    <w:lvl w:ilvl="0" w:tplc="249A695C">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74733B"/>
    <w:multiLevelType w:val="hybridMultilevel"/>
    <w:tmpl w:val="F5A8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23"/>
  </w:num>
  <w:num w:numId="2" w16cid:durableId="1355770275">
    <w:abstractNumId w:val="24"/>
  </w:num>
  <w:num w:numId="3" w16cid:durableId="1882862685">
    <w:abstractNumId w:val="7"/>
  </w:num>
  <w:num w:numId="4" w16cid:durableId="36050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8"/>
  </w:num>
  <w:num w:numId="6" w16cid:durableId="1314989398">
    <w:abstractNumId w:val="22"/>
  </w:num>
  <w:num w:numId="7" w16cid:durableId="951480071">
    <w:abstractNumId w:val="15"/>
  </w:num>
  <w:num w:numId="8" w16cid:durableId="844629787">
    <w:abstractNumId w:val="7"/>
    <w:lvlOverride w:ilvl="0">
      <w:lvl w:ilvl="0">
        <w:start w:val="1"/>
        <w:numFmt w:val="decimal"/>
        <w:pStyle w:val="Heading2"/>
        <w:lvlText w:val="%1"/>
        <w:lvlJc w:val="left"/>
        <w:pPr>
          <w:ind w:left="720" w:hanging="720"/>
        </w:pPr>
      </w:lvl>
    </w:lvlOverride>
  </w:num>
  <w:num w:numId="9" w16cid:durableId="1698308952">
    <w:abstractNumId w:val="23"/>
  </w:num>
  <w:num w:numId="10" w16cid:durableId="547035718">
    <w:abstractNumId w:val="24"/>
  </w:num>
  <w:num w:numId="11" w16cid:durableId="1145393031">
    <w:abstractNumId w:val="3"/>
  </w:num>
  <w:num w:numId="12" w16cid:durableId="645671681">
    <w:abstractNumId w:val="25"/>
  </w:num>
  <w:num w:numId="13" w16cid:durableId="274824895">
    <w:abstractNumId w:val="27"/>
  </w:num>
  <w:num w:numId="14" w16cid:durableId="1361395064">
    <w:abstractNumId w:val="26"/>
  </w:num>
  <w:num w:numId="15" w16cid:durableId="236869232">
    <w:abstractNumId w:val="16"/>
  </w:num>
  <w:num w:numId="16" w16cid:durableId="1626349383">
    <w:abstractNumId w:val="9"/>
  </w:num>
  <w:num w:numId="17" w16cid:durableId="643900275">
    <w:abstractNumId w:val="10"/>
  </w:num>
  <w:num w:numId="18" w16cid:durableId="27073849">
    <w:abstractNumId w:val="19"/>
  </w:num>
  <w:num w:numId="19" w16cid:durableId="656304926">
    <w:abstractNumId w:val="6"/>
  </w:num>
  <w:num w:numId="20" w16cid:durableId="297927967">
    <w:abstractNumId w:val="4"/>
  </w:num>
  <w:num w:numId="21" w16cid:durableId="344289572">
    <w:abstractNumId w:val="12"/>
  </w:num>
  <w:num w:numId="22" w16cid:durableId="458375413">
    <w:abstractNumId w:val="13"/>
  </w:num>
  <w:num w:numId="23" w16cid:durableId="1253392578">
    <w:abstractNumId w:val="20"/>
  </w:num>
  <w:num w:numId="24" w16cid:durableId="28532996">
    <w:abstractNumId w:val="1"/>
  </w:num>
  <w:num w:numId="25" w16cid:durableId="957294902">
    <w:abstractNumId w:val="7"/>
    <w:lvlOverride w:ilvl="0">
      <w:lvl w:ilvl="0">
        <w:start w:val="1"/>
        <w:numFmt w:val="decimal"/>
        <w:pStyle w:val="Heading2"/>
        <w:lvlText w:val="%1"/>
        <w:lvlJc w:val="left"/>
        <w:pPr>
          <w:ind w:left="720" w:hanging="720"/>
        </w:pPr>
      </w:lvl>
    </w:lvlOverride>
  </w:num>
  <w:num w:numId="26" w16cid:durableId="1063527210">
    <w:abstractNumId w:val="11"/>
  </w:num>
  <w:num w:numId="27" w16cid:durableId="767821127">
    <w:abstractNumId w:val="5"/>
  </w:num>
  <w:num w:numId="28" w16cid:durableId="576866028">
    <w:abstractNumId w:val="0"/>
  </w:num>
  <w:num w:numId="29" w16cid:durableId="822890399">
    <w:abstractNumId w:val="21"/>
  </w:num>
  <w:num w:numId="30" w16cid:durableId="237440404">
    <w:abstractNumId w:val="2"/>
  </w:num>
  <w:num w:numId="31" w16cid:durableId="1420252499">
    <w:abstractNumId w:val="8"/>
  </w:num>
  <w:num w:numId="32" w16cid:durableId="198423734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D9"/>
    <w:rsid w:val="00001E03"/>
    <w:rsid w:val="00006281"/>
    <w:rsid w:val="00021D33"/>
    <w:rsid w:val="00022651"/>
    <w:rsid w:val="00026DF8"/>
    <w:rsid w:val="000301E5"/>
    <w:rsid w:val="00031411"/>
    <w:rsid w:val="000320B0"/>
    <w:rsid w:val="0003230F"/>
    <w:rsid w:val="000339FF"/>
    <w:rsid w:val="00037979"/>
    <w:rsid w:val="00042AF9"/>
    <w:rsid w:val="00047CF6"/>
    <w:rsid w:val="00052799"/>
    <w:rsid w:val="00056AC3"/>
    <w:rsid w:val="0006056D"/>
    <w:rsid w:val="00071927"/>
    <w:rsid w:val="000832B5"/>
    <w:rsid w:val="00083C7E"/>
    <w:rsid w:val="00093CD3"/>
    <w:rsid w:val="000A7B7D"/>
    <w:rsid w:val="000B7056"/>
    <w:rsid w:val="000C6478"/>
    <w:rsid w:val="000D115A"/>
    <w:rsid w:val="000D27E1"/>
    <w:rsid w:val="000D6DD8"/>
    <w:rsid w:val="000E4502"/>
    <w:rsid w:val="000E7BE6"/>
    <w:rsid w:val="000F22C6"/>
    <w:rsid w:val="000F4A43"/>
    <w:rsid w:val="000F4FF2"/>
    <w:rsid w:val="00112B86"/>
    <w:rsid w:val="001142F0"/>
    <w:rsid w:val="00120FA9"/>
    <w:rsid w:val="00131C9E"/>
    <w:rsid w:val="00134E1D"/>
    <w:rsid w:val="0014274E"/>
    <w:rsid w:val="001450BA"/>
    <w:rsid w:val="0015041C"/>
    <w:rsid w:val="001508C2"/>
    <w:rsid w:val="0015170C"/>
    <w:rsid w:val="001567E9"/>
    <w:rsid w:val="00156D27"/>
    <w:rsid w:val="00183612"/>
    <w:rsid w:val="00193778"/>
    <w:rsid w:val="001A1F79"/>
    <w:rsid w:val="001B1009"/>
    <w:rsid w:val="001C3583"/>
    <w:rsid w:val="001D5C0F"/>
    <w:rsid w:val="001D77BC"/>
    <w:rsid w:val="001E0EDF"/>
    <w:rsid w:val="001E1C4C"/>
    <w:rsid w:val="001E73BD"/>
    <w:rsid w:val="00201500"/>
    <w:rsid w:val="00206086"/>
    <w:rsid w:val="00211465"/>
    <w:rsid w:val="00212063"/>
    <w:rsid w:val="00214E70"/>
    <w:rsid w:val="00216160"/>
    <w:rsid w:val="00216AFC"/>
    <w:rsid w:val="00222B30"/>
    <w:rsid w:val="00236BA8"/>
    <w:rsid w:val="00262394"/>
    <w:rsid w:val="00273280"/>
    <w:rsid w:val="00274C12"/>
    <w:rsid w:val="00286426"/>
    <w:rsid w:val="002A1203"/>
    <w:rsid w:val="002A193C"/>
    <w:rsid w:val="002A2245"/>
    <w:rsid w:val="002C4ED0"/>
    <w:rsid w:val="002D0423"/>
    <w:rsid w:val="002D2905"/>
    <w:rsid w:val="002E35A3"/>
    <w:rsid w:val="003005B7"/>
    <w:rsid w:val="00305911"/>
    <w:rsid w:val="00313C07"/>
    <w:rsid w:val="0031402F"/>
    <w:rsid w:val="00337EC1"/>
    <w:rsid w:val="00340820"/>
    <w:rsid w:val="00357095"/>
    <w:rsid w:val="00362353"/>
    <w:rsid w:val="0036549F"/>
    <w:rsid w:val="00381D23"/>
    <w:rsid w:val="003850B1"/>
    <w:rsid w:val="00390832"/>
    <w:rsid w:val="00394F78"/>
    <w:rsid w:val="00396339"/>
    <w:rsid w:val="003A4B4A"/>
    <w:rsid w:val="003A57FD"/>
    <w:rsid w:val="003C32EE"/>
    <w:rsid w:val="003D0B28"/>
    <w:rsid w:val="003D3CE1"/>
    <w:rsid w:val="003D44DC"/>
    <w:rsid w:val="003D763D"/>
    <w:rsid w:val="003E12C9"/>
    <w:rsid w:val="003F5E62"/>
    <w:rsid w:val="00402404"/>
    <w:rsid w:val="00402DB9"/>
    <w:rsid w:val="00406AC2"/>
    <w:rsid w:val="00425276"/>
    <w:rsid w:val="004258B2"/>
    <w:rsid w:val="0043540B"/>
    <w:rsid w:val="00451E21"/>
    <w:rsid w:val="00454026"/>
    <w:rsid w:val="00460750"/>
    <w:rsid w:val="004705F2"/>
    <w:rsid w:val="00472347"/>
    <w:rsid w:val="00473964"/>
    <w:rsid w:val="00482FD5"/>
    <w:rsid w:val="004837B1"/>
    <w:rsid w:val="0048569E"/>
    <w:rsid w:val="00486C20"/>
    <w:rsid w:val="00490E7F"/>
    <w:rsid w:val="004C6362"/>
    <w:rsid w:val="004C6C47"/>
    <w:rsid w:val="004D1487"/>
    <w:rsid w:val="004D7EAA"/>
    <w:rsid w:val="005053E9"/>
    <w:rsid w:val="00535592"/>
    <w:rsid w:val="00540ABF"/>
    <w:rsid w:val="005439BD"/>
    <w:rsid w:val="00552BE5"/>
    <w:rsid w:val="00553A60"/>
    <w:rsid w:val="00567DDB"/>
    <w:rsid w:val="00575EFA"/>
    <w:rsid w:val="00576EB2"/>
    <w:rsid w:val="0059380F"/>
    <w:rsid w:val="00594776"/>
    <w:rsid w:val="005A199E"/>
    <w:rsid w:val="005A4397"/>
    <w:rsid w:val="005B31BF"/>
    <w:rsid w:val="005C0E9D"/>
    <w:rsid w:val="005C15E0"/>
    <w:rsid w:val="005C5E57"/>
    <w:rsid w:val="005C6E14"/>
    <w:rsid w:val="005E0281"/>
    <w:rsid w:val="005E48D1"/>
    <w:rsid w:val="005E7FF8"/>
    <w:rsid w:val="005F0E4D"/>
    <w:rsid w:val="005F7ED2"/>
    <w:rsid w:val="00600888"/>
    <w:rsid w:val="006040AA"/>
    <w:rsid w:val="0060556D"/>
    <w:rsid w:val="00611DA7"/>
    <w:rsid w:val="006160E2"/>
    <w:rsid w:val="0062247A"/>
    <w:rsid w:val="00623205"/>
    <w:rsid w:val="006416D4"/>
    <w:rsid w:val="00687B23"/>
    <w:rsid w:val="00692A22"/>
    <w:rsid w:val="006933C4"/>
    <w:rsid w:val="006A00DD"/>
    <w:rsid w:val="006A2764"/>
    <w:rsid w:val="006C30BB"/>
    <w:rsid w:val="006C3795"/>
    <w:rsid w:val="006D785E"/>
    <w:rsid w:val="006E1CF5"/>
    <w:rsid w:val="006E6393"/>
    <w:rsid w:val="006F2051"/>
    <w:rsid w:val="00704CE7"/>
    <w:rsid w:val="00727738"/>
    <w:rsid w:val="0073101A"/>
    <w:rsid w:val="007405CB"/>
    <w:rsid w:val="00745F63"/>
    <w:rsid w:val="00752228"/>
    <w:rsid w:val="00762C3E"/>
    <w:rsid w:val="007710C0"/>
    <w:rsid w:val="00782B09"/>
    <w:rsid w:val="007A4E31"/>
    <w:rsid w:val="007B1F92"/>
    <w:rsid w:val="007B30A7"/>
    <w:rsid w:val="007C5B94"/>
    <w:rsid w:val="007E0463"/>
    <w:rsid w:val="007F1431"/>
    <w:rsid w:val="008066F1"/>
    <w:rsid w:val="008079FE"/>
    <w:rsid w:val="008153FE"/>
    <w:rsid w:val="0082114C"/>
    <w:rsid w:val="00821DA2"/>
    <w:rsid w:val="0082249A"/>
    <w:rsid w:val="00826753"/>
    <w:rsid w:val="00833933"/>
    <w:rsid w:val="00835E9D"/>
    <w:rsid w:val="00840EA1"/>
    <w:rsid w:val="00844A60"/>
    <w:rsid w:val="00866AEC"/>
    <w:rsid w:val="008770B6"/>
    <w:rsid w:val="008821AF"/>
    <w:rsid w:val="00890E75"/>
    <w:rsid w:val="00892FE1"/>
    <w:rsid w:val="008A3190"/>
    <w:rsid w:val="008B588B"/>
    <w:rsid w:val="008B6731"/>
    <w:rsid w:val="008D1B48"/>
    <w:rsid w:val="00903BC6"/>
    <w:rsid w:val="0090774C"/>
    <w:rsid w:val="0091084A"/>
    <w:rsid w:val="00921EAA"/>
    <w:rsid w:val="00930B5C"/>
    <w:rsid w:val="00934649"/>
    <w:rsid w:val="00945BB1"/>
    <w:rsid w:val="009467DE"/>
    <w:rsid w:val="009533FB"/>
    <w:rsid w:val="009548A2"/>
    <w:rsid w:val="00956CEA"/>
    <w:rsid w:val="009679F4"/>
    <w:rsid w:val="00985946"/>
    <w:rsid w:val="00991227"/>
    <w:rsid w:val="009965F8"/>
    <w:rsid w:val="00996A46"/>
    <w:rsid w:val="009A1E6B"/>
    <w:rsid w:val="009B56DD"/>
    <w:rsid w:val="009B67BF"/>
    <w:rsid w:val="009E727D"/>
    <w:rsid w:val="009E7B5C"/>
    <w:rsid w:val="009F00C4"/>
    <w:rsid w:val="009F6E1F"/>
    <w:rsid w:val="00A06117"/>
    <w:rsid w:val="00A06644"/>
    <w:rsid w:val="00A16700"/>
    <w:rsid w:val="00A2177A"/>
    <w:rsid w:val="00A26D23"/>
    <w:rsid w:val="00A27706"/>
    <w:rsid w:val="00A3177B"/>
    <w:rsid w:val="00A336EC"/>
    <w:rsid w:val="00A33BA5"/>
    <w:rsid w:val="00A34DDE"/>
    <w:rsid w:val="00A36CF3"/>
    <w:rsid w:val="00A4231C"/>
    <w:rsid w:val="00A46E23"/>
    <w:rsid w:val="00A52203"/>
    <w:rsid w:val="00A7401B"/>
    <w:rsid w:val="00A87C92"/>
    <w:rsid w:val="00A9002C"/>
    <w:rsid w:val="00A92A17"/>
    <w:rsid w:val="00A94004"/>
    <w:rsid w:val="00A96D0B"/>
    <w:rsid w:val="00AA70E3"/>
    <w:rsid w:val="00AB0FBE"/>
    <w:rsid w:val="00AB27F3"/>
    <w:rsid w:val="00AB5ABE"/>
    <w:rsid w:val="00AD5555"/>
    <w:rsid w:val="00AF1EB9"/>
    <w:rsid w:val="00AF5211"/>
    <w:rsid w:val="00B01FB8"/>
    <w:rsid w:val="00B02A3F"/>
    <w:rsid w:val="00B0482C"/>
    <w:rsid w:val="00B21928"/>
    <w:rsid w:val="00B302F4"/>
    <w:rsid w:val="00B35721"/>
    <w:rsid w:val="00B36BE3"/>
    <w:rsid w:val="00B37083"/>
    <w:rsid w:val="00B41639"/>
    <w:rsid w:val="00B43A41"/>
    <w:rsid w:val="00B53942"/>
    <w:rsid w:val="00B5453F"/>
    <w:rsid w:val="00B54B82"/>
    <w:rsid w:val="00B55D6A"/>
    <w:rsid w:val="00B60839"/>
    <w:rsid w:val="00B96256"/>
    <w:rsid w:val="00B97EBA"/>
    <w:rsid w:val="00BA0AFF"/>
    <w:rsid w:val="00BB6ACE"/>
    <w:rsid w:val="00BC197D"/>
    <w:rsid w:val="00BC5F25"/>
    <w:rsid w:val="00BC6BA3"/>
    <w:rsid w:val="00BD2275"/>
    <w:rsid w:val="00BD5CE3"/>
    <w:rsid w:val="00BE2095"/>
    <w:rsid w:val="00BF10E6"/>
    <w:rsid w:val="00C00AAC"/>
    <w:rsid w:val="00C012D9"/>
    <w:rsid w:val="00C05EA8"/>
    <w:rsid w:val="00C06619"/>
    <w:rsid w:val="00C12EEA"/>
    <w:rsid w:val="00C25A34"/>
    <w:rsid w:val="00C30975"/>
    <w:rsid w:val="00C41F65"/>
    <w:rsid w:val="00C51E35"/>
    <w:rsid w:val="00C61E8F"/>
    <w:rsid w:val="00C666B8"/>
    <w:rsid w:val="00C759F8"/>
    <w:rsid w:val="00C907A5"/>
    <w:rsid w:val="00C92CEC"/>
    <w:rsid w:val="00C92F0F"/>
    <w:rsid w:val="00C960D4"/>
    <w:rsid w:val="00CB1A9C"/>
    <w:rsid w:val="00CD05D4"/>
    <w:rsid w:val="00CE7EDE"/>
    <w:rsid w:val="00CF4A44"/>
    <w:rsid w:val="00CF7FF8"/>
    <w:rsid w:val="00D06356"/>
    <w:rsid w:val="00D10D34"/>
    <w:rsid w:val="00D11987"/>
    <w:rsid w:val="00D36729"/>
    <w:rsid w:val="00D45274"/>
    <w:rsid w:val="00D45E0E"/>
    <w:rsid w:val="00D468DC"/>
    <w:rsid w:val="00D5115E"/>
    <w:rsid w:val="00D61857"/>
    <w:rsid w:val="00D666DC"/>
    <w:rsid w:val="00D843C2"/>
    <w:rsid w:val="00D84EEA"/>
    <w:rsid w:val="00D85099"/>
    <w:rsid w:val="00D85879"/>
    <w:rsid w:val="00D86B3A"/>
    <w:rsid w:val="00D90229"/>
    <w:rsid w:val="00D90CE9"/>
    <w:rsid w:val="00D912A7"/>
    <w:rsid w:val="00DA3B34"/>
    <w:rsid w:val="00DC0304"/>
    <w:rsid w:val="00DC126E"/>
    <w:rsid w:val="00DC5C0A"/>
    <w:rsid w:val="00DD3A12"/>
    <w:rsid w:val="00E05D92"/>
    <w:rsid w:val="00E121C1"/>
    <w:rsid w:val="00E223F4"/>
    <w:rsid w:val="00E3006D"/>
    <w:rsid w:val="00E362EF"/>
    <w:rsid w:val="00E43EB2"/>
    <w:rsid w:val="00E476E9"/>
    <w:rsid w:val="00E53CF3"/>
    <w:rsid w:val="00E54FF2"/>
    <w:rsid w:val="00E6679D"/>
    <w:rsid w:val="00E67401"/>
    <w:rsid w:val="00E732BE"/>
    <w:rsid w:val="00E74C11"/>
    <w:rsid w:val="00E86770"/>
    <w:rsid w:val="00E96E54"/>
    <w:rsid w:val="00EB2EF6"/>
    <w:rsid w:val="00EB7EB4"/>
    <w:rsid w:val="00ED4113"/>
    <w:rsid w:val="00ED509C"/>
    <w:rsid w:val="00ED6D71"/>
    <w:rsid w:val="00EE2A0E"/>
    <w:rsid w:val="00EE44E7"/>
    <w:rsid w:val="00EF3975"/>
    <w:rsid w:val="00F01D00"/>
    <w:rsid w:val="00F16E46"/>
    <w:rsid w:val="00F176B5"/>
    <w:rsid w:val="00F25914"/>
    <w:rsid w:val="00F268D2"/>
    <w:rsid w:val="00F26D7E"/>
    <w:rsid w:val="00F32F12"/>
    <w:rsid w:val="00F331EA"/>
    <w:rsid w:val="00F35EE8"/>
    <w:rsid w:val="00F5257F"/>
    <w:rsid w:val="00F5729D"/>
    <w:rsid w:val="00F60F54"/>
    <w:rsid w:val="00F6530E"/>
    <w:rsid w:val="00F65DFD"/>
    <w:rsid w:val="00F67A7A"/>
    <w:rsid w:val="00F90D42"/>
    <w:rsid w:val="00F91CB7"/>
    <w:rsid w:val="00F9778E"/>
    <w:rsid w:val="00FA3C65"/>
    <w:rsid w:val="00FB05A6"/>
    <w:rsid w:val="00FB088E"/>
    <w:rsid w:val="00FB16F4"/>
    <w:rsid w:val="00FB6115"/>
    <w:rsid w:val="00FC62F5"/>
    <w:rsid w:val="00FD117D"/>
    <w:rsid w:val="00FD2EE0"/>
    <w:rsid w:val="00FD3BA6"/>
    <w:rsid w:val="00FE0490"/>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0D3B7"/>
  <w15:docId w15:val="{E4A1178E-8F2F-4F7F-9432-684C1472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3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930B5C"/>
    <w:pPr>
      <w:keepNext/>
      <w:numPr>
        <w:numId w:val="8"/>
      </w:numPr>
      <w:spacing w:before="120" w:after="60" w:line="240" w:lineRule="auto"/>
      <w:outlineLvl w:val="1"/>
    </w:pPr>
    <w:rPr>
      <w:rFonts w:ascii="Calibri" w:eastAsiaTheme="minorEastAsia" w:hAnsi="Calibri"/>
      <w:bCs/>
      <w:color w:val="000000"/>
      <w:sz w:val="40"/>
      <w:szCs w:val="28"/>
      <w:lang w:eastAsia="ja-JP"/>
    </w:rPr>
  </w:style>
  <w:style w:type="paragraph" w:styleId="Heading3">
    <w:name w:val="heading 3"/>
    <w:next w:val="Normal"/>
    <w:link w:val="Heading3Char"/>
    <w:uiPriority w:val="4"/>
    <w:qFormat/>
    <w:rsid w:val="000E4502"/>
    <w:pPr>
      <w:keepNext/>
      <w:spacing w:after="120"/>
      <w:ind w:left="964" w:hanging="964"/>
      <w:outlineLvl w:val="2"/>
    </w:pPr>
    <w:rPr>
      <w:rFonts w:ascii="Calibri" w:eastAsia="Times New Roman" w:hAnsi="Calibri"/>
      <w:b/>
      <w:bCs/>
      <w:sz w:val="32"/>
      <w:szCs w:val="32"/>
      <w:lang w:eastAsia="en-US"/>
    </w:rPr>
  </w:style>
  <w:style w:type="paragraph" w:styleId="Heading4">
    <w:name w:val="heading 4"/>
    <w:next w:val="Normal"/>
    <w:link w:val="Heading4Char"/>
    <w:uiPriority w:val="5"/>
    <w:qFormat/>
    <w:rsid w:val="000E4502"/>
    <w:pPr>
      <w:keepNext/>
      <w:spacing w:after="120"/>
      <w:ind w:left="964" w:hanging="964"/>
      <w:outlineLvl w:val="3"/>
    </w:pPr>
    <w:rPr>
      <w:rFonts w:ascii="Calibri" w:eastAsia="Times New Roman" w:hAnsi="Calibri"/>
      <w:bCs/>
      <w:sz w:val="24"/>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930B5C"/>
    <w:rPr>
      <w:rFonts w:ascii="Calibri" w:eastAsiaTheme="minorEastAsia" w:hAnsi="Calibri" w:cstheme="minorBidi"/>
      <w:bCs/>
      <w:color w:val="000000"/>
      <w:sz w:val="40"/>
      <w:szCs w:val="28"/>
      <w:lang w:eastAsia="ja-JP"/>
    </w:rPr>
  </w:style>
  <w:style w:type="character" w:customStyle="1" w:styleId="Heading3Char">
    <w:name w:val="Heading 3 Char"/>
    <w:basedOn w:val="DefaultParagraphFont"/>
    <w:link w:val="Heading3"/>
    <w:uiPriority w:val="4"/>
    <w:rsid w:val="000E4502"/>
    <w:rPr>
      <w:rFonts w:ascii="Calibri" w:eastAsia="Times New Roman" w:hAnsi="Calibri"/>
      <w:b/>
      <w:bCs/>
      <w:sz w:val="32"/>
      <w:szCs w:val="32"/>
      <w:lang w:eastAsia="en-US"/>
    </w:rPr>
  </w:style>
  <w:style w:type="character" w:customStyle="1" w:styleId="Heading4Char">
    <w:name w:val="Heading 4 Char"/>
    <w:basedOn w:val="DefaultParagraphFont"/>
    <w:link w:val="Heading4"/>
    <w:uiPriority w:val="5"/>
    <w:rsid w:val="000E4502"/>
    <w:rPr>
      <w:rFonts w:ascii="Calibri" w:eastAsia="Times New Roman" w:hAnsi="Calibri"/>
      <w:bCs/>
      <w:sz w:val="24"/>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A06644"/>
    <w:pPr>
      <w:spacing w:after="120" w:line="276" w:lineRule="auto"/>
    </w:pPr>
    <w:rPr>
      <w:rFonts w:asciiTheme="minorHAnsi" w:eastAsiaTheme="minorHAnsi" w:hAnsiTheme="minorHAnsi" w:cstheme="minorBidi"/>
      <w:sz w:val="17"/>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7F143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110">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25829">
      <w:bodyDiv w:val="1"/>
      <w:marLeft w:val="0"/>
      <w:marRight w:val="0"/>
      <w:marTop w:val="0"/>
      <w:marBottom w:val="0"/>
      <w:divBdr>
        <w:top w:val="none" w:sz="0" w:space="0" w:color="auto"/>
        <w:left w:val="none" w:sz="0" w:space="0" w:color="auto"/>
        <w:bottom w:val="none" w:sz="0" w:space="0" w:color="auto"/>
        <w:right w:val="none" w:sz="0" w:space="0" w:color="auto"/>
      </w:divBdr>
      <w:divsChild>
        <w:div w:id="1805078020">
          <w:marLeft w:val="0"/>
          <w:marRight w:val="0"/>
          <w:marTop w:val="0"/>
          <w:marBottom w:val="0"/>
          <w:divBdr>
            <w:top w:val="none" w:sz="0" w:space="0" w:color="auto"/>
            <w:left w:val="none" w:sz="0" w:space="0" w:color="auto"/>
            <w:bottom w:val="none" w:sz="0" w:space="0" w:color="auto"/>
            <w:right w:val="none" w:sz="0" w:space="0" w:color="auto"/>
          </w:divBdr>
        </w:div>
      </w:divsChild>
    </w:div>
    <w:div w:id="9525251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17422">
      <w:bodyDiv w:val="1"/>
      <w:marLeft w:val="0"/>
      <w:marRight w:val="0"/>
      <w:marTop w:val="0"/>
      <w:marBottom w:val="0"/>
      <w:divBdr>
        <w:top w:val="none" w:sz="0" w:space="0" w:color="auto"/>
        <w:left w:val="none" w:sz="0" w:space="0" w:color="auto"/>
        <w:bottom w:val="none" w:sz="0" w:space="0" w:color="auto"/>
        <w:right w:val="none" w:sz="0" w:space="0" w:color="auto"/>
      </w:divBdr>
    </w:div>
    <w:div w:id="32043038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2988727">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873487">
      <w:bodyDiv w:val="1"/>
      <w:marLeft w:val="0"/>
      <w:marRight w:val="0"/>
      <w:marTop w:val="0"/>
      <w:marBottom w:val="0"/>
      <w:divBdr>
        <w:top w:val="none" w:sz="0" w:space="0" w:color="auto"/>
        <w:left w:val="none" w:sz="0" w:space="0" w:color="auto"/>
        <w:bottom w:val="none" w:sz="0" w:space="0" w:color="auto"/>
        <w:right w:val="none" w:sz="0" w:space="0" w:color="auto"/>
      </w:divBdr>
      <w:divsChild>
        <w:div w:id="181944360">
          <w:marLeft w:val="0"/>
          <w:marRight w:val="0"/>
          <w:marTop w:val="0"/>
          <w:marBottom w:val="0"/>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8423490">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43046">
      <w:bodyDiv w:val="1"/>
      <w:marLeft w:val="0"/>
      <w:marRight w:val="0"/>
      <w:marTop w:val="0"/>
      <w:marBottom w:val="0"/>
      <w:divBdr>
        <w:top w:val="none" w:sz="0" w:space="0" w:color="auto"/>
        <w:left w:val="none" w:sz="0" w:space="0" w:color="auto"/>
        <w:bottom w:val="none" w:sz="0" w:space="0" w:color="auto"/>
        <w:right w:val="none" w:sz="0" w:space="0" w:color="auto"/>
      </w:divBdr>
    </w:div>
    <w:div w:id="1947806761">
      <w:bodyDiv w:val="1"/>
      <w:marLeft w:val="0"/>
      <w:marRight w:val="0"/>
      <w:marTop w:val="0"/>
      <w:marBottom w:val="0"/>
      <w:divBdr>
        <w:top w:val="none" w:sz="0" w:space="0" w:color="auto"/>
        <w:left w:val="none" w:sz="0" w:space="0" w:color="auto"/>
        <w:bottom w:val="none" w:sz="0" w:space="0" w:color="auto"/>
        <w:right w:val="none" w:sz="0" w:space="0" w:color="auto"/>
      </w:divBdr>
    </w:div>
    <w:div w:id="196747050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1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F656C-B5E7-4000-8877-C0A86D97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527c9b7-9ec8-4c5f-a515-89657b782942"/>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635</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2025 National Drought Forum program</vt:lpstr>
    </vt:vector>
  </TitlesOfParts>
  <Company/>
  <LinksUpToDate>false</LinksUpToDate>
  <CharactersWithSpaces>11438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National Drought Forum program</dc:title>
  <dc:subject/>
  <dc:creator>Department of Agriculture, Fisheries and Forestry</dc:creator>
  <cp:lastModifiedBy>Watson, Jenny</cp:lastModifiedBy>
  <cp:revision>28</cp:revision>
  <cp:lastPrinted>2019-02-13T02:42:00Z</cp:lastPrinted>
  <dcterms:created xsi:type="dcterms:W3CDTF">2025-08-12T01:43:00Z</dcterms:created>
  <dcterms:modified xsi:type="dcterms:W3CDTF">2025-08-28T04:33:00Z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