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4120" w14:textId="5C823951" w:rsidR="003A3987" w:rsidRDefault="00A173D9" w:rsidP="00381B1D">
      <w:pPr>
        <w:pStyle w:val="Heading1"/>
      </w:pPr>
      <w:r w:rsidRPr="004B4994">
        <w:t>EAN 2025-</w:t>
      </w:r>
      <w:r w:rsidR="004B4994" w:rsidRPr="004B4994">
        <w:t xml:space="preserve">02 </w:t>
      </w:r>
      <w:r w:rsidR="001A10F2" w:rsidRPr="004B4994">
        <w:t xml:space="preserve">Attachment: </w:t>
      </w:r>
      <w:r w:rsidR="00AA2AC8" w:rsidRPr="004B4994">
        <w:t xml:space="preserve">2025 </w:t>
      </w:r>
      <w:r w:rsidR="001A10F2" w:rsidRPr="004B4994">
        <w:t>A</w:t>
      </w:r>
      <w:r w:rsidR="003A3987" w:rsidRPr="004B4994">
        <w:t>mendments to the Export Control (Animals)</w:t>
      </w:r>
      <w:r w:rsidR="003A3987">
        <w:t xml:space="preserve"> Rules 2021</w:t>
      </w:r>
      <w:r w:rsidR="008D5FBB">
        <w:t xml:space="preserve"> and Export Control (Miscellaneous) Rules 2021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7"/>
        <w:gridCol w:w="5301"/>
      </w:tblGrid>
      <w:tr w:rsidR="00FA1A8C" w:rsidRPr="00CD0FE5" w14:paraId="7ADD8A91" w14:textId="77777777" w:rsidTr="008E74B3">
        <w:trPr>
          <w:cantSplit/>
          <w:tblHeader/>
        </w:trPr>
        <w:tc>
          <w:tcPr>
            <w:tcW w:w="1980" w:type="dxa"/>
          </w:tcPr>
          <w:p w14:paraId="63498D65" w14:textId="6F9F160D" w:rsidR="00FA1A8C" w:rsidRPr="0034292E" w:rsidRDefault="00223716" w:rsidP="00CD0FE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Relevant </w:t>
            </w:r>
            <w:r w:rsidR="00FA1A8C" w:rsidRPr="0034292E">
              <w:rPr>
                <w:b/>
                <w:bCs/>
              </w:rPr>
              <w:t>Stakeholder</w:t>
            </w:r>
            <w:r>
              <w:rPr>
                <w:b/>
                <w:bCs/>
              </w:rPr>
              <w:t>/s</w:t>
            </w:r>
          </w:p>
        </w:tc>
        <w:tc>
          <w:tcPr>
            <w:tcW w:w="6667" w:type="dxa"/>
          </w:tcPr>
          <w:p w14:paraId="17C244AB" w14:textId="4FD713DA" w:rsidR="00FA1A8C" w:rsidRPr="0034292E" w:rsidRDefault="00FA1A8C" w:rsidP="00CD0FE5">
            <w:pPr>
              <w:spacing w:before="120" w:after="120"/>
              <w:rPr>
                <w:b/>
                <w:bCs/>
              </w:rPr>
            </w:pPr>
            <w:r w:rsidRPr="0034292E">
              <w:rPr>
                <w:b/>
                <w:bCs/>
              </w:rPr>
              <w:t>Amendment Summary</w:t>
            </w:r>
          </w:p>
        </w:tc>
        <w:tc>
          <w:tcPr>
            <w:tcW w:w="5301" w:type="dxa"/>
          </w:tcPr>
          <w:p w14:paraId="12D119F5" w14:textId="1B59E46D" w:rsidR="00FA1A8C" w:rsidRPr="0034292E" w:rsidRDefault="00341CC2" w:rsidP="00CD0FE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What you need to know</w:t>
            </w:r>
          </w:p>
        </w:tc>
      </w:tr>
      <w:tr w:rsidR="009E2E39" w:rsidRPr="00CD0FE5" w14:paraId="25C82617" w14:textId="77777777" w:rsidTr="008E74B3">
        <w:tc>
          <w:tcPr>
            <w:tcW w:w="1980" w:type="dxa"/>
          </w:tcPr>
          <w:p w14:paraId="45510C2E" w14:textId="2F75BC5D" w:rsidR="009E2E39" w:rsidRPr="00CD0FE5" w:rsidRDefault="00F76C34" w:rsidP="00CD0FE5">
            <w:pPr>
              <w:spacing w:before="120" w:after="120"/>
            </w:pPr>
            <w:r>
              <w:t xml:space="preserve">Importers </w:t>
            </w:r>
            <w:r w:rsidR="00694901">
              <w:t>of animals other than livestock</w:t>
            </w:r>
            <w:r>
              <w:t xml:space="preserve"> and reproductive material</w:t>
            </w:r>
          </w:p>
        </w:tc>
        <w:tc>
          <w:tcPr>
            <w:tcW w:w="6667" w:type="dxa"/>
          </w:tcPr>
          <w:p w14:paraId="514D2B55" w14:textId="365A8DD3" w:rsidR="00A76709" w:rsidRPr="00CD0FE5" w:rsidRDefault="00A100AF" w:rsidP="00694901">
            <w:pPr>
              <w:spacing w:before="120" w:after="120"/>
            </w:pPr>
            <w:r>
              <w:t>Li</w:t>
            </w:r>
            <w:r w:rsidR="00E0229A">
              <w:t xml:space="preserve">ve </w:t>
            </w:r>
            <w:r w:rsidR="00E0229A" w:rsidRPr="00D56AAA">
              <w:t>animal</w:t>
            </w:r>
            <w:r>
              <w:t>s</w:t>
            </w:r>
            <w:r w:rsidR="00E0229A" w:rsidRPr="00D56AAA">
              <w:t xml:space="preserve"> (excluding livestock)</w:t>
            </w:r>
            <w:r w:rsidR="00D5202E" w:rsidRPr="00D56AAA">
              <w:t xml:space="preserve"> </w:t>
            </w:r>
            <w:r w:rsidR="008271DE">
              <w:t>and reproductive material</w:t>
            </w:r>
            <w:r w:rsidR="00694901">
              <w:t xml:space="preserve"> which are</w:t>
            </w:r>
            <w:r w:rsidR="008271DE">
              <w:t xml:space="preserve"> </w:t>
            </w:r>
            <w:r w:rsidR="00694901">
              <w:t xml:space="preserve">imported to Australia, </w:t>
            </w:r>
            <w:r w:rsidR="00D5202E" w:rsidRPr="00D56AAA">
              <w:t xml:space="preserve">held </w:t>
            </w:r>
            <w:r w:rsidR="00694901">
              <w:t>under</w:t>
            </w:r>
            <w:r w:rsidR="00D5202E" w:rsidRPr="00D56AAA">
              <w:t xml:space="preserve"> biosecurity control and directed for export under the </w:t>
            </w:r>
            <w:r w:rsidR="00D5202E" w:rsidRPr="009C6E78">
              <w:rPr>
                <w:i/>
                <w:iCs/>
              </w:rPr>
              <w:t>Biosecurity Act</w:t>
            </w:r>
            <w:r w:rsidR="008271DE" w:rsidRPr="009C6E78">
              <w:rPr>
                <w:i/>
                <w:iCs/>
              </w:rPr>
              <w:t xml:space="preserve"> 2015</w:t>
            </w:r>
            <w:r w:rsidR="00D5202E" w:rsidRPr="00D56AAA">
              <w:t xml:space="preserve"> </w:t>
            </w:r>
            <w:r w:rsidR="00694901">
              <w:t>may</w:t>
            </w:r>
            <w:r w:rsidR="004B191B" w:rsidRPr="00900E79">
              <w:t xml:space="preserve"> be exported from Australia without </w:t>
            </w:r>
            <w:r w:rsidR="00694901">
              <w:t>needing to meet</w:t>
            </w:r>
            <w:r w:rsidR="004B191B" w:rsidRPr="00900E79">
              <w:t xml:space="preserve"> standard export conditions</w:t>
            </w:r>
            <w:r w:rsidR="00694901">
              <w:t>.</w:t>
            </w:r>
          </w:p>
        </w:tc>
        <w:tc>
          <w:tcPr>
            <w:tcW w:w="5301" w:type="dxa"/>
          </w:tcPr>
          <w:p w14:paraId="09339504" w14:textId="1C82C689" w:rsidR="00E67B0F" w:rsidRDefault="00072084" w:rsidP="00072084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 w:rsidRPr="00CD0FE5">
              <w:t>This is an administrative change</w:t>
            </w:r>
            <w:r>
              <w:t xml:space="preserve"> to ensure </w:t>
            </w:r>
            <w:r w:rsidR="004B191B">
              <w:t xml:space="preserve">there is no administrative barrier to the operation of the </w:t>
            </w:r>
            <w:r w:rsidR="004B191B" w:rsidRPr="009C6E78">
              <w:rPr>
                <w:i/>
                <w:iCs/>
              </w:rPr>
              <w:t>Biosecurity Act</w:t>
            </w:r>
            <w:r w:rsidR="009016F2" w:rsidRPr="009C6E78">
              <w:rPr>
                <w:i/>
                <w:iCs/>
              </w:rPr>
              <w:t xml:space="preserve"> 2015</w:t>
            </w:r>
            <w:r w:rsidR="004B191B">
              <w:t xml:space="preserve"> in respect to live animals and reproductive material that have been directed for export</w:t>
            </w:r>
            <w:r w:rsidR="006835F3">
              <w:t xml:space="preserve"> under that Act.</w:t>
            </w:r>
          </w:p>
          <w:p w14:paraId="188447EE" w14:textId="5448C580" w:rsidR="00A76709" w:rsidRPr="00CD0FE5" w:rsidRDefault="00F76C34" w:rsidP="009C6E7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>
              <w:t xml:space="preserve">Importers and exporters </w:t>
            </w:r>
            <w:r w:rsidR="00E67B0F">
              <w:t>are not required to take any action.</w:t>
            </w:r>
          </w:p>
        </w:tc>
      </w:tr>
      <w:tr w:rsidR="00CB1563" w:rsidRPr="00CD0FE5" w14:paraId="558AFCE0" w14:textId="77777777" w:rsidTr="008E74B3">
        <w:trPr>
          <w:trHeight w:val="1020"/>
        </w:trPr>
        <w:tc>
          <w:tcPr>
            <w:tcW w:w="1980" w:type="dxa"/>
          </w:tcPr>
          <w:p w14:paraId="04BCBA39" w14:textId="0F4A57E1" w:rsidR="00CB1563" w:rsidRPr="00CD0FE5" w:rsidRDefault="00CB1563" w:rsidP="00CD0FE5">
            <w:pPr>
              <w:spacing w:before="120" w:after="120"/>
            </w:pPr>
            <w:r w:rsidRPr="00CD0FE5">
              <w:t>Livestock exporters</w:t>
            </w:r>
          </w:p>
        </w:tc>
        <w:tc>
          <w:tcPr>
            <w:tcW w:w="6667" w:type="dxa"/>
          </w:tcPr>
          <w:p w14:paraId="64C2D04E" w14:textId="636D8C40" w:rsidR="00E67B0F" w:rsidRDefault="00E67B0F" w:rsidP="004463A6">
            <w:pPr>
              <w:spacing w:before="120" w:after="120"/>
            </w:pPr>
            <w:r w:rsidRPr="00EA2B91">
              <w:t>In accordance with the</w:t>
            </w:r>
            <w:r>
              <w:rPr>
                <w:b/>
                <w:bCs/>
              </w:rPr>
              <w:t xml:space="preserve"> </w:t>
            </w:r>
            <w:r>
              <w:t xml:space="preserve">Export Control (Animals) Rules 2021 (Animals Rules), ‘other requirements’ (which are in addition to the requirements under the </w:t>
            </w:r>
            <w:r>
              <w:rPr>
                <w:i/>
                <w:iCs/>
              </w:rPr>
              <w:t>Export Control Act 2020</w:t>
            </w:r>
            <w:r>
              <w:t>) must be met for the granting of an export licence.</w:t>
            </w:r>
          </w:p>
          <w:p w14:paraId="392E9071" w14:textId="7D4DDC0A" w:rsidR="00E67B0F" w:rsidRDefault="00E67B0F" w:rsidP="004463A6">
            <w:pPr>
              <w:spacing w:before="120" w:after="120"/>
              <w:rPr>
                <w:b/>
                <w:bCs/>
              </w:rPr>
            </w:pPr>
            <w:r>
              <w:t xml:space="preserve">This </w:t>
            </w:r>
            <w:r w:rsidR="00A67AC3">
              <w:t>legislative amendment</w:t>
            </w:r>
            <w:r>
              <w:t xml:space="preserve"> </w:t>
            </w:r>
            <w:r w:rsidR="00F76C34">
              <w:t xml:space="preserve">to the Animals Rules </w:t>
            </w:r>
            <w:r>
              <w:t>requires the same ‘other requirements’ to be met for the renewal of an export licence.</w:t>
            </w:r>
          </w:p>
          <w:p w14:paraId="5740DDD2" w14:textId="329BF853" w:rsidR="00CB1563" w:rsidRPr="00D56AAA" w:rsidRDefault="00F76C34" w:rsidP="004463A6">
            <w:pPr>
              <w:spacing w:before="120" w:after="120"/>
              <w:rPr>
                <w:b/>
                <w:bCs/>
              </w:rPr>
            </w:pPr>
            <w:r>
              <w:t>‘</w:t>
            </w:r>
            <w:r w:rsidR="00CB1563">
              <w:t>Other requirements</w:t>
            </w:r>
            <w:r>
              <w:t>’</w:t>
            </w:r>
            <w:r w:rsidR="00CB1563">
              <w:t xml:space="preserve"> include the applicant’s competency, financial standing and general suitability for holding a licence. </w:t>
            </w:r>
          </w:p>
        </w:tc>
        <w:tc>
          <w:tcPr>
            <w:tcW w:w="5301" w:type="dxa"/>
          </w:tcPr>
          <w:p w14:paraId="6E8A9535" w14:textId="5B0C469F" w:rsidR="00CB1563" w:rsidRDefault="00E67B0F" w:rsidP="00E21C54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>
              <w:t xml:space="preserve">This is an administrative change that will be applied </w:t>
            </w:r>
            <w:r w:rsidR="00645334">
              <w:t xml:space="preserve">to </w:t>
            </w:r>
            <w:r>
              <w:t>export licence renewal applications. Exporters are not required to take any action.</w:t>
            </w:r>
          </w:p>
        </w:tc>
      </w:tr>
      <w:tr w:rsidR="00250E2D" w:rsidRPr="005806FE" w14:paraId="32828EFE" w14:textId="77777777" w:rsidTr="008E74B3">
        <w:trPr>
          <w:trHeight w:val="625"/>
        </w:trPr>
        <w:tc>
          <w:tcPr>
            <w:tcW w:w="1980" w:type="dxa"/>
          </w:tcPr>
          <w:p w14:paraId="52133D44" w14:textId="1D0488A8" w:rsidR="00250E2D" w:rsidRPr="005806FE" w:rsidRDefault="00250E2D" w:rsidP="00CD0FE5">
            <w:pPr>
              <w:spacing w:before="120" w:after="120"/>
            </w:pPr>
            <w:r w:rsidRPr="005806FE">
              <w:t>Accredited veterinarians (AAVs)</w:t>
            </w:r>
          </w:p>
        </w:tc>
        <w:tc>
          <w:tcPr>
            <w:tcW w:w="6667" w:type="dxa"/>
          </w:tcPr>
          <w:p w14:paraId="7C13161B" w14:textId="77777777" w:rsidR="00D71640" w:rsidRPr="005806FE" w:rsidRDefault="00D020CB" w:rsidP="004463A6">
            <w:pPr>
              <w:spacing w:before="120" w:after="120"/>
            </w:pPr>
            <w:r w:rsidRPr="005806FE">
              <w:t xml:space="preserve">Upon request, </w:t>
            </w:r>
            <w:r w:rsidR="00D71640" w:rsidRPr="005806FE">
              <w:t>AAVs must provide the department</w:t>
            </w:r>
            <w:r w:rsidRPr="005806FE">
              <w:t xml:space="preserve"> </w:t>
            </w:r>
            <w:r w:rsidR="00D71640" w:rsidRPr="005806FE">
              <w:t>copies of any document in their possession that relate to export operations and any other record they are required to keep under the Animals Rules.</w:t>
            </w:r>
          </w:p>
          <w:p w14:paraId="47224A2C" w14:textId="5CFD9DC3" w:rsidR="005806FE" w:rsidRPr="005806FE" w:rsidRDefault="005806FE" w:rsidP="005806FE">
            <w:pPr>
              <w:spacing w:before="120" w:after="120"/>
            </w:pPr>
            <w:r w:rsidRPr="005806FE">
              <w:t>This includes each invoice relating to the purchase of a drug or product administered to</w:t>
            </w:r>
            <w:r>
              <w:t xml:space="preserve"> export</w:t>
            </w:r>
            <w:r w:rsidRPr="005806FE">
              <w:t xml:space="preserve"> livestock.</w:t>
            </w:r>
          </w:p>
        </w:tc>
        <w:tc>
          <w:tcPr>
            <w:tcW w:w="5301" w:type="dxa"/>
            <w:shd w:val="clear" w:color="auto" w:fill="auto"/>
          </w:tcPr>
          <w:p w14:paraId="43F960E8" w14:textId="731C56D4" w:rsidR="00D71640" w:rsidRPr="005806FE" w:rsidRDefault="00D71640" w:rsidP="00D71640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 w:rsidRPr="005806FE">
              <w:t xml:space="preserve">AAVs must </w:t>
            </w:r>
            <w:r w:rsidR="00EF56B1" w:rsidRPr="005806FE">
              <w:t xml:space="preserve">ensure they </w:t>
            </w:r>
            <w:r w:rsidRPr="005806FE">
              <w:t>have a process for keeping required records.</w:t>
            </w:r>
          </w:p>
          <w:p w14:paraId="0984461D" w14:textId="65385127" w:rsidR="00D71640" w:rsidRPr="005806FE" w:rsidRDefault="00D71640" w:rsidP="00E21C54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 w:rsidRPr="005806FE">
              <w:t xml:space="preserve">Refer to </w:t>
            </w:r>
            <w:hyperlink r:id="rId10" w:history="1">
              <w:r w:rsidR="00A020FD" w:rsidRPr="005806FE">
                <w:rPr>
                  <w:rStyle w:val="Hyperlink"/>
                </w:rPr>
                <w:t>Current accredited veterinarians</w:t>
              </w:r>
            </w:hyperlink>
            <w:r w:rsidRPr="005806FE">
              <w:t xml:space="preserve"> and </w:t>
            </w:r>
            <w:hyperlink r:id="rId11" w:history="1">
              <w:r w:rsidRPr="005806FE">
                <w:rPr>
                  <w:rStyle w:val="Hyperlink"/>
                </w:rPr>
                <w:t>Roles and Responsibilities of AAVs</w:t>
              </w:r>
            </w:hyperlink>
            <w:r w:rsidRPr="005806FE">
              <w:t>.</w:t>
            </w:r>
          </w:p>
        </w:tc>
      </w:tr>
      <w:tr w:rsidR="009E2E39" w:rsidRPr="00CD0FE5" w14:paraId="7E739C6E" w14:textId="77777777" w:rsidTr="008E74B3">
        <w:trPr>
          <w:trHeight w:val="1020"/>
        </w:trPr>
        <w:tc>
          <w:tcPr>
            <w:tcW w:w="1980" w:type="dxa"/>
          </w:tcPr>
          <w:p w14:paraId="785FEF54" w14:textId="77777777" w:rsidR="009E2E39" w:rsidRDefault="00F27441" w:rsidP="00CD0FE5">
            <w:pPr>
              <w:spacing w:before="120" w:after="120"/>
            </w:pPr>
            <w:r w:rsidRPr="00CD0FE5">
              <w:lastRenderedPageBreak/>
              <w:t>Livestock exporters</w:t>
            </w:r>
          </w:p>
          <w:p w14:paraId="1C0EC974" w14:textId="136D647A" w:rsidR="00C6355C" w:rsidRPr="00CD0FE5" w:rsidRDefault="00C6355C" w:rsidP="00CD0FE5">
            <w:pPr>
              <w:spacing w:before="120" w:after="120"/>
            </w:pPr>
            <w:r>
              <w:t>Registered Establishment occupiers</w:t>
            </w:r>
          </w:p>
        </w:tc>
        <w:tc>
          <w:tcPr>
            <w:tcW w:w="6667" w:type="dxa"/>
          </w:tcPr>
          <w:p w14:paraId="220191F9" w14:textId="77777777" w:rsidR="00C6355C" w:rsidRDefault="00C6355C" w:rsidP="00D56AAA">
            <w:pPr>
              <w:spacing w:before="120" w:after="120"/>
            </w:pPr>
            <w:r>
              <w:t>A Property identification Code (PIC) is an identification number allocated to a property by the body responsible for stock identification in the state or territory where the property is located.</w:t>
            </w:r>
          </w:p>
          <w:p w14:paraId="7E532CD2" w14:textId="15A2618F" w:rsidR="009E2E39" w:rsidRPr="00CD0FE5" w:rsidRDefault="00C6355C" w:rsidP="00CD0FE5">
            <w:pPr>
              <w:spacing w:before="120" w:after="120"/>
            </w:pPr>
            <w:r>
              <w:t xml:space="preserve">Registered Establishment occupiers and exporters of air livestock consignments </w:t>
            </w:r>
            <w:r w:rsidR="00E0229A">
              <w:t>must</w:t>
            </w:r>
            <w:r>
              <w:t xml:space="preserve"> provide the department with the PIC(s) for the relevant parts of the property used </w:t>
            </w:r>
            <w:r w:rsidR="00BF5DD1">
              <w:t>to prepare livestock for export</w:t>
            </w:r>
            <w:r>
              <w:t>.</w:t>
            </w:r>
          </w:p>
        </w:tc>
        <w:tc>
          <w:tcPr>
            <w:tcW w:w="5301" w:type="dxa"/>
          </w:tcPr>
          <w:p w14:paraId="528950F8" w14:textId="7AF349E6" w:rsidR="00277B5D" w:rsidRDefault="00277B5D" w:rsidP="00CD0FE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>
              <w:t>For livestock exports by air, exporter</w:t>
            </w:r>
            <w:r w:rsidR="00340CD0">
              <w:t xml:space="preserve">s </w:t>
            </w:r>
            <w:r>
              <w:t>will be required to provide the</w:t>
            </w:r>
            <w:r w:rsidR="00D020CB">
              <w:t xml:space="preserve"> relevant</w:t>
            </w:r>
            <w:r>
              <w:t xml:space="preserve"> PIC</w:t>
            </w:r>
            <w:r w:rsidR="00D020CB">
              <w:t>(s)</w:t>
            </w:r>
            <w:r>
              <w:t xml:space="preserve"> when selecting the premises where the livestock are being prepared for export at the time of </w:t>
            </w:r>
            <w:r w:rsidR="00340CD0">
              <w:t xml:space="preserve">submission of </w:t>
            </w:r>
            <w:r>
              <w:t>the notice of intention (NOI) to export.</w:t>
            </w:r>
            <w:r w:rsidR="00882AC4">
              <w:t xml:space="preserve"> </w:t>
            </w:r>
          </w:p>
          <w:p w14:paraId="0805A034" w14:textId="7F3AFA8A" w:rsidR="009B641B" w:rsidRDefault="00277B5D" w:rsidP="00CD0FE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>
              <w:t>Registered Establishment occupiers will be required to provide the</w:t>
            </w:r>
            <w:r w:rsidR="009B641B">
              <w:t xml:space="preserve"> relevant</w:t>
            </w:r>
            <w:r>
              <w:t xml:space="preserve"> PIC</w:t>
            </w:r>
            <w:r w:rsidR="009B641B">
              <w:t>(</w:t>
            </w:r>
            <w:r>
              <w:t>s</w:t>
            </w:r>
            <w:r w:rsidR="009B641B">
              <w:t>)</w:t>
            </w:r>
            <w:r>
              <w:t xml:space="preserve"> for that establishment upon initial registration</w:t>
            </w:r>
            <w:r w:rsidR="009B641B">
              <w:t>, renewal</w:t>
            </w:r>
            <w:r>
              <w:t xml:space="preserve"> or variation. This will automatically populate all NOIs where that premises is selected for sea consignments.</w:t>
            </w:r>
          </w:p>
          <w:p w14:paraId="2A1BC10E" w14:textId="77777777" w:rsidR="00D50347" w:rsidRDefault="00277B5D" w:rsidP="009B641B">
            <w:pPr>
              <w:pStyle w:val="ListParagraph"/>
              <w:spacing w:before="120" w:after="120"/>
              <w:ind w:left="380"/>
              <w:rPr>
                <w:rStyle w:val="Hyperlink"/>
              </w:rPr>
            </w:pPr>
            <w:r>
              <w:t>R</w:t>
            </w:r>
            <w:r w:rsidR="00C6355C">
              <w:t xml:space="preserve">efer to </w:t>
            </w:r>
            <w:hyperlink r:id="rId12" w:history="1">
              <w:r w:rsidR="00C6355C" w:rsidRPr="00C6355C">
                <w:rPr>
                  <w:rStyle w:val="Hyperlink"/>
                </w:rPr>
                <w:t>Registered establishment guidelines for the export of livestock by sea</w:t>
              </w:r>
            </w:hyperlink>
          </w:p>
          <w:p w14:paraId="57EB71A5" w14:textId="7EB86402" w:rsidR="005B0F8B" w:rsidRPr="00CD0FE5" w:rsidRDefault="009B641B" w:rsidP="00882AC4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>
              <w:t>For livestock exports by sea, exporters are not required to take any action.</w:t>
            </w:r>
          </w:p>
        </w:tc>
      </w:tr>
      <w:tr w:rsidR="008D5FBB" w:rsidRPr="00CD0FE5" w14:paraId="583EBA97" w14:textId="77777777" w:rsidTr="008E74B3">
        <w:trPr>
          <w:trHeight w:val="1020"/>
        </w:trPr>
        <w:tc>
          <w:tcPr>
            <w:tcW w:w="1980" w:type="dxa"/>
          </w:tcPr>
          <w:p w14:paraId="7F55729C" w14:textId="77777777" w:rsidR="00C375DD" w:rsidRDefault="00C375DD" w:rsidP="00A100AF">
            <w:pPr>
              <w:spacing w:before="120" w:after="120"/>
            </w:pPr>
            <w:r w:rsidRPr="00CD0FE5">
              <w:t xml:space="preserve">Accredited veterinarians </w:t>
            </w:r>
          </w:p>
          <w:p w14:paraId="7EB00DCC" w14:textId="66D682C7" w:rsidR="00C375DD" w:rsidRDefault="00C375DD" w:rsidP="00A100AF">
            <w:pPr>
              <w:spacing w:before="120" w:after="120"/>
            </w:pPr>
            <w:r>
              <w:t>E</w:t>
            </w:r>
            <w:r w:rsidRPr="00CD0FE5">
              <w:t>xporters</w:t>
            </w:r>
          </w:p>
          <w:p w14:paraId="451941A8" w14:textId="3F98EEFC" w:rsidR="008D5FBB" w:rsidRPr="00CD0FE5" w:rsidRDefault="00C375DD" w:rsidP="00A100AF">
            <w:pPr>
              <w:spacing w:before="120" w:after="120"/>
            </w:pPr>
            <w:r>
              <w:t>Registered Establishment occupiers</w:t>
            </w:r>
          </w:p>
        </w:tc>
        <w:tc>
          <w:tcPr>
            <w:tcW w:w="6667" w:type="dxa"/>
          </w:tcPr>
          <w:p w14:paraId="74F8AD15" w14:textId="47BF8FC6" w:rsidR="00A100AF" w:rsidRPr="00900E79" w:rsidRDefault="000A3336" w:rsidP="004463A6">
            <w:pPr>
              <w:spacing w:before="120" w:after="120"/>
            </w:pPr>
            <w:r>
              <w:t xml:space="preserve">When </w:t>
            </w:r>
            <w:r w:rsidR="004E7788">
              <w:t>determining</w:t>
            </w:r>
            <w:r>
              <w:t xml:space="preserve"> whether a person meets the Fit and Proper Person (FPP) test, </w:t>
            </w:r>
            <w:r w:rsidR="00BF5DD1">
              <w:t>the department will</w:t>
            </w:r>
            <w:r>
              <w:t xml:space="preserve"> consider whether someone has provided false or misleading </w:t>
            </w:r>
            <w:r w:rsidR="00BF5DD1">
              <w:t>information</w:t>
            </w:r>
            <w:r>
              <w:t xml:space="preserve"> </w:t>
            </w:r>
            <w:r w:rsidR="00BF5DD1">
              <w:t xml:space="preserve">or documents </w:t>
            </w:r>
            <w:r>
              <w:t xml:space="preserve">to the department under the </w:t>
            </w:r>
            <w:r w:rsidR="000F037E">
              <w:rPr>
                <w:i/>
                <w:iCs/>
              </w:rPr>
              <w:t>Export Control Act 2020</w:t>
            </w:r>
            <w:r w:rsidR="00BF5DD1">
              <w:t>,</w:t>
            </w:r>
            <w:r>
              <w:t xml:space="preserve"> and other Acts including the repealed Part</w:t>
            </w:r>
            <w:r w:rsidR="00A173D9">
              <w:t> </w:t>
            </w:r>
            <w:r>
              <w:t xml:space="preserve">2 of the </w:t>
            </w:r>
            <w:r w:rsidRPr="00900E79">
              <w:rPr>
                <w:i/>
                <w:iCs/>
              </w:rPr>
              <w:t>Australian Meat and Livestock Industry Act 1997</w:t>
            </w:r>
            <w:r>
              <w:t xml:space="preserve"> and the repealed </w:t>
            </w:r>
            <w:r w:rsidRPr="00900E79">
              <w:rPr>
                <w:i/>
                <w:iCs/>
              </w:rPr>
              <w:t>Export Control Act 1982</w:t>
            </w:r>
            <w:r>
              <w:t>.</w:t>
            </w:r>
          </w:p>
        </w:tc>
        <w:tc>
          <w:tcPr>
            <w:tcW w:w="5301" w:type="dxa"/>
            <w:shd w:val="clear" w:color="auto" w:fill="auto"/>
          </w:tcPr>
          <w:p w14:paraId="031503C8" w14:textId="1AFB6D28" w:rsidR="004E7788" w:rsidRDefault="00641AA5" w:rsidP="00E21C54">
            <w:pPr>
              <w:pStyle w:val="ListParagraph"/>
              <w:numPr>
                <w:ilvl w:val="0"/>
                <w:numId w:val="6"/>
              </w:numPr>
              <w:spacing w:before="120" w:after="120"/>
              <w:ind w:left="380" w:hanging="380"/>
            </w:pPr>
            <w:r w:rsidRPr="00C06525">
              <w:t>This is an administrative change that will be applied to</w:t>
            </w:r>
            <w:r w:rsidR="00A173D9">
              <w:t xml:space="preserve"> relevant</w:t>
            </w:r>
            <w:r w:rsidRPr="00C06525">
              <w:t xml:space="preserve"> applications. Regulated entities are not required to take any action.</w:t>
            </w:r>
          </w:p>
        </w:tc>
      </w:tr>
    </w:tbl>
    <w:p w14:paraId="4C91FD98" w14:textId="15BB040A" w:rsidR="00CE6E2B" w:rsidRPr="00406296" w:rsidRDefault="00CE6E2B" w:rsidP="00ED0A94">
      <w:pPr>
        <w:spacing w:before="120"/>
        <w:rPr>
          <w:rFonts w:ascii="Calibri" w:hAnsi="Calibri" w:cs="Calibri"/>
        </w:rPr>
      </w:pPr>
    </w:p>
    <w:sectPr w:rsidR="00CE6E2B" w:rsidRPr="00406296" w:rsidSect="00FA1A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47CE" w14:textId="77777777" w:rsidR="00024DC7" w:rsidRDefault="00024DC7" w:rsidP="00024DC7">
      <w:pPr>
        <w:spacing w:after="0" w:line="240" w:lineRule="auto"/>
      </w:pPr>
      <w:r>
        <w:separator/>
      </w:r>
    </w:p>
  </w:endnote>
  <w:endnote w:type="continuationSeparator" w:id="0">
    <w:p w14:paraId="243B1646" w14:textId="77777777" w:rsidR="00024DC7" w:rsidRDefault="00024DC7" w:rsidP="0002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6E7A" w14:textId="77777777" w:rsidR="005C02EE" w:rsidRDefault="005C0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3BAA" w14:textId="77777777" w:rsidR="005C02EE" w:rsidRDefault="005C0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C9C6" w14:textId="77777777" w:rsidR="005C02EE" w:rsidRDefault="005C0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63A4" w14:textId="77777777" w:rsidR="00024DC7" w:rsidRDefault="00024DC7" w:rsidP="00024DC7">
      <w:pPr>
        <w:spacing w:after="0" w:line="240" w:lineRule="auto"/>
      </w:pPr>
      <w:r>
        <w:separator/>
      </w:r>
    </w:p>
  </w:footnote>
  <w:footnote w:type="continuationSeparator" w:id="0">
    <w:p w14:paraId="6079DD27" w14:textId="77777777" w:rsidR="00024DC7" w:rsidRDefault="00024DC7" w:rsidP="0002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847E" w14:textId="77777777" w:rsidR="005C02EE" w:rsidRDefault="005C0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110" w14:textId="43AC4F0A" w:rsidR="000C2BA0" w:rsidRDefault="000C2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8E86" w14:textId="77777777" w:rsidR="005C02EE" w:rsidRDefault="005C0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14A"/>
    <w:multiLevelType w:val="hybridMultilevel"/>
    <w:tmpl w:val="CC2AF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CB2"/>
    <w:multiLevelType w:val="hybridMultilevel"/>
    <w:tmpl w:val="C060C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888"/>
    <w:multiLevelType w:val="hybridMultilevel"/>
    <w:tmpl w:val="FC14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DC2"/>
    <w:multiLevelType w:val="hybridMultilevel"/>
    <w:tmpl w:val="E3364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85E"/>
    <w:multiLevelType w:val="hybridMultilevel"/>
    <w:tmpl w:val="F8662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53EC"/>
    <w:multiLevelType w:val="hybridMultilevel"/>
    <w:tmpl w:val="A95CD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39753151">
    <w:abstractNumId w:val="7"/>
  </w:num>
  <w:num w:numId="2" w16cid:durableId="1955479298">
    <w:abstractNumId w:val="3"/>
  </w:num>
  <w:num w:numId="3" w16cid:durableId="1375226869">
    <w:abstractNumId w:val="6"/>
  </w:num>
  <w:num w:numId="4" w16cid:durableId="1484659473">
    <w:abstractNumId w:val="1"/>
  </w:num>
  <w:num w:numId="5" w16cid:durableId="1897739936">
    <w:abstractNumId w:val="3"/>
  </w:num>
  <w:num w:numId="6" w16cid:durableId="1284114889">
    <w:abstractNumId w:val="5"/>
  </w:num>
  <w:num w:numId="7" w16cid:durableId="1587379351">
    <w:abstractNumId w:val="0"/>
  </w:num>
  <w:num w:numId="8" w16cid:durableId="313872058">
    <w:abstractNumId w:val="2"/>
  </w:num>
  <w:num w:numId="9" w16cid:durableId="14486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8C"/>
    <w:rsid w:val="00000576"/>
    <w:rsid w:val="00001036"/>
    <w:rsid w:val="00015C9A"/>
    <w:rsid w:val="000236FB"/>
    <w:rsid w:val="00023740"/>
    <w:rsid w:val="00023F41"/>
    <w:rsid w:val="00024DC7"/>
    <w:rsid w:val="0003352E"/>
    <w:rsid w:val="00042A3F"/>
    <w:rsid w:val="00057949"/>
    <w:rsid w:val="00072084"/>
    <w:rsid w:val="000757EC"/>
    <w:rsid w:val="00082CD4"/>
    <w:rsid w:val="000A241D"/>
    <w:rsid w:val="000A3336"/>
    <w:rsid w:val="000C2BA0"/>
    <w:rsid w:val="000C4B23"/>
    <w:rsid w:val="000E338E"/>
    <w:rsid w:val="000F037E"/>
    <w:rsid w:val="000F2858"/>
    <w:rsid w:val="000F78F0"/>
    <w:rsid w:val="00105AC3"/>
    <w:rsid w:val="00115DAC"/>
    <w:rsid w:val="00122A1D"/>
    <w:rsid w:val="00136ED4"/>
    <w:rsid w:val="00140257"/>
    <w:rsid w:val="00177BC0"/>
    <w:rsid w:val="001963D2"/>
    <w:rsid w:val="001A10F2"/>
    <w:rsid w:val="001A21B5"/>
    <w:rsid w:val="001C5C9A"/>
    <w:rsid w:val="00203966"/>
    <w:rsid w:val="002054DB"/>
    <w:rsid w:val="00206362"/>
    <w:rsid w:val="00223716"/>
    <w:rsid w:val="002240C1"/>
    <w:rsid w:val="002240EB"/>
    <w:rsid w:val="0023013F"/>
    <w:rsid w:val="00250E2D"/>
    <w:rsid w:val="00275DC3"/>
    <w:rsid w:val="00277B5D"/>
    <w:rsid w:val="00294E59"/>
    <w:rsid w:val="002C1949"/>
    <w:rsid w:val="002C3681"/>
    <w:rsid w:val="002C6E50"/>
    <w:rsid w:val="002E5007"/>
    <w:rsid w:val="002E6ABF"/>
    <w:rsid w:val="002E7D34"/>
    <w:rsid w:val="00303703"/>
    <w:rsid w:val="00314619"/>
    <w:rsid w:val="0032034D"/>
    <w:rsid w:val="00330399"/>
    <w:rsid w:val="00333C2F"/>
    <w:rsid w:val="00340CD0"/>
    <w:rsid w:val="00341CC2"/>
    <w:rsid w:val="0034292E"/>
    <w:rsid w:val="00344509"/>
    <w:rsid w:val="00370836"/>
    <w:rsid w:val="00381B1D"/>
    <w:rsid w:val="0038207B"/>
    <w:rsid w:val="00392AE4"/>
    <w:rsid w:val="003A3987"/>
    <w:rsid w:val="003A5436"/>
    <w:rsid w:val="003A6B29"/>
    <w:rsid w:val="003C01C8"/>
    <w:rsid w:val="003C1B63"/>
    <w:rsid w:val="003E013A"/>
    <w:rsid w:val="003E017E"/>
    <w:rsid w:val="003E3AF0"/>
    <w:rsid w:val="0040113A"/>
    <w:rsid w:val="00406296"/>
    <w:rsid w:val="00410550"/>
    <w:rsid w:val="00414DCC"/>
    <w:rsid w:val="00433E6F"/>
    <w:rsid w:val="004350E0"/>
    <w:rsid w:val="004463A6"/>
    <w:rsid w:val="00471994"/>
    <w:rsid w:val="00491F0F"/>
    <w:rsid w:val="004937A0"/>
    <w:rsid w:val="004B191B"/>
    <w:rsid w:val="004B48CE"/>
    <w:rsid w:val="004B4994"/>
    <w:rsid w:val="004B5BCB"/>
    <w:rsid w:val="004C27E3"/>
    <w:rsid w:val="004D02C3"/>
    <w:rsid w:val="004E7788"/>
    <w:rsid w:val="00507B11"/>
    <w:rsid w:val="00511C6B"/>
    <w:rsid w:val="00517D0A"/>
    <w:rsid w:val="00525EB5"/>
    <w:rsid w:val="005346D4"/>
    <w:rsid w:val="00556384"/>
    <w:rsid w:val="005806FE"/>
    <w:rsid w:val="005874D1"/>
    <w:rsid w:val="00596FE9"/>
    <w:rsid w:val="005972D4"/>
    <w:rsid w:val="005B0F8B"/>
    <w:rsid w:val="005C02EE"/>
    <w:rsid w:val="005E28B9"/>
    <w:rsid w:val="00607010"/>
    <w:rsid w:val="006234D1"/>
    <w:rsid w:val="00641AA5"/>
    <w:rsid w:val="0064285B"/>
    <w:rsid w:val="00645334"/>
    <w:rsid w:val="0065753A"/>
    <w:rsid w:val="00657DC5"/>
    <w:rsid w:val="00661186"/>
    <w:rsid w:val="00661812"/>
    <w:rsid w:val="006824D9"/>
    <w:rsid w:val="006835F3"/>
    <w:rsid w:val="00684900"/>
    <w:rsid w:val="00686DAC"/>
    <w:rsid w:val="00694901"/>
    <w:rsid w:val="006B28CF"/>
    <w:rsid w:val="006C594B"/>
    <w:rsid w:val="006F70ED"/>
    <w:rsid w:val="007202D2"/>
    <w:rsid w:val="00720845"/>
    <w:rsid w:val="00726E93"/>
    <w:rsid w:val="007308BD"/>
    <w:rsid w:val="00736297"/>
    <w:rsid w:val="0074441C"/>
    <w:rsid w:val="0077506B"/>
    <w:rsid w:val="00782D49"/>
    <w:rsid w:val="00786116"/>
    <w:rsid w:val="007958BC"/>
    <w:rsid w:val="007A1DB9"/>
    <w:rsid w:val="007A3485"/>
    <w:rsid w:val="007B5F6F"/>
    <w:rsid w:val="007D0E65"/>
    <w:rsid w:val="007D5799"/>
    <w:rsid w:val="007D5AA5"/>
    <w:rsid w:val="007E092D"/>
    <w:rsid w:val="007E3903"/>
    <w:rsid w:val="007F5635"/>
    <w:rsid w:val="008061F1"/>
    <w:rsid w:val="00813586"/>
    <w:rsid w:val="008271DE"/>
    <w:rsid w:val="00832A52"/>
    <w:rsid w:val="00851D5A"/>
    <w:rsid w:val="00854B3F"/>
    <w:rsid w:val="008665B1"/>
    <w:rsid w:val="00877DD0"/>
    <w:rsid w:val="00882AC4"/>
    <w:rsid w:val="00886654"/>
    <w:rsid w:val="008B2770"/>
    <w:rsid w:val="008D48D4"/>
    <w:rsid w:val="008D5FBB"/>
    <w:rsid w:val="008D6D4F"/>
    <w:rsid w:val="008E74B3"/>
    <w:rsid w:val="00900E79"/>
    <w:rsid w:val="009016F2"/>
    <w:rsid w:val="00910D90"/>
    <w:rsid w:val="00913014"/>
    <w:rsid w:val="00927654"/>
    <w:rsid w:val="00934608"/>
    <w:rsid w:val="00934B83"/>
    <w:rsid w:val="00945E56"/>
    <w:rsid w:val="009512D0"/>
    <w:rsid w:val="009528B9"/>
    <w:rsid w:val="00965E1E"/>
    <w:rsid w:val="00981C17"/>
    <w:rsid w:val="0099392F"/>
    <w:rsid w:val="009A37E4"/>
    <w:rsid w:val="009B641B"/>
    <w:rsid w:val="009C6E78"/>
    <w:rsid w:val="009C7619"/>
    <w:rsid w:val="009E2E39"/>
    <w:rsid w:val="009E33E4"/>
    <w:rsid w:val="009E48FF"/>
    <w:rsid w:val="00A020FD"/>
    <w:rsid w:val="00A100AF"/>
    <w:rsid w:val="00A113F0"/>
    <w:rsid w:val="00A173D9"/>
    <w:rsid w:val="00A207F8"/>
    <w:rsid w:val="00A212F1"/>
    <w:rsid w:val="00A334A3"/>
    <w:rsid w:val="00A64B6A"/>
    <w:rsid w:val="00A67AC3"/>
    <w:rsid w:val="00A76709"/>
    <w:rsid w:val="00A77BAD"/>
    <w:rsid w:val="00A817F1"/>
    <w:rsid w:val="00A879E9"/>
    <w:rsid w:val="00A92C9E"/>
    <w:rsid w:val="00AA2AC8"/>
    <w:rsid w:val="00AB4306"/>
    <w:rsid w:val="00AD50BA"/>
    <w:rsid w:val="00AE7ACD"/>
    <w:rsid w:val="00AF312C"/>
    <w:rsid w:val="00AF38F6"/>
    <w:rsid w:val="00AF5637"/>
    <w:rsid w:val="00B134A2"/>
    <w:rsid w:val="00B20517"/>
    <w:rsid w:val="00B4503F"/>
    <w:rsid w:val="00B817BE"/>
    <w:rsid w:val="00B846DD"/>
    <w:rsid w:val="00B92447"/>
    <w:rsid w:val="00BB5990"/>
    <w:rsid w:val="00BB5EE9"/>
    <w:rsid w:val="00BE13A9"/>
    <w:rsid w:val="00BE4FC1"/>
    <w:rsid w:val="00BF1B2D"/>
    <w:rsid w:val="00BF5DD1"/>
    <w:rsid w:val="00C06525"/>
    <w:rsid w:val="00C13EE0"/>
    <w:rsid w:val="00C25F6F"/>
    <w:rsid w:val="00C375DD"/>
    <w:rsid w:val="00C416EB"/>
    <w:rsid w:val="00C46721"/>
    <w:rsid w:val="00C6355C"/>
    <w:rsid w:val="00C643A8"/>
    <w:rsid w:val="00C73921"/>
    <w:rsid w:val="00C83DB1"/>
    <w:rsid w:val="00C86777"/>
    <w:rsid w:val="00CB1563"/>
    <w:rsid w:val="00CC4884"/>
    <w:rsid w:val="00CC62E1"/>
    <w:rsid w:val="00CC63E0"/>
    <w:rsid w:val="00CD0FE5"/>
    <w:rsid w:val="00CE6648"/>
    <w:rsid w:val="00CE6E2B"/>
    <w:rsid w:val="00CF5697"/>
    <w:rsid w:val="00D020CB"/>
    <w:rsid w:val="00D03522"/>
    <w:rsid w:val="00D50347"/>
    <w:rsid w:val="00D5202E"/>
    <w:rsid w:val="00D53213"/>
    <w:rsid w:val="00D56AAA"/>
    <w:rsid w:val="00D71640"/>
    <w:rsid w:val="00E0229A"/>
    <w:rsid w:val="00E15592"/>
    <w:rsid w:val="00E21C54"/>
    <w:rsid w:val="00E25DB6"/>
    <w:rsid w:val="00E326A1"/>
    <w:rsid w:val="00E67B0F"/>
    <w:rsid w:val="00E76137"/>
    <w:rsid w:val="00EA0443"/>
    <w:rsid w:val="00EA2B91"/>
    <w:rsid w:val="00EC2005"/>
    <w:rsid w:val="00ED0A94"/>
    <w:rsid w:val="00EE6EC3"/>
    <w:rsid w:val="00EF56B1"/>
    <w:rsid w:val="00F211FF"/>
    <w:rsid w:val="00F24CE6"/>
    <w:rsid w:val="00F27441"/>
    <w:rsid w:val="00F34C31"/>
    <w:rsid w:val="00F5272E"/>
    <w:rsid w:val="00F61AE9"/>
    <w:rsid w:val="00F678DD"/>
    <w:rsid w:val="00F73E73"/>
    <w:rsid w:val="00F76C34"/>
    <w:rsid w:val="00F86AB5"/>
    <w:rsid w:val="00F957B7"/>
    <w:rsid w:val="00FA1A8C"/>
    <w:rsid w:val="00FA6DE8"/>
    <w:rsid w:val="00FA7D66"/>
    <w:rsid w:val="00FB2B03"/>
    <w:rsid w:val="00FB7DB7"/>
    <w:rsid w:val="00FF0D9A"/>
    <w:rsid w:val="00FF6C97"/>
    <w:rsid w:val="0878D87D"/>
    <w:rsid w:val="2258AC32"/>
    <w:rsid w:val="2590A91E"/>
    <w:rsid w:val="2CFF30DF"/>
    <w:rsid w:val="35D9C6AD"/>
    <w:rsid w:val="3D6C133D"/>
    <w:rsid w:val="3D9FD9AD"/>
    <w:rsid w:val="4AC292D3"/>
    <w:rsid w:val="4AD48738"/>
    <w:rsid w:val="61A28DD8"/>
    <w:rsid w:val="63044BD3"/>
    <w:rsid w:val="6CF53656"/>
    <w:rsid w:val="71B61EB1"/>
    <w:rsid w:val="74CA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96B8DE"/>
  <w15:chartTrackingRefBased/>
  <w15:docId w15:val="{AC673400-62BB-4B57-B033-71033191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E1"/>
  </w:style>
  <w:style w:type="paragraph" w:styleId="Heading1">
    <w:name w:val="heading 1"/>
    <w:next w:val="Normal"/>
    <w:link w:val="Heading1Char"/>
    <w:uiPriority w:val="1"/>
    <w:qFormat/>
    <w:rsid w:val="003A3987"/>
    <w:pPr>
      <w:widowControl w:val="0"/>
      <w:spacing w:before="360" w:after="240" w:line="240" w:lineRule="auto"/>
      <w:contextualSpacing/>
      <w:outlineLvl w:val="0"/>
    </w:pPr>
    <w:rPr>
      <w:rFonts w:ascii="Calibri" w:hAnsi="Calibri"/>
      <w:b/>
      <w:bCs/>
      <w:color w:val="000000"/>
      <w:spacing w:val="5"/>
      <w:kern w:val="28"/>
      <w:sz w:val="40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qFormat/>
    <w:rsid w:val="00FA1A8C"/>
    <w:pPr>
      <w:numPr>
        <w:numId w:val="1"/>
      </w:numPr>
      <w:spacing w:before="120" w:after="120" w:line="276" w:lineRule="auto"/>
    </w:pPr>
    <w:rPr>
      <w:kern w:val="0"/>
      <w14:ligatures w14:val="none"/>
    </w:rPr>
  </w:style>
  <w:style w:type="paragraph" w:styleId="ListBullet2">
    <w:name w:val="List Bullet 2"/>
    <w:basedOn w:val="Normal"/>
    <w:uiPriority w:val="8"/>
    <w:qFormat/>
    <w:rsid w:val="00FA1A8C"/>
    <w:pPr>
      <w:numPr>
        <w:ilvl w:val="1"/>
        <w:numId w:val="1"/>
      </w:numPr>
      <w:spacing w:before="120" w:after="120" w:line="276" w:lineRule="auto"/>
      <w:contextualSpacing/>
    </w:pPr>
    <w:rPr>
      <w:kern w:val="0"/>
      <w14:ligatures w14:val="none"/>
    </w:rPr>
  </w:style>
  <w:style w:type="numbering" w:customStyle="1" w:styleId="List1">
    <w:name w:val="List1"/>
    <w:basedOn w:val="NoList"/>
    <w:uiPriority w:val="99"/>
    <w:rsid w:val="00FA1A8C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FA1A8C"/>
    <w:pPr>
      <w:numPr>
        <w:ilvl w:val="2"/>
        <w:numId w:val="1"/>
      </w:numPr>
      <w:spacing w:after="120" w:line="276" w:lineRule="auto"/>
      <w:contextualSpacing/>
    </w:pPr>
    <w:rPr>
      <w:kern w:val="0"/>
      <w14:ligatures w14:val="none"/>
    </w:rPr>
  </w:style>
  <w:style w:type="paragraph" w:customStyle="1" w:styleId="TableBullet1">
    <w:name w:val="Table Bullet 1"/>
    <w:basedOn w:val="Normal"/>
    <w:uiPriority w:val="15"/>
    <w:qFormat/>
    <w:rsid w:val="009E2E39"/>
    <w:pPr>
      <w:numPr>
        <w:numId w:val="2"/>
      </w:numPr>
      <w:spacing w:before="60" w:after="60" w:line="240" w:lineRule="auto"/>
    </w:pPr>
    <w:rPr>
      <w:kern w:val="0"/>
      <w:sz w:val="20"/>
      <w14:ligatures w14:val="none"/>
    </w:rPr>
  </w:style>
  <w:style w:type="character" w:customStyle="1" w:styleId="ui-provider">
    <w:name w:val="ui-provider"/>
    <w:basedOn w:val="DefaultParagraphFont"/>
    <w:rsid w:val="0023013F"/>
  </w:style>
  <w:style w:type="paragraph" w:styleId="CommentText">
    <w:name w:val="annotation text"/>
    <w:basedOn w:val="Normal"/>
    <w:link w:val="CommentTextChar"/>
    <w:uiPriority w:val="99"/>
    <w:unhideWhenUsed/>
    <w:rsid w:val="00A334A3"/>
    <w:pPr>
      <w:spacing w:after="120" w:line="276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4A3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qFormat/>
    <w:rsid w:val="00A334A3"/>
    <w:rPr>
      <w:color w:val="165788"/>
      <w:u w:val="single"/>
    </w:rPr>
  </w:style>
  <w:style w:type="paragraph" w:styleId="ListParagraph">
    <w:name w:val="List Paragraph"/>
    <w:basedOn w:val="Normal"/>
    <w:uiPriority w:val="34"/>
    <w:qFormat/>
    <w:rsid w:val="002054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29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92E"/>
    <w:pPr>
      <w:spacing w:after="160" w:line="240" w:lineRule="auto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92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4292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27441"/>
  </w:style>
  <w:style w:type="character" w:customStyle="1" w:styleId="superscript">
    <w:name w:val="superscript"/>
    <w:basedOn w:val="DefaultParagraphFont"/>
    <w:rsid w:val="00F27441"/>
  </w:style>
  <w:style w:type="character" w:customStyle="1" w:styleId="eop">
    <w:name w:val="eop"/>
    <w:basedOn w:val="DefaultParagraphFont"/>
    <w:rsid w:val="00F27441"/>
  </w:style>
  <w:style w:type="character" w:styleId="UnresolvedMention">
    <w:name w:val="Unresolved Mention"/>
    <w:basedOn w:val="DefaultParagraphFont"/>
    <w:uiPriority w:val="99"/>
    <w:semiHidden/>
    <w:unhideWhenUsed/>
    <w:rsid w:val="00661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3A3987"/>
    <w:rPr>
      <w:rFonts w:ascii="Calibri" w:hAnsi="Calibri"/>
      <w:b/>
      <w:bCs/>
      <w:color w:val="000000"/>
      <w:spacing w:val="5"/>
      <w:kern w:val="28"/>
      <w:sz w:val="4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10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4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C7"/>
  </w:style>
  <w:style w:type="paragraph" w:styleId="Footer">
    <w:name w:val="footer"/>
    <w:basedOn w:val="Normal"/>
    <w:link w:val="FooterChar"/>
    <w:uiPriority w:val="99"/>
    <w:unhideWhenUsed/>
    <w:rsid w:val="00024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C7"/>
  </w:style>
  <w:style w:type="character" w:customStyle="1" w:styleId="Heading2Char">
    <w:name w:val="Heading 2 Char"/>
    <w:basedOn w:val="DefaultParagraphFont"/>
    <w:link w:val="Heading2"/>
    <w:uiPriority w:val="9"/>
    <w:semiHidden/>
    <w:rsid w:val="00C83D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riculture.gov.au/biosecurity-trade/export/controlled-goods/live-animals/livestock/registered-establishmen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iculture.gov.au/biosecurity-trade/export/controlled-goods/live-animals/livestock/accredited-veterinaria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griculture.gov.au/biosecurity-trade/export/controlled-goods/live-animals/livestock/accredited-veterinarian/current-aav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13521109B5C4E813EED5B4CD35FE8" ma:contentTypeVersion="13" ma:contentTypeDescription="Create a new document." ma:contentTypeScope="" ma:versionID="9f96cc7e85a69aff0dee00a6a4c97d1a">
  <xsd:schema xmlns:xsd="http://www.w3.org/2001/XMLSchema" xmlns:xs="http://www.w3.org/2001/XMLSchema" xmlns:p="http://schemas.microsoft.com/office/2006/metadata/properties" xmlns:ns2="6183d753-4e0d-4b8c-8e8c-dbc502d82832" xmlns:ns3="0802b75a-89d5-408b-90bd-96b3a6bc3894" targetNamespace="http://schemas.microsoft.com/office/2006/metadata/properties" ma:root="true" ma:fieldsID="da6634874d4b6c191814b9b1ddd56e81" ns2:_="" ns3:_="">
    <xsd:import namespace="6183d753-4e0d-4b8c-8e8c-dbc502d82832"/>
    <xsd:import namespace="0802b75a-89d5-408b-90bd-96b3a6bc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3d753-4e0d-4b8c-8e8c-dbc502d82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b75a-89d5-408b-90bd-96b3a6bc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F7C331-BC7A-40C1-A14E-AEDA9255A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3d753-4e0d-4b8c-8e8c-dbc502d82832"/>
    <ds:schemaRef ds:uri="0802b75a-89d5-408b-90bd-96b3a6bc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8070B-82A2-45DE-A632-62CA28BBF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19354-60AE-4088-9529-FAAA17D262F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0802b75a-89d5-408b-90bd-96b3a6bc3894"/>
    <ds:schemaRef ds:uri="6183d753-4e0d-4b8c-8e8c-dbc502d8283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Agriculture. Fisheries and Forestry</dc:creator>
  <cp:keywords/>
  <dc:description/>
  <cp:revision>3</cp:revision>
  <dcterms:created xsi:type="dcterms:W3CDTF">2024-12-16T23:00:00Z</dcterms:created>
  <dcterms:modified xsi:type="dcterms:W3CDTF">2025-02-26T03:10:00Z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0x010100B1C13521109B5C4E813EED5B4CD35FE8</vt:lpwstr>
  </property>
  <property fmtid="{D5CDD505-2E9C-101B-9397-08002B2CF9AE}" pid="3" name="MSIP_Label_473bcc6b-73b7-4ef5-b413-c44cd14a40ad_Enabled">
    <vt:lpwstr>true</vt:lpwstr>
  </property>
  <property fmtid="{D5CDD505-2E9C-101B-9397-08002B2CF9AE}" pid="4" name="MSIP_Label_473bcc6b-73b7-4ef5-b413-c44cd14a40ad_SetDate">
    <vt:lpwstr>2024-09-29T23:52:11Z</vt:lpwstr>
  </property>
  <property fmtid="{D5CDD505-2E9C-101B-9397-08002B2CF9AE}" pid="5" name="MSIP_Label_473bcc6b-73b7-4ef5-b413-c44cd14a40ad_Method">
    <vt:lpwstr>Privileged</vt:lpwstr>
  </property>
  <property fmtid="{D5CDD505-2E9C-101B-9397-08002B2CF9AE}" pid="6" name="MSIP_Label_473bcc6b-73b7-4ef5-b413-c44cd14a40ad_Name">
    <vt:lpwstr>Official - NO MARKING</vt:lpwstr>
  </property>
  <property fmtid="{D5CDD505-2E9C-101B-9397-08002B2CF9AE}" pid="7" name="MSIP_Label_473bcc6b-73b7-4ef5-b413-c44cd14a40ad_SiteId">
    <vt:lpwstr>2be67eb7-400c-4b3f-a5a1-1258c0da0696</vt:lpwstr>
  </property>
  <property fmtid="{D5CDD505-2E9C-101B-9397-08002B2CF9AE}" pid="8" name="MSIP_Label_473bcc6b-73b7-4ef5-b413-c44cd14a40ad_ActionId">
    <vt:lpwstr>eb13e784-5983-4cdf-8c18-3bce89bce3d6</vt:lpwstr>
  </property>
  <property fmtid="{D5CDD505-2E9C-101B-9397-08002B2CF9AE}" pid="9" name="MSIP_Label_473bcc6b-73b7-4ef5-b413-c44cd14a40ad_ContentBits">
    <vt:lpwstr>0</vt:lpwstr>
  </property>
</Properties>
</file>