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6BAA83" w14:textId="77777777" w:rsidR="00E41E42" w:rsidRDefault="00E41E42" w:rsidP="00AC4655">
      <w:pPr>
        <w:pStyle w:val="Heading1"/>
        <w:rPr>
          <w:rFonts w:eastAsia="Calibri"/>
        </w:rPr>
      </w:pPr>
      <w:r w:rsidRPr="00E41E42">
        <w:rPr>
          <w:rFonts w:eastAsia="Calibri"/>
        </w:rPr>
        <w:t xml:space="preserve">ENVIRONMENTAL BIOSECURITY ADVISORY </w:t>
      </w:r>
      <w:r w:rsidR="0084224B">
        <w:rPr>
          <w:rFonts w:eastAsia="Calibri"/>
        </w:rPr>
        <w:t>GROUP</w:t>
      </w:r>
    </w:p>
    <w:p w14:paraId="10796572" w14:textId="52BF84D9" w:rsidR="00C14028" w:rsidRPr="009142AF" w:rsidRDefault="009142AF" w:rsidP="00AC4655">
      <w:pPr>
        <w:pStyle w:val="Heading1"/>
        <w:rPr>
          <w:rFonts w:eastAsia="Calibri"/>
        </w:rPr>
      </w:pPr>
      <w:r w:rsidRPr="009142AF">
        <w:rPr>
          <w:rFonts w:eastAsia="Calibri"/>
        </w:rPr>
        <w:t xml:space="preserve">Terms of reference </w:t>
      </w:r>
    </w:p>
    <w:p w14:paraId="1C3571A6" w14:textId="77777777" w:rsidR="00731D1F" w:rsidRDefault="00731D1F" w:rsidP="00AC4655">
      <w:pPr>
        <w:spacing w:after="120"/>
        <w:rPr>
          <w:rFonts w:ascii="Calibri" w:eastAsia="Calibri" w:hAnsi="Calibri" w:cs="Times New Roman"/>
          <w:b/>
        </w:rPr>
      </w:pPr>
    </w:p>
    <w:p w14:paraId="427EE03D" w14:textId="446237CD" w:rsidR="00BE27F8" w:rsidRPr="00B47B0C" w:rsidRDefault="00BE27F8" w:rsidP="00AC4655">
      <w:pPr>
        <w:spacing w:after="120"/>
        <w:rPr>
          <w:rFonts w:ascii="Calibri" w:eastAsia="Calibri" w:hAnsi="Calibri" w:cs="Times New Roman"/>
        </w:rPr>
      </w:pPr>
      <w:r w:rsidRPr="00731D1F">
        <w:rPr>
          <w:rFonts w:ascii="Calibri" w:eastAsia="Calibri" w:hAnsi="Calibri" w:cs="Times New Roman"/>
        </w:rPr>
        <w:t xml:space="preserve">The Environmental Biosecurity Advisory </w:t>
      </w:r>
      <w:r>
        <w:rPr>
          <w:rFonts w:ascii="Calibri" w:eastAsia="Calibri" w:hAnsi="Calibri" w:cs="Times New Roman"/>
        </w:rPr>
        <w:t xml:space="preserve">Group </w:t>
      </w:r>
      <w:r w:rsidRPr="00731D1F">
        <w:rPr>
          <w:rFonts w:ascii="Calibri" w:eastAsia="Calibri" w:hAnsi="Calibri" w:cs="Times New Roman"/>
        </w:rPr>
        <w:t>(</w:t>
      </w:r>
      <w:r>
        <w:rPr>
          <w:rFonts w:ascii="Calibri" w:eastAsia="Calibri" w:hAnsi="Calibri" w:cs="Times New Roman"/>
        </w:rPr>
        <w:t>Advisory Group</w:t>
      </w:r>
      <w:r w:rsidRPr="00731D1F">
        <w:rPr>
          <w:rFonts w:ascii="Calibri" w:eastAsia="Calibri" w:hAnsi="Calibri" w:cs="Times New Roman"/>
        </w:rPr>
        <w:t xml:space="preserve">) is a sub-group of the </w:t>
      </w:r>
      <w:r>
        <w:rPr>
          <w:rFonts w:ascii="Calibri" w:eastAsia="Calibri" w:hAnsi="Calibri" w:cs="Times New Roman"/>
        </w:rPr>
        <w:t>Environment and Invasives Committee (E</w:t>
      </w:r>
      <w:r w:rsidRPr="00731D1F">
        <w:rPr>
          <w:rFonts w:ascii="Calibri" w:eastAsia="Calibri" w:hAnsi="Calibri" w:cs="Times New Roman"/>
        </w:rPr>
        <w:t>IC</w:t>
      </w:r>
      <w:r>
        <w:rPr>
          <w:rFonts w:ascii="Calibri" w:eastAsia="Calibri" w:hAnsi="Calibri" w:cs="Times New Roman"/>
        </w:rPr>
        <w:t>)</w:t>
      </w:r>
      <w:r w:rsidR="00D03AF8">
        <w:rPr>
          <w:rFonts w:ascii="Calibri" w:eastAsia="Calibri" w:hAnsi="Calibri" w:cs="Times New Roman"/>
        </w:rPr>
        <w:t xml:space="preserve">. It </w:t>
      </w:r>
      <w:r w:rsidRPr="00731D1F">
        <w:rPr>
          <w:rFonts w:ascii="Calibri" w:eastAsia="Calibri" w:hAnsi="Calibri" w:cs="Times New Roman"/>
        </w:rPr>
        <w:t>provides a mechanism for environmental biosecurity stakeholders</w:t>
      </w:r>
      <w:r>
        <w:rPr>
          <w:rFonts w:ascii="Calibri" w:eastAsia="Calibri" w:hAnsi="Calibri" w:cs="Times New Roman"/>
        </w:rPr>
        <w:t xml:space="preserve"> to discuss and provide </w:t>
      </w:r>
      <w:r w:rsidRPr="00731D1F">
        <w:rPr>
          <w:rFonts w:ascii="Calibri" w:eastAsia="Calibri" w:hAnsi="Calibri" w:cs="Times New Roman"/>
        </w:rPr>
        <w:t xml:space="preserve">advice </w:t>
      </w:r>
      <w:r>
        <w:rPr>
          <w:rFonts w:ascii="Calibri" w:eastAsia="Calibri" w:hAnsi="Calibri" w:cs="Times New Roman"/>
        </w:rPr>
        <w:t xml:space="preserve">to the EIC on </w:t>
      </w:r>
      <w:r w:rsidRPr="00731D1F">
        <w:rPr>
          <w:rFonts w:ascii="Calibri" w:eastAsia="Calibri" w:hAnsi="Calibri" w:cs="Times New Roman"/>
        </w:rPr>
        <w:t>environmental biosecurity policy and strateg</w:t>
      </w:r>
      <w:r w:rsidR="00D03AF8">
        <w:rPr>
          <w:rFonts w:ascii="Calibri" w:eastAsia="Calibri" w:hAnsi="Calibri" w:cs="Times New Roman"/>
        </w:rPr>
        <w:t>y</w:t>
      </w:r>
      <w:r w:rsidRPr="00731D1F">
        <w:rPr>
          <w:rFonts w:ascii="Calibri" w:eastAsia="Calibri" w:hAnsi="Calibri" w:cs="Times New Roman"/>
        </w:rPr>
        <w:t xml:space="preserve">, and </w:t>
      </w:r>
      <w:r>
        <w:rPr>
          <w:rFonts w:ascii="Calibri" w:eastAsia="Calibri" w:hAnsi="Calibri" w:cs="Times New Roman"/>
        </w:rPr>
        <w:t xml:space="preserve">other </w:t>
      </w:r>
      <w:r w:rsidRPr="00731D1F">
        <w:rPr>
          <w:rFonts w:ascii="Calibri" w:eastAsia="Calibri" w:hAnsi="Calibri" w:cs="Times New Roman"/>
        </w:rPr>
        <w:t>environmental biosecurity issues.</w:t>
      </w:r>
      <w:r>
        <w:rPr>
          <w:rFonts w:ascii="Calibri" w:eastAsia="Calibri" w:hAnsi="Calibri" w:cs="Times New Roman"/>
        </w:rPr>
        <w:t xml:space="preserve"> </w:t>
      </w:r>
    </w:p>
    <w:p w14:paraId="4955BFBA" w14:textId="77777777" w:rsidR="00731D1F" w:rsidRPr="00AC4655" w:rsidRDefault="00731D1F" w:rsidP="00AC4655">
      <w:pPr>
        <w:spacing w:after="120"/>
        <w:rPr>
          <w:rFonts w:ascii="Calibri" w:eastAsia="Calibri" w:hAnsi="Calibri" w:cs="Times New Roman"/>
          <w:bCs/>
          <w:i/>
          <w:iCs/>
        </w:rPr>
      </w:pPr>
      <w:r w:rsidRPr="00AC4655">
        <w:rPr>
          <w:rFonts w:ascii="Calibri" w:eastAsia="Calibri" w:hAnsi="Calibri" w:cs="Times New Roman"/>
          <w:bCs/>
          <w:i/>
          <w:iCs/>
        </w:rPr>
        <w:t>Environment and Invasives Committee</w:t>
      </w:r>
    </w:p>
    <w:p w14:paraId="79A914EA" w14:textId="29A9ADC3" w:rsidR="00E0531D" w:rsidRPr="00E0531D" w:rsidRDefault="00E0531D" w:rsidP="00AC4655">
      <w:pPr>
        <w:spacing w:after="120"/>
        <w:rPr>
          <w:rFonts w:ascii="Calibri" w:eastAsia="Calibri" w:hAnsi="Calibri" w:cs="Times New Roman"/>
        </w:rPr>
      </w:pPr>
      <w:r w:rsidRPr="00E0531D">
        <w:rPr>
          <w:rFonts w:ascii="Calibri" w:eastAsia="Calibri" w:hAnsi="Calibri" w:cs="Times New Roman"/>
        </w:rPr>
        <w:t xml:space="preserve">The EIC </w:t>
      </w:r>
      <w:r w:rsidR="00FC1C03" w:rsidRPr="00FC1C03">
        <w:rPr>
          <w:rFonts w:ascii="Calibri" w:eastAsia="Calibri" w:hAnsi="Calibri" w:cs="Times New Roman"/>
        </w:rPr>
        <w:t>is a sectoral committee of the National Biosecurity Committee (NBC)</w:t>
      </w:r>
      <w:r w:rsidR="00D03AF8">
        <w:rPr>
          <w:rFonts w:ascii="Calibri" w:eastAsia="Calibri" w:hAnsi="Calibri" w:cs="Times New Roman"/>
        </w:rPr>
        <w:t xml:space="preserve">. </w:t>
      </w:r>
      <w:r w:rsidR="00D03AF8">
        <w:rPr>
          <w:rFonts w:cs="Arial"/>
        </w:rPr>
        <w:t>It</w:t>
      </w:r>
      <w:r w:rsidR="00D03AF8" w:rsidRPr="009120D5">
        <w:rPr>
          <w:rFonts w:cs="Arial"/>
        </w:rPr>
        <w:t xml:space="preserve"> provides national policy leadership and advice to the </w:t>
      </w:r>
      <w:r w:rsidR="00D03AF8" w:rsidRPr="00B13F15">
        <w:rPr>
          <w:rFonts w:cs="Arial"/>
        </w:rPr>
        <w:t xml:space="preserve">NBC </w:t>
      </w:r>
      <w:r w:rsidR="00D03AF8" w:rsidRPr="009120D5">
        <w:rPr>
          <w:rFonts w:cs="Arial"/>
        </w:rPr>
        <w:t xml:space="preserve">on managing </w:t>
      </w:r>
      <w:r w:rsidR="00D03AF8">
        <w:rPr>
          <w:rFonts w:cs="Arial"/>
        </w:rPr>
        <w:t>emerging</w:t>
      </w:r>
      <w:r w:rsidR="00D03AF8" w:rsidRPr="009120D5">
        <w:rPr>
          <w:rFonts w:cs="Arial"/>
        </w:rPr>
        <w:t xml:space="preserve"> and established </w:t>
      </w:r>
      <w:r w:rsidR="00D03AF8">
        <w:rPr>
          <w:rFonts w:cs="Arial"/>
        </w:rPr>
        <w:t xml:space="preserve">invasive </w:t>
      </w:r>
      <w:r w:rsidR="00D03AF8" w:rsidRPr="009120D5">
        <w:rPr>
          <w:rFonts w:cs="Arial"/>
        </w:rPr>
        <w:t>pests and diseases, and environmental biosecurity</w:t>
      </w:r>
      <w:r w:rsidR="00D03AF8">
        <w:rPr>
          <w:rFonts w:cs="Arial"/>
        </w:rPr>
        <w:t>.</w:t>
      </w:r>
      <w:r w:rsidR="00D03AF8" w:rsidRPr="009120D5">
        <w:rPr>
          <w:rFonts w:cs="Arial"/>
        </w:rPr>
        <w:t xml:space="preserve"> The committee is made up of representatives from each Australian state and territory and the Commonwealth.</w:t>
      </w:r>
      <w:r w:rsidR="00AC4655">
        <w:rPr>
          <w:rFonts w:cs="Arial"/>
        </w:rPr>
        <w:t xml:space="preserve"> </w:t>
      </w:r>
      <w:r w:rsidR="00D03AF8">
        <w:rPr>
          <w:rFonts w:ascii="Calibri" w:eastAsia="Calibri" w:hAnsi="Calibri" w:cs="Times New Roman"/>
        </w:rPr>
        <w:t xml:space="preserve">It </w:t>
      </w:r>
      <w:r w:rsidRPr="00E0531D">
        <w:rPr>
          <w:rFonts w:ascii="Calibri" w:eastAsia="Calibri" w:hAnsi="Calibri" w:cs="Times New Roman"/>
        </w:rPr>
        <w:t>provide</w:t>
      </w:r>
      <w:r w:rsidR="00FC1C03">
        <w:rPr>
          <w:rFonts w:ascii="Calibri" w:eastAsia="Calibri" w:hAnsi="Calibri" w:cs="Times New Roman"/>
        </w:rPr>
        <w:t>s</w:t>
      </w:r>
      <w:r w:rsidRPr="00E0531D">
        <w:rPr>
          <w:rFonts w:ascii="Calibri" w:eastAsia="Calibri" w:hAnsi="Calibri" w:cs="Times New Roman"/>
        </w:rPr>
        <w:t xml:space="preserve"> national policy </w:t>
      </w:r>
      <w:r w:rsidR="00D03AF8">
        <w:rPr>
          <w:rFonts w:ascii="Calibri" w:eastAsia="Calibri" w:hAnsi="Calibri" w:cs="Times New Roman"/>
        </w:rPr>
        <w:t>advice</w:t>
      </w:r>
      <w:r w:rsidR="00D03AF8" w:rsidRPr="00E0531D">
        <w:rPr>
          <w:rFonts w:ascii="Calibri" w:eastAsia="Calibri" w:hAnsi="Calibri" w:cs="Times New Roman"/>
        </w:rPr>
        <w:t xml:space="preserve"> </w:t>
      </w:r>
      <w:r w:rsidRPr="00E0531D">
        <w:rPr>
          <w:rFonts w:ascii="Calibri" w:eastAsia="Calibri" w:hAnsi="Calibri" w:cs="Times New Roman"/>
        </w:rPr>
        <w:t xml:space="preserve">on the identification, prevention and management of invasive plant, </w:t>
      </w:r>
      <w:r w:rsidRPr="00BE27F8">
        <w:rPr>
          <w:rFonts w:ascii="Calibri" w:eastAsia="Calibri" w:hAnsi="Calibri" w:cs="Times New Roman"/>
        </w:rPr>
        <w:t xml:space="preserve">vertebrate and invertebrate species that adversely impact the environment, </w:t>
      </w:r>
      <w:r w:rsidR="004277ED" w:rsidRPr="00BE27F8">
        <w:rPr>
          <w:rFonts w:ascii="Calibri" w:eastAsia="Calibri" w:hAnsi="Calibri" w:cs="Times New Roman"/>
        </w:rPr>
        <w:t>economy,</w:t>
      </w:r>
      <w:r w:rsidRPr="00BE27F8">
        <w:rPr>
          <w:rFonts w:ascii="Calibri" w:eastAsia="Calibri" w:hAnsi="Calibri" w:cs="Times New Roman"/>
        </w:rPr>
        <w:t xml:space="preserve"> and community. </w:t>
      </w:r>
    </w:p>
    <w:p w14:paraId="5D2B724D" w14:textId="77777777" w:rsidR="00344F5B" w:rsidRPr="002B6D39" w:rsidRDefault="0026044F" w:rsidP="00AC4655">
      <w:pPr>
        <w:pStyle w:val="Heading2"/>
        <w:spacing w:after="120"/>
      </w:pPr>
      <w:r w:rsidRPr="002B6D39">
        <w:t>Role</w:t>
      </w:r>
    </w:p>
    <w:p w14:paraId="66CCDBF9" w14:textId="01884811" w:rsidR="003645BB" w:rsidRDefault="0026044F" w:rsidP="00AC4655">
      <w:pPr>
        <w:spacing w:after="120"/>
        <w:rPr>
          <w:rFonts w:ascii="Calibri" w:eastAsia="Calibri" w:hAnsi="Calibri" w:cs="Times New Roman"/>
          <w:bCs/>
          <w:lang w:val="en-US"/>
        </w:rPr>
      </w:pPr>
      <w:r>
        <w:rPr>
          <w:rFonts w:ascii="Calibri" w:eastAsia="Calibri" w:hAnsi="Calibri" w:cs="Times New Roman"/>
          <w:bCs/>
          <w:lang w:val="en-US"/>
        </w:rPr>
        <w:t xml:space="preserve">The role of the </w:t>
      </w:r>
      <w:r w:rsidR="00BD4224">
        <w:rPr>
          <w:rFonts w:ascii="Calibri" w:eastAsia="Calibri" w:hAnsi="Calibri" w:cs="Times New Roman"/>
          <w:bCs/>
          <w:lang w:val="en-US"/>
        </w:rPr>
        <w:t xml:space="preserve">Advisory Group </w:t>
      </w:r>
      <w:r>
        <w:rPr>
          <w:rFonts w:ascii="Calibri" w:eastAsia="Calibri" w:hAnsi="Calibri" w:cs="Times New Roman"/>
          <w:bCs/>
          <w:lang w:val="en-US"/>
        </w:rPr>
        <w:t>is to:</w:t>
      </w:r>
      <w:r w:rsidR="003645BB">
        <w:rPr>
          <w:rFonts w:ascii="Calibri" w:eastAsia="Calibri" w:hAnsi="Calibri" w:cs="Times New Roman"/>
          <w:bCs/>
          <w:lang w:val="en-US"/>
        </w:rPr>
        <w:t xml:space="preserve"> </w:t>
      </w:r>
      <w:r w:rsidR="003D1601" w:rsidRPr="003D1601">
        <w:rPr>
          <w:rFonts w:ascii="Calibri" w:eastAsia="Calibri" w:hAnsi="Calibri" w:cs="Times New Roman"/>
          <w:bCs/>
          <w:lang w:val="en-US"/>
        </w:rPr>
        <w:t xml:space="preserve"> </w:t>
      </w:r>
    </w:p>
    <w:p w14:paraId="5C1FBDCA" w14:textId="3F2AD33C" w:rsidR="003D1601" w:rsidRPr="006E392D" w:rsidRDefault="0026044F" w:rsidP="00AC4655">
      <w:pPr>
        <w:pStyle w:val="ListParagraph"/>
        <w:numPr>
          <w:ilvl w:val="0"/>
          <w:numId w:val="8"/>
        </w:numPr>
        <w:spacing w:after="120"/>
        <w:contextualSpacing w:val="0"/>
        <w:rPr>
          <w:rFonts w:ascii="Calibri" w:eastAsia="Calibri" w:hAnsi="Calibri" w:cs="Times New Roman"/>
          <w:bCs/>
          <w:lang w:val="en-US"/>
        </w:rPr>
      </w:pPr>
      <w:r>
        <w:rPr>
          <w:rFonts w:ascii="Calibri" w:eastAsia="Calibri" w:hAnsi="Calibri" w:cs="Times New Roman"/>
          <w:bCs/>
          <w:lang w:val="en-US"/>
        </w:rPr>
        <w:t>provide</w:t>
      </w:r>
      <w:r w:rsidR="00B47B0C" w:rsidRPr="006E392D">
        <w:rPr>
          <w:rFonts w:ascii="Calibri" w:eastAsia="Calibri" w:hAnsi="Calibri" w:cs="Times New Roman"/>
          <w:bCs/>
          <w:lang w:val="en-US"/>
        </w:rPr>
        <w:t xml:space="preserve"> strategic advice on behalf of environmental stakeholders to the EIC on </w:t>
      </w:r>
      <w:r w:rsidRPr="0026044F">
        <w:rPr>
          <w:rFonts w:ascii="Calibri" w:eastAsia="Calibri" w:hAnsi="Calibri" w:cs="Times New Roman"/>
          <w:bCs/>
          <w:lang w:val="en-US"/>
        </w:rPr>
        <w:t xml:space="preserve">current and emerging environmental biosecurity issues, including </w:t>
      </w:r>
      <w:r w:rsidR="00B47B0C" w:rsidRPr="006E392D">
        <w:rPr>
          <w:rFonts w:ascii="Calibri" w:eastAsia="Calibri" w:hAnsi="Calibri" w:cs="Times New Roman"/>
          <w:bCs/>
          <w:lang w:val="en-US"/>
        </w:rPr>
        <w:t xml:space="preserve">national approaches to prevent, detect, identify, </w:t>
      </w:r>
      <w:r w:rsidR="004277ED" w:rsidRPr="006E392D">
        <w:rPr>
          <w:rFonts w:ascii="Calibri" w:eastAsia="Calibri" w:hAnsi="Calibri" w:cs="Times New Roman"/>
          <w:bCs/>
          <w:lang w:val="en-US"/>
        </w:rPr>
        <w:t>respond,</w:t>
      </w:r>
      <w:r w:rsidR="00B47B0C" w:rsidRPr="006E392D">
        <w:rPr>
          <w:rFonts w:ascii="Calibri" w:eastAsia="Calibri" w:hAnsi="Calibri" w:cs="Times New Roman"/>
          <w:bCs/>
          <w:lang w:val="en-US"/>
        </w:rPr>
        <w:t xml:space="preserve"> and manage emerging and established invasive speci</w:t>
      </w:r>
      <w:r>
        <w:rPr>
          <w:rFonts w:ascii="Calibri" w:eastAsia="Calibri" w:hAnsi="Calibri" w:cs="Times New Roman"/>
          <w:bCs/>
          <w:lang w:val="en-US"/>
        </w:rPr>
        <w:t xml:space="preserve">es </w:t>
      </w:r>
      <w:r w:rsidR="0084224B">
        <w:rPr>
          <w:rFonts w:ascii="Calibri" w:eastAsia="Calibri" w:hAnsi="Calibri" w:cs="Times New Roman"/>
          <w:bCs/>
          <w:lang w:val="en-US"/>
        </w:rPr>
        <w:t xml:space="preserve">of national significance </w:t>
      </w:r>
      <w:r>
        <w:rPr>
          <w:rFonts w:ascii="Calibri" w:eastAsia="Calibri" w:hAnsi="Calibri" w:cs="Times New Roman"/>
          <w:bCs/>
          <w:lang w:val="en-US"/>
        </w:rPr>
        <w:t xml:space="preserve">that affect the </w:t>
      </w:r>
      <w:r w:rsidR="00CB58F9">
        <w:rPr>
          <w:rFonts w:ascii="Calibri" w:eastAsia="Calibri" w:hAnsi="Calibri" w:cs="Times New Roman"/>
          <w:bCs/>
          <w:lang w:val="en-US"/>
        </w:rPr>
        <w:t>environment,</w:t>
      </w:r>
    </w:p>
    <w:p w14:paraId="48C0E285" w14:textId="664889C4" w:rsidR="00BF2152" w:rsidRPr="00D22C7E" w:rsidRDefault="0026044F" w:rsidP="00AC4655">
      <w:pPr>
        <w:numPr>
          <w:ilvl w:val="0"/>
          <w:numId w:val="8"/>
        </w:numPr>
        <w:spacing w:after="120"/>
        <w:rPr>
          <w:rFonts w:ascii="Calibri" w:eastAsia="Calibri" w:hAnsi="Calibri" w:cs="Times New Roman"/>
          <w:lang w:val="en-US"/>
        </w:rPr>
      </w:pPr>
      <w:r>
        <w:rPr>
          <w:rFonts w:ascii="Calibri" w:eastAsia="Calibri" w:hAnsi="Calibri" w:cs="Times New Roman"/>
          <w:bCs/>
          <w:lang w:val="en-US"/>
        </w:rPr>
        <w:t>s</w:t>
      </w:r>
      <w:r w:rsidR="006E392D" w:rsidRPr="006E392D">
        <w:rPr>
          <w:rFonts w:ascii="Calibri" w:eastAsia="Calibri" w:hAnsi="Calibri" w:cs="Times New Roman"/>
          <w:bCs/>
          <w:lang w:val="en-US"/>
        </w:rPr>
        <w:t xml:space="preserve">upport national communication and stakeholder engagement </w:t>
      </w:r>
      <w:r w:rsidRPr="0026044F">
        <w:rPr>
          <w:rFonts w:ascii="Calibri" w:eastAsia="Calibri" w:hAnsi="Calibri" w:cs="Times New Roman"/>
          <w:bCs/>
          <w:lang w:val="en-US"/>
        </w:rPr>
        <w:t>for environmental biosecurity</w:t>
      </w:r>
      <w:r w:rsidR="007B100D">
        <w:rPr>
          <w:rFonts w:ascii="Calibri" w:eastAsia="Calibri" w:hAnsi="Calibri" w:cs="Times New Roman"/>
          <w:bCs/>
          <w:lang w:val="en-US"/>
        </w:rPr>
        <w:t>, including through appropriate national forums and engagement mechanisms,</w:t>
      </w:r>
      <w:r w:rsidRPr="0026044F">
        <w:rPr>
          <w:rFonts w:ascii="Calibri" w:eastAsia="Calibri" w:hAnsi="Calibri" w:cs="Times New Roman"/>
          <w:bCs/>
          <w:lang w:val="en-US"/>
        </w:rPr>
        <w:t xml:space="preserve"> </w:t>
      </w:r>
      <w:r w:rsidR="004277ED" w:rsidRPr="0026044F">
        <w:rPr>
          <w:rFonts w:ascii="Calibri" w:eastAsia="Calibri" w:hAnsi="Calibri" w:cs="Times New Roman"/>
          <w:bCs/>
          <w:lang w:val="en-US"/>
        </w:rPr>
        <w:t>to</w:t>
      </w:r>
      <w:r w:rsidRPr="0026044F">
        <w:rPr>
          <w:rFonts w:ascii="Calibri" w:eastAsia="Calibri" w:hAnsi="Calibri" w:cs="Times New Roman"/>
          <w:bCs/>
          <w:lang w:val="en-US"/>
        </w:rPr>
        <w:t xml:space="preserve"> facilitate a shared understanding of issues</w:t>
      </w:r>
      <w:r w:rsidR="00CB58F9">
        <w:rPr>
          <w:rFonts w:ascii="Calibri" w:eastAsia="Calibri" w:hAnsi="Calibri" w:cs="Times New Roman"/>
          <w:bCs/>
          <w:lang w:val="en-US"/>
        </w:rPr>
        <w:t>,</w:t>
      </w:r>
    </w:p>
    <w:p w14:paraId="2ABEF6FD" w14:textId="65869ED4" w:rsidR="006E392D" w:rsidRPr="006E392D" w:rsidRDefault="0026044F" w:rsidP="00AC4655">
      <w:pPr>
        <w:numPr>
          <w:ilvl w:val="0"/>
          <w:numId w:val="8"/>
        </w:numPr>
        <w:spacing w:after="120"/>
        <w:rPr>
          <w:rFonts w:ascii="Calibri" w:eastAsia="Calibri" w:hAnsi="Calibri" w:cs="Times New Roman"/>
          <w:bCs/>
          <w:lang w:val="en-US"/>
        </w:rPr>
      </w:pPr>
      <w:r>
        <w:rPr>
          <w:rFonts w:ascii="Calibri" w:eastAsia="Calibri" w:hAnsi="Calibri" w:cs="Times New Roman"/>
          <w:bCs/>
          <w:lang w:val="en-US"/>
        </w:rPr>
        <w:t>champion</w:t>
      </w:r>
      <w:r w:rsidR="006E392D" w:rsidRPr="006E392D">
        <w:rPr>
          <w:rFonts w:ascii="Calibri" w:eastAsia="Calibri" w:hAnsi="Calibri" w:cs="Times New Roman"/>
          <w:bCs/>
          <w:lang w:val="en-US"/>
        </w:rPr>
        <w:t xml:space="preserve"> industry, conservation sector and community participation </w:t>
      </w:r>
      <w:r w:rsidR="004E3560">
        <w:rPr>
          <w:rFonts w:ascii="Calibri" w:eastAsia="Calibri" w:hAnsi="Calibri" w:cs="Times New Roman"/>
          <w:bCs/>
          <w:lang w:val="en-US"/>
        </w:rPr>
        <w:t>and capacity building</w:t>
      </w:r>
      <w:r w:rsidR="001B4643">
        <w:rPr>
          <w:rFonts w:ascii="Calibri" w:eastAsia="Calibri" w:hAnsi="Calibri" w:cs="Times New Roman"/>
          <w:bCs/>
          <w:lang w:val="en-US"/>
        </w:rPr>
        <w:t xml:space="preserve"> </w:t>
      </w:r>
      <w:r w:rsidR="006E392D" w:rsidRPr="006E392D">
        <w:rPr>
          <w:rFonts w:ascii="Calibri" w:eastAsia="Calibri" w:hAnsi="Calibri" w:cs="Times New Roman"/>
          <w:bCs/>
          <w:lang w:val="en-US"/>
        </w:rPr>
        <w:t>in response to en</w:t>
      </w:r>
      <w:r>
        <w:rPr>
          <w:rFonts w:ascii="Calibri" w:eastAsia="Calibri" w:hAnsi="Calibri" w:cs="Times New Roman"/>
          <w:bCs/>
          <w:lang w:val="en-US"/>
        </w:rPr>
        <w:t>vironmental biosecurity threats</w:t>
      </w:r>
      <w:r w:rsidR="00CB58F9">
        <w:rPr>
          <w:rFonts w:ascii="Calibri" w:eastAsia="Calibri" w:hAnsi="Calibri" w:cs="Times New Roman"/>
          <w:bCs/>
          <w:lang w:val="en-US"/>
        </w:rPr>
        <w:t xml:space="preserve"> and,</w:t>
      </w:r>
    </w:p>
    <w:p w14:paraId="7236F2F0" w14:textId="2C00E29C" w:rsidR="00867B2E" w:rsidRPr="00867B2E" w:rsidRDefault="0026044F" w:rsidP="00AC4655">
      <w:pPr>
        <w:pStyle w:val="ListParagraph"/>
        <w:numPr>
          <w:ilvl w:val="0"/>
          <w:numId w:val="8"/>
        </w:numPr>
        <w:spacing w:after="120"/>
        <w:contextualSpacing w:val="0"/>
        <w:rPr>
          <w:rFonts w:ascii="Calibri" w:eastAsia="Calibri" w:hAnsi="Calibri" w:cs="Times New Roman"/>
          <w:lang w:val="en-US"/>
        </w:rPr>
      </w:pPr>
      <w:r>
        <w:rPr>
          <w:rFonts w:ascii="Calibri" w:eastAsia="Calibri" w:hAnsi="Calibri" w:cs="Times New Roman"/>
          <w:bCs/>
          <w:lang w:val="en-US"/>
        </w:rPr>
        <w:t>f</w:t>
      </w:r>
      <w:r w:rsidR="006E392D" w:rsidRPr="00D22C7E">
        <w:rPr>
          <w:rFonts w:ascii="Calibri" w:eastAsia="Calibri" w:hAnsi="Calibri" w:cs="Times New Roman"/>
          <w:bCs/>
          <w:lang w:val="en-US"/>
        </w:rPr>
        <w:t xml:space="preserve">oster </w:t>
      </w:r>
      <w:r w:rsidR="001B4643">
        <w:rPr>
          <w:rFonts w:ascii="Calibri" w:eastAsia="Calibri" w:hAnsi="Calibri" w:cs="Times New Roman"/>
          <w:bCs/>
          <w:lang w:val="en-US"/>
        </w:rPr>
        <w:t xml:space="preserve">effective </w:t>
      </w:r>
      <w:r w:rsidR="006E392D" w:rsidRPr="00D22C7E">
        <w:rPr>
          <w:rFonts w:ascii="Calibri" w:eastAsia="Calibri" w:hAnsi="Calibri" w:cs="Times New Roman"/>
          <w:bCs/>
          <w:lang w:val="en-US"/>
        </w:rPr>
        <w:t xml:space="preserve">communication and dissemination of information to </w:t>
      </w:r>
      <w:r w:rsidR="001B4643">
        <w:rPr>
          <w:rFonts w:ascii="Calibri" w:eastAsia="Calibri" w:hAnsi="Calibri" w:cs="Times New Roman"/>
          <w:bCs/>
          <w:lang w:val="en-US"/>
        </w:rPr>
        <w:t xml:space="preserve">and among </w:t>
      </w:r>
      <w:r w:rsidR="006E392D" w:rsidRPr="00D22C7E">
        <w:rPr>
          <w:rFonts w:ascii="Calibri" w:eastAsia="Calibri" w:hAnsi="Calibri" w:cs="Times New Roman"/>
          <w:bCs/>
          <w:lang w:val="en-US"/>
        </w:rPr>
        <w:t>stakeholder groups and members of the public</w:t>
      </w:r>
      <w:r w:rsidR="00BD4224">
        <w:rPr>
          <w:rFonts w:ascii="Calibri" w:eastAsia="Calibri" w:hAnsi="Calibri" w:cs="Times New Roman"/>
          <w:bCs/>
          <w:lang w:val="en-US"/>
        </w:rPr>
        <w:t>.</w:t>
      </w:r>
    </w:p>
    <w:p w14:paraId="02091A7B" w14:textId="52C4845B" w:rsidR="00867B2E" w:rsidRDefault="0026044F" w:rsidP="00AC4655">
      <w:pPr>
        <w:spacing w:after="120"/>
        <w:rPr>
          <w:rFonts w:ascii="Calibri" w:eastAsia="Calibri" w:hAnsi="Calibri" w:cs="Times New Roman"/>
          <w:lang w:val="en-US"/>
        </w:rPr>
      </w:pPr>
      <w:r w:rsidRPr="00867B2E">
        <w:rPr>
          <w:rFonts w:ascii="Calibri" w:eastAsia="Calibri" w:hAnsi="Calibri" w:cs="Times New Roman"/>
          <w:lang w:val="en-US"/>
        </w:rPr>
        <w:t xml:space="preserve">In performing its role, the </w:t>
      </w:r>
      <w:r w:rsidR="00BD4224" w:rsidRPr="00867B2E">
        <w:rPr>
          <w:rFonts w:ascii="Calibri" w:eastAsia="Calibri" w:hAnsi="Calibri" w:cs="Times New Roman"/>
          <w:lang w:val="en-US"/>
        </w:rPr>
        <w:t>Advisory Group</w:t>
      </w:r>
      <w:r w:rsidR="0084224B" w:rsidRPr="00867B2E">
        <w:rPr>
          <w:rFonts w:ascii="Calibri" w:eastAsia="Calibri" w:hAnsi="Calibri" w:cs="Times New Roman"/>
          <w:lang w:val="en-US"/>
        </w:rPr>
        <w:t xml:space="preserve"> </w:t>
      </w:r>
      <w:r w:rsidR="003D1601" w:rsidRPr="00867B2E">
        <w:rPr>
          <w:rFonts w:ascii="Calibri" w:eastAsia="Calibri" w:hAnsi="Calibri" w:cs="Times New Roman"/>
          <w:lang w:val="en-US"/>
        </w:rPr>
        <w:t xml:space="preserve">will take into consideration any relevant matters such as best practice, national and international trends, current </w:t>
      </w:r>
      <w:r w:rsidR="003645BB" w:rsidRPr="00867B2E">
        <w:rPr>
          <w:rFonts w:ascii="Calibri" w:eastAsia="Calibri" w:hAnsi="Calibri" w:cs="Times New Roman"/>
          <w:lang w:val="en-US"/>
        </w:rPr>
        <w:t>government</w:t>
      </w:r>
      <w:r w:rsidRPr="00867B2E">
        <w:rPr>
          <w:rFonts w:ascii="Calibri" w:eastAsia="Calibri" w:hAnsi="Calibri" w:cs="Times New Roman"/>
          <w:lang w:val="en-US"/>
        </w:rPr>
        <w:t xml:space="preserve"> policies</w:t>
      </w:r>
      <w:r w:rsidR="003D1601" w:rsidRPr="00867B2E">
        <w:rPr>
          <w:rFonts w:ascii="Calibri" w:eastAsia="Calibri" w:hAnsi="Calibri" w:cs="Times New Roman"/>
          <w:lang w:val="en-US"/>
        </w:rPr>
        <w:t>, industry</w:t>
      </w:r>
      <w:r w:rsidR="00D03AF8">
        <w:rPr>
          <w:rFonts w:ascii="Calibri" w:eastAsia="Calibri" w:hAnsi="Calibri" w:cs="Times New Roman"/>
          <w:lang w:val="en-US"/>
        </w:rPr>
        <w:t xml:space="preserve"> and community </w:t>
      </w:r>
      <w:r w:rsidR="003D1601" w:rsidRPr="00867B2E">
        <w:rPr>
          <w:rFonts w:ascii="Calibri" w:eastAsia="Calibri" w:hAnsi="Calibri" w:cs="Times New Roman"/>
          <w:lang w:val="en-US"/>
        </w:rPr>
        <w:t>capability, public opinion, scientific knowledge</w:t>
      </w:r>
      <w:r w:rsidR="001D0296">
        <w:rPr>
          <w:rFonts w:ascii="Calibri" w:eastAsia="Calibri" w:hAnsi="Calibri" w:cs="Times New Roman"/>
          <w:lang w:val="en-US"/>
        </w:rPr>
        <w:t>,</w:t>
      </w:r>
      <w:r w:rsidR="003D1601" w:rsidRPr="00867B2E">
        <w:rPr>
          <w:rFonts w:ascii="Calibri" w:eastAsia="Calibri" w:hAnsi="Calibri" w:cs="Times New Roman"/>
          <w:lang w:val="en-US"/>
        </w:rPr>
        <w:t xml:space="preserve"> and industry experience. </w:t>
      </w:r>
    </w:p>
    <w:p w14:paraId="1ED5C9CF" w14:textId="77777777" w:rsidR="00943E09" w:rsidRPr="00AC4655" w:rsidRDefault="006E392D" w:rsidP="00AC4655">
      <w:pPr>
        <w:pStyle w:val="Heading2"/>
        <w:spacing w:after="120"/>
      </w:pPr>
      <w:r w:rsidRPr="00AC4655">
        <w:t>Membership</w:t>
      </w:r>
    </w:p>
    <w:p w14:paraId="0D811A44" w14:textId="78D40336" w:rsidR="002B6D39" w:rsidRPr="00AC4655" w:rsidRDefault="002B6D39" w:rsidP="00AC4655">
      <w:pPr>
        <w:spacing w:after="120"/>
        <w:rPr>
          <w:rFonts w:cs="Arial"/>
        </w:rPr>
      </w:pPr>
      <w:r w:rsidRPr="00AC4655">
        <w:rPr>
          <w:rFonts w:cs="Arial"/>
        </w:rPr>
        <w:t>The Advisory Group consists of government members and non-government member</w:t>
      </w:r>
      <w:r w:rsidR="004420BA">
        <w:rPr>
          <w:rFonts w:cs="Arial"/>
        </w:rPr>
        <w:t xml:space="preserve">s </w:t>
      </w:r>
      <w:r w:rsidRPr="00AC4655">
        <w:rPr>
          <w:rFonts w:cs="Arial"/>
        </w:rPr>
        <w:t xml:space="preserve">with a national and strategic environmental and/or community outlook. </w:t>
      </w:r>
    </w:p>
    <w:p w14:paraId="0BEF855D" w14:textId="72F9473C" w:rsidR="00B21C0E" w:rsidRDefault="004420BA" w:rsidP="00B21C0E">
      <w:pPr>
        <w:spacing w:after="120"/>
        <w:rPr>
          <w:rFonts w:ascii="Calibri" w:eastAsia="Calibri" w:hAnsi="Calibri" w:cs="Times New Roman"/>
          <w:lang w:val="en-US"/>
        </w:rPr>
      </w:pPr>
      <w:r>
        <w:rPr>
          <w:rFonts w:ascii="Calibri" w:eastAsia="Calibri" w:hAnsi="Calibri" w:cs="Times New Roman"/>
          <w:lang w:val="en-US"/>
        </w:rPr>
        <w:t>Membership is at an organisation-level</w:t>
      </w:r>
      <w:r w:rsidR="006937C3">
        <w:rPr>
          <w:rFonts w:ascii="Calibri" w:eastAsia="Calibri" w:hAnsi="Calibri" w:cs="Times New Roman"/>
          <w:lang w:val="en-US"/>
        </w:rPr>
        <w:t>, with members to advise of the representative at time of appointment</w:t>
      </w:r>
      <w:r>
        <w:rPr>
          <w:rFonts w:ascii="Calibri" w:eastAsia="Calibri" w:hAnsi="Calibri" w:cs="Times New Roman"/>
          <w:lang w:val="en-US"/>
        </w:rPr>
        <w:t xml:space="preserve">. </w:t>
      </w:r>
      <w:r w:rsidR="00B21C0E" w:rsidRPr="00D54A73">
        <w:rPr>
          <w:rFonts w:ascii="Calibri" w:eastAsia="Calibri" w:hAnsi="Calibri" w:cs="Times New Roman"/>
          <w:lang w:val="en-US"/>
        </w:rPr>
        <w:t>Where a representative who attends Advisory Group meetings no longer represents the member organisation, the member organisation may nominate a new representative to attend.</w:t>
      </w:r>
    </w:p>
    <w:p w14:paraId="048626E1" w14:textId="77777777" w:rsidR="001C266D" w:rsidRPr="007005E6" w:rsidRDefault="001C266D" w:rsidP="00AC4655">
      <w:pPr>
        <w:spacing w:after="120"/>
        <w:rPr>
          <w:rFonts w:cs="Arial"/>
        </w:rPr>
      </w:pPr>
    </w:p>
    <w:p w14:paraId="30BB6950" w14:textId="63F80A6F" w:rsidR="006937C3" w:rsidRDefault="006937C3" w:rsidP="006937C3">
      <w:pPr>
        <w:spacing w:after="120"/>
        <w:rPr>
          <w:rFonts w:ascii="Calibri" w:eastAsia="Calibri" w:hAnsi="Calibri" w:cs="Times New Roman"/>
          <w:lang w:val="en-US"/>
        </w:rPr>
      </w:pPr>
      <w:r w:rsidRPr="00AC4655">
        <w:rPr>
          <w:rFonts w:cs="Arial"/>
        </w:rPr>
        <w:lastRenderedPageBreak/>
        <w:t xml:space="preserve">The Chair may </w:t>
      </w:r>
      <w:r w:rsidR="005E12C2">
        <w:rPr>
          <w:rFonts w:cs="Arial"/>
        </w:rPr>
        <w:t xml:space="preserve">nominate new members of the Advisory Group, as well as </w:t>
      </w:r>
      <w:r w:rsidRPr="00AC4655">
        <w:rPr>
          <w:rFonts w:cs="Arial"/>
        </w:rPr>
        <w:t xml:space="preserve">seek nominations </w:t>
      </w:r>
      <w:r>
        <w:rPr>
          <w:rFonts w:cs="Arial"/>
        </w:rPr>
        <w:t xml:space="preserve">from EIC and </w:t>
      </w:r>
      <w:r w:rsidR="005B2927">
        <w:rPr>
          <w:rFonts w:cs="Arial"/>
        </w:rPr>
        <w:t xml:space="preserve">current </w:t>
      </w:r>
      <w:r>
        <w:rPr>
          <w:rFonts w:cs="Arial"/>
        </w:rPr>
        <w:t>members</w:t>
      </w:r>
      <w:r w:rsidRPr="00AC4655">
        <w:rPr>
          <w:rFonts w:cs="Arial"/>
        </w:rPr>
        <w:t>.</w:t>
      </w:r>
      <w:r w:rsidRPr="006937C3">
        <w:rPr>
          <w:rFonts w:ascii="Calibri" w:eastAsia="Calibri" w:hAnsi="Calibri" w:cs="Times New Roman"/>
          <w:lang w:val="en-US"/>
        </w:rPr>
        <w:t xml:space="preserve"> </w:t>
      </w:r>
      <w:r>
        <w:rPr>
          <w:rFonts w:ascii="Calibri" w:eastAsia="Calibri" w:hAnsi="Calibri" w:cs="Times New Roman"/>
          <w:lang w:val="en-US"/>
        </w:rPr>
        <w:t>The EIC</w:t>
      </w:r>
      <w:r w:rsidRPr="003D1601">
        <w:rPr>
          <w:rFonts w:ascii="Calibri" w:eastAsia="Calibri" w:hAnsi="Calibri" w:cs="Times New Roman"/>
          <w:lang w:val="en-US"/>
        </w:rPr>
        <w:t xml:space="preserve"> will approve the appointment of </w:t>
      </w:r>
      <w:r>
        <w:rPr>
          <w:rFonts w:ascii="Calibri" w:eastAsia="Calibri" w:hAnsi="Calibri" w:cs="Times New Roman"/>
          <w:lang w:val="en-US"/>
        </w:rPr>
        <w:t xml:space="preserve">any new Advisory Group </w:t>
      </w:r>
      <w:r w:rsidRPr="009078AE">
        <w:rPr>
          <w:rFonts w:ascii="Calibri" w:eastAsia="Calibri" w:hAnsi="Calibri" w:cs="Times New Roman"/>
          <w:lang w:val="en-US"/>
        </w:rPr>
        <w:t>member</w:t>
      </w:r>
      <w:r>
        <w:rPr>
          <w:rFonts w:ascii="Calibri" w:eastAsia="Calibri" w:hAnsi="Calibri" w:cs="Times New Roman"/>
          <w:lang w:val="en-US"/>
        </w:rPr>
        <w:t>s</w:t>
      </w:r>
      <w:r w:rsidRPr="003D1601">
        <w:rPr>
          <w:rFonts w:ascii="Calibri" w:eastAsia="Calibri" w:hAnsi="Calibri" w:cs="Times New Roman"/>
          <w:lang w:val="en-US"/>
        </w:rPr>
        <w:t xml:space="preserve">. </w:t>
      </w:r>
    </w:p>
    <w:p w14:paraId="32507217" w14:textId="7A2FD6A2" w:rsidR="006937C3" w:rsidRPr="00AC4655" w:rsidRDefault="00B21C0E" w:rsidP="006937C3">
      <w:pPr>
        <w:spacing w:after="120"/>
        <w:rPr>
          <w:rFonts w:cs="Arial"/>
        </w:rPr>
      </w:pPr>
      <w:r w:rsidRPr="00AC4655">
        <w:rPr>
          <w:rFonts w:cs="Arial"/>
        </w:rPr>
        <w:t xml:space="preserve">The current membership is at </w:t>
      </w:r>
      <w:r w:rsidRPr="00480206">
        <w:rPr>
          <w:rFonts w:cs="Arial"/>
        </w:rPr>
        <w:t xml:space="preserve">Appendix </w:t>
      </w:r>
      <w:r w:rsidRPr="005E12C2">
        <w:rPr>
          <w:rFonts w:cs="Arial"/>
        </w:rPr>
        <w:t>A</w:t>
      </w:r>
      <w:r w:rsidRPr="00AC4655">
        <w:rPr>
          <w:rFonts w:cs="Arial"/>
        </w:rPr>
        <w:t>.</w:t>
      </w:r>
    </w:p>
    <w:p w14:paraId="4B5E3474" w14:textId="77777777" w:rsidR="002B6D39" w:rsidRPr="009516AD" w:rsidRDefault="002B6D39" w:rsidP="005A0CFA">
      <w:pPr>
        <w:pStyle w:val="Heading3"/>
        <w:rPr>
          <w:rFonts w:eastAsia="Calibri"/>
        </w:rPr>
      </w:pPr>
      <w:r w:rsidRPr="009516AD">
        <w:rPr>
          <w:rFonts w:eastAsia="Calibri"/>
        </w:rPr>
        <w:t>Term of Appointment</w:t>
      </w:r>
    </w:p>
    <w:p w14:paraId="780F1FAD" w14:textId="5D3262B0" w:rsidR="002B6D39" w:rsidRDefault="002B6D39" w:rsidP="00AC4655">
      <w:pPr>
        <w:spacing w:after="120"/>
        <w:rPr>
          <w:rFonts w:ascii="Calibri" w:eastAsia="Calibri" w:hAnsi="Calibri" w:cs="Times New Roman"/>
          <w:lang w:val="en-US"/>
        </w:rPr>
      </w:pPr>
      <w:r w:rsidRPr="003D1601">
        <w:rPr>
          <w:rFonts w:ascii="Calibri" w:eastAsia="Calibri" w:hAnsi="Calibri" w:cs="Times New Roman"/>
          <w:lang w:val="en-US"/>
        </w:rPr>
        <w:t>The term of appointment of member</w:t>
      </w:r>
      <w:r w:rsidR="001F4F38">
        <w:rPr>
          <w:rFonts w:ascii="Calibri" w:eastAsia="Calibri" w:hAnsi="Calibri" w:cs="Times New Roman"/>
          <w:lang w:val="en-US"/>
        </w:rPr>
        <w:t>s</w:t>
      </w:r>
      <w:r w:rsidRPr="003D1601">
        <w:rPr>
          <w:rFonts w:ascii="Calibri" w:eastAsia="Calibri" w:hAnsi="Calibri" w:cs="Times New Roman"/>
          <w:lang w:val="en-US"/>
        </w:rPr>
        <w:t xml:space="preserve"> </w:t>
      </w:r>
      <w:r>
        <w:rPr>
          <w:rFonts w:ascii="Calibri" w:eastAsia="Calibri" w:hAnsi="Calibri" w:cs="Times New Roman"/>
          <w:lang w:val="en-US"/>
        </w:rPr>
        <w:t>will be</w:t>
      </w:r>
      <w:r w:rsidRPr="003D1601">
        <w:rPr>
          <w:rFonts w:ascii="Calibri" w:eastAsia="Calibri" w:hAnsi="Calibri" w:cs="Times New Roman"/>
          <w:lang w:val="en-US"/>
        </w:rPr>
        <w:t xml:space="preserve"> </w:t>
      </w:r>
      <w:r>
        <w:rPr>
          <w:rFonts w:ascii="Calibri" w:eastAsia="Calibri" w:hAnsi="Calibri" w:cs="Times New Roman"/>
          <w:lang w:val="en-US"/>
        </w:rPr>
        <w:t>two</w:t>
      </w:r>
      <w:r w:rsidRPr="003D1601">
        <w:rPr>
          <w:rFonts w:ascii="Calibri" w:eastAsia="Calibri" w:hAnsi="Calibri" w:cs="Times New Roman"/>
          <w:lang w:val="en-US"/>
        </w:rPr>
        <w:t xml:space="preserve"> years</w:t>
      </w:r>
      <w:r w:rsidR="006937C3">
        <w:rPr>
          <w:rFonts w:ascii="Calibri" w:eastAsia="Calibri" w:hAnsi="Calibri" w:cs="Times New Roman"/>
          <w:lang w:val="en-US"/>
        </w:rPr>
        <w:t>.</w:t>
      </w:r>
    </w:p>
    <w:p w14:paraId="73FDA24C" w14:textId="77777777" w:rsidR="00B21C0E" w:rsidRDefault="004420BA" w:rsidP="00AC4655">
      <w:pPr>
        <w:spacing w:after="120"/>
        <w:rPr>
          <w:rFonts w:ascii="Calibri" w:eastAsia="Calibri" w:hAnsi="Calibri" w:cs="Times New Roman"/>
          <w:lang w:val="en-US"/>
        </w:rPr>
      </w:pPr>
      <w:r>
        <w:rPr>
          <w:rFonts w:ascii="Calibri" w:eastAsia="Calibri" w:hAnsi="Calibri" w:cs="Times New Roman"/>
          <w:lang w:val="en-US"/>
        </w:rPr>
        <w:t>At the end of a member’s term, the Chair will seek written</w:t>
      </w:r>
      <w:r w:rsidR="006937C3">
        <w:rPr>
          <w:rFonts w:ascii="Calibri" w:eastAsia="Calibri" w:hAnsi="Calibri" w:cs="Times New Roman"/>
          <w:lang w:val="en-US"/>
        </w:rPr>
        <w:t xml:space="preserve"> advice</w:t>
      </w:r>
      <w:r>
        <w:rPr>
          <w:rFonts w:ascii="Calibri" w:eastAsia="Calibri" w:hAnsi="Calibri" w:cs="Times New Roman"/>
          <w:lang w:val="en-US"/>
        </w:rPr>
        <w:t xml:space="preserve"> from the member </w:t>
      </w:r>
      <w:r w:rsidR="006937C3">
        <w:rPr>
          <w:rFonts w:ascii="Calibri" w:eastAsia="Calibri" w:hAnsi="Calibri" w:cs="Times New Roman"/>
          <w:lang w:val="en-US"/>
        </w:rPr>
        <w:t xml:space="preserve">if they would like </w:t>
      </w:r>
      <w:r>
        <w:rPr>
          <w:rFonts w:ascii="Calibri" w:eastAsia="Calibri" w:hAnsi="Calibri" w:cs="Times New Roman"/>
          <w:lang w:val="en-US"/>
        </w:rPr>
        <w:t xml:space="preserve">to </w:t>
      </w:r>
      <w:r w:rsidR="00A07F49">
        <w:rPr>
          <w:rFonts w:ascii="Calibri" w:eastAsia="Calibri" w:hAnsi="Calibri" w:cs="Times New Roman"/>
          <w:lang w:val="en-US"/>
        </w:rPr>
        <w:t xml:space="preserve">request to </w:t>
      </w:r>
      <w:r w:rsidR="006937C3">
        <w:rPr>
          <w:rFonts w:ascii="Calibri" w:eastAsia="Calibri" w:hAnsi="Calibri" w:cs="Times New Roman"/>
          <w:lang w:val="en-US"/>
        </w:rPr>
        <w:t xml:space="preserve">be reappointed as </w:t>
      </w:r>
      <w:r>
        <w:rPr>
          <w:rFonts w:ascii="Calibri" w:eastAsia="Calibri" w:hAnsi="Calibri" w:cs="Times New Roman"/>
          <w:lang w:val="en-US"/>
        </w:rPr>
        <w:t xml:space="preserve">a member of the Advisory </w:t>
      </w:r>
      <w:r w:rsidR="006937C3">
        <w:rPr>
          <w:rFonts w:ascii="Calibri" w:eastAsia="Calibri" w:hAnsi="Calibri" w:cs="Times New Roman"/>
          <w:lang w:val="en-US"/>
        </w:rPr>
        <w:t xml:space="preserve">Group for a further two </w:t>
      </w:r>
      <w:r w:rsidR="00A07F49">
        <w:rPr>
          <w:rFonts w:ascii="Calibri" w:eastAsia="Calibri" w:hAnsi="Calibri" w:cs="Times New Roman"/>
          <w:lang w:val="en-US"/>
        </w:rPr>
        <w:t xml:space="preserve">years. </w:t>
      </w:r>
    </w:p>
    <w:p w14:paraId="10D2CF73" w14:textId="72CE6B77" w:rsidR="006937C3" w:rsidRDefault="00A07F49" w:rsidP="00AC4655">
      <w:pPr>
        <w:spacing w:after="120"/>
        <w:rPr>
          <w:rFonts w:ascii="Calibri" w:eastAsia="Calibri" w:hAnsi="Calibri" w:cs="Times New Roman"/>
          <w:lang w:val="en-US"/>
        </w:rPr>
      </w:pPr>
      <w:r>
        <w:rPr>
          <w:rFonts w:ascii="Calibri" w:eastAsia="Calibri" w:hAnsi="Calibri" w:cs="Times New Roman"/>
          <w:lang w:val="en-US"/>
        </w:rPr>
        <w:t xml:space="preserve">Requests to continue appointments will be considered by the Chair in the context of managing </w:t>
      </w:r>
      <w:r w:rsidR="006937C3">
        <w:rPr>
          <w:rFonts w:ascii="Calibri" w:eastAsia="Calibri" w:hAnsi="Calibri" w:cs="Times New Roman"/>
          <w:lang w:val="en-US"/>
        </w:rPr>
        <w:t xml:space="preserve">membership numbers, </w:t>
      </w:r>
      <w:r w:rsidR="006937C3" w:rsidRPr="003645BB">
        <w:rPr>
          <w:rFonts w:ascii="Calibri" w:eastAsia="Calibri" w:hAnsi="Calibri" w:cs="Times New Roman"/>
          <w:lang w:val="en-US"/>
        </w:rPr>
        <w:t>balanc</w:t>
      </w:r>
      <w:r>
        <w:rPr>
          <w:rFonts w:ascii="Calibri" w:eastAsia="Calibri" w:hAnsi="Calibri" w:cs="Times New Roman"/>
          <w:lang w:val="en-US"/>
        </w:rPr>
        <w:t xml:space="preserve">ing </w:t>
      </w:r>
      <w:r w:rsidR="006937C3" w:rsidRPr="003645BB">
        <w:rPr>
          <w:rFonts w:ascii="Calibri" w:eastAsia="Calibri" w:hAnsi="Calibri" w:cs="Times New Roman"/>
          <w:lang w:val="en-US"/>
        </w:rPr>
        <w:t>continuity</w:t>
      </w:r>
      <w:r>
        <w:rPr>
          <w:rFonts w:ascii="Calibri" w:eastAsia="Calibri" w:hAnsi="Calibri" w:cs="Times New Roman"/>
          <w:lang w:val="en-US"/>
        </w:rPr>
        <w:t xml:space="preserve">, as well as </w:t>
      </w:r>
      <w:r w:rsidR="006937C3">
        <w:rPr>
          <w:rFonts w:ascii="Calibri" w:eastAsia="Calibri" w:hAnsi="Calibri" w:cs="Times New Roman"/>
          <w:lang w:val="en-US"/>
        </w:rPr>
        <w:t>allow</w:t>
      </w:r>
      <w:r>
        <w:rPr>
          <w:rFonts w:ascii="Calibri" w:eastAsia="Calibri" w:hAnsi="Calibri" w:cs="Times New Roman"/>
          <w:lang w:val="en-US"/>
        </w:rPr>
        <w:t>ing</w:t>
      </w:r>
      <w:r w:rsidR="006937C3">
        <w:rPr>
          <w:rFonts w:ascii="Calibri" w:eastAsia="Calibri" w:hAnsi="Calibri" w:cs="Times New Roman"/>
          <w:lang w:val="en-US"/>
        </w:rPr>
        <w:t xml:space="preserve"> for refreshed</w:t>
      </w:r>
      <w:r w:rsidR="006937C3" w:rsidRPr="003645BB">
        <w:rPr>
          <w:rFonts w:ascii="Calibri" w:eastAsia="Calibri" w:hAnsi="Calibri" w:cs="Times New Roman"/>
          <w:lang w:val="en-US"/>
        </w:rPr>
        <w:t xml:space="preserve"> membership</w:t>
      </w:r>
      <w:r w:rsidR="006937C3" w:rsidRPr="003D1601">
        <w:rPr>
          <w:rFonts w:ascii="Calibri" w:eastAsia="Calibri" w:hAnsi="Calibri" w:cs="Times New Roman"/>
          <w:lang w:val="en-US"/>
        </w:rPr>
        <w:t xml:space="preserve">. </w:t>
      </w:r>
    </w:p>
    <w:p w14:paraId="4E574463" w14:textId="6D78B8F5" w:rsidR="004420BA" w:rsidRDefault="004420BA" w:rsidP="00AC4655">
      <w:pPr>
        <w:spacing w:after="120"/>
        <w:rPr>
          <w:rFonts w:ascii="Calibri" w:eastAsia="Calibri" w:hAnsi="Calibri" w:cs="Times New Roman"/>
          <w:lang w:val="en-US"/>
        </w:rPr>
      </w:pPr>
      <w:r>
        <w:rPr>
          <w:rFonts w:ascii="Calibri" w:eastAsia="Calibri" w:hAnsi="Calibri" w:cs="Times New Roman"/>
          <w:lang w:val="en-US"/>
        </w:rPr>
        <w:t xml:space="preserve">The Secretariat will facilitate this process. </w:t>
      </w:r>
    </w:p>
    <w:p w14:paraId="21B98885" w14:textId="77777777" w:rsidR="00AC4655" w:rsidRPr="009078AE" w:rsidRDefault="00AC4655" w:rsidP="00AC4655">
      <w:pPr>
        <w:pStyle w:val="Heading3"/>
        <w:spacing w:after="120"/>
        <w:rPr>
          <w:rFonts w:eastAsia="Calibri"/>
        </w:rPr>
      </w:pPr>
      <w:r>
        <w:rPr>
          <w:rFonts w:eastAsia="Calibri"/>
        </w:rPr>
        <w:t>Member obligations</w:t>
      </w:r>
    </w:p>
    <w:p w14:paraId="65B71E19" w14:textId="77777777" w:rsidR="00AC4655" w:rsidRPr="00AC4655" w:rsidRDefault="00AC4655" w:rsidP="00AC4655">
      <w:pPr>
        <w:pStyle w:val="ListParagraph"/>
        <w:numPr>
          <w:ilvl w:val="0"/>
          <w:numId w:val="26"/>
        </w:numPr>
        <w:spacing w:after="120"/>
        <w:contextualSpacing w:val="0"/>
        <w:rPr>
          <w:rFonts w:ascii="Calibri" w:eastAsia="Calibri" w:hAnsi="Calibri" w:cs="Times New Roman"/>
        </w:rPr>
      </w:pPr>
      <w:r w:rsidRPr="00AC4655">
        <w:rPr>
          <w:rFonts w:ascii="Calibri" w:eastAsia="Calibri" w:hAnsi="Calibri" w:cs="Times New Roman"/>
        </w:rPr>
        <w:t xml:space="preserve">Members must bring </w:t>
      </w:r>
      <w:r w:rsidRPr="00AC4655">
        <w:rPr>
          <w:rFonts w:ascii="Calibri" w:eastAsia="Calibri" w:hAnsi="Calibri" w:cs="Times New Roman"/>
          <w:bCs/>
        </w:rPr>
        <w:t xml:space="preserve">an agreed position of their organisation or sector to </w:t>
      </w:r>
      <w:r w:rsidRPr="00AC4655">
        <w:rPr>
          <w:rFonts w:ascii="Calibri" w:eastAsia="Calibri" w:hAnsi="Calibri" w:cs="Times New Roman"/>
        </w:rPr>
        <w:t>Advisory Group discussions.</w:t>
      </w:r>
    </w:p>
    <w:p w14:paraId="3D0A7F5F" w14:textId="66A5B11B" w:rsidR="00AC4655" w:rsidRPr="00AC4655" w:rsidRDefault="00AC4655" w:rsidP="00AC4655">
      <w:pPr>
        <w:pStyle w:val="ListParagraph"/>
        <w:numPr>
          <w:ilvl w:val="0"/>
          <w:numId w:val="26"/>
        </w:numPr>
        <w:spacing w:after="120"/>
        <w:contextualSpacing w:val="0"/>
        <w:rPr>
          <w:rFonts w:ascii="Calibri" w:eastAsia="Calibri" w:hAnsi="Calibri" w:cs="Times New Roman"/>
        </w:rPr>
      </w:pPr>
      <w:r w:rsidRPr="00AC4655">
        <w:rPr>
          <w:rFonts w:ascii="Calibri" w:eastAsia="Calibri" w:hAnsi="Calibri" w:cs="Times New Roman"/>
        </w:rPr>
        <w:t xml:space="preserve">Members are responsible for communicating issues and outcomes of Advisory Group meetings to the organisations and/or sectors that they represent. In cases where members need to engage in further consultation within their organisations, an agreed timeframe for consultation should be set. The </w:t>
      </w:r>
      <w:r w:rsidR="005E12C2">
        <w:rPr>
          <w:rFonts w:ascii="Calibri" w:eastAsia="Calibri" w:hAnsi="Calibri" w:cs="Times New Roman"/>
        </w:rPr>
        <w:t>C</w:t>
      </w:r>
      <w:r w:rsidRPr="00AC4655">
        <w:rPr>
          <w:rFonts w:ascii="Calibri" w:eastAsia="Calibri" w:hAnsi="Calibri" w:cs="Times New Roman"/>
        </w:rPr>
        <w:t>hair can provide permission to share relevant documents outside of the membership (</w:t>
      </w:r>
      <w:r w:rsidR="005E12C2">
        <w:rPr>
          <w:rFonts w:ascii="Calibri" w:eastAsia="Calibri" w:hAnsi="Calibri" w:cs="Times New Roman"/>
        </w:rPr>
        <w:t>at</w:t>
      </w:r>
      <w:r w:rsidRPr="00AC4655">
        <w:rPr>
          <w:rFonts w:ascii="Calibri" w:eastAsia="Calibri" w:hAnsi="Calibri" w:cs="Times New Roman"/>
        </w:rPr>
        <w:t xml:space="preserve"> the </w:t>
      </w:r>
      <w:r w:rsidR="00B21C0E">
        <w:rPr>
          <w:rFonts w:ascii="Calibri" w:eastAsia="Calibri" w:hAnsi="Calibri" w:cs="Times New Roman"/>
        </w:rPr>
        <w:t>C</w:t>
      </w:r>
      <w:r w:rsidRPr="00AC4655">
        <w:rPr>
          <w:rFonts w:ascii="Calibri" w:eastAsia="Calibri" w:hAnsi="Calibri" w:cs="Times New Roman"/>
        </w:rPr>
        <w:t>hair’s discretion) where it is deemed necessary for consultation.</w:t>
      </w:r>
    </w:p>
    <w:p w14:paraId="56C534A1" w14:textId="77777777" w:rsidR="00AC4655" w:rsidRPr="00AC4655" w:rsidRDefault="00AC4655" w:rsidP="00AC4655">
      <w:pPr>
        <w:pStyle w:val="ListParagraph"/>
        <w:numPr>
          <w:ilvl w:val="0"/>
          <w:numId w:val="27"/>
        </w:numPr>
        <w:spacing w:after="120"/>
        <w:contextualSpacing w:val="0"/>
        <w:rPr>
          <w:rFonts w:ascii="Calibri" w:eastAsia="Calibri" w:hAnsi="Calibri" w:cs="Times New Roman"/>
          <w:lang w:val="en-US"/>
        </w:rPr>
      </w:pPr>
      <w:r w:rsidRPr="00AC4655">
        <w:rPr>
          <w:rFonts w:ascii="Calibri" w:eastAsia="Calibri" w:hAnsi="Calibri" w:cs="Times New Roman"/>
          <w:lang w:val="en-US"/>
        </w:rPr>
        <w:t xml:space="preserve">If a member is consistently unable to attend meetings, the Chair will request for another representative to attend, or remove the member. </w:t>
      </w:r>
    </w:p>
    <w:p w14:paraId="6680EB83" w14:textId="77777777" w:rsidR="00AC4655" w:rsidRPr="00AC4655" w:rsidRDefault="00AC4655" w:rsidP="00AC4655">
      <w:pPr>
        <w:pStyle w:val="ListParagraph"/>
        <w:numPr>
          <w:ilvl w:val="0"/>
          <w:numId w:val="27"/>
        </w:numPr>
        <w:spacing w:after="120"/>
        <w:contextualSpacing w:val="0"/>
        <w:rPr>
          <w:rFonts w:ascii="Calibri" w:eastAsia="Calibri" w:hAnsi="Calibri" w:cs="Times New Roman"/>
        </w:rPr>
      </w:pPr>
      <w:r w:rsidRPr="00AC4655">
        <w:rPr>
          <w:rFonts w:ascii="Calibri" w:eastAsia="Calibri" w:hAnsi="Calibri" w:cs="Times New Roman"/>
          <w:lang w:val="en-US"/>
        </w:rPr>
        <w:t xml:space="preserve">Where a member organisation is no longer able to provide a </w:t>
      </w:r>
      <w:r w:rsidRPr="00AC4655">
        <w:rPr>
          <w:rFonts w:ascii="Calibri" w:eastAsia="Calibri" w:hAnsi="Calibri" w:cs="Times New Roman"/>
        </w:rPr>
        <w:t>national and strategic environmental and/or community outlook, the Chair</w:t>
      </w:r>
      <w:r w:rsidRPr="00AC4655">
        <w:rPr>
          <w:rFonts w:ascii="Calibri" w:eastAsia="Calibri" w:hAnsi="Calibri" w:cs="Times New Roman"/>
          <w:lang w:val="en-US"/>
        </w:rPr>
        <w:t xml:space="preserve"> will declare the position vacant.</w:t>
      </w:r>
    </w:p>
    <w:p w14:paraId="42C2E928" w14:textId="77777777" w:rsidR="004420BA" w:rsidRPr="004420BA" w:rsidRDefault="004420BA" w:rsidP="004420BA">
      <w:pPr>
        <w:pStyle w:val="Heading3"/>
        <w:spacing w:after="120"/>
        <w:rPr>
          <w:rFonts w:eastAsia="Calibri"/>
          <w:lang w:val="en-US"/>
        </w:rPr>
      </w:pPr>
      <w:r w:rsidRPr="004420BA">
        <w:rPr>
          <w:rFonts w:eastAsia="Calibri"/>
          <w:lang w:val="en-US"/>
        </w:rPr>
        <w:t>Proxies</w:t>
      </w:r>
    </w:p>
    <w:p w14:paraId="4A7774C1" w14:textId="77777777" w:rsidR="004420BA" w:rsidRPr="00480206" w:rsidRDefault="004420BA" w:rsidP="004420BA">
      <w:pPr>
        <w:pStyle w:val="Heading3"/>
        <w:spacing w:after="120"/>
        <w:rPr>
          <w:rFonts w:asciiTheme="minorHAnsi" w:eastAsiaTheme="minorHAnsi" w:hAnsiTheme="minorHAnsi" w:cstheme="minorBidi"/>
          <w:color w:val="auto"/>
          <w:sz w:val="22"/>
          <w:szCs w:val="22"/>
        </w:rPr>
      </w:pPr>
      <w:r w:rsidRPr="00480206">
        <w:rPr>
          <w:rFonts w:asciiTheme="minorHAnsi" w:eastAsiaTheme="minorHAnsi" w:hAnsiTheme="minorHAnsi" w:cstheme="minorBidi"/>
          <w:color w:val="auto"/>
          <w:sz w:val="22"/>
          <w:szCs w:val="22"/>
        </w:rPr>
        <w:t xml:space="preserve">Members may nominate proxies to attend meetings in their absence. The purpose of the proxy is to enable progression of meeting objectives. </w:t>
      </w:r>
    </w:p>
    <w:p w14:paraId="31E350FC" w14:textId="5E11073D" w:rsidR="004420BA" w:rsidRDefault="004420BA" w:rsidP="004420BA">
      <w:pPr>
        <w:pStyle w:val="Heading3"/>
        <w:spacing w:after="120"/>
        <w:rPr>
          <w:rFonts w:asciiTheme="minorHAnsi" w:eastAsiaTheme="minorHAnsi" w:hAnsiTheme="minorHAnsi" w:cstheme="minorBidi"/>
          <w:color w:val="auto"/>
          <w:sz w:val="22"/>
          <w:szCs w:val="22"/>
        </w:rPr>
      </w:pPr>
      <w:r w:rsidRPr="00480206">
        <w:rPr>
          <w:rFonts w:asciiTheme="minorHAnsi" w:eastAsiaTheme="minorHAnsi" w:hAnsiTheme="minorHAnsi" w:cstheme="minorBidi"/>
          <w:color w:val="auto"/>
          <w:sz w:val="22"/>
          <w:szCs w:val="22"/>
        </w:rPr>
        <w:t xml:space="preserve">Members must nominate proxies to the </w:t>
      </w:r>
      <w:r w:rsidR="00B21C0E">
        <w:rPr>
          <w:rFonts w:asciiTheme="minorHAnsi" w:eastAsiaTheme="minorHAnsi" w:hAnsiTheme="minorHAnsi" w:cstheme="minorBidi"/>
          <w:color w:val="auto"/>
          <w:sz w:val="22"/>
          <w:szCs w:val="22"/>
        </w:rPr>
        <w:t>S</w:t>
      </w:r>
      <w:r w:rsidRPr="00480206">
        <w:rPr>
          <w:rFonts w:asciiTheme="minorHAnsi" w:eastAsiaTheme="minorHAnsi" w:hAnsiTheme="minorHAnsi" w:cstheme="minorBidi"/>
          <w:color w:val="auto"/>
          <w:sz w:val="22"/>
          <w:szCs w:val="22"/>
        </w:rPr>
        <w:t>ecretariat in writing, in advance of the meeting taking place where possible.</w:t>
      </w:r>
    </w:p>
    <w:p w14:paraId="4DC685C2" w14:textId="77777777" w:rsidR="002D6F1E" w:rsidRPr="002303BA" w:rsidRDefault="002D6F1E" w:rsidP="002D6F1E">
      <w:pPr>
        <w:pStyle w:val="Heading3"/>
        <w:rPr>
          <w:rFonts w:eastAsia="Calibri"/>
        </w:rPr>
      </w:pPr>
      <w:r w:rsidRPr="002303BA">
        <w:rPr>
          <w:rFonts w:eastAsia="Calibri"/>
        </w:rPr>
        <w:t>Observers</w:t>
      </w:r>
    </w:p>
    <w:p w14:paraId="540631DA" w14:textId="77777777" w:rsidR="002D6F1E" w:rsidRPr="001C266D" w:rsidRDefault="002D6F1E" w:rsidP="002D6F1E">
      <w:pPr>
        <w:spacing w:before="120" w:after="120"/>
        <w:rPr>
          <w:rFonts w:ascii="Calibri" w:eastAsia="Calibri" w:hAnsi="Calibri" w:cs="Times New Roman"/>
        </w:rPr>
      </w:pPr>
      <w:r w:rsidRPr="001C266D">
        <w:rPr>
          <w:rFonts w:ascii="Calibri" w:eastAsia="Calibri" w:hAnsi="Calibri" w:cs="Times New Roman"/>
        </w:rPr>
        <w:t>The</w:t>
      </w:r>
      <w:r>
        <w:rPr>
          <w:rFonts w:ascii="Calibri" w:eastAsia="Calibri" w:hAnsi="Calibri" w:cs="Times New Roman"/>
        </w:rPr>
        <w:t xml:space="preserve"> Advisory Group will not have</w:t>
      </w:r>
      <w:r w:rsidRPr="001C266D">
        <w:rPr>
          <w:rFonts w:ascii="Calibri" w:eastAsia="Calibri" w:hAnsi="Calibri" w:cs="Times New Roman"/>
        </w:rPr>
        <w:t xml:space="preserve"> standing observers, however: </w:t>
      </w:r>
    </w:p>
    <w:p w14:paraId="56593533" w14:textId="7FE4D079" w:rsidR="002D6F1E" w:rsidRDefault="005E12C2" w:rsidP="002D6F1E">
      <w:pPr>
        <w:numPr>
          <w:ilvl w:val="0"/>
          <w:numId w:val="22"/>
        </w:numPr>
        <w:spacing w:after="120"/>
        <w:ind w:left="714" w:hanging="357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 xml:space="preserve">organisations or </w:t>
      </w:r>
      <w:r w:rsidR="002D6F1E" w:rsidRPr="001C266D">
        <w:rPr>
          <w:rFonts w:ascii="Calibri" w:eastAsia="Calibri" w:hAnsi="Calibri" w:cs="Times New Roman"/>
        </w:rPr>
        <w:t xml:space="preserve">persons with appropriate expertise may be invited to attend a meeting or be present for an agenda item where their knowledge may be valuable to the </w:t>
      </w:r>
      <w:r>
        <w:rPr>
          <w:rFonts w:ascii="Calibri" w:eastAsia="Calibri" w:hAnsi="Calibri" w:cs="Times New Roman"/>
        </w:rPr>
        <w:t>Advisory Group</w:t>
      </w:r>
    </w:p>
    <w:p w14:paraId="375AC729" w14:textId="77777777" w:rsidR="002D6F1E" w:rsidRDefault="002D6F1E" w:rsidP="002D6F1E">
      <w:pPr>
        <w:numPr>
          <w:ilvl w:val="0"/>
          <w:numId w:val="22"/>
        </w:numPr>
        <w:spacing w:after="120"/>
        <w:ind w:left="714" w:hanging="357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>EIC members will be invited to attend Advisory Group meetings.</w:t>
      </w:r>
    </w:p>
    <w:p w14:paraId="7AD7F76C" w14:textId="5417D8C1" w:rsidR="00AC4655" w:rsidRPr="009516AD" w:rsidRDefault="00AC4655" w:rsidP="00AC4655">
      <w:pPr>
        <w:pStyle w:val="Heading3"/>
        <w:spacing w:after="120"/>
        <w:rPr>
          <w:rFonts w:eastAsia="Calibri"/>
          <w:lang w:val="en-US"/>
        </w:rPr>
      </w:pPr>
      <w:r w:rsidRPr="009516AD">
        <w:rPr>
          <w:rFonts w:eastAsia="Calibri"/>
          <w:lang w:val="en-US"/>
        </w:rPr>
        <w:t>Remuneration</w:t>
      </w:r>
    </w:p>
    <w:p w14:paraId="4A3BED95" w14:textId="328D09A2" w:rsidR="00AC4655" w:rsidRDefault="00AC4655" w:rsidP="00AC4655">
      <w:pPr>
        <w:spacing w:before="120" w:after="120"/>
        <w:rPr>
          <w:rFonts w:ascii="Calibri" w:eastAsia="Calibri" w:hAnsi="Calibri" w:cs="Times New Roman"/>
          <w:lang w:val="en-US"/>
        </w:rPr>
      </w:pPr>
      <w:r>
        <w:t xml:space="preserve">Members’ participation is in a voluntary capacity. Members will not be remunerated and are responsible for their own costs of attending meetings or </w:t>
      </w:r>
      <w:r>
        <w:rPr>
          <w:rFonts w:ascii="Calibri" w:eastAsia="Calibri" w:hAnsi="Calibri" w:cs="Times New Roman"/>
          <w:lang w:val="en-US"/>
        </w:rPr>
        <w:t>fulfilling the responsibilities of membership.</w:t>
      </w:r>
    </w:p>
    <w:p w14:paraId="3E5E10A2" w14:textId="3FB80A36" w:rsidR="001C266D" w:rsidRPr="00441D03" w:rsidRDefault="001F4F38" w:rsidP="00AC4655">
      <w:pPr>
        <w:pStyle w:val="Heading2"/>
        <w:spacing w:after="120"/>
        <w:rPr>
          <w:rFonts w:eastAsia="Calibri"/>
        </w:rPr>
      </w:pPr>
      <w:r>
        <w:rPr>
          <w:rFonts w:eastAsia="Calibri"/>
        </w:rPr>
        <w:lastRenderedPageBreak/>
        <w:t>Meeting</w:t>
      </w:r>
      <w:r w:rsidR="001C266D" w:rsidRPr="00441D03">
        <w:rPr>
          <w:rFonts w:eastAsia="Calibri"/>
        </w:rPr>
        <w:t xml:space="preserve"> arrangements</w:t>
      </w:r>
    </w:p>
    <w:p w14:paraId="39B0DF9C" w14:textId="70494EDD" w:rsidR="00441D03" w:rsidRPr="009078AE" w:rsidRDefault="00441D03" w:rsidP="00AC4655">
      <w:pPr>
        <w:pStyle w:val="Heading3"/>
        <w:spacing w:after="120"/>
        <w:rPr>
          <w:rFonts w:eastAsia="Calibri"/>
        </w:rPr>
      </w:pPr>
      <w:r w:rsidRPr="009078AE">
        <w:rPr>
          <w:rFonts w:eastAsia="Calibri"/>
        </w:rPr>
        <w:t>Chair</w:t>
      </w:r>
    </w:p>
    <w:p w14:paraId="3E343B08" w14:textId="26FFDB9F" w:rsidR="00BD4224" w:rsidRDefault="00BD4224" w:rsidP="00AC4655">
      <w:pPr>
        <w:spacing w:after="120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 xml:space="preserve">The role of Chair will be filled by the </w:t>
      </w:r>
      <w:r w:rsidR="00217DCB">
        <w:rPr>
          <w:rFonts w:ascii="Calibri" w:eastAsia="Calibri" w:hAnsi="Calibri" w:cs="Times New Roman"/>
        </w:rPr>
        <w:t xml:space="preserve">Australian </w:t>
      </w:r>
      <w:r>
        <w:rPr>
          <w:rFonts w:ascii="Calibri" w:eastAsia="Calibri" w:hAnsi="Calibri" w:cs="Times New Roman"/>
        </w:rPr>
        <w:t>Chief Environmental Biosecurity Officer, from the Australian Government Department of Agriculture</w:t>
      </w:r>
      <w:r w:rsidR="00BE27F8">
        <w:rPr>
          <w:rFonts w:ascii="Calibri" w:eastAsia="Calibri" w:hAnsi="Calibri" w:cs="Times New Roman"/>
        </w:rPr>
        <w:t>, Fisheries and Forestry</w:t>
      </w:r>
      <w:r>
        <w:rPr>
          <w:rFonts w:ascii="Calibri" w:eastAsia="Calibri" w:hAnsi="Calibri" w:cs="Times New Roman"/>
        </w:rPr>
        <w:t>.</w:t>
      </w:r>
    </w:p>
    <w:p w14:paraId="4513192E" w14:textId="399805E0" w:rsidR="00BE27F8" w:rsidRPr="00AC4655" w:rsidRDefault="00BE27F8" w:rsidP="00AC4655">
      <w:pPr>
        <w:pStyle w:val="Heading3"/>
        <w:spacing w:after="120"/>
        <w:rPr>
          <w:rFonts w:eastAsia="Calibri"/>
        </w:rPr>
      </w:pPr>
      <w:r w:rsidRPr="00AC4655">
        <w:rPr>
          <w:rFonts w:eastAsia="Calibri"/>
        </w:rPr>
        <w:t>Secretariat</w:t>
      </w:r>
    </w:p>
    <w:p w14:paraId="662C0C61" w14:textId="6FDD6993" w:rsidR="008967E9" w:rsidRDefault="00BE27F8" w:rsidP="00AC4655">
      <w:pPr>
        <w:spacing w:after="120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>S</w:t>
      </w:r>
      <w:r w:rsidR="00441D03" w:rsidRPr="00B53895">
        <w:rPr>
          <w:rFonts w:ascii="Calibri" w:eastAsia="Calibri" w:hAnsi="Calibri" w:cs="Times New Roman"/>
        </w:rPr>
        <w:t xml:space="preserve">ecretariat support for the </w:t>
      </w:r>
      <w:r w:rsidR="00BD4224">
        <w:rPr>
          <w:rFonts w:ascii="Calibri" w:eastAsia="Calibri" w:hAnsi="Calibri" w:cs="Times New Roman"/>
        </w:rPr>
        <w:t xml:space="preserve">Advisory </w:t>
      </w:r>
      <w:r w:rsidR="00441D03" w:rsidRPr="00B53895">
        <w:rPr>
          <w:rFonts w:ascii="Calibri" w:eastAsia="Calibri" w:hAnsi="Calibri" w:cs="Times New Roman"/>
        </w:rPr>
        <w:t>Group</w:t>
      </w:r>
      <w:r>
        <w:rPr>
          <w:rFonts w:ascii="Calibri" w:eastAsia="Calibri" w:hAnsi="Calibri" w:cs="Times New Roman"/>
        </w:rPr>
        <w:t xml:space="preserve"> will be provided by the Environmental Biosecurity Office</w:t>
      </w:r>
      <w:r w:rsidR="008967E9">
        <w:rPr>
          <w:rFonts w:ascii="Calibri" w:eastAsia="Calibri" w:hAnsi="Calibri" w:cs="Times New Roman"/>
        </w:rPr>
        <w:t xml:space="preserve"> from the Australian Government Department of Agriculture, Fisheries and Forestry.</w:t>
      </w:r>
    </w:p>
    <w:p w14:paraId="7097C8D3" w14:textId="3A962CB4" w:rsidR="00441D03" w:rsidRPr="00F73E6A" w:rsidRDefault="00F73E6A" w:rsidP="00AC4655">
      <w:pPr>
        <w:spacing w:after="120"/>
        <w:rPr>
          <w:rFonts w:ascii="Calibri" w:eastAsia="Calibri" w:hAnsi="Calibri" w:cs="Times New Roman"/>
          <w:lang w:val="en-US"/>
        </w:rPr>
      </w:pPr>
      <w:r w:rsidRPr="00F73E6A">
        <w:rPr>
          <w:rFonts w:ascii="Calibri" w:eastAsia="Calibri" w:hAnsi="Calibri" w:cs="Times New Roman"/>
          <w:lang w:val="en-US"/>
        </w:rPr>
        <w:t>T</w:t>
      </w:r>
      <w:r w:rsidR="00441D03" w:rsidRPr="00F73E6A">
        <w:rPr>
          <w:rFonts w:ascii="Calibri" w:eastAsia="Calibri" w:hAnsi="Calibri" w:cs="Times New Roman"/>
          <w:lang w:val="en-US"/>
        </w:rPr>
        <w:t xml:space="preserve">he Chair and </w:t>
      </w:r>
      <w:r w:rsidR="00B21C0E">
        <w:rPr>
          <w:rFonts w:ascii="Calibri" w:eastAsia="Calibri" w:hAnsi="Calibri" w:cs="Times New Roman"/>
          <w:lang w:val="en-US"/>
        </w:rPr>
        <w:t>S</w:t>
      </w:r>
      <w:r w:rsidR="00441D03" w:rsidRPr="00F73E6A">
        <w:rPr>
          <w:rFonts w:ascii="Calibri" w:eastAsia="Calibri" w:hAnsi="Calibri" w:cs="Times New Roman"/>
          <w:lang w:val="en-US"/>
        </w:rPr>
        <w:t>ecretariat are responsible for developing and distributing agenda papers</w:t>
      </w:r>
      <w:r w:rsidR="005E12C2">
        <w:rPr>
          <w:rFonts w:ascii="Calibri" w:eastAsia="Calibri" w:hAnsi="Calibri" w:cs="Times New Roman"/>
          <w:lang w:val="en-US"/>
        </w:rPr>
        <w:t xml:space="preserve"> as required</w:t>
      </w:r>
      <w:r>
        <w:rPr>
          <w:rFonts w:ascii="Calibri" w:eastAsia="Calibri" w:hAnsi="Calibri" w:cs="Times New Roman"/>
          <w:lang w:val="en-US"/>
        </w:rPr>
        <w:t xml:space="preserve">. </w:t>
      </w:r>
    </w:p>
    <w:p w14:paraId="7DC0C36E" w14:textId="77777777" w:rsidR="00104717" w:rsidRPr="00104717" w:rsidRDefault="00104717" w:rsidP="00AC4655">
      <w:pPr>
        <w:pStyle w:val="Heading3"/>
        <w:spacing w:after="120"/>
        <w:rPr>
          <w:rFonts w:eastAsia="Calibri"/>
          <w:lang w:val="en-US"/>
        </w:rPr>
      </w:pPr>
      <w:r w:rsidRPr="00104717">
        <w:rPr>
          <w:rFonts w:eastAsia="Calibri"/>
          <w:lang w:val="en-US"/>
        </w:rPr>
        <w:t>Meetings</w:t>
      </w:r>
    </w:p>
    <w:p w14:paraId="1A7C372F" w14:textId="2EF9017A" w:rsidR="00320968" w:rsidRDefault="00104717" w:rsidP="00AC4655">
      <w:pPr>
        <w:spacing w:after="120"/>
        <w:rPr>
          <w:rFonts w:ascii="Calibri" w:eastAsia="Calibri" w:hAnsi="Calibri" w:cs="Times New Roman"/>
          <w:lang w:val="en-US"/>
        </w:rPr>
      </w:pPr>
      <w:r w:rsidRPr="00104717">
        <w:rPr>
          <w:rFonts w:ascii="Calibri" w:eastAsia="Calibri" w:hAnsi="Calibri" w:cs="Times New Roman"/>
          <w:lang w:val="en-US"/>
        </w:rPr>
        <w:t xml:space="preserve">Meetings are generally to be held </w:t>
      </w:r>
      <w:r w:rsidR="00966C25">
        <w:rPr>
          <w:rFonts w:ascii="Calibri" w:eastAsia="Calibri" w:hAnsi="Calibri" w:cs="Times New Roman"/>
          <w:lang w:val="en-US"/>
        </w:rPr>
        <w:t xml:space="preserve">at least </w:t>
      </w:r>
      <w:r w:rsidRPr="00104717">
        <w:rPr>
          <w:rFonts w:ascii="Calibri" w:eastAsia="Calibri" w:hAnsi="Calibri" w:cs="Times New Roman"/>
          <w:lang w:val="en-US"/>
        </w:rPr>
        <w:t>twice per calendar year</w:t>
      </w:r>
      <w:r w:rsidR="002A4D11">
        <w:rPr>
          <w:rFonts w:ascii="Calibri" w:eastAsia="Calibri" w:hAnsi="Calibri" w:cs="Times New Roman"/>
          <w:lang w:val="en-US"/>
        </w:rPr>
        <w:t>, online or face-to-face.</w:t>
      </w:r>
      <w:r w:rsidR="00320968">
        <w:rPr>
          <w:rFonts w:ascii="Calibri" w:eastAsia="Calibri" w:hAnsi="Calibri" w:cs="Times New Roman"/>
          <w:lang w:val="en-US"/>
        </w:rPr>
        <w:t xml:space="preserve"> </w:t>
      </w:r>
    </w:p>
    <w:p w14:paraId="6086ACB9" w14:textId="77777777" w:rsidR="00AA7493" w:rsidRPr="00AA7493" w:rsidRDefault="00AA7493" w:rsidP="00AC4655">
      <w:pPr>
        <w:spacing w:after="120"/>
        <w:rPr>
          <w:rFonts w:ascii="Calibri" w:eastAsia="Calibri" w:hAnsi="Calibri" w:cs="Times New Roman"/>
          <w:lang w:val="en-US"/>
        </w:rPr>
      </w:pPr>
      <w:r w:rsidRPr="00AA7493">
        <w:rPr>
          <w:rFonts w:ascii="Calibri" w:eastAsia="Calibri" w:hAnsi="Calibri" w:cs="Times New Roman"/>
          <w:lang w:val="en-US"/>
        </w:rPr>
        <w:t xml:space="preserve">An agenda will be prepared for meetings with relevant papers and </w:t>
      </w:r>
      <w:r w:rsidR="0084224B" w:rsidRPr="00AA7493">
        <w:rPr>
          <w:rFonts w:ascii="Calibri" w:eastAsia="Calibri" w:hAnsi="Calibri" w:cs="Times New Roman"/>
          <w:lang w:val="en-US"/>
        </w:rPr>
        <w:t>p</w:t>
      </w:r>
      <w:r w:rsidR="0084224B">
        <w:rPr>
          <w:rFonts w:ascii="Calibri" w:eastAsia="Calibri" w:hAnsi="Calibri" w:cs="Times New Roman"/>
          <w:lang w:val="en-US"/>
        </w:rPr>
        <w:t>rovided</w:t>
      </w:r>
      <w:r w:rsidR="0084224B" w:rsidRPr="00AA7493">
        <w:rPr>
          <w:rFonts w:ascii="Calibri" w:eastAsia="Calibri" w:hAnsi="Calibri" w:cs="Times New Roman"/>
          <w:lang w:val="en-US"/>
        </w:rPr>
        <w:t xml:space="preserve"> </w:t>
      </w:r>
      <w:r w:rsidRPr="00AA7493">
        <w:rPr>
          <w:rFonts w:ascii="Calibri" w:eastAsia="Calibri" w:hAnsi="Calibri" w:cs="Times New Roman"/>
          <w:lang w:val="en-US"/>
        </w:rPr>
        <w:t>to members two weeks prior to meetings. Matters will be considered and decided in accordance with the agenda.</w:t>
      </w:r>
    </w:p>
    <w:p w14:paraId="299D2F0B" w14:textId="3A0F599F" w:rsidR="00AA7493" w:rsidRPr="00AA7493" w:rsidRDefault="00AA7493" w:rsidP="00AC4655">
      <w:pPr>
        <w:spacing w:after="120"/>
        <w:rPr>
          <w:rFonts w:ascii="Calibri" w:eastAsia="Calibri" w:hAnsi="Calibri" w:cs="Times New Roman"/>
          <w:lang w:val="en-US"/>
        </w:rPr>
      </w:pPr>
      <w:r w:rsidRPr="00AA7493">
        <w:rPr>
          <w:rFonts w:ascii="Calibri" w:eastAsia="Calibri" w:hAnsi="Calibri" w:cs="Times New Roman"/>
          <w:lang w:val="en-US"/>
        </w:rPr>
        <w:t xml:space="preserve">Any issues arising outside of scheduled meeting timeframes can be dealt with out of session. Items should be sent through to the </w:t>
      </w:r>
      <w:r>
        <w:rPr>
          <w:rFonts w:ascii="Calibri" w:eastAsia="Calibri" w:hAnsi="Calibri" w:cs="Times New Roman"/>
          <w:lang w:val="en-US"/>
        </w:rPr>
        <w:t xml:space="preserve">Chair or </w:t>
      </w:r>
      <w:r w:rsidR="00B21C0E">
        <w:rPr>
          <w:rFonts w:ascii="Calibri" w:eastAsia="Calibri" w:hAnsi="Calibri" w:cs="Times New Roman"/>
          <w:lang w:val="en-US"/>
        </w:rPr>
        <w:t>S</w:t>
      </w:r>
      <w:r w:rsidRPr="00AA7493">
        <w:rPr>
          <w:rFonts w:ascii="Calibri" w:eastAsia="Calibri" w:hAnsi="Calibri" w:cs="Times New Roman"/>
          <w:lang w:val="en-US"/>
        </w:rPr>
        <w:t>ecretariat and will be circulated to members via email.</w:t>
      </w:r>
    </w:p>
    <w:p w14:paraId="561A928B" w14:textId="74297AE2" w:rsidR="002D6F1E" w:rsidRDefault="002D6F1E" w:rsidP="00AC4655">
      <w:pPr>
        <w:pStyle w:val="Heading3"/>
        <w:spacing w:after="120"/>
        <w:rPr>
          <w:rFonts w:eastAsia="Calibri"/>
        </w:rPr>
      </w:pPr>
      <w:r>
        <w:rPr>
          <w:rFonts w:eastAsia="Calibri"/>
        </w:rPr>
        <w:t>Meeting record</w:t>
      </w:r>
    </w:p>
    <w:p w14:paraId="4A9DF31B" w14:textId="1814F787" w:rsidR="002D6F1E" w:rsidRDefault="002D6F1E">
      <w:r>
        <w:t>The Secretariat will take meeting minutes and prepare a formal record of the meeting for members’ information only.</w:t>
      </w:r>
      <w:r w:rsidR="002A4D11">
        <w:t xml:space="preserve"> </w:t>
      </w:r>
      <w:r>
        <w:t>A meeti</w:t>
      </w:r>
      <w:r w:rsidR="005B2927">
        <w:t xml:space="preserve">ng </w:t>
      </w:r>
      <w:r w:rsidR="005B2927" w:rsidRPr="005B2927">
        <w:t>communiqué</w:t>
      </w:r>
      <w:r>
        <w:t xml:space="preserve">, appropriate for publication and circulation to other stakeholders, will also be produced. </w:t>
      </w:r>
    </w:p>
    <w:p w14:paraId="0D0CB86C" w14:textId="7474F911" w:rsidR="002A4D11" w:rsidRPr="005B2927" w:rsidRDefault="002A4D11" w:rsidP="005B2927">
      <w:r>
        <w:t xml:space="preserve">The meeting record and </w:t>
      </w:r>
      <w:r w:rsidR="005B2927" w:rsidRPr="006A573F">
        <w:t>communiqué</w:t>
      </w:r>
      <w:r>
        <w:t xml:space="preserve"> are to be endorsed by members out of session prior to finalisation. </w:t>
      </w:r>
    </w:p>
    <w:p w14:paraId="0E2279D0" w14:textId="64922822" w:rsidR="00344F5B" w:rsidRPr="00AA7493" w:rsidRDefault="00820B43" w:rsidP="00AC4655">
      <w:pPr>
        <w:pStyle w:val="Heading3"/>
        <w:spacing w:after="120"/>
        <w:rPr>
          <w:rFonts w:eastAsia="Calibri"/>
        </w:rPr>
      </w:pPr>
      <w:r w:rsidRPr="00AA7493">
        <w:rPr>
          <w:rFonts w:eastAsia="Calibri"/>
        </w:rPr>
        <w:t>Confidentiality</w:t>
      </w:r>
    </w:p>
    <w:p w14:paraId="5BA7D89C" w14:textId="70E2441E" w:rsidR="00A011B2" w:rsidRDefault="00D8356C" w:rsidP="00AC4655">
      <w:pPr>
        <w:spacing w:after="120"/>
        <w:rPr>
          <w:rFonts w:ascii="Calibri" w:eastAsia="Calibri" w:hAnsi="Calibri" w:cs="Times New Roman"/>
          <w:lang w:val="en-US"/>
        </w:rPr>
      </w:pPr>
      <w:r>
        <w:rPr>
          <w:rFonts w:ascii="Calibri" w:eastAsia="Calibri" w:hAnsi="Calibri" w:cs="Times New Roman"/>
          <w:lang w:val="en-US"/>
        </w:rPr>
        <w:t xml:space="preserve">The </w:t>
      </w:r>
      <w:r w:rsidR="003915B8">
        <w:rPr>
          <w:rFonts w:ascii="Calibri" w:eastAsia="Calibri" w:hAnsi="Calibri" w:cs="Times New Roman"/>
          <w:lang w:val="en-US"/>
        </w:rPr>
        <w:t xml:space="preserve">Advisory Group </w:t>
      </w:r>
      <w:r w:rsidR="003D1601" w:rsidRPr="003D1601">
        <w:rPr>
          <w:rFonts w:ascii="Calibri" w:eastAsia="Calibri" w:hAnsi="Calibri" w:cs="Times New Roman"/>
          <w:lang w:val="en-US"/>
        </w:rPr>
        <w:t>will</w:t>
      </w:r>
      <w:r w:rsidR="003915B8">
        <w:rPr>
          <w:rFonts w:ascii="Calibri" w:eastAsia="Calibri" w:hAnsi="Calibri" w:cs="Times New Roman"/>
          <w:lang w:val="en-US"/>
        </w:rPr>
        <w:t>,</w:t>
      </w:r>
      <w:r w:rsidR="003D1601" w:rsidRPr="003D1601">
        <w:rPr>
          <w:rFonts w:ascii="Calibri" w:eastAsia="Calibri" w:hAnsi="Calibri" w:cs="Times New Roman"/>
          <w:lang w:val="en-US"/>
        </w:rPr>
        <w:t xml:space="preserve"> from time to time</w:t>
      </w:r>
      <w:r w:rsidR="003915B8">
        <w:rPr>
          <w:rFonts w:ascii="Calibri" w:eastAsia="Calibri" w:hAnsi="Calibri" w:cs="Times New Roman"/>
          <w:lang w:val="en-US"/>
        </w:rPr>
        <w:t>,</w:t>
      </w:r>
      <w:r w:rsidR="003D1601" w:rsidRPr="003D1601">
        <w:rPr>
          <w:rFonts w:ascii="Calibri" w:eastAsia="Calibri" w:hAnsi="Calibri" w:cs="Times New Roman"/>
          <w:lang w:val="en-US"/>
        </w:rPr>
        <w:t xml:space="preserve"> deal with sensitive matters of a confidential nature, including information that may be commercial</w:t>
      </w:r>
      <w:r w:rsidR="009C7C32">
        <w:rPr>
          <w:rFonts w:ascii="Calibri" w:eastAsia="Calibri" w:hAnsi="Calibri" w:cs="Times New Roman"/>
          <w:lang w:val="en-US"/>
        </w:rPr>
        <w:t>-</w:t>
      </w:r>
      <w:r w:rsidR="003D1601" w:rsidRPr="003D1601">
        <w:rPr>
          <w:rFonts w:ascii="Calibri" w:eastAsia="Calibri" w:hAnsi="Calibri" w:cs="Times New Roman"/>
          <w:lang w:val="en-US"/>
        </w:rPr>
        <w:t>in</w:t>
      </w:r>
      <w:r w:rsidR="009C7C32">
        <w:rPr>
          <w:rFonts w:ascii="Calibri" w:eastAsia="Calibri" w:hAnsi="Calibri" w:cs="Times New Roman"/>
          <w:lang w:val="en-US"/>
        </w:rPr>
        <w:t>-</w:t>
      </w:r>
      <w:r w:rsidR="003D1601" w:rsidRPr="003D1601">
        <w:rPr>
          <w:rFonts w:ascii="Calibri" w:eastAsia="Calibri" w:hAnsi="Calibri" w:cs="Times New Roman"/>
          <w:lang w:val="en-US"/>
        </w:rPr>
        <w:t xml:space="preserve">confidence, information relating to a third party, sensitive information relating to government policies or financial issues, information that attracts legal professional privilege or internal Government working documents. </w:t>
      </w:r>
    </w:p>
    <w:p w14:paraId="512DAD6A" w14:textId="460AC5BF" w:rsidR="003D1601" w:rsidRPr="003D1601" w:rsidRDefault="003D1601" w:rsidP="00AC4655">
      <w:pPr>
        <w:spacing w:after="120"/>
        <w:rPr>
          <w:rFonts w:ascii="Calibri" w:eastAsia="Calibri" w:hAnsi="Calibri" w:cs="Times New Roman"/>
          <w:lang w:val="en-US"/>
        </w:rPr>
      </w:pPr>
      <w:r w:rsidRPr="00C94642">
        <w:rPr>
          <w:rFonts w:ascii="Calibri" w:eastAsia="Calibri" w:hAnsi="Calibri" w:cs="Times New Roman"/>
          <w:lang w:val="en-US"/>
        </w:rPr>
        <w:t xml:space="preserve">When appointed to </w:t>
      </w:r>
      <w:r w:rsidR="003915B8" w:rsidRPr="00C94642">
        <w:rPr>
          <w:rFonts w:ascii="Calibri" w:eastAsia="Calibri" w:hAnsi="Calibri" w:cs="Times New Roman"/>
          <w:lang w:val="en-US"/>
        </w:rPr>
        <w:t>the Advisory Group</w:t>
      </w:r>
      <w:r w:rsidRPr="00C94642">
        <w:rPr>
          <w:rFonts w:ascii="Calibri" w:eastAsia="Calibri" w:hAnsi="Calibri" w:cs="Times New Roman"/>
          <w:lang w:val="en-US"/>
        </w:rPr>
        <w:t>, member</w:t>
      </w:r>
      <w:r w:rsidR="00B21C0E" w:rsidRPr="00C94642">
        <w:rPr>
          <w:rFonts w:ascii="Calibri" w:eastAsia="Calibri" w:hAnsi="Calibri" w:cs="Times New Roman"/>
          <w:lang w:val="en-US"/>
        </w:rPr>
        <w:t xml:space="preserve"> representatives </w:t>
      </w:r>
      <w:r w:rsidRPr="00C94642">
        <w:rPr>
          <w:rFonts w:ascii="Calibri" w:eastAsia="Calibri" w:hAnsi="Calibri" w:cs="Times New Roman"/>
          <w:lang w:val="en-US"/>
        </w:rPr>
        <w:t xml:space="preserve">will </w:t>
      </w:r>
      <w:r w:rsidR="007E273D" w:rsidRPr="00C94642">
        <w:rPr>
          <w:rFonts w:ascii="Calibri" w:eastAsia="Calibri" w:hAnsi="Calibri" w:cs="Times New Roman"/>
          <w:lang w:val="en-US"/>
        </w:rPr>
        <w:t xml:space="preserve">be required </w:t>
      </w:r>
      <w:r w:rsidRPr="00C94642">
        <w:rPr>
          <w:rFonts w:ascii="Calibri" w:eastAsia="Calibri" w:hAnsi="Calibri" w:cs="Times New Roman"/>
          <w:lang w:val="en-US"/>
        </w:rPr>
        <w:t>sign a</w:t>
      </w:r>
      <w:r w:rsidR="007E273D" w:rsidRPr="00C94642">
        <w:rPr>
          <w:rFonts w:ascii="Calibri" w:eastAsia="Calibri" w:hAnsi="Calibri" w:cs="Times New Roman"/>
          <w:lang w:val="en-US"/>
        </w:rPr>
        <w:t xml:space="preserve"> confidentiality agreement</w:t>
      </w:r>
      <w:r w:rsidR="002B30DF" w:rsidRPr="00C94642">
        <w:rPr>
          <w:rFonts w:ascii="Calibri" w:eastAsia="Calibri" w:hAnsi="Calibri" w:cs="Times New Roman"/>
          <w:lang w:val="en-US"/>
        </w:rPr>
        <w:t>.</w:t>
      </w:r>
      <w:r w:rsidR="002B30DF">
        <w:rPr>
          <w:rFonts w:ascii="Calibri" w:eastAsia="Calibri" w:hAnsi="Calibri" w:cs="Times New Roman"/>
          <w:lang w:val="en-US"/>
        </w:rPr>
        <w:t xml:space="preserve"> </w:t>
      </w:r>
    </w:p>
    <w:p w14:paraId="6062A60E" w14:textId="2CF19F54" w:rsidR="003D1601" w:rsidRPr="003D1601" w:rsidRDefault="003D1601" w:rsidP="00AC4655">
      <w:pPr>
        <w:spacing w:after="120"/>
        <w:rPr>
          <w:rFonts w:ascii="Calibri" w:eastAsia="Calibri" w:hAnsi="Calibri" w:cs="Times New Roman"/>
          <w:lang w:val="en-US"/>
        </w:rPr>
      </w:pPr>
      <w:r w:rsidRPr="003D1601">
        <w:rPr>
          <w:rFonts w:ascii="Calibri" w:eastAsia="Calibri" w:hAnsi="Calibri" w:cs="Times New Roman"/>
          <w:lang w:val="en-US"/>
        </w:rPr>
        <w:t>All items to be treated as confidential must be clearly marked as such in the agenda</w:t>
      </w:r>
      <w:r w:rsidR="003915B8">
        <w:rPr>
          <w:rFonts w:ascii="Calibri" w:eastAsia="Calibri" w:hAnsi="Calibri" w:cs="Times New Roman"/>
          <w:lang w:val="en-US"/>
        </w:rPr>
        <w:t xml:space="preserve"> or out of session paper</w:t>
      </w:r>
      <w:r w:rsidRPr="003D1601">
        <w:rPr>
          <w:rFonts w:ascii="Calibri" w:eastAsia="Calibri" w:hAnsi="Calibri" w:cs="Times New Roman"/>
          <w:lang w:val="en-US"/>
        </w:rPr>
        <w:t>.</w:t>
      </w:r>
      <w:r w:rsidR="002B30DF">
        <w:rPr>
          <w:rFonts w:ascii="Calibri" w:eastAsia="Calibri" w:hAnsi="Calibri" w:cs="Times New Roman"/>
          <w:lang w:val="en-US"/>
        </w:rPr>
        <w:t xml:space="preserve"> </w:t>
      </w:r>
    </w:p>
    <w:p w14:paraId="43894C2A" w14:textId="77777777" w:rsidR="00820B43" w:rsidRPr="0030645A" w:rsidRDefault="00820B43" w:rsidP="00AC4655">
      <w:pPr>
        <w:pStyle w:val="Heading3"/>
        <w:spacing w:after="120"/>
        <w:rPr>
          <w:rFonts w:eastAsia="Calibri"/>
        </w:rPr>
      </w:pPr>
      <w:r w:rsidRPr="0030645A">
        <w:rPr>
          <w:rFonts w:eastAsia="Calibri"/>
        </w:rPr>
        <w:t>Conflict of Interest</w:t>
      </w:r>
    </w:p>
    <w:p w14:paraId="29A76C72" w14:textId="708FA0E3" w:rsidR="005B2927" w:rsidRPr="005B2927" w:rsidRDefault="005B2927" w:rsidP="005B2927">
      <w:pPr>
        <w:spacing w:after="120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 xml:space="preserve">A </w:t>
      </w:r>
      <w:r w:rsidR="00917447">
        <w:rPr>
          <w:rFonts w:ascii="Calibri" w:eastAsia="Calibri" w:hAnsi="Calibri" w:cs="Times New Roman"/>
        </w:rPr>
        <w:t>conflict-of-interest</w:t>
      </w:r>
      <w:r>
        <w:rPr>
          <w:rFonts w:ascii="Calibri" w:eastAsia="Calibri" w:hAnsi="Calibri" w:cs="Times New Roman"/>
        </w:rPr>
        <w:t xml:space="preserve"> declaration will be required to be completed by members prior to participating in the Advisory Group. </w:t>
      </w:r>
    </w:p>
    <w:p w14:paraId="053BC260" w14:textId="539A1F25" w:rsidR="00820B43" w:rsidRPr="00C237EF" w:rsidRDefault="00BF3976" w:rsidP="00AC4655">
      <w:pPr>
        <w:spacing w:after="120"/>
        <w:rPr>
          <w:rFonts w:ascii="Calibri" w:eastAsia="Calibri" w:hAnsi="Calibri" w:cs="Times New Roman"/>
          <w:lang w:val="en-US"/>
        </w:rPr>
      </w:pPr>
      <w:r w:rsidRPr="00BF3976">
        <w:rPr>
          <w:rFonts w:ascii="Calibri" w:eastAsia="Calibri" w:hAnsi="Calibri" w:cs="Times New Roman"/>
          <w:lang w:val="en-US"/>
        </w:rPr>
        <w:t>If a member becomes aware of a potential conflict of interest</w:t>
      </w:r>
      <w:r w:rsidR="005B2927">
        <w:rPr>
          <w:rFonts w:ascii="Calibri" w:eastAsia="Calibri" w:hAnsi="Calibri" w:cs="Times New Roman"/>
          <w:lang w:val="en-US"/>
        </w:rPr>
        <w:t xml:space="preserve"> </w:t>
      </w:r>
      <w:r w:rsidR="004277ED">
        <w:rPr>
          <w:rFonts w:ascii="Calibri" w:eastAsia="Calibri" w:hAnsi="Calibri" w:cs="Times New Roman"/>
          <w:lang w:val="en-US"/>
        </w:rPr>
        <w:t>during</w:t>
      </w:r>
      <w:r w:rsidR="005B2927">
        <w:rPr>
          <w:rFonts w:ascii="Calibri" w:eastAsia="Calibri" w:hAnsi="Calibri" w:cs="Times New Roman"/>
          <w:lang w:val="en-US"/>
        </w:rPr>
        <w:t xml:space="preserve"> a meeting</w:t>
      </w:r>
      <w:r w:rsidRPr="00BF3976">
        <w:rPr>
          <w:rFonts w:ascii="Calibri" w:eastAsia="Calibri" w:hAnsi="Calibri" w:cs="Times New Roman"/>
          <w:lang w:val="en-US"/>
        </w:rPr>
        <w:t xml:space="preserve">, </w:t>
      </w:r>
      <w:r w:rsidR="00AA7493">
        <w:rPr>
          <w:rFonts w:ascii="Calibri" w:eastAsia="Calibri" w:hAnsi="Calibri" w:cs="Times New Roman"/>
          <w:lang w:val="en-US"/>
        </w:rPr>
        <w:t>the member</w:t>
      </w:r>
      <w:r w:rsidRPr="00BF3976">
        <w:rPr>
          <w:rFonts w:ascii="Calibri" w:eastAsia="Calibri" w:hAnsi="Calibri" w:cs="Times New Roman"/>
          <w:lang w:val="en-US"/>
        </w:rPr>
        <w:t xml:space="preserve"> must immediately advise the Chair and, if appropriate, leave the meeting whilst the matter is discussed and not participate in any decision-making or advice related to the issue.</w:t>
      </w:r>
      <w:r w:rsidR="008D09F3">
        <w:rPr>
          <w:rFonts w:ascii="Calibri" w:eastAsia="Calibri" w:hAnsi="Calibri" w:cs="Times New Roman"/>
          <w:lang w:val="en-US"/>
        </w:rPr>
        <w:t xml:space="preserve"> </w:t>
      </w:r>
      <w:r w:rsidR="008D09F3" w:rsidRPr="008D09F3">
        <w:rPr>
          <w:rFonts w:ascii="Calibri" w:eastAsia="Calibri" w:hAnsi="Calibri" w:cs="Times New Roman"/>
          <w:lang w:val="en-US"/>
        </w:rPr>
        <w:t>This declaration will be noted in the meeting minutes.</w:t>
      </w:r>
    </w:p>
    <w:p w14:paraId="609C8B8E" w14:textId="77777777" w:rsidR="0030645A" w:rsidRDefault="00820B43" w:rsidP="00C94642">
      <w:pPr>
        <w:pStyle w:val="Heading2"/>
      </w:pPr>
      <w:r w:rsidRPr="0030645A">
        <w:rPr>
          <w:rFonts w:eastAsia="Calibri"/>
        </w:rPr>
        <w:t>Reporting</w:t>
      </w:r>
      <w:r w:rsidR="00110823" w:rsidRPr="0030645A">
        <w:t xml:space="preserve"> </w:t>
      </w:r>
    </w:p>
    <w:p w14:paraId="70A2A6A4" w14:textId="26511325" w:rsidR="00AA7493" w:rsidRPr="00AA7493" w:rsidRDefault="00110823" w:rsidP="00AC4655">
      <w:pPr>
        <w:spacing w:before="120" w:after="120"/>
        <w:jc w:val="both"/>
        <w:rPr>
          <w:rFonts w:ascii="Calibri" w:eastAsia="Calibri" w:hAnsi="Calibri" w:cs="Times New Roman"/>
        </w:rPr>
      </w:pPr>
      <w:r w:rsidRPr="00110823">
        <w:rPr>
          <w:rFonts w:ascii="Calibri" w:eastAsia="Calibri" w:hAnsi="Calibri" w:cs="Times New Roman"/>
        </w:rPr>
        <w:t xml:space="preserve">The </w:t>
      </w:r>
      <w:r w:rsidR="00AA7493">
        <w:rPr>
          <w:rFonts w:ascii="Calibri" w:eastAsia="Calibri" w:hAnsi="Calibri" w:cs="Times New Roman"/>
        </w:rPr>
        <w:t xml:space="preserve">Chair </w:t>
      </w:r>
      <w:r w:rsidR="00D22C7E">
        <w:rPr>
          <w:rFonts w:ascii="Calibri" w:eastAsia="Calibri" w:hAnsi="Calibri" w:cs="Times New Roman"/>
        </w:rPr>
        <w:t xml:space="preserve">will report to the EIC at each EIC meeting </w:t>
      </w:r>
      <w:r w:rsidR="00AA7493" w:rsidRPr="00AA7493">
        <w:rPr>
          <w:rFonts w:ascii="Calibri" w:eastAsia="Calibri" w:hAnsi="Calibri" w:cs="Times New Roman"/>
        </w:rPr>
        <w:t>or out of session as required.</w:t>
      </w:r>
    </w:p>
    <w:p w14:paraId="2ADFDC89" w14:textId="1C9B1D46" w:rsidR="00820B43" w:rsidRDefault="00AA7493" w:rsidP="00AC4655">
      <w:pPr>
        <w:spacing w:before="120" w:after="120"/>
        <w:rPr>
          <w:rFonts w:ascii="Calibri" w:eastAsia="Calibri" w:hAnsi="Calibri" w:cs="Times New Roman"/>
        </w:rPr>
      </w:pPr>
      <w:r w:rsidRPr="00AA7493">
        <w:rPr>
          <w:rFonts w:ascii="Calibri" w:eastAsia="Calibri" w:hAnsi="Calibri" w:cs="Times New Roman"/>
        </w:rPr>
        <w:lastRenderedPageBreak/>
        <w:t xml:space="preserve">This report will include a written update on </w:t>
      </w:r>
      <w:r w:rsidR="003915B8">
        <w:rPr>
          <w:rFonts w:ascii="Calibri" w:eastAsia="Calibri" w:hAnsi="Calibri" w:cs="Times New Roman"/>
        </w:rPr>
        <w:t>Advisory Group</w:t>
      </w:r>
      <w:r w:rsidR="003915B8" w:rsidRPr="00AA7493">
        <w:rPr>
          <w:rFonts w:ascii="Calibri" w:eastAsia="Calibri" w:hAnsi="Calibri" w:cs="Times New Roman"/>
        </w:rPr>
        <w:t xml:space="preserve"> </w:t>
      </w:r>
      <w:r w:rsidRPr="00AA7493">
        <w:rPr>
          <w:rFonts w:ascii="Calibri" w:eastAsia="Calibri" w:hAnsi="Calibri" w:cs="Times New Roman"/>
        </w:rPr>
        <w:t xml:space="preserve">discussions, </w:t>
      </w:r>
      <w:r w:rsidR="003915B8">
        <w:rPr>
          <w:rFonts w:ascii="Calibri" w:eastAsia="Calibri" w:hAnsi="Calibri" w:cs="Times New Roman"/>
        </w:rPr>
        <w:t xml:space="preserve">progress on priority activities, </w:t>
      </w:r>
      <w:r w:rsidRPr="00AA7493">
        <w:rPr>
          <w:rFonts w:ascii="Calibri" w:eastAsia="Calibri" w:hAnsi="Calibri" w:cs="Times New Roman"/>
        </w:rPr>
        <w:t xml:space="preserve">and any information or advice from the </w:t>
      </w:r>
      <w:r w:rsidR="003915B8">
        <w:rPr>
          <w:rFonts w:ascii="Calibri" w:eastAsia="Calibri" w:hAnsi="Calibri" w:cs="Times New Roman"/>
        </w:rPr>
        <w:t>Advisory Group to the Committee on relevant issues</w:t>
      </w:r>
      <w:r w:rsidRPr="00AA7493">
        <w:rPr>
          <w:rFonts w:ascii="Calibri" w:eastAsia="Calibri" w:hAnsi="Calibri" w:cs="Times New Roman"/>
        </w:rPr>
        <w:t>.</w:t>
      </w:r>
    </w:p>
    <w:p w14:paraId="7E47666D" w14:textId="6C9F1AF5" w:rsidR="00D975A6" w:rsidRPr="0030645A" w:rsidRDefault="00BF2152" w:rsidP="00AC4655">
      <w:pPr>
        <w:pStyle w:val="Heading2"/>
        <w:spacing w:after="120"/>
        <w:rPr>
          <w:rFonts w:eastAsia="Calibri"/>
        </w:rPr>
      </w:pPr>
      <w:r w:rsidRPr="0030645A">
        <w:rPr>
          <w:rFonts w:eastAsia="Calibri"/>
        </w:rPr>
        <w:t xml:space="preserve">Review of </w:t>
      </w:r>
      <w:r w:rsidR="00217DCB">
        <w:rPr>
          <w:rFonts w:eastAsia="Calibri"/>
        </w:rPr>
        <w:t>t</w:t>
      </w:r>
      <w:r w:rsidRPr="0030645A">
        <w:rPr>
          <w:rFonts w:eastAsia="Calibri"/>
        </w:rPr>
        <w:t xml:space="preserve">erms of </w:t>
      </w:r>
      <w:r w:rsidR="00217DCB">
        <w:rPr>
          <w:rFonts w:eastAsia="Calibri"/>
        </w:rPr>
        <w:t>r</w:t>
      </w:r>
      <w:r w:rsidRPr="0030645A">
        <w:rPr>
          <w:rFonts w:eastAsia="Calibri"/>
        </w:rPr>
        <w:t>eference</w:t>
      </w:r>
    </w:p>
    <w:p w14:paraId="14316035" w14:textId="2EDA1E91" w:rsidR="00AA7493" w:rsidRPr="00AA7493" w:rsidRDefault="00AA7493" w:rsidP="00AC4655">
      <w:pPr>
        <w:spacing w:after="120"/>
        <w:rPr>
          <w:rFonts w:ascii="Calibri" w:eastAsia="Calibri" w:hAnsi="Calibri" w:cs="Times New Roman"/>
        </w:rPr>
      </w:pPr>
      <w:r w:rsidRPr="00AA7493">
        <w:rPr>
          <w:rFonts w:ascii="Calibri" w:eastAsia="Calibri" w:hAnsi="Calibri" w:cs="Times New Roman"/>
        </w:rPr>
        <w:t xml:space="preserve">The terms of reference will be reviewed at least every two </w:t>
      </w:r>
      <w:r w:rsidR="00480206" w:rsidRPr="00AA7493">
        <w:rPr>
          <w:rFonts w:ascii="Calibri" w:eastAsia="Calibri" w:hAnsi="Calibri" w:cs="Times New Roman"/>
        </w:rPr>
        <w:t>years unless</w:t>
      </w:r>
      <w:r w:rsidRPr="00AA7493">
        <w:rPr>
          <w:rFonts w:ascii="Calibri" w:eastAsia="Calibri" w:hAnsi="Calibri" w:cs="Times New Roman"/>
        </w:rPr>
        <w:t xml:space="preserve"> there is a requirement to review it earlier.</w:t>
      </w:r>
    </w:p>
    <w:p w14:paraId="275758FD" w14:textId="3D425EBC" w:rsidR="007E273D" w:rsidRDefault="00AA7493" w:rsidP="00AC4655">
      <w:pPr>
        <w:spacing w:after="120"/>
        <w:rPr>
          <w:rFonts w:ascii="Calibri" w:eastAsia="Calibri" w:hAnsi="Calibri" w:cs="Times New Roman"/>
        </w:rPr>
      </w:pPr>
      <w:r w:rsidRPr="00AA7493">
        <w:rPr>
          <w:rFonts w:ascii="Calibri" w:eastAsia="Calibri" w:hAnsi="Calibri" w:cs="Times New Roman"/>
        </w:rPr>
        <w:t xml:space="preserve">In reviewing the terms of reference, consideration will be given to the progress in integrating environmental biosecurity and general biosecurity across forums and sectors. </w:t>
      </w:r>
    </w:p>
    <w:p w14:paraId="79231007" w14:textId="68B8215D" w:rsidR="007E273D" w:rsidRDefault="007E273D" w:rsidP="00AC4655">
      <w:pPr>
        <w:spacing w:after="120"/>
        <w:rPr>
          <w:rFonts w:ascii="Calibri" w:eastAsia="Calibri" w:hAnsi="Calibri" w:cs="Times New Roman"/>
        </w:rPr>
      </w:pPr>
    </w:p>
    <w:p w14:paraId="7AE4D7EE" w14:textId="79FAB0E2" w:rsidR="007E273D" w:rsidRDefault="007E273D">
      <w:pPr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br w:type="page"/>
      </w:r>
    </w:p>
    <w:p w14:paraId="6059D073" w14:textId="04E1F53C" w:rsidR="005E12C2" w:rsidRPr="00480206" w:rsidRDefault="005E12C2" w:rsidP="00480206">
      <w:pPr>
        <w:pStyle w:val="Heading1"/>
        <w:jc w:val="right"/>
        <w:rPr>
          <w:rFonts w:eastAsia="Calibri"/>
          <w:sz w:val="24"/>
          <w:szCs w:val="24"/>
        </w:rPr>
      </w:pPr>
      <w:r w:rsidRPr="00480206">
        <w:rPr>
          <w:rFonts w:eastAsia="Calibri"/>
          <w:sz w:val="24"/>
          <w:szCs w:val="24"/>
        </w:rPr>
        <w:lastRenderedPageBreak/>
        <w:t>Appendix A</w:t>
      </w:r>
    </w:p>
    <w:p w14:paraId="54434641" w14:textId="14D8E870" w:rsidR="007E273D" w:rsidRDefault="007E273D" w:rsidP="00480206">
      <w:pPr>
        <w:pStyle w:val="Heading1"/>
        <w:rPr>
          <w:rFonts w:eastAsia="Calibri"/>
        </w:rPr>
      </w:pPr>
      <w:r>
        <w:rPr>
          <w:rFonts w:eastAsia="Calibri"/>
        </w:rPr>
        <w:t>Environmental Biosecurity Advisory Group</w:t>
      </w:r>
    </w:p>
    <w:p w14:paraId="6C82C076" w14:textId="270F5131" w:rsidR="007E273D" w:rsidRDefault="007E273D" w:rsidP="00480206">
      <w:pPr>
        <w:pStyle w:val="Heading1"/>
        <w:tabs>
          <w:tab w:val="left" w:pos="6336"/>
        </w:tabs>
        <w:rPr>
          <w:rFonts w:eastAsia="Calibri"/>
        </w:rPr>
      </w:pPr>
      <w:r>
        <w:rPr>
          <w:rFonts w:eastAsia="Calibri"/>
        </w:rPr>
        <w:t>Membership</w:t>
      </w:r>
      <w:r w:rsidR="005E12C2">
        <w:rPr>
          <w:rFonts w:eastAsia="Calibri"/>
        </w:rPr>
        <w:tab/>
      </w:r>
    </w:p>
    <w:p w14:paraId="6A9EE09D" w14:textId="0F72D3CF" w:rsidR="007E273D" w:rsidRDefault="007E273D" w:rsidP="007E273D"/>
    <w:p w14:paraId="400A71A7" w14:textId="32C6BFAE" w:rsidR="006F4D2E" w:rsidRPr="00480206" w:rsidRDefault="006F4D2E" w:rsidP="00B27767">
      <w:pPr>
        <w:rPr>
          <w:rFonts w:cstheme="minorHAnsi"/>
          <w:lang w:eastAsia="ja-JP"/>
        </w:rPr>
      </w:pPr>
      <w:r>
        <w:rPr>
          <w:rFonts w:cstheme="minorHAnsi"/>
          <w:lang w:eastAsia="ja-JP"/>
        </w:rPr>
        <w:t xml:space="preserve">Australian Government </w:t>
      </w:r>
      <w:r w:rsidRPr="00480206">
        <w:rPr>
          <w:rFonts w:cstheme="minorHAnsi"/>
          <w:lang w:eastAsia="ja-JP"/>
        </w:rPr>
        <w:t>Department of Agriculture, Fisheries and Forestry</w:t>
      </w:r>
    </w:p>
    <w:p w14:paraId="6BB6EBC8" w14:textId="01C99A3E" w:rsidR="006F4D2E" w:rsidRPr="00480206" w:rsidRDefault="006F4D2E" w:rsidP="00B27767">
      <w:pPr>
        <w:rPr>
          <w:rFonts w:cstheme="minorHAnsi"/>
          <w:lang w:eastAsia="ja-JP"/>
        </w:rPr>
      </w:pPr>
      <w:r>
        <w:rPr>
          <w:rFonts w:cstheme="minorHAnsi"/>
          <w:lang w:eastAsia="ja-JP"/>
        </w:rPr>
        <w:t xml:space="preserve">Australian Government </w:t>
      </w:r>
      <w:r w:rsidRPr="00480206">
        <w:rPr>
          <w:rFonts w:cstheme="minorHAnsi"/>
          <w:lang w:eastAsia="ja-JP"/>
        </w:rPr>
        <w:t>Department of Climate Change, Energy, the Environment and Water</w:t>
      </w:r>
    </w:p>
    <w:p w14:paraId="63805456" w14:textId="77777777" w:rsidR="006F4D2E" w:rsidRPr="00480206" w:rsidRDefault="006F4D2E" w:rsidP="00B27767">
      <w:pPr>
        <w:rPr>
          <w:rFonts w:cstheme="minorHAnsi"/>
          <w:lang w:eastAsia="ja-JP"/>
        </w:rPr>
      </w:pPr>
      <w:r w:rsidRPr="00480206">
        <w:rPr>
          <w:rFonts w:cstheme="minorHAnsi"/>
          <w:lang w:eastAsia="ja-JP"/>
        </w:rPr>
        <w:t>Bush Heritage Australia</w:t>
      </w:r>
    </w:p>
    <w:p w14:paraId="4D304AAC" w14:textId="77777777" w:rsidR="006F4D2E" w:rsidRPr="00480206" w:rsidRDefault="006F4D2E" w:rsidP="00B27767">
      <w:pPr>
        <w:rPr>
          <w:rFonts w:cstheme="minorHAnsi"/>
          <w:lang w:eastAsia="ja-JP"/>
        </w:rPr>
      </w:pPr>
      <w:r w:rsidRPr="00480206">
        <w:rPr>
          <w:rFonts w:cstheme="minorHAnsi"/>
          <w:lang w:eastAsia="ja-JP"/>
        </w:rPr>
        <w:t>Centre for Excellence in Biosecurity Risk Analysis</w:t>
      </w:r>
    </w:p>
    <w:p w14:paraId="50AD83BF" w14:textId="77777777" w:rsidR="006F4D2E" w:rsidRPr="00480206" w:rsidRDefault="006F4D2E" w:rsidP="00B27767">
      <w:pPr>
        <w:rPr>
          <w:rFonts w:cstheme="minorHAnsi"/>
          <w:lang w:eastAsia="ja-JP"/>
        </w:rPr>
      </w:pPr>
      <w:r w:rsidRPr="00480206">
        <w:rPr>
          <w:rFonts w:cstheme="minorHAnsi"/>
          <w:lang w:eastAsia="ja-JP"/>
        </w:rPr>
        <w:t>Council of Australasian Weed Societies</w:t>
      </w:r>
    </w:p>
    <w:p w14:paraId="2BA4195E" w14:textId="77777777" w:rsidR="006F4D2E" w:rsidRPr="00480206" w:rsidRDefault="006F4D2E" w:rsidP="00B27767">
      <w:pPr>
        <w:rPr>
          <w:rFonts w:cstheme="minorHAnsi"/>
          <w:lang w:eastAsia="ja-JP"/>
        </w:rPr>
      </w:pPr>
      <w:r w:rsidRPr="00480206">
        <w:rPr>
          <w:rFonts w:cstheme="minorHAnsi"/>
          <w:lang w:eastAsia="ja-JP"/>
        </w:rPr>
        <w:t>Ecological Society of Australia</w:t>
      </w:r>
    </w:p>
    <w:p w14:paraId="516E02F7" w14:textId="77777777" w:rsidR="006F4D2E" w:rsidRPr="00480206" w:rsidRDefault="006F4D2E" w:rsidP="00B27767">
      <w:pPr>
        <w:rPr>
          <w:rFonts w:cstheme="minorHAnsi"/>
          <w:lang w:eastAsia="ja-JP"/>
        </w:rPr>
      </w:pPr>
      <w:r w:rsidRPr="00480206">
        <w:rPr>
          <w:rFonts w:cstheme="minorHAnsi"/>
          <w:lang w:eastAsia="ja-JP"/>
        </w:rPr>
        <w:t>Eco Tourism Australia</w:t>
      </w:r>
    </w:p>
    <w:p w14:paraId="04749314" w14:textId="239B8C5C" w:rsidR="006F4D2E" w:rsidRPr="00480206" w:rsidRDefault="006F4D2E" w:rsidP="00B27767">
      <w:pPr>
        <w:rPr>
          <w:rFonts w:cstheme="minorHAnsi"/>
          <w:lang w:eastAsia="ja-JP"/>
        </w:rPr>
      </w:pPr>
      <w:r w:rsidRPr="00480206">
        <w:rPr>
          <w:rFonts w:cstheme="minorHAnsi"/>
          <w:lang w:eastAsia="ja-JP"/>
        </w:rPr>
        <w:t>Indigenous Advisory Committee Chair</w:t>
      </w:r>
    </w:p>
    <w:p w14:paraId="073B1579" w14:textId="77777777" w:rsidR="006F4D2E" w:rsidRPr="00480206" w:rsidRDefault="006F4D2E" w:rsidP="00B27767">
      <w:pPr>
        <w:rPr>
          <w:rFonts w:cstheme="minorHAnsi"/>
          <w:lang w:eastAsia="ja-JP"/>
        </w:rPr>
      </w:pPr>
      <w:r w:rsidRPr="00480206">
        <w:rPr>
          <w:rFonts w:cstheme="minorHAnsi"/>
          <w:lang w:eastAsia="ja-JP"/>
        </w:rPr>
        <w:t>Invasive Species Council</w:t>
      </w:r>
    </w:p>
    <w:p w14:paraId="00B38712" w14:textId="77777777" w:rsidR="006F4D2E" w:rsidRPr="00480206" w:rsidRDefault="006F4D2E" w:rsidP="00B27767">
      <w:pPr>
        <w:rPr>
          <w:rFonts w:cstheme="minorHAnsi"/>
          <w:lang w:eastAsia="ja-JP"/>
        </w:rPr>
      </w:pPr>
      <w:r w:rsidRPr="00480206">
        <w:rPr>
          <w:rFonts w:cstheme="minorHAnsi"/>
          <w:lang w:eastAsia="ja-JP"/>
        </w:rPr>
        <w:t xml:space="preserve">National Landcare Network &amp; Landcare Australia </w:t>
      </w:r>
      <w:r w:rsidRPr="00480206">
        <w:rPr>
          <w:rFonts w:ascii="Calibri" w:hAnsi="Calibri"/>
        </w:rPr>
        <w:t>(joint representation)</w:t>
      </w:r>
    </w:p>
    <w:p w14:paraId="0251754A" w14:textId="77777777" w:rsidR="006F4D2E" w:rsidRPr="00480206" w:rsidRDefault="006F4D2E" w:rsidP="00B27767">
      <w:pPr>
        <w:rPr>
          <w:rFonts w:cstheme="minorHAnsi"/>
          <w:lang w:eastAsia="ja-JP"/>
        </w:rPr>
      </w:pPr>
      <w:r w:rsidRPr="00480206">
        <w:rPr>
          <w:rFonts w:cstheme="minorHAnsi"/>
          <w:lang w:eastAsia="ja-JP"/>
        </w:rPr>
        <w:t>National Farmers’ Federation</w:t>
      </w:r>
    </w:p>
    <w:p w14:paraId="0A0D50C2" w14:textId="330EC2AB" w:rsidR="006F4D2E" w:rsidRDefault="006F4D2E" w:rsidP="00B27767">
      <w:pPr>
        <w:rPr>
          <w:rFonts w:cstheme="minorHAnsi"/>
          <w:color w:val="000000" w:themeColor="text1"/>
          <w:lang w:eastAsia="ja-JP"/>
        </w:rPr>
      </w:pPr>
      <w:r w:rsidRPr="00480206">
        <w:rPr>
          <w:rFonts w:cstheme="minorHAnsi"/>
          <w:color w:val="000000" w:themeColor="text1"/>
          <w:lang w:eastAsia="ja-JP"/>
        </w:rPr>
        <w:t xml:space="preserve">NRM </w:t>
      </w:r>
      <w:r w:rsidR="00761071">
        <w:rPr>
          <w:rFonts w:cstheme="minorHAnsi"/>
          <w:color w:val="000000" w:themeColor="text1"/>
          <w:lang w:eastAsia="ja-JP"/>
        </w:rPr>
        <w:t xml:space="preserve">Regions </w:t>
      </w:r>
      <w:r w:rsidRPr="00480206">
        <w:rPr>
          <w:rFonts w:cstheme="minorHAnsi"/>
          <w:color w:val="000000" w:themeColor="text1"/>
          <w:lang w:eastAsia="ja-JP"/>
        </w:rPr>
        <w:t>Australia</w:t>
      </w:r>
    </w:p>
    <w:p w14:paraId="019A6EE6" w14:textId="5CF72E3D" w:rsidR="003A0357" w:rsidRPr="00480206" w:rsidRDefault="003A0357" w:rsidP="00B27767">
      <w:pPr>
        <w:rPr>
          <w:rFonts w:cstheme="minorHAnsi"/>
          <w:color w:val="7F7F7F" w:themeColor="text1" w:themeTint="80"/>
          <w:lang w:eastAsia="ja-JP"/>
        </w:rPr>
      </w:pPr>
      <w:r>
        <w:rPr>
          <w:rFonts w:cstheme="minorHAnsi"/>
          <w:color w:val="000000" w:themeColor="text1"/>
          <w:lang w:eastAsia="ja-JP"/>
        </w:rPr>
        <w:t xml:space="preserve">Wildlife Health Australia </w:t>
      </w:r>
    </w:p>
    <w:p w14:paraId="3BDFDC48" w14:textId="77777777" w:rsidR="006F4D2E" w:rsidRPr="00480206" w:rsidRDefault="006F4D2E" w:rsidP="00B27767">
      <w:pPr>
        <w:rPr>
          <w:rFonts w:cstheme="minorHAnsi"/>
          <w:lang w:eastAsia="ja-JP"/>
        </w:rPr>
      </w:pPr>
      <w:r w:rsidRPr="00480206">
        <w:rPr>
          <w:rFonts w:cstheme="minorHAnsi"/>
          <w:lang w:eastAsia="ja-JP"/>
        </w:rPr>
        <w:t>WWF Australia</w:t>
      </w:r>
    </w:p>
    <w:p w14:paraId="4334769A" w14:textId="77777777" w:rsidR="007E273D" w:rsidRPr="007E273D" w:rsidRDefault="007E273D" w:rsidP="00480206"/>
    <w:p w14:paraId="5500AE29" w14:textId="77777777" w:rsidR="00E41E42" w:rsidRDefault="00E41E42" w:rsidP="00AC4655">
      <w:pPr>
        <w:spacing w:after="120"/>
      </w:pPr>
    </w:p>
    <w:sectPr w:rsidR="00E41E42">
      <w:foot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B80316" w14:textId="77777777" w:rsidR="00B16782" w:rsidRDefault="00B16782" w:rsidP="009526A0">
      <w:pPr>
        <w:spacing w:after="0" w:line="240" w:lineRule="auto"/>
      </w:pPr>
      <w:r>
        <w:separator/>
      </w:r>
    </w:p>
  </w:endnote>
  <w:endnote w:type="continuationSeparator" w:id="0">
    <w:p w14:paraId="606D9DBE" w14:textId="77777777" w:rsidR="00B16782" w:rsidRDefault="00B16782" w:rsidP="009526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29902403"/>
      <w:docPartObj>
        <w:docPartGallery w:val="Page Numbers (Bottom of Page)"/>
        <w:docPartUnique/>
      </w:docPartObj>
    </w:sdtPr>
    <w:sdtEndPr/>
    <w:sdtContent>
      <w:p w14:paraId="6B5BE12A" w14:textId="016FD79C" w:rsidR="00287631" w:rsidRDefault="00287631">
        <w:pPr>
          <w:pStyle w:val="Footer"/>
          <w:jc w:val="right"/>
        </w:pPr>
        <w:r>
          <w:t xml:space="preserve">Page | </w:t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E55E3">
          <w:rPr>
            <w:noProof/>
          </w:rPr>
          <w:t>4</w:t>
        </w:r>
        <w:r>
          <w:rPr>
            <w:noProof/>
          </w:rPr>
          <w:fldChar w:fldCharType="end"/>
        </w:r>
        <w:r>
          <w:t xml:space="preserve"> </w:t>
        </w:r>
      </w:p>
    </w:sdtContent>
  </w:sdt>
  <w:p w14:paraId="3ED9F07C" w14:textId="77777777" w:rsidR="00156BE7" w:rsidRDefault="00156BE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5E01C1" w14:textId="77777777" w:rsidR="00B16782" w:rsidRDefault="00B16782" w:rsidP="009526A0">
      <w:pPr>
        <w:spacing w:after="0" w:line="240" w:lineRule="auto"/>
      </w:pPr>
      <w:r>
        <w:separator/>
      </w:r>
    </w:p>
  </w:footnote>
  <w:footnote w:type="continuationSeparator" w:id="0">
    <w:p w14:paraId="34A356C1" w14:textId="77777777" w:rsidR="00B16782" w:rsidRDefault="00B16782" w:rsidP="009526A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1A624F"/>
    <w:multiLevelType w:val="hybridMultilevel"/>
    <w:tmpl w:val="BDC00BE8"/>
    <w:lvl w:ilvl="0" w:tplc="9A507CE4">
      <w:numFmt w:val="bullet"/>
      <w:lvlText w:val="•"/>
      <w:lvlJc w:val="left"/>
      <w:pPr>
        <w:ind w:left="1080" w:hanging="720"/>
      </w:pPr>
      <w:rPr>
        <w:rFonts w:ascii="Calibri" w:eastAsia="Calibri" w:hAnsi="Calibri" w:cs="Calibr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457192"/>
    <w:multiLevelType w:val="hybridMultilevel"/>
    <w:tmpl w:val="8FBC91D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3211B1"/>
    <w:multiLevelType w:val="hybridMultilevel"/>
    <w:tmpl w:val="ACC0D08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5612DCE"/>
    <w:multiLevelType w:val="hybridMultilevel"/>
    <w:tmpl w:val="DDDCCF3A"/>
    <w:lvl w:ilvl="0" w:tplc="F7426916">
      <w:numFmt w:val="bullet"/>
      <w:lvlText w:val="•"/>
      <w:lvlJc w:val="left"/>
      <w:pPr>
        <w:ind w:left="1080" w:hanging="720"/>
      </w:pPr>
      <w:rPr>
        <w:rFonts w:ascii="Calibri" w:eastAsia="Calibri" w:hAnsi="Calibri" w:cs="Calibr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93D542E"/>
    <w:multiLevelType w:val="hybridMultilevel"/>
    <w:tmpl w:val="756E797A"/>
    <w:lvl w:ilvl="0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2B5F14D3"/>
    <w:multiLevelType w:val="hybridMultilevel"/>
    <w:tmpl w:val="40683DBE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41C507B"/>
    <w:multiLevelType w:val="hybridMultilevel"/>
    <w:tmpl w:val="947E169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B0E4084"/>
    <w:multiLevelType w:val="hybridMultilevel"/>
    <w:tmpl w:val="292CEBE4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E161B26"/>
    <w:multiLevelType w:val="hybridMultilevel"/>
    <w:tmpl w:val="74FC5BEA"/>
    <w:lvl w:ilvl="0" w:tplc="0C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3FD051AD"/>
    <w:multiLevelType w:val="hybridMultilevel"/>
    <w:tmpl w:val="2932EFD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52C6AAD"/>
    <w:multiLevelType w:val="hybridMultilevel"/>
    <w:tmpl w:val="87207DB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88E30FB"/>
    <w:multiLevelType w:val="hybridMultilevel"/>
    <w:tmpl w:val="33F6F30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E154BD1"/>
    <w:multiLevelType w:val="hybridMultilevel"/>
    <w:tmpl w:val="B6BE35B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3885B57"/>
    <w:multiLevelType w:val="hybridMultilevel"/>
    <w:tmpl w:val="D82CB800"/>
    <w:lvl w:ilvl="0" w:tplc="9A507CE4">
      <w:numFmt w:val="bullet"/>
      <w:lvlText w:val="•"/>
      <w:lvlJc w:val="left"/>
      <w:pPr>
        <w:ind w:left="1080" w:hanging="720"/>
      </w:pPr>
      <w:rPr>
        <w:rFonts w:ascii="Calibri" w:eastAsia="Calibri" w:hAnsi="Calibri" w:cs="Calibr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9694816"/>
    <w:multiLevelType w:val="hybridMultilevel"/>
    <w:tmpl w:val="6D6675E8"/>
    <w:lvl w:ilvl="0" w:tplc="9A507CE4">
      <w:numFmt w:val="bullet"/>
      <w:lvlText w:val="•"/>
      <w:lvlJc w:val="left"/>
      <w:pPr>
        <w:ind w:left="1080" w:hanging="720"/>
      </w:pPr>
      <w:rPr>
        <w:rFonts w:ascii="Calibri" w:eastAsia="Calibri" w:hAnsi="Calibri" w:cs="Calibr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5372F37"/>
    <w:multiLevelType w:val="hybridMultilevel"/>
    <w:tmpl w:val="B4A6D7AE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6087BEE"/>
    <w:multiLevelType w:val="hybridMultilevel"/>
    <w:tmpl w:val="3A08A2A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7212DA3"/>
    <w:multiLevelType w:val="hybridMultilevel"/>
    <w:tmpl w:val="E0940B3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729544F"/>
    <w:multiLevelType w:val="hybridMultilevel"/>
    <w:tmpl w:val="2AC42DA0"/>
    <w:lvl w:ilvl="0" w:tplc="9A507CE4">
      <w:numFmt w:val="bullet"/>
      <w:lvlText w:val="•"/>
      <w:lvlJc w:val="left"/>
      <w:pPr>
        <w:ind w:left="1440" w:hanging="720"/>
      </w:pPr>
      <w:rPr>
        <w:rFonts w:ascii="Calibri" w:eastAsia="Calibri" w:hAnsi="Calibri" w:cs="Calibri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677B1BD3"/>
    <w:multiLevelType w:val="hybridMultilevel"/>
    <w:tmpl w:val="B256339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8861A06"/>
    <w:multiLevelType w:val="hybridMultilevel"/>
    <w:tmpl w:val="25AED18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8C763F9"/>
    <w:multiLevelType w:val="hybridMultilevel"/>
    <w:tmpl w:val="1EEA543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CDC7FD4"/>
    <w:multiLevelType w:val="hybridMultilevel"/>
    <w:tmpl w:val="82403AE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6004152"/>
    <w:multiLevelType w:val="hybridMultilevel"/>
    <w:tmpl w:val="6DB42F30"/>
    <w:lvl w:ilvl="0" w:tplc="0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78E67407"/>
    <w:multiLevelType w:val="hybridMultilevel"/>
    <w:tmpl w:val="14C08176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797146C5"/>
    <w:multiLevelType w:val="hybridMultilevel"/>
    <w:tmpl w:val="8EFA706A"/>
    <w:lvl w:ilvl="0" w:tplc="9A507CE4">
      <w:numFmt w:val="bullet"/>
      <w:lvlText w:val="•"/>
      <w:lvlJc w:val="left"/>
      <w:pPr>
        <w:ind w:left="1080" w:hanging="720"/>
      </w:pPr>
      <w:rPr>
        <w:rFonts w:ascii="Calibri" w:eastAsia="Calibri" w:hAnsi="Calibri" w:cs="Calibr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99925EE"/>
    <w:multiLevelType w:val="hybridMultilevel"/>
    <w:tmpl w:val="92A42BD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82261214">
    <w:abstractNumId w:val="20"/>
  </w:num>
  <w:num w:numId="2" w16cid:durableId="1297293172">
    <w:abstractNumId w:val="10"/>
  </w:num>
  <w:num w:numId="3" w16cid:durableId="264847871">
    <w:abstractNumId w:val="12"/>
  </w:num>
  <w:num w:numId="4" w16cid:durableId="696659483">
    <w:abstractNumId w:val="11"/>
  </w:num>
  <w:num w:numId="5" w16cid:durableId="459805296">
    <w:abstractNumId w:val="2"/>
  </w:num>
  <w:num w:numId="6" w16cid:durableId="543441447">
    <w:abstractNumId w:val="23"/>
  </w:num>
  <w:num w:numId="7" w16cid:durableId="1451171113">
    <w:abstractNumId w:val="7"/>
  </w:num>
  <w:num w:numId="8" w16cid:durableId="875048513">
    <w:abstractNumId w:val="15"/>
  </w:num>
  <w:num w:numId="9" w16cid:durableId="1381052749">
    <w:abstractNumId w:val="8"/>
  </w:num>
  <w:num w:numId="10" w16cid:durableId="1694958748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228346892">
    <w:abstractNumId w:val="5"/>
  </w:num>
  <w:num w:numId="12" w16cid:durableId="73432662">
    <w:abstractNumId w:val="1"/>
  </w:num>
  <w:num w:numId="13" w16cid:durableId="1220941420">
    <w:abstractNumId w:val="3"/>
  </w:num>
  <w:num w:numId="14" w16cid:durableId="350648268">
    <w:abstractNumId w:val="17"/>
  </w:num>
  <w:num w:numId="15" w16cid:durableId="29231505">
    <w:abstractNumId w:val="6"/>
  </w:num>
  <w:num w:numId="16" w16cid:durableId="602229193">
    <w:abstractNumId w:val="0"/>
  </w:num>
  <w:num w:numId="17" w16cid:durableId="1881818685">
    <w:abstractNumId w:val="14"/>
  </w:num>
  <w:num w:numId="18" w16cid:durableId="474031305">
    <w:abstractNumId w:val="18"/>
  </w:num>
  <w:num w:numId="19" w16cid:durableId="638924962">
    <w:abstractNumId w:val="26"/>
  </w:num>
  <w:num w:numId="20" w16cid:durableId="1116408769">
    <w:abstractNumId w:val="13"/>
  </w:num>
  <w:num w:numId="21" w16cid:durableId="679896629">
    <w:abstractNumId w:val="25"/>
  </w:num>
  <w:num w:numId="22" w16cid:durableId="441802610">
    <w:abstractNumId w:val="21"/>
  </w:num>
  <w:num w:numId="23" w16cid:durableId="348722840">
    <w:abstractNumId w:val="16"/>
  </w:num>
  <w:num w:numId="24" w16cid:durableId="696464011">
    <w:abstractNumId w:val="19"/>
  </w:num>
  <w:num w:numId="25" w16cid:durableId="1263998108">
    <w:abstractNumId w:val="4"/>
  </w:num>
  <w:num w:numId="26" w16cid:durableId="229772816">
    <w:abstractNumId w:val="9"/>
  </w:num>
  <w:num w:numId="27" w16cid:durableId="410934510">
    <w:abstractNumId w:val="22"/>
  </w:num>
  <w:num w:numId="28" w16cid:durableId="695155320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defaultTabStop w:val="720"/>
  <w:characterSpacingControl w:val="doNotCompress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1E42"/>
    <w:rsid w:val="00003669"/>
    <w:rsid w:val="000372D6"/>
    <w:rsid w:val="00102C80"/>
    <w:rsid w:val="00104717"/>
    <w:rsid w:val="00110823"/>
    <w:rsid w:val="00130EB0"/>
    <w:rsid w:val="00132A5D"/>
    <w:rsid w:val="00156BE7"/>
    <w:rsid w:val="001711B0"/>
    <w:rsid w:val="00171B27"/>
    <w:rsid w:val="0019303A"/>
    <w:rsid w:val="001B4643"/>
    <w:rsid w:val="001C266D"/>
    <w:rsid w:val="001D0296"/>
    <w:rsid w:val="001F4F38"/>
    <w:rsid w:val="001F6A2A"/>
    <w:rsid w:val="002008FA"/>
    <w:rsid w:val="00202D6E"/>
    <w:rsid w:val="00217DCB"/>
    <w:rsid w:val="002303BA"/>
    <w:rsid w:val="0023058B"/>
    <w:rsid w:val="002404ED"/>
    <w:rsid w:val="0026044F"/>
    <w:rsid w:val="00287631"/>
    <w:rsid w:val="002A4D11"/>
    <w:rsid w:val="002B30DF"/>
    <w:rsid w:val="002B6D39"/>
    <w:rsid w:val="002D6F1E"/>
    <w:rsid w:val="002F183A"/>
    <w:rsid w:val="0030645A"/>
    <w:rsid w:val="00310A87"/>
    <w:rsid w:val="00320968"/>
    <w:rsid w:val="00343369"/>
    <w:rsid w:val="00344F5B"/>
    <w:rsid w:val="003645BB"/>
    <w:rsid w:val="00373C4B"/>
    <w:rsid w:val="00381F94"/>
    <w:rsid w:val="003915B8"/>
    <w:rsid w:val="003A0357"/>
    <w:rsid w:val="003D1601"/>
    <w:rsid w:val="003E488D"/>
    <w:rsid w:val="003E59D9"/>
    <w:rsid w:val="00405C4D"/>
    <w:rsid w:val="00406E9A"/>
    <w:rsid w:val="00413036"/>
    <w:rsid w:val="004220BD"/>
    <w:rsid w:val="004277ED"/>
    <w:rsid w:val="004369BC"/>
    <w:rsid w:val="00441D03"/>
    <w:rsid w:val="004420BA"/>
    <w:rsid w:val="00480206"/>
    <w:rsid w:val="0049505C"/>
    <w:rsid w:val="00497959"/>
    <w:rsid w:val="004B0F36"/>
    <w:rsid w:val="004C0E82"/>
    <w:rsid w:val="004C7BEE"/>
    <w:rsid w:val="004E3560"/>
    <w:rsid w:val="004E55E3"/>
    <w:rsid w:val="004F4708"/>
    <w:rsid w:val="0054563B"/>
    <w:rsid w:val="0054753E"/>
    <w:rsid w:val="0059446F"/>
    <w:rsid w:val="005A0CFA"/>
    <w:rsid w:val="005B2927"/>
    <w:rsid w:val="005B4983"/>
    <w:rsid w:val="005E12C2"/>
    <w:rsid w:val="006105B7"/>
    <w:rsid w:val="006661B1"/>
    <w:rsid w:val="006845A0"/>
    <w:rsid w:val="006853DB"/>
    <w:rsid w:val="006937C3"/>
    <w:rsid w:val="00693829"/>
    <w:rsid w:val="00694363"/>
    <w:rsid w:val="006D37C7"/>
    <w:rsid w:val="006E392D"/>
    <w:rsid w:val="006F3360"/>
    <w:rsid w:val="006F3AA6"/>
    <w:rsid w:val="006F4D2E"/>
    <w:rsid w:val="006F701C"/>
    <w:rsid w:val="007005E6"/>
    <w:rsid w:val="007063E4"/>
    <w:rsid w:val="007129EA"/>
    <w:rsid w:val="00716655"/>
    <w:rsid w:val="00725C32"/>
    <w:rsid w:val="00731D1F"/>
    <w:rsid w:val="00761071"/>
    <w:rsid w:val="007A5E8B"/>
    <w:rsid w:val="007B100D"/>
    <w:rsid w:val="007C3586"/>
    <w:rsid w:val="007D368A"/>
    <w:rsid w:val="007E142E"/>
    <w:rsid w:val="007E273D"/>
    <w:rsid w:val="007E5B0B"/>
    <w:rsid w:val="008042DD"/>
    <w:rsid w:val="00806290"/>
    <w:rsid w:val="00810992"/>
    <w:rsid w:val="00820B43"/>
    <w:rsid w:val="0084224B"/>
    <w:rsid w:val="00842E4B"/>
    <w:rsid w:val="00845B37"/>
    <w:rsid w:val="00867B2E"/>
    <w:rsid w:val="00876F05"/>
    <w:rsid w:val="008967E9"/>
    <w:rsid w:val="008976A4"/>
    <w:rsid w:val="008A1C66"/>
    <w:rsid w:val="008C1004"/>
    <w:rsid w:val="008D09F3"/>
    <w:rsid w:val="008F7CD2"/>
    <w:rsid w:val="009078AE"/>
    <w:rsid w:val="009142AF"/>
    <w:rsid w:val="00917447"/>
    <w:rsid w:val="00930B13"/>
    <w:rsid w:val="00943E09"/>
    <w:rsid w:val="009516AD"/>
    <w:rsid w:val="009526A0"/>
    <w:rsid w:val="00966C25"/>
    <w:rsid w:val="00981465"/>
    <w:rsid w:val="009B2E6A"/>
    <w:rsid w:val="009B2F33"/>
    <w:rsid w:val="009B4A9F"/>
    <w:rsid w:val="009C4626"/>
    <w:rsid w:val="009C7C32"/>
    <w:rsid w:val="009E1788"/>
    <w:rsid w:val="009F023F"/>
    <w:rsid w:val="00A011B2"/>
    <w:rsid w:val="00A05AF9"/>
    <w:rsid w:val="00A0711B"/>
    <w:rsid w:val="00A07F49"/>
    <w:rsid w:val="00A16F94"/>
    <w:rsid w:val="00A17E07"/>
    <w:rsid w:val="00A33C12"/>
    <w:rsid w:val="00A546A2"/>
    <w:rsid w:val="00A607ED"/>
    <w:rsid w:val="00A93585"/>
    <w:rsid w:val="00AA0D86"/>
    <w:rsid w:val="00AA7493"/>
    <w:rsid w:val="00AC4655"/>
    <w:rsid w:val="00AE030B"/>
    <w:rsid w:val="00AF17EA"/>
    <w:rsid w:val="00B16782"/>
    <w:rsid w:val="00B21C0E"/>
    <w:rsid w:val="00B35717"/>
    <w:rsid w:val="00B47B0C"/>
    <w:rsid w:val="00B76388"/>
    <w:rsid w:val="00B83726"/>
    <w:rsid w:val="00B86942"/>
    <w:rsid w:val="00BB5E82"/>
    <w:rsid w:val="00BC477E"/>
    <w:rsid w:val="00BD1873"/>
    <w:rsid w:val="00BD2D41"/>
    <w:rsid w:val="00BD4224"/>
    <w:rsid w:val="00BE27F8"/>
    <w:rsid w:val="00BF2152"/>
    <w:rsid w:val="00BF3976"/>
    <w:rsid w:val="00C14028"/>
    <w:rsid w:val="00C237EF"/>
    <w:rsid w:val="00C94642"/>
    <w:rsid w:val="00CB58F9"/>
    <w:rsid w:val="00CD2D24"/>
    <w:rsid w:val="00CD72AC"/>
    <w:rsid w:val="00CE4607"/>
    <w:rsid w:val="00CF2AB2"/>
    <w:rsid w:val="00CF318A"/>
    <w:rsid w:val="00D0328D"/>
    <w:rsid w:val="00D03AF8"/>
    <w:rsid w:val="00D22C7E"/>
    <w:rsid w:val="00D57328"/>
    <w:rsid w:val="00D6060D"/>
    <w:rsid w:val="00D71640"/>
    <w:rsid w:val="00D73EC9"/>
    <w:rsid w:val="00D74D0C"/>
    <w:rsid w:val="00D77C6B"/>
    <w:rsid w:val="00D8356C"/>
    <w:rsid w:val="00D975A6"/>
    <w:rsid w:val="00DB5011"/>
    <w:rsid w:val="00DC663D"/>
    <w:rsid w:val="00DD16F6"/>
    <w:rsid w:val="00DD4E8B"/>
    <w:rsid w:val="00DE226F"/>
    <w:rsid w:val="00DE478C"/>
    <w:rsid w:val="00E0531D"/>
    <w:rsid w:val="00E27CD3"/>
    <w:rsid w:val="00E41E42"/>
    <w:rsid w:val="00E42B86"/>
    <w:rsid w:val="00E43400"/>
    <w:rsid w:val="00EB584C"/>
    <w:rsid w:val="00EF1C4B"/>
    <w:rsid w:val="00F021D6"/>
    <w:rsid w:val="00F1654F"/>
    <w:rsid w:val="00F73E6A"/>
    <w:rsid w:val="00F8384E"/>
    <w:rsid w:val="00FC1C03"/>
    <w:rsid w:val="00FE2902"/>
    <w:rsid w:val="00FE7027"/>
    <w:rsid w:val="00FF11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/>
    <o:shapelayout v:ext="edit">
      <o:idmap v:ext="edit" data="1"/>
    </o:shapelayout>
  </w:shapeDefaults>
  <w:decimalSymbol w:val="."/>
  <w:listSeparator w:val=","/>
  <w14:docId w14:val="3DBBCB3C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16655"/>
  </w:style>
  <w:style w:type="paragraph" w:styleId="Heading1">
    <w:name w:val="heading 1"/>
    <w:basedOn w:val="Normal"/>
    <w:next w:val="Normal"/>
    <w:link w:val="Heading1Char"/>
    <w:uiPriority w:val="9"/>
    <w:qFormat/>
    <w:rsid w:val="002B6D3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2096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320968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43E0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9526A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526A0"/>
  </w:style>
  <w:style w:type="paragraph" w:styleId="Footer">
    <w:name w:val="footer"/>
    <w:basedOn w:val="Normal"/>
    <w:link w:val="FooterChar"/>
    <w:uiPriority w:val="99"/>
    <w:unhideWhenUsed/>
    <w:rsid w:val="009526A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526A0"/>
  </w:style>
  <w:style w:type="character" w:styleId="CommentReference">
    <w:name w:val="annotation reference"/>
    <w:basedOn w:val="DefaultParagraphFont"/>
    <w:uiPriority w:val="99"/>
    <w:semiHidden/>
    <w:unhideWhenUsed/>
    <w:rsid w:val="0084224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84224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4224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4224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4224B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4224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4224B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BE27F8"/>
    <w:pPr>
      <w:spacing w:after="0" w:line="240" w:lineRule="auto"/>
    </w:pPr>
  </w:style>
  <w:style w:type="character" w:customStyle="1" w:styleId="Heading2Char">
    <w:name w:val="Heading 2 Char"/>
    <w:basedOn w:val="DefaultParagraphFont"/>
    <w:link w:val="Heading2"/>
    <w:uiPriority w:val="9"/>
    <w:rsid w:val="00320968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320968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styleId="FootnoteReference">
    <w:name w:val="footnote reference"/>
    <w:basedOn w:val="DefaultParagraphFont"/>
    <w:uiPriority w:val="99"/>
    <w:semiHidden/>
    <w:rsid w:val="00D03AF8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rsid w:val="00D03AF8"/>
    <w:pPr>
      <w:spacing w:before="120" w:after="120" w:line="240" w:lineRule="auto"/>
    </w:pPr>
    <w:rPr>
      <w:rFonts w:ascii="Calibri" w:eastAsia="Times New Roman" w:hAnsi="Calibri" w:cs="Times New Roman"/>
      <w:sz w:val="20"/>
      <w:szCs w:val="20"/>
      <w:lang w:eastAsia="en-AU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D03AF8"/>
    <w:rPr>
      <w:rFonts w:ascii="Calibri" w:eastAsia="Times New Roman" w:hAnsi="Calibri" w:cs="Times New Roman"/>
      <w:sz w:val="20"/>
      <w:szCs w:val="20"/>
      <w:lang w:eastAsia="en-AU"/>
    </w:rPr>
  </w:style>
  <w:style w:type="character" w:customStyle="1" w:styleId="Heading1Char">
    <w:name w:val="Heading 1 Char"/>
    <w:basedOn w:val="DefaultParagraphFont"/>
    <w:link w:val="Heading1"/>
    <w:uiPriority w:val="9"/>
    <w:rsid w:val="002B6D39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table" w:styleId="TableGrid">
    <w:name w:val="Table Grid"/>
    <w:basedOn w:val="TableNormal"/>
    <w:uiPriority w:val="59"/>
    <w:rsid w:val="006F4D2E"/>
    <w:pPr>
      <w:spacing w:after="0" w:line="240" w:lineRule="auto"/>
    </w:pPr>
    <w:rPr>
      <w:rFonts w:ascii="Cambria" w:eastAsia="Calibri" w:hAnsi="Cambria" w:cs="Times New Roman"/>
      <w:sz w:val="20"/>
      <w:szCs w:val="20"/>
      <w:lang w:eastAsia="en-A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34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75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8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12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90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9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4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8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0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69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00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7D3C301-E0A7-46FF-96A1-DFAD896E97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1276</Words>
  <Characters>7274</Characters>
  <Application>Microsoft Office Word</Application>
  <DocSecurity>0</DocSecurity>
  <Lines>60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2023-11-03T04:32:00Z</dcterms:created>
  <dcterms:modified xsi:type="dcterms:W3CDTF">2024-04-15T00:28:00Z</dcterms:modified>
</cp:coreProperties>
</file>