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345EE" w14:textId="658576F6" w:rsidR="008D1866" w:rsidRDefault="008D1866">
      <w:pPr>
        <w:pStyle w:val="Heading1"/>
        <w:spacing w:before="120"/>
        <w:rPr>
          <w:rFonts w:asciiTheme="minorHAnsi" w:hAnsiTheme="minorHAnsi" w:cstheme="minorHAnsi"/>
        </w:rPr>
      </w:pPr>
      <w:bookmarkStart w:id="0" w:name="_Hlk213063521"/>
      <w:r w:rsidRPr="00D16554">
        <w:rPr>
          <w:rFonts w:asciiTheme="minorHAnsi" w:hAnsiTheme="minorHAnsi" w:cstheme="minorHAnsi"/>
        </w:rPr>
        <w:t xml:space="preserve">Environmental Biosecurity Project Fund </w:t>
      </w:r>
      <w:bookmarkEnd w:id="0"/>
      <w:r>
        <w:rPr>
          <w:rFonts w:asciiTheme="minorHAnsi" w:hAnsiTheme="minorHAnsi" w:cstheme="minorHAnsi"/>
        </w:rPr>
        <w:t>a</w:t>
      </w:r>
      <w:r w:rsidRPr="00D16554">
        <w:rPr>
          <w:rFonts w:asciiTheme="minorHAnsi" w:hAnsiTheme="minorHAnsi" w:cstheme="minorHAnsi"/>
        </w:rPr>
        <w:t xml:space="preserve">pplicant </w:t>
      </w:r>
      <w:r>
        <w:rPr>
          <w:rFonts w:asciiTheme="minorHAnsi" w:hAnsiTheme="minorHAnsi" w:cstheme="minorHAnsi"/>
        </w:rPr>
        <w:t>g</w:t>
      </w:r>
      <w:r w:rsidRPr="00D16554">
        <w:rPr>
          <w:rFonts w:asciiTheme="minorHAnsi" w:hAnsiTheme="minorHAnsi" w:cstheme="minorHAnsi"/>
        </w:rPr>
        <w:t>uidelines</w:t>
      </w:r>
    </w:p>
    <w:p w14:paraId="4187916D" w14:textId="5FB4D1C6" w:rsidR="00250FE9" w:rsidRPr="00250FE9" w:rsidRDefault="00250FE9" w:rsidP="00465CEC">
      <w:pPr>
        <w:spacing w:before="120"/>
      </w:pPr>
      <w:r>
        <w:t>The</w:t>
      </w:r>
      <w:r w:rsidR="00021A19">
        <w:t>se</w:t>
      </w:r>
      <w:r>
        <w:t xml:space="preserve"> guidelines </w:t>
      </w:r>
      <w:r w:rsidR="00021A19">
        <w:t xml:space="preserve">describe </w:t>
      </w:r>
      <w:r>
        <w:t xml:space="preserve">the process for applying for funding under the </w:t>
      </w:r>
      <w:r w:rsidRPr="00014C2C">
        <w:t>Environmental Biosecurity Project Fund.</w:t>
      </w:r>
    </w:p>
    <w:p w14:paraId="4D0D265E" w14:textId="7FB2B183" w:rsidR="008D1866" w:rsidRPr="00175ED4" w:rsidRDefault="00175ED4" w:rsidP="00465CEC">
      <w:pPr>
        <w:pStyle w:val="Heading2"/>
        <w:numPr>
          <w:ilvl w:val="0"/>
          <w:numId w:val="0"/>
        </w:numPr>
        <w:ind w:left="720" w:hanging="720"/>
      </w:pPr>
      <w:r w:rsidRPr="00E474B8">
        <w:t>O</w:t>
      </w:r>
      <w:r w:rsidR="008D1866" w:rsidRPr="00175ED4">
        <w:t>bjectives</w:t>
      </w:r>
    </w:p>
    <w:p w14:paraId="2999C740" w14:textId="0C8C976E" w:rsidR="00EF60EA" w:rsidRPr="00175ED4" w:rsidRDefault="00EF60EA" w:rsidP="00465CEC">
      <w:r>
        <w:rPr>
          <w:lang w:eastAsia="ja-JP"/>
        </w:rPr>
        <w:t xml:space="preserve">The </w:t>
      </w:r>
      <w:r w:rsidRPr="00EF60EA">
        <w:rPr>
          <w:lang w:eastAsia="ja-JP"/>
        </w:rPr>
        <w:t>Environmental Biosecurity Project Fund</w:t>
      </w:r>
      <w:r>
        <w:rPr>
          <w:lang w:eastAsia="ja-JP"/>
        </w:rPr>
        <w:t xml:space="preserve"> </w:t>
      </w:r>
      <w:r>
        <w:t>(EBPF)</w:t>
      </w:r>
      <w:r>
        <w:rPr>
          <w:lang w:eastAsia="ja-JP"/>
        </w:rPr>
        <w:t xml:space="preserve"> </w:t>
      </w:r>
      <w:r w:rsidR="00520BFA">
        <w:rPr>
          <w:lang w:eastAsia="ja-JP"/>
        </w:rPr>
        <w:t>has 4 objectives</w:t>
      </w:r>
      <w:r>
        <w:rPr>
          <w:lang w:eastAsia="ja-JP"/>
        </w:rPr>
        <w:t>:</w:t>
      </w:r>
    </w:p>
    <w:p w14:paraId="049984C6" w14:textId="5B71356B" w:rsidR="008D1866" w:rsidRDefault="008D1866" w:rsidP="00465CEC">
      <w:pPr>
        <w:pStyle w:val="ListNumber"/>
      </w:pPr>
      <w:r>
        <w:t>Enhance surveillance, detection and diagnostic capabilities for environmental biosecurity threats.</w:t>
      </w:r>
    </w:p>
    <w:p w14:paraId="108742A0" w14:textId="211B389E" w:rsidR="008D1866" w:rsidRDefault="008D1866" w:rsidP="00465CEC">
      <w:pPr>
        <w:pStyle w:val="ListNumber"/>
      </w:pPr>
      <w:r>
        <w:t>Foster expertise, networks and collaboration to enable coordinated and effective responses to environmental biosecurity threats.</w:t>
      </w:r>
    </w:p>
    <w:p w14:paraId="75EE629F" w14:textId="2C57CAB5" w:rsidR="00D72146" w:rsidRDefault="00D72146" w:rsidP="00465CEC">
      <w:pPr>
        <w:pStyle w:val="ListNumber"/>
      </w:pPr>
      <w:r>
        <w:t>Improve capacity for biosecurity preparedness and response.</w:t>
      </w:r>
    </w:p>
    <w:p w14:paraId="65CFB1E4" w14:textId="3F085C45" w:rsidR="008D1866" w:rsidRDefault="008D1866" w:rsidP="00465CEC">
      <w:pPr>
        <w:pStyle w:val="ListNumber"/>
      </w:pPr>
      <w:r>
        <w:t>Raise awareness and understanding of environmental biosecurity.</w:t>
      </w:r>
    </w:p>
    <w:p w14:paraId="288C0F17" w14:textId="77777777" w:rsidR="008D1866" w:rsidRDefault="008D1866" w:rsidP="008D1866">
      <w:pPr>
        <w:pStyle w:val="Heading2"/>
        <w:numPr>
          <w:ilvl w:val="0"/>
          <w:numId w:val="0"/>
        </w:numPr>
        <w:ind w:left="720" w:hanging="720"/>
      </w:pPr>
      <w:r>
        <w:t>Priorities</w:t>
      </w:r>
    </w:p>
    <w:p w14:paraId="202BAA24" w14:textId="14DE83E9" w:rsidR="008D1866" w:rsidRDefault="004915DC" w:rsidP="008D1866">
      <w:r>
        <w:t xml:space="preserve">The </w:t>
      </w:r>
      <w:r w:rsidR="00190692">
        <w:t>EBPF</w:t>
      </w:r>
      <w:r w:rsidR="008D1866">
        <w:t xml:space="preserve"> contribute</w:t>
      </w:r>
      <w:r w:rsidR="009E0413">
        <w:t>s</w:t>
      </w:r>
      <w:r w:rsidR="008D1866">
        <w:t xml:space="preserve"> to the </w:t>
      </w:r>
      <w:r w:rsidR="00EF60EA">
        <w:t xml:space="preserve">following </w:t>
      </w:r>
      <w:r w:rsidR="008D1866">
        <w:t xml:space="preserve">priority outcomes, especially for species </w:t>
      </w:r>
      <w:r w:rsidR="00190692">
        <w:t xml:space="preserve">on the </w:t>
      </w:r>
      <w:hyperlink r:id="rId11" w:history="1">
        <w:r w:rsidR="00190692" w:rsidRPr="00190692">
          <w:rPr>
            <w:rStyle w:val="Hyperlink"/>
          </w:rPr>
          <w:t>Exotic Environmental Pest List</w:t>
        </w:r>
      </w:hyperlink>
      <w:r w:rsidR="00190692">
        <w:t xml:space="preserve"> (EEPL).</w:t>
      </w:r>
    </w:p>
    <w:p w14:paraId="462AF72D" w14:textId="701CCBA6" w:rsidR="008D1866" w:rsidRDefault="008D1866" w:rsidP="008D1866">
      <w:pPr>
        <w:pStyle w:val="Heading3"/>
        <w:numPr>
          <w:ilvl w:val="0"/>
          <w:numId w:val="0"/>
        </w:numPr>
        <w:ind w:left="964" w:hanging="964"/>
      </w:pPr>
      <w:r>
        <w:t>Preparedness</w:t>
      </w:r>
    </w:p>
    <w:p w14:paraId="795959DA" w14:textId="30509C17" w:rsidR="008D1866" w:rsidRDefault="008D1866" w:rsidP="008D1866">
      <w:pPr>
        <w:pStyle w:val="ListBullet"/>
      </w:pPr>
      <w:r>
        <w:t>Improved understanding of the risks posed by exotic environmental pests, weeds and diseases, including their impacts on the environment, cultural assets and First Nations people.</w:t>
      </w:r>
    </w:p>
    <w:p w14:paraId="73D8FE99" w14:textId="757EC469" w:rsidR="008D1866" w:rsidRDefault="008D1866" w:rsidP="008D1866">
      <w:pPr>
        <w:pStyle w:val="ListBullet"/>
      </w:pPr>
      <w:r>
        <w:t>Development of response plans that deliver coordinated processes, outline clear responsibilities and timely response activities to manage environmental biosecurity risks</w:t>
      </w:r>
      <w:r w:rsidR="00520BFA">
        <w:t>,</w:t>
      </w:r>
      <w:r>
        <w:t xml:space="preserve"> and include perspectives of First Nations people.</w:t>
      </w:r>
    </w:p>
    <w:p w14:paraId="66AC1DE7" w14:textId="1E4BA6E0" w:rsidR="008D1866" w:rsidRDefault="008D1866" w:rsidP="008D1866">
      <w:pPr>
        <w:pStyle w:val="ListBullet"/>
      </w:pPr>
      <w:r>
        <w:t>Research, development and innovation to increase the efficiency and effectiveness of biosecurity operations, including control measures to prevent or respond to the entry of exotic environmental pests, weeds and diseases.</w:t>
      </w:r>
    </w:p>
    <w:p w14:paraId="74041D87" w14:textId="64F8E360" w:rsidR="008D1866" w:rsidRDefault="008D1866" w:rsidP="008D1866">
      <w:pPr>
        <w:pStyle w:val="Heading3"/>
        <w:numPr>
          <w:ilvl w:val="0"/>
          <w:numId w:val="0"/>
        </w:numPr>
        <w:ind w:left="964" w:hanging="964"/>
      </w:pPr>
      <w:r>
        <w:t>Surveillance and diagnostics</w:t>
      </w:r>
    </w:p>
    <w:p w14:paraId="5CEDB27C" w14:textId="4EAE0879" w:rsidR="008D1866" w:rsidRDefault="008D1866" w:rsidP="008D1866">
      <w:pPr>
        <w:pStyle w:val="ListBullet"/>
      </w:pPr>
      <w:r>
        <w:t>Increased diagnostic capability and capacity for exotic environmental pests, weeds and diseases to support definitive diagnosis, including improved or innovative technologies for identification (e.g. rapid diagnostic tools).</w:t>
      </w:r>
    </w:p>
    <w:p w14:paraId="25E5355C" w14:textId="37773293" w:rsidR="008D1866" w:rsidRDefault="008D1866" w:rsidP="008D1866">
      <w:pPr>
        <w:pStyle w:val="ListBullet"/>
      </w:pPr>
      <w:r>
        <w:t>Assessing environmental biosecurity risks to support surveillance at entry points and high-risk locations.</w:t>
      </w:r>
    </w:p>
    <w:p w14:paraId="653CDCFE" w14:textId="2E396DED" w:rsidR="008D1866" w:rsidRDefault="008D1866" w:rsidP="008D1866">
      <w:pPr>
        <w:pStyle w:val="ListBullet"/>
      </w:pPr>
      <w:r>
        <w:lastRenderedPageBreak/>
        <w:t>Broaden existing surveillance activities, using risk assessment to identify environmental biosecurity risks (e.g. pathways for exotic environmental pests, weeds and diseases).</w:t>
      </w:r>
    </w:p>
    <w:p w14:paraId="6AF6DC8E" w14:textId="19BE2DA7" w:rsidR="008D1866" w:rsidRDefault="008D1866" w:rsidP="008D1866">
      <w:pPr>
        <w:pStyle w:val="ListBullet"/>
      </w:pPr>
      <w:r>
        <w:t>Improve detection tools and systems to enhance our ability to detect exotic environmental pests, weeds and diseases.</w:t>
      </w:r>
    </w:p>
    <w:p w14:paraId="1B781D16" w14:textId="7D92D93C" w:rsidR="008D1866" w:rsidRDefault="008D1866" w:rsidP="008D1866">
      <w:pPr>
        <w:pStyle w:val="Heading3"/>
        <w:numPr>
          <w:ilvl w:val="0"/>
          <w:numId w:val="0"/>
        </w:numPr>
        <w:ind w:left="964" w:hanging="964"/>
      </w:pPr>
      <w:r>
        <w:t>Response</w:t>
      </w:r>
    </w:p>
    <w:p w14:paraId="6A00A53D" w14:textId="72DBFC54" w:rsidR="008D1866" w:rsidRPr="00FA36A0" w:rsidRDefault="008D1866" w:rsidP="008D1866">
      <w:pPr>
        <w:pStyle w:val="ListBullet"/>
      </w:pPr>
      <w:r>
        <w:t xml:space="preserve">Responsible agencies, experts </w:t>
      </w:r>
      <w:r w:rsidRPr="00FA36A0">
        <w:t>and the community are well-connected to enact timely responses to the detection of exotic environmental pests, weeds and diseases.</w:t>
      </w:r>
    </w:p>
    <w:p w14:paraId="35D0039B" w14:textId="0ABA05D6" w:rsidR="008D1866" w:rsidRPr="00FA36A0" w:rsidRDefault="008D1866" w:rsidP="008D1866">
      <w:pPr>
        <w:pStyle w:val="ListBullet"/>
      </w:pPr>
      <w:r w:rsidRPr="00FA36A0">
        <w:t>Response personnel are adequately trained and have the resources, skills and capacity to implement response plans.</w:t>
      </w:r>
    </w:p>
    <w:p w14:paraId="0827211C" w14:textId="73AA7EE9" w:rsidR="008D1866" w:rsidRDefault="008D1866" w:rsidP="008D1866">
      <w:pPr>
        <w:pStyle w:val="ListBullet"/>
      </w:pPr>
      <w:r w:rsidRPr="00FA36A0">
        <w:t>Mechanisms to review, evaluate and modify response plans according</w:t>
      </w:r>
      <w:r>
        <w:t xml:space="preserve"> to identification of new risks, changing priorities or the development of new control measures.</w:t>
      </w:r>
    </w:p>
    <w:p w14:paraId="602DF3CE" w14:textId="21D4FF26" w:rsidR="008D1866" w:rsidRDefault="008D1866" w:rsidP="008D1866">
      <w:pPr>
        <w:pStyle w:val="Heading3"/>
        <w:numPr>
          <w:ilvl w:val="0"/>
          <w:numId w:val="0"/>
        </w:numPr>
      </w:pPr>
      <w:r>
        <w:t>Environmental biosecurity education, engagement and communication</w:t>
      </w:r>
    </w:p>
    <w:p w14:paraId="5DEF0E5C" w14:textId="0EF4D3C1" w:rsidR="008D1866" w:rsidRDefault="008D1866" w:rsidP="008D1866">
      <w:pPr>
        <w:pStyle w:val="ListBullet"/>
      </w:pPr>
      <w:r>
        <w:t>Effective engagement that improves public awareness of environmental biosecurity and the role we all play in managing the threats to our natural environment, cultural assets and way of life.</w:t>
      </w:r>
    </w:p>
    <w:p w14:paraId="3706C82C" w14:textId="18176626" w:rsidR="008D1866" w:rsidRPr="00FA36A0" w:rsidRDefault="008D1866" w:rsidP="008D1866">
      <w:pPr>
        <w:pStyle w:val="ListBullet"/>
      </w:pPr>
      <w:r w:rsidRPr="00FA36A0">
        <w:t>Communication of, and access to, educational resources and practical tools (e.g. for diagnostics and surveillance) to enhance participation in environmental biosecurity activities.</w:t>
      </w:r>
    </w:p>
    <w:p w14:paraId="3A2D8235" w14:textId="3FCA7868" w:rsidR="008D1866" w:rsidRDefault="008D1866" w:rsidP="008D1866">
      <w:pPr>
        <w:pStyle w:val="ListBullet"/>
      </w:pPr>
      <w:r w:rsidRPr="00FA36A0">
        <w:t>Supporting First Nations-led activities, that raise awareness of and consider environmental biosecurity risks to</w:t>
      </w:r>
      <w:r>
        <w:t xml:space="preserve"> culture and community.</w:t>
      </w:r>
    </w:p>
    <w:p w14:paraId="2C4215F2" w14:textId="77777777" w:rsidR="008D1866" w:rsidRDefault="008D1866" w:rsidP="008D1866">
      <w:pPr>
        <w:pStyle w:val="Heading3"/>
        <w:numPr>
          <w:ilvl w:val="0"/>
          <w:numId w:val="0"/>
        </w:numPr>
        <w:ind w:left="964" w:hanging="964"/>
      </w:pPr>
      <w:r>
        <w:t>National strategies and plans</w:t>
      </w:r>
    </w:p>
    <w:p w14:paraId="7E50B442" w14:textId="08AF1C6C" w:rsidR="008D1866" w:rsidRDefault="001453F8" w:rsidP="008D1866">
      <w:r>
        <w:t>A</w:t>
      </w:r>
      <w:r w:rsidR="008D1866">
        <w:t>pplicants should demonstrate how the</w:t>
      </w:r>
      <w:r>
        <w:t>ir</w:t>
      </w:r>
      <w:r w:rsidR="008D1866">
        <w:t xml:space="preserve"> project contributes to national biosecurity strategies and plans</w:t>
      </w:r>
      <w:r w:rsidR="00646180">
        <w:t>, including</w:t>
      </w:r>
      <w:r>
        <w:t>:</w:t>
      </w:r>
    </w:p>
    <w:p w14:paraId="5DE5F910" w14:textId="45DD9E5B" w:rsidR="007B7A94" w:rsidRPr="00CE0005" w:rsidRDefault="007B7A94" w:rsidP="008D1866">
      <w:pPr>
        <w:pStyle w:val="ListBullet"/>
      </w:pPr>
      <w:hyperlink r:id="rId12" w:history="1">
        <w:r>
          <w:rPr>
            <w:rStyle w:val="Hyperlink"/>
          </w:rPr>
          <w:t>Commonwealth Biose</w:t>
        </w:r>
        <w:r>
          <w:rPr>
            <w:rStyle w:val="Hyperlink"/>
          </w:rPr>
          <w:t>curity 2030</w:t>
        </w:r>
      </w:hyperlink>
    </w:p>
    <w:p w14:paraId="5A90CBCE" w14:textId="466720BC" w:rsidR="007B7A94" w:rsidRPr="001453F8" w:rsidRDefault="007B7A94" w:rsidP="008D1866">
      <w:pPr>
        <w:pStyle w:val="ListBullet"/>
      </w:pPr>
      <w:hyperlink r:id="rId13" w:history="1">
        <w:r w:rsidRPr="001453F8">
          <w:rPr>
            <w:rStyle w:val="Hyperlink"/>
          </w:rPr>
          <w:t>DAFF Biosecurity 2030 Roadmap</w:t>
        </w:r>
      </w:hyperlink>
    </w:p>
    <w:p w14:paraId="7FE77460" w14:textId="77777777" w:rsidR="007B7A94" w:rsidRPr="00CE0005" w:rsidRDefault="007B7A94" w:rsidP="008D1866">
      <w:pPr>
        <w:pStyle w:val="ListBullet"/>
      </w:pPr>
      <w:hyperlink r:id="rId14" w:history="1">
        <w:r w:rsidRPr="00CE0005">
          <w:rPr>
            <w:rStyle w:val="Hyperlink"/>
          </w:rPr>
          <w:t>Exotic Environmental Pest List</w:t>
        </w:r>
      </w:hyperlink>
    </w:p>
    <w:p w14:paraId="6D687F35" w14:textId="77777777" w:rsidR="007B7A94" w:rsidRPr="00CE0005" w:rsidRDefault="007B7A94" w:rsidP="008D1866">
      <w:pPr>
        <w:pStyle w:val="ListBullet"/>
      </w:pPr>
      <w:hyperlink r:id="rId15" w:history="1">
        <w:r w:rsidRPr="00CE0005">
          <w:rPr>
            <w:rStyle w:val="Hyperlink"/>
          </w:rPr>
          <w:t>National Biosecurity Strategy</w:t>
        </w:r>
      </w:hyperlink>
    </w:p>
    <w:p w14:paraId="5CE509AA" w14:textId="2434239D" w:rsidR="007B7A94" w:rsidRPr="00CE0005" w:rsidRDefault="007B7A94" w:rsidP="008D1866">
      <w:pPr>
        <w:pStyle w:val="ListBullet"/>
      </w:pPr>
      <w:hyperlink r:id="rId16" w:history="1">
        <w:r>
          <w:rPr>
            <w:rStyle w:val="Hyperlink"/>
          </w:rPr>
          <w:t>National Environment and Community Biosecurity Research, Development and Extension Strategy 2021–26</w:t>
        </w:r>
      </w:hyperlink>
    </w:p>
    <w:p w14:paraId="59B0B0DF" w14:textId="55B02271" w:rsidR="007B7A94" w:rsidRDefault="007B7A94" w:rsidP="008D1866">
      <w:pPr>
        <w:pStyle w:val="ListBullet"/>
      </w:pPr>
      <w:hyperlink r:id="rId17" w:history="1">
        <w:r>
          <w:rPr>
            <w:rStyle w:val="Hyperlink"/>
          </w:rPr>
          <w:t>National Invasive Ant Biosecurity Plan 2018–28</w:t>
        </w:r>
      </w:hyperlink>
      <w:r>
        <w:t>.</w:t>
      </w:r>
    </w:p>
    <w:p w14:paraId="48B16998" w14:textId="5DDDD226" w:rsidR="001453F8" w:rsidRPr="001453F8" w:rsidRDefault="001453F8" w:rsidP="00465CEC">
      <w:r>
        <w:t>Other strategies and plans may be relevant in managing specific threats.</w:t>
      </w:r>
    </w:p>
    <w:p w14:paraId="52B33E3F" w14:textId="77777777" w:rsidR="008D1866" w:rsidRDefault="008D1866" w:rsidP="008D1866">
      <w:pPr>
        <w:pStyle w:val="Heading2"/>
        <w:numPr>
          <w:ilvl w:val="0"/>
          <w:numId w:val="0"/>
        </w:numPr>
        <w:ind w:left="720" w:hanging="720"/>
      </w:pPr>
      <w:r>
        <w:t>Eligibility</w:t>
      </w:r>
    </w:p>
    <w:p w14:paraId="2BD736AB" w14:textId="7AE0B5CA" w:rsidR="008D1866" w:rsidRDefault="008D1866" w:rsidP="008D1866">
      <w:r>
        <w:t>Applications are open to</w:t>
      </w:r>
      <w:r w:rsidR="00B838BC">
        <w:t xml:space="preserve"> organisations</w:t>
      </w:r>
      <w:r w:rsidR="00473BBF">
        <w:t xml:space="preserve"> </w:t>
      </w:r>
      <w:r>
        <w:t xml:space="preserve">who </w:t>
      </w:r>
      <w:r w:rsidR="00B838BC">
        <w:t xml:space="preserve">have </w:t>
      </w:r>
      <w:r>
        <w:t>an ABN, including</w:t>
      </w:r>
      <w:r w:rsidR="00E42F6F">
        <w:t xml:space="preserve"> state</w:t>
      </w:r>
      <w:r w:rsidR="00B838BC">
        <w:t>,</w:t>
      </w:r>
      <w:r w:rsidR="00473BBF">
        <w:t xml:space="preserve"> </w:t>
      </w:r>
      <w:r w:rsidR="00E42F6F">
        <w:t>territory</w:t>
      </w:r>
      <w:r>
        <w:t xml:space="preserve"> </w:t>
      </w:r>
      <w:r w:rsidR="00B838BC">
        <w:t xml:space="preserve">and local </w:t>
      </w:r>
      <w:r>
        <w:t>government</w:t>
      </w:r>
      <w:r w:rsidR="00E42F6F">
        <w:t>s</w:t>
      </w:r>
      <w:r w:rsidR="00B838BC">
        <w:t xml:space="preserve"> (excluding Commonwealth entities) </w:t>
      </w:r>
      <w:r>
        <w:t>and non-government organisations.</w:t>
      </w:r>
    </w:p>
    <w:p w14:paraId="450755C3" w14:textId="5905321A" w:rsidR="008D1866" w:rsidRDefault="001E580E" w:rsidP="008D1866">
      <w:pPr>
        <w:pStyle w:val="Heading2"/>
        <w:numPr>
          <w:ilvl w:val="0"/>
          <w:numId w:val="0"/>
        </w:numPr>
        <w:ind w:left="720" w:hanging="720"/>
      </w:pPr>
      <w:r>
        <w:lastRenderedPageBreak/>
        <w:t>How to apply</w:t>
      </w:r>
    </w:p>
    <w:p w14:paraId="458D6779" w14:textId="086BB484" w:rsidR="008D1866" w:rsidRPr="008D1866" w:rsidRDefault="000660EB" w:rsidP="008D1866">
      <w:r>
        <w:t>Using t</w:t>
      </w:r>
      <w:r w:rsidR="008D1866" w:rsidRPr="008D1866">
        <w:t xml:space="preserve">he </w:t>
      </w:r>
      <w:r w:rsidR="001E580E" w:rsidRPr="00EF60EA">
        <w:rPr>
          <w:lang w:eastAsia="ja-JP"/>
        </w:rPr>
        <w:t>Environmental Biosecurity Project Fund</w:t>
      </w:r>
      <w:r w:rsidR="001E580E">
        <w:t xml:space="preserve"> </w:t>
      </w:r>
      <w:r w:rsidR="008D1866" w:rsidRPr="008D1866">
        <w:t>application form</w:t>
      </w:r>
      <w:r>
        <w:t xml:space="preserve">, provide </w:t>
      </w:r>
      <w:r w:rsidR="008D1866" w:rsidRPr="008D1866">
        <w:t xml:space="preserve">details </w:t>
      </w:r>
      <w:r>
        <w:t xml:space="preserve">about </w:t>
      </w:r>
      <w:r w:rsidR="008D1866" w:rsidRPr="008D1866">
        <w:t>your proposed project</w:t>
      </w:r>
      <w:r>
        <w:t>, including</w:t>
      </w:r>
      <w:r w:rsidR="008D1866" w:rsidRPr="008D1866">
        <w:t>:</w:t>
      </w:r>
    </w:p>
    <w:p w14:paraId="5CC769A4" w14:textId="26F8EB7F" w:rsidR="008D1866" w:rsidRPr="008D1866" w:rsidRDefault="008D1866" w:rsidP="008D1866">
      <w:pPr>
        <w:pStyle w:val="ListBullet"/>
      </w:pPr>
      <w:r w:rsidRPr="008D1866">
        <w:t xml:space="preserve">key activities, end goals and outcomes </w:t>
      </w:r>
      <w:r w:rsidR="001453F8">
        <w:t>that meet</w:t>
      </w:r>
      <w:r w:rsidRPr="008D1866">
        <w:t xml:space="preserve"> </w:t>
      </w:r>
      <w:r w:rsidR="001453F8">
        <w:t>EBPF</w:t>
      </w:r>
      <w:r w:rsidR="001453F8" w:rsidRPr="008D1866">
        <w:t xml:space="preserve"> </w:t>
      </w:r>
      <w:r w:rsidRPr="008D1866">
        <w:t>objectives</w:t>
      </w:r>
    </w:p>
    <w:p w14:paraId="692CACDD" w14:textId="366F1BD0" w:rsidR="008D1866" w:rsidRPr="008D1866" w:rsidRDefault="008D1866" w:rsidP="008D1866">
      <w:pPr>
        <w:pStyle w:val="ListBullet"/>
      </w:pPr>
      <w:r w:rsidRPr="008D1866">
        <w:t>timing</w:t>
      </w:r>
    </w:p>
    <w:p w14:paraId="71F096E3" w14:textId="5F8AC8A3" w:rsidR="008D1866" w:rsidRPr="008D1866" w:rsidRDefault="008D1866" w:rsidP="008D1866">
      <w:pPr>
        <w:pStyle w:val="ListBullet"/>
      </w:pPr>
      <w:r w:rsidRPr="008D1866">
        <w:t>metrics and maintenance</w:t>
      </w:r>
    </w:p>
    <w:p w14:paraId="35D9854A" w14:textId="3483A9A8" w:rsidR="008D1866" w:rsidRPr="008D1866" w:rsidRDefault="008D1866" w:rsidP="008D1866">
      <w:pPr>
        <w:pStyle w:val="ListBullet"/>
      </w:pPr>
      <w:r w:rsidRPr="008D1866">
        <w:t>personnel</w:t>
      </w:r>
    </w:p>
    <w:p w14:paraId="74DB476A" w14:textId="6A3FF964" w:rsidR="008D1866" w:rsidRPr="008D1866" w:rsidRDefault="008D1866" w:rsidP="008D1866">
      <w:pPr>
        <w:pStyle w:val="ListBullet"/>
      </w:pPr>
      <w:r w:rsidRPr="008D1866">
        <w:t>budget</w:t>
      </w:r>
    </w:p>
    <w:p w14:paraId="1B4F9E0D" w14:textId="633CDC90" w:rsidR="008D1866" w:rsidRDefault="008D1866" w:rsidP="008D1866">
      <w:pPr>
        <w:pStyle w:val="ListBullet"/>
      </w:pPr>
      <w:r>
        <w:t>risk assessment</w:t>
      </w:r>
      <w:r w:rsidR="00CD6175">
        <w:t>.</w:t>
      </w:r>
    </w:p>
    <w:p w14:paraId="5EE32E72" w14:textId="53DD12DB" w:rsidR="001453F8" w:rsidRDefault="008D1866" w:rsidP="008D1866">
      <w:bookmarkStart w:id="1" w:name="_Hlk208940518"/>
      <w:r>
        <w:t xml:space="preserve">The </w:t>
      </w:r>
      <w:r w:rsidR="003A66CF">
        <w:t xml:space="preserve">level of detail in your </w:t>
      </w:r>
      <w:r>
        <w:t xml:space="preserve">application should </w:t>
      </w:r>
      <w:r w:rsidR="003A66CF">
        <w:t xml:space="preserve">reflect </w:t>
      </w:r>
      <w:r>
        <w:t>the size and nature of the project.</w:t>
      </w:r>
    </w:p>
    <w:bookmarkEnd w:id="1"/>
    <w:p w14:paraId="7477F81B" w14:textId="7FF7EACF" w:rsidR="00035D71" w:rsidRDefault="00035D71" w:rsidP="008D1866">
      <w:r>
        <w:t xml:space="preserve">Incomplete or vague submissions may not be considered. </w:t>
      </w:r>
      <w:r w:rsidRPr="001866BE">
        <w:t xml:space="preserve">However, </w:t>
      </w:r>
      <w:r>
        <w:t>t</w:t>
      </w:r>
      <w:r w:rsidRPr="001866BE">
        <w:t>he assessment panel may contact applicant</w:t>
      </w:r>
      <w:r>
        <w:t>s</w:t>
      </w:r>
      <w:r w:rsidRPr="001866BE">
        <w:t xml:space="preserve"> for </w:t>
      </w:r>
      <w:r>
        <w:t>more</w:t>
      </w:r>
      <w:r w:rsidRPr="001866BE">
        <w:t xml:space="preserve"> information before declining </w:t>
      </w:r>
      <w:r>
        <w:t xml:space="preserve">to consider </w:t>
      </w:r>
      <w:r w:rsidRPr="001866BE">
        <w:t>an application</w:t>
      </w:r>
      <w:r w:rsidRPr="001A5207">
        <w:t>.</w:t>
      </w:r>
    </w:p>
    <w:p w14:paraId="3BF69B5E" w14:textId="56BEE585" w:rsidR="008D1866" w:rsidRDefault="00082A4B" w:rsidP="008D1866">
      <w:r>
        <w:t>C</w:t>
      </w:r>
      <w:r w:rsidR="008D1866">
        <w:t>onsider any overlap with</w:t>
      </w:r>
      <w:r w:rsidR="00190692">
        <w:t xml:space="preserve"> exotic</w:t>
      </w:r>
      <w:r w:rsidR="008D1866">
        <w:t xml:space="preserve"> plant, marine and animal biosecurity risks</w:t>
      </w:r>
      <w:r w:rsidR="00CE0005">
        <w:t xml:space="preserve"> </w:t>
      </w:r>
      <w:r w:rsidR="00EA484C">
        <w:t xml:space="preserve">that are relevant to </w:t>
      </w:r>
      <w:r>
        <w:t>your</w:t>
      </w:r>
      <w:r w:rsidR="00EA484C">
        <w:t xml:space="preserve"> project </w:t>
      </w:r>
      <w:r w:rsidR="008D1866">
        <w:t xml:space="preserve">(e.g. those identified in the </w:t>
      </w:r>
      <w:hyperlink r:id="rId18" w:history="1">
        <w:r w:rsidR="008D1866" w:rsidRPr="00190692">
          <w:rPr>
            <w:rStyle w:val="Hyperlink"/>
          </w:rPr>
          <w:t>National Priority Plant Pests List</w:t>
        </w:r>
      </w:hyperlink>
      <w:r w:rsidR="008D1866">
        <w:t xml:space="preserve"> and associated </w:t>
      </w:r>
      <w:r>
        <w:t>n</w:t>
      </w:r>
      <w:r w:rsidR="008D1866">
        <w:t xml:space="preserve">ational </w:t>
      </w:r>
      <w:r>
        <w:t>a</w:t>
      </w:r>
      <w:r w:rsidR="008D1866">
        <w:t xml:space="preserve">ction </w:t>
      </w:r>
      <w:r>
        <w:t>p</w:t>
      </w:r>
      <w:r w:rsidR="008D1866">
        <w:t xml:space="preserve">lans, </w:t>
      </w:r>
      <w:hyperlink r:id="rId19" w:history="1">
        <w:r w:rsidR="008D1866" w:rsidRPr="00190692">
          <w:rPr>
            <w:rStyle w:val="Hyperlink"/>
          </w:rPr>
          <w:t>Australian Priority Marine Pest List</w:t>
        </w:r>
      </w:hyperlink>
      <w:r w:rsidR="008D1866">
        <w:t xml:space="preserve"> and </w:t>
      </w:r>
      <w:hyperlink r:id="rId20" w:history="1">
        <w:r w:rsidR="008D1866" w:rsidRPr="00190692">
          <w:rPr>
            <w:rStyle w:val="Hyperlink"/>
          </w:rPr>
          <w:t>Animal Diseases Exotic to Australia</w:t>
        </w:r>
      </w:hyperlink>
      <w:r w:rsidR="008D1866">
        <w:t>).</w:t>
      </w:r>
    </w:p>
    <w:p w14:paraId="35087063" w14:textId="31B00E0F" w:rsidR="008D1866" w:rsidRDefault="008D1866" w:rsidP="008D1866">
      <w:r>
        <w:t>If similar projects are underway or have been completed, demonstrate how your project complements or builds on this work.</w:t>
      </w:r>
    </w:p>
    <w:p w14:paraId="7D84C955" w14:textId="6EC45C88" w:rsidR="001E580E" w:rsidRDefault="001E580E" w:rsidP="00465CEC">
      <w:pPr>
        <w:pStyle w:val="Heading3"/>
        <w:numPr>
          <w:ilvl w:val="0"/>
          <w:numId w:val="0"/>
        </w:numPr>
        <w:ind w:left="964" w:hanging="964"/>
      </w:pPr>
      <w:r>
        <w:t>Submission deadline</w:t>
      </w:r>
    </w:p>
    <w:p w14:paraId="4C7D1521" w14:textId="38216147" w:rsidR="001E580E" w:rsidRDefault="00035D71" w:rsidP="001E580E">
      <w:r>
        <w:t>Applications can be submitted year-round</w:t>
      </w:r>
      <w:r w:rsidR="001E580E" w:rsidRPr="001453F8">
        <w:t>.</w:t>
      </w:r>
      <w:r w:rsidR="001E580E">
        <w:t xml:space="preserve"> However,</w:t>
      </w:r>
      <w:r w:rsidR="001E580E" w:rsidRPr="001453F8">
        <w:t xml:space="preserve"> </w:t>
      </w:r>
      <w:r w:rsidR="001E580E">
        <w:t>we</w:t>
      </w:r>
      <w:r w:rsidR="001E580E" w:rsidRPr="001453F8">
        <w:t xml:space="preserve"> encourage</w:t>
      </w:r>
      <w:r w:rsidR="001E580E">
        <w:t xml:space="preserve"> organisations to submit their completed application form</w:t>
      </w:r>
      <w:r w:rsidR="001E580E" w:rsidRPr="001453F8">
        <w:t xml:space="preserve"> by </w:t>
      </w:r>
      <w:r w:rsidR="001E580E" w:rsidRPr="000660EB">
        <w:t>31</w:t>
      </w:r>
      <w:r w:rsidR="001E580E">
        <w:t> </w:t>
      </w:r>
      <w:r w:rsidR="001E580E" w:rsidRPr="000660EB">
        <w:t>October</w:t>
      </w:r>
      <w:r w:rsidR="001E580E" w:rsidRPr="001453F8">
        <w:t xml:space="preserve"> each year for consideration in the November panel assessment.</w:t>
      </w:r>
    </w:p>
    <w:p w14:paraId="39E99525" w14:textId="75A082DA" w:rsidR="001E580E" w:rsidRDefault="001E580E" w:rsidP="001E580E">
      <w:r>
        <w:t>The assessment panel may decide to consider an application outside of the November panel assessment at their discretion.</w:t>
      </w:r>
    </w:p>
    <w:p w14:paraId="38F06534" w14:textId="550C0DCE" w:rsidR="008D1866" w:rsidRDefault="000F5A67" w:rsidP="008D1866">
      <w:pPr>
        <w:pStyle w:val="Heading2"/>
        <w:numPr>
          <w:ilvl w:val="0"/>
          <w:numId w:val="0"/>
        </w:numPr>
        <w:ind w:left="720" w:hanging="720"/>
      </w:pPr>
      <w:r>
        <w:t>R</w:t>
      </w:r>
      <w:r w:rsidR="008D1866">
        <w:t>isk assessment</w:t>
      </w:r>
    </w:p>
    <w:p w14:paraId="08E1202F" w14:textId="1256A666" w:rsidR="008D1866" w:rsidRDefault="008D1866" w:rsidP="008D1866">
      <w:r>
        <w:t>Identify all potential sources of risk, including governance, financial, resourcing and stakeholders.</w:t>
      </w:r>
    </w:p>
    <w:p w14:paraId="3F9C5928" w14:textId="62F84D88" w:rsidR="008D1866" w:rsidRDefault="000866FC" w:rsidP="008D1866">
      <w:r>
        <w:t>For each identified risk, u</w:t>
      </w:r>
      <w:r w:rsidR="00082A4B">
        <w:t xml:space="preserve">se the risk matrix </w:t>
      </w:r>
      <w:r>
        <w:t>(</w:t>
      </w:r>
      <w:r>
        <w:fldChar w:fldCharType="begin"/>
      </w:r>
      <w:r>
        <w:instrText xml:space="preserve"> REF _Ref206063555 \h </w:instrText>
      </w:r>
      <w:r>
        <w:fldChar w:fldCharType="separate"/>
      </w:r>
      <w:r w:rsidR="00D70642">
        <w:t xml:space="preserve">Table </w:t>
      </w:r>
      <w:r w:rsidR="00D70642">
        <w:rPr>
          <w:noProof/>
        </w:rPr>
        <w:t>1</w:t>
      </w:r>
      <w:r>
        <w:fldChar w:fldCharType="end"/>
      </w:r>
      <w:r>
        <w:t xml:space="preserve">) </w:t>
      </w:r>
      <w:r w:rsidR="00082A4B">
        <w:t>to determine the risk rating (low, medium, high or extreme), based on</w:t>
      </w:r>
      <w:r w:rsidR="008D1866">
        <w:t xml:space="preserve"> the:</w:t>
      </w:r>
    </w:p>
    <w:p w14:paraId="6C152234" w14:textId="5C33703B" w:rsidR="008D1866" w:rsidRDefault="008D1866" w:rsidP="008D1866">
      <w:pPr>
        <w:pStyle w:val="ListBullet"/>
      </w:pPr>
      <w:r>
        <w:t>likelihood of that risk occurring</w:t>
      </w:r>
    </w:p>
    <w:p w14:paraId="01CE1A75" w14:textId="595D3FC2" w:rsidR="008D1866" w:rsidRDefault="008D1866" w:rsidP="008D1866">
      <w:pPr>
        <w:pStyle w:val="ListBullet"/>
      </w:pPr>
      <w:r>
        <w:t>the consequential impacts to the project if that risk occurs</w:t>
      </w:r>
      <w:r w:rsidR="00082A4B">
        <w:t>.</w:t>
      </w:r>
    </w:p>
    <w:p w14:paraId="34D86C69" w14:textId="006E4A58" w:rsidR="00F65DFD" w:rsidRDefault="008D1866" w:rsidP="008D1866">
      <w:pPr>
        <w:pStyle w:val="Caption"/>
        <w:pageBreakBefore/>
      </w:pPr>
      <w:bookmarkStart w:id="2" w:name="_Ref206063555"/>
      <w:r>
        <w:lastRenderedPageBreak/>
        <w:t xml:space="preserve">Table </w:t>
      </w:r>
      <w:r>
        <w:fldChar w:fldCharType="begin"/>
      </w:r>
      <w:r>
        <w:instrText xml:space="preserve"> SEQ Table \* ARABIC </w:instrText>
      </w:r>
      <w:r>
        <w:fldChar w:fldCharType="separate"/>
      </w:r>
      <w:r w:rsidR="00D70642">
        <w:rPr>
          <w:noProof/>
        </w:rPr>
        <w:t>1</w:t>
      </w:r>
      <w:r>
        <w:fldChar w:fldCharType="end"/>
      </w:r>
      <w:bookmarkEnd w:id="2"/>
      <w:r>
        <w:t xml:space="preserve"> Risk matrix</w:t>
      </w:r>
    </w:p>
    <w:tbl>
      <w:tblPr>
        <w:tblStyle w:val="TableGrid10"/>
        <w:tblW w:w="5000" w:type="pct"/>
        <w:tblLook w:val="04A0" w:firstRow="1" w:lastRow="0" w:firstColumn="1" w:lastColumn="0" w:noHBand="0" w:noVBand="1"/>
        <w:tblDescription w:val="RISK RATING MATRIX"/>
      </w:tblPr>
      <w:tblGrid>
        <w:gridCol w:w="2712"/>
        <w:gridCol w:w="1270"/>
        <w:gridCol w:w="1270"/>
        <w:gridCol w:w="1270"/>
        <w:gridCol w:w="1270"/>
        <w:gridCol w:w="1268"/>
      </w:tblGrid>
      <w:tr w:rsidR="008D1866" w:rsidRPr="00936527" w14:paraId="21D45E16" w14:textId="77777777" w:rsidTr="00465CEC">
        <w:trPr>
          <w:cantSplit/>
          <w:tblHeader/>
        </w:trPr>
        <w:tc>
          <w:tcPr>
            <w:tcW w:w="1496" w:type="pct"/>
            <w:vMerge w:val="restart"/>
          </w:tcPr>
          <w:p w14:paraId="4398ED9B" w14:textId="40AE909B" w:rsidR="008D1866" w:rsidRPr="002617BB" w:rsidRDefault="008D1866" w:rsidP="00465CEC">
            <w:pPr>
              <w:pStyle w:val="TableHeading"/>
              <w:rPr>
                <w:rStyle w:val="Strong"/>
                <w:rFonts w:ascii="Calibri" w:hAnsi="Calibri"/>
                <w:bCs w:val="0"/>
                <w:sz w:val="24"/>
                <w:szCs w:val="18"/>
              </w:rPr>
            </w:pPr>
            <w:bookmarkStart w:id="3" w:name="Title_1"/>
            <w:bookmarkEnd w:id="3"/>
            <w:r w:rsidRPr="002617BB">
              <w:rPr>
                <w:rStyle w:val="Strong"/>
                <w:b/>
                <w:bCs w:val="0"/>
              </w:rPr>
              <w:t>Likelihood of the risk occurring</w:t>
            </w:r>
          </w:p>
        </w:tc>
        <w:tc>
          <w:tcPr>
            <w:tcW w:w="3504" w:type="pct"/>
            <w:gridSpan w:val="5"/>
          </w:tcPr>
          <w:p w14:paraId="5CE03EC1" w14:textId="77777777" w:rsidR="008D1866" w:rsidRPr="00BE297B" w:rsidRDefault="008D1866" w:rsidP="00465CEC">
            <w:pPr>
              <w:pStyle w:val="TableHeading"/>
              <w:jc w:val="center"/>
              <w:rPr>
                <w:rStyle w:val="Strong"/>
                <w:bCs w:val="0"/>
              </w:rPr>
            </w:pPr>
            <w:r w:rsidRPr="00BE297B">
              <w:rPr>
                <w:rStyle w:val="Strong"/>
                <w:b/>
                <w:bCs w:val="0"/>
              </w:rPr>
              <w:t>Consequence</w:t>
            </w:r>
          </w:p>
        </w:tc>
      </w:tr>
      <w:tr w:rsidR="008D1866" w:rsidRPr="00936527" w14:paraId="30AF7B7B" w14:textId="77777777" w:rsidTr="00465CEC">
        <w:trPr>
          <w:cantSplit/>
          <w:tblHeader/>
        </w:trPr>
        <w:tc>
          <w:tcPr>
            <w:tcW w:w="1496" w:type="pct"/>
            <w:vMerge/>
          </w:tcPr>
          <w:p w14:paraId="6B2A4203" w14:textId="77777777" w:rsidR="008D1866" w:rsidRPr="00D16554" w:rsidRDefault="008D1866" w:rsidP="00465CEC">
            <w:pPr>
              <w:pStyle w:val="TableHeading"/>
            </w:pPr>
          </w:p>
        </w:tc>
        <w:tc>
          <w:tcPr>
            <w:tcW w:w="701" w:type="pct"/>
            <w:vAlign w:val="center"/>
          </w:tcPr>
          <w:p w14:paraId="4F336CFE" w14:textId="77777777" w:rsidR="008D1866" w:rsidRPr="00D16554" w:rsidRDefault="008D1866" w:rsidP="00465CEC">
            <w:pPr>
              <w:pStyle w:val="TableHeading"/>
              <w:jc w:val="center"/>
            </w:pPr>
            <w:r w:rsidRPr="00D16554">
              <w:t>Insignificant</w:t>
            </w:r>
          </w:p>
        </w:tc>
        <w:tc>
          <w:tcPr>
            <w:tcW w:w="701" w:type="pct"/>
            <w:vAlign w:val="center"/>
          </w:tcPr>
          <w:p w14:paraId="02E92884" w14:textId="77777777" w:rsidR="008D1866" w:rsidRPr="00D16554" w:rsidRDefault="008D1866" w:rsidP="00465CEC">
            <w:pPr>
              <w:pStyle w:val="TableHeading"/>
              <w:jc w:val="center"/>
            </w:pPr>
            <w:r w:rsidRPr="00D16554">
              <w:t>Minor</w:t>
            </w:r>
          </w:p>
        </w:tc>
        <w:tc>
          <w:tcPr>
            <w:tcW w:w="701" w:type="pct"/>
            <w:vAlign w:val="center"/>
          </w:tcPr>
          <w:p w14:paraId="45C3F412" w14:textId="77777777" w:rsidR="008D1866" w:rsidRPr="00D16554" w:rsidRDefault="008D1866" w:rsidP="00465CEC">
            <w:pPr>
              <w:pStyle w:val="TableHeading"/>
              <w:jc w:val="center"/>
            </w:pPr>
            <w:r w:rsidRPr="00D16554">
              <w:t>Moderate</w:t>
            </w:r>
          </w:p>
        </w:tc>
        <w:tc>
          <w:tcPr>
            <w:tcW w:w="701" w:type="pct"/>
            <w:vAlign w:val="center"/>
          </w:tcPr>
          <w:p w14:paraId="09771F27" w14:textId="77777777" w:rsidR="008D1866" w:rsidRPr="00D16554" w:rsidRDefault="008D1866" w:rsidP="00465CEC">
            <w:pPr>
              <w:pStyle w:val="TableHeading"/>
              <w:jc w:val="center"/>
            </w:pPr>
            <w:r w:rsidRPr="00D16554">
              <w:t>Major</w:t>
            </w:r>
          </w:p>
        </w:tc>
        <w:tc>
          <w:tcPr>
            <w:tcW w:w="701" w:type="pct"/>
            <w:vAlign w:val="center"/>
          </w:tcPr>
          <w:p w14:paraId="39F2BFA9" w14:textId="77777777" w:rsidR="008D1866" w:rsidRPr="00D16554" w:rsidRDefault="008D1866" w:rsidP="00465CEC">
            <w:pPr>
              <w:pStyle w:val="TableHeading"/>
              <w:jc w:val="center"/>
            </w:pPr>
            <w:r w:rsidRPr="00D16554">
              <w:t>Severe</w:t>
            </w:r>
          </w:p>
        </w:tc>
      </w:tr>
      <w:tr w:rsidR="008D1866" w:rsidRPr="00936527" w14:paraId="3A7E7429" w14:textId="77777777" w:rsidTr="00465CEC">
        <w:tc>
          <w:tcPr>
            <w:tcW w:w="1496" w:type="pct"/>
          </w:tcPr>
          <w:p w14:paraId="5720E34A" w14:textId="77777777" w:rsidR="008D1866" w:rsidRPr="00465CEC" w:rsidRDefault="008D1866" w:rsidP="00465CEC">
            <w:pPr>
              <w:pStyle w:val="TableText"/>
              <w:rPr>
                <w:rStyle w:val="Strong"/>
              </w:rPr>
            </w:pPr>
            <w:r w:rsidRPr="00465CEC">
              <w:rPr>
                <w:rStyle w:val="Strong"/>
              </w:rPr>
              <w:t>Almost certain</w:t>
            </w:r>
          </w:p>
          <w:p w14:paraId="23BC8446" w14:textId="77777777" w:rsidR="008D1866" w:rsidRPr="00BE297B" w:rsidRDefault="008D1866" w:rsidP="00465CEC">
            <w:pPr>
              <w:pStyle w:val="TableText"/>
            </w:pPr>
            <w:r w:rsidRPr="00BE297B">
              <w:t>Is expected to occur (up to 90% chance)</w:t>
            </w:r>
          </w:p>
        </w:tc>
        <w:tc>
          <w:tcPr>
            <w:tcW w:w="701" w:type="pct"/>
            <w:shd w:val="clear" w:color="auto" w:fill="D6E3BC" w:themeFill="accent3" w:themeFillTint="66"/>
            <w:vAlign w:val="center"/>
          </w:tcPr>
          <w:p w14:paraId="122B249C" w14:textId="77777777" w:rsidR="008D1866" w:rsidRPr="00BE297B" w:rsidRDefault="008D1866" w:rsidP="00465CEC">
            <w:pPr>
              <w:pStyle w:val="TableText"/>
              <w:jc w:val="center"/>
            </w:pPr>
            <w:r w:rsidRPr="00BE297B">
              <w:t>Low</w:t>
            </w:r>
          </w:p>
        </w:tc>
        <w:tc>
          <w:tcPr>
            <w:tcW w:w="701" w:type="pct"/>
            <w:shd w:val="clear" w:color="auto" w:fill="F5EB9D"/>
            <w:vAlign w:val="center"/>
          </w:tcPr>
          <w:p w14:paraId="1C282A79" w14:textId="77777777" w:rsidR="008D1866" w:rsidRPr="00BE297B" w:rsidRDefault="008D1866" w:rsidP="00465CEC">
            <w:pPr>
              <w:pStyle w:val="TableText"/>
              <w:jc w:val="center"/>
            </w:pPr>
            <w:r w:rsidRPr="00BE297B">
              <w:t>Medium</w:t>
            </w:r>
          </w:p>
        </w:tc>
        <w:tc>
          <w:tcPr>
            <w:tcW w:w="701" w:type="pct"/>
            <w:shd w:val="clear" w:color="auto" w:fill="FBD4B4" w:themeFill="accent6" w:themeFillTint="66"/>
            <w:vAlign w:val="center"/>
          </w:tcPr>
          <w:p w14:paraId="4BF22778" w14:textId="77777777" w:rsidR="008D1866" w:rsidRPr="00BE297B" w:rsidRDefault="008D1866" w:rsidP="00465CEC">
            <w:pPr>
              <w:pStyle w:val="TableText"/>
              <w:jc w:val="center"/>
            </w:pPr>
            <w:r w:rsidRPr="00BE297B">
              <w:t>High</w:t>
            </w:r>
          </w:p>
        </w:tc>
        <w:tc>
          <w:tcPr>
            <w:tcW w:w="701" w:type="pct"/>
            <w:shd w:val="clear" w:color="auto" w:fill="FFC6C6"/>
            <w:vAlign w:val="center"/>
          </w:tcPr>
          <w:p w14:paraId="23E0F353" w14:textId="77777777" w:rsidR="008D1866" w:rsidRPr="00BE297B" w:rsidRDefault="008D1866" w:rsidP="00465CEC">
            <w:pPr>
              <w:pStyle w:val="TableText"/>
              <w:jc w:val="center"/>
            </w:pPr>
            <w:r w:rsidRPr="00BE297B">
              <w:t>Extreme</w:t>
            </w:r>
          </w:p>
        </w:tc>
        <w:tc>
          <w:tcPr>
            <w:tcW w:w="701" w:type="pct"/>
            <w:shd w:val="clear" w:color="auto" w:fill="FFC6C6"/>
            <w:vAlign w:val="center"/>
          </w:tcPr>
          <w:p w14:paraId="07E36AA2" w14:textId="77777777" w:rsidR="008D1866" w:rsidRPr="00BE297B" w:rsidRDefault="008D1866" w:rsidP="00465CEC">
            <w:pPr>
              <w:pStyle w:val="TableText"/>
              <w:jc w:val="center"/>
            </w:pPr>
            <w:r w:rsidRPr="00BE297B">
              <w:t>Extreme</w:t>
            </w:r>
          </w:p>
        </w:tc>
      </w:tr>
      <w:tr w:rsidR="008D1866" w:rsidRPr="00936527" w14:paraId="7623FD49" w14:textId="77777777" w:rsidTr="00465CEC">
        <w:tc>
          <w:tcPr>
            <w:tcW w:w="1496" w:type="pct"/>
          </w:tcPr>
          <w:p w14:paraId="203B2249" w14:textId="77777777" w:rsidR="008D1866" w:rsidRPr="00465CEC" w:rsidRDefault="008D1866" w:rsidP="00465CEC">
            <w:pPr>
              <w:pStyle w:val="TableText"/>
              <w:rPr>
                <w:rStyle w:val="Strong"/>
              </w:rPr>
            </w:pPr>
            <w:r w:rsidRPr="00465CEC">
              <w:rPr>
                <w:rStyle w:val="Strong"/>
              </w:rPr>
              <w:t>Likely</w:t>
            </w:r>
          </w:p>
          <w:p w14:paraId="179F18BF" w14:textId="77777777" w:rsidR="008D1866" w:rsidRPr="00BE297B" w:rsidRDefault="008D1866" w:rsidP="00465CEC">
            <w:pPr>
              <w:pStyle w:val="TableText"/>
            </w:pPr>
            <w:r w:rsidRPr="00BE297B">
              <w:t>Will probably occur in most circumstances (up to 70% chance)</w:t>
            </w:r>
          </w:p>
        </w:tc>
        <w:tc>
          <w:tcPr>
            <w:tcW w:w="701" w:type="pct"/>
            <w:shd w:val="clear" w:color="auto" w:fill="D6E3BC" w:themeFill="accent3" w:themeFillTint="66"/>
            <w:vAlign w:val="center"/>
          </w:tcPr>
          <w:p w14:paraId="4D852324" w14:textId="77777777" w:rsidR="008D1866" w:rsidRPr="00BE297B" w:rsidRDefault="008D1866" w:rsidP="00465CEC">
            <w:pPr>
              <w:pStyle w:val="TableText"/>
              <w:jc w:val="center"/>
            </w:pPr>
            <w:r w:rsidRPr="00BE297B">
              <w:t>Low</w:t>
            </w:r>
          </w:p>
        </w:tc>
        <w:tc>
          <w:tcPr>
            <w:tcW w:w="701" w:type="pct"/>
            <w:shd w:val="clear" w:color="auto" w:fill="F5EB9D"/>
            <w:vAlign w:val="center"/>
          </w:tcPr>
          <w:p w14:paraId="07A1E80F" w14:textId="77777777" w:rsidR="008D1866" w:rsidRPr="00BE297B" w:rsidRDefault="008D1866" w:rsidP="00465CEC">
            <w:pPr>
              <w:pStyle w:val="TableText"/>
              <w:jc w:val="center"/>
            </w:pPr>
            <w:r w:rsidRPr="00BE297B">
              <w:t>Medium</w:t>
            </w:r>
          </w:p>
        </w:tc>
        <w:tc>
          <w:tcPr>
            <w:tcW w:w="701" w:type="pct"/>
            <w:shd w:val="clear" w:color="auto" w:fill="FBD4B4" w:themeFill="accent6" w:themeFillTint="66"/>
            <w:vAlign w:val="center"/>
          </w:tcPr>
          <w:p w14:paraId="695041F7" w14:textId="77777777" w:rsidR="008D1866" w:rsidRPr="00BE297B" w:rsidRDefault="008D1866" w:rsidP="00465CEC">
            <w:pPr>
              <w:pStyle w:val="TableText"/>
              <w:jc w:val="center"/>
            </w:pPr>
            <w:r w:rsidRPr="00BE297B">
              <w:t>High</w:t>
            </w:r>
          </w:p>
        </w:tc>
        <w:tc>
          <w:tcPr>
            <w:tcW w:w="701" w:type="pct"/>
            <w:shd w:val="clear" w:color="auto" w:fill="FBD4B4" w:themeFill="accent6" w:themeFillTint="66"/>
            <w:vAlign w:val="center"/>
          </w:tcPr>
          <w:p w14:paraId="46FF9B9D" w14:textId="77777777" w:rsidR="008D1866" w:rsidRPr="00BE297B" w:rsidRDefault="008D1866" w:rsidP="00465CEC">
            <w:pPr>
              <w:pStyle w:val="TableText"/>
              <w:jc w:val="center"/>
            </w:pPr>
            <w:r w:rsidRPr="00BE297B">
              <w:t>High</w:t>
            </w:r>
          </w:p>
        </w:tc>
        <w:tc>
          <w:tcPr>
            <w:tcW w:w="701" w:type="pct"/>
            <w:shd w:val="clear" w:color="auto" w:fill="FFC6C6"/>
            <w:vAlign w:val="center"/>
          </w:tcPr>
          <w:p w14:paraId="5701ABAD" w14:textId="77777777" w:rsidR="008D1866" w:rsidRPr="00BE297B" w:rsidRDefault="008D1866" w:rsidP="00465CEC">
            <w:pPr>
              <w:pStyle w:val="TableText"/>
              <w:jc w:val="center"/>
            </w:pPr>
            <w:r w:rsidRPr="00BE297B">
              <w:t>Extreme</w:t>
            </w:r>
          </w:p>
        </w:tc>
      </w:tr>
      <w:tr w:rsidR="008D1866" w:rsidRPr="00936527" w14:paraId="23FE4885" w14:textId="77777777" w:rsidTr="00465CEC">
        <w:tc>
          <w:tcPr>
            <w:tcW w:w="1496" w:type="pct"/>
          </w:tcPr>
          <w:p w14:paraId="5DB8D9DF" w14:textId="77777777" w:rsidR="008D1866" w:rsidRPr="00465CEC" w:rsidRDefault="008D1866" w:rsidP="00465CEC">
            <w:pPr>
              <w:pStyle w:val="TableText"/>
              <w:rPr>
                <w:rStyle w:val="Strong"/>
              </w:rPr>
            </w:pPr>
            <w:r w:rsidRPr="00465CEC">
              <w:rPr>
                <w:rStyle w:val="Strong"/>
              </w:rPr>
              <w:t>Possible</w:t>
            </w:r>
          </w:p>
          <w:p w14:paraId="178B1FB3" w14:textId="77777777" w:rsidR="008D1866" w:rsidRPr="00BE297B" w:rsidRDefault="008D1866" w:rsidP="00465CEC">
            <w:pPr>
              <w:pStyle w:val="TableText"/>
            </w:pPr>
            <w:r w:rsidRPr="00BE297B">
              <w:t>Might occur at some point (up to 40% chance)</w:t>
            </w:r>
          </w:p>
        </w:tc>
        <w:tc>
          <w:tcPr>
            <w:tcW w:w="701" w:type="pct"/>
            <w:shd w:val="clear" w:color="auto" w:fill="D6E3BC" w:themeFill="accent3" w:themeFillTint="66"/>
            <w:vAlign w:val="center"/>
          </w:tcPr>
          <w:p w14:paraId="4F4BC7C7" w14:textId="77777777" w:rsidR="008D1866" w:rsidRPr="00BE297B" w:rsidRDefault="008D1866" w:rsidP="00465CEC">
            <w:pPr>
              <w:pStyle w:val="TableText"/>
              <w:jc w:val="center"/>
            </w:pPr>
            <w:r w:rsidRPr="00BE297B">
              <w:t>Low</w:t>
            </w:r>
          </w:p>
        </w:tc>
        <w:tc>
          <w:tcPr>
            <w:tcW w:w="701" w:type="pct"/>
            <w:shd w:val="clear" w:color="auto" w:fill="F5EB9D"/>
            <w:vAlign w:val="center"/>
          </w:tcPr>
          <w:p w14:paraId="293C0E83" w14:textId="77777777" w:rsidR="008D1866" w:rsidRPr="00BE297B" w:rsidRDefault="008D1866" w:rsidP="00465CEC">
            <w:pPr>
              <w:pStyle w:val="TableText"/>
              <w:jc w:val="center"/>
            </w:pPr>
            <w:r w:rsidRPr="00BE297B">
              <w:t>Medium</w:t>
            </w:r>
          </w:p>
        </w:tc>
        <w:tc>
          <w:tcPr>
            <w:tcW w:w="701" w:type="pct"/>
            <w:shd w:val="clear" w:color="auto" w:fill="F5EB9D"/>
            <w:vAlign w:val="center"/>
          </w:tcPr>
          <w:p w14:paraId="00057CAE" w14:textId="77777777" w:rsidR="008D1866" w:rsidRPr="00BE297B" w:rsidRDefault="008D1866" w:rsidP="00465CEC">
            <w:pPr>
              <w:pStyle w:val="TableText"/>
              <w:jc w:val="center"/>
            </w:pPr>
            <w:r w:rsidRPr="00BE297B">
              <w:t>Medium</w:t>
            </w:r>
          </w:p>
        </w:tc>
        <w:tc>
          <w:tcPr>
            <w:tcW w:w="701" w:type="pct"/>
            <w:shd w:val="clear" w:color="auto" w:fill="FBD4B4" w:themeFill="accent6" w:themeFillTint="66"/>
            <w:vAlign w:val="center"/>
          </w:tcPr>
          <w:p w14:paraId="6D8CBE74" w14:textId="77777777" w:rsidR="008D1866" w:rsidRPr="00BE297B" w:rsidRDefault="008D1866" w:rsidP="00465CEC">
            <w:pPr>
              <w:pStyle w:val="TableText"/>
              <w:jc w:val="center"/>
            </w:pPr>
            <w:r w:rsidRPr="00BE297B">
              <w:t>High</w:t>
            </w:r>
          </w:p>
        </w:tc>
        <w:tc>
          <w:tcPr>
            <w:tcW w:w="701" w:type="pct"/>
            <w:shd w:val="clear" w:color="auto" w:fill="FFC6C6"/>
            <w:vAlign w:val="center"/>
          </w:tcPr>
          <w:p w14:paraId="4B735E87" w14:textId="77777777" w:rsidR="008D1866" w:rsidRPr="00BE297B" w:rsidRDefault="008D1866" w:rsidP="00465CEC">
            <w:pPr>
              <w:pStyle w:val="TableText"/>
              <w:jc w:val="center"/>
            </w:pPr>
            <w:r w:rsidRPr="00BE297B">
              <w:t>Extreme</w:t>
            </w:r>
          </w:p>
        </w:tc>
      </w:tr>
      <w:tr w:rsidR="008D1866" w:rsidRPr="00936527" w14:paraId="05C805EB" w14:textId="77777777" w:rsidTr="00465CEC">
        <w:tc>
          <w:tcPr>
            <w:tcW w:w="1496" w:type="pct"/>
          </w:tcPr>
          <w:p w14:paraId="6D30EA3C" w14:textId="77777777" w:rsidR="008D1866" w:rsidRPr="00465CEC" w:rsidRDefault="008D1866" w:rsidP="00465CEC">
            <w:pPr>
              <w:pStyle w:val="TableText"/>
              <w:rPr>
                <w:rStyle w:val="Strong"/>
              </w:rPr>
            </w:pPr>
            <w:r w:rsidRPr="00465CEC">
              <w:rPr>
                <w:rStyle w:val="Strong"/>
              </w:rPr>
              <w:t>Unlikely</w:t>
            </w:r>
          </w:p>
          <w:p w14:paraId="0896EA6C" w14:textId="77777777" w:rsidR="008D1866" w:rsidRPr="00BE297B" w:rsidRDefault="008D1866" w:rsidP="00465CEC">
            <w:pPr>
              <w:pStyle w:val="TableText"/>
            </w:pPr>
            <w:r w:rsidRPr="00BE297B">
              <w:t>Could occur at some time (up to 20% chance)</w:t>
            </w:r>
          </w:p>
        </w:tc>
        <w:tc>
          <w:tcPr>
            <w:tcW w:w="701" w:type="pct"/>
            <w:shd w:val="clear" w:color="auto" w:fill="D6E3BC" w:themeFill="accent3" w:themeFillTint="66"/>
            <w:vAlign w:val="center"/>
          </w:tcPr>
          <w:p w14:paraId="20ABF6FF" w14:textId="77777777" w:rsidR="008D1866" w:rsidRPr="00BE297B" w:rsidRDefault="008D1866" w:rsidP="00465CEC">
            <w:pPr>
              <w:pStyle w:val="TableText"/>
              <w:jc w:val="center"/>
            </w:pPr>
            <w:r w:rsidRPr="00BE297B">
              <w:t>Low</w:t>
            </w:r>
          </w:p>
        </w:tc>
        <w:tc>
          <w:tcPr>
            <w:tcW w:w="701" w:type="pct"/>
            <w:shd w:val="clear" w:color="auto" w:fill="D6E3BC" w:themeFill="accent3" w:themeFillTint="66"/>
            <w:vAlign w:val="center"/>
          </w:tcPr>
          <w:p w14:paraId="002F4C3D" w14:textId="77777777" w:rsidR="008D1866" w:rsidRPr="00BE297B" w:rsidRDefault="008D1866" w:rsidP="00465CEC">
            <w:pPr>
              <w:pStyle w:val="TableText"/>
              <w:jc w:val="center"/>
            </w:pPr>
            <w:r w:rsidRPr="00BE297B">
              <w:t>Low</w:t>
            </w:r>
          </w:p>
        </w:tc>
        <w:tc>
          <w:tcPr>
            <w:tcW w:w="701" w:type="pct"/>
            <w:shd w:val="clear" w:color="auto" w:fill="F5EB9D"/>
            <w:vAlign w:val="center"/>
          </w:tcPr>
          <w:p w14:paraId="318C6B18" w14:textId="77777777" w:rsidR="008D1866" w:rsidRPr="00BE297B" w:rsidRDefault="008D1866" w:rsidP="00465CEC">
            <w:pPr>
              <w:pStyle w:val="TableText"/>
              <w:jc w:val="center"/>
            </w:pPr>
            <w:r w:rsidRPr="00BE297B">
              <w:t>Medium</w:t>
            </w:r>
          </w:p>
        </w:tc>
        <w:tc>
          <w:tcPr>
            <w:tcW w:w="701" w:type="pct"/>
            <w:shd w:val="clear" w:color="auto" w:fill="FBD4B4" w:themeFill="accent6" w:themeFillTint="66"/>
            <w:vAlign w:val="center"/>
          </w:tcPr>
          <w:p w14:paraId="72F554A1" w14:textId="77777777" w:rsidR="008D1866" w:rsidRPr="00BE297B" w:rsidRDefault="008D1866" w:rsidP="00465CEC">
            <w:pPr>
              <w:pStyle w:val="TableText"/>
              <w:jc w:val="center"/>
            </w:pPr>
            <w:r w:rsidRPr="00BE297B">
              <w:t>High</w:t>
            </w:r>
          </w:p>
        </w:tc>
        <w:tc>
          <w:tcPr>
            <w:tcW w:w="701" w:type="pct"/>
            <w:shd w:val="clear" w:color="auto" w:fill="FBD4B4" w:themeFill="accent6" w:themeFillTint="66"/>
            <w:vAlign w:val="center"/>
          </w:tcPr>
          <w:p w14:paraId="48BC95B4" w14:textId="77777777" w:rsidR="008D1866" w:rsidRPr="00BE297B" w:rsidRDefault="008D1866" w:rsidP="00465CEC">
            <w:pPr>
              <w:pStyle w:val="TableText"/>
              <w:jc w:val="center"/>
            </w:pPr>
            <w:r w:rsidRPr="00BE297B">
              <w:t>High</w:t>
            </w:r>
          </w:p>
        </w:tc>
      </w:tr>
      <w:tr w:rsidR="008D1866" w:rsidRPr="00936527" w14:paraId="4A03FDD1" w14:textId="77777777" w:rsidTr="00465CEC">
        <w:tc>
          <w:tcPr>
            <w:tcW w:w="1496" w:type="pct"/>
          </w:tcPr>
          <w:p w14:paraId="6597AE95" w14:textId="77777777" w:rsidR="008D1866" w:rsidRPr="00465CEC" w:rsidRDefault="008D1866" w:rsidP="00465CEC">
            <w:pPr>
              <w:pStyle w:val="TableText"/>
              <w:rPr>
                <w:rStyle w:val="Strong"/>
              </w:rPr>
            </w:pPr>
            <w:r w:rsidRPr="00465CEC">
              <w:rPr>
                <w:rStyle w:val="Strong"/>
              </w:rPr>
              <w:t>Rare</w:t>
            </w:r>
          </w:p>
          <w:p w14:paraId="07117C66" w14:textId="77777777" w:rsidR="008D1866" w:rsidRPr="00465CEC" w:rsidRDefault="008D1866" w:rsidP="00465CEC">
            <w:pPr>
              <w:pStyle w:val="TableText"/>
            </w:pPr>
            <w:r w:rsidRPr="00465CEC">
              <w:t>May occur only in exceptional circumstances (up to 5% chance)</w:t>
            </w:r>
          </w:p>
        </w:tc>
        <w:tc>
          <w:tcPr>
            <w:tcW w:w="701" w:type="pct"/>
            <w:shd w:val="clear" w:color="auto" w:fill="D6E3BC" w:themeFill="accent3" w:themeFillTint="66"/>
            <w:vAlign w:val="center"/>
          </w:tcPr>
          <w:p w14:paraId="44DE089B" w14:textId="77777777" w:rsidR="008D1866" w:rsidRPr="00465CEC" w:rsidRDefault="008D1866" w:rsidP="00465CEC">
            <w:pPr>
              <w:pStyle w:val="TableText"/>
              <w:jc w:val="center"/>
            </w:pPr>
            <w:r w:rsidRPr="00465CEC">
              <w:t>Low</w:t>
            </w:r>
          </w:p>
        </w:tc>
        <w:tc>
          <w:tcPr>
            <w:tcW w:w="701" w:type="pct"/>
            <w:shd w:val="clear" w:color="auto" w:fill="D6E3BC" w:themeFill="accent3" w:themeFillTint="66"/>
            <w:vAlign w:val="center"/>
          </w:tcPr>
          <w:p w14:paraId="14FCFAF4" w14:textId="77777777" w:rsidR="008D1866" w:rsidRPr="00465CEC" w:rsidRDefault="008D1866" w:rsidP="00465CEC">
            <w:pPr>
              <w:pStyle w:val="TableText"/>
              <w:jc w:val="center"/>
            </w:pPr>
            <w:r w:rsidRPr="00465CEC">
              <w:t>Low</w:t>
            </w:r>
          </w:p>
        </w:tc>
        <w:tc>
          <w:tcPr>
            <w:tcW w:w="701" w:type="pct"/>
            <w:shd w:val="clear" w:color="auto" w:fill="D6E3BC" w:themeFill="accent3" w:themeFillTint="66"/>
            <w:vAlign w:val="center"/>
          </w:tcPr>
          <w:p w14:paraId="4834118C" w14:textId="77777777" w:rsidR="008D1866" w:rsidRPr="00465CEC" w:rsidRDefault="008D1866" w:rsidP="00465CEC">
            <w:pPr>
              <w:pStyle w:val="TableText"/>
              <w:jc w:val="center"/>
            </w:pPr>
            <w:r w:rsidRPr="00465CEC">
              <w:t>Low</w:t>
            </w:r>
          </w:p>
        </w:tc>
        <w:tc>
          <w:tcPr>
            <w:tcW w:w="701" w:type="pct"/>
            <w:shd w:val="clear" w:color="auto" w:fill="F5EB9D"/>
            <w:vAlign w:val="center"/>
          </w:tcPr>
          <w:p w14:paraId="1091F676" w14:textId="77777777" w:rsidR="008D1866" w:rsidRPr="00465CEC" w:rsidRDefault="008D1866" w:rsidP="00465CEC">
            <w:pPr>
              <w:pStyle w:val="TableText"/>
              <w:jc w:val="center"/>
            </w:pPr>
            <w:r w:rsidRPr="00465CEC">
              <w:t>Medium</w:t>
            </w:r>
          </w:p>
        </w:tc>
        <w:tc>
          <w:tcPr>
            <w:tcW w:w="701" w:type="pct"/>
            <w:shd w:val="clear" w:color="auto" w:fill="FBD4B4" w:themeFill="accent6" w:themeFillTint="66"/>
            <w:vAlign w:val="center"/>
          </w:tcPr>
          <w:p w14:paraId="4AA8D519" w14:textId="77777777" w:rsidR="008D1866" w:rsidRPr="00465CEC" w:rsidRDefault="008D1866" w:rsidP="00465CEC">
            <w:pPr>
              <w:pStyle w:val="TableText"/>
              <w:jc w:val="center"/>
            </w:pPr>
            <w:r w:rsidRPr="00465CEC">
              <w:t>High</w:t>
            </w:r>
          </w:p>
        </w:tc>
      </w:tr>
    </w:tbl>
    <w:p w14:paraId="00CDCC2B" w14:textId="56A272DA" w:rsidR="00EC7ED9" w:rsidRDefault="00EC7ED9" w:rsidP="00E55E6F">
      <w:pPr>
        <w:pStyle w:val="Heading2"/>
        <w:numPr>
          <w:ilvl w:val="0"/>
          <w:numId w:val="0"/>
        </w:numPr>
        <w:spacing w:before="240"/>
        <w:ind w:left="720" w:hanging="720"/>
      </w:pPr>
      <w:r>
        <w:t xml:space="preserve">Assessment </w:t>
      </w:r>
      <w:r w:rsidR="00670229">
        <w:t>c</w:t>
      </w:r>
      <w:r>
        <w:t>riteria</w:t>
      </w:r>
    </w:p>
    <w:p w14:paraId="4F4F3E58" w14:textId="3DCBD00B" w:rsidR="008D1866" w:rsidRDefault="00EC7ED9" w:rsidP="00EC7ED9">
      <w:r>
        <w:t xml:space="preserve">Your application will be </w:t>
      </w:r>
      <w:r w:rsidR="00670229">
        <w:t>assessed</w:t>
      </w:r>
      <w:r>
        <w:t xml:space="preserve"> against the criteria</w:t>
      </w:r>
      <w:r w:rsidR="001A61F8">
        <w:t xml:space="preserve"> in </w:t>
      </w:r>
      <w:r w:rsidR="001A61F8">
        <w:fldChar w:fldCharType="begin"/>
      </w:r>
      <w:r w:rsidR="001A61F8">
        <w:instrText xml:space="preserve"> REF _Ref212727856 \h </w:instrText>
      </w:r>
      <w:r w:rsidR="001A61F8">
        <w:fldChar w:fldCharType="separate"/>
      </w:r>
      <w:r w:rsidR="00D70642">
        <w:t xml:space="preserve">Table </w:t>
      </w:r>
      <w:r w:rsidR="00D70642">
        <w:rPr>
          <w:noProof/>
        </w:rPr>
        <w:t>2</w:t>
      </w:r>
      <w:r w:rsidR="001A61F8">
        <w:fldChar w:fldCharType="end"/>
      </w:r>
      <w:r w:rsidR="00670229">
        <w:t xml:space="preserve"> to</w:t>
      </w:r>
      <w:r>
        <w:t xml:space="preserve"> determine whether your project is recommended to proceed to the next stage of the process.</w:t>
      </w:r>
    </w:p>
    <w:p w14:paraId="7D463E8B" w14:textId="2BDF167D" w:rsidR="00EC7ED9" w:rsidRDefault="00EC7ED9" w:rsidP="00EC7ED9">
      <w:pPr>
        <w:pStyle w:val="Caption"/>
      </w:pPr>
      <w:bookmarkStart w:id="4" w:name="_Ref212727856"/>
      <w:r>
        <w:t xml:space="preserve">Table </w:t>
      </w:r>
      <w:r>
        <w:fldChar w:fldCharType="begin"/>
      </w:r>
      <w:r>
        <w:instrText xml:space="preserve"> SEQ Table \* ARABIC </w:instrText>
      </w:r>
      <w:r>
        <w:fldChar w:fldCharType="separate"/>
      </w:r>
      <w:r w:rsidR="00D70642">
        <w:rPr>
          <w:noProof/>
        </w:rPr>
        <w:t>2</w:t>
      </w:r>
      <w:r>
        <w:fldChar w:fldCharType="end"/>
      </w:r>
      <w:bookmarkEnd w:id="4"/>
      <w:r>
        <w:t xml:space="preserve"> Assessment criteria and weighting</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701"/>
        <w:gridCol w:w="6096"/>
        <w:gridCol w:w="1273"/>
      </w:tblGrid>
      <w:tr w:rsidR="00EC7ED9" w:rsidRPr="00D16554" w14:paraId="36F2EDD6" w14:textId="77777777" w:rsidTr="00465CEC">
        <w:trPr>
          <w:cantSplit/>
          <w:tblHeader/>
        </w:trPr>
        <w:tc>
          <w:tcPr>
            <w:tcW w:w="1701" w:type="dxa"/>
          </w:tcPr>
          <w:p w14:paraId="1864B681" w14:textId="77777777" w:rsidR="00EC7ED9" w:rsidRPr="00D16554" w:rsidRDefault="00EC7ED9" w:rsidP="00465CEC">
            <w:pPr>
              <w:pStyle w:val="TableHeading"/>
              <w:rPr>
                <w:lang w:eastAsia="en-AU"/>
              </w:rPr>
            </w:pPr>
            <w:bookmarkStart w:id="5" w:name="Title_2"/>
            <w:bookmarkEnd w:id="5"/>
            <w:r w:rsidRPr="00D16554">
              <w:rPr>
                <w:lang w:eastAsia="en-AU"/>
              </w:rPr>
              <w:t>Criteri</w:t>
            </w:r>
            <w:r>
              <w:rPr>
                <w:lang w:eastAsia="en-AU"/>
              </w:rPr>
              <w:t>a</w:t>
            </w:r>
          </w:p>
        </w:tc>
        <w:tc>
          <w:tcPr>
            <w:tcW w:w="6096" w:type="dxa"/>
          </w:tcPr>
          <w:p w14:paraId="6ABA2117" w14:textId="77777777" w:rsidR="00EC7ED9" w:rsidRPr="00D16554" w:rsidRDefault="00EC7ED9" w:rsidP="00465CEC">
            <w:pPr>
              <w:pStyle w:val="TableHeading"/>
              <w:rPr>
                <w:lang w:eastAsia="en-AU"/>
              </w:rPr>
            </w:pPr>
            <w:r w:rsidRPr="00D16554">
              <w:rPr>
                <w:lang w:eastAsia="en-AU"/>
              </w:rPr>
              <w:t>Description</w:t>
            </w:r>
          </w:p>
        </w:tc>
        <w:tc>
          <w:tcPr>
            <w:tcW w:w="1273" w:type="dxa"/>
          </w:tcPr>
          <w:p w14:paraId="01947256" w14:textId="2FF0C0F2" w:rsidR="00EC7ED9" w:rsidRPr="00D16554" w:rsidRDefault="00EC7ED9" w:rsidP="00465CEC">
            <w:pPr>
              <w:pStyle w:val="TableHeading"/>
              <w:jc w:val="right"/>
              <w:rPr>
                <w:lang w:eastAsia="en-AU"/>
              </w:rPr>
            </w:pPr>
            <w:r w:rsidRPr="00D16554">
              <w:rPr>
                <w:lang w:eastAsia="en-AU"/>
              </w:rPr>
              <w:t>Weighting</w:t>
            </w:r>
            <w:r w:rsidR="00670229">
              <w:rPr>
                <w:lang w:eastAsia="en-AU"/>
              </w:rPr>
              <w:t xml:space="preserve"> (%)</w:t>
            </w:r>
          </w:p>
        </w:tc>
      </w:tr>
      <w:tr w:rsidR="00EC7ED9" w14:paraId="56C33546" w14:textId="77777777" w:rsidTr="00465CEC">
        <w:tc>
          <w:tcPr>
            <w:tcW w:w="1701" w:type="dxa"/>
          </w:tcPr>
          <w:p w14:paraId="209B051C" w14:textId="6BB5B0D8" w:rsidR="00EC7ED9" w:rsidRPr="00D16554" w:rsidRDefault="00EC7ED9" w:rsidP="00465CEC">
            <w:pPr>
              <w:pStyle w:val="TableText"/>
              <w:rPr>
                <w:lang w:eastAsia="en-AU"/>
              </w:rPr>
            </w:pPr>
            <w:r>
              <w:rPr>
                <w:lang w:eastAsia="en-AU"/>
              </w:rPr>
              <w:t>A</w:t>
            </w:r>
            <w:r w:rsidRPr="00D16554">
              <w:rPr>
                <w:lang w:eastAsia="en-AU"/>
              </w:rPr>
              <w:t xml:space="preserve">lignment with </w:t>
            </w:r>
            <w:r w:rsidR="00190692">
              <w:rPr>
                <w:lang w:eastAsia="en-AU"/>
              </w:rPr>
              <w:t>EBPF</w:t>
            </w:r>
            <w:r w:rsidRPr="00D16554">
              <w:rPr>
                <w:lang w:eastAsia="en-AU"/>
              </w:rPr>
              <w:t xml:space="preserve"> objectives and priorities</w:t>
            </w:r>
          </w:p>
        </w:tc>
        <w:tc>
          <w:tcPr>
            <w:tcW w:w="6096" w:type="dxa"/>
          </w:tcPr>
          <w:p w14:paraId="761FC45B" w14:textId="1A6D2270" w:rsidR="00EC7ED9" w:rsidRDefault="00EC7ED9" w:rsidP="00465CEC">
            <w:pPr>
              <w:pStyle w:val="TableText"/>
              <w:rPr>
                <w:lang w:eastAsia="en-AU"/>
              </w:rPr>
            </w:pPr>
            <w:r>
              <w:rPr>
                <w:lang w:eastAsia="en-AU"/>
              </w:rPr>
              <w:t>Considers how</w:t>
            </w:r>
            <w:r w:rsidRPr="00C47A76">
              <w:rPr>
                <w:lang w:eastAsia="en-AU"/>
              </w:rPr>
              <w:t xml:space="preserve"> well the project addresses national environmental biosecurity priorities, including</w:t>
            </w:r>
            <w:r>
              <w:rPr>
                <w:lang w:eastAsia="en-AU"/>
              </w:rPr>
              <w:t xml:space="preserve"> </w:t>
            </w:r>
            <w:r w:rsidR="00190692">
              <w:rPr>
                <w:lang w:eastAsia="en-AU"/>
              </w:rPr>
              <w:t>EBPF</w:t>
            </w:r>
            <w:r>
              <w:rPr>
                <w:lang w:eastAsia="en-AU"/>
              </w:rPr>
              <w:t xml:space="preserve"> objectives and priorities,</w:t>
            </w:r>
            <w:r w:rsidRPr="00C47A76">
              <w:rPr>
                <w:lang w:eastAsia="en-AU"/>
              </w:rPr>
              <w:t xml:space="preserve"> relevant strategies </w:t>
            </w:r>
            <w:r>
              <w:rPr>
                <w:lang w:eastAsia="en-AU"/>
              </w:rPr>
              <w:t>and plans</w:t>
            </w:r>
            <w:r w:rsidRPr="00C47A76">
              <w:rPr>
                <w:lang w:eastAsia="en-AU"/>
              </w:rPr>
              <w:t xml:space="preserve">. </w:t>
            </w:r>
            <w:r>
              <w:rPr>
                <w:lang w:eastAsia="en-AU"/>
              </w:rPr>
              <w:t xml:space="preserve">Projects must address </w:t>
            </w:r>
            <w:r w:rsidR="00F67A5B">
              <w:rPr>
                <w:lang w:eastAsia="en-AU"/>
              </w:rPr>
              <w:t>EBPF</w:t>
            </w:r>
            <w:r>
              <w:rPr>
                <w:lang w:eastAsia="en-AU"/>
              </w:rPr>
              <w:t xml:space="preserve"> objectives.</w:t>
            </w:r>
          </w:p>
        </w:tc>
        <w:tc>
          <w:tcPr>
            <w:tcW w:w="1273" w:type="dxa"/>
          </w:tcPr>
          <w:p w14:paraId="3BBCD84F" w14:textId="06D459B3" w:rsidR="00EC7ED9" w:rsidRDefault="00EC7ED9" w:rsidP="00465CEC">
            <w:pPr>
              <w:pStyle w:val="TableText"/>
              <w:jc w:val="right"/>
              <w:rPr>
                <w:lang w:eastAsia="en-AU"/>
              </w:rPr>
            </w:pPr>
            <w:r>
              <w:rPr>
                <w:lang w:eastAsia="en-AU"/>
              </w:rPr>
              <w:t>30</w:t>
            </w:r>
          </w:p>
        </w:tc>
      </w:tr>
      <w:tr w:rsidR="00EC7ED9" w14:paraId="2D8242DC" w14:textId="77777777" w:rsidTr="00465CEC">
        <w:tc>
          <w:tcPr>
            <w:tcW w:w="1701" w:type="dxa"/>
          </w:tcPr>
          <w:p w14:paraId="19DFB1D2" w14:textId="77777777" w:rsidR="00EC7ED9" w:rsidRPr="00D16554" w:rsidRDefault="00EC7ED9" w:rsidP="00465CEC">
            <w:pPr>
              <w:pStyle w:val="TableText"/>
              <w:rPr>
                <w:lang w:eastAsia="en-AU"/>
              </w:rPr>
            </w:pPr>
            <w:r w:rsidRPr="00D16554">
              <w:rPr>
                <w:lang w:eastAsia="en-AU"/>
              </w:rPr>
              <w:t>Project value and co-investment</w:t>
            </w:r>
          </w:p>
        </w:tc>
        <w:tc>
          <w:tcPr>
            <w:tcW w:w="6096" w:type="dxa"/>
          </w:tcPr>
          <w:p w14:paraId="121418C5" w14:textId="1760AF08" w:rsidR="00EC7ED9" w:rsidRPr="00EC7ED9" w:rsidRDefault="00EC7ED9" w:rsidP="00465CEC">
            <w:pPr>
              <w:pStyle w:val="TableText"/>
              <w:rPr>
                <w:rFonts w:eastAsia="Times New Roman" w:cstheme="minorHAnsi"/>
                <w:color w:val="000000"/>
                <w:lang w:eastAsia="en-AU"/>
              </w:rPr>
            </w:pPr>
            <w:r w:rsidRPr="00C47A76">
              <w:rPr>
                <w:rFonts w:eastAsia="Times New Roman" w:cstheme="minorHAnsi"/>
                <w:color w:val="000000"/>
                <w:lang w:eastAsia="en-AU"/>
              </w:rPr>
              <w:t>Evaluates the overall value for money, including cost-effectiveness and the ability to leverage additional funding or in-kind support. Projects that show strong collaboration</w:t>
            </w:r>
            <w:r w:rsidR="00654EAE">
              <w:rPr>
                <w:rFonts w:eastAsia="Times New Roman" w:cstheme="minorHAnsi"/>
                <w:color w:val="000000"/>
                <w:lang w:eastAsia="en-AU"/>
              </w:rPr>
              <w:t xml:space="preserve"> </w:t>
            </w:r>
            <w:r w:rsidR="00654EAE" w:rsidRPr="004915DC">
              <w:rPr>
                <w:rFonts w:eastAsia="Times New Roman" w:cstheme="minorHAnsi"/>
                <w:color w:val="000000"/>
                <w:lang w:eastAsia="en-AU"/>
              </w:rPr>
              <w:t>(including with First Nations people where appropriate)</w:t>
            </w:r>
            <w:r w:rsidR="00670229">
              <w:rPr>
                <w:rFonts w:eastAsia="Times New Roman" w:cstheme="minorHAnsi"/>
                <w:color w:val="000000"/>
                <w:lang w:eastAsia="en-AU"/>
              </w:rPr>
              <w:t xml:space="preserve"> and</w:t>
            </w:r>
            <w:r w:rsidRPr="004915DC">
              <w:rPr>
                <w:rFonts w:eastAsia="Times New Roman" w:cstheme="minorHAnsi"/>
                <w:color w:val="000000"/>
                <w:lang w:eastAsia="en-AU"/>
              </w:rPr>
              <w:t xml:space="preserve"> complement</w:t>
            </w:r>
            <w:r w:rsidRPr="00C47A76">
              <w:rPr>
                <w:rFonts w:eastAsia="Times New Roman" w:cstheme="minorHAnsi"/>
                <w:color w:val="000000"/>
                <w:lang w:eastAsia="en-AU"/>
              </w:rPr>
              <w:t xml:space="preserve"> existing tools or strategies</w:t>
            </w:r>
            <w:r w:rsidR="00F67A5B">
              <w:rPr>
                <w:rFonts w:eastAsia="Times New Roman" w:cstheme="minorHAnsi"/>
                <w:color w:val="000000"/>
                <w:lang w:eastAsia="en-AU"/>
              </w:rPr>
              <w:t xml:space="preserve"> </w:t>
            </w:r>
            <w:r w:rsidRPr="00C47A76">
              <w:rPr>
                <w:rFonts w:eastAsia="Times New Roman" w:cstheme="minorHAnsi"/>
                <w:color w:val="000000"/>
                <w:lang w:eastAsia="en-AU"/>
              </w:rPr>
              <w:t>will be highly regarded.</w:t>
            </w:r>
          </w:p>
        </w:tc>
        <w:tc>
          <w:tcPr>
            <w:tcW w:w="1273" w:type="dxa"/>
          </w:tcPr>
          <w:p w14:paraId="2806F218" w14:textId="610D75C5" w:rsidR="00EC7ED9" w:rsidRDefault="00EC7ED9" w:rsidP="00465CEC">
            <w:pPr>
              <w:pStyle w:val="TableText"/>
              <w:jc w:val="right"/>
              <w:rPr>
                <w:lang w:eastAsia="en-AU"/>
              </w:rPr>
            </w:pPr>
            <w:r>
              <w:rPr>
                <w:lang w:eastAsia="en-AU"/>
              </w:rPr>
              <w:t>25</w:t>
            </w:r>
          </w:p>
        </w:tc>
      </w:tr>
      <w:tr w:rsidR="00EC7ED9" w14:paraId="1AE4989F" w14:textId="77777777" w:rsidTr="00465CEC">
        <w:tc>
          <w:tcPr>
            <w:tcW w:w="1701" w:type="dxa"/>
          </w:tcPr>
          <w:p w14:paraId="794BB7FA" w14:textId="77777777" w:rsidR="00EC7ED9" w:rsidRPr="00D16554" w:rsidRDefault="00EC7ED9" w:rsidP="00465CEC">
            <w:pPr>
              <w:pStyle w:val="TableText"/>
              <w:rPr>
                <w:lang w:eastAsia="en-AU"/>
              </w:rPr>
            </w:pPr>
            <w:r>
              <w:rPr>
                <w:lang w:eastAsia="en-AU"/>
              </w:rPr>
              <w:t>F</w:t>
            </w:r>
            <w:r w:rsidRPr="00D16554">
              <w:rPr>
                <w:lang w:eastAsia="en-AU"/>
              </w:rPr>
              <w:t>easibility and applicant capability</w:t>
            </w:r>
          </w:p>
        </w:tc>
        <w:tc>
          <w:tcPr>
            <w:tcW w:w="6096" w:type="dxa"/>
          </w:tcPr>
          <w:p w14:paraId="68DDEBA7" w14:textId="68C00273" w:rsidR="00EC7ED9" w:rsidRPr="00C47A76" w:rsidRDefault="00EC7ED9" w:rsidP="00465CEC">
            <w:pPr>
              <w:pStyle w:val="TableText"/>
              <w:rPr>
                <w:rFonts w:eastAsia="Times New Roman" w:cstheme="minorHAnsi"/>
                <w:color w:val="000000"/>
                <w:lang w:eastAsia="en-AU"/>
              </w:rPr>
            </w:pPr>
            <w:r w:rsidRPr="004127A3">
              <w:rPr>
                <w:lang w:eastAsia="en-AU"/>
              </w:rPr>
              <w:t>Assesses the practicality of the project and the applicant’s ability to successfully deliver it. This includes demonstrated project management skills, adherence to time</w:t>
            </w:r>
            <w:r w:rsidR="00670229">
              <w:rPr>
                <w:lang w:eastAsia="en-AU"/>
              </w:rPr>
              <w:t xml:space="preserve"> </w:t>
            </w:r>
            <w:r w:rsidRPr="004127A3">
              <w:rPr>
                <w:lang w:eastAsia="en-AU"/>
              </w:rPr>
              <w:t>frames and budgets, and a track record of achieving intended outcomes.</w:t>
            </w:r>
          </w:p>
        </w:tc>
        <w:tc>
          <w:tcPr>
            <w:tcW w:w="1273" w:type="dxa"/>
          </w:tcPr>
          <w:p w14:paraId="24A64CFF" w14:textId="24B0B87F" w:rsidR="00EC7ED9" w:rsidRDefault="00EC7ED9" w:rsidP="00465CEC">
            <w:pPr>
              <w:pStyle w:val="TableText"/>
              <w:jc w:val="right"/>
              <w:rPr>
                <w:lang w:eastAsia="en-AU"/>
              </w:rPr>
            </w:pPr>
            <w:r>
              <w:rPr>
                <w:lang w:eastAsia="en-AU"/>
              </w:rPr>
              <w:t>25</w:t>
            </w:r>
          </w:p>
        </w:tc>
      </w:tr>
      <w:tr w:rsidR="00EC7ED9" w:rsidRPr="001866BE" w14:paraId="762B4383" w14:textId="77777777" w:rsidTr="00465CEC">
        <w:tc>
          <w:tcPr>
            <w:tcW w:w="1701" w:type="dxa"/>
          </w:tcPr>
          <w:p w14:paraId="4EBFD843" w14:textId="0FDEF456" w:rsidR="00EC7ED9" w:rsidRPr="001866BE" w:rsidRDefault="00EC7ED9" w:rsidP="00465CEC">
            <w:pPr>
              <w:pStyle w:val="TableText"/>
              <w:rPr>
                <w:lang w:eastAsia="en-AU"/>
              </w:rPr>
            </w:pPr>
            <w:r w:rsidRPr="001866BE">
              <w:rPr>
                <w:lang w:eastAsia="en-AU"/>
              </w:rPr>
              <w:t>Project legacy</w:t>
            </w:r>
          </w:p>
        </w:tc>
        <w:tc>
          <w:tcPr>
            <w:tcW w:w="6096" w:type="dxa"/>
          </w:tcPr>
          <w:p w14:paraId="30D86DA3" w14:textId="1F5BA48A" w:rsidR="00EC7ED9" w:rsidRPr="001866BE" w:rsidRDefault="00EC7ED9" w:rsidP="00465CEC">
            <w:pPr>
              <w:pStyle w:val="TableText"/>
              <w:rPr>
                <w:lang w:eastAsia="en-AU"/>
              </w:rPr>
            </w:pPr>
            <w:r w:rsidRPr="001866BE">
              <w:rPr>
                <w:lang w:eastAsia="en-AU"/>
              </w:rPr>
              <w:t xml:space="preserve">Considers the potential for the project to create lasting outcomes, such as building and maintaining expertise, generating data or resources and strengthening community or institutional capacity. </w:t>
            </w:r>
            <w:r w:rsidR="00670229">
              <w:rPr>
                <w:lang w:eastAsia="en-AU"/>
              </w:rPr>
              <w:t xml:space="preserve">The </w:t>
            </w:r>
            <w:r w:rsidR="00190692" w:rsidRPr="001866BE">
              <w:rPr>
                <w:lang w:eastAsia="en-AU"/>
              </w:rPr>
              <w:t>EBPF</w:t>
            </w:r>
            <w:r w:rsidRPr="001866BE">
              <w:rPr>
                <w:lang w:eastAsia="en-AU"/>
              </w:rPr>
              <w:t xml:space="preserve"> is not intended to provide ongoing support </w:t>
            </w:r>
            <w:bookmarkStart w:id="6" w:name="_Hlk212199004"/>
            <w:r w:rsidRPr="001866BE">
              <w:rPr>
                <w:lang w:eastAsia="en-AU"/>
              </w:rPr>
              <w:t xml:space="preserve">beyond </w:t>
            </w:r>
            <w:r w:rsidR="001866BE">
              <w:rPr>
                <w:lang w:eastAsia="en-AU"/>
              </w:rPr>
              <w:t>the duration of a funded project.</w:t>
            </w:r>
            <w:bookmarkEnd w:id="6"/>
          </w:p>
        </w:tc>
        <w:tc>
          <w:tcPr>
            <w:tcW w:w="1273" w:type="dxa"/>
          </w:tcPr>
          <w:p w14:paraId="79F2E43F" w14:textId="6BD77557" w:rsidR="00EC7ED9" w:rsidRPr="001866BE" w:rsidRDefault="00EC7ED9" w:rsidP="00465CEC">
            <w:pPr>
              <w:pStyle w:val="TableText"/>
              <w:jc w:val="right"/>
              <w:rPr>
                <w:lang w:eastAsia="en-AU"/>
              </w:rPr>
            </w:pPr>
            <w:r w:rsidRPr="001866BE">
              <w:rPr>
                <w:lang w:eastAsia="en-AU"/>
              </w:rPr>
              <w:t>20</w:t>
            </w:r>
          </w:p>
        </w:tc>
      </w:tr>
    </w:tbl>
    <w:p w14:paraId="41E6D373" w14:textId="77777777" w:rsidR="00EC7ED9" w:rsidRPr="001866BE" w:rsidRDefault="00EC7ED9" w:rsidP="00E55E6F">
      <w:pPr>
        <w:pStyle w:val="Heading2"/>
        <w:numPr>
          <w:ilvl w:val="0"/>
          <w:numId w:val="0"/>
        </w:numPr>
        <w:spacing w:before="240"/>
        <w:ind w:left="720" w:hanging="720"/>
      </w:pPr>
      <w:r w:rsidRPr="001866BE">
        <w:t>Assessment decisions</w:t>
      </w:r>
    </w:p>
    <w:p w14:paraId="3FFEF46C" w14:textId="55BA67EF" w:rsidR="000F5A67" w:rsidRDefault="000F5A67" w:rsidP="00EC7ED9">
      <w:r>
        <w:t xml:space="preserve">If </w:t>
      </w:r>
      <w:r w:rsidR="00670229">
        <w:t xml:space="preserve">the assessment panel </w:t>
      </w:r>
      <w:r w:rsidRPr="001866BE">
        <w:t>recommend</w:t>
      </w:r>
      <w:r w:rsidR="00670229">
        <w:t>s your project</w:t>
      </w:r>
      <w:r w:rsidRPr="001866BE">
        <w:t xml:space="preserve"> to the Australian Chief Environmental Biosecurity Officer</w:t>
      </w:r>
      <w:r>
        <w:t>, we will notify you and provide information on the next stage of the assessment process. Panel recommendation</w:t>
      </w:r>
      <w:r w:rsidR="00EC7ED9" w:rsidRPr="001866BE">
        <w:t xml:space="preserve"> does not guarantee funding</w:t>
      </w:r>
      <w:r w:rsidR="000B6EEF">
        <w:t xml:space="preserve"> </w:t>
      </w:r>
      <w:r w:rsidR="000B6EEF" w:rsidRPr="001866BE">
        <w:t>but indicates that the project has been assessed as suitable for further consideration.</w:t>
      </w:r>
    </w:p>
    <w:p w14:paraId="3604B98A" w14:textId="4C51DDAA" w:rsidR="000F5A67" w:rsidRDefault="00EC7ED9" w:rsidP="00E55E6F">
      <w:pPr>
        <w:keepNext/>
      </w:pPr>
      <w:r w:rsidRPr="001866BE">
        <w:lastRenderedPageBreak/>
        <w:t>The department has several legislative and policy obligations relevant to the spending of Commonwealth funding. All processes will be conducted in a manner consistent with</w:t>
      </w:r>
      <w:r w:rsidR="000F5A67">
        <w:t>:</w:t>
      </w:r>
    </w:p>
    <w:p w14:paraId="0AE1CCC6" w14:textId="6BD1E516" w:rsidR="000F5A67" w:rsidRDefault="006B74B2" w:rsidP="000F5A67">
      <w:pPr>
        <w:pStyle w:val="ListBullet"/>
      </w:pPr>
      <w:r w:rsidRPr="001866BE">
        <w:t xml:space="preserve">the </w:t>
      </w:r>
      <w:hyperlink r:id="rId21" w:history="1">
        <w:r w:rsidRPr="00332A83">
          <w:rPr>
            <w:rStyle w:val="Hyperlink"/>
          </w:rPr>
          <w:t>Commonwealth Procurement Rules</w:t>
        </w:r>
      </w:hyperlink>
    </w:p>
    <w:p w14:paraId="6D1C9AE5" w14:textId="5369D234" w:rsidR="000F5A67" w:rsidRDefault="006E494B" w:rsidP="000F5A67">
      <w:pPr>
        <w:pStyle w:val="ListBullet"/>
      </w:pPr>
      <w:r w:rsidRPr="001866BE">
        <w:t xml:space="preserve">the </w:t>
      </w:r>
      <w:hyperlink r:id="rId22" w:history="1">
        <w:r w:rsidR="006B74B2" w:rsidRPr="0011392E">
          <w:rPr>
            <w:rStyle w:val="Hyperlink"/>
          </w:rPr>
          <w:t>Commonwealth Grant</w:t>
        </w:r>
        <w:r w:rsidRPr="0011392E">
          <w:rPr>
            <w:rStyle w:val="Hyperlink"/>
          </w:rPr>
          <w:t xml:space="preserve"> Rules and Principles</w:t>
        </w:r>
        <w:r w:rsidR="00670229" w:rsidRPr="0011392E">
          <w:rPr>
            <w:rStyle w:val="Hyperlink"/>
          </w:rPr>
          <w:t xml:space="preserve"> 2024</w:t>
        </w:r>
      </w:hyperlink>
    </w:p>
    <w:p w14:paraId="6CE3C62A" w14:textId="09EA9E2C" w:rsidR="000F5A67" w:rsidRDefault="00EC7ED9" w:rsidP="000F5A67">
      <w:pPr>
        <w:pStyle w:val="ListBullet"/>
      </w:pPr>
      <w:r w:rsidRPr="001866BE">
        <w:t>applicable Commonwealth legislation and policies.</w:t>
      </w:r>
    </w:p>
    <w:p w14:paraId="1ED8A927" w14:textId="36A5D5E4" w:rsidR="00B6697F" w:rsidRDefault="009A3866" w:rsidP="000F5A67">
      <w:r w:rsidRPr="001866BE">
        <w:t xml:space="preserve">This includes an open, competitive process where there is </w:t>
      </w:r>
      <w:r w:rsidR="00213653" w:rsidRPr="001866BE">
        <w:t>insufficient</w:t>
      </w:r>
      <w:r w:rsidRPr="001866BE">
        <w:t xml:space="preserve"> justification for a close</w:t>
      </w:r>
      <w:r w:rsidR="00213653" w:rsidRPr="001866BE">
        <w:t>d</w:t>
      </w:r>
      <w:r w:rsidRPr="001866BE">
        <w:t xml:space="preserve"> non-competitive process.</w:t>
      </w:r>
    </w:p>
    <w:p w14:paraId="726E71CD" w14:textId="293A0710" w:rsidR="00AC4916" w:rsidRDefault="00AC4916" w:rsidP="000F5A67">
      <w:r w:rsidRPr="001866BE">
        <w:t>By the applicant’s participation in th</w:t>
      </w:r>
      <w:r>
        <w:t>e application</w:t>
      </w:r>
      <w:r w:rsidRPr="001866BE">
        <w:t xml:space="preserve"> process, the applicant acknowledges that no binding contract, including a process contract, understanding or other legal or equitable rights or obligations will exist, or is created, between the Department and the applicant.</w:t>
      </w:r>
    </w:p>
    <w:p w14:paraId="39CB9A53" w14:textId="6F58A5DA" w:rsidR="00EC7ED9" w:rsidRDefault="00EC7ED9" w:rsidP="00EC7ED9">
      <w:r>
        <w:t xml:space="preserve">Applicants whose projects are not recommended </w:t>
      </w:r>
      <w:r w:rsidR="000F5A67">
        <w:t>by the panel</w:t>
      </w:r>
      <w:r>
        <w:t xml:space="preserve"> </w:t>
      </w:r>
      <w:r w:rsidR="00E54422">
        <w:t xml:space="preserve">will </w:t>
      </w:r>
      <w:r>
        <w:t>be notified and provided feedback.</w:t>
      </w:r>
    </w:p>
    <w:p w14:paraId="4E51D8F7" w14:textId="77777777" w:rsidR="006C6B07" w:rsidRDefault="006C6B07" w:rsidP="006C6B07">
      <w:pPr>
        <w:pStyle w:val="Heading2"/>
        <w:numPr>
          <w:ilvl w:val="0"/>
          <w:numId w:val="0"/>
        </w:numPr>
        <w:ind w:left="720" w:hanging="720"/>
      </w:pPr>
      <w:r>
        <w:t>Funded projects</w:t>
      </w:r>
    </w:p>
    <w:p w14:paraId="34FD48FC" w14:textId="77777777" w:rsidR="006C6B07" w:rsidRDefault="006C6B07" w:rsidP="006C6B07">
      <w:r>
        <w:t>The EBPF webpage will be updated following commencement of any new agreements.</w:t>
      </w:r>
    </w:p>
    <w:p w14:paraId="73E5A96F" w14:textId="77777777" w:rsidR="006C6B07" w:rsidRDefault="006C6B07" w:rsidP="006C6B07">
      <w:r>
        <w:t xml:space="preserve">Information on funded projects will be shared on the </w:t>
      </w:r>
      <w:hyperlink r:id="rId23" w:history="1">
        <w:r w:rsidRPr="00CE0005">
          <w:rPr>
            <w:rStyle w:val="Hyperlink"/>
          </w:rPr>
          <w:t>Environmental Biosecurity Project Fund</w:t>
        </w:r>
      </w:hyperlink>
      <w:r w:rsidRPr="00CE0005">
        <w:t xml:space="preserve"> webpage, the </w:t>
      </w:r>
      <w:hyperlink r:id="rId24" w:history="1">
        <w:r w:rsidRPr="00CE0005">
          <w:rPr>
            <w:rStyle w:val="Hyperlink"/>
          </w:rPr>
          <w:t>Three Chiefs newsletter</w:t>
        </w:r>
      </w:hyperlink>
      <w:r w:rsidRPr="00CE0005">
        <w:t xml:space="preserve"> and other department communication material </w:t>
      </w:r>
      <w:r>
        <w:t>with consent. The department may publish the project:</w:t>
      </w:r>
    </w:p>
    <w:p w14:paraId="4CA208E0" w14:textId="77777777" w:rsidR="006C6B07" w:rsidRDefault="006C6B07" w:rsidP="006C6B07">
      <w:pPr>
        <w:pStyle w:val="ListBullet"/>
      </w:pPr>
      <w:r>
        <w:t>Title</w:t>
      </w:r>
    </w:p>
    <w:p w14:paraId="7F3B5575" w14:textId="46DDD5DE" w:rsidR="006C6B07" w:rsidRDefault="006C6B07" w:rsidP="006C6B07">
      <w:pPr>
        <w:pStyle w:val="ListBullet"/>
      </w:pPr>
      <w:r>
        <w:t>Timeframe</w:t>
      </w:r>
    </w:p>
    <w:p w14:paraId="224A72C6" w14:textId="77777777" w:rsidR="006C6B07" w:rsidRDefault="006C6B07" w:rsidP="006C6B07">
      <w:pPr>
        <w:pStyle w:val="ListBullet"/>
      </w:pPr>
      <w:r>
        <w:t>Lead organisation name</w:t>
      </w:r>
    </w:p>
    <w:p w14:paraId="1D21E6C8" w14:textId="77777777" w:rsidR="006C6B07" w:rsidRDefault="006C6B07" w:rsidP="006C6B07">
      <w:pPr>
        <w:pStyle w:val="ListBullet"/>
      </w:pPr>
      <w:r>
        <w:t>Partner organisation names</w:t>
      </w:r>
    </w:p>
    <w:p w14:paraId="389F39C2" w14:textId="77777777" w:rsidR="006C6B07" w:rsidRDefault="006C6B07" w:rsidP="006C6B07">
      <w:pPr>
        <w:pStyle w:val="ListBullet"/>
      </w:pPr>
      <w:r>
        <w:t>Commonwealth investment</w:t>
      </w:r>
    </w:p>
    <w:p w14:paraId="4F779CAB" w14:textId="77777777" w:rsidR="006C6B07" w:rsidRDefault="006C6B07" w:rsidP="006C6B07">
      <w:pPr>
        <w:pStyle w:val="ListBullet"/>
      </w:pPr>
      <w:r>
        <w:t>Objective and summary (including outcomes)</w:t>
      </w:r>
    </w:p>
    <w:p w14:paraId="3AC23A1E" w14:textId="77777777" w:rsidR="006C6B07" w:rsidRDefault="006C6B07" w:rsidP="006C6B07">
      <w:pPr>
        <w:pStyle w:val="Heading2"/>
        <w:numPr>
          <w:ilvl w:val="0"/>
          <w:numId w:val="0"/>
        </w:numPr>
        <w:ind w:left="720" w:hanging="720"/>
      </w:pPr>
      <w:r>
        <w:t>Use of information</w:t>
      </w:r>
    </w:p>
    <w:p w14:paraId="483C5D40" w14:textId="77777777" w:rsidR="006C6B07" w:rsidRDefault="006C6B07" w:rsidP="006C6B07">
      <w:pPr>
        <w:pStyle w:val="ListBullet"/>
        <w:numPr>
          <w:ilvl w:val="0"/>
          <w:numId w:val="0"/>
        </w:numPr>
      </w:pPr>
      <w:r w:rsidRPr="00097120">
        <w:t xml:space="preserve">A record of the information obtained through the </w:t>
      </w:r>
      <w:r>
        <w:t>EBPF application</w:t>
      </w:r>
      <w:r w:rsidRPr="00097120">
        <w:t xml:space="preserve"> and any subsequent requests for information in relation to the </w:t>
      </w:r>
      <w:r>
        <w:t xml:space="preserve">EBPF </w:t>
      </w:r>
      <w:r w:rsidRPr="00097120">
        <w:t xml:space="preserve">process will be </w:t>
      </w:r>
      <w:proofErr w:type="gramStart"/>
      <w:r w:rsidRPr="00097120">
        <w:t>retained, and</w:t>
      </w:r>
      <w:proofErr w:type="gramEnd"/>
      <w:r w:rsidRPr="00097120">
        <w:t xml:space="preserve"> only used </w:t>
      </w:r>
      <w:r>
        <w:t xml:space="preserve">and disclosed </w:t>
      </w:r>
      <w:r w:rsidRPr="00097120">
        <w:t xml:space="preserve">for the purposes of the </w:t>
      </w:r>
      <w:r>
        <w:t>EBPF application assessment</w:t>
      </w:r>
      <w:r w:rsidRPr="00097120">
        <w:t xml:space="preserve"> process</w:t>
      </w:r>
      <w:r>
        <w:t xml:space="preserve"> and EBPF communication material if the project is funded and related purposes (e.g. evaluation of the program).</w:t>
      </w:r>
    </w:p>
    <w:p w14:paraId="4ED23D9C" w14:textId="77777777" w:rsidR="006C6B07" w:rsidRDefault="006C6B07" w:rsidP="006C6B07">
      <w:pPr>
        <w:pStyle w:val="ListBullet"/>
        <w:numPr>
          <w:ilvl w:val="0"/>
          <w:numId w:val="0"/>
        </w:numPr>
      </w:pPr>
      <w:r w:rsidRPr="00097120">
        <w:t xml:space="preserve">In administering this process, the Department of Agriculture, Fisheries and Forestry will disclose information (including confidential information) in connection with </w:t>
      </w:r>
      <w:r>
        <w:t>an application</w:t>
      </w:r>
      <w:r w:rsidRPr="00097120">
        <w:t xml:space="preserve"> to </w:t>
      </w:r>
      <w:r>
        <w:t>the EBPF assessment panel and advisors</w:t>
      </w:r>
      <w:r w:rsidRPr="00097120">
        <w:t xml:space="preserve">, </w:t>
      </w:r>
      <w:r>
        <w:t xml:space="preserve">other </w:t>
      </w:r>
      <w:r w:rsidRPr="000A6A01">
        <w:t>Australian Government agencies</w:t>
      </w:r>
      <w:r>
        <w:t xml:space="preserve"> and persons or organisations where necessary</w:t>
      </w:r>
      <w:r w:rsidRPr="00097120">
        <w:t xml:space="preserve"> for the purposes of this process, </w:t>
      </w:r>
      <w:r>
        <w:t xml:space="preserve">provided the disclosure is consistent with relevant laws, including the </w:t>
      </w:r>
      <w:r>
        <w:rPr>
          <w:i/>
          <w:iCs/>
        </w:rPr>
        <w:t xml:space="preserve">Privacy Act 1988 </w:t>
      </w:r>
      <w:r>
        <w:t>(</w:t>
      </w:r>
      <w:proofErr w:type="spellStart"/>
      <w:r>
        <w:t>Cth</w:t>
      </w:r>
      <w:proofErr w:type="spellEnd"/>
      <w:r>
        <w:t xml:space="preserve">), and in relation to confidential information, </w:t>
      </w:r>
      <w:r w:rsidRPr="00097120">
        <w:t>provided those persons have agreed to not disclose any confidential information included in those documents.</w:t>
      </w:r>
    </w:p>
    <w:p w14:paraId="72926FF2" w14:textId="77777777" w:rsidR="006C6B07" w:rsidRDefault="006C6B07" w:rsidP="006C6B07">
      <w:pPr>
        <w:pStyle w:val="Heading2"/>
        <w:numPr>
          <w:ilvl w:val="0"/>
          <w:numId w:val="0"/>
        </w:numPr>
        <w:ind w:left="720" w:hanging="720"/>
      </w:pPr>
      <w:r>
        <w:lastRenderedPageBreak/>
        <w:t>Probity</w:t>
      </w:r>
    </w:p>
    <w:p w14:paraId="76DD94CA" w14:textId="77777777" w:rsidR="006C6B07" w:rsidRDefault="006C6B07" w:rsidP="006C6B07">
      <w:pPr>
        <w:rPr>
          <w:lang w:eastAsia="ja-JP"/>
        </w:rPr>
      </w:pPr>
      <w:r>
        <w:rPr>
          <w:lang w:eastAsia="ja-JP"/>
        </w:rPr>
        <w:t>Probity principles require the conduct of open, fair, accountable and consistent processes. The probity principles applied through this process aim to assure all parties of the integrity of the decision-making process.</w:t>
      </w:r>
    </w:p>
    <w:p w14:paraId="2DA20F95" w14:textId="77777777" w:rsidR="006C6B07" w:rsidRDefault="006C6B07" w:rsidP="006C6B07">
      <w:pPr>
        <w:rPr>
          <w:lang w:eastAsia="ja-JP"/>
        </w:rPr>
      </w:pPr>
      <w:r>
        <w:rPr>
          <w:lang w:eastAsia="ja-JP"/>
        </w:rPr>
        <w:t>The probity principles include:</w:t>
      </w:r>
    </w:p>
    <w:p w14:paraId="3D3C86E5" w14:textId="77777777" w:rsidR="006C6B07" w:rsidRDefault="006C6B07" w:rsidP="006C6B07">
      <w:pPr>
        <w:pStyle w:val="ListBullet"/>
        <w:rPr>
          <w:lang w:eastAsia="ja-JP"/>
        </w:rPr>
      </w:pPr>
      <w:r>
        <w:rPr>
          <w:lang w:eastAsia="ja-JP"/>
        </w:rPr>
        <w:t>honesty and impartiality</w:t>
      </w:r>
    </w:p>
    <w:p w14:paraId="560FC8C5" w14:textId="77777777" w:rsidR="006C6B07" w:rsidRDefault="006C6B07" w:rsidP="006C6B07">
      <w:pPr>
        <w:pStyle w:val="ListBullet"/>
        <w:rPr>
          <w:lang w:eastAsia="ja-JP"/>
        </w:rPr>
      </w:pPr>
      <w:r>
        <w:rPr>
          <w:lang w:eastAsia="ja-JP"/>
        </w:rPr>
        <w:t>identification and management of conflicts of interest</w:t>
      </w:r>
    </w:p>
    <w:p w14:paraId="369615A5" w14:textId="77777777" w:rsidR="006C6B07" w:rsidRDefault="006C6B07" w:rsidP="006C6B07">
      <w:pPr>
        <w:pStyle w:val="ListBullet"/>
        <w:rPr>
          <w:lang w:eastAsia="ja-JP"/>
        </w:rPr>
      </w:pPr>
      <w:r>
        <w:rPr>
          <w:lang w:eastAsia="ja-JP"/>
        </w:rPr>
        <w:t>appropriate security and confidentiality arrangements</w:t>
      </w:r>
    </w:p>
    <w:p w14:paraId="36C919E2" w14:textId="77777777" w:rsidR="006C6B07" w:rsidRDefault="006C6B07" w:rsidP="006C6B07">
      <w:pPr>
        <w:pStyle w:val="ListBullet"/>
        <w:rPr>
          <w:lang w:eastAsia="ja-JP"/>
        </w:rPr>
      </w:pPr>
      <w:r>
        <w:rPr>
          <w:lang w:eastAsia="ja-JP"/>
        </w:rPr>
        <w:t>consistency, fairness and due diligence</w:t>
      </w:r>
    </w:p>
    <w:p w14:paraId="5BF2BCC1" w14:textId="77777777" w:rsidR="006C6B07" w:rsidRDefault="006C6B07" w:rsidP="006C6B07">
      <w:pPr>
        <w:pStyle w:val="ListBullet"/>
        <w:rPr>
          <w:lang w:eastAsia="ja-JP"/>
        </w:rPr>
      </w:pPr>
      <w:r>
        <w:rPr>
          <w:lang w:eastAsia="ja-JP"/>
        </w:rPr>
        <w:t>transparency</w:t>
      </w:r>
    </w:p>
    <w:p w14:paraId="0A402729" w14:textId="77777777" w:rsidR="006C6B07" w:rsidRDefault="006C6B07" w:rsidP="006C6B07">
      <w:pPr>
        <w:pStyle w:val="ListBullet"/>
        <w:rPr>
          <w:lang w:eastAsia="ja-JP"/>
        </w:rPr>
      </w:pPr>
      <w:r>
        <w:rPr>
          <w:lang w:eastAsia="ja-JP"/>
        </w:rPr>
        <w:t>maintaining an appropriate audit trail</w:t>
      </w:r>
    </w:p>
    <w:p w14:paraId="5A2B0AB6" w14:textId="77777777" w:rsidR="006C6B07" w:rsidRDefault="006C6B07" w:rsidP="006C6B07">
      <w:pPr>
        <w:pStyle w:val="ListBullet"/>
        <w:rPr>
          <w:lang w:eastAsia="ja-JP"/>
        </w:rPr>
      </w:pPr>
      <w:r>
        <w:rPr>
          <w:lang w:eastAsia="ja-JP"/>
        </w:rPr>
        <w:t>compliance with legal and policy frameworks.</w:t>
      </w:r>
    </w:p>
    <w:p w14:paraId="4046D883" w14:textId="77777777" w:rsidR="006C6B07" w:rsidRPr="00973070" w:rsidRDefault="006C6B07" w:rsidP="006C6B07">
      <w:pPr>
        <w:rPr>
          <w:lang w:eastAsia="ja-JP"/>
        </w:rPr>
      </w:pPr>
      <w:r>
        <w:rPr>
          <w:lang w:eastAsia="ja-JP"/>
        </w:rPr>
        <w:t xml:space="preserve">For queries about the probity of this nomination process, email </w:t>
      </w:r>
      <w:hyperlink r:id="rId25" w:history="1">
        <w:r w:rsidRPr="009A03C1">
          <w:rPr>
            <w:rStyle w:val="Hyperlink"/>
            <w:lang w:eastAsia="ja-JP"/>
          </w:rPr>
          <w:t>ACEBO@aff.gov.au</w:t>
        </w:r>
      </w:hyperlink>
    </w:p>
    <w:p w14:paraId="78ECDEBF" w14:textId="77777777" w:rsidR="006C6B07" w:rsidRDefault="006C6B07" w:rsidP="006C6B07">
      <w:pPr>
        <w:pStyle w:val="Heading2"/>
        <w:numPr>
          <w:ilvl w:val="0"/>
          <w:numId w:val="0"/>
        </w:numPr>
        <w:ind w:left="720" w:hanging="720"/>
      </w:pPr>
      <w:r>
        <w:t>Conditions of application</w:t>
      </w:r>
    </w:p>
    <w:p w14:paraId="322A3854" w14:textId="32A69B36" w:rsidR="006C6B07" w:rsidRDefault="006C6B07" w:rsidP="006C6B07">
      <w:pPr>
        <w:rPr>
          <w:lang w:eastAsia="ja-JP"/>
        </w:rPr>
      </w:pPr>
      <w:r>
        <w:rPr>
          <w:lang w:eastAsia="ja-JP"/>
        </w:rPr>
        <w:t>The Department will not be responsible for any costs or expenses incurred by an organisation because of participating in the application process contained in these guidelines.</w:t>
      </w:r>
    </w:p>
    <w:p w14:paraId="5A6F2B22" w14:textId="77777777" w:rsidR="00AC4916" w:rsidRDefault="00AC4916" w:rsidP="00AC4916">
      <w:pPr>
        <w:rPr>
          <w:lang w:eastAsia="ja-JP"/>
        </w:rPr>
      </w:pPr>
      <w:r>
        <w:rPr>
          <w:lang w:eastAsia="ja-JP"/>
        </w:rPr>
        <w:t>The information in the application may be made available to the public (except for personal information and any information specifically identified by you as confidential and you have explained why the department should treat that information as confidential, including an explanation as to how disclosing the information would cause unreasonable harm to you or someone else). Your details (lead organisation, partner organisations, primary and secondary contact person details) will be used in accordance with the privacy notice in the application. Subject to paragraph (1), any information identified as confidential information will not be released and will remain confidential.</w:t>
      </w:r>
    </w:p>
    <w:p w14:paraId="75D6A412" w14:textId="77777777" w:rsidR="00AC4916" w:rsidRDefault="00AC4916" w:rsidP="00AC4916">
      <w:pPr>
        <w:pStyle w:val="ListNumber"/>
        <w:numPr>
          <w:ilvl w:val="0"/>
          <w:numId w:val="18"/>
        </w:numPr>
        <w:rPr>
          <w:lang w:eastAsia="ja-JP"/>
        </w:rPr>
      </w:pPr>
      <w:r>
        <w:rPr>
          <w:lang w:eastAsia="ja-JP"/>
        </w:rPr>
        <w:t>In addition to individuals involved with any stage of the process outlined in these guidelines, the department may also disclose confidential information included in an application:</w:t>
      </w:r>
    </w:p>
    <w:p w14:paraId="466135E2" w14:textId="77777777" w:rsidR="00AC4916" w:rsidRDefault="00AC4916" w:rsidP="00AC4916">
      <w:pPr>
        <w:pStyle w:val="ListNumber2"/>
        <w:rPr>
          <w:lang w:eastAsia="ja-JP"/>
        </w:rPr>
      </w:pPr>
      <w:r>
        <w:rPr>
          <w:lang w:eastAsia="ja-JP"/>
        </w:rPr>
        <w:t>to the Auditor-General, Commonwealth Ombudsman or Australian Information Commissioner</w:t>
      </w:r>
    </w:p>
    <w:p w14:paraId="1A5CF5F2" w14:textId="77777777" w:rsidR="00AC4916" w:rsidRDefault="00AC4916" w:rsidP="00AC4916">
      <w:pPr>
        <w:pStyle w:val="ListNumber2"/>
        <w:rPr>
          <w:lang w:eastAsia="ja-JP"/>
        </w:rPr>
      </w:pPr>
      <w:r>
        <w:rPr>
          <w:lang w:eastAsia="ja-JP"/>
        </w:rPr>
        <w:t>to the responsible minister</w:t>
      </w:r>
    </w:p>
    <w:p w14:paraId="7B540C64" w14:textId="77777777" w:rsidR="00AC4916" w:rsidRDefault="00AC4916" w:rsidP="00AC4916">
      <w:pPr>
        <w:pStyle w:val="ListNumber2"/>
        <w:rPr>
          <w:lang w:eastAsia="ja-JP"/>
        </w:rPr>
      </w:pPr>
      <w:r>
        <w:rPr>
          <w:lang w:eastAsia="ja-JP"/>
        </w:rPr>
        <w:t>for public accountability reasons, including to a House or committee of the Australian Parliament, or</w:t>
      </w:r>
    </w:p>
    <w:p w14:paraId="626C6378" w14:textId="77777777" w:rsidR="00AC4916" w:rsidRDefault="00AC4916" w:rsidP="00AC4916">
      <w:pPr>
        <w:pStyle w:val="ListNumber2"/>
        <w:rPr>
          <w:lang w:eastAsia="ja-JP"/>
        </w:rPr>
      </w:pPr>
      <w:r>
        <w:rPr>
          <w:lang w:eastAsia="ja-JP"/>
        </w:rPr>
        <w:t>if the information is already in the public domain other than due to a breach of confidence.</w:t>
      </w:r>
    </w:p>
    <w:p w14:paraId="7330D845" w14:textId="77777777" w:rsidR="00AC4916" w:rsidRDefault="00AC4916" w:rsidP="00AC4916">
      <w:pPr>
        <w:rPr>
          <w:lang w:eastAsia="ja-JP"/>
        </w:rPr>
      </w:pPr>
      <w:r>
        <w:rPr>
          <w:lang w:eastAsia="ja-JP"/>
        </w:rPr>
        <w:t xml:space="preserve">All documents in the possession of the Australian Government are subject to the </w:t>
      </w:r>
      <w:r w:rsidRPr="00973070">
        <w:rPr>
          <w:i/>
          <w:iCs/>
          <w:lang w:eastAsia="ja-JP"/>
        </w:rPr>
        <w:t>Freedom of Information Act 1982</w:t>
      </w:r>
      <w:r>
        <w:rPr>
          <w:lang w:eastAsia="ja-JP"/>
        </w:rPr>
        <w:t xml:space="preserve"> (</w:t>
      </w:r>
      <w:proofErr w:type="spellStart"/>
      <w:r>
        <w:rPr>
          <w:lang w:eastAsia="ja-JP"/>
        </w:rPr>
        <w:t>Cth</w:t>
      </w:r>
      <w:proofErr w:type="spellEnd"/>
      <w:r>
        <w:rPr>
          <w:lang w:eastAsia="ja-JP"/>
        </w:rPr>
        <w:t>).</w:t>
      </w:r>
    </w:p>
    <w:p w14:paraId="63554CC6" w14:textId="77777777" w:rsidR="00AC4916" w:rsidRDefault="00AC4916" w:rsidP="006C6B07">
      <w:pPr>
        <w:rPr>
          <w:lang w:eastAsia="ja-JP"/>
        </w:rPr>
      </w:pPr>
    </w:p>
    <w:p w14:paraId="494F1806" w14:textId="542401DB" w:rsidR="00973070" w:rsidRDefault="00973070" w:rsidP="00780B3D">
      <w:pPr>
        <w:pStyle w:val="Heading2"/>
        <w:numPr>
          <w:ilvl w:val="0"/>
          <w:numId w:val="0"/>
        </w:numPr>
        <w:ind w:left="720" w:hanging="720"/>
      </w:pPr>
      <w:r>
        <w:lastRenderedPageBreak/>
        <w:t>Probity</w:t>
      </w:r>
    </w:p>
    <w:p w14:paraId="1898E676" w14:textId="3CCDFC42" w:rsidR="00973070" w:rsidRDefault="00973070" w:rsidP="00D46E55">
      <w:pPr>
        <w:rPr>
          <w:lang w:eastAsia="ja-JP"/>
        </w:rPr>
      </w:pPr>
      <w:r>
        <w:rPr>
          <w:lang w:eastAsia="ja-JP"/>
        </w:rPr>
        <w:t>Probity principles require the conduct of open, fair, accountable and consistent processes. The probity principles applied through this process aim to assure all parties of the integrity of the decision-making process.</w:t>
      </w:r>
    </w:p>
    <w:p w14:paraId="5648C673" w14:textId="2EB2B365" w:rsidR="00973070" w:rsidRDefault="00973070" w:rsidP="00D46E55">
      <w:pPr>
        <w:rPr>
          <w:lang w:eastAsia="ja-JP"/>
        </w:rPr>
      </w:pPr>
      <w:r>
        <w:rPr>
          <w:lang w:eastAsia="ja-JP"/>
        </w:rPr>
        <w:t>The probity principles include:</w:t>
      </w:r>
    </w:p>
    <w:p w14:paraId="40F2003F" w14:textId="1EECDFF4" w:rsidR="00973070" w:rsidRDefault="00973070" w:rsidP="00D46E55">
      <w:pPr>
        <w:pStyle w:val="ListBullet"/>
        <w:rPr>
          <w:lang w:eastAsia="ja-JP"/>
        </w:rPr>
      </w:pPr>
      <w:r>
        <w:rPr>
          <w:lang w:eastAsia="ja-JP"/>
        </w:rPr>
        <w:t>honesty and impartiality</w:t>
      </w:r>
    </w:p>
    <w:p w14:paraId="1F003BE4" w14:textId="57004C4F" w:rsidR="00973070" w:rsidRDefault="00973070" w:rsidP="00D46E55">
      <w:pPr>
        <w:pStyle w:val="ListBullet"/>
        <w:rPr>
          <w:lang w:eastAsia="ja-JP"/>
        </w:rPr>
      </w:pPr>
      <w:r>
        <w:rPr>
          <w:lang w:eastAsia="ja-JP"/>
        </w:rPr>
        <w:t>identification and management of conflicts of interest</w:t>
      </w:r>
    </w:p>
    <w:p w14:paraId="67066CD9" w14:textId="5A5D157F" w:rsidR="00973070" w:rsidRDefault="00973070" w:rsidP="00D46E55">
      <w:pPr>
        <w:pStyle w:val="ListBullet"/>
        <w:rPr>
          <w:lang w:eastAsia="ja-JP"/>
        </w:rPr>
      </w:pPr>
      <w:r>
        <w:rPr>
          <w:lang w:eastAsia="ja-JP"/>
        </w:rPr>
        <w:t>appropriate security and confidentiality arrangements</w:t>
      </w:r>
    </w:p>
    <w:p w14:paraId="7C8AA48F" w14:textId="0BA615C0" w:rsidR="00973070" w:rsidRDefault="00973070" w:rsidP="00D46E55">
      <w:pPr>
        <w:pStyle w:val="ListBullet"/>
        <w:rPr>
          <w:lang w:eastAsia="ja-JP"/>
        </w:rPr>
      </w:pPr>
      <w:r>
        <w:rPr>
          <w:lang w:eastAsia="ja-JP"/>
        </w:rPr>
        <w:t>consistency, fairness and due diligence</w:t>
      </w:r>
    </w:p>
    <w:p w14:paraId="6DD7F915" w14:textId="0DFB80A5" w:rsidR="00973070" w:rsidRDefault="00973070" w:rsidP="00D46E55">
      <w:pPr>
        <w:pStyle w:val="ListBullet"/>
        <w:rPr>
          <w:lang w:eastAsia="ja-JP"/>
        </w:rPr>
      </w:pPr>
      <w:r>
        <w:rPr>
          <w:lang w:eastAsia="ja-JP"/>
        </w:rPr>
        <w:t>transparency</w:t>
      </w:r>
    </w:p>
    <w:p w14:paraId="117B93A4" w14:textId="2D22FBD2" w:rsidR="00973070" w:rsidRDefault="00973070" w:rsidP="00D46E55">
      <w:pPr>
        <w:pStyle w:val="ListBullet"/>
        <w:rPr>
          <w:lang w:eastAsia="ja-JP"/>
        </w:rPr>
      </w:pPr>
      <w:r>
        <w:rPr>
          <w:lang w:eastAsia="ja-JP"/>
        </w:rPr>
        <w:t>maintaining an appropriate audit trail</w:t>
      </w:r>
    </w:p>
    <w:p w14:paraId="4CDBBB8A" w14:textId="165469B7" w:rsidR="00973070" w:rsidRDefault="00973070" w:rsidP="00D46E55">
      <w:pPr>
        <w:pStyle w:val="ListBullet"/>
        <w:rPr>
          <w:lang w:eastAsia="ja-JP"/>
        </w:rPr>
      </w:pPr>
      <w:r>
        <w:rPr>
          <w:lang w:eastAsia="ja-JP"/>
        </w:rPr>
        <w:t>compliance with legal and policy frameworks.</w:t>
      </w:r>
    </w:p>
    <w:p w14:paraId="24901451" w14:textId="1CB2CBBC" w:rsidR="00973070" w:rsidRPr="00973070" w:rsidRDefault="00973070" w:rsidP="00973070">
      <w:pPr>
        <w:rPr>
          <w:lang w:eastAsia="ja-JP"/>
        </w:rPr>
      </w:pPr>
      <w:r>
        <w:rPr>
          <w:lang w:eastAsia="ja-JP"/>
        </w:rPr>
        <w:t xml:space="preserve">For queries about the probity of this nomination process, email </w:t>
      </w:r>
      <w:hyperlink r:id="rId26" w:history="1">
        <w:r w:rsidRPr="009A03C1">
          <w:rPr>
            <w:rStyle w:val="Hyperlink"/>
            <w:lang w:eastAsia="ja-JP"/>
          </w:rPr>
          <w:t>ACEBO@aff.gov.au</w:t>
        </w:r>
      </w:hyperlink>
      <w:r w:rsidR="009400AF">
        <w:t>.</w:t>
      </w:r>
    </w:p>
    <w:p w14:paraId="7E4A6279" w14:textId="18F3476A" w:rsidR="00EC7ED9" w:rsidRDefault="00EC7ED9" w:rsidP="00E55E6F">
      <w:pPr>
        <w:pStyle w:val="Heading2"/>
        <w:keepNext w:val="0"/>
        <w:pageBreakBefore/>
        <w:numPr>
          <w:ilvl w:val="0"/>
          <w:numId w:val="0"/>
        </w:numPr>
        <w:ind w:left="720" w:hanging="720"/>
      </w:pPr>
      <w:r w:rsidRPr="004A757E">
        <w:lastRenderedPageBreak/>
        <w:t>More information</w:t>
      </w:r>
    </w:p>
    <w:p w14:paraId="40065265" w14:textId="77777777" w:rsidR="00785E95" w:rsidRDefault="00EC7ED9" w:rsidP="00EC7ED9">
      <w:r>
        <w:t>Learn more about</w:t>
      </w:r>
      <w:r w:rsidR="00785E95">
        <w:t>:</w:t>
      </w:r>
    </w:p>
    <w:p w14:paraId="06B0BBA3" w14:textId="5D0251A3" w:rsidR="00EC7ED9" w:rsidRDefault="00EC7ED9" w:rsidP="00785E95">
      <w:pPr>
        <w:pStyle w:val="ListBullet"/>
      </w:pPr>
      <w:hyperlink r:id="rId27" w:history="1">
        <w:r w:rsidRPr="00785E95">
          <w:rPr>
            <w:rStyle w:val="Hyperlink"/>
          </w:rPr>
          <w:t xml:space="preserve">Environmental </w:t>
        </w:r>
        <w:r w:rsidR="00785E95" w:rsidRPr="00785E95">
          <w:rPr>
            <w:rStyle w:val="Hyperlink"/>
          </w:rPr>
          <w:t>Biosecurity</w:t>
        </w:r>
      </w:hyperlink>
    </w:p>
    <w:p w14:paraId="36FFC649" w14:textId="5DE13986" w:rsidR="00785E95" w:rsidRDefault="00785E95" w:rsidP="00785E95">
      <w:pPr>
        <w:pStyle w:val="ListBullet"/>
      </w:pPr>
      <w:hyperlink r:id="rId28" w:history="1">
        <w:r w:rsidRPr="00785E95">
          <w:rPr>
            <w:rStyle w:val="Hyperlink"/>
          </w:rPr>
          <w:t>Environmental Biosecurity Project Fund</w:t>
        </w:r>
      </w:hyperlink>
    </w:p>
    <w:p w14:paraId="501573CA" w14:textId="512CAF1D" w:rsidR="00EC7ED9" w:rsidRPr="00EC7ED9" w:rsidRDefault="00EC7ED9" w:rsidP="00EC7ED9">
      <w:r>
        <w:t xml:space="preserve">Email: </w:t>
      </w:r>
      <w:hyperlink r:id="rId29" w:history="1">
        <w:r w:rsidR="00785E95" w:rsidRPr="002F6300">
          <w:rPr>
            <w:rStyle w:val="Hyperlink"/>
          </w:rPr>
          <w:t>ACEBO@aff.gov.au</w:t>
        </w:r>
      </w:hyperlink>
    </w:p>
    <w:p w14:paraId="5111DD4C" w14:textId="77777777" w:rsidR="008D1B48" w:rsidRDefault="008D1B48" w:rsidP="008D1B48">
      <w:pPr>
        <w:pStyle w:val="Normalsmall"/>
      </w:pPr>
      <w:r>
        <w:rPr>
          <w:rStyle w:val="Strong"/>
        </w:rPr>
        <w:t>Acknowledgement of Country</w:t>
      </w:r>
    </w:p>
    <w:p w14:paraId="356387F3" w14:textId="77777777" w:rsidR="008D1B48" w:rsidRDefault="00093CD3" w:rsidP="008D1B48">
      <w:pPr>
        <w:pStyle w:val="Normalsmall"/>
      </w:pPr>
      <w:r w:rsidRPr="00093CD3">
        <w:t>We acknowledge the continuous connection of First Nations Traditional Owners and Custodians to the lands, seas and waters of Australia. We recognise their care for and cultivation of Country. We pay respect to Elders past and present, and recognise their knowledge and contribution to the productivity, innovation and sustainability of Australia’s agriculture, fisheries and forestry industries.</w:t>
      </w:r>
    </w:p>
    <w:p w14:paraId="466338DD" w14:textId="77777777" w:rsidR="00262394" w:rsidRDefault="00262394" w:rsidP="00262394">
      <w:pPr>
        <w:pStyle w:val="Normalsmall"/>
        <w:spacing w:before="360"/>
      </w:pPr>
      <w:r>
        <w:t>© Commonwealth of Australia 202</w:t>
      </w:r>
      <w:r w:rsidR="00E3006D">
        <w:t>5</w:t>
      </w:r>
    </w:p>
    <w:p w14:paraId="678949FA" w14:textId="77777777" w:rsidR="00262394" w:rsidRDefault="00262394" w:rsidP="00262394">
      <w:pPr>
        <w:pStyle w:val="Normalsmall"/>
      </w:pPr>
      <w:r>
        <w:t>Unless otherwise noted, copyright (and any other intellectual property rights) in this publication is owned by the Commonwealth of Australia (referred to as the Commonwealth).</w:t>
      </w:r>
    </w:p>
    <w:p w14:paraId="18E7F7E7" w14:textId="77777777" w:rsidR="00262394" w:rsidRDefault="00262394" w:rsidP="00262394">
      <w:pPr>
        <w:pStyle w:val="Normalsmall"/>
      </w:pPr>
      <w:r>
        <w:t xml:space="preserve">All material in this publication is licensed under a </w:t>
      </w:r>
      <w:hyperlink r:id="rId30" w:history="1">
        <w:r>
          <w:rPr>
            <w:rStyle w:val="Hyperlink"/>
          </w:rPr>
          <w:t>Creative Commons Attribution 4.0 International Licence</w:t>
        </w:r>
      </w:hyperlink>
      <w:r>
        <w:t xml:space="preserve"> except content supplied by third parties, logos and the Commonwealth Coat of Arms.</w:t>
      </w:r>
    </w:p>
    <w:p w14:paraId="161E2AF8" w14:textId="77777777" w:rsidR="00262394" w:rsidRDefault="00262394" w:rsidP="00262394">
      <w:pPr>
        <w:pStyle w:val="Normalsmall"/>
      </w:pPr>
      <w:r>
        <w:t xml:space="preserve">The Australian Government acting through the </w:t>
      </w:r>
      <w:r w:rsidR="007B1F92" w:rsidRPr="007B1F92">
        <w:t>Department of Agriculture, Fisheries and Forestry</w:t>
      </w:r>
      <w:r>
        <w:t xml:space="preserve"> has exercised due care and skill in preparing and compiling the information and data in this publication. Notwithstanding, the </w:t>
      </w:r>
      <w:r w:rsidR="007B1F92" w:rsidRPr="007B1F92">
        <w:t>Department of Agriculture, Fisheries and Forestry</w:t>
      </w:r>
      <w:r>
        <w:t xml:space="preserve">, its employees and advisers disclaim all liability, including liability for negligence and for any loss, damage, injury, expense or cost incurred by any person </w:t>
      </w:r>
      <w:proofErr w:type="gramStart"/>
      <w:r>
        <w:t>as a result of</w:t>
      </w:r>
      <w:proofErr w:type="gramEnd"/>
      <w:r>
        <w:t xml:space="preserve"> accessing, using or relying on any of the information or data in this publication to the maximum extent permitted by law.</w:t>
      </w:r>
    </w:p>
    <w:sectPr w:rsidR="00262394">
      <w:headerReference w:type="even" r:id="rId31"/>
      <w:headerReference w:type="default" r:id="rId32"/>
      <w:footerReference w:type="even" r:id="rId33"/>
      <w:footerReference w:type="default" r:id="rId34"/>
      <w:headerReference w:type="first" r:id="rId35"/>
      <w:footerReference w:type="first" r:id="rId36"/>
      <w:pgSz w:w="11906" w:h="16838"/>
      <w:pgMar w:top="1418" w:right="1418" w:bottom="1418" w:left="1418" w:header="56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7BF28" w14:textId="77777777" w:rsidR="00D94B02" w:rsidRDefault="00D94B02">
      <w:r>
        <w:separator/>
      </w:r>
    </w:p>
    <w:p w14:paraId="42AD33A7" w14:textId="77777777" w:rsidR="00D94B02" w:rsidRDefault="00D94B02"/>
    <w:p w14:paraId="09A36A82" w14:textId="77777777" w:rsidR="00D94B02" w:rsidRDefault="00D94B02"/>
  </w:endnote>
  <w:endnote w:type="continuationSeparator" w:id="0">
    <w:p w14:paraId="098A5793" w14:textId="77777777" w:rsidR="00D94B02" w:rsidRDefault="00D94B02">
      <w:r>
        <w:continuationSeparator/>
      </w:r>
    </w:p>
    <w:p w14:paraId="1B4E5941" w14:textId="77777777" w:rsidR="00D94B02" w:rsidRDefault="00D94B02"/>
    <w:p w14:paraId="27C2C498" w14:textId="77777777" w:rsidR="00D94B02" w:rsidRDefault="00D94B02"/>
  </w:endnote>
  <w:endnote w:type="continuationNotice" w:id="1">
    <w:p w14:paraId="7AA9CA1E" w14:textId="77777777" w:rsidR="00D94B02" w:rsidRDefault="00D94B02">
      <w:pPr>
        <w:pStyle w:val="Footer"/>
      </w:pPr>
    </w:p>
    <w:p w14:paraId="5EBBCE11" w14:textId="77777777" w:rsidR="00D94B02" w:rsidRDefault="00D94B02"/>
    <w:p w14:paraId="65DD550A" w14:textId="77777777" w:rsidR="00D94B02" w:rsidRDefault="00D94B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F4FF6" w14:textId="77777777" w:rsidR="00C30975" w:rsidRDefault="00D61857">
    <w:pPr>
      <w:pStyle w:val="Footer"/>
    </w:pPr>
    <w:r>
      <w:rPr>
        <w:noProof/>
      </w:rPr>
      <mc:AlternateContent>
        <mc:Choice Requires="wps">
          <w:drawing>
            <wp:anchor distT="0" distB="0" distL="0" distR="0" simplePos="0" relativeHeight="251675136" behindDoc="0" locked="0" layoutInCell="1" allowOverlap="1" wp14:anchorId="5E64CFE1" wp14:editId="5C87CF84">
              <wp:simplePos x="635" y="635"/>
              <wp:positionH relativeFrom="page">
                <wp:align>center</wp:align>
              </wp:positionH>
              <wp:positionV relativeFrom="page">
                <wp:align>bottom</wp:align>
              </wp:positionV>
              <wp:extent cx="551815" cy="404495"/>
              <wp:effectExtent l="0" t="0" r="635" b="0"/>
              <wp:wrapNone/>
              <wp:docPr id="1048837208"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01C03B38" w14:textId="77777777" w:rsidR="00D61857" w:rsidRPr="00D61857" w:rsidRDefault="00D61857" w:rsidP="00D61857">
                          <w:pPr>
                            <w:spacing w:after="0"/>
                            <w:rPr>
                              <w:rFonts w:ascii="Calibri" w:eastAsia="Calibri" w:hAnsi="Calibri" w:cs="Calibri"/>
                              <w:noProof/>
                              <w:color w:val="FF0000"/>
                              <w:sz w:val="24"/>
                              <w:szCs w:val="24"/>
                            </w:rPr>
                          </w:pPr>
                          <w:r w:rsidRPr="00D61857">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64CFE1" id="_x0000_t202" coordsize="21600,21600" o:spt="202" path="m,l,21600r21600,l21600,xe">
              <v:stroke joinstyle="miter"/>
              <v:path gradientshapeok="t" o:connecttype="rect"/>
            </v:shapetype>
            <v:shape id="Text Box 11" o:spid="_x0000_s1028" type="#_x0000_t202" alt="OFFICIAL" style="position:absolute;left:0;text-align:left;margin-left:0;margin-top:0;width:43.45pt;height:31.85pt;z-index:2516751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filled="f" stroked="f">
              <v:textbox style="mso-fit-shape-to-text:t" inset="0,0,0,15pt">
                <w:txbxContent>
                  <w:p w14:paraId="01C03B38" w14:textId="77777777" w:rsidR="00D61857" w:rsidRPr="00D61857" w:rsidRDefault="00D61857" w:rsidP="00D61857">
                    <w:pPr>
                      <w:spacing w:after="0"/>
                      <w:rPr>
                        <w:rFonts w:ascii="Calibri" w:eastAsia="Calibri" w:hAnsi="Calibri" w:cs="Calibri"/>
                        <w:noProof/>
                        <w:color w:val="FF0000"/>
                        <w:sz w:val="24"/>
                        <w:szCs w:val="24"/>
                      </w:rPr>
                    </w:pPr>
                    <w:r w:rsidRPr="00D61857">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39091" w14:textId="77777777" w:rsidR="002A193C" w:rsidRDefault="00D61857" w:rsidP="00D61857">
    <w:pPr>
      <w:pStyle w:val="Footer"/>
    </w:pPr>
    <w:r>
      <w:rPr>
        <w:noProof/>
      </w:rPr>
      <mc:AlternateContent>
        <mc:Choice Requires="wps">
          <w:drawing>
            <wp:anchor distT="0" distB="0" distL="0" distR="0" simplePos="0" relativeHeight="251676160" behindDoc="0" locked="0" layoutInCell="1" allowOverlap="1" wp14:anchorId="6130E08E" wp14:editId="2B238D1E">
              <wp:simplePos x="900752" y="9594376"/>
              <wp:positionH relativeFrom="page">
                <wp:align>center</wp:align>
              </wp:positionH>
              <wp:positionV relativeFrom="page">
                <wp:align>bottom</wp:align>
              </wp:positionV>
              <wp:extent cx="551815" cy="404495"/>
              <wp:effectExtent l="0" t="0" r="635" b="0"/>
              <wp:wrapNone/>
              <wp:docPr id="2028781491"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61E2AD4D" w14:textId="77777777" w:rsidR="00D61857" w:rsidRPr="00D61857" w:rsidRDefault="00D61857" w:rsidP="00D61857">
                          <w:pPr>
                            <w:spacing w:after="0"/>
                            <w:rPr>
                              <w:rFonts w:ascii="Calibri" w:eastAsia="Calibri" w:hAnsi="Calibri" w:cs="Calibri"/>
                              <w:noProof/>
                              <w:color w:val="FF0000"/>
                              <w:sz w:val="24"/>
                              <w:szCs w:val="24"/>
                            </w:rPr>
                          </w:pPr>
                          <w:r w:rsidRPr="00D61857">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30E08E" id="_x0000_t202" coordsize="21600,21600" o:spt="202" path="m,l,21600r21600,l21600,xe">
              <v:stroke joinstyle="miter"/>
              <v:path gradientshapeok="t" o:connecttype="rect"/>
            </v:shapetype>
            <v:shape id="Text Box 12" o:spid="_x0000_s1029" type="#_x0000_t202" alt="OFFICIAL" style="position:absolute;left:0;text-align:left;margin-left:0;margin-top:0;width:43.45pt;height:31.85pt;z-index:2516761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DwIAABw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SjczYrrosZJRxD03w6vZlFlOxy2ToffgjQJBoVdbiVRBY7&#10;rH0YUseUWMvAqlUqbUaZvxyIGT3ZpcNohX7bk7au6N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K0n5A0PAgAA&#10;HAQAAA4AAAAAAAAAAAAAAAAALgIAAGRycy9lMm9Eb2MueG1sUEsBAi0AFAAGAAgAAAAhAB9Vog3b&#10;AAAAAwEAAA8AAAAAAAAAAAAAAAAAaQQAAGRycy9kb3ducmV2LnhtbFBLBQYAAAAABAAEAPMAAABx&#10;BQAAAAA=&#10;" filled="f" stroked="f">
              <v:textbox style="mso-fit-shape-to-text:t" inset="0,0,0,15pt">
                <w:txbxContent>
                  <w:p w14:paraId="61E2AD4D" w14:textId="77777777" w:rsidR="00D61857" w:rsidRPr="00D61857" w:rsidRDefault="00D61857" w:rsidP="00D61857">
                    <w:pPr>
                      <w:spacing w:after="0"/>
                      <w:rPr>
                        <w:rFonts w:ascii="Calibri" w:eastAsia="Calibri" w:hAnsi="Calibri" w:cs="Calibri"/>
                        <w:noProof/>
                        <w:color w:val="FF0000"/>
                        <w:sz w:val="24"/>
                        <w:szCs w:val="24"/>
                      </w:rPr>
                    </w:pPr>
                    <w:r w:rsidRPr="00D61857">
                      <w:rPr>
                        <w:rFonts w:ascii="Calibri" w:eastAsia="Calibri" w:hAnsi="Calibri" w:cs="Calibri"/>
                        <w:noProof/>
                        <w:color w:val="FF0000"/>
                        <w:sz w:val="24"/>
                        <w:szCs w:val="24"/>
                      </w:rPr>
                      <w:t>OFFICIAL</w:t>
                    </w:r>
                  </w:p>
                </w:txbxContent>
              </v:textbox>
              <w10:wrap anchorx="page" anchory="page"/>
            </v:shape>
          </w:pict>
        </mc:Fallback>
      </mc:AlternateContent>
    </w:r>
    <w:r w:rsidR="007B1F92" w:rsidRPr="007B1F92">
      <w:t>Department of Agriculture, Fisheries and Forestry</w:t>
    </w:r>
    <w:r>
      <w:tab/>
    </w:r>
    <w:r w:rsidR="002A193C">
      <w:fldChar w:fldCharType="begin"/>
    </w:r>
    <w:r w:rsidR="002A193C">
      <w:instrText xml:space="preserve"> PAGE   \* MERGEFORMAT </w:instrText>
    </w:r>
    <w:r w:rsidR="002A193C">
      <w:fldChar w:fldCharType="separate"/>
    </w:r>
    <w:r w:rsidR="002A193C">
      <w:rPr>
        <w:noProof/>
      </w:rPr>
      <w:t>10</w:t>
    </w:r>
    <w:r w:rsidR="002A193C">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46E3C" w14:textId="77777777" w:rsidR="002A193C" w:rsidRDefault="00D61857" w:rsidP="00D61857">
    <w:pPr>
      <w:pStyle w:val="Footer"/>
    </w:pPr>
    <w:r>
      <w:rPr>
        <w:noProof/>
      </w:rPr>
      <mc:AlternateContent>
        <mc:Choice Requires="wps">
          <w:drawing>
            <wp:anchor distT="0" distB="0" distL="0" distR="0" simplePos="0" relativeHeight="251674112" behindDoc="0" locked="0" layoutInCell="1" allowOverlap="1" wp14:anchorId="55B953FC" wp14:editId="41D7CE5A">
              <wp:simplePos x="900752" y="10058400"/>
              <wp:positionH relativeFrom="page">
                <wp:align>center</wp:align>
              </wp:positionH>
              <wp:positionV relativeFrom="page">
                <wp:align>bottom</wp:align>
              </wp:positionV>
              <wp:extent cx="551815" cy="404495"/>
              <wp:effectExtent l="0" t="0" r="635" b="0"/>
              <wp:wrapNone/>
              <wp:docPr id="2033555877"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D6E0C1B" w14:textId="77777777" w:rsidR="00D61857" w:rsidRPr="00D61857" w:rsidRDefault="00D61857" w:rsidP="00D61857">
                          <w:pPr>
                            <w:spacing w:after="0"/>
                            <w:rPr>
                              <w:rFonts w:ascii="Calibri" w:eastAsia="Calibri" w:hAnsi="Calibri" w:cs="Calibri"/>
                              <w:noProof/>
                              <w:color w:val="FF0000"/>
                              <w:sz w:val="24"/>
                              <w:szCs w:val="24"/>
                            </w:rPr>
                          </w:pPr>
                          <w:r w:rsidRPr="00D61857">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B953FC" id="_x0000_t202" coordsize="21600,21600" o:spt="202" path="m,l,21600r21600,l21600,xe">
              <v:stroke joinstyle="miter"/>
              <v:path gradientshapeok="t" o:connecttype="rect"/>
            </v:shapetype>
            <v:shape id="Text Box 10" o:spid="_x0000_s1031" type="#_x0000_t202" alt="OFFICIAL" style="position:absolute;left:0;text-align:left;margin-left:0;margin-top:0;width:43.45pt;height:31.85pt;z-index:2516741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uADgIAABw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I1P3NTQnHMrBuG9v+abD0lvmwwtzuGCcA0Ub&#10;nvGQCvqKwtmipAX342/+mI+8Y5SSHgVTUYOKpkR9M7iPqK3JcJNRJ6O4yxc5xs1BPwDKsMAXYXky&#10;0euCmkzpQL+hnNexEIaY4ViuovVkPoRRufgcuFivUxLKyLKwNTvLI3SkK3L5OrwxZ8+EB9zUE0xq&#10;YuU73sfceNPb9SEg+2kpkdqRyDPjKMG01vNziRr/9T9lXR/16icA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6RLgA4CAAAc&#10;BAAADgAAAAAAAAAAAAAAAAAuAgAAZHJzL2Uyb0RvYy54bWxQSwECLQAUAAYACAAAACEAH1WiDdsA&#10;AAADAQAADwAAAAAAAAAAAAAAAABoBAAAZHJzL2Rvd25yZXYueG1sUEsFBgAAAAAEAAQA8wAAAHAF&#10;AAAAAA==&#10;" filled="f" stroked="f">
              <v:textbox style="mso-fit-shape-to-text:t" inset="0,0,0,15pt">
                <w:txbxContent>
                  <w:p w14:paraId="3D6E0C1B" w14:textId="77777777" w:rsidR="00D61857" w:rsidRPr="00D61857" w:rsidRDefault="00D61857" w:rsidP="00D61857">
                    <w:pPr>
                      <w:spacing w:after="0"/>
                      <w:rPr>
                        <w:rFonts w:ascii="Calibri" w:eastAsia="Calibri" w:hAnsi="Calibri" w:cs="Calibri"/>
                        <w:noProof/>
                        <w:color w:val="FF0000"/>
                        <w:sz w:val="24"/>
                        <w:szCs w:val="24"/>
                      </w:rPr>
                    </w:pPr>
                    <w:r w:rsidRPr="00D61857">
                      <w:rPr>
                        <w:rFonts w:ascii="Calibri" w:eastAsia="Calibri" w:hAnsi="Calibri" w:cs="Calibri"/>
                        <w:noProof/>
                        <w:color w:val="FF0000"/>
                        <w:sz w:val="24"/>
                        <w:szCs w:val="24"/>
                      </w:rPr>
                      <w:t>OFFICIAL</w:t>
                    </w:r>
                  </w:p>
                </w:txbxContent>
              </v:textbox>
              <w10:wrap anchorx="page" anchory="page"/>
            </v:shape>
          </w:pict>
        </mc:Fallback>
      </mc:AlternateContent>
    </w:r>
    <w:r w:rsidR="002A193C">
      <w:t xml:space="preserve">Department of Agriculture, </w:t>
    </w:r>
    <w:r w:rsidR="00A9002C">
      <w:t>Fisheries and Forestry</w:t>
    </w:r>
    <w:r>
      <w:tab/>
    </w:r>
    <w:r w:rsidR="002A193C">
      <w:fldChar w:fldCharType="begin"/>
    </w:r>
    <w:r w:rsidR="002A193C">
      <w:instrText xml:space="preserve"> PAGE   \* MERGEFORMAT </w:instrText>
    </w:r>
    <w:r w:rsidR="002A193C">
      <w:fldChar w:fldCharType="separate"/>
    </w:r>
    <w:r w:rsidR="002A193C">
      <w:rPr>
        <w:noProof/>
      </w:rPr>
      <w:t>1</w:t>
    </w:r>
    <w:r w:rsidR="002A193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73FAD" w14:textId="77777777" w:rsidR="00D94B02" w:rsidRDefault="00D94B02">
      <w:r>
        <w:separator/>
      </w:r>
    </w:p>
    <w:p w14:paraId="30429F59" w14:textId="77777777" w:rsidR="00D94B02" w:rsidRDefault="00D94B02"/>
    <w:p w14:paraId="06E7E876" w14:textId="77777777" w:rsidR="00D94B02" w:rsidRDefault="00D94B02"/>
  </w:footnote>
  <w:footnote w:type="continuationSeparator" w:id="0">
    <w:p w14:paraId="30F8D00F" w14:textId="77777777" w:rsidR="00D94B02" w:rsidRDefault="00D94B02">
      <w:r>
        <w:continuationSeparator/>
      </w:r>
    </w:p>
    <w:p w14:paraId="54528E77" w14:textId="77777777" w:rsidR="00D94B02" w:rsidRDefault="00D94B02"/>
    <w:p w14:paraId="7E303BDA" w14:textId="77777777" w:rsidR="00D94B02" w:rsidRDefault="00D94B02"/>
  </w:footnote>
  <w:footnote w:type="continuationNotice" w:id="1">
    <w:p w14:paraId="73523187" w14:textId="77777777" w:rsidR="00D94B02" w:rsidRDefault="00D94B02">
      <w:pPr>
        <w:pStyle w:val="Footer"/>
      </w:pPr>
    </w:p>
    <w:p w14:paraId="3342FBE2" w14:textId="77777777" w:rsidR="00D94B02" w:rsidRDefault="00D94B02"/>
    <w:p w14:paraId="2BC5E00C" w14:textId="77777777" w:rsidR="00D94B02" w:rsidRDefault="00D94B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A8E63" w14:textId="15AD2ACC" w:rsidR="002A193C" w:rsidRDefault="00D61857">
    <w:pPr>
      <w:pStyle w:val="Header"/>
    </w:pPr>
    <w:r>
      <w:rPr>
        <w:noProof/>
        <w:lang w:val="en-US"/>
      </w:rPr>
      <mc:AlternateContent>
        <mc:Choice Requires="wps">
          <w:drawing>
            <wp:anchor distT="0" distB="0" distL="0" distR="0" simplePos="0" relativeHeight="251672064" behindDoc="0" locked="0" layoutInCell="1" allowOverlap="1" wp14:anchorId="337B2CB1" wp14:editId="176E4B95">
              <wp:simplePos x="635" y="635"/>
              <wp:positionH relativeFrom="page">
                <wp:align>center</wp:align>
              </wp:positionH>
              <wp:positionV relativeFrom="page">
                <wp:align>top</wp:align>
              </wp:positionV>
              <wp:extent cx="551815" cy="404495"/>
              <wp:effectExtent l="0" t="0" r="635" b="14605"/>
              <wp:wrapNone/>
              <wp:docPr id="1437284851"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0F142A71" w14:textId="77777777" w:rsidR="00D61857" w:rsidRPr="00D61857" w:rsidRDefault="00D61857" w:rsidP="00D61857">
                          <w:pPr>
                            <w:spacing w:after="0"/>
                            <w:rPr>
                              <w:rFonts w:ascii="Calibri" w:eastAsia="Calibri" w:hAnsi="Calibri" w:cs="Calibri"/>
                              <w:noProof/>
                              <w:color w:val="FF0000"/>
                              <w:sz w:val="24"/>
                              <w:szCs w:val="24"/>
                            </w:rPr>
                          </w:pPr>
                          <w:r w:rsidRPr="00D61857">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7B2CB1" id="_x0000_t202" coordsize="21600,21600" o:spt="202" path="m,l,21600r21600,l21600,xe">
              <v:stroke joinstyle="miter"/>
              <v:path gradientshapeok="t" o:connecttype="rect"/>
            </v:shapetype>
            <v:shape id="Text Box 8" o:spid="_x0000_s1026" type="#_x0000_t202" alt="OFFICIAL" style="position:absolute;left:0;text-align:left;margin-left:0;margin-top:0;width:43.45pt;height:31.85pt;z-index:2516720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0F142A71" w14:textId="77777777" w:rsidR="00D61857" w:rsidRPr="00D61857" w:rsidRDefault="00D61857" w:rsidP="00D61857">
                    <w:pPr>
                      <w:spacing w:after="0"/>
                      <w:rPr>
                        <w:rFonts w:ascii="Calibri" w:eastAsia="Calibri" w:hAnsi="Calibri" w:cs="Calibri"/>
                        <w:noProof/>
                        <w:color w:val="FF0000"/>
                        <w:sz w:val="24"/>
                        <w:szCs w:val="24"/>
                      </w:rPr>
                    </w:pPr>
                    <w:r w:rsidRPr="00D61857">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1686C" w14:textId="19C371D3" w:rsidR="002A193C" w:rsidRDefault="00D61857">
    <w:pPr>
      <w:pStyle w:val="Header"/>
    </w:pPr>
    <w:r>
      <w:rPr>
        <w:noProof/>
        <w:lang w:val="en-US"/>
      </w:rPr>
      <mc:AlternateContent>
        <mc:Choice Requires="wps">
          <w:drawing>
            <wp:anchor distT="0" distB="0" distL="0" distR="0" simplePos="0" relativeHeight="251673088" behindDoc="0" locked="0" layoutInCell="1" allowOverlap="1" wp14:anchorId="75940F4D" wp14:editId="4C1BEB7E">
              <wp:simplePos x="900752" y="354842"/>
              <wp:positionH relativeFrom="page">
                <wp:align>center</wp:align>
              </wp:positionH>
              <wp:positionV relativeFrom="page">
                <wp:align>top</wp:align>
              </wp:positionV>
              <wp:extent cx="551815" cy="404495"/>
              <wp:effectExtent l="0" t="0" r="635" b="14605"/>
              <wp:wrapNone/>
              <wp:docPr id="888359471"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69101480" w14:textId="77777777" w:rsidR="00D61857" w:rsidRPr="00D61857" w:rsidRDefault="00D61857" w:rsidP="00D61857">
                          <w:pPr>
                            <w:spacing w:after="0"/>
                            <w:rPr>
                              <w:rFonts w:ascii="Calibri" w:eastAsia="Calibri" w:hAnsi="Calibri" w:cs="Calibri"/>
                              <w:noProof/>
                              <w:color w:val="FF0000"/>
                              <w:sz w:val="24"/>
                              <w:szCs w:val="24"/>
                            </w:rPr>
                          </w:pPr>
                          <w:r w:rsidRPr="00D61857">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5940F4D" id="_x0000_t202" coordsize="21600,21600" o:spt="202" path="m,l,21600r21600,l21600,xe">
              <v:stroke joinstyle="miter"/>
              <v:path gradientshapeok="t" o:connecttype="rect"/>
            </v:shapetype>
            <v:shape id="Text Box 9" o:spid="_x0000_s1027" type="#_x0000_t202" alt="OFFICIAL" style="position:absolute;left:0;text-align:left;margin-left:0;margin-top:0;width:43.45pt;height:31.85pt;z-index:2516730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" filled="f" stroked="f">
              <v:textbox style="mso-fit-shape-to-text:t" inset="0,15pt,0,0">
                <w:txbxContent>
                  <w:p w14:paraId="69101480" w14:textId="77777777" w:rsidR="00D61857" w:rsidRPr="00D61857" w:rsidRDefault="00D61857" w:rsidP="00D61857">
                    <w:pPr>
                      <w:spacing w:after="0"/>
                      <w:rPr>
                        <w:rFonts w:ascii="Calibri" w:eastAsia="Calibri" w:hAnsi="Calibri" w:cs="Calibri"/>
                        <w:noProof/>
                        <w:color w:val="FF0000"/>
                        <w:sz w:val="24"/>
                        <w:szCs w:val="24"/>
                      </w:rPr>
                    </w:pPr>
                    <w:r w:rsidRPr="00D61857">
                      <w:rPr>
                        <w:rFonts w:ascii="Calibri" w:eastAsia="Calibri" w:hAnsi="Calibri" w:cs="Calibri"/>
                        <w:noProof/>
                        <w:color w:val="FF0000"/>
                        <w:sz w:val="24"/>
                        <w:szCs w:val="24"/>
                      </w:rPr>
                      <w:t>OFFICIAL</w:t>
                    </w:r>
                  </w:p>
                </w:txbxContent>
              </v:textbox>
              <w10:wrap anchorx="page" anchory="page"/>
            </v:shape>
          </w:pict>
        </mc:Fallback>
      </mc:AlternateContent>
    </w:r>
    <w:r w:rsidR="00CE0005" w:rsidRPr="00CE0005">
      <w:t>Environmental Biosecurity Project Fund applicant guidelines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A8464" w14:textId="2466C556" w:rsidR="002A193C" w:rsidRDefault="00D61857">
    <w:pPr>
      <w:pStyle w:val="Header"/>
      <w:jc w:val="left"/>
    </w:pPr>
    <w:r>
      <w:rPr>
        <w:noProof/>
        <w:lang w:eastAsia="en-AU"/>
      </w:rPr>
      <mc:AlternateContent>
        <mc:Choice Requires="wps">
          <w:drawing>
            <wp:anchor distT="0" distB="0" distL="0" distR="0" simplePos="0" relativeHeight="251671040" behindDoc="0" locked="0" layoutInCell="1" allowOverlap="1" wp14:anchorId="0DE97019" wp14:editId="4F7E2B66">
              <wp:simplePos x="900752" y="354842"/>
              <wp:positionH relativeFrom="page">
                <wp:align>center</wp:align>
              </wp:positionH>
              <wp:positionV relativeFrom="page">
                <wp:align>top</wp:align>
              </wp:positionV>
              <wp:extent cx="551815" cy="404495"/>
              <wp:effectExtent l="0" t="0" r="635" b="14605"/>
              <wp:wrapNone/>
              <wp:docPr id="1295766010"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B38B48A" w14:textId="77777777" w:rsidR="00D61857" w:rsidRPr="00D61857" w:rsidRDefault="00D61857" w:rsidP="00D61857">
                          <w:pPr>
                            <w:spacing w:after="0"/>
                            <w:rPr>
                              <w:rFonts w:ascii="Calibri" w:eastAsia="Calibri" w:hAnsi="Calibri" w:cs="Calibri"/>
                              <w:noProof/>
                              <w:color w:val="FF0000"/>
                              <w:sz w:val="24"/>
                              <w:szCs w:val="24"/>
                            </w:rPr>
                          </w:pPr>
                          <w:r w:rsidRPr="00D61857">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E97019" id="_x0000_t202" coordsize="21600,21600" o:spt="202" path="m,l,21600r21600,l21600,xe">
              <v:stroke joinstyle="miter"/>
              <v:path gradientshapeok="t" o:connecttype="rect"/>
            </v:shapetype>
            <v:shape id="Text Box 7" o:spid="_x0000_s1030" type="#_x0000_t202" alt="OFFICIAL" style="position:absolute;margin-left:0;margin-top:0;width:43.45pt;height:31.85pt;z-index:2516710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KgJDQIAABw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" filled="f" stroked="f">
              <v:textbox style="mso-fit-shape-to-text:t" inset="0,15pt,0,0">
                <w:txbxContent>
                  <w:p w14:paraId="5B38B48A" w14:textId="77777777" w:rsidR="00D61857" w:rsidRPr="00D61857" w:rsidRDefault="00D61857" w:rsidP="00D61857">
                    <w:pPr>
                      <w:spacing w:after="0"/>
                      <w:rPr>
                        <w:rFonts w:ascii="Calibri" w:eastAsia="Calibri" w:hAnsi="Calibri" w:cs="Calibri"/>
                        <w:noProof/>
                        <w:color w:val="FF0000"/>
                        <w:sz w:val="24"/>
                        <w:szCs w:val="24"/>
                      </w:rPr>
                    </w:pPr>
                    <w:r w:rsidRPr="00D61857">
                      <w:rPr>
                        <w:rFonts w:ascii="Calibri" w:eastAsia="Calibri" w:hAnsi="Calibri" w:cs="Calibri"/>
                        <w:noProof/>
                        <w:color w:val="FF0000"/>
                        <w:sz w:val="24"/>
                        <w:szCs w:val="24"/>
                      </w:rPr>
                      <w:t>OFFICIAL</w:t>
                    </w:r>
                  </w:p>
                </w:txbxContent>
              </v:textbox>
              <w10:wrap anchorx="page" anchory="page"/>
            </v:shape>
          </w:pict>
        </mc:Fallback>
      </mc:AlternateContent>
    </w:r>
    <w:r w:rsidR="00D36729">
      <w:rPr>
        <w:noProof/>
        <w:lang w:eastAsia="en-AU"/>
      </w:rPr>
      <w:drawing>
        <wp:inline distT="0" distB="0" distL="0" distR="0" wp14:anchorId="3653CA5D" wp14:editId="47871140">
          <wp:extent cx="2542599" cy="738943"/>
          <wp:effectExtent l="0" t="0" r="0" b="4445"/>
          <wp:docPr id="1" name="Picture 1" descr="Australian Government Department of Agriculture, Fisheries and Fore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ustralian Government Department of Agriculture, Fisheries and Forestry"/>
                  <pic:cNvPicPr/>
                </pic:nvPicPr>
                <pic:blipFill>
                  <a:blip r:embed="rId1">
                    <a:extLst>
                      <a:ext uri="{28A0092B-C50C-407E-A947-70E740481C1C}">
                        <a14:useLocalDpi xmlns:a14="http://schemas.microsoft.com/office/drawing/2010/main" val="0"/>
                      </a:ext>
                    </a:extLst>
                  </a:blip>
                  <a:stretch>
                    <a:fillRect/>
                  </a:stretch>
                </pic:blipFill>
                <pic:spPr>
                  <a:xfrm>
                    <a:off x="0" y="0"/>
                    <a:ext cx="2542599" cy="73894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17EBA0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056DAA"/>
    <w:multiLevelType w:val="hybridMultilevel"/>
    <w:tmpl w:val="E13698D2"/>
    <w:lvl w:ilvl="0" w:tplc="1DA20EE0">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 w15:restartNumberingAfterBreak="0">
    <w:nsid w:val="21E20078"/>
    <w:multiLevelType w:val="multilevel"/>
    <w:tmpl w:val="B95457A8"/>
    <w:styleLink w:val="Headinglist"/>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3"/>
      <w:lvlText w:val="%1.%2"/>
      <w:lvlJc w:val="left"/>
      <w:pPr>
        <w:ind w:left="964" w:hanging="964"/>
      </w:pPr>
      <w:rPr>
        <w:rFonts w:hint="default"/>
      </w:rPr>
    </w:lvl>
    <w:lvl w:ilvl="2">
      <w:start w:val="1"/>
      <w:numFmt w:val="decimal"/>
      <w:pStyle w:val="Heading4"/>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86800B4"/>
    <w:multiLevelType w:val="multilevel"/>
    <w:tmpl w:val="A0241B28"/>
    <w:numStyleLink w:val="List1"/>
  </w:abstractNum>
  <w:abstractNum w:abstractNumId="4" w15:restartNumberingAfterBreak="0">
    <w:nsid w:val="48DE2E4A"/>
    <w:multiLevelType w:val="hybridMultilevel"/>
    <w:tmpl w:val="6626592E"/>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5" w15:restartNumberingAfterBreak="0">
    <w:nsid w:val="49F329DA"/>
    <w:multiLevelType w:val="multilevel"/>
    <w:tmpl w:val="2B64EC84"/>
    <w:lvl w:ilvl="0">
      <w:start w:val="1"/>
      <w:numFmt w:val="decimal"/>
      <w:pStyle w:val="BoxTex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A8B541B"/>
    <w:multiLevelType w:val="multilevel"/>
    <w:tmpl w:val="BF3294C2"/>
    <w:lvl w:ilvl="0">
      <w:start w:val="1"/>
      <w:numFmt w:val="bullet"/>
      <w:pStyle w:val="Table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AA12966"/>
    <w:multiLevelType w:val="multilevel"/>
    <w:tmpl w:val="A0241B28"/>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9" w15:restartNumberingAfterBreak="0">
    <w:nsid w:val="5B8F3B04"/>
    <w:multiLevelType w:val="multilevel"/>
    <w:tmpl w:val="BE78A4F8"/>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0" w15:restartNumberingAfterBreak="0">
    <w:nsid w:val="5E8E3716"/>
    <w:multiLevelType w:val="hybridMultilevel"/>
    <w:tmpl w:val="B1440724"/>
    <w:lvl w:ilvl="0" w:tplc="A600E54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76E3536"/>
    <w:multiLevelType w:val="hybridMultilevel"/>
    <w:tmpl w:val="242AD5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A730FE1"/>
    <w:multiLevelType w:val="hybridMultilevel"/>
    <w:tmpl w:val="7E96ACDE"/>
    <w:lvl w:ilvl="0" w:tplc="E3BC50E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6AE4563"/>
    <w:multiLevelType w:val="multilevel"/>
    <w:tmpl w:val="F452ADBA"/>
    <w:styleLink w:val="Tablenumberedlists"/>
    <w:lvl w:ilvl="0">
      <w:start w:val="1"/>
      <w:numFmt w:val="decimal"/>
      <w:pStyle w:val="TableListNumber"/>
      <w:lvlText w:val="%1)"/>
      <w:lvlJc w:val="left"/>
      <w:pPr>
        <w:ind w:left="284" w:hanging="284"/>
      </w:pPr>
      <w:rPr>
        <w:rFonts w:ascii="Calibri" w:hAnsi="Calibri" w:hint="default"/>
        <w:sz w:val="18"/>
      </w:rPr>
    </w:lvl>
    <w:lvl w:ilvl="1">
      <w:start w:val="1"/>
      <w:numFmt w:val="lowerLetter"/>
      <w:pStyle w:val="TableListNumber2"/>
      <w:lvlText w:val="%2)"/>
      <w:lvlJc w:val="left"/>
      <w:pPr>
        <w:ind w:left="567" w:hanging="283"/>
      </w:pPr>
      <w:rPr>
        <w:rFonts w:ascii="Calibri" w:hAnsi="Calibri" w:hint="default"/>
        <w:sz w:val="18"/>
      </w:rPr>
    </w:lvl>
    <w:lvl w:ilvl="2">
      <w:start w:val="1"/>
      <w:numFmt w:val="lowerRoman"/>
      <w:pStyle w:val="TableListNumber3"/>
      <w:lvlText w:val="%3)"/>
      <w:lvlJc w:val="left"/>
      <w:pPr>
        <w:ind w:left="851" w:hanging="284"/>
      </w:pPr>
      <w:rPr>
        <w:rFonts w:ascii="Calibri" w:hAnsi="Calibri" w:hint="default"/>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37268471">
    <w:abstractNumId w:val="8"/>
  </w:num>
  <w:num w:numId="2" w16cid:durableId="1355770275">
    <w:abstractNumId w:val="9"/>
  </w:num>
  <w:num w:numId="3" w16cid:durableId="1882862685">
    <w:abstractNumId w:val="2"/>
  </w:num>
  <w:num w:numId="4" w16cid:durableId="360508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86162399">
    <w:abstractNumId w:val="6"/>
  </w:num>
  <w:num w:numId="6" w16cid:durableId="1314989398">
    <w:abstractNumId w:val="7"/>
  </w:num>
  <w:num w:numId="7" w16cid:durableId="951480071">
    <w:abstractNumId w:val="4"/>
  </w:num>
  <w:num w:numId="8" w16cid:durableId="844629787">
    <w:abstractNumId w:val="2"/>
    <w:lvlOverride w:ilvl="0">
      <w:lvl w:ilvl="0">
        <w:start w:val="1"/>
        <w:numFmt w:val="decimal"/>
        <w:pStyle w:val="Heading2"/>
        <w:lvlText w:val="%1"/>
        <w:lvlJc w:val="left"/>
        <w:pPr>
          <w:ind w:left="720" w:hanging="720"/>
        </w:pPr>
      </w:lvl>
    </w:lvlOverride>
  </w:num>
  <w:num w:numId="9" w16cid:durableId="1698308952">
    <w:abstractNumId w:val="8"/>
  </w:num>
  <w:num w:numId="10" w16cid:durableId="547035718">
    <w:abstractNumId w:val="9"/>
  </w:num>
  <w:num w:numId="11" w16cid:durableId="1145393031">
    <w:abstractNumId w:val="1"/>
  </w:num>
  <w:num w:numId="12" w16cid:durableId="645671681">
    <w:abstractNumId w:val="11"/>
  </w:num>
  <w:num w:numId="13" w16cid:durableId="274824895">
    <w:abstractNumId w:val="13"/>
  </w:num>
  <w:num w:numId="14" w16cid:durableId="1361395064">
    <w:abstractNumId w:val="12"/>
  </w:num>
  <w:num w:numId="15" w16cid:durableId="236869232">
    <w:abstractNumId w:val="5"/>
  </w:num>
  <w:num w:numId="16" w16cid:durableId="278074092">
    <w:abstractNumId w:val="0"/>
  </w:num>
  <w:num w:numId="17" w16cid:durableId="1317030435">
    <w:abstractNumId w:val="10"/>
  </w:num>
  <w:num w:numId="18" w16cid:durableId="1671104571">
    <w:abstractNumId w:val="9"/>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E4B"/>
    <w:rsid w:val="00014C2C"/>
    <w:rsid w:val="00021A19"/>
    <w:rsid w:val="00025ED4"/>
    <w:rsid w:val="00035D71"/>
    <w:rsid w:val="00037729"/>
    <w:rsid w:val="00043982"/>
    <w:rsid w:val="00043D79"/>
    <w:rsid w:val="00047CF6"/>
    <w:rsid w:val="000530DC"/>
    <w:rsid w:val="000660EB"/>
    <w:rsid w:val="00071927"/>
    <w:rsid w:val="00075F72"/>
    <w:rsid w:val="0007711C"/>
    <w:rsid w:val="00082A4B"/>
    <w:rsid w:val="000866FC"/>
    <w:rsid w:val="00093CD3"/>
    <w:rsid w:val="00097120"/>
    <w:rsid w:val="000B6EEF"/>
    <w:rsid w:val="000D40BB"/>
    <w:rsid w:val="000D4F47"/>
    <w:rsid w:val="000D6DD8"/>
    <w:rsid w:val="000F4049"/>
    <w:rsid w:val="000F5A67"/>
    <w:rsid w:val="00112B86"/>
    <w:rsid w:val="0011392E"/>
    <w:rsid w:val="00114A87"/>
    <w:rsid w:val="00115A49"/>
    <w:rsid w:val="00123EAB"/>
    <w:rsid w:val="00131966"/>
    <w:rsid w:val="001320FC"/>
    <w:rsid w:val="00134E1D"/>
    <w:rsid w:val="001450BA"/>
    <w:rsid w:val="001453F8"/>
    <w:rsid w:val="00145BDD"/>
    <w:rsid w:val="00153458"/>
    <w:rsid w:val="001567E9"/>
    <w:rsid w:val="001707B5"/>
    <w:rsid w:val="00175CA6"/>
    <w:rsid w:val="00175ED4"/>
    <w:rsid w:val="00183612"/>
    <w:rsid w:val="00183AFA"/>
    <w:rsid w:val="00186266"/>
    <w:rsid w:val="001866BE"/>
    <w:rsid w:val="00190692"/>
    <w:rsid w:val="001A1F79"/>
    <w:rsid w:val="001A5207"/>
    <w:rsid w:val="001A61F8"/>
    <w:rsid w:val="001B1009"/>
    <w:rsid w:val="001B2C4E"/>
    <w:rsid w:val="001B34D7"/>
    <w:rsid w:val="001C3583"/>
    <w:rsid w:val="001C3AF1"/>
    <w:rsid w:val="001D77BC"/>
    <w:rsid w:val="001E1C4C"/>
    <w:rsid w:val="001E37D3"/>
    <w:rsid w:val="001E580E"/>
    <w:rsid w:val="001E7B65"/>
    <w:rsid w:val="001F3333"/>
    <w:rsid w:val="00201500"/>
    <w:rsid w:val="00213653"/>
    <w:rsid w:val="0021446D"/>
    <w:rsid w:val="00217B64"/>
    <w:rsid w:val="00222B30"/>
    <w:rsid w:val="0023504E"/>
    <w:rsid w:val="00236BA8"/>
    <w:rsid w:val="002446D6"/>
    <w:rsid w:val="00250FE9"/>
    <w:rsid w:val="002617BB"/>
    <w:rsid w:val="00262394"/>
    <w:rsid w:val="00262A59"/>
    <w:rsid w:val="0026564C"/>
    <w:rsid w:val="00265B4E"/>
    <w:rsid w:val="00274C12"/>
    <w:rsid w:val="002A193C"/>
    <w:rsid w:val="002D5273"/>
    <w:rsid w:val="002E47CE"/>
    <w:rsid w:val="003005B7"/>
    <w:rsid w:val="00305911"/>
    <w:rsid w:val="00332A83"/>
    <w:rsid w:val="00340820"/>
    <w:rsid w:val="00340880"/>
    <w:rsid w:val="00357095"/>
    <w:rsid w:val="00362353"/>
    <w:rsid w:val="00381471"/>
    <w:rsid w:val="00381D23"/>
    <w:rsid w:val="00396339"/>
    <w:rsid w:val="003A4B4A"/>
    <w:rsid w:val="003A66CF"/>
    <w:rsid w:val="003C1F14"/>
    <w:rsid w:val="003D3CE1"/>
    <w:rsid w:val="003D44DC"/>
    <w:rsid w:val="00402404"/>
    <w:rsid w:val="00406AC2"/>
    <w:rsid w:val="00451E21"/>
    <w:rsid w:val="00460750"/>
    <w:rsid w:val="00462085"/>
    <w:rsid w:val="00465CEC"/>
    <w:rsid w:val="00466684"/>
    <w:rsid w:val="004705F2"/>
    <w:rsid w:val="00473964"/>
    <w:rsid w:val="00473BBF"/>
    <w:rsid w:val="00482FD5"/>
    <w:rsid w:val="004837B1"/>
    <w:rsid w:val="0048569E"/>
    <w:rsid w:val="00486C20"/>
    <w:rsid w:val="00490E7F"/>
    <w:rsid w:val="004915DC"/>
    <w:rsid w:val="004A1001"/>
    <w:rsid w:val="004A2F1D"/>
    <w:rsid w:val="004A757E"/>
    <w:rsid w:val="004C2362"/>
    <w:rsid w:val="004C5CBB"/>
    <w:rsid w:val="004C6362"/>
    <w:rsid w:val="004C6C47"/>
    <w:rsid w:val="004D6648"/>
    <w:rsid w:val="00504711"/>
    <w:rsid w:val="00510B84"/>
    <w:rsid w:val="00520BFA"/>
    <w:rsid w:val="005277C3"/>
    <w:rsid w:val="005428A1"/>
    <w:rsid w:val="005509AD"/>
    <w:rsid w:val="005740D3"/>
    <w:rsid w:val="0058252C"/>
    <w:rsid w:val="0059380F"/>
    <w:rsid w:val="005C3E79"/>
    <w:rsid w:val="005D2A63"/>
    <w:rsid w:val="005F0DB4"/>
    <w:rsid w:val="005F0E4D"/>
    <w:rsid w:val="005F1ED3"/>
    <w:rsid w:val="005F7ED2"/>
    <w:rsid w:val="006036F4"/>
    <w:rsid w:val="00604CF7"/>
    <w:rsid w:val="00611DA7"/>
    <w:rsid w:val="0062712A"/>
    <w:rsid w:val="006276A0"/>
    <w:rsid w:val="00633CC5"/>
    <w:rsid w:val="00637FC6"/>
    <w:rsid w:val="006416D4"/>
    <w:rsid w:val="00641926"/>
    <w:rsid w:val="00646180"/>
    <w:rsid w:val="0065162B"/>
    <w:rsid w:val="00654EAE"/>
    <w:rsid w:val="00670229"/>
    <w:rsid w:val="00680A77"/>
    <w:rsid w:val="00687354"/>
    <w:rsid w:val="006A7C95"/>
    <w:rsid w:val="006B3422"/>
    <w:rsid w:val="006B61F8"/>
    <w:rsid w:val="006B74B2"/>
    <w:rsid w:val="006C6B07"/>
    <w:rsid w:val="006E1CF5"/>
    <w:rsid w:val="006E342C"/>
    <w:rsid w:val="006E494B"/>
    <w:rsid w:val="006F63CF"/>
    <w:rsid w:val="0070256E"/>
    <w:rsid w:val="00704CE7"/>
    <w:rsid w:val="00707F5B"/>
    <w:rsid w:val="00734600"/>
    <w:rsid w:val="007405CB"/>
    <w:rsid w:val="00762C3E"/>
    <w:rsid w:val="00764862"/>
    <w:rsid w:val="007713B0"/>
    <w:rsid w:val="00780B3D"/>
    <w:rsid w:val="007823E7"/>
    <w:rsid w:val="00785E95"/>
    <w:rsid w:val="007B1F92"/>
    <w:rsid w:val="007B6E4B"/>
    <w:rsid w:val="007B7A94"/>
    <w:rsid w:val="007C5B94"/>
    <w:rsid w:val="008046D3"/>
    <w:rsid w:val="008153FE"/>
    <w:rsid w:val="00816CEB"/>
    <w:rsid w:val="00821816"/>
    <w:rsid w:val="00821DA2"/>
    <w:rsid w:val="0082249A"/>
    <w:rsid w:val="00822ABD"/>
    <w:rsid w:val="00826753"/>
    <w:rsid w:val="00833933"/>
    <w:rsid w:val="00835E9D"/>
    <w:rsid w:val="0085440B"/>
    <w:rsid w:val="00856FB8"/>
    <w:rsid w:val="0086359F"/>
    <w:rsid w:val="008869D4"/>
    <w:rsid w:val="008917C7"/>
    <w:rsid w:val="00892FE1"/>
    <w:rsid w:val="008A3190"/>
    <w:rsid w:val="008A7BF7"/>
    <w:rsid w:val="008D1866"/>
    <w:rsid w:val="008D1B48"/>
    <w:rsid w:val="008F020B"/>
    <w:rsid w:val="0090774C"/>
    <w:rsid w:val="00910FA4"/>
    <w:rsid w:val="0091483D"/>
    <w:rsid w:val="009400AF"/>
    <w:rsid w:val="00941E9E"/>
    <w:rsid w:val="009441F0"/>
    <w:rsid w:val="00955D5A"/>
    <w:rsid w:val="00960C4E"/>
    <w:rsid w:val="009679F4"/>
    <w:rsid w:val="00973070"/>
    <w:rsid w:val="00991227"/>
    <w:rsid w:val="00996A46"/>
    <w:rsid w:val="00997499"/>
    <w:rsid w:val="009A0CCC"/>
    <w:rsid w:val="009A1E6B"/>
    <w:rsid w:val="009A3866"/>
    <w:rsid w:val="009B24AF"/>
    <w:rsid w:val="009B571B"/>
    <w:rsid w:val="009C3C49"/>
    <w:rsid w:val="009C5107"/>
    <w:rsid w:val="009D65EF"/>
    <w:rsid w:val="009E0413"/>
    <w:rsid w:val="009E2285"/>
    <w:rsid w:val="009E7B5C"/>
    <w:rsid w:val="009F00C4"/>
    <w:rsid w:val="009F364D"/>
    <w:rsid w:val="009F6E1F"/>
    <w:rsid w:val="00A16700"/>
    <w:rsid w:val="00A26D23"/>
    <w:rsid w:val="00A27706"/>
    <w:rsid w:val="00A336EC"/>
    <w:rsid w:val="00A42084"/>
    <w:rsid w:val="00A42249"/>
    <w:rsid w:val="00A52203"/>
    <w:rsid w:val="00A7401B"/>
    <w:rsid w:val="00A87C92"/>
    <w:rsid w:val="00A9002C"/>
    <w:rsid w:val="00AA70E3"/>
    <w:rsid w:val="00AB0FBE"/>
    <w:rsid w:val="00AB27F3"/>
    <w:rsid w:val="00AC4916"/>
    <w:rsid w:val="00AD39D0"/>
    <w:rsid w:val="00AF1EB9"/>
    <w:rsid w:val="00AF5211"/>
    <w:rsid w:val="00B01FB8"/>
    <w:rsid w:val="00B35721"/>
    <w:rsid w:val="00B40E40"/>
    <w:rsid w:val="00B41BDA"/>
    <w:rsid w:val="00B43A41"/>
    <w:rsid w:val="00B5453F"/>
    <w:rsid w:val="00B6697F"/>
    <w:rsid w:val="00B838BC"/>
    <w:rsid w:val="00B876E6"/>
    <w:rsid w:val="00B97EBA"/>
    <w:rsid w:val="00BA0AFF"/>
    <w:rsid w:val="00BA3E87"/>
    <w:rsid w:val="00BB6ACE"/>
    <w:rsid w:val="00BC6BA3"/>
    <w:rsid w:val="00BD2275"/>
    <w:rsid w:val="00BD4F34"/>
    <w:rsid w:val="00BD75B0"/>
    <w:rsid w:val="00BE297B"/>
    <w:rsid w:val="00BF61AE"/>
    <w:rsid w:val="00BF69D5"/>
    <w:rsid w:val="00C00AAC"/>
    <w:rsid w:val="00C012A0"/>
    <w:rsid w:val="00C035C9"/>
    <w:rsid w:val="00C05EA8"/>
    <w:rsid w:val="00C06619"/>
    <w:rsid w:val="00C10ACF"/>
    <w:rsid w:val="00C11130"/>
    <w:rsid w:val="00C125E1"/>
    <w:rsid w:val="00C30975"/>
    <w:rsid w:val="00C46513"/>
    <w:rsid w:val="00C51E35"/>
    <w:rsid w:val="00C759F8"/>
    <w:rsid w:val="00C92F0F"/>
    <w:rsid w:val="00CB4456"/>
    <w:rsid w:val="00CD1C29"/>
    <w:rsid w:val="00CD6175"/>
    <w:rsid w:val="00CE0005"/>
    <w:rsid w:val="00CE5FC4"/>
    <w:rsid w:val="00CE62E6"/>
    <w:rsid w:val="00CF7FF8"/>
    <w:rsid w:val="00D03C5C"/>
    <w:rsid w:val="00D06356"/>
    <w:rsid w:val="00D1506C"/>
    <w:rsid w:val="00D36729"/>
    <w:rsid w:val="00D44B57"/>
    <w:rsid w:val="00D45274"/>
    <w:rsid w:val="00D45E0E"/>
    <w:rsid w:val="00D46E55"/>
    <w:rsid w:val="00D61857"/>
    <w:rsid w:val="00D666DC"/>
    <w:rsid w:val="00D67930"/>
    <w:rsid w:val="00D70642"/>
    <w:rsid w:val="00D72146"/>
    <w:rsid w:val="00D843C2"/>
    <w:rsid w:val="00D912A7"/>
    <w:rsid w:val="00D94B02"/>
    <w:rsid w:val="00DA1FBF"/>
    <w:rsid w:val="00DB5A3B"/>
    <w:rsid w:val="00DB6619"/>
    <w:rsid w:val="00DE0402"/>
    <w:rsid w:val="00DE655C"/>
    <w:rsid w:val="00DE7D83"/>
    <w:rsid w:val="00E04217"/>
    <w:rsid w:val="00E05D92"/>
    <w:rsid w:val="00E223F4"/>
    <w:rsid w:val="00E3006D"/>
    <w:rsid w:val="00E362EF"/>
    <w:rsid w:val="00E42F6F"/>
    <w:rsid w:val="00E54422"/>
    <w:rsid w:val="00E55E6F"/>
    <w:rsid w:val="00E6240C"/>
    <w:rsid w:val="00E66C8D"/>
    <w:rsid w:val="00E676D5"/>
    <w:rsid w:val="00E732BE"/>
    <w:rsid w:val="00E74C11"/>
    <w:rsid w:val="00E772C8"/>
    <w:rsid w:val="00E84564"/>
    <w:rsid w:val="00E8673E"/>
    <w:rsid w:val="00E86770"/>
    <w:rsid w:val="00E96E54"/>
    <w:rsid w:val="00EA484C"/>
    <w:rsid w:val="00EB4FDD"/>
    <w:rsid w:val="00EC7ED9"/>
    <w:rsid w:val="00EF60EA"/>
    <w:rsid w:val="00F00998"/>
    <w:rsid w:val="00F01D00"/>
    <w:rsid w:val="00F13804"/>
    <w:rsid w:val="00F13B82"/>
    <w:rsid w:val="00F227C2"/>
    <w:rsid w:val="00F33C82"/>
    <w:rsid w:val="00F35EE8"/>
    <w:rsid w:val="00F5729D"/>
    <w:rsid w:val="00F65DFD"/>
    <w:rsid w:val="00F67A5B"/>
    <w:rsid w:val="00F7163A"/>
    <w:rsid w:val="00F90D42"/>
    <w:rsid w:val="00FA36A0"/>
    <w:rsid w:val="00FA67F4"/>
    <w:rsid w:val="00FB088E"/>
    <w:rsid w:val="00FB6115"/>
    <w:rsid w:val="00FC05FA"/>
    <w:rsid w:val="00FD117D"/>
    <w:rsid w:val="00FD4D4C"/>
    <w:rsid w:val="00FD5C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06E2B"/>
  <w15:docId w15:val="{8BD90081-E0A6-442A-B0C2-8C95DA431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26" w:unhideWhenUsed="1"/>
    <w:lsdException w:name="footer" w:semiHidden="1" w:uiPriority="27"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locked="1" w:uiPriority="21" w:qFormat="1"/>
    <w:lsdException w:name="Subtle Reference" w:semiHidden="1" w:uiPriority="31" w:qFormat="1"/>
    <w:lsdException w:name="Intense Reference" w:locked="1"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753"/>
    <w:pPr>
      <w:spacing w:after="20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835E9D"/>
    <w:pPr>
      <w:widowControl w:val="0"/>
      <w:spacing w:before="360"/>
      <w:contextualSpacing/>
      <w:outlineLvl w:val="0"/>
    </w:pPr>
    <w:rPr>
      <w:rFonts w:ascii="Calibri" w:eastAsiaTheme="minorHAnsi" w:hAnsi="Calibri" w:cstheme="minorBidi"/>
      <w:b/>
      <w:bCs/>
      <w:spacing w:val="5"/>
      <w:kern w:val="28"/>
      <w:sz w:val="60"/>
      <w:szCs w:val="28"/>
      <w:lang w:eastAsia="en-US"/>
    </w:rPr>
  </w:style>
  <w:style w:type="paragraph" w:styleId="Heading2">
    <w:name w:val="heading 2"/>
    <w:basedOn w:val="Normal"/>
    <w:next w:val="Normal"/>
    <w:link w:val="Heading2Char"/>
    <w:uiPriority w:val="3"/>
    <w:rsid w:val="00835E9D"/>
    <w:pPr>
      <w:keepNext/>
      <w:numPr>
        <w:numId w:val="8"/>
      </w:numPr>
      <w:spacing w:after="60" w:line="240" w:lineRule="auto"/>
      <w:outlineLvl w:val="1"/>
    </w:pPr>
    <w:rPr>
      <w:rFonts w:ascii="Calibri" w:eastAsiaTheme="minorEastAsia" w:hAnsi="Calibri"/>
      <w:bCs/>
      <w:color w:val="000000"/>
      <w:sz w:val="44"/>
      <w:szCs w:val="28"/>
      <w:lang w:eastAsia="ja-JP"/>
    </w:rPr>
  </w:style>
  <w:style w:type="paragraph" w:styleId="Heading3">
    <w:name w:val="heading 3"/>
    <w:next w:val="Normal"/>
    <w:link w:val="Heading3Char"/>
    <w:uiPriority w:val="4"/>
    <w:qFormat/>
    <w:rsid w:val="00835E9D"/>
    <w:pPr>
      <w:keepNext/>
      <w:keepLines/>
      <w:numPr>
        <w:ilvl w:val="1"/>
        <w:numId w:val="8"/>
      </w:numPr>
      <w:outlineLvl w:val="2"/>
    </w:pPr>
    <w:rPr>
      <w:rFonts w:ascii="Calibri" w:eastAsia="Times New Roman" w:hAnsi="Calibri"/>
      <w:b/>
      <w:bCs/>
      <w:sz w:val="36"/>
      <w:szCs w:val="24"/>
      <w:lang w:eastAsia="en-US"/>
    </w:rPr>
  </w:style>
  <w:style w:type="paragraph" w:styleId="Heading4">
    <w:name w:val="heading 4"/>
    <w:next w:val="Normal"/>
    <w:link w:val="Heading4Char"/>
    <w:uiPriority w:val="5"/>
    <w:qFormat/>
    <w:rsid w:val="00835E9D"/>
    <w:pPr>
      <w:keepNext/>
      <w:numPr>
        <w:ilvl w:val="2"/>
        <w:numId w:val="8"/>
      </w:numPr>
      <w:outlineLvl w:val="3"/>
    </w:pPr>
    <w:rPr>
      <w:rFonts w:ascii="Calibri" w:eastAsia="Times New Roman" w:hAnsi="Calibri"/>
      <w:b/>
      <w:bCs/>
      <w:sz w:val="32"/>
      <w:szCs w:val="24"/>
      <w:lang w:eastAsia="en-US"/>
    </w:rPr>
  </w:style>
  <w:style w:type="paragraph" w:styleId="Heading5">
    <w:name w:val="heading 5"/>
    <w:basedOn w:val="Normal"/>
    <w:next w:val="Normal"/>
    <w:link w:val="Heading5Char"/>
    <w:uiPriority w:val="6"/>
    <w:rsid w:val="00835E9D"/>
    <w:pPr>
      <w:keepNext/>
      <w:keepLines/>
      <w:spacing w:after="0" w:line="240" w:lineRule="auto"/>
      <w:outlineLvl w:val="4"/>
    </w:pPr>
    <w:rPr>
      <w:rFonts w:ascii="Calibri" w:hAnsi="Calibri"/>
      <w:b/>
      <w:sz w:val="28"/>
    </w:rPr>
  </w:style>
  <w:style w:type="paragraph" w:styleId="Heading6">
    <w:name w:val="heading 6"/>
    <w:basedOn w:val="Normal"/>
    <w:next w:val="Normal"/>
    <w:link w:val="Heading6Char"/>
    <w:uiPriority w:val="9"/>
    <w:semiHidden/>
    <w:qFormat/>
    <w:rsid w:val="00A16700"/>
    <w:pPr>
      <w:keepNext/>
      <w:keepLines/>
      <w:spacing w:before="40" w:after="0"/>
      <w:outlineLvl w:val="5"/>
    </w:pPr>
    <w:rPr>
      <w:rFonts w:eastAsiaTheme="majorEastAsia" w:cstheme="majorBidi"/>
      <w:b/>
      <w:i/>
      <w:color w:val="000000" w:themeColor="text1"/>
      <w:sz w:val="26"/>
    </w:rPr>
  </w:style>
  <w:style w:type="paragraph" w:styleId="Heading7">
    <w:name w:val="heading 7"/>
    <w:basedOn w:val="Normal"/>
    <w:next w:val="Normal"/>
    <w:link w:val="Heading7Char"/>
    <w:uiPriority w:val="9"/>
    <w:semiHidden/>
    <w:qFormat/>
    <w:rsid w:val="00A16700"/>
    <w:pPr>
      <w:keepNext/>
      <w:keepLines/>
      <w:spacing w:before="40" w:after="0"/>
      <w:outlineLvl w:val="6"/>
    </w:pPr>
    <w:rPr>
      <w:rFonts w:eastAsiaTheme="majorEastAsia" w:cstheme="majorBidi"/>
      <w:b/>
      <w:iCs/>
      <w:color w:val="000000" w:themeColor="text1"/>
      <w:sz w:val="24"/>
    </w:rPr>
  </w:style>
  <w:style w:type="paragraph" w:styleId="Heading8">
    <w:name w:val="heading 8"/>
    <w:basedOn w:val="Normal"/>
    <w:next w:val="Normal"/>
    <w:link w:val="Heading8Char"/>
    <w:uiPriority w:val="9"/>
    <w:semiHidden/>
    <w:qFormat/>
    <w:rsid w:val="00A16700"/>
    <w:pPr>
      <w:keepNext/>
      <w:keepLines/>
      <w:spacing w:before="40" w:after="0"/>
      <w:outlineLvl w:val="7"/>
    </w:pPr>
    <w:rPr>
      <w:rFonts w:eastAsiaTheme="majorEastAsia" w:cstheme="majorBidi"/>
      <w:b/>
      <w:i/>
      <w:szCs w:val="21"/>
    </w:rPr>
  </w:style>
  <w:style w:type="paragraph" w:styleId="Heading9">
    <w:name w:val="heading 9"/>
    <w:basedOn w:val="Normal"/>
    <w:next w:val="Normal"/>
    <w:link w:val="Heading9Char"/>
    <w:uiPriority w:val="9"/>
    <w:semiHidden/>
    <w:qFormat/>
    <w:rsid w:val="00826753"/>
    <w:pPr>
      <w:keepNext/>
      <w:keepLines/>
      <w:spacing w:before="40" w:after="0"/>
      <w:outlineLvl w:val="8"/>
    </w:pPr>
    <w:rPr>
      <w:rFonts w:eastAsiaTheme="majorEastAsia" w:cstheme="majorBidi"/>
      <w:b/>
      <w:iCs/>
      <w:color w:val="000000" w:themeColor="text1"/>
      <w:sz w:val="2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BB6ACE"/>
    <w:rPr>
      <w:sz w:val="20"/>
      <w:szCs w:val="20"/>
    </w:rPr>
  </w:style>
  <w:style w:type="character" w:customStyle="1" w:styleId="CommentTextChar">
    <w:name w:val="Comment Text Char"/>
    <w:basedOn w:val="DefaultParagraphFont"/>
    <w:link w:val="CommentText"/>
    <w:uiPriority w:val="99"/>
    <w:rsid w:val="00BB6ACE"/>
    <w:rPr>
      <w:rFonts w:asciiTheme="minorHAnsi" w:eastAsiaTheme="minorHAnsi" w:hAnsiTheme="minorHAnsi" w:cstheme="minorBidi"/>
      <w:lang w:eastAsia="en-US"/>
    </w:rPr>
  </w:style>
  <w:style w:type="paragraph" w:styleId="Header">
    <w:name w:val="header"/>
    <w:basedOn w:val="Normal"/>
    <w:link w:val="HeaderChar"/>
    <w:uiPriority w:val="26"/>
    <w:rsid w:val="00D61857"/>
    <w:pPr>
      <w:tabs>
        <w:tab w:val="center" w:pos="4820"/>
      </w:tabs>
      <w:spacing w:before="120" w:line="240" w:lineRule="auto"/>
      <w:jc w:val="center"/>
    </w:pPr>
    <w:rPr>
      <w:rFonts w:ascii="Calibri" w:hAnsi="Calibri"/>
      <w:sz w:val="20"/>
    </w:rPr>
  </w:style>
  <w:style w:type="character" w:customStyle="1" w:styleId="HeaderChar">
    <w:name w:val="Header Char"/>
    <w:basedOn w:val="DefaultParagraphFont"/>
    <w:link w:val="Header"/>
    <w:uiPriority w:val="26"/>
    <w:rsid w:val="00D61857"/>
    <w:rPr>
      <w:rFonts w:ascii="Calibri" w:eastAsiaTheme="minorHAnsi" w:hAnsi="Calibri" w:cstheme="minorBidi"/>
      <w:szCs w:val="22"/>
      <w:lang w:eastAsia="en-US"/>
    </w:rPr>
  </w:style>
  <w:style w:type="paragraph" w:styleId="Footer">
    <w:name w:val="footer"/>
    <w:basedOn w:val="Normal"/>
    <w:link w:val="FooterChar"/>
    <w:uiPriority w:val="27"/>
    <w:rsid w:val="00D61857"/>
    <w:pPr>
      <w:tabs>
        <w:tab w:val="center" w:pos="4536"/>
      </w:tabs>
      <w:spacing w:after="480" w:line="240" w:lineRule="auto"/>
      <w:jc w:val="center"/>
    </w:pPr>
    <w:rPr>
      <w:rFonts w:ascii="Calibri" w:hAnsi="Calibri"/>
      <w:sz w:val="20"/>
    </w:rPr>
  </w:style>
  <w:style w:type="character" w:customStyle="1" w:styleId="FooterChar">
    <w:name w:val="Footer Char"/>
    <w:basedOn w:val="DefaultParagraphFont"/>
    <w:link w:val="Footer"/>
    <w:uiPriority w:val="27"/>
    <w:rsid w:val="00D61857"/>
    <w:rPr>
      <w:rFonts w:ascii="Calibri" w:eastAsiaTheme="minorHAnsi" w:hAnsi="Calibri" w:cstheme="minorBidi"/>
      <w:szCs w:val="22"/>
      <w:lang w:eastAsia="en-US"/>
    </w:rPr>
  </w:style>
  <w:style w:type="character" w:styleId="CommentReference">
    <w:name w:val="annotation reference"/>
    <w:basedOn w:val="DefaultParagraphFont"/>
    <w:uiPriority w:val="99"/>
    <w:unhideWhenUsed/>
    <w:rsid w:val="00BB6ACE"/>
    <w:rPr>
      <w:sz w:val="16"/>
      <w:szCs w:val="16"/>
    </w:rPr>
  </w:style>
  <w:style w:type="paragraph" w:styleId="CommentSubject">
    <w:name w:val="annotation subject"/>
    <w:basedOn w:val="CommentText"/>
    <w:next w:val="CommentText"/>
    <w:link w:val="CommentSubjectChar"/>
    <w:uiPriority w:val="99"/>
    <w:semiHidden/>
    <w:unhideWhenUsed/>
    <w:rsid w:val="00BB6ACE"/>
    <w:rPr>
      <w:b/>
      <w:bCs/>
    </w:rPr>
  </w:style>
  <w:style w:type="character" w:customStyle="1" w:styleId="CommentSubjectChar">
    <w:name w:val="Comment Subject Char"/>
    <w:basedOn w:val="CommentTextChar"/>
    <w:link w:val="CommentSubject"/>
    <w:uiPriority w:val="99"/>
    <w:semiHidden/>
    <w:rsid w:val="00BB6ACE"/>
    <w:rPr>
      <w:rFonts w:asciiTheme="minorHAnsi" w:eastAsiaTheme="minorHAnsi" w:hAnsiTheme="minorHAnsi" w:cstheme="minorBidi"/>
      <w:b/>
      <w:bCs/>
      <w:lang w:eastAsia="en-US"/>
    </w:rPr>
  </w:style>
  <w:style w:type="paragraph" w:styleId="BalloonText">
    <w:name w:val="Balloon Text"/>
    <w:basedOn w:val="Normal"/>
    <w:link w:val="BalloonTextChar"/>
    <w:uiPriority w:val="99"/>
    <w:semiHidden/>
    <w:unhideWhenUsed/>
    <w:rsid w:val="00BB6ACE"/>
    <w:rPr>
      <w:rFonts w:ascii="Calibri" w:hAnsi="Calibri"/>
      <w:sz w:val="18"/>
      <w:szCs w:val="18"/>
    </w:rPr>
  </w:style>
  <w:style w:type="character" w:customStyle="1" w:styleId="BalloonTextChar">
    <w:name w:val="Balloon Text Char"/>
    <w:basedOn w:val="DefaultParagraphFont"/>
    <w:link w:val="BalloonText"/>
    <w:uiPriority w:val="99"/>
    <w:semiHidden/>
    <w:rsid w:val="00BB6ACE"/>
    <w:rPr>
      <w:rFonts w:ascii="Calibri" w:eastAsiaTheme="minorHAnsi" w:hAnsi="Calibri" w:cstheme="minorBidi"/>
      <w:sz w:val="18"/>
      <w:szCs w:val="18"/>
      <w:lang w:eastAsia="en-US"/>
    </w:rPr>
  </w:style>
  <w:style w:type="paragraph" w:customStyle="1" w:styleId="Footeraddress">
    <w:name w:val="Footer address"/>
    <w:basedOn w:val="Footer"/>
    <w:semiHidden/>
    <w:qFormat/>
    <w:rsid w:val="00BB6ACE"/>
    <w:rPr>
      <w:sz w:val="16"/>
    </w:rPr>
  </w:style>
  <w:style w:type="character" w:customStyle="1" w:styleId="Heading1Char">
    <w:name w:val="Heading 1 Char"/>
    <w:basedOn w:val="DefaultParagraphFont"/>
    <w:link w:val="Heading1"/>
    <w:uiPriority w:val="1"/>
    <w:rsid w:val="00835E9D"/>
    <w:rPr>
      <w:rFonts w:ascii="Calibri" w:eastAsiaTheme="minorHAnsi" w:hAnsi="Calibri" w:cstheme="minorBidi"/>
      <w:b/>
      <w:bCs/>
      <w:spacing w:val="5"/>
      <w:kern w:val="28"/>
      <w:sz w:val="60"/>
      <w:szCs w:val="28"/>
      <w:lang w:eastAsia="en-US"/>
    </w:rPr>
  </w:style>
  <w:style w:type="character" w:customStyle="1" w:styleId="Heading2Char">
    <w:name w:val="Heading 2 Char"/>
    <w:basedOn w:val="DefaultParagraphFont"/>
    <w:link w:val="Heading2"/>
    <w:uiPriority w:val="3"/>
    <w:rsid w:val="00835E9D"/>
    <w:rPr>
      <w:rFonts w:ascii="Calibri" w:eastAsiaTheme="minorEastAsia" w:hAnsi="Calibri" w:cstheme="minorBidi"/>
      <w:bCs/>
      <w:color w:val="000000"/>
      <w:sz w:val="44"/>
      <w:szCs w:val="28"/>
      <w:lang w:eastAsia="ja-JP"/>
    </w:rPr>
  </w:style>
  <w:style w:type="character" w:customStyle="1" w:styleId="Heading3Char">
    <w:name w:val="Heading 3 Char"/>
    <w:basedOn w:val="DefaultParagraphFont"/>
    <w:link w:val="Heading3"/>
    <w:uiPriority w:val="4"/>
    <w:rsid w:val="00835E9D"/>
    <w:rPr>
      <w:rFonts w:ascii="Calibri" w:eastAsia="Times New Roman" w:hAnsi="Calibri"/>
      <w:b/>
      <w:bCs/>
      <w:sz w:val="36"/>
      <w:szCs w:val="24"/>
      <w:lang w:eastAsia="en-US"/>
    </w:rPr>
  </w:style>
  <w:style w:type="character" w:customStyle="1" w:styleId="Heading4Char">
    <w:name w:val="Heading 4 Char"/>
    <w:basedOn w:val="DefaultParagraphFont"/>
    <w:link w:val="Heading4"/>
    <w:uiPriority w:val="5"/>
    <w:rsid w:val="00835E9D"/>
    <w:rPr>
      <w:rFonts w:ascii="Calibri" w:eastAsia="Times New Roman" w:hAnsi="Calibri"/>
      <w:b/>
      <w:bCs/>
      <w:sz w:val="32"/>
      <w:szCs w:val="24"/>
      <w:lang w:eastAsia="en-US"/>
    </w:rPr>
  </w:style>
  <w:style w:type="character" w:customStyle="1" w:styleId="Heading5Char">
    <w:name w:val="Heading 5 Char"/>
    <w:basedOn w:val="DefaultParagraphFont"/>
    <w:link w:val="Heading5"/>
    <w:uiPriority w:val="6"/>
    <w:rsid w:val="00835E9D"/>
    <w:rPr>
      <w:rFonts w:ascii="Calibri" w:eastAsiaTheme="minorHAnsi" w:hAnsi="Calibri" w:cstheme="minorBidi"/>
      <w:b/>
      <w:sz w:val="28"/>
      <w:szCs w:val="22"/>
      <w:lang w:eastAsia="en-US"/>
    </w:rPr>
  </w:style>
  <w:style w:type="paragraph" w:styleId="Quote">
    <w:name w:val="Quote"/>
    <w:basedOn w:val="Normal"/>
    <w:next w:val="Normal"/>
    <w:link w:val="QuoteChar"/>
    <w:uiPriority w:val="18"/>
    <w:qFormat/>
    <w:rsid w:val="00BB6ACE"/>
    <w:pPr>
      <w:ind w:left="709" w:right="567"/>
    </w:pPr>
    <w:rPr>
      <w:iCs/>
      <w:color w:val="000000"/>
    </w:rPr>
  </w:style>
  <w:style w:type="character" w:customStyle="1" w:styleId="QuoteChar">
    <w:name w:val="Quote Char"/>
    <w:basedOn w:val="DefaultParagraphFont"/>
    <w:link w:val="Quote"/>
    <w:uiPriority w:val="18"/>
    <w:rsid w:val="00BB6ACE"/>
    <w:rPr>
      <w:rFonts w:asciiTheme="minorHAnsi" w:eastAsiaTheme="minorHAnsi" w:hAnsiTheme="minorHAnsi" w:cstheme="minorBidi"/>
      <w:iCs/>
      <w:color w:val="000000"/>
      <w:sz w:val="22"/>
      <w:szCs w:val="22"/>
      <w:lang w:eastAsia="en-US"/>
    </w:rPr>
  </w:style>
  <w:style w:type="paragraph" w:customStyle="1" w:styleId="BoxText">
    <w:name w:val="Box Text"/>
    <w:basedOn w:val="Normal"/>
    <w:uiPriority w:val="19"/>
    <w:qFormat/>
    <w:rsid w:val="00BB6ACE"/>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basedOn w:val="Normal"/>
    <w:next w:val="Normal"/>
    <w:uiPriority w:val="12"/>
    <w:qFormat/>
    <w:rsid w:val="00BB6ACE"/>
    <w:pPr>
      <w:keepNext/>
      <w:spacing w:after="120" w:line="240" w:lineRule="auto"/>
    </w:pPr>
    <w:rPr>
      <w:rFonts w:ascii="Calibri" w:hAnsi="Calibri"/>
      <w:b/>
      <w:bCs/>
      <w:sz w:val="24"/>
      <w:szCs w:val="18"/>
    </w:rPr>
  </w:style>
  <w:style w:type="paragraph" w:customStyle="1" w:styleId="FigureTableNoteSource">
    <w:name w:val="Figure/Table Note/Source"/>
    <w:basedOn w:val="Normal"/>
    <w:next w:val="Normal"/>
    <w:uiPriority w:val="16"/>
    <w:qFormat/>
    <w:rsid w:val="00BB6ACE"/>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B5453F"/>
    <w:pPr>
      <w:spacing w:before="120"/>
    </w:pPr>
    <w:rPr>
      <w:b w:val="0"/>
      <w:color w:val="000000" w:themeColor="text1"/>
      <w:sz w:val="44"/>
      <w:szCs w:val="56"/>
    </w:rPr>
  </w:style>
  <w:style w:type="character" w:customStyle="1" w:styleId="SubtitleChar">
    <w:name w:val="Subtitle Char"/>
    <w:basedOn w:val="DefaultParagraphFont"/>
    <w:link w:val="Subtitle"/>
    <w:uiPriority w:val="23"/>
    <w:rsid w:val="00B5453F"/>
    <w:rPr>
      <w:rFonts w:ascii="Calibri" w:eastAsiaTheme="minorHAnsi" w:hAnsi="Calibri" w:cstheme="minorBidi"/>
      <w:bCs/>
      <w:color w:val="000000" w:themeColor="text1"/>
      <w:spacing w:val="5"/>
      <w:kern w:val="28"/>
      <w:sz w:val="44"/>
      <w:szCs w:val="56"/>
      <w:lang w:eastAsia="en-US"/>
    </w:rPr>
  </w:style>
  <w:style w:type="paragraph" w:styleId="TOCHeading">
    <w:name w:val="TOC Heading"/>
    <w:next w:val="Normal"/>
    <w:uiPriority w:val="39"/>
    <w:qFormat/>
    <w:rsid w:val="00BB6ACE"/>
    <w:pPr>
      <w:spacing w:before="480" w:line="276" w:lineRule="auto"/>
    </w:pPr>
    <w:rPr>
      <w:rFonts w:ascii="Calibri" w:eastAsiaTheme="minorEastAsia" w:hAnsi="Calibri" w:cstheme="minorBidi"/>
      <w:bCs/>
      <w:color w:val="22372B"/>
      <w:sz w:val="56"/>
      <w:szCs w:val="28"/>
      <w:lang w:eastAsia="ja-JP"/>
    </w:rPr>
  </w:style>
  <w:style w:type="paragraph" w:styleId="TOC1">
    <w:name w:val="toc 1"/>
    <w:basedOn w:val="Normal"/>
    <w:next w:val="Normal"/>
    <w:uiPriority w:val="39"/>
    <w:unhideWhenUsed/>
    <w:qFormat/>
    <w:rsid w:val="00BB6ACE"/>
    <w:pPr>
      <w:tabs>
        <w:tab w:val="left" w:pos="426"/>
        <w:tab w:val="right" w:leader="dot" w:pos="9072"/>
      </w:tabs>
      <w:spacing w:before="120" w:after="120" w:line="240" w:lineRule="auto"/>
    </w:pPr>
    <w:rPr>
      <w:b/>
      <w:noProof/>
    </w:rPr>
  </w:style>
  <w:style w:type="paragraph" w:styleId="TOC2">
    <w:name w:val="toc 2"/>
    <w:basedOn w:val="Normal"/>
    <w:next w:val="Normal"/>
    <w:uiPriority w:val="39"/>
    <w:unhideWhenUsed/>
    <w:qFormat/>
    <w:rsid w:val="00BB6ACE"/>
    <w:pPr>
      <w:tabs>
        <w:tab w:val="right" w:leader="dot" w:pos="9060"/>
      </w:tabs>
      <w:spacing w:before="120" w:after="120" w:line="240" w:lineRule="auto"/>
      <w:ind w:firstLine="425"/>
    </w:pPr>
    <w:rPr>
      <w:noProof/>
    </w:rPr>
  </w:style>
  <w:style w:type="paragraph" w:styleId="TOC3">
    <w:name w:val="toc 3"/>
    <w:basedOn w:val="Normal"/>
    <w:next w:val="Normal"/>
    <w:uiPriority w:val="39"/>
    <w:unhideWhenUsed/>
    <w:qFormat/>
    <w:rsid w:val="00BB6ACE"/>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sid w:val="00BB6ACE"/>
    <w:rPr>
      <w:color w:val="165788"/>
      <w:u w:val="single"/>
    </w:rPr>
  </w:style>
  <w:style w:type="paragraph" w:styleId="ListBullet">
    <w:name w:val="List Bullet"/>
    <w:basedOn w:val="Normal"/>
    <w:uiPriority w:val="99"/>
    <w:qFormat/>
    <w:rsid w:val="00762C3E"/>
    <w:pPr>
      <w:numPr>
        <w:numId w:val="9"/>
      </w:numPr>
      <w:spacing w:before="120" w:after="120"/>
      <w:ind w:left="454" w:hanging="454"/>
    </w:pPr>
  </w:style>
  <w:style w:type="paragraph" w:styleId="TableofFigures">
    <w:name w:val="table of figures"/>
    <w:basedOn w:val="Normal"/>
    <w:next w:val="Normal"/>
    <w:uiPriority w:val="99"/>
    <w:rsid w:val="00BB6ACE"/>
    <w:pPr>
      <w:spacing w:before="120" w:after="120" w:line="240" w:lineRule="auto"/>
    </w:pPr>
  </w:style>
  <w:style w:type="paragraph" w:styleId="ListBullet2">
    <w:name w:val="List Bullet 2"/>
    <w:basedOn w:val="Normal"/>
    <w:uiPriority w:val="8"/>
    <w:qFormat/>
    <w:rsid w:val="00762C3E"/>
    <w:pPr>
      <w:numPr>
        <w:ilvl w:val="1"/>
        <w:numId w:val="9"/>
      </w:numPr>
      <w:spacing w:before="120" w:after="120"/>
      <w:ind w:left="908" w:hanging="454"/>
      <w:contextualSpacing/>
    </w:pPr>
  </w:style>
  <w:style w:type="paragraph" w:styleId="ListNumber">
    <w:name w:val="List Number"/>
    <w:basedOn w:val="Normal"/>
    <w:uiPriority w:val="9"/>
    <w:qFormat/>
    <w:rsid w:val="00762C3E"/>
    <w:pPr>
      <w:numPr>
        <w:numId w:val="10"/>
      </w:numPr>
      <w:tabs>
        <w:tab w:val="left" w:pos="142"/>
      </w:tabs>
      <w:spacing w:before="120" w:after="120"/>
      <w:ind w:left="454" w:hanging="454"/>
    </w:pPr>
  </w:style>
  <w:style w:type="paragraph" w:styleId="ListNumber2">
    <w:name w:val="List Number 2"/>
    <w:uiPriority w:val="10"/>
    <w:qFormat/>
    <w:rsid w:val="009E7B5C"/>
    <w:pPr>
      <w:numPr>
        <w:ilvl w:val="1"/>
        <w:numId w:val="10"/>
      </w:numPr>
      <w:spacing w:before="120" w:after="120" w:line="264" w:lineRule="auto"/>
      <w:ind w:left="908" w:hanging="454"/>
    </w:pPr>
    <w:rPr>
      <w:rFonts w:asciiTheme="minorHAnsi" w:eastAsia="Times New Roman" w:hAnsiTheme="minorHAnsi"/>
      <w:sz w:val="22"/>
      <w:szCs w:val="24"/>
      <w:lang w:eastAsia="en-US"/>
    </w:rPr>
  </w:style>
  <w:style w:type="paragraph" w:styleId="ListNumber3">
    <w:name w:val="List Number 3"/>
    <w:uiPriority w:val="11"/>
    <w:qFormat/>
    <w:rsid w:val="00821DA2"/>
    <w:pPr>
      <w:numPr>
        <w:ilvl w:val="2"/>
        <w:numId w:val="10"/>
      </w:numPr>
      <w:spacing w:before="120" w:after="120" w:line="264" w:lineRule="auto"/>
      <w:ind w:left="1361" w:hanging="454"/>
    </w:pPr>
    <w:rPr>
      <w:rFonts w:asciiTheme="minorHAnsi" w:eastAsia="Times New Roman" w:hAnsiTheme="minorHAnsi"/>
      <w:sz w:val="22"/>
      <w:szCs w:val="24"/>
      <w:lang w:eastAsia="en-US"/>
    </w:rPr>
  </w:style>
  <w:style w:type="table" w:customStyle="1" w:styleId="LightShading1">
    <w:name w:val="Light Shading1"/>
    <w:basedOn w:val="TableNormal"/>
    <w:uiPriority w:val="60"/>
    <w:rsid w:val="00BB6ACE"/>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BB6ACE"/>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TableText">
    <w:name w:val="Table Text"/>
    <w:basedOn w:val="Normal"/>
    <w:uiPriority w:val="13"/>
    <w:qFormat/>
    <w:rsid w:val="00BB6ACE"/>
    <w:pPr>
      <w:spacing w:before="60" w:after="60" w:line="240" w:lineRule="auto"/>
    </w:pPr>
    <w:rPr>
      <w:sz w:val="18"/>
    </w:rPr>
  </w:style>
  <w:style w:type="table" w:styleId="TableGrid1">
    <w:name w:val="Table Grid 1"/>
    <w:basedOn w:val="TableNormal"/>
    <w:uiPriority w:val="99"/>
    <w:semiHidden/>
    <w:unhideWhenUsed/>
    <w:rsid w:val="00BB6ACE"/>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TableText"/>
    <w:uiPriority w:val="14"/>
    <w:qFormat/>
    <w:rsid w:val="00BB6ACE"/>
    <w:pPr>
      <w:keepNext/>
    </w:pPr>
    <w:rPr>
      <w:b/>
    </w:rPr>
  </w:style>
  <w:style w:type="character" w:styleId="PlaceholderText">
    <w:name w:val="Placeholder Text"/>
    <w:basedOn w:val="DefaultParagraphFont"/>
    <w:uiPriority w:val="99"/>
    <w:semiHidden/>
    <w:rsid w:val="00BB6ACE"/>
    <w:rPr>
      <w:color w:val="808080"/>
    </w:rPr>
  </w:style>
  <w:style w:type="paragraph" w:customStyle="1" w:styleId="Author">
    <w:name w:val="Author"/>
    <w:basedOn w:val="Normal"/>
    <w:next w:val="Normal"/>
    <w:uiPriority w:val="24"/>
    <w:qFormat/>
    <w:rsid w:val="00BB6ACE"/>
    <w:pPr>
      <w:spacing w:after="60"/>
    </w:pPr>
    <w:rPr>
      <w:b/>
      <w:sz w:val="24"/>
      <w:szCs w:val="28"/>
    </w:rPr>
  </w:style>
  <w:style w:type="paragraph" w:customStyle="1" w:styleId="AuthorOrganisationAffiliation">
    <w:name w:val="Author Organisation/Affiliation"/>
    <w:basedOn w:val="Normal"/>
    <w:next w:val="Normal"/>
    <w:uiPriority w:val="25"/>
    <w:qFormat/>
    <w:rsid w:val="00BB6ACE"/>
  </w:style>
  <w:style w:type="character" w:styleId="Strong">
    <w:name w:val="Strong"/>
    <w:basedOn w:val="DefaultParagraphFont"/>
    <w:uiPriority w:val="22"/>
    <w:qFormat/>
    <w:rsid w:val="00BB6ACE"/>
    <w:rPr>
      <w:b/>
      <w:bCs/>
    </w:rPr>
  </w:style>
  <w:style w:type="paragraph" w:customStyle="1" w:styleId="Glossary">
    <w:name w:val="Glossary"/>
    <w:basedOn w:val="Normal"/>
    <w:link w:val="GlossaryChar"/>
    <w:uiPriority w:val="28"/>
    <w:semiHidden/>
    <w:locked/>
    <w:rsid w:val="00BB6ACE"/>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semiHidden/>
    <w:rsid w:val="00BB6ACE"/>
    <w:rPr>
      <w:rFonts w:asciiTheme="minorHAnsi" w:eastAsia="Calibri" w:hAnsiTheme="minorHAnsi" w:cstheme="minorBidi"/>
      <w:color w:val="000000"/>
      <w:sz w:val="22"/>
      <w:szCs w:val="22"/>
      <w:lang w:eastAsia="en-US"/>
    </w:rPr>
  </w:style>
  <w:style w:type="character" w:styleId="Emphasis">
    <w:name w:val="Emphasis"/>
    <w:basedOn w:val="DefaultParagraphFont"/>
    <w:uiPriority w:val="99"/>
    <w:qFormat/>
    <w:rsid w:val="00BB6ACE"/>
    <w:rPr>
      <w:i/>
      <w:iCs/>
    </w:rPr>
  </w:style>
  <w:style w:type="paragraph" w:styleId="TOAHeading">
    <w:name w:val="toa heading"/>
    <w:basedOn w:val="Heading1"/>
    <w:next w:val="Normal"/>
    <w:uiPriority w:val="99"/>
    <w:semiHidden/>
    <w:unhideWhenUsed/>
    <w:rsid w:val="00BB6ACE"/>
    <w:pPr>
      <w:spacing w:before="120"/>
    </w:pPr>
    <w:rPr>
      <w:bCs w:val="0"/>
      <w:sz w:val="24"/>
    </w:rPr>
  </w:style>
  <w:style w:type="paragraph" w:styleId="NormalWeb">
    <w:name w:val="Normal (Web)"/>
    <w:basedOn w:val="Normal"/>
    <w:uiPriority w:val="99"/>
    <w:semiHidden/>
    <w:unhideWhenUsed/>
    <w:rsid w:val="00BB6ACE"/>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BC6BA3"/>
    <w:pPr>
      <w:numPr>
        <w:numId w:val="7"/>
      </w:numPr>
      <w:ind w:left="357" w:hanging="357"/>
    </w:pPr>
  </w:style>
  <w:style w:type="paragraph" w:customStyle="1" w:styleId="TableBullet">
    <w:name w:val="Table Bullet"/>
    <w:basedOn w:val="TableText"/>
    <w:uiPriority w:val="15"/>
    <w:qFormat/>
    <w:rsid w:val="00996A46"/>
    <w:pPr>
      <w:numPr>
        <w:numId w:val="6"/>
      </w:numPr>
    </w:pPr>
  </w:style>
  <w:style w:type="paragraph" w:styleId="DocumentMap">
    <w:name w:val="Document Map"/>
    <w:basedOn w:val="Normal"/>
    <w:link w:val="DocumentMapChar"/>
    <w:uiPriority w:val="99"/>
    <w:semiHidden/>
    <w:unhideWhenUsed/>
    <w:rsid w:val="00BB6AC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B6ACE"/>
    <w:rPr>
      <w:rFonts w:ascii="Tahoma" w:eastAsiaTheme="minorHAnsi" w:hAnsi="Tahoma" w:cs="Tahoma"/>
      <w:sz w:val="16"/>
      <w:szCs w:val="16"/>
      <w:lang w:eastAsia="en-US"/>
    </w:rPr>
  </w:style>
  <w:style w:type="paragraph" w:customStyle="1" w:styleId="BoxHeading">
    <w:name w:val="Box Heading"/>
    <w:basedOn w:val="BoxText"/>
    <w:uiPriority w:val="20"/>
    <w:qFormat/>
    <w:rsid w:val="00BB6ACE"/>
    <w:pPr>
      <w:spacing w:line="240" w:lineRule="auto"/>
    </w:pPr>
    <w:rPr>
      <w:b/>
    </w:rPr>
  </w:style>
  <w:style w:type="paragraph" w:customStyle="1" w:styleId="Securityclassification">
    <w:name w:val="Security classification"/>
    <w:basedOn w:val="Header"/>
    <w:next w:val="Header"/>
    <w:uiPriority w:val="26"/>
    <w:semiHidden/>
    <w:qFormat/>
    <w:rsid w:val="00BB6ACE"/>
    <w:pPr>
      <w:spacing w:after="0"/>
    </w:pPr>
    <w:rPr>
      <w:b/>
      <w:color w:val="FF0000"/>
      <w:sz w:val="36"/>
      <w:szCs w:val="36"/>
    </w:rPr>
  </w:style>
  <w:style w:type="paragraph" w:customStyle="1" w:styleId="DisseminationLimitingMarker">
    <w:name w:val="Dissemination Limiting Marker"/>
    <w:basedOn w:val="Header"/>
    <w:next w:val="Header"/>
    <w:uiPriority w:val="27"/>
    <w:semiHidden/>
    <w:rsid w:val="00BB6ACE"/>
    <w:pPr>
      <w:spacing w:after="0"/>
    </w:pPr>
    <w:rPr>
      <w:b/>
      <w:sz w:val="36"/>
      <w:szCs w:val="36"/>
    </w:rPr>
  </w:style>
  <w:style w:type="paragraph" w:styleId="FootnoteText">
    <w:name w:val="footnote text"/>
    <w:basedOn w:val="Normal"/>
    <w:link w:val="FootnoteTextChar"/>
    <w:uiPriority w:val="99"/>
    <w:unhideWhenUsed/>
    <w:rsid w:val="00BB6ACE"/>
    <w:pPr>
      <w:spacing w:after="60" w:line="264" w:lineRule="auto"/>
    </w:pPr>
    <w:rPr>
      <w:sz w:val="20"/>
      <w:szCs w:val="20"/>
    </w:rPr>
  </w:style>
  <w:style w:type="character" w:customStyle="1" w:styleId="FootnoteTextChar">
    <w:name w:val="Footnote Text Char"/>
    <w:basedOn w:val="DefaultParagraphFont"/>
    <w:link w:val="FootnoteText"/>
    <w:uiPriority w:val="99"/>
    <w:rsid w:val="00BB6AC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BB6ACE"/>
    <w:rPr>
      <w:vertAlign w:val="superscript"/>
    </w:rPr>
  </w:style>
  <w:style w:type="paragraph" w:styleId="EndnoteText">
    <w:name w:val="endnote text"/>
    <w:basedOn w:val="Normal"/>
    <w:link w:val="EndnoteTextChar"/>
    <w:uiPriority w:val="99"/>
    <w:unhideWhenUsed/>
    <w:rsid w:val="00BB6ACE"/>
    <w:pPr>
      <w:spacing w:after="60" w:line="264" w:lineRule="auto"/>
    </w:pPr>
    <w:rPr>
      <w:sz w:val="20"/>
      <w:szCs w:val="20"/>
    </w:rPr>
  </w:style>
  <w:style w:type="character" w:customStyle="1" w:styleId="EndnoteTextChar">
    <w:name w:val="Endnote Text Char"/>
    <w:basedOn w:val="DefaultParagraphFont"/>
    <w:link w:val="EndnoteText"/>
    <w:uiPriority w:val="99"/>
    <w:rsid w:val="00BB6ACE"/>
    <w:rPr>
      <w:rFonts w:asciiTheme="minorHAnsi" w:eastAsiaTheme="minorHAnsi" w:hAnsiTheme="minorHAnsi" w:cstheme="minorBidi"/>
      <w:lang w:eastAsia="en-US"/>
    </w:rPr>
  </w:style>
  <w:style w:type="character" w:styleId="EndnoteReference">
    <w:name w:val="endnote reference"/>
    <w:basedOn w:val="DefaultParagraphFont"/>
    <w:uiPriority w:val="99"/>
    <w:semiHidden/>
    <w:unhideWhenUsed/>
    <w:rsid w:val="00BB6ACE"/>
    <w:rPr>
      <w:vertAlign w:val="superscript"/>
    </w:rPr>
  </w:style>
  <w:style w:type="character" w:styleId="FollowedHyperlink">
    <w:name w:val="FollowedHyperlink"/>
    <w:basedOn w:val="DefaultParagraphFont"/>
    <w:uiPriority w:val="99"/>
    <w:semiHidden/>
    <w:unhideWhenUsed/>
    <w:rsid w:val="00BB6ACE"/>
    <w:rPr>
      <w:color w:val="800080"/>
      <w:u w:val="single"/>
    </w:rPr>
  </w:style>
  <w:style w:type="paragraph" w:customStyle="1" w:styleId="BoxSource">
    <w:name w:val="Box Source"/>
    <w:basedOn w:val="FigureTableNoteSource"/>
    <w:uiPriority w:val="22"/>
    <w:qFormat/>
    <w:rsid w:val="00BB6ACE"/>
    <w:pPr>
      <w:pBdr>
        <w:top w:val="single" w:sz="4" w:space="10" w:color="auto"/>
        <w:left w:val="single" w:sz="4" w:space="10" w:color="auto"/>
        <w:bottom w:val="single" w:sz="4" w:space="10" w:color="auto"/>
        <w:right w:val="single" w:sz="4" w:space="10" w:color="auto"/>
      </w:pBdr>
    </w:pPr>
    <w:rPr>
      <w:rFonts w:asciiTheme="minorHAnsi" w:hAnsiTheme="minorHAnsi"/>
    </w:rPr>
  </w:style>
  <w:style w:type="numbering" w:customStyle="1" w:styleId="List1">
    <w:name w:val="List1"/>
    <w:basedOn w:val="NoList"/>
    <w:uiPriority w:val="99"/>
    <w:rsid w:val="00BB6ACE"/>
    <w:pPr>
      <w:numPr>
        <w:numId w:val="1"/>
      </w:numPr>
    </w:pPr>
  </w:style>
  <w:style w:type="paragraph" w:styleId="Title">
    <w:name w:val="Title"/>
    <w:basedOn w:val="Normal"/>
    <w:next w:val="Normal"/>
    <w:link w:val="TitleChar"/>
    <w:uiPriority w:val="10"/>
    <w:semiHidden/>
    <w:qFormat/>
    <w:rsid w:val="00BB6ACE"/>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BB6ACE"/>
    <w:rPr>
      <w:rFonts w:asciiTheme="minorHAnsi" w:eastAsiaTheme="majorEastAsia" w:hAnsiTheme="minorHAnsi" w:cstheme="majorBidi"/>
      <w:b/>
      <w:spacing w:val="5"/>
      <w:kern w:val="28"/>
      <w:sz w:val="72"/>
      <w:szCs w:val="52"/>
      <w:lang w:eastAsia="en-US"/>
    </w:rPr>
  </w:style>
  <w:style w:type="paragraph" w:customStyle="1" w:styleId="TOCHeading2">
    <w:name w:val="TOC Heading 2"/>
    <w:next w:val="Normal"/>
    <w:qFormat/>
    <w:rsid w:val="00BB6ACE"/>
    <w:rPr>
      <w:rFonts w:ascii="Calibri Light" w:eastAsiaTheme="minorHAnsi" w:hAnsi="Calibri Light" w:cstheme="minorBidi"/>
      <w:sz w:val="36"/>
      <w:szCs w:val="22"/>
      <w:lang w:eastAsia="en-US"/>
    </w:rPr>
  </w:style>
  <w:style w:type="numbering" w:customStyle="1" w:styleId="Numberlist">
    <w:name w:val="Number list"/>
    <w:uiPriority w:val="99"/>
    <w:rsid w:val="00BB6ACE"/>
    <w:pPr>
      <w:numPr>
        <w:numId w:val="2"/>
      </w:numPr>
    </w:pPr>
  </w:style>
  <w:style w:type="numbering" w:customStyle="1" w:styleId="Headinglist">
    <w:name w:val="Heading list"/>
    <w:uiPriority w:val="99"/>
    <w:rsid w:val="00BB6ACE"/>
    <w:pPr>
      <w:numPr>
        <w:numId w:val="3"/>
      </w:numPr>
    </w:pPr>
  </w:style>
  <w:style w:type="paragraph" w:customStyle="1" w:styleId="Normalsmall">
    <w:name w:val="Normal small"/>
    <w:qFormat/>
    <w:rsid w:val="00BB6ACE"/>
    <w:pPr>
      <w:spacing w:after="120"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semiHidden/>
    <w:rsid w:val="00762C3E"/>
    <w:pPr>
      <w:numPr>
        <w:ilvl w:val="2"/>
        <w:numId w:val="9"/>
      </w:numPr>
      <w:ind w:left="1361" w:hanging="454"/>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paragraph" w:customStyle="1" w:styleId="TableListNumber">
    <w:name w:val="Table List Number"/>
    <w:uiPriority w:val="99"/>
    <w:qFormat/>
    <w:rsid w:val="00CF7FF8"/>
    <w:pPr>
      <w:numPr>
        <w:numId w:val="13"/>
      </w:numPr>
      <w:spacing w:before="60" w:after="60"/>
      <w:contextualSpacing/>
    </w:pPr>
    <w:rPr>
      <w:rFonts w:asciiTheme="minorHAnsi" w:eastAsia="Calibri" w:hAnsiTheme="minorHAnsi"/>
      <w:color w:val="000000" w:themeColor="text1"/>
      <w:sz w:val="18"/>
      <w:szCs w:val="22"/>
      <w:lang w:eastAsia="en-US"/>
    </w:rPr>
  </w:style>
  <w:style w:type="character" w:styleId="IntenseEmphasis">
    <w:name w:val="Intense Emphasis"/>
    <w:basedOn w:val="DefaultParagraphFont"/>
    <w:uiPriority w:val="21"/>
    <w:semiHidden/>
    <w:qFormat/>
    <w:locked/>
    <w:rsid w:val="00BB6ACE"/>
    <w:rPr>
      <w:i/>
      <w:iCs/>
      <w:color w:val="4F81BD" w:themeColor="accent1"/>
    </w:rPr>
  </w:style>
  <w:style w:type="paragraph" w:customStyle="1" w:styleId="TableBullet2">
    <w:name w:val="Table Bullet 2"/>
    <w:basedOn w:val="TableBullet"/>
    <w:qFormat/>
    <w:rsid w:val="00996A46"/>
    <w:pPr>
      <w:numPr>
        <w:numId w:val="11"/>
      </w:numPr>
      <w:tabs>
        <w:tab w:val="num" w:pos="462"/>
      </w:tabs>
      <w:ind w:left="568" w:hanging="284"/>
    </w:pPr>
  </w:style>
  <w:style w:type="numbering" w:customStyle="1" w:styleId="TableBulletlist">
    <w:name w:val="Table Bullet list"/>
    <w:uiPriority w:val="99"/>
    <w:rsid w:val="00BB6ACE"/>
    <w:pPr>
      <w:numPr>
        <w:numId w:val="5"/>
      </w:numPr>
    </w:pPr>
  </w:style>
  <w:style w:type="character" w:styleId="UnresolvedMention">
    <w:name w:val="Unresolved Mention"/>
    <w:basedOn w:val="DefaultParagraphFont"/>
    <w:uiPriority w:val="99"/>
    <w:semiHidden/>
    <w:unhideWhenUsed/>
    <w:rsid w:val="00BB6ACE"/>
    <w:rPr>
      <w:color w:val="605E5C"/>
      <w:shd w:val="clear" w:color="auto" w:fill="E1DFDD"/>
    </w:rPr>
  </w:style>
  <w:style w:type="paragraph" w:styleId="ListParagraph">
    <w:name w:val="List Paragraph"/>
    <w:basedOn w:val="Normal"/>
    <w:uiPriority w:val="34"/>
    <w:semiHidden/>
    <w:qFormat/>
    <w:rsid w:val="00BB6ACE"/>
    <w:pPr>
      <w:spacing w:after="0" w:line="240" w:lineRule="auto"/>
      <w:ind w:left="720"/>
    </w:pPr>
    <w:rPr>
      <w:rFonts w:ascii="Calibri" w:hAnsi="Calibri" w:cs="Calibri"/>
    </w:rPr>
  </w:style>
  <w:style w:type="character" w:customStyle="1" w:styleId="Heading6Char">
    <w:name w:val="Heading 6 Char"/>
    <w:basedOn w:val="DefaultParagraphFont"/>
    <w:link w:val="Heading6"/>
    <w:uiPriority w:val="9"/>
    <w:semiHidden/>
    <w:rsid w:val="00A16700"/>
    <w:rPr>
      <w:rFonts w:asciiTheme="minorHAnsi" w:eastAsiaTheme="majorEastAsia" w:hAnsiTheme="minorHAnsi" w:cstheme="majorBidi"/>
      <w:b/>
      <w:i/>
      <w:color w:val="000000" w:themeColor="text1"/>
      <w:sz w:val="26"/>
      <w:szCs w:val="22"/>
      <w:lang w:eastAsia="en-US"/>
    </w:rPr>
  </w:style>
  <w:style w:type="paragraph" w:customStyle="1" w:styleId="TableListNumber2">
    <w:name w:val="Table List Number 2"/>
    <w:basedOn w:val="TableText"/>
    <w:qFormat/>
    <w:rsid w:val="00CF7FF8"/>
    <w:pPr>
      <w:numPr>
        <w:ilvl w:val="1"/>
        <w:numId w:val="13"/>
      </w:numPr>
    </w:pPr>
  </w:style>
  <w:style w:type="paragraph" w:customStyle="1" w:styleId="TableListNumber3">
    <w:name w:val="Table List Number 3"/>
    <w:basedOn w:val="TableText"/>
    <w:qFormat/>
    <w:rsid w:val="00CF7FF8"/>
    <w:pPr>
      <w:numPr>
        <w:ilvl w:val="2"/>
        <w:numId w:val="13"/>
      </w:numPr>
    </w:pPr>
  </w:style>
  <w:style w:type="numbering" w:customStyle="1" w:styleId="Tablenumberedlists">
    <w:name w:val="Table numbered lists"/>
    <w:uiPriority w:val="99"/>
    <w:rsid w:val="00CF7FF8"/>
    <w:pPr>
      <w:numPr>
        <w:numId w:val="13"/>
      </w:numPr>
    </w:pPr>
  </w:style>
  <w:style w:type="character" w:customStyle="1" w:styleId="Heading7Char">
    <w:name w:val="Heading 7 Char"/>
    <w:basedOn w:val="DefaultParagraphFont"/>
    <w:link w:val="Heading7"/>
    <w:uiPriority w:val="9"/>
    <w:semiHidden/>
    <w:rsid w:val="00A16700"/>
    <w:rPr>
      <w:rFonts w:asciiTheme="minorHAnsi" w:eastAsiaTheme="majorEastAsia" w:hAnsiTheme="minorHAnsi" w:cstheme="majorBidi"/>
      <w:b/>
      <w:iCs/>
      <w:color w:val="000000" w:themeColor="text1"/>
      <w:sz w:val="24"/>
      <w:szCs w:val="22"/>
      <w:lang w:eastAsia="en-US"/>
    </w:rPr>
  </w:style>
  <w:style w:type="character" w:customStyle="1" w:styleId="Heading8Char">
    <w:name w:val="Heading 8 Char"/>
    <w:basedOn w:val="DefaultParagraphFont"/>
    <w:link w:val="Heading8"/>
    <w:uiPriority w:val="9"/>
    <w:semiHidden/>
    <w:rsid w:val="00A16700"/>
    <w:rPr>
      <w:rFonts w:asciiTheme="minorHAnsi" w:eastAsiaTheme="majorEastAsia" w:hAnsiTheme="minorHAnsi" w:cstheme="majorBidi"/>
      <w:b/>
      <w:i/>
      <w:sz w:val="22"/>
      <w:szCs w:val="21"/>
      <w:lang w:eastAsia="en-US"/>
    </w:rPr>
  </w:style>
  <w:style w:type="paragraph" w:customStyle="1" w:styleId="BoxTextNumber">
    <w:name w:val="Box Text Number"/>
    <w:basedOn w:val="BoxText"/>
    <w:qFormat/>
    <w:rsid w:val="00A27706"/>
    <w:pPr>
      <w:numPr>
        <w:numId w:val="15"/>
      </w:numPr>
    </w:pPr>
  </w:style>
  <w:style w:type="character" w:customStyle="1" w:styleId="Heading9Char">
    <w:name w:val="Heading 9 Char"/>
    <w:basedOn w:val="DefaultParagraphFont"/>
    <w:link w:val="Heading9"/>
    <w:uiPriority w:val="9"/>
    <w:semiHidden/>
    <w:rsid w:val="00826753"/>
    <w:rPr>
      <w:rFonts w:asciiTheme="minorHAnsi" w:eastAsiaTheme="majorEastAsia" w:hAnsiTheme="minorHAnsi" w:cstheme="majorBidi"/>
      <w:b/>
      <w:iCs/>
      <w:color w:val="000000" w:themeColor="text1"/>
      <w:szCs w:val="21"/>
      <w:lang w:eastAsia="en-US"/>
    </w:rPr>
  </w:style>
  <w:style w:type="table" w:customStyle="1" w:styleId="TableGrid10">
    <w:name w:val="Table Grid1"/>
    <w:basedOn w:val="TableNormal"/>
    <w:next w:val="TableNormal"/>
    <w:uiPriority w:val="59"/>
    <w:rsid w:val="008D1866"/>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C7ED9"/>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40880"/>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39825592">
      <w:bodyDiv w:val="1"/>
      <w:marLeft w:val="0"/>
      <w:marRight w:val="0"/>
      <w:marTop w:val="0"/>
      <w:marBottom w:val="0"/>
      <w:divBdr>
        <w:top w:val="none" w:sz="0" w:space="0" w:color="auto"/>
        <w:left w:val="none" w:sz="0" w:space="0" w:color="auto"/>
        <w:bottom w:val="none" w:sz="0" w:space="0" w:color="auto"/>
        <w:right w:val="none" w:sz="0" w:space="0" w:color="auto"/>
      </w:divBdr>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39916105">
      <w:bodyDiv w:val="1"/>
      <w:marLeft w:val="0"/>
      <w:marRight w:val="0"/>
      <w:marTop w:val="0"/>
      <w:marBottom w:val="0"/>
      <w:divBdr>
        <w:top w:val="none" w:sz="0" w:space="0" w:color="auto"/>
        <w:left w:val="none" w:sz="0" w:space="0" w:color="auto"/>
        <w:bottom w:val="none" w:sz="0" w:space="0" w:color="auto"/>
        <w:right w:val="none" w:sz="0" w:space="0" w:color="auto"/>
      </w:divBdr>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0686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agriculture.gov.au/biosecurity-trade/policy/biosecurity-2030-roadmap" TargetMode="External"/><Relationship Id="rId18" Type="http://schemas.openxmlformats.org/officeDocument/2006/relationships/hyperlink" Target="https://www.agriculture.gov.au/biosecurity-trade/pests-diseases-weeds/plant/national-priority-plant-pests" TargetMode="External"/><Relationship Id="rId26" Type="http://schemas.openxmlformats.org/officeDocument/2006/relationships/hyperlink" Target="mailto:ACEBO@aff.gov.au" TargetMode="External"/><Relationship Id="rId21" Type="http://schemas.openxmlformats.org/officeDocument/2006/relationships/hyperlink" Target="https://www.finance.gov.au/government/procurement/commonwealth-procurement-rules"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agriculture.gov.au/biosecurity-trade/policy/biosecurity-2030-roadmap" TargetMode="External"/><Relationship Id="rId17" Type="http://schemas.openxmlformats.org/officeDocument/2006/relationships/hyperlink" Target="https://www.dcceew.gov.au/environment/biodiversity/threatened/publications/tap/invasive-ants" TargetMode="External"/><Relationship Id="rId25" Type="http://schemas.openxmlformats.org/officeDocument/2006/relationships/hyperlink" Target="mailto:ACEBO@aff.gov.au"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agriculture.gov.au/biosecurity-trade/policy/partnerships/nbc/research-development-extension-strategy" TargetMode="External"/><Relationship Id="rId20" Type="http://schemas.openxmlformats.org/officeDocument/2006/relationships/hyperlink" Target="https://wildlifehealthaustralia.com.au/Resource-Centre/Fact-Sheets/category/animal-diseases-exotic-to-australia" TargetMode="External"/><Relationship Id="rId29" Type="http://schemas.openxmlformats.org/officeDocument/2006/relationships/hyperlink" Target="mailto:ACEBO@aff.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griculture.gov.au/biosecurity-trade/policy/environmental/priority-list" TargetMode="External"/><Relationship Id="rId24" Type="http://schemas.openxmlformats.org/officeDocument/2006/relationships/hyperlink" Target="https://www.agriculture.gov.au/about/news/three-chiefs-newsletter"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biosecurity.gov.au/about/national-biosecurity-committee/nbs" TargetMode="External"/><Relationship Id="rId23" Type="http://schemas.openxmlformats.org/officeDocument/2006/relationships/hyperlink" Target="https://www.agriculture.gov.au/biosecurity-trade/policy/environmental/projects" TargetMode="External"/><Relationship Id="rId28" Type="http://schemas.openxmlformats.org/officeDocument/2006/relationships/hyperlink" Target="https://www.agriculture.gov.au/biosecurity-trade/policy/environmental/projects" TargetMode="Externa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marinepests.gov.au/what-we-do/apmpl"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griculture.gov.au/biosecurity-trade/policy/environmental/priority-list" TargetMode="External"/><Relationship Id="rId22" Type="http://schemas.openxmlformats.org/officeDocument/2006/relationships/hyperlink" Target="https://www.legislation.gov.au/F2024L00854/latest/text" TargetMode="External"/><Relationship Id="rId27" Type="http://schemas.openxmlformats.org/officeDocument/2006/relationships/hyperlink" Target="http://www.agriculture.gov.au/biosecurity-trade/policy/environmental" TargetMode="External"/><Relationship Id="rId30" Type="http://schemas.openxmlformats.org/officeDocument/2006/relationships/hyperlink" Target="https://creativecommons.org/licenses/by/4.0/legalcode" TargetMode="External"/><Relationship Id="rId35" Type="http://schemas.openxmlformats.org/officeDocument/2006/relationships/header" Target="header3.xml"/><Relationship Id="rId8" Type="http://schemas.openxmlformats.org/officeDocument/2006/relationships/webSettings" Target="webSettings.xml"/><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deptagriculture.sharepoint.com/OfficeTemplates/Print%20and%20web%20content/Short_documen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CAA86C30745140BC6BDB96AC0533C1" ma:contentTypeVersion="12" ma:contentTypeDescription="Create a new document." ma:contentTypeScope="" ma:versionID="0f93648cec478625ede050f48e99f5ac">
  <xsd:schema xmlns:xsd="http://www.w3.org/2001/XMLSchema" xmlns:xs="http://www.w3.org/2001/XMLSchema" xmlns:p="http://schemas.microsoft.com/office/2006/metadata/properties" xmlns:ns3="3f5be5ae-f1b3-4b26-8b73-2b5b03b5d8e0" targetNamespace="http://schemas.microsoft.com/office/2006/metadata/properties" ma:root="true" ma:fieldsID="34ec41be018dd387681e9ac7e3c53653" ns3:_="">
    <xsd:import namespace="3f5be5ae-f1b3-4b26-8b73-2b5b03b5d8e0"/>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5be5ae-f1b3-4b26-8b73-2b5b03b5d8e0"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f5be5ae-f1b3-4b26-8b73-2b5b03b5d8e0" xsi:nil="true"/>
  </documentManagement>
</p:properties>
</file>

<file path=customXml/item4.xml><?xml version="1.0" encoding="utf-8"?>
<b:Sources xmlns:b="http://schemas.openxmlformats.org/officeDocument/2006/bibliography" xmlns="http://schemas.openxmlformats.org/officeDocument/2006/bibliography" SelectedStyle="\HarvardAGPS.XSL" StyleName="Harvard - AGPS*"/>
</file>

<file path=customXml/itemProps1.xml><?xml version="1.0" encoding="utf-8"?>
<ds:datastoreItem xmlns:ds="http://schemas.openxmlformats.org/officeDocument/2006/customXml" ds:itemID="{9F97ED09-DC2D-4A82-8807-8416BBC2DB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5be5ae-f1b3-4b26-8b73-2b5b03b5d8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3.xml><?xml version="1.0" encoding="utf-8"?>
<ds:datastoreItem xmlns:ds="http://schemas.openxmlformats.org/officeDocument/2006/customXml" ds:itemID="{9D1CAD33-3B39-4665-A5E6-666D035120E9}">
  <ds:schemaRefs>
    <ds:schemaRef ds:uri="http://schemas.openxmlformats.org/package/2006/metadata/core-properties"/>
    <ds:schemaRef ds:uri="http://purl.org/dc/terms/"/>
    <ds:schemaRef ds:uri="http://purl.org/dc/dcmitype/"/>
    <ds:schemaRef ds:uri="http://schemas.microsoft.com/office/2006/documentManagement/types"/>
    <ds:schemaRef ds:uri="http://www.w3.org/XML/1998/namespace"/>
    <ds:schemaRef ds:uri="http://schemas.microsoft.com/office/2006/metadata/properties"/>
    <ds:schemaRef ds:uri="http://schemas.microsoft.com/office/infopath/2007/PartnerControls"/>
    <ds:schemaRef ds:uri="3f5be5ae-f1b3-4b26-8b73-2b5b03b5d8e0"/>
    <ds:schemaRef ds:uri="http://purl.org/dc/elements/1.1/"/>
  </ds:schemaRefs>
</ds:datastoreItem>
</file>

<file path=customXml/itemProps4.xml><?xml version="1.0" encoding="utf-8"?>
<ds:datastoreItem xmlns:ds="http://schemas.openxmlformats.org/officeDocument/2006/customXml" ds:itemID="{A0867144-1A3A-469F-91B9-29B4C357A70D}">
  <ds:schemaRefs>
    <ds:schemaRef ds:uri="http://schemas.openxmlformats.org/officeDocument/2006/bibliography"/>
  </ds:schemaRefs>
</ds:datastoreItem>
</file>

<file path=docMetadata/LabelInfo.xml><?xml version="1.0" encoding="utf-8"?>
<clbl:labelList xmlns:clbl="http://schemas.microsoft.com/office/2020/mipLabelMetadata">
  <clbl:label id="{933d8be6-3c40-4052-87a2-9c2adcba8759}" enabled="1" method="Privileged" siteId="{2be67eb7-400c-4b3f-a5a1-1258c0da0696}" removed="0"/>
</clbl:labelList>
</file>

<file path=docProps/app.xml><?xml version="1.0" encoding="utf-8"?>
<Properties xmlns="http://schemas.openxmlformats.org/officeDocument/2006/extended-properties" xmlns:vt="http://schemas.openxmlformats.org/officeDocument/2006/docPropsVTypes">
  <Template>Short_document_template</Template>
  <TotalTime>10</TotalTime>
  <Pages>8</Pages>
  <Words>2385</Words>
  <Characters>13601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Environmental Biosecurity Project Fund applicant guidelines</vt:lpstr>
    </vt:vector>
  </TitlesOfParts>
  <Company/>
  <LinksUpToDate>false</LinksUpToDate>
  <CharactersWithSpaces>15955</CharactersWithSpaces>
  <SharedDoc>false</SharedDoc>
  <HLinks>
    <vt:vector size="42" baseType="variant">
      <vt:variant>
        <vt:i4>3735676</vt:i4>
      </vt:variant>
      <vt:variant>
        <vt:i4>123</vt:i4>
      </vt:variant>
      <vt:variant>
        <vt:i4>0</vt:i4>
      </vt:variant>
      <vt:variant>
        <vt:i4>5</vt:i4>
      </vt:variant>
      <vt:variant>
        <vt:lpwstr>http://www.fao.org/docrep/016/i3027e/i3027e.pdf</vt:lpwstr>
      </vt:variant>
      <vt:variant>
        <vt:lpwstr/>
      </vt:variant>
      <vt:variant>
        <vt:i4>7012470</vt:i4>
      </vt:variant>
      <vt:variant>
        <vt:i4>120</vt:i4>
      </vt:variant>
      <vt:variant>
        <vt:i4>0</vt:i4>
      </vt:variant>
      <vt:variant>
        <vt:i4>5</vt:i4>
      </vt:variant>
      <vt:variant>
        <vt:lpwstr>http://www.daff.gov.au/abares/publications</vt:lpwstr>
      </vt:variant>
      <vt:variant>
        <vt:lpwstr/>
      </vt:variant>
      <vt:variant>
        <vt:i4>3342462</vt:i4>
      </vt:variant>
      <vt:variant>
        <vt:i4>12</vt:i4>
      </vt:variant>
      <vt:variant>
        <vt:i4>0</vt:i4>
      </vt:variant>
      <vt:variant>
        <vt:i4>5</vt:i4>
      </vt:variant>
      <vt:variant>
        <vt:lpwstr>http://daff.gov.au/</vt:lpwstr>
      </vt:variant>
      <vt:variant>
        <vt:lpwstr/>
      </vt:variant>
      <vt:variant>
        <vt:i4>3014704</vt:i4>
      </vt:variant>
      <vt:variant>
        <vt:i4>9</vt:i4>
      </vt:variant>
      <vt:variant>
        <vt:i4>0</vt:i4>
      </vt:variant>
      <vt:variant>
        <vt:i4>5</vt:i4>
      </vt:variant>
      <vt:variant>
        <vt:lpwstr>http://daff.gov.au/publications</vt:lpwstr>
      </vt:variant>
      <vt:variant>
        <vt:lpwstr/>
      </vt:variant>
      <vt:variant>
        <vt:i4>524394</vt:i4>
      </vt:variant>
      <vt:variant>
        <vt:i4>6</vt:i4>
      </vt:variant>
      <vt:variant>
        <vt:i4>0</vt:i4>
      </vt:variant>
      <vt:variant>
        <vt:i4>5</vt:i4>
      </vt:variant>
      <vt:variant>
        <vt:lpwstr>mailto:copyright@daff.gov.au</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Biosecurity Project Fund applicant guidelines</dc:title>
  <dc:subject/>
  <dc:creator>Department of Agriculture, Fisheries and Forestry</dc:creator>
  <cp:keywords/>
  <dc:description/>
  <cp:lastModifiedBy>Lock, Claire</cp:lastModifiedBy>
  <cp:revision>3</cp:revision>
  <cp:lastPrinted>2026-02-25T02:44:00Z</cp:lastPrinted>
  <dcterms:created xsi:type="dcterms:W3CDTF">2026-02-25T02:37:00Z</dcterms:created>
  <dcterms:modified xsi:type="dcterms:W3CDTF">2026-02-25T02:47:00Z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0x010100B8CAA86C30745140BC6BDB96AC0533C1</vt:lpwstr>
  </property>
  <property fmtid="{D5CDD505-2E9C-101B-9397-08002B2CF9AE}" pid="3" name="_DocHome">
    <vt:i4>986778056</vt:i4>
  </property>
  <property fmtid="{D5CDD505-2E9C-101B-9397-08002B2CF9AE}" pid="4" name="ClassificationContentMarkingHeaderShapeIds">
    <vt:lpwstr>75e73740,2c8aeb6c,4d3bd1fa,55ab39f3,34f34a2f</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ClassificationContentMarkingFooterShapeIds">
    <vt:lpwstr>351e854a,51c89a,793599a5,3e83fc58,78ecbfb3</vt:lpwstr>
  </property>
  <property fmtid="{D5CDD505-2E9C-101B-9397-08002B2CF9AE}" pid="8" name="ClassificationContentMarkingFooterFontProps">
    <vt:lpwstr>#ff0000,12,Calibri</vt:lpwstr>
  </property>
  <property fmtid="{D5CDD505-2E9C-101B-9397-08002B2CF9AE}" pid="9" name="ClassificationContentMarkingFooterText">
    <vt:lpwstr>OFFICIAL</vt:lpwstr>
  </property>
  <property fmtid="{D5CDD505-2E9C-101B-9397-08002B2CF9AE}" pid="10" name="MSIP_Label_933d8be6-3c40-4052-87a2-9c2adcba8759_Enabled">
    <vt:lpwstr>true</vt:lpwstr>
  </property>
  <property fmtid="{D5CDD505-2E9C-101B-9397-08002B2CF9AE}" pid="11" name="MSIP_Label_933d8be6-3c40-4052-87a2-9c2adcba8759_SetDate">
    <vt:lpwstr>2024-07-17T04:47:03Z</vt:lpwstr>
  </property>
  <property fmtid="{D5CDD505-2E9C-101B-9397-08002B2CF9AE}" pid="12" name="MSIP_Label_933d8be6-3c40-4052-87a2-9c2adcba8759_Method">
    <vt:lpwstr>Privileged</vt:lpwstr>
  </property>
  <property fmtid="{D5CDD505-2E9C-101B-9397-08002B2CF9AE}" pid="13" name="MSIP_Label_933d8be6-3c40-4052-87a2-9c2adcba8759_Name">
    <vt:lpwstr>OFFICIAL</vt:lpwstr>
  </property>
  <property fmtid="{D5CDD505-2E9C-101B-9397-08002B2CF9AE}" pid="14" name="MSIP_Label_933d8be6-3c40-4052-87a2-9c2adcba8759_SiteId">
    <vt:lpwstr>2be67eb7-400c-4b3f-a5a1-1258c0da0696</vt:lpwstr>
  </property>
  <property fmtid="{D5CDD505-2E9C-101B-9397-08002B2CF9AE}" pid="15" name="MSIP_Label_933d8be6-3c40-4052-87a2-9c2adcba8759_ActionId">
    <vt:lpwstr>9f8d9c3c-f4a4-40a1-ad7c-6abbf8b868bb</vt:lpwstr>
  </property>
  <property fmtid="{D5CDD505-2E9C-101B-9397-08002B2CF9AE}" pid="16" name="MSIP_Label_933d8be6-3c40-4052-87a2-9c2adcba8759_ContentBits">
    <vt:lpwstr>3</vt:lpwstr>
  </property>
</Properties>
</file>