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Default Extension="emf" ContentType="image/x-emf"/>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Default Extension="gif" ContentType="image/gif"/>
  <Override PartName="/word/footer1.xml" ContentType="application/vnd.openxmlformats-officedocument.wordprocessingml.footer+xml"/>
  <Default Extension="tiff" ContentType="image/tiff"/>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C74" w:rsidRPr="00A67C76" w:rsidRDefault="00F07673" w:rsidP="00A62C74">
      <w:pPr>
        <w:pBdr>
          <w:bottom w:val="single" w:sz="8" w:space="4" w:color="4F81BD" w:themeColor="accent1"/>
        </w:pBdr>
        <w:spacing w:after="0"/>
        <w:rPr>
          <w:rFonts w:eastAsiaTheme="majorEastAsia" w:cstheme="majorBidi"/>
          <w:color w:val="1F497D" w:themeColor="text2"/>
          <w:spacing w:val="5"/>
          <w:sz w:val="48"/>
          <w:szCs w:val="52"/>
        </w:rPr>
      </w:pPr>
      <w:r>
        <w:rPr>
          <w:noProof/>
          <w:lang w:eastAsia="en-AU"/>
        </w:rPr>
        <w:drawing>
          <wp:anchor distT="0" distB="0" distL="114300" distR="114300" simplePos="0" relativeHeight="251703296" behindDoc="0" locked="0" layoutInCell="1" allowOverlap="1">
            <wp:simplePos x="0" y="0"/>
            <wp:positionH relativeFrom="column">
              <wp:posOffset>-603192</wp:posOffset>
            </wp:positionH>
            <wp:positionV relativeFrom="paragraph">
              <wp:posOffset>-672008</wp:posOffset>
            </wp:positionV>
            <wp:extent cx="2848473" cy="607162"/>
            <wp:effectExtent l="0" t="0" r="0" b="0"/>
            <wp:wrapNone/>
            <wp:docPr id="22" name="Picture 12" descr="CEWO_logo_inline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CEWO_logo_inline_LowRes.jpg"/>
                    <pic:cNvPicPr>
                      <a:picLocks noChangeAspect="1"/>
                    </pic:cNvPicPr>
                  </pic:nvPicPr>
                  <pic:blipFill>
                    <a:blip r:embed="rId7" cstate="email"/>
                    <a:stretch>
                      <a:fillRect/>
                    </a:stretch>
                  </pic:blipFill>
                  <pic:spPr>
                    <a:xfrm>
                      <a:off x="0" y="0"/>
                      <a:ext cx="2856206" cy="608810"/>
                    </a:xfrm>
                    <a:prstGeom prst="rect">
                      <a:avLst/>
                    </a:prstGeom>
                  </pic:spPr>
                </pic:pic>
              </a:graphicData>
            </a:graphic>
          </wp:anchor>
        </w:drawing>
      </w:r>
      <w:r w:rsidR="00C42F88">
        <w:rPr>
          <w:noProof/>
          <w:lang w:eastAsia="en-AU"/>
        </w:rPr>
        <w:drawing>
          <wp:anchor distT="0" distB="0" distL="114300" distR="114300" simplePos="0" relativeHeight="251717632" behindDoc="1" locked="0" layoutInCell="1" allowOverlap="1">
            <wp:simplePos x="0" y="0"/>
            <wp:positionH relativeFrom="column">
              <wp:posOffset>2334895</wp:posOffset>
            </wp:positionH>
            <wp:positionV relativeFrom="paragraph">
              <wp:posOffset>-569595</wp:posOffset>
            </wp:positionV>
            <wp:extent cx="1089660" cy="849630"/>
            <wp:effectExtent l="0" t="0" r="0" b="0"/>
            <wp:wrapTight wrapText="bothSides">
              <wp:wrapPolygon edited="0">
                <wp:start x="0" y="0"/>
                <wp:lineTo x="0" y="21309"/>
                <wp:lineTo x="21147" y="21309"/>
                <wp:lineTo x="21147"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9660" cy="849630"/>
                    </a:xfrm>
                    <a:prstGeom prst="rect">
                      <a:avLst/>
                    </a:prstGeom>
                    <a:noFill/>
                    <a:ln>
                      <a:noFill/>
                    </a:ln>
                  </pic:spPr>
                </pic:pic>
              </a:graphicData>
            </a:graphic>
          </wp:anchor>
        </w:drawing>
      </w:r>
      <w:r w:rsidR="00C42F88">
        <w:rPr>
          <w:noProof/>
          <w:lang w:eastAsia="en-AU"/>
        </w:rPr>
        <w:drawing>
          <wp:anchor distT="0" distB="0" distL="114300" distR="114300" simplePos="0" relativeHeight="251718656" behindDoc="1" locked="0" layoutInCell="1" allowOverlap="1">
            <wp:simplePos x="0" y="0"/>
            <wp:positionH relativeFrom="column">
              <wp:posOffset>3423285</wp:posOffset>
            </wp:positionH>
            <wp:positionV relativeFrom="paragraph">
              <wp:posOffset>-621030</wp:posOffset>
            </wp:positionV>
            <wp:extent cx="2733040" cy="935990"/>
            <wp:effectExtent l="0" t="0" r="0" b="0"/>
            <wp:wrapTight wrapText="bothSides">
              <wp:wrapPolygon edited="0">
                <wp:start x="0" y="0"/>
                <wp:lineTo x="0" y="21102"/>
                <wp:lineTo x="21379" y="21102"/>
                <wp:lineTo x="21379" y="0"/>
                <wp:lineTo x="0" y="0"/>
              </wp:wrapPolygon>
            </wp:wrapTight>
            <wp:docPr id="68" name="Picture 68" descr="ppt_bg_footer_SAR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pt_bg_footer_SARDI.png"/>
                    <pic:cNvPicPr>
                      <a:picLocks noChangeAspect="1" noChangeArrowheads="1"/>
                    </pic:cNvPicPr>
                  </pic:nvPicPr>
                  <pic:blipFill>
                    <a:blip r:embed="rId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040" cy="935990"/>
                    </a:xfrm>
                    <a:prstGeom prst="rect">
                      <a:avLst/>
                    </a:prstGeom>
                    <a:noFill/>
                    <a:ln>
                      <a:noFill/>
                    </a:ln>
                  </pic:spPr>
                </pic:pic>
              </a:graphicData>
            </a:graphic>
          </wp:anchor>
        </w:drawing>
      </w:r>
    </w:p>
    <w:p w:rsidR="00A62C74" w:rsidRPr="00A14E06" w:rsidRDefault="00A62C74" w:rsidP="00A14E06">
      <w:pPr>
        <w:pBdr>
          <w:bottom w:val="single" w:sz="8" w:space="4" w:color="4F81BD" w:themeColor="accent1"/>
        </w:pBdr>
        <w:spacing w:after="0"/>
        <w:contextualSpacing/>
        <w:rPr>
          <w:rFonts w:eastAsiaTheme="majorEastAsia" w:cstheme="majorBidi"/>
          <w:b/>
          <w:color w:val="1F497D" w:themeColor="text2"/>
          <w:spacing w:val="5"/>
        </w:rPr>
      </w:pPr>
      <w:bookmarkStart w:id="0" w:name="OLE_LINK3"/>
      <w:bookmarkStart w:id="1" w:name="OLE_LINK4"/>
      <w:r w:rsidRPr="00A67C76">
        <w:rPr>
          <w:rFonts w:eastAsiaTheme="majorEastAsia" w:cstheme="majorBidi"/>
          <w:color w:val="1F497D" w:themeColor="text2"/>
          <w:spacing w:val="5"/>
          <w:sz w:val="48"/>
          <w:szCs w:val="52"/>
        </w:rPr>
        <w:t>Report 2</w:t>
      </w:r>
    </w:p>
    <w:bookmarkEnd w:id="0"/>
    <w:bookmarkEnd w:id="1"/>
    <w:p w:rsidR="00A14E06" w:rsidRPr="00A14E06" w:rsidRDefault="00A14E06" w:rsidP="00A62C74">
      <w:pPr>
        <w:numPr>
          <w:ilvl w:val="1"/>
          <w:numId w:val="0"/>
        </w:numPr>
        <w:contextualSpacing/>
        <w:jc w:val="center"/>
        <w:rPr>
          <w:rFonts w:eastAsiaTheme="majorEastAsia" w:cstheme="majorBidi"/>
          <w:b/>
          <w:iCs/>
          <w:color w:val="365F91" w:themeColor="accent1" w:themeShade="BF"/>
          <w:spacing w:val="15"/>
          <w:sz w:val="6"/>
          <w:szCs w:val="6"/>
        </w:rPr>
      </w:pPr>
    </w:p>
    <w:p w:rsidR="006F69D6" w:rsidRDefault="006F69D6" w:rsidP="00A62C74">
      <w:pPr>
        <w:numPr>
          <w:ilvl w:val="1"/>
          <w:numId w:val="0"/>
        </w:numPr>
        <w:contextualSpacing/>
        <w:jc w:val="center"/>
        <w:rPr>
          <w:rFonts w:eastAsiaTheme="majorEastAsia" w:cstheme="majorBidi"/>
          <w:b/>
          <w:iCs/>
          <w:color w:val="365F91" w:themeColor="accent1" w:themeShade="BF"/>
          <w:spacing w:val="15"/>
          <w:sz w:val="32"/>
          <w:szCs w:val="32"/>
        </w:rPr>
      </w:pPr>
    </w:p>
    <w:p w:rsidR="00A62C74" w:rsidRPr="00A67C76" w:rsidRDefault="00003137" w:rsidP="00A62C74">
      <w:pPr>
        <w:numPr>
          <w:ilvl w:val="1"/>
          <w:numId w:val="0"/>
        </w:numPr>
        <w:contextualSpacing/>
        <w:jc w:val="center"/>
        <w:rPr>
          <w:rFonts w:eastAsiaTheme="majorEastAsia" w:cstheme="majorBidi"/>
          <w:b/>
          <w:iCs/>
          <w:color w:val="365F91" w:themeColor="accent1" w:themeShade="BF"/>
          <w:spacing w:val="15"/>
          <w:sz w:val="32"/>
          <w:szCs w:val="32"/>
        </w:rPr>
      </w:pPr>
      <w:bookmarkStart w:id="2" w:name="OLE_LINK6"/>
      <w:bookmarkStart w:id="3" w:name="OLE_LINK7"/>
      <w:r w:rsidRPr="00A67C76">
        <w:rPr>
          <w:rFonts w:eastAsiaTheme="majorEastAsia" w:cstheme="majorBidi"/>
          <w:b/>
          <w:iCs/>
          <w:color w:val="365F91" w:themeColor="accent1" w:themeShade="BF"/>
          <w:spacing w:val="15"/>
          <w:sz w:val="32"/>
          <w:szCs w:val="32"/>
        </w:rPr>
        <w:t>Monitoring the ecological r</w:t>
      </w:r>
      <w:r w:rsidR="00A62C74" w:rsidRPr="00A67C76">
        <w:rPr>
          <w:rFonts w:eastAsiaTheme="majorEastAsia" w:cstheme="majorBidi"/>
          <w:b/>
          <w:iCs/>
          <w:color w:val="365F91" w:themeColor="accent1" w:themeShade="BF"/>
          <w:spacing w:val="15"/>
          <w:sz w:val="32"/>
          <w:szCs w:val="32"/>
        </w:rPr>
        <w:t xml:space="preserve">esponses to Commonwealth </w:t>
      </w:r>
      <w:r w:rsidRPr="00A67C76">
        <w:rPr>
          <w:rFonts w:eastAsiaTheme="majorEastAsia" w:cstheme="majorBidi"/>
          <w:b/>
          <w:iCs/>
          <w:color w:val="365F91" w:themeColor="accent1" w:themeShade="BF"/>
          <w:spacing w:val="15"/>
          <w:sz w:val="32"/>
          <w:szCs w:val="32"/>
        </w:rPr>
        <w:t>e</w:t>
      </w:r>
      <w:r w:rsidR="00A62C74" w:rsidRPr="00A67C76">
        <w:rPr>
          <w:rFonts w:eastAsiaTheme="majorEastAsia" w:cstheme="majorBidi"/>
          <w:b/>
          <w:iCs/>
          <w:color w:val="365F91" w:themeColor="accent1" w:themeShade="BF"/>
          <w:spacing w:val="15"/>
          <w:sz w:val="32"/>
          <w:szCs w:val="32"/>
        </w:rPr>
        <w:t>nviro</w:t>
      </w:r>
      <w:r w:rsidR="00A914BA" w:rsidRPr="00A67C76">
        <w:rPr>
          <w:rFonts w:eastAsiaTheme="majorEastAsia" w:cstheme="majorBidi"/>
          <w:b/>
          <w:iCs/>
          <w:color w:val="365F91" w:themeColor="accent1" w:themeShade="BF"/>
          <w:spacing w:val="15"/>
          <w:sz w:val="32"/>
          <w:szCs w:val="32"/>
        </w:rPr>
        <w:t xml:space="preserve">nmental </w:t>
      </w:r>
      <w:r w:rsidRPr="00A67C76">
        <w:rPr>
          <w:rFonts w:eastAsiaTheme="majorEastAsia" w:cstheme="majorBidi"/>
          <w:b/>
          <w:iCs/>
          <w:color w:val="365F91" w:themeColor="accent1" w:themeShade="BF"/>
          <w:spacing w:val="15"/>
          <w:sz w:val="32"/>
          <w:szCs w:val="32"/>
        </w:rPr>
        <w:t>w</w:t>
      </w:r>
      <w:r w:rsidR="00A914BA" w:rsidRPr="00A67C76">
        <w:rPr>
          <w:rFonts w:eastAsiaTheme="majorEastAsia" w:cstheme="majorBidi"/>
          <w:b/>
          <w:iCs/>
          <w:color w:val="365F91" w:themeColor="accent1" w:themeShade="BF"/>
          <w:spacing w:val="15"/>
          <w:sz w:val="32"/>
          <w:szCs w:val="32"/>
        </w:rPr>
        <w:t>ater d</w:t>
      </w:r>
      <w:r w:rsidR="00EE6B16" w:rsidRPr="00A67C76">
        <w:rPr>
          <w:rFonts w:eastAsiaTheme="majorEastAsia" w:cstheme="majorBidi"/>
          <w:b/>
          <w:iCs/>
          <w:color w:val="365F91" w:themeColor="accent1" w:themeShade="BF"/>
          <w:spacing w:val="15"/>
          <w:sz w:val="32"/>
          <w:szCs w:val="32"/>
        </w:rPr>
        <w:t>elivered to the L</w:t>
      </w:r>
      <w:r w:rsidR="00A62C74" w:rsidRPr="00A67C76">
        <w:rPr>
          <w:rFonts w:eastAsiaTheme="majorEastAsia" w:cstheme="majorBidi"/>
          <w:b/>
          <w:iCs/>
          <w:color w:val="365F91" w:themeColor="accent1" w:themeShade="BF"/>
          <w:spacing w:val="15"/>
          <w:sz w:val="32"/>
          <w:szCs w:val="32"/>
        </w:rPr>
        <w:t>ower Murray River in 2012</w:t>
      </w:r>
      <w:r w:rsidR="00FD328A" w:rsidRPr="00FD328A">
        <w:rPr>
          <w:rFonts w:eastAsiaTheme="majorEastAsia" w:cstheme="majorBidi"/>
          <w:b/>
          <w:iCs/>
          <w:color w:val="365F91" w:themeColor="accent1" w:themeShade="BF"/>
          <w:spacing w:val="15"/>
          <w:sz w:val="32"/>
          <w:szCs w:val="32"/>
        </w:rPr>
        <w:t>-13</w:t>
      </w:r>
    </w:p>
    <w:bookmarkEnd w:id="2"/>
    <w:bookmarkEnd w:id="3"/>
    <w:p w:rsidR="00A62C74" w:rsidRPr="00A67C76" w:rsidRDefault="00A62C74" w:rsidP="00A62C74">
      <w:pPr>
        <w:contextualSpacing/>
        <w:jc w:val="center"/>
        <w:rPr>
          <w:rFonts w:cs="Arial"/>
          <w:color w:val="1F497D" w:themeColor="text2"/>
          <w:sz w:val="24"/>
        </w:rPr>
      </w:pPr>
    </w:p>
    <w:p w:rsidR="00A62C74" w:rsidRDefault="00A62C74" w:rsidP="00A62C74">
      <w:pPr>
        <w:spacing w:line="276" w:lineRule="auto"/>
        <w:contextualSpacing/>
        <w:jc w:val="center"/>
        <w:rPr>
          <w:rFonts w:cs="Arial"/>
          <w:color w:val="000000" w:themeColor="text1"/>
          <w:szCs w:val="22"/>
        </w:rPr>
      </w:pPr>
      <w:r w:rsidRPr="00A67C76">
        <w:rPr>
          <w:rFonts w:cs="Arial"/>
          <w:color w:val="000000" w:themeColor="text1"/>
          <w:szCs w:val="22"/>
        </w:rPr>
        <w:t xml:space="preserve">A report prepared by the South Australian Research and Development Institute, Aquatic Sciences, for </w:t>
      </w:r>
      <w:r w:rsidR="00627C14" w:rsidRPr="00A67C76">
        <w:rPr>
          <w:rFonts w:cs="Arial"/>
          <w:color w:val="000000" w:themeColor="text1"/>
          <w:szCs w:val="22"/>
        </w:rPr>
        <w:t xml:space="preserve">the </w:t>
      </w:r>
      <w:r w:rsidRPr="00A67C76">
        <w:rPr>
          <w:rFonts w:cs="Arial"/>
          <w:color w:val="000000" w:themeColor="text1"/>
          <w:szCs w:val="22"/>
        </w:rPr>
        <w:t>Commonwealth Environmental Water Office</w:t>
      </w:r>
    </w:p>
    <w:p w:rsidR="00C42F88" w:rsidRPr="00A67C76" w:rsidRDefault="00C42F88" w:rsidP="00A62C74">
      <w:pPr>
        <w:spacing w:line="276" w:lineRule="auto"/>
        <w:contextualSpacing/>
        <w:jc w:val="center"/>
        <w:rPr>
          <w:rFonts w:cs="Arial"/>
          <w:color w:val="000000" w:themeColor="text1"/>
          <w:szCs w:val="22"/>
        </w:rPr>
      </w:pPr>
    </w:p>
    <w:p w:rsidR="00A62C74" w:rsidRPr="00A67C76" w:rsidRDefault="00A62C74" w:rsidP="00A62C74">
      <w:pPr>
        <w:spacing w:line="276" w:lineRule="auto"/>
        <w:contextualSpacing/>
        <w:jc w:val="center"/>
        <w:rPr>
          <w:rFonts w:cs="Arial"/>
          <w:color w:val="000000" w:themeColor="text1"/>
          <w:szCs w:val="22"/>
        </w:rPr>
      </w:pPr>
    </w:p>
    <w:p w:rsidR="00A62C74" w:rsidRPr="00A67C76" w:rsidRDefault="00C42F88" w:rsidP="00A62C74">
      <w:pPr>
        <w:spacing w:line="276" w:lineRule="auto"/>
        <w:contextualSpacing/>
        <w:jc w:val="center"/>
        <w:rPr>
          <w:rFonts w:cs="Arial"/>
          <w:color w:val="000000" w:themeColor="text1"/>
          <w:szCs w:val="22"/>
        </w:rPr>
      </w:pPr>
      <w:r>
        <w:rPr>
          <w:rFonts w:cs="Arial"/>
          <w:noProof/>
          <w:color w:val="000000" w:themeColor="text1"/>
          <w:szCs w:val="22"/>
          <w:lang w:eastAsia="en-AU"/>
        </w:rPr>
        <w:drawing>
          <wp:anchor distT="0" distB="0" distL="114300" distR="114300" simplePos="0" relativeHeight="251713536" behindDoc="1" locked="0" layoutInCell="1" allowOverlap="1">
            <wp:simplePos x="0" y="0"/>
            <wp:positionH relativeFrom="column">
              <wp:posOffset>2874645</wp:posOffset>
            </wp:positionH>
            <wp:positionV relativeFrom="paragraph">
              <wp:posOffset>46990</wp:posOffset>
            </wp:positionV>
            <wp:extent cx="2377440" cy="1621790"/>
            <wp:effectExtent l="0" t="0" r="0" b="0"/>
            <wp:wrapTight wrapText="bothSides">
              <wp:wrapPolygon edited="0">
                <wp:start x="0" y="0"/>
                <wp:lineTo x="0" y="21312"/>
                <wp:lineTo x="21462" y="21312"/>
                <wp:lineTo x="2146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p pic.png"/>
                    <pic:cNvPicPr/>
                  </pic:nvPicPr>
                  <pic:blipFill>
                    <a:blip r:embed="rId1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77440" cy="1621790"/>
                    </a:xfrm>
                    <a:prstGeom prst="rect">
                      <a:avLst/>
                    </a:prstGeom>
                  </pic:spPr>
                </pic:pic>
              </a:graphicData>
            </a:graphic>
          </wp:anchor>
        </w:drawing>
      </w:r>
      <w:r>
        <w:rPr>
          <w:rFonts w:cs="Arial"/>
          <w:noProof/>
          <w:color w:val="000000" w:themeColor="text1"/>
          <w:szCs w:val="22"/>
          <w:lang w:eastAsia="en-AU"/>
        </w:rPr>
        <w:drawing>
          <wp:anchor distT="0" distB="0" distL="114300" distR="114300" simplePos="0" relativeHeight="251712512" behindDoc="1" locked="0" layoutInCell="1" allowOverlap="1">
            <wp:simplePos x="0" y="0"/>
            <wp:positionH relativeFrom="column">
              <wp:posOffset>372110</wp:posOffset>
            </wp:positionH>
            <wp:positionV relativeFrom="paragraph">
              <wp:posOffset>45085</wp:posOffset>
            </wp:positionV>
            <wp:extent cx="2501265" cy="1621790"/>
            <wp:effectExtent l="19050" t="0" r="0" b="0"/>
            <wp:wrapTight wrapText="bothSides">
              <wp:wrapPolygon edited="0">
                <wp:start x="-165" y="0"/>
                <wp:lineTo x="-165" y="21312"/>
                <wp:lineTo x="21551" y="21312"/>
                <wp:lineTo x="21551" y="0"/>
                <wp:lineTo x="-16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val pic for cover.jpg"/>
                    <pic:cNvPicPr/>
                  </pic:nvPicPr>
                  <pic:blipFill>
                    <a:blip r:embed="rId1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01265" cy="1621790"/>
                    </a:xfrm>
                    <a:prstGeom prst="rect">
                      <a:avLst/>
                    </a:prstGeom>
                  </pic:spPr>
                </pic:pic>
              </a:graphicData>
            </a:graphic>
          </wp:anchor>
        </w:drawing>
      </w:r>
    </w:p>
    <w:p w:rsidR="00A62C74" w:rsidRPr="00A67C76" w:rsidRDefault="00A62C74" w:rsidP="00A14E06">
      <w:pPr>
        <w:spacing w:line="276" w:lineRule="auto"/>
        <w:contextualSpacing/>
        <w:rPr>
          <w:rFonts w:cs="Arial"/>
          <w:color w:val="000000" w:themeColor="text1"/>
          <w:szCs w:val="22"/>
        </w:rPr>
      </w:pPr>
    </w:p>
    <w:p w:rsidR="00A62C74" w:rsidRPr="00A67C76" w:rsidRDefault="00A62C74" w:rsidP="00A62C74">
      <w:pPr>
        <w:spacing w:line="276" w:lineRule="auto"/>
        <w:contextualSpacing/>
        <w:jc w:val="center"/>
        <w:rPr>
          <w:color w:val="000000" w:themeColor="text1"/>
          <w:szCs w:val="22"/>
        </w:rPr>
      </w:pPr>
    </w:p>
    <w:p w:rsidR="00A62C74" w:rsidRPr="00A67C76" w:rsidRDefault="00A62C74" w:rsidP="00A62C74">
      <w:pPr>
        <w:spacing w:line="276" w:lineRule="auto"/>
        <w:contextualSpacing/>
        <w:jc w:val="center"/>
        <w:rPr>
          <w:color w:val="000000" w:themeColor="text1"/>
          <w:szCs w:val="22"/>
        </w:rPr>
      </w:pPr>
    </w:p>
    <w:p w:rsidR="00A62C74" w:rsidRPr="00A67C76" w:rsidRDefault="00A62C74" w:rsidP="00A62C74">
      <w:pPr>
        <w:spacing w:line="276" w:lineRule="auto"/>
        <w:contextualSpacing/>
        <w:jc w:val="center"/>
        <w:rPr>
          <w:color w:val="000000" w:themeColor="text1"/>
          <w:szCs w:val="22"/>
        </w:rPr>
      </w:pPr>
    </w:p>
    <w:p w:rsidR="00A62C74" w:rsidRPr="00A67C76" w:rsidRDefault="00A62C74" w:rsidP="00A62C74">
      <w:pPr>
        <w:spacing w:line="276" w:lineRule="auto"/>
        <w:contextualSpacing/>
        <w:jc w:val="center"/>
        <w:rPr>
          <w:color w:val="000000" w:themeColor="text1"/>
          <w:szCs w:val="22"/>
        </w:rPr>
      </w:pPr>
    </w:p>
    <w:p w:rsidR="00A62C74" w:rsidRPr="00A67C76" w:rsidRDefault="00A62C74" w:rsidP="00A62C74">
      <w:pPr>
        <w:spacing w:line="276" w:lineRule="auto"/>
        <w:contextualSpacing/>
        <w:jc w:val="center"/>
        <w:rPr>
          <w:color w:val="000000" w:themeColor="text1"/>
          <w:szCs w:val="22"/>
        </w:rPr>
      </w:pPr>
    </w:p>
    <w:p w:rsidR="00A62C74" w:rsidRPr="00A67C76" w:rsidRDefault="00A62C74" w:rsidP="00A62C74">
      <w:pPr>
        <w:spacing w:line="276" w:lineRule="auto"/>
        <w:contextualSpacing/>
        <w:jc w:val="center"/>
        <w:rPr>
          <w:color w:val="000000" w:themeColor="text1"/>
          <w:szCs w:val="22"/>
        </w:rPr>
      </w:pPr>
    </w:p>
    <w:p w:rsidR="00A62C74" w:rsidRPr="00A67C76" w:rsidRDefault="002F32CC" w:rsidP="00A62C74">
      <w:pPr>
        <w:spacing w:line="276" w:lineRule="auto"/>
        <w:contextualSpacing/>
        <w:jc w:val="center"/>
        <w:rPr>
          <w:color w:val="000000" w:themeColor="text1"/>
          <w:szCs w:val="22"/>
        </w:rPr>
      </w:pPr>
      <w:r>
        <w:rPr>
          <w:rFonts w:cs="Arial"/>
          <w:noProof/>
          <w:color w:val="000000" w:themeColor="text1"/>
          <w:szCs w:val="22"/>
          <w:lang w:eastAsia="en-AU"/>
        </w:rPr>
        <w:drawing>
          <wp:anchor distT="0" distB="0" distL="114300" distR="114300" simplePos="0" relativeHeight="251711488" behindDoc="1" locked="0" layoutInCell="1" allowOverlap="1">
            <wp:simplePos x="0" y="0"/>
            <wp:positionH relativeFrom="column">
              <wp:posOffset>374015</wp:posOffset>
            </wp:positionH>
            <wp:positionV relativeFrom="paragraph">
              <wp:posOffset>95250</wp:posOffset>
            </wp:positionV>
            <wp:extent cx="2493645" cy="1668145"/>
            <wp:effectExtent l="0" t="0" r="0" b="0"/>
            <wp:wrapTight wrapText="bothSides">
              <wp:wrapPolygon edited="0">
                <wp:start x="0" y="0"/>
                <wp:lineTo x="0" y="21460"/>
                <wp:lineTo x="21451" y="21460"/>
                <wp:lineTo x="2145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200436.JPG"/>
                    <pic:cNvPicPr/>
                  </pic:nvPicPr>
                  <pic:blipFill>
                    <a:blip r:embed="rId1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93645" cy="1668145"/>
                    </a:xfrm>
                    <a:prstGeom prst="rect">
                      <a:avLst/>
                    </a:prstGeom>
                  </pic:spPr>
                </pic:pic>
              </a:graphicData>
            </a:graphic>
          </wp:anchor>
        </w:drawing>
      </w:r>
      <w:r w:rsidR="00C42F88">
        <w:rPr>
          <w:rFonts w:cs="Arial"/>
          <w:noProof/>
          <w:color w:val="000000" w:themeColor="text1"/>
          <w:szCs w:val="22"/>
          <w:lang w:eastAsia="en-AU"/>
        </w:rPr>
        <w:drawing>
          <wp:anchor distT="0" distB="0" distL="114300" distR="114300" simplePos="0" relativeHeight="251714560" behindDoc="1" locked="0" layoutInCell="1" allowOverlap="1">
            <wp:simplePos x="0" y="0"/>
            <wp:positionH relativeFrom="column">
              <wp:posOffset>2870200</wp:posOffset>
            </wp:positionH>
            <wp:positionV relativeFrom="paragraph">
              <wp:posOffset>90805</wp:posOffset>
            </wp:positionV>
            <wp:extent cx="2381250" cy="1668780"/>
            <wp:effectExtent l="0" t="0" r="0" b="0"/>
            <wp:wrapTight wrapText="bothSides">
              <wp:wrapPolygon edited="0">
                <wp:start x="0" y="0"/>
                <wp:lineTo x="0" y="21452"/>
                <wp:lineTo x="21427" y="21452"/>
                <wp:lineTo x="2142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 pic.jpg"/>
                    <pic:cNvPicPr/>
                  </pic:nvPicPr>
                  <pic:blipFill>
                    <a:blip r:embed="rId1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1250" cy="1668780"/>
                    </a:xfrm>
                    <a:prstGeom prst="rect">
                      <a:avLst/>
                    </a:prstGeom>
                  </pic:spPr>
                </pic:pic>
              </a:graphicData>
            </a:graphic>
          </wp:anchor>
        </w:drawing>
      </w:r>
    </w:p>
    <w:p w:rsidR="007933B4" w:rsidRPr="00A67C76" w:rsidRDefault="007933B4" w:rsidP="00A62C74">
      <w:pPr>
        <w:spacing w:line="276" w:lineRule="auto"/>
        <w:contextualSpacing/>
        <w:jc w:val="center"/>
        <w:rPr>
          <w:color w:val="000000" w:themeColor="text1"/>
          <w:szCs w:val="22"/>
        </w:rPr>
      </w:pPr>
    </w:p>
    <w:p w:rsidR="007933B4" w:rsidRPr="00A67C76" w:rsidRDefault="007933B4" w:rsidP="00A62C74">
      <w:pPr>
        <w:spacing w:line="276" w:lineRule="auto"/>
        <w:contextualSpacing/>
        <w:jc w:val="center"/>
        <w:rPr>
          <w:color w:val="000000" w:themeColor="text1"/>
          <w:szCs w:val="22"/>
        </w:rPr>
      </w:pPr>
    </w:p>
    <w:p w:rsidR="007933B4" w:rsidRPr="00A67C76" w:rsidRDefault="007933B4" w:rsidP="00A62C74">
      <w:pPr>
        <w:spacing w:line="276" w:lineRule="auto"/>
        <w:contextualSpacing/>
        <w:jc w:val="center"/>
        <w:rPr>
          <w:color w:val="000000" w:themeColor="text1"/>
          <w:szCs w:val="22"/>
        </w:rPr>
      </w:pPr>
    </w:p>
    <w:p w:rsidR="007933B4" w:rsidRPr="00A67C76" w:rsidRDefault="007933B4" w:rsidP="00A62C74">
      <w:pPr>
        <w:spacing w:line="276" w:lineRule="auto"/>
        <w:contextualSpacing/>
        <w:jc w:val="center"/>
        <w:rPr>
          <w:color w:val="000000" w:themeColor="text1"/>
          <w:szCs w:val="22"/>
        </w:rPr>
      </w:pPr>
    </w:p>
    <w:p w:rsidR="00A62C74" w:rsidRPr="00A67C76" w:rsidRDefault="00A62C74" w:rsidP="00A62C74">
      <w:pPr>
        <w:spacing w:line="276" w:lineRule="auto"/>
        <w:contextualSpacing/>
        <w:jc w:val="center"/>
        <w:rPr>
          <w:color w:val="000000" w:themeColor="text1"/>
          <w:szCs w:val="22"/>
        </w:rPr>
      </w:pPr>
    </w:p>
    <w:p w:rsidR="00102564" w:rsidRPr="00A67C76" w:rsidRDefault="00102564" w:rsidP="00A62C74">
      <w:pPr>
        <w:spacing w:line="276" w:lineRule="auto"/>
        <w:contextualSpacing/>
        <w:jc w:val="center"/>
        <w:rPr>
          <w:color w:val="000000" w:themeColor="text1"/>
          <w:szCs w:val="22"/>
        </w:rPr>
      </w:pPr>
    </w:p>
    <w:p w:rsidR="00102564" w:rsidRPr="00A67C76" w:rsidRDefault="00102564" w:rsidP="00A62C74">
      <w:pPr>
        <w:spacing w:line="276" w:lineRule="auto"/>
        <w:contextualSpacing/>
        <w:jc w:val="center"/>
        <w:rPr>
          <w:color w:val="000000" w:themeColor="text1"/>
          <w:szCs w:val="22"/>
        </w:rPr>
      </w:pPr>
    </w:p>
    <w:p w:rsidR="00102564" w:rsidRPr="00A67C76" w:rsidRDefault="00102564" w:rsidP="00A62C74">
      <w:pPr>
        <w:spacing w:line="276" w:lineRule="auto"/>
        <w:contextualSpacing/>
        <w:jc w:val="center"/>
        <w:rPr>
          <w:color w:val="000000" w:themeColor="text1"/>
          <w:szCs w:val="22"/>
        </w:rPr>
      </w:pPr>
    </w:p>
    <w:p w:rsidR="00102564" w:rsidRPr="00A67C76" w:rsidRDefault="00102564" w:rsidP="00A62C74">
      <w:pPr>
        <w:spacing w:line="276" w:lineRule="auto"/>
        <w:contextualSpacing/>
        <w:jc w:val="center"/>
        <w:rPr>
          <w:color w:val="000000" w:themeColor="text1"/>
          <w:szCs w:val="22"/>
        </w:rPr>
      </w:pPr>
    </w:p>
    <w:p w:rsidR="00102564" w:rsidRPr="00A67C76" w:rsidRDefault="00102564" w:rsidP="00A62C74">
      <w:pPr>
        <w:spacing w:line="276" w:lineRule="auto"/>
        <w:contextualSpacing/>
        <w:jc w:val="center"/>
        <w:rPr>
          <w:color w:val="000000" w:themeColor="text1"/>
          <w:szCs w:val="22"/>
        </w:rPr>
      </w:pPr>
    </w:p>
    <w:p w:rsidR="00C42F88" w:rsidRDefault="00C42F88" w:rsidP="00A62C74">
      <w:pPr>
        <w:spacing w:line="276" w:lineRule="auto"/>
        <w:contextualSpacing/>
        <w:jc w:val="center"/>
        <w:rPr>
          <w:color w:val="000000" w:themeColor="text1"/>
          <w:szCs w:val="22"/>
        </w:rPr>
      </w:pPr>
    </w:p>
    <w:p w:rsidR="00A62C74" w:rsidRPr="00A67C76" w:rsidRDefault="002F32CC" w:rsidP="00A62C74">
      <w:pPr>
        <w:spacing w:line="276" w:lineRule="auto"/>
        <w:contextualSpacing/>
        <w:jc w:val="center"/>
        <w:rPr>
          <w:color w:val="000000" w:themeColor="text1"/>
          <w:szCs w:val="22"/>
        </w:rPr>
      </w:pPr>
      <w:r>
        <w:rPr>
          <w:color w:val="000000" w:themeColor="text1"/>
          <w:szCs w:val="22"/>
        </w:rPr>
        <w:t>December 2014</w:t>
      </w:r>
    </w:p>
    <w:p w:rsidR="00561B12" w:rsidRPr="00A67C76" w:rsidRDefault="00561B12" w:rsidP="0038369F">
      <w:pPr>
        <w:spacing w:after="200" w:line="276" w:lineRule="auto"/>
        <w:jc w:val="center"/>
        <w:rPr>
          <w:rFonts w:cs="Arial"/>
          <w:b/>
          <w:bCs/>
          <w:i/>
          <w:color w:val="002060"/>
          <w:spacing w:val="40"/>
          <w:sz w:val="36"/>
          <w:szCs w:val="36"/>
          <w:lang w:eastAsia="en-AU"/>
        </w:rPr>
      </w:pPr>
      <w:r w:rsidRPr="00A67C76">
        <w:rPr>
          <w:i/>
          <w:color w:val="002060"/>
          <w:sz w:val="36"/>
          <w:szCs w:val="36"/>
        </w:rPr>
        <w:br w:type="page"/>
      </w:r>
    </w:p>
    <w:p w:rsidR="00A62C74" w:rsidRPr="00A67C76" w:rsidRDefault="00A62C74" w:rsidP="00F07673">
      <w:pPr>
        <w:spacing w:line="240" w:lineRule="auto"/>
        <w:jc w:val="both"/>
        <w:rPr>
          <w:rFonts w:cs="Arial"/>
          <w:b/>
          <w:bCs/>
          <w:color w:val="355F91"/>
          <w:szCs w:val="22"/>
        </w:rPr>
      </w:pPr>
      <w:bookmarkStart w:id="4" w:name="_____replySeparator"/>
      <w:bookmarkEnd w:id="4"/>
      <w:r w:rsidRPr="00A67C76">
        <w:rPr>
          <w:rFonts w:cs="Arial"/>
          <w:b/>
          <w:bCs/>
          <w:color w:val="355F91"/>
          <w:szCs w:val="22"/>
        </w:rPr>
        <w:lastRenderedPageBreak/>
        <w:t>Ye, Q.</w:t>
      </w:r>
      <w:r w:rsidRPr="00A67C76">
        <w:rPr>
          <w:rFonts w:cs="Arial"/>
          <w:b/>
          <w:bCs/>
          <w:color w:val="355F91"/>
          <w:szCs w:val="22"/>
          <w:vertAlign w:val="superscript"/>
        </w:rPr>
        <w:t>1</w:t>
      </w:r>
      <w:r w:rsidRPr="00A67C76">
        <w:rPr>
          <w:rFonts w:cs="Arial"/>
          <w:b/>
          <w:bCs/>
          <w:color w:val="355F91"/>
          <w:szCs w:val="22"/>
        </w:rPr>
        <w:t>, Livore, J.</w:t>
      </w:r>
      <w:r w:rsidRPr="00A67C76">
        <w:rPr>
          <w:rFonts w:cs="Arial"/>
          <w:b/>
          <w:bCs/>
          <w:color w:val="355F91"/>
          <w:szCs w:val="22"/>
          <w:vertAlign w:val="superscript"/>
        </w:rPr>
        <w:t>1</w:t>
      </w:r>
      <w:r w:rsidRPr="00A67C76">
        <w:rPr>
          <w:rFonts w:cs="Arial"/>
          <w:b/>
          <w:bCs/>
          <w:color w:val="355F91"/>
          <w:szCs w:val="22"/>
        </w:rPr>
        <w:t>, Aldridge, K.</w:t>
      </w:r>
      <w:r w:rsidRPr="00A67C76">
        <w:rPr>
          <w:rFonts w:cs="Arial"/>
          <w:b/>
          <w:bCs/>
          <w:color w:val="355F91"/>
          <w:szCs w:val="22"/>
          <w:vertAlign w:val="superscript"/>
        </w:rPr>
        <w:t>2</w:t>
      </w:r>
      <w:r w:rsidRPr="00A67C76">
        <w:rPr>
          <w:rFonts w:cs="Arial"/>
          <w:b/>
          <w:bCs/>
          <w:color w:val="355F91"/>
          <w:szCs w:val="22"/>
        </w:rPr>
        <w:t>, Bradford, T.</w:t>
      </w:r>
      <w:r w:rsidRPr="00A67C76">
        <w:rPr>
          <w:rFonts w:cs="Arial"/>
          <w:b/>
          <w:bCs/>
          <w:color w:val="355F91"/>
          <w:szCs w:val="22"/>
          <w:vertAlign w:val="superscript"/>
        </w:rPr>
        <w:t xml:space="preserve"> 3</w:t>
      </w:r>
      <w:r w:rsidRPr="00A67C76">
        <w:rPr>
          <w:rFonts w:cs="Arial"/>
          <w:b/>
          <w:bCs/>
          <w:color w:val="355F91"/>
          <w:szCs w:val="22"/>
        </w:rPr>
        <w:t>, Busch, B.</w:t>
      </w:r>
      <w:r w:rsidRPr="00A67C76">
        <w:rPr>
          <w:rFonts w:cs="Arial"/>
          <w:b/>
          <w:bCs/>
          <w:color w:val="355F91"/>
          <w:szCs w:val="22"/>
          <w:vertAlign w:val="superscript"/>
        </w:rPr>
        <w:t>2</w:t>
      </w:r>
      <w:r w:rsidRPr="00A67C76">
        <w:rPr>
          <w:rFonts w:cs="Arial"/>
          <w:b/>
          <w:bCs/>
          <w:color w:val="355F91"/>
          <w:szCs w:val="22"/>
        </w:rPr>
        <w:t>, Earl, J</w:t>
      </w:r>
      <w:r w:rsidRPr="00A67C76">
        <w:rPr>
          <w:rFonts w:cs="Arial"/>
          <w:b/>
          <w:bCs/>
          <w:color w:val="355F91"/>
          <w:szCs w:val="22"/>
          <w:vertAlign w:val="superscript"/>
        </w:rPr>
        <w:t>1</w:t>
      </w:r>
      <w:r w:rsidRPr="00A67C76">
        <w:rPr>
          <w:rFonts w:cs="Arial"/>
          <w:b/>
          <w:bCs/>
          <w:color w:val="355F91"/>
          <w:szCs w:val="22"/>
        </w:rPr>
        <w:t>., Hipsey, M.</w:t>
      </w:r>
      <w:r w:rsidRPr="00A67C76">
        <w:rPr>
          <w:rFonts w:cs="Arial"/>
          <w:b/>
          <w:bCs/>
          <w:color w:val="355F91"/>
          <w:szCs w:val="22"/>
          <w:vertAlign w:val="superscript"/>
        </w:rPr>
        <w:t>4</w:t>
      </w:r>
      <w:r w:rsidR="007842A8" w:rsidRPr="00A67C76">
        <w:rPr>
          <w:rFonts w:cs="Arial"/>
          <w:b/>
          <w:bCs/>
          <w:color w:val="355F91"/>
          <w:szCs w:val="22"/>
        </w:rPr>
        <w:t>, Hoffmann, E.</w:t>
      </w:r>
      <w:r w:rsidR="007842A8" w:rsidRPr="00A67C76">
        <w:rPr>
          <w:rFonts w:cs="Arial"/>
          <w:b/>
          <w:bCs/>
          <w:color w:val="355F91"/>
          <w:szCs w:val="22"/>
          <w:vertAlign w:val="superscript"/>
        </w:rPr>
        <w:t>6</w:t>
      </w:r>
      <w:r w:rsidR="007842A8" w:rsidRPr="00A67C76">
        <w:rPr>
          <w:rFonts w:cs="Arial"/>
          <w:b/>
          <w:bCs/>
          <w:color w:val="355F91"/>
          <w:szCs w:val="22"/>
        </w:rPr>
        <w:t xml:space="preserve">, </w:t>
      </w:r>
      <w:r w:rsidR="00726321" w:rsidRPr="00A67C76">
        <w:rPr>
          <w:rFonts w:cs="Arial"/>
          <w:b/>
          <w:bCs/>
          <w:color w:val="355F91"/>
          <w:szCs w:val="22"/>
        </w:rPr>
        <w:t>Joehnk, K.</w:t>
      </w:r>
      <w:r w:rsidR="00726321" w:rsidRPr="00A67C76">
        <w:rPr>
          <w:rFonts w:cs="Arial"/>
          <w:b/>
          <w:bCs/>
          <w:color w:val="355F91"/>
          <w:szCs w:val="22"/>
          <w:vertAlign w:val="superscript"/>
        </w:rPr>
        <w:t>3</w:t>
      </w:r>
      <w:r w:rsidR="00726321" w:rsidRPr="00A67C76">
        <w:rPr>
          <w:rFonts w:cs="Arial"/>
          <w:b/>
          <w:bCs/>
          <w:color w:val="355F91"/>
          <w:szCs w:val="22"/>
        </w:rPr>
        <w:t xml:space="preserve">, </w:t>
      </w:r>
      <w:r w:rsidRPr="00A67C76">
        <w:rPr>
          <w:rFonts w:cs="Arial"/>
          <w:b/>
          <w:bCs/>
          <w:color w:val="355F91"/>
          <w:szCs w:val="22"/>
        </w:rPr>
        <w:t>Lorenz, Z.</w:t>
      </w:r>
      <w:r w:rsidRPr="00A67C76">
        <w:rPr>
          <w:rFonts w:cs="Arial"/>
          <w:b/>
          <w:bCs/>
          <w:color w:val="355F91"/>
          <w:szCs w:val="22"/>
          <w:vertAlign w:val="superscript"/>
        </w:rPr>
        <w:t>3</w:t>
      </w:r>
      <w:r w:rsidRPr="00A67C76">
        <w:rPr>
          <w:rFonts w:cs="Arial"/>
          <w:b/>
          <w:bCs/>
          <w:color w:val="355F91"/>
          <w:szCs w:val="22"/>
        </w:rPr>
        <w:t xml:space="preserve">, </w:t>
      </w:r>
      <w:r w:rsidR="00726321" w:rsidRPr="00A67C76">
        <w:rPr>
          <w:rFonts w:cs="Arial"/>
          <w:b/>
          <w:bCs/>
          <w:color w:val="355F91"/>
          <w:szCs w:val="22"/>
        </w:rPr>
        <w:t>Nicol, J.</w:t>
      </w:r>
      <w:r w:rsidR="00726321" w:rsidRPr="00A67C76">
        <w:rPr>
          <w:rFonts w:cs="Arial"/>
          <w:b/>
          <w:bCs/>
          <w:color w:val="355F91"/>
          <w:szCs w:val="22"/>
          <w:vertAlign w:val="superscript"/>
        </w:rPr>
        <w:t>1</w:t>
      </w:r>
      <w:r w:rsidR="00726321" w:rsidRPr="00A67C76">
        <w:rPr>
          <w:rFonts w:cs="Arial"/>
          <w:b/>
          <w:bCs/>
          <w:color w:val="355F91"/>
          <w:szCs w:val="22"/>
        </w:rPr>
        <w:t xml:space="preserve">, </w:t>
      </w:r>
      <w:r w:rsidRPr="00A67C76">
        <w:rPr>
          <w:rFonts w:cs="Arial"/>
          <w:b/>
          <w:bCs/>
          <w:color w:val="355F91"/>
          <w:szCs w:val="22"/>
        </w:rPr>
        <w:t>Oliver, R.</w:t>
      </w:r>
      <w:r w:rsidRPr="00A67C76">
        <w:rPr>
          <w:rFonts w:cs="Arial"/>
          <w:b/>
          <w:bCs/>
          <w:color w:val="355F91"/>
          <w:szCs w:val="22"/>
          <w:vertAlign w:val="superscript"/>
        </w:rPr>
        <w:t>3</w:t>
      </w:r>
      <w:r w:rsidRPr="00A67C76">
        <w:rPr>
          <w:rFonts w:cs="Arial"/>
          <w:b/>
          <w:bCs/>
          <w:color w:val="355F91"/>
          <w:szCs w:val="22"/>
        </w:rPr>
        <w:t>, Shiel, R.</w:t>
      </w:r>
      <w:r w:rsidRPr="00A67C76">
        <w:rPr>
          <w:rFonts w:cs="Arial"/>
          <w:b/>
          <w:bCs/>
          <w:color w:val="355F91"/>
          <w:szCs w:val="22"/>
          <w:vertAlign w:val="superscript"/>
        </w:rPr>
        <w:t>5</w:t>
      </w:r>
      <w:r w:rsidRPr="00A67C76">
        <w:rPr>
          <w:rFonts w:cs="Arial"/>
          <w:b/>
          <w:bCs/>
          <w:color w:val="355F91"/>
          <w:szCs w:val="22"/>
        </w:rPr>
        <w:t>, Suitor, L.</w:t>
      </w:r>
      <w:r w:rsidRPr="00A67C76">
        <w:rPr>
          <w:rFonts w:cs="Arial"/>
          <w:b/>
          <w:bCs/>
          <w:color w:val="355F91"/>
          <w:szCs w:val="22"/>
          <w:vertAlign w:val="superscript"/>
        </w:rPr>
        <w:t>6</w:t>
      </w:r>
      <w:r w:rsidRPr="00A67C76">
        <w:rPr>
          <w:rFonts w:cs="Arial"/>
          <w:b/>
          <w:bCs/>
          <w:color w:val="355F91"/>
          <w:szCs w:val="22"/>
        </w:rPr>
        <w:t>, Tan, L.</w:t>
      </w:r>
      <w:r w:rsidRPr="00A67C76">
        <w:rPr>
          <w:rFonts w:cs="Arial"/>
          <w:b/>
          <w:bCs/>
          <w:color w:val="355F91"/>
          <w:szCs w:val="22"/>
          <w:vertAlign w:val="superscript"/>
        </w:rPr>
        <w:t>5</w:t>
      </w:r>
      <w:r w:rsidRPr="00A67C76">
        <w:rPr>
          <w:rFonts w:cs="Arial"/>
          <w:b/>
          <w:bCs/>
          <w:color w:val="355F91"/>
          <w:szCs w:val="22"/>
        </w:rPr>
        <w:t>, Turner, R.</w:t>
      </w:r>
      <w:r w:rsidRPr="00A67C76">
        <w:rPr>
          <w:rFonts w:cs="Arial"/>
          <w:b/>
          <w:bCs/>
          <w:color w:val="355F91"/>
          <w:szCs w:val="22"/>
          <w:vertAlign w:val="superscript"/>
        </w:rPr>
        <w:t>6</w:t>
      </w:r>
      <w:r w:rsidRPr="00A67C76">
        <w:rPr>
          <w:rFonts w:cs="Arial"/>
          <w:b/>
          <w:bCs/>
          <w:color w:val="355F91"/>
          <w:szCs w:val="22"/>
        </w:rPr>
        <w:t>, and Wegener, I.</w:t>
      </w:r>
      <w:r w:rsidRPr="00A67C76">
        <w:rPr>
          <w:rFonts w:cs="Arial"/>
          <w:b/>
          <w:bCs/>
          <w:color w:val="355F91"/>
          <w:szCs w:val="22"/>
          <w:vertAlign w:val="superscript"/>
        </w:rPr>
        <w:t>6</w:t>
      </w:r>
      <w:r w:rsidR="00726321" w:rsidRPr="00A67C76">
        <w:rPr>
          <w:rFonts w:cs="Arial"/>
          <w:b/>
          <w:bCs/>
          <w:color w:val="355F91"/>
          <w:szCs w:val="22"/>
        </w:rPr>
        <w:t xml:space="preserve"> (201</w:t>
      </w:r>
      <w:r w:rsidR="002F32CC">
        <w:rPr>
          <w:rFonts w:cs="Arial"/>
          <w:b/>
          <w:bCs/>
          <w:color w:val="355F91"/>
          <w:szCs w:val="22"/>
        </w:rPr>
        <w:t>4</w:t>
      </w:r>
      <w:r w:rsidRPr="00A67C76">
        <w:rPr>
          <w:rFonts w:cs="Arial"/>
          <w:b/>
          <w:bCs/>
          <w:color w:val="355F91"/>
          <w:szCs w:val="22"/>
        </w:rPr>
        <w:t xml:space="preserve">). Monitoring the ecological responses to Commonwealth environmental water delivered to the </w:t>
      </w:r>
      <w:r w:rsidR="00EE6B16" w:rsidRPr="00A67C76">
        <w:rPr>
          <w:rFonts w:cs="Arial"/>
          <w:b/>
          <w:bCs/>
          <w:color w:val="355F91"/>
          <w:szCs w:val="22"/>
        </w:rPr>
        <w:t>Lower Murray</w:t>
      </w:r>
      <w:r w:rsidRPr="00A67C76">
        <w:rPr>
          <w:rFonts w:cs="Arial"/>
          <w:b/>
          <w:bCs/>
          <w:color w:val="355F91"/>
          <w:szCs w:val="22"/>
        </w:rPr>
        <w:t xml:space="preserve"> River in </w:t>
      </w:r>
      <w:r w:rsidR="00333041" w:rsidRPr="00A67C76">
        <w:rPr>
          <w:rFonts w:cs="Arial"/>
          <w:b/>
          <w:bCs/>
          <w:color w:val="355F91"/>
          <w:szCs w:val="22"/>
        </w:rPr>
        <w:t>2012</w:t>
      </w:r>
      <w:r w:rsidR="00FD328A" w:rsidRPr="00FD328A">
        <w:rPr>
          <w:rFonts w:cs="Arial"/>
          <w:b/>
          <w:bCs/>
          <w:color w:val="355F91"/>
          <w:szCs w:val="22"/>
        </w:rPr>
        <w:t>-13</w:t>
      </w:r>
      <w:r w:rsidRPr="00A67C76">
        <w:rPr>
          <w:rFonts w:cs="Arial"/>
          <w:b/>
          <w:bCs/>
          <w:color w:val="355F91"/>
          <w:szCs w:val="22"/>
        </w:rPr>
        <w:t xml:space="preserve">. Report 2, prepared for Commonwealth Environmental Water Office. </w:t>
      </w:r>
      <w:proofErr w:type="gramStart"/>
      <w:r w:rsidRPr="00A67C76">
        <w:rPr>
          <w:rFonts w:cs="Arial"/>
          <w:b/>
          <w:bCs/>
          <w:color w:val="355F91"/>
          <w:szCs w:val="22"/>
        </w:rPr>
        <w:t>South Australian Research and Development Institute, Aquatic Sciences.</w:t>
      </w:r>
      <w:proofErr w:type="gramEnd"/>
      <w:r w:rsidRPr="00A67C76">
        <w:rPr>
          <w:rFonts w:cs="Arial"/>
          <w:b/>
          <w:bCs/>
          <w:color w:val="355F91"/>
          <w:szCs w:val="22"/>
        </w:rPr>
        <w:t xml:space="preserve"> </w:t>
      </w:r>
    </w:p>
    <w:p w:rsidR="00A62C74" w:rsidRPr="00A67C76" w:rsidRDefault="00A62C74" w:rsidP="00554B7A">
      <w:pPr>
        <w:spacing w:before="120" w:after="0" w:line="240" w:lineRule="auto"/>
        <w:contextualSpacing/>
        <w:rPr>
          <w:rFonts w:cs="Arial"/>
          <w:bCs/>
          <w:sz w:val="20"/>
        </w:rPr>
      </w:pPr>
      <w:r w:rsidRPr="00A67C76">
        <w:rPr>
          <w:rFonts w:cs="Arial"/>
          <w:bCs/>
          <w:sz w:val="20"/>
          <w:vertAlign w:val="superscript"/>
        </w:rPr>
        <w:t>1</w:t>
      </w:r>
      <w:r w:rsidRPr="00A67C76">
        <w:rPr>
          <w:rFonts w:cs="Arial"/>
          <w:bCs/>
          <w:sz w:val="20"/>
        </w:rPr>
        <w:t xml:space="preserve"> SARDI Aquatics Sciences</w:t>
      </w:r>
    </w:p>
    <w:p w:rsidR="00A62C74" w:rsidRPr="00A67C76" w:rsidRDefault="00A62C74" w:rsidP="00554B7A">
      <w:pPr>
        <w:spacing w:before="120" w:after="0" w:line="240" w:lineRule="auto"/>
        <w:contextualSpacing/>
        <w:rPr>
          <w:rFonts w:cs="Arial"/>
          <w:bCs/>
          <w:sz w:val="20"/>
        </w:rPr>
      </w:pPr>
      <w:r w:rsidRPr="00A67C76">
        <w:rPr>
          <w:rFonts w:cs="Arial"/>
          <w:bCs/>
          <w:sz w:val="20"/>
          <w:vertAlign w:val="superscript"/>
        </w:rPr>
        <w:t>2</w:t>
      </w:r>
      <w:r w:rsidRPr="00A67C76">
        <w:rPr>
          <w:rFonts w:cs="Arial"/>
          <w:bCs/>
          <w:sz w:val="20"/>
        </w:rPr>
        <w:t xml:space="preserve"> The University of Adelaide</w:t>
      </w:r>
    </w:p>
    <w:p w:rsidR="00A62C74" w:rsidRPr="00A67C76" w:rsidRDefault="00A62C74" w:rsidP="00554B7A">
      <w:pPr>
        <w:spacing w:before="120" w:after="0" w:line="240" w:lineRule="auto"/>
        <w:contextualSpacing/>
        <w:rPr>
          <w:rFonts w:cs="Arial"/>
          <w:bCs/>
          <w:sz w:val="20"/>
        </w:rPr>
      </w:pPr>
      <w:r w:rsidRPr="00A67C76">
        <w:rPr>
          <w:rFonts w:cs="Arial"/>
          <w:bCs/>
          <w:sz w:val="20"/>
          <w:vertAlign w:val="superscript"/>
        </w:rPr>
        <w:t>3</w:t>
      </w:r>
      <w:r w:rsidRPr="00A67C76">
        <w:rPr>
          <w:rFonts w:cs="Arial"/>
          <w:bCs/>
          <w:sz w:val="20"/>
        </w:rPr>
        <w:t xml:space="preserve"> CSIRO</w:t>
      </w:r>
    </w:p>
    <w:p w:rsidR="00A62C74" w:rsidRPr="00A67C76" w:rsidRDefault="00A62C74" w:rsidP="00554B7A">
      <w:pPr>
        <w:spacing w:before="120" w:after="0" w:line="240" w:lineRule="auto"/>
        <w:contextualSpacing/>
        <w:rPr>
          <w:rFonts w:cs="Arial"/>
          <w:bCs/>
          <w:sz w:val="20"/>
        </w:rPr>
      </w:pPr>
      <w:r w:rsidRPr="00A67C76">
        <w:rPr>
          <w:rFonts w:cs="Arial"/>
          <w:bCs/>
          <w:sz w:val="20"/>
          <w:vertAlign w:val="superscript"/>
        </w:rPr>
        <w:t xml:space="preserve">4 </w:t>
      </w:r>
      <w:r w:rsidRPr="00A67C76">
        <w:rPr>
          <w:rFonts w:cs="Arial"/>
          <w:bCs/>
          <w:sz w:val="20"/>
        </w:rPr>
        <w:t>The University of Western Australia</w:t>
      </w:r>
    </w:p>
    <w:p w:rsidR="00A62C74" w:rsidRPr="00A67C76" w:rsidRDefault="00A62C74" w:rsidP="00554B7A">
      <w:pPr>
        <w:spacing w:before="120" w:after="0" w:line="240" w:lineRule="auto"/>
        <w:contextualSpacing/>
        <w:rPr>
          <w:rFonts w:cs="Arial"/>
          <w:bCs/>
          <w:sz w:val="20"/>
        </w:rPr>
      </w:pPr>
      <w:r w:rsidRPr="00A67C76">
        <w:rPr>
          <w:rFonts w:cs="Arial"/>
          <w:bCs/>
          <w:sz w:val="20"/>
          <w:vertAlign w:val="superscript"/>
        </w:rPr>
        <w:t xml:space="preserve">5 </w:t>
      </w:r>
      <w:r w:rsidRPr="00A67C76">
        <w:rPr>
          <w:rFonts w:cs="Arial"/>
          <w:bCs/>
          <w:sz w:val="20"/>
        </w:rPr>
        <w:t>Wetland Research and Management</w:t>
      </w:r>
    </w:p>
    <w:p w:rsidR="00A62C74" w:rsidRPr="00A67C76" w:rsidRDefault="00A62C74" w:rsidP="00554B7A">
      <w:pPr>
        <w:spacing w:before="120" w:after="0" w:line="240" w:lineRule="auto"/>
        <w:contextualSpacing/>
        <w:rPr>
          <w:rFonts w:cs="Arial"/>
          <w:bCs/>
          <w:sz w:val="20"/>
        </w:rPr>
      </w:pPr>
      <w:r w:rsidRPr="00A67C76">
        <w:rPr>
          <w:rFonts w:cs="Arial"/>
          <w:bCs/>
          <w:sz w:val="20"/>
          <w:vertAlign w:val="superscript"/>
        </w:rPr>
        <w:t>6</w:t>
      </w:r>
      <w:r w:rsidRPr="00A67C76">
        <w:rPr>
          <w:rFonts w:cs="Arial"/>
          <w:bCs/>
          <w:sz w:val="20"/>
        </w:rPr>
        <w:t xml:space="preserve"> The Department of Environment, Water and Natural Resources</w:t>
      </w:r>
    </w:p>
    <w:p w:rsidR="003E625D" w:rsidRDefault="00F07673" w:rsidP="00A16134">
      <w:pPr>
        <w:spacing w:line="240" w:lineRule="auto"/>
        <w:rPr>
          <w:rFonts w:cs="Arial"/>
          <w:bCs/>
          <w:sz w:val="20"/>
        </w:rPr>
      </w:pPr>
      <w:r>
        <w:rPr>
          <w:noProof/>
          <w:lang w:eastAsia="en-AU"/>
        </w:rPr>
        <w:drawing>
          <wp:anchor distT="0" distB="0" distL="114300" distR="114300" simplePos="0" relativeHeight="251707392" behindDoc="0" locked="0" layoutInCell="1" allowOverlap="1">
            <wp:simplePos x="0" y="0"/>
            <wp:positionH relativeFrom="column">
              <wp:posOffset>2658745</wp:posOffset>
            </wp:positionH>
            <wp:positionV relativeFrom="paragraph">
              <wp:posOffset>164465</wp:posOffset>
            </wp:positionV>
            <wp:extent cx="1084580" cy="360680"/>
            <wp:effectExtent l="0" t="0" r="0" b="0"/>
            <wp:wrapNone/>
            <wp:docPr id="1026" name="Picture 3" descr="Description: Description: W:\WRM LOGO\WRM_ARTWORK\WR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3" descr="Description: Description: W:\WRM LOGO\WRM_ARTWORK\WRM_LOGO.jpg"/>
                    <pic:cNvPicPr>
                      <a:picLocks noChangeAspect="1" noChangeArrowheads="1"/>
                    </pic:cNvPicPr>
                  </pic:nvPicPr>
                  <pic:blipFill>
                    <a:blip r:embed="rId1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4580" cy="360680"/>
                    </a:xfrm>
                    <a:prstGeom prst="rect">
                      <a:avLst/>
                    </a:prstGeom>
                    <a:noFill/>
                    <a:ln>
                      <a:noFill/>
                    </a:ln>
                    <a:extLst/>
                  </pic:spPr>
                </pic:pic>
              </a:graphicData>
            </a:graphic>
          </wp:anchor>
        </w:drawing>
      </w:r>
      <w:r>
        <w:rPr>
          <w:noProof/>
          <w:lang w:eastAsia="en-AU"/>
        </w:rPr>
        <w:drawing>
          <wp:anchor distT="0" distB="0" distL="114300" distR="114300" simplePos="0" relativeHeight="251708416" behindDoc="0" locked="0" layoutInCell="1" allowOverlap="1">
            <wp:simplePos x="0" y="0"/>
            <wp:positionH relativeFrom="column">
              <wp:posOffset>170180</wp:posOffset>
            </wp:positionH>
            <wp:positionV relativeFrom="paragraph">
              <wp:posOffset>67310</wp:posOffset>
            </wp:positionV>
            <wp:extent cx="802640" cy="802640"/>
            <wp:effectExtent l="0" t="0" r="0" b="0"/>
            <wp:wrapNone/>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02640" cy="802640"/>
                    </a:xfrm>
                    <a:prstGeom prst="rect">
                      <a:avLst/>
                    </a:prstGeom>
                  </pic:spPr>
                </pic:pic>
              </a:graphicData>
            </a:graphic>
          </wp:anchor>
        </w:drawing>
      </w:r>
      <w:r>
        <w:rPr>
          <w:noProof/>
          <w:lang w:eastAsia="en-AU"/>
        </w:rPr>
        <w:drawing>
          <wp:anchor distT="0" distB="0" distL="114300" distR="114300" simplePos="0" relativeHeight="251706368" behindDoc="0" locked="0" layoutInCell="1" allowOverlap="1">
            <wp:simplePos x="0" y="0"/>
            <wp:positionH relativeFrom="column">
              <wp:posOffset>1278890</wp:posOffset>
            </wp:positionH>
            <wp:positionV relativeFrom="paragraph">
              <wp:posOffset>161290</wp:posOffset>
            </wp:positionV>
            <wp:extent cx="670560" cy="712470"/>
            <wp:effectExtent l="0" t="0" r="0" b="0"/>
            <wp:wrapNone/>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0560" cy="712470"/>
                    </a:xfrm>
                    <a:prstGeom prst="rect">
                      <a:avLst/>
                    </a:prstGeom>
                  </pic:spPr>
                </pic:pic>
              </a:graphicData>
            </a:graphic>
          </wp:anchor>
        </w:drawing>
      </w:r>
      <w:r>
        <w:rPr>
          <w:noProof/>
          <w:lang w:eastAsia="en-AU"/>
        </w:rPr>
        <w:drawing>
          <wp:anchor distT="0" distB="0" distL="114300" distR="114300" simplePos="0" relativeHeight="251720704" behindDoc="1" locked="0" layoutInCell="1" allowOverlap="1">
            <wp:simplePos x="0" y="0"/>
            <wp:positionH relativeFrom="column">
              <wp:posOffset>189865</wp:posOffset>
            </wp:positionH>
            <wp:positionV relativeFrom="paragraph">
              <wp:posOffset>165735</wp:posOffset>
            </wp:positionV>
            <wp:extent cx="716915" cy="559435"/>
            <wp:effectExtent l="0" t="0" r="0" b="0"/>
            <wp:wrapTight wrapText="bothSides">
              <wp:wrapPolygon edited="0">
                <wp:start x="0" y="0"/>
                <wp:lineTo x="0" y="20595"/>
                <wp:lineTo x="21236" y="20595"/>
                <wp:lineTo x="21236"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6915" cy="559435"/>
                    </a:xfrm>
                    <a:prstGeom prst="rect">
                      <a:avLst/>
                    </a:prstGeom>
                    <a:noFill/>
                    <a:ln>
                      <a:noFill/>
                    </a:ln>
                  </pic:spPr>
                </pic:pic>
              </a:graphicData>
            </a:graphic>
          </wp:anchor>
        </w:drawing>
      </w:r>
      <w:r>
        <w:rPr>
          <w:noProof/>
          <w:lang w:eastAsia="en-AU"/>
        </w:rPr>
        <w:drawing>
          <wp:anchor distT="0" distB="0" distL="114300" distR="114300" simplePos="0" relativeHeight="251723776" behindDoc="1" locked="0" layoutInCell="1" allowOverlap="1">
            <wp:simplePos x="0" y="0"/>
            <wp:positionH relativeFrom="column">
              <wp:posOffset>1036955</wp:posOffset>
            </wp:positionH>
            <wp:positionV relativeFrom="paragraph">
              <wp:posOffset>69850</wp:posOffset>
            </wp:positionV>
            <wp:extent cx="593090" cy="749300"/>
            <wp:effectExtent l="0" t="0" r="0" b="0"/>
            <wp:wrapTight wrapText="bothSides">
              <wp:wrapPolygon edited="0">
                <wp:start x="0" y="0"/>
                <wp:lineTo x="0" y="20868"/>
                <wp:lineTo x="20814" y="20868"/>
                <wp:lineTo x="20814"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090" cy="749300"/>
                    </a:xfrm>
                    <a:prstGeom prst="rect">
                      <a:avLst/>
                    </a:prstGeom>
                  </pic:spPr>
                </pic:pic>
              </a:graphicData>
            </a:graphic>
          </wp:anchor>
        </w:drawing>
      </w:r>
    </w:p>
    <w:p w:rsidR="003E625D" w:rsidRDefault="003E625D" w:rsidP="00A16134">
      <w:pPr>
        <w:spacing w:line="240" w:lineRule="auto"/>
        <w:rPr>
          <w:rFonts w:cs="Arial"/>
          <w:bCs/>
          <w:sz w:val="20"/>
        </w:rPr>
      </w:pPr>
    </w:p>
    <w:p w:rsidR="003E625D" w:rsidRDefault="00F07673" w:rsidP="00A16134">
      <w:pPr>
        <w:spacing w:line="240" w:lineRule="auto"/>
        <w:rPr>
          <w:rFonts w:cs="Arial"/>
          <w:bCs/>
          <w:sz w:val="20"/>
        </w:rPr>
      </w:pPr>
      <w:r>
        <w:rPr>
          <w:noProof/>
          <w:lang w:eastAsia="en-AU"/>
        </w:rPr>
        <w:drawing>
          <wp:anchor distT="0" distB="0" distL="114300" distR="114300" simplePos="0" relativeHeight="251710464" behindDoc="0" locked="0" layoutInCell="1" allowOverlap="1">
            <wp:simplePos x="0" y="0"/>
            <wp:positionH relativeFrom="column">
              <wp:posOffset>2256790</wp:posOffset>
            </wp:positionH>
            <wp:positionV relativeFrom="paragraph">
              <wp:posOffset>271145</wp:posOffset>
            </wp:positionV>
            <wp:extent cx="1881505" cy="410210"/>
            <wp:effectExtent l="0" t="0" r="0" b="0"/>
            <wp:wrapNone/>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noChangeArrowheads="1"/>
                    </pic:cNvPicPr>
                  </pic:nvPicPr>
                  <pic:blipFill>
                    <a:blip r:embed="rId1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1505" cy="410210"/>
                    </a:xfrm>
                    <a:prstGeom prst="rect">
                      <a:avLst/>
                    </a:prstGeom>
                    <a:noFill/>
                    <a:ln>
                      <a:noFill/>
                    </a:ln>
                    <a:extLst/>
                  </pic:spPr>
                </pic:pic>
              </a:graphicData>
            </a:graphic>
          </wp:anchor>
        </w:drawing>
      </w:r>
      <w:r>
        <w:rPr>
          <w:noProof/>
          <w:lang w:eastAsia="en-AU"/>
        </w:rPr>
        <w:drawing>
          <wp:anchor distT="0" distB="0" distL="114300" distR="114300" simplePos="0" relativeHeight="251709440" behindDoc="0" locked="0" layoutInCell="1" allowOverlap="1">
            <wp:simplePos x="0" y="0"/>
            <wp:positionH relativeFrom="column">
              <wp:posOffset>137795</wp:posOffset>
            </wp:positionH>
            <wp:positionV relativeFrom="paragraph">
              <wp:posOffset>342265</wp:posOffset>
            </wp:positionV>
            <wp:extent cx="1882140" cy="419100"/>
            <wp:effectExtent l="0" t="0" r="0" b="0"/>
            <wp:wrapNone/>
            <wp:docPr id="39" name="Picture 15" descr="cid:FE1BEEAF-F41D-4B70-AE55-2D5DB82F83CB@fnas.uwa.edu.au"/>
            <wp:cNvGraphicFramePr/>
            <a:graphic xmlns:a="http://schemas.openxmlformats.org/drawingml/2006/main">
              <a:graphicData uri="http://schemas.openxmlformats.org/drawingml/2006/picture">
                <pic:pic xmlns:pic="http://schemas.openxmlformats.org/drawingml/2006/picture">
                  <pic:nvPicPr>
                    <pic:cNvPr id="16" name="Picture 15" descr="cid:FE1BEEAF-F41D-4B70-AE55-2D5DB82F83CB@fnas.uwa.edu.au"/>
                    <pic:cNvPicPr/>
                  </pic:nvPicPr>
                  <pic:blipFill>
                    <a:blip r:embed="rId20" r:link="rId2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2140" cy="419100"/>
                    </a:xfrm>
                    <a:prstGeom prst="rect">
                      <a:avLst/>
                    </a:prstGeom>
                    <a:noFill/>
                    <a:ln>
                      <a:noFill/>
                    </a:ln>
                  </pic:spPr>
                </pic:pic>
              </a:graphicData>
            </a:graphic>
          </wp:anchor>
        </w:drawing>
      </w:r>
      <w:r>
        <w:rPr>
          <w:noProof/>
          <w:lang w:eastAsia="en-AU"/>
        </w:rPr>
        <w:drawing>
          <wp:anchor distT="0" distB="0" distL="114300" distR="114300" simplePos="0" relativeHeight="251722752" behindDoc="1" locked="0" layoutInCell="1" allowOverlap="1">
            <wp:simplePos x="0" y="0"/>
            <wp:positionH relativeFrom="column">
              <wp:posOffset>135890</wp:posOffset>
            </wp:positionH>
            <wp:positionV relativeFrom="paragraph">
              <wp:posOffset>59690</wp:posOffset>
            </wp:positionV>
            <wp:extent cx="1379220" cy="777875"/>
            <wp:effectExtent l="0" t="0" r="0" b="0"/>
            <wp:wrapTight wrapText="bothSides">
              <wp:wrapPolygon edited="0">
                <wp:start x="0" y="0"/>
                <wp:lineTo x="0" y="21159"/>
                <wp:lineTo x="21182" y="21159"/>
                <wp:lineTo x="21182" y="0"/>
                <wp:lineTo x="0" y="0"/>
              </wp:wrapPolygon>
            </wp:wrapTight>
            <wp:docPr id="70" name="Picture 70" descr="ppt_bg_footer_SAR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pt_bg_footer_SARDI.png"/>
                    <pic:cNvPicPr>
                      <a:picLocks noChangeAspect="1" noChangeArrowheads="1"/>
                    </pic:cNvPicPr>
                  </pic:nvPicPr>
                  <pic:blipFill rotWithShape="1">
                    <a:blip r:embed="rId2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1379220" cy="7778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E1FC9" w:rsidRPr="00F07673" w:rsidRDefault="005E1FC9" w:rsidP="00A16134">
      <w:pPr>
        <w:spacing w:line="240" w:lineRule="auto"/>
        <w:rPr>
          <w:rFonts w:cs="Arial"/>
          <w:bCs/>
          <w:sz w:val="6"/>
          <w:szCs w:val="6"/>
        </w:rPr>
      </w:pPr>
    </w:p>
    <w:p w:rsidR="00F07673" w:rsidRPr="00F07673" w:rsidRDefault="00F07673" w:rsidP="00A16134">
      <w:pPr>
        <w:spacing w:line="240" w:lineRule="auto"/>
        <w:rPr>
          <w:rFonts w:cs="Arial"/>
          <w:bCs/>
          <w:sz w:val="6"/>
          <w:szCs w:val="6"/>
        </w:rPr>
      </w:pPr>
    </w:p>
    <w:p w:rsidR="00A62C74" w:rsidRPr="00A67C76" w:rsidRDefault="00A62C74" w:rsidP="00F07673">
      <w:pPr>
        <w:spacing w:line="240" w:lineRule="auto"/>
        <w:jc w:val="both"/>
        <w:rPr>
          <w:rFonts w:cs="Arial"/>
          <w:bCs/>
          <w:sz w:val="20"/>
        </w:rPr>
      </w:pPr>
      <w:r w:rsidRPr="00A67C76">
        <w:rPr>
          <w:rFonts w:cs="Arial"/>
          <w:bCs/>
          <w:sz w:val="20"/>
        </w:rPr>
        <w:t>This monitoring project was commissioned by the Commonwealth Environmental Water Office to the South Australian Research and Development Institute (SARDI), Aquatic Sciences. The specific components of this project were sub-contracted to CSIRO (Task</w:t>
      </w:r>
      <w:r w:rsidR="00506AC9" w:rsidRPr="00A67C76">
        <w:rPr>
          <w:rFonts w:cs="Arial"/>
          <w:bCs/>
          <w:sz w:val="20"/>
        </w:rPr>
        <w:t>: Food resources for larval fish</w:t>
      </w:r>
      <w:r w:rsidRPr="00A67C76">
        <w:rPr>
          <w:rFonts w:cs="Arial"/>
          <w:bCs/>
          <w:sz w:val="20"/>
        </w:rPr>
        <w:t xml:space="preserve"> &amp; </w:t>
      </w:r>
      <w:r w:rsidR="00506AC9" w:rsidRPr="00A67C76">
        <w:rPr>
          <w:rFonts w:cs="Arial"/>
          <w:bCs/>
          <w:sz w:val="20"/>
        </w:rPr>
        <w:t xml:space="preserve">Coorong </w:t>
      </w:r>
      <w:r w:rsidR="00823CDE" w:rsidRPr="00A67C76">
        <w:rPr>
          <w:rFonts w:cs="Arial"/>
          <w:bCs/>
          <w:sz w:val="20"/>
        </w:rPr>
        <w:t>m</w:t>
      </w:r>
      <w:r w:rsidR="00506AC9" w:rsidRPr="00A67C76">
        <w:rPr>
          <w:rFonts w:cs="Arial"/>
          <w:bCs/>
          <w:sz w:val="20"/>
        </w:rPr>
        <w:t>odelling</w:t>
      </w:r>
      <w:r w:rsidRPr="00A67C76">
        <w:rPr>
          <w:rFonts w:cs="Arial"/>
          <w:bCs/>
          <w:sz w:val="20"/>
        </w:rPr>
        <w:t>); The University of Adelaide and the University of Western Australia (Task</w:t>
      </w:r>
      <w:r w:rsidR="00506AC9" w:rsidRPr="00A67C76">
        <w:rPr>
          <w:rFonts w:cs="Arial"/>
          <w:bCs/>
          <w:sz w:val="20"/>
        </w:rPr>
        <w:t>: Dissolved and particulate material transport</w:t>
      </w:r>
      <w:r w:rsidRPr="00A67C76">
        <w:rPr>
          <w:rFonts w:cs="Arial"/>
          <w:bCs/>
          <w:sz w:val="20"/>
        </w:rPr>
        <w:t>); the South Australian Department of Environment, Water and Natural Resources (DEWNR) (Tasks</w:t>
      </w:r>
      <w:r w:rsidR="00506AC9" w:rsidRPr="00A67C76">
        <w:rPr>
          <w:rFonts w:cs="Arial"/>
          <w:bCs/>
          <w:sz w:val="20"/>
        </w:rPr>
        <w:t>: RiM-FIM modelling and Frog response</w:t>
      </w:r>
      <w:r w:rsidRPr="00A67C76">
        <w:rPr>
          <w:rFonts w:cs="Arial"/>
          <w:bCs/>
          <w:sz w:val="20"/>
        </w:rPr>
        <w:t>) and Wetland Research and Management (zooplankton work of Task</w:t>
      </w:r>
      <w:r w:rsidR="00506AC9" w:rsidRPr="00A67C76">
        <w:rPr>
          <w:rFonts w:cs="Arial"/>
          <w:bCs/>
          <w:sz w:val="20"/>
        </w:rPr>
        <w:t>s: larval fish and</w:t>
      </w:r>
      <w:r w:rsidRPr="00A67C76">
        <w:rPr>
          <w:rFonts w:cs="Arial"/>
          <w:bCs/>
          <w:sz w:val="20"/>
        </w:rPr>
        <w:t xml:space="preserve"> </w:t>
      </w:r>
      <w:r w:rsidR="00D52509" w:rsidRPr="00A67C76">
        <w:rPr>
          <w:rFonts w:cs="Arial"/>
          <w:bCs/>
          <w:sz w:val="20"/>
        </w:rPr>
        <w:t>Food resources for larval fish</w:t>
      </w:r>
      <w:r w:rsidRPr="00A67C76">
        <w:rPr>
          <w:rFonts w:cs="Arial"/>
          <w:bCs/>
          <w:sz w:val="20"/>
        </w:rPr>
        <w:t>). The project was funded by the Commonwealth Environmental Water Office with in kind contributions from SARDI, CSIRO, South Australian Murray-Darling Basin Natural Resources Management Board, DEWNR and South Australian Environmental Protection Authority (EPA).</w:t>
      </w:r>
    </w:p>
    <w:p w:rsidR="00A62C74" w:rsidRPr="00233CAC" w:rsidRDefault="00233CAC" w:rsidP="00F07673">
      <w:pPr>
        <w:spacing w:line="240" w:lineRule="auto"/>
        <w:jc w:val="both"/>
        <w:rPr>
          <w:rFonts w:cs="Arial"/>
          <w:bCs/>
          <w:sz w:val="20"/>
        </w:rPr>
      </w:pPr>
      <w:r w:rsidRPr="00233CAC">
        <w:rPr>
          <w:rFonts w:cs="Arial"/>
          <w:b/>
          <w:bCs/>
          <w:sz w:val="20"/>
        </w:rPr>
        <w:t>Cover photos</w:t>
      </w:r>
      <w:r w:rsidRPr="00233CAC">
        <w:rPr>
          <w:rFonts w:cs="Arial"/>
          <w:bCs/>
          <w:sz w:val="20"/>
        </w:rPr>
        <w:t xml:space="preserve">: </w:t>
      </w:r>
      <w:r w:rsidR="00F07673" w:rsidRPr="00233CAC">
        <w:rPr>
          <w:rFonts w:cs="Arial"/>
          <w:bCs/>
          <w:sz w:val="20"/>
        </w:rPr>
        <w:t>larval fish: Katherine Cheshire</w:t>
      </w:r>
      <w:r w:rsidR="00F07673">
        <w:rPr>
          <w:rFonts w:cs="Arial"/>
          <w:bCs/>
          <w:sz w:val="20"/>
        </w:rPr>
        <w:t xml:space="preserve"> (SARDI, </w:t>
      </w:r>
      <w:r w:rsidRPr="00233CAC">
        <w:rPr>
          <w:rFonts w:cs="Arial"/>
          <w:bCs/>
          <w:sz w:val="20"/>
        </w:rPr>
        <w:t>zooplankton: Russell Shiel</w:t>
      </w:r>
      <w:r w:rsidR="003A0FB4">
        <w:rPr>
          <w:rFonts w:cs="Arial"/>
          <w:bCs/>
          <w:sz w:val="20"/>
        </w:rPr>
        <w:t xml:space="preserve"> (WRM, Univ. of Adelaide)</w:t>
      </w:r>
      <w:r w:rsidRPr="00233CAC">
        <w:rPr>
          <w:rFonts w:cs="Arial"/>
          <w:bCs/>
          <w:sz w:val="20"/>
        </w:rPr>
        <w:t>, River Murray: Zygmunt Lorenz</w:t>
      </w:r>
      <w:r w:rsidR="003A0FB4">
        <w:rPr>
          <w:rFonts w:cs="Arial"/>
          <w:bCs/>
          <w:sz w:val="20"/>
        </w:rPr>
        <w:t xml:space="preserve"> (CSIRO</w:t>
      </w:r>
      <w:r w:rsidR="00F07673">
        <w:rPr>
          <w:rFonts w:cs="Arial"/>
          <w:bCs/>
          <w:sz w:val="20"/>
        </w:rPr>
        <w:t xml:space="preserve">) and </w:t>
      </w:r>
      <w:r w:rsidR="00F07673" w:rsidRPr="00F07673">
        <w:rPr>
          <w:rFonts w:cs="Arial"/>
          <w:bCs/>
          <w:sz w:val="20"/>
        </w:rPr>
        <w:t>frog</w:t>
      </w:r>
      <w:r w:rsidR="00F07673" w:rsidRPr="00233CAC">
        <w:rPr>
          <w:rFonts w:cs="Arial"/>
          <w:bCs/>
          <w:sz w:val="20"/>
        </w:rPr>
        <w:t xml:space="preserve">: </w:t>
      </w:r>
      <w:r w:rsidR="00F07673">
        <w:rPr>
          <w:rFonts w:cs="Arial"/>
          <w:bCs/>
          <w:sz w:val="20"/>
        </w:rPr>
        <w:t>Irene Wegener (DEWNR)</w:t>
      </w:r>
      <w:r w:rsidRPr="00233CAC">
        <w:rPr>
          <w:rFonts w:cs="Arial"/>
          <w:bCs/>
          <w:sz w:val="20"/>
        </w:rPr>
        <w:t>.</w:t>
      </w:r>
    </w:p>
    <w:p w:rsidR="00A62C74" w:rsidRPr="00F07673" w:rsidRDefault="00A62C74" w:rsidP="00F07673">
      <w:pPr>
        <w:spacing w:before="0" w:after="0"/>
        <w:rPr>
          <w:rFonts w:eastAsiaTheme="majorEastAsia"/>
          <w:b/>
        </w:rPr>
      </w:pPr>
      <w:r w:rsidRPr="00F07673">
        <w:rPr>
          <w:rFonts w:eastAsiaTheme="majorEastAsia"/>
          <w:b/>
        </w:rPr>
        <w:t>DISCLAIMER</w:t>
      </w:r>
    </w:p>
    <w:p w:rsidR="00A62C74" w:rsidRDefault="00A62C74" w:rsidP="00F07673">
      <w:pPr>
        <w:spacing w:before="0" w:after="0" w:line="240" w:lineRule="auto"/>
        <w:jc w:val="both"/>
        <w:rPr>
          <w:rFonts w:cs="Arial"/>
          <w:sz w:val="20"/>
        </w:rPr>
      </w:pPr>
      <w:r w:rsidRPr="00A67C76">
        <w:rPr>
          <w:rFonts w:cs="Arial"/>
          <w:sz w:val="20"/>
        </w:rPr>
        <w:t>The views and opinions expressed in this publication are those of the authors and do not necessarily reflect those of the Australian Government or the Minister for Sustainability, Environment, Water, Population and Communities.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F07673" w:rsidRPr="00A67C76" w:rsidRDefault="00F07673" w:rsidP="00F07673">
      <w:pPr>
        <w:spacing w:before="0" w:after="0" w:line="240" w:lineRule="auto"/>
        <w:jc w:val="both"/>
        <w:rPr>
          <w:rFonts w:cs="Arial"/>
          <w:sz w:val="20"/>
        </w:rPr>
      </w:pPr>
    </w:p>
    <w:p w:rsidR="00A62C74" w:rsidRPr="00F07673" w:rsidRDefault="00A62C74" w:rsidP="00F07673">
      <w:pPr>
        <w:spacing w:before="0" w:after="0" w:line="240" w:lineRule="auto"/>
        <w:jc w:val="both"/>
        <w:rPr>
          <w:rFonts w:cs="Arial"/>
          <w:b/>
          <w:szCs w:val="22"/>
        </w:rPr>
      </w:pPr>
      <w:r w:rsidRPr="00F07673">
        <w:rPr>
          <w:rFonts w:cs="Arial"/>
          <w:b/>
          <w:szCs w:val="22"/>
        </w:rPr>
        <w:t>© Commonwealth of Australia 201</w:t>
      </w:r>
      <w:r w:rsidR="002F32CC">
        <w:rPr>
          <w:rFonts w:cs="Arial"/>
          <w:b/>
          <w:szCs w:val="22"/>
        </w:rPr>
        <w:t>4</w:t>
      </w:r>
    </w:p>
    <w:p w:rsidR="00D26DA3" w:rsidRPr="00A67C76" w:rsidRDefault="00A62C74" w:rsidP="00F07673">
      <w:pPr>
        <w:spacing w:before="0" w:after="0" w:line="240" w:lineRule="auto"/>
        <w:jc w:val="both"/>
        <w:rPr>
          <w:rFonts w:eastAsiaTheme="minorHAnsi" w:cstheme="minorBidi"/>
          <w:color w:val="auto"/>
          <w:kern w:val="0"/>
          <w:szCs w:val="22"/>
        </w:rPr>
      </w:pPr>
      <w:r w:rsidRPr="00A67C76">
        <w:rPr>
          <w:rFonts w:cs="Arial"/>
          <w:sz w:val="20"/>
        </w:rPr>
        <w:t>This work is copyright. You may download, display, print and reproduce this material in unaltered form only (retaining this notice) for your personal, non-commercial use or use within your organisation. Apart from any use as permitted under the Copyright Act 1968, all other rights are reserved. Requests and enquiries concerning reproduction and rights should be addressed to Department of Sustainability, Environment, Water, Population and</w:t>
      </w:r>
      <w:r w:rsidR="00F07673">
        <w:rPr>
          <w:rFonts w:cs="Arial"/>
          <w:sz w:val="20"/>
        </w:rPr>
        <w:t xml:space="preserve"> </w:t>
      </w:r>
      <w:r w:rsidRPr="00A67C76">
        <w:rPr>
          <w:rFonts w:cs="Arial"/>
          <w:sz w:val="20"/>
        </w:rPr>
        <w:t>Communities, Public Affairs, GPO Box 787 Canberra ACT 2601 or email public.affairs@environment.gov.au</w:t>
      </w:r>
    </w:p>
    <w:p w:rsidR="002E1727" w:rsidRPr="00A67C76" w:rsidRDefault="002E1727" w:rsidP="0081353A">
      <w:pPr>
        <w:pStyle w:val="H1anotincinTOC"/>
        <w:rPr>
          <w:color w:val="1F497D" w:themeColor="text2"/>
        </w:rPr>
        <w:sectPr w:rsidR="002E1727" w:rsidRPr="00A67C76" w:rsidSect="001D4B63">
          <w:headerReference w:type="even" r:id="rId23"/>
          <w:headerReference w:type="default" r:id="rId24"/>
          <w:footerReference w:type="even" r:id="rId25"/>
          <w:footerReference w:type="default" r:id="rId26"/>
          <w:headerReference w:type="first" r:id="rId27"/>
          <w:footerReference w:type="first" r:id="rId28"/>
          <w:pgSz w:w="11900" w:h="16840"/>
          <w:pgMar w:top="1440" w:right="1440" w:bottom="1440" w:left="1440" w:header="708" w:footer="708" w:gutter="0"/>
          <w:pgNumType w:fmt="lowerRoman" w:start="1"/>
          <w:cols w:space="708"/>
          <w:docGrid w:linePitch="360"/>
        </w:sectPr>
      </w:pPr>
    </w:p>
    <w:p w:rsidR="0074301A" w:rsidRPr="00A67C76" w:rsidRDefault="00F642ED" w:rsidP="00F41737">
      <w:pPr>
        <w:pStyle w:val="H1anotincinTOC"/>
        <w:outlineLvl w:val="0"/>
        <w:rPr>
          <w:color w:val="1F497D" w:themeColor="text2"/>
        </w:rPr>
      </w:pPr>
      <w:bookmarkStart w:id="5" w:name="_Toc387843568"/>
      <w:r w:rsidRPr="00A67C76">
        <w:rPr>
          <w:color w:val="1F497D" w:themeColor="text2"/>
        </w:rPr>
        <w:lastRenderedPageBreak/>
        <w:t>Table of c</w:t>
      </w:r>
      <w:r w:rsidR="0074301A" w:rsidRPr="00A67C76">
        <w:rPr>
          <w:color w:val="1F497D" w:themeColor="text2"/>
        </w:rPr>
        <w:t>ontents</w:t>
      </w:r>
      <w:bookmarkEnd w:id="5"/>
    </w:p>
    <w:p w:rsidR="00554B7A" w:rsidRPr="00A67C76" w:rsidRDefault="002E6077">
      <w:pPr>
        <w:pStyle w:val="TOC1"/>
        <w:tabs>
          <w:tab w:val="right" w:leader="dot" w:pos="9010"/>
        </w:tabs>
        <w:contextualSpacing/>
        <w:rPr>
          <w:rFonts w:ascii="Century Gothic" w:eastAsiaTheme="minorEastAsia" w:hAnsi="Century Gothic" w:cstheme="minorBidi"/>
          <w:b w:val="0"/>
          <w:caps w:val="0"/>
          <w:noProof/>
          <w:color w:val="auto"/>
          <w:kern w:val="0"/>
          <w:sz w:val="22"/>
          <w:szCs w:val="22"/>
          <w:lang w:eastAsia="en-AU"/>
        </w:rPr>
      </w:pPr>
      <w:r w:rsidRPr="002E6077">
        <w:rPr>
          <w:rFonts w:ascii="Century Gothic" w:hAnsi="Century Gothic" w:cs="Arial"/>
          <w:b w:val="0"/>
          <w:i/>
          <w:szCs w:val="22"/>
        </w:rPr>
        <w:fldChar w:fldCharType="begin"/>
      </w:r>
      <w:r w:rsidR="00F36765" w:rsidRPr="00A67C76">
        <w:rPr>
          <w:rFonts w:ascii="Century Gothic" w:hAnsi="Century Gothic" w:cs="Arial"/>
          <w:b w:val="0"/>
          <w:i/>
          <w:szCs w:val="22"/>
        </w:rPr>
        <w:instrText xml:space="preserve"> TOC \o "1-3" \h \z \u </w:instrText>
      </w:r>
      <w:r w:rsidRPr="002E6077">
        <w:rPr>
          <w:rFonts w:ascii="Century Gothic" w:hAnsi="Century Gothic" w:cs="Arial"/>
          <w:b w:val="0"/>
          <w:i/>
          <w:szCs w:val="22"/>
        </w:rPr>
        <w:fldChar w:fldCharType="separate"/>
      </w:r>
      <w:hyperlink w:anchor="_Toc387843568" w:history="1">
        <w:r w:rsidR="00554B7A" w:rsidRPr="00A67C76">
          <w:rPr>
            <w:rStyle w:val="Hyperlink"/>
            <w:rFonts w:ascii="Century Gothic" w:eastAsiaTheme="majorEastAsia" w:hAnsi="Century Gothic"/>
            <w:noProof/>
          </w:rPr>
          <w:t>Table of contents</w:t>
        </w:r>
        <w:r w:rsidR="00554B7A" w:rsidRPr="00A67C76">
          <w:rPr>
            <w:rFonts w:ascii="Century Gothic" w:hAnsi="Century Gothic"/>
            <w:noProof/>
            <w:webHidden/>
          </w:rPr>
          <w:tab/>
        </w:r>
        <w:r w:rsidRPr="00A67C76">
          <w:rPr>
            <w:rFonts w:ascii="Century Gothic" w:hAnsi="Century Gothic"/>
            <w:noProof/>
            <w:webHidden/>
          </w:rPr>
          <w:fldChar w:fldCharType="begin"/>
        </w:r>
        <w:r w:rsidR="00554B7A" w:rsidRPr="00A67C76">
          <w:rPr>
            <w:rFonts w:ascii="Century Gothic" w:hAnsi="Century Gothic"/>
            <w:noProof/>
            <w:webHidden/>
          </w:rPr>
          <w:instrText xml:space="preserve"> PAGEREF _Toc387843568 \h </w:instrText>
        </w:r>
        <w:r w:rsidRPr="00A67C76">
          <w:rPr>
            <w:rFonts w:ascii="Century Gothic" w:hAnsi="Century Gothic"/>
            <w:noProof/>
            <w:webHidden/>
          </w:rPr>
        </w:r>
        <w:r w:rsidRPr="00A67C76">
          <w:rPr>
            <w:rFonts w:ascii="Century Gothic" w:hAnsi="Century Gothic"/>
            <w:noProof/>
            <w:webHidden/>
          </w:rPr>
          <w:fldChar w:fldCharType="separate"/>
        </w:r>
        <w:r w:rsidR="009659F2">
          <w:rPr>
            <w:rFonts w:ascii="Century Gothic" w:hAnsi="Century Gothic"/>
            <w:noProof/>
            <w:webHidden/>
          </w:rPr>
          <w:t>iii</w:t>
        </w:r>
        <w:r w:rsidRPr="00A67C76">
          <w:rPr>
            <w:rFonts w:ascii="Century Gothic" w:hAnsi="Century Gothic"/>
            <w:noProof/>
            <w:webHidden/>
          </w:rPr>
          <w:fldChar w:fldCharType="end"/>
        </w:r>
      </w:hyperlink>
    </w:p>
    <w:p w:rsidR="00554B7A" w:rsidRPr="00A67C76" w:rsidRDefault="002E6077">
      <w:pPr>
        <w:pStyle w:val="TOC1"/>
        <w:tabs>
          <w:tab w:val="right" w:leader="dot" w:pos="9010"/>
        </w:tabs>
        <w:contextualSpacing/>
        <w:rPr>
          <w:rFonts w:ascii="Century Gothic" w:eastAsiaTheme="minorEastAsia" w:hAnsi="Century Gothic" w:cstheme="minorBidi"/>
          <w:b w:val="0"/>
          <w:caps w:val="0"/>
          <w:noProof/>
          <w:color w:val="auto"/>
          <w:kern w:val="0"/>
          <w:sz w:val="22"/>
          <w:szCs w:val="22"/>
          <w:lang w:eastAsia="en-AU"/>
        </w:rPr>
      </w:pPr>
      <w:hyperlink w:anchor="_Toc387843569" w:history="1">
        <w:r w:rsidR="00554B7A" w:rsidRPr="00A67C76">
          <w:rPr>
            <w:rStyle w:val="Hyperlink"/>
            <w:rFonts w:ascii="Century Gothic" w:eastAsiaTheme="majorEastAsia" w:hAnsi="Century Gothic"/>
            <w:noProof/>
          </w:rPr>
          <w:t>List of figures</w:t>
        </w:r>
        <w:r w:rsidR="00554B7A" w:rsidRPr="00A67C76">
          <w:rPr>
            <w:rFonts w:ascii="Century Gothic" w:hAnsi="Century Gothic"/>
            <w:noProof/>
            <w:webHidden/>
          </w:rPr>
          <w:tab/>
        </w:r>
        <w:r w:rsidRPr="00A67C76">
          <w:rPr>
            <w:rFonts w:ascii="Century Gothic" w:hAnsi="Century Gothic"/>
            <w:noProof/>
            <w:webHidden/>
          </w:rPr>
          <w:fldChar w:fldCharType="begin"/>
        </w:r>
        <w:r w:rsidR="00554B7A" w:rsidRPr="00A67C76">
          <w:rPr>
            <w:rFonts w:ascii="Century Gothic" w:hAnsi="Century Gothic"/>
            <w:noProof/>
            <w:webHidden/>
          </w:rPr>
          <w:instrText xml:space="preserve"> PAGEREF _Toc387843569 \h </w:instrText>
        </w:r>
        <w:r w:rsidRPr="00A67C76">
          <w:rPr>
            <w:rFonts w:ascii="Century Gothic" w:hAnsi="Century Gothic"/>
            <w:noProof/>
            <w:webHidden/>
          </w:rPr>
        </w:r>
        <w:r w:rsidRPr="00A67C76">
          <w:rPr>
            <w:rFonts w:ascii="Century Gothic" w:hAnsi="Century Gothic"/>
            <w:noProof/>
            <w:webHidden/>
          </w:rPr>
          <w:fldChar w:fldCharType="separate"/>
        </w:r>
        <w:r w:rsidR="009659F2">
          <w:rPr>
            <w:rFonts w:ascii="Century Gothic" w:hAnsi="Century Gothic"/>
            <w:noProof/>
            <w:webHidden/>
          </w:rPr>
          <w:t>v</w:t>
        </w:r>
        <w:r w:rsidRPr="00A67C76">
          <w:rPr>
            <w:rFonts w:ascii="Century Gothic" w:hAnsi="Century Gothic"/>
            <w:noProof/>
            <w:webHidden/>
          </w:rPr>
          <w:fldChar w:fldCharType="end"/>
        </w:r>
      </w:hyperlink>
    </w:p>
    <w:p w:rsidR="00554B7A" w:rsidRPr="00A67C76" w:rsidRDefault="002E6077">
      <w:pPr>
        <w:pStyle w:val="TOC1"/>
        <w:tabs>
          <w:tab w:val="right" w:leader="dot" w:pos="9010"/>
        </w:tabs>
        <w:contextualSpacing/>
        <w:rPr>
          <w:rFonts w:ascii="Century Gothic" w:eastAsiaTheme="minorEastAsia" w:hAnsi="Century Gothic" w:cstheme="minorBidi"/>
          <w:b w:val="0"/>
          <w:caps w:val="0"/>
          <w:noProof/>
          <w:color w:val="auto"/>
          <w:kern w:val="0"/>
          <w:sz w:val="22"/>
          <w:szCs w:val="22"/>
          <w:lang w:eastAsia="en-AU"/>
        </w:rPr>
      </w:pPr>
      <w:hyperlink w:anchor="_Toc387843570" w:history="1">
        <w:r w:rsidR="00554B7A" w:rsidRPr="00A67C76">
          <w:rPr>
            <w:rStyle w:val="Hyperlink"/>
            <w:rFonts w:ascii="Century Gothic" w:eastAsiaTheme="majorEastAsia" w:hAnsi="Century Gothic"/>
            <w:noProof/>
          </w:rPr>
          <w:t>List of tables</w:t>
        </w:r>
        <w:r w:rsidR="00554B7A" w:rsidRPr="00A67C76">
          <w:rPr>
            <w:rFonts w:ascii="Century Gothic" w:hAnsi="Century Gothic"/>
            <w:noProof/>
            <w:webHidden/>
          </w:rPr>
          <w:tab/>
        </w:r>
        <w:r w:rsidRPr="00A67C76">
          <w:rPr>
            <w:rFonts w:ascii="Century Gothic" w:hAnsi="Century Gothic"/>
            <w:noProof/>
            <w:webHidden/>
          </w:rPr>
          <w:fldChar w:fldCharType="begin"/>
        </w:r>
        <w:r w:rsidR="00554B7A" w:rsidRPr="00A67C76">
          <w:rPr>
            <w:rFonts w:ascii="Century Gothic" w:hAnsi="Century Gothic"/>
            <w:noProof/>
            <w:webHidden/>
          </w:rPr>
          <w:instrText xml:space="preserve"> PAGEREF _Toc387843570 \h </w:instrText>
        </w:r>
        <w:r w:rsidRPr="00A67C76">
          <w:rPr>
            <w:rFonts w:ascii="Century Gothic" w:hAnsi="Century Gothic"/>
            <w:noProof/>
            <w:webHidden/>
          </w:rPr>
        </w:r>
        <w:r w:rsidRPr="00A67C76">
          <w:rPr>
            <w:rFonts w:ascii="Century Gothic" w:hAnsi="Century Gothic"/>
            <w:noProof/>
            <w:webHidden/>
          </w:rPr>
          <w:fldChar w:fldCharType="separate"/>
        </w:r>
        <w:r w:rsidR="009659F2">
          <w:rPr>
            <w:rFonts w:ascii="Century Gothic" w:hAnsi="Century Gothic"/>
            <w:noProof/>
            <w:webHidden/>
          </w:rPr>
          <w:t>ix</w:t>
        </w:r>
        <w:r w:rsidRPr="00A67C76">
          <w:rPr>
            <w:rFonts w:ascii="Century Gothic" w:hAnsi="Century Gothic"/>
            <w:noProof/>
            <w:webHidden/>
          </w:rPr>
          <w:fldChar w:fldCharType="end"/>
        </w:r>
      </w:hyperlink>
    </w:p>
    <w:p w:rsidR="00554B7A" w:rsidRPr="00A67C76" w:rsidRDefault="002E6077">
      <w:pPr>
        <w:pStyle w:val="TOC1"/>
        <w:tabs>
          <w:tab w:val="right" w:leader="dot" w:pos="9010"/>
        </w:tabs>
        <w:contextualSpacing/>
        <w:rPr>
          <w:rFonts w:ascii="Century Gothic" w:eastAsiaTheme="minorEastAsia" w:hAnsi="Century Gothic" w:cstheme="minorBidi"/>
          <w:b w:val="0"/>
          <w:caps w:val="0"/>
          <w:noProof/>
          <w:color w:val="auto"/>
          <w:kern w:val="0"/>
          <w:sz w:val="22"/>
          <w:szCs w:val="22"/>
          <w:lang w:eastAsia="en-AU"/>
        </w:rPr>
      </w:pPr>
      <w:hyperlink w:anchor="_Toc387843571" w:history="1">
        <w:r w:rsidR="00554B7A" w:rsidRPr="00A67C76">
          <w:rPr>
            <w:rStyle w:val="Hyperlink"/>
            <w:rFonts w:ascii="Century Gothic" w:eastAsiaTheme="majorEastAsia" w:hAnsi="Century Gothic"/>
            <w:noProof/>
          </w:rPr>
          <w:t>Acknowledgements</w:t>
        </w:r>
        <w:r w:rsidR="00554B7A" w:rsidRPr="00A67C76">
          <w:rPr>
            <w:rFonts w:ascii="Century Gothic" w:hAnsi="Century Gothic"/>
            <w:noProof/>
            <w:webHidden/>
          </w:rPr>
          <w:tab/>
        </w:r>
        <w:r w:rsidRPr="00A67C76">
          <w:rPr>
            <w:rFonts w:ascii="Century Gothic" w:hAnsi="Century Gothic"/>
            <w:noProof/>
            <w:webHidden/>
          </w:rPr>
          <w:fldChar w:fldCharType="begin"/>
        </w:r>
        <w:r w:rsidR="00554B7A" w:rsidRPr="00A67C76">
          <w:rPr>
            <w:rFonts w:ascii="Century Gothic" w:hAnsi="Century Gothic"/>
            <w:noProof/>
            <w:webHidden/>
          </w:rPr>
          <w:instrText xml:space="preserve"> PAGEREF _Toc387843571 \h </w:instrText>
        </w:r>
        <w:r w:rsidRPr="00A67C76">
          <w:rPr>
            <w:rFonts w:ascii="Century Gothic" w:hAnsi="Century Gothic"/>
            <w:noProof/>
            <w:webHidden/>
          </w:rPr>
        </w:r>
        <w:r w:rsidRPr="00A67C76">
          <w:rPr>
            <w:rFonts w:ascii="Century Gothic" w:hAnsi="Century Gothic"/>
            <w:noProof/>
            <w:webHidden/>
          </w:rPr>
          <w:fldChar w:fldCharType="separate"/>
        </w:r>
        <w:r w:rsidR="009659F2">
          <w:rPr>
            <w:rFonts w:ascii="Century Gothic" w:hAnsi="Century Gothic"/>
            <w:noProof/>
            <w:webHidden/>
          </w:rPr>
          <w:t>x</w:t>
        </w:r>
        <w:r w:rsidRPr="00A67C76">
          <w:rPr>
            <w:rFonts w:ascii="Century Gothic" w:hAnsi="Century Gothic"/>
            <w:noProof/>
            <w:webHidden/>
          </w:rPr>
          <w:fldChar w:fldCharType="end"/>
        </w:r>
      </w:hyperlink>
    </w:p>
    <w:p w:rsidR="00554B7A" w:rsidRPr="00A67C76" w:rsidRDefault="002E6077">
      <w:pPr>
        <w:pStyle w:val="TOC1"/>
        <w:tabs>
          <w:tab w:val="right" w:leader="dot" w:pos="9010"/>
        </w:tabs>
        <w:contextualSpacing/>
        <w:rPr>
          <w:rFonts w:ascii="Century Gothic" w:eastAsiaTheme="minorEastAsia" w:hAnsi="Century Gothic" w:cstheme="minorBidi"/>
          <w:b w:val="0"/>
          <w:caps w:val="0"/>
          <w:noProof/>
          <w:color w:val="auto"/>
          <w:kern w:val="0"/>
          <w:sz w:val="22"/>
          <w:szCs w:val="22"/>
          <w:lang w:eastAsia="en-AU"/>
        </w:rPr>
      </w:pPr>
      <w:hyperlink w:anchor="_Toc387843572" w:history="1">
        <w:r w:rsidR="00554B7A" w:rsidRPr="00A67C76">
          <w:rPr>
            <w:rStyle w:val="Hyperlink"/>
            <w:rFonts w:ascii="Century Gothic" w:eastAsiaTheme="majorEastAsia" w:hAnsi="Century Gothic"/>
            <w:noProof/>
          </w:rPr>
          <w:t>Executive summary</w:t>
        </w:r>
        <w:r w:rsidR="00554B7A" w:rsidRPr="00A67C76">
          <w:rPr>
            <w:rFonts w:ascii="Century Gothic" w:hAnsi="Century Gothic"/>
            <w:noProof/>
            <w:webHidden/>
          </w:rPr>
          <w:tab/>
        </w:r>
        <w:r w:rsidRPr="00A67C76">
          <w:rPr>
            <w:rFonts w:ascii="Century Gothic" w:hAnsi="Century Gothic"/>
            <w:noProof/>
            <w:webHidden/>
          </w:rPr>
          <w:fldChar w:fldCharType="begin"/>
        </w:r>
        <w:r w:rsidR="00554B7A" w:rsidRPr="00A67C76">
          <w:rPr>
            <w:rFonts w:ascii="Century Gothic" w:hAnsi="Century Gothic"/>
            <w:noProof/>
            <w:webHidden/>
          </w:rPr>
          <w:instrText xml:space="preserve"> PAGEREF _Toc387843572 \h </w:instrText>
        </w:r>
        <w:r w:rsidRPr="00A67C76">
          <w:rPr>
            <w:rFonts w:ascii="Century Gothic" w:hAnsi="Century Gothic"/>
            <w:noProof/>
            <w:webHidden/>
          </w:rPr>
        </w:r>
        <w:r w:rsidRPr="00A67C76">
          <w:rPr>
            <w:rFonts w:ascii="Century Gothic" w:hAnsi="Century Gothic"/>
            <w:noProof/>
            <w:webHidden/>
          </w:rPr>
          <w:fldChar w:fldCharType="separate"/>
        </w:r>
        <w:r w:rsidR="009659F2">
          <w:rPr>
            <w:rFonts w:ascii="Century Gothic" w:hAnsi="Century Gothic"/>
            <w:noProof/>
            <w:webHidden/>
          </w:rPr>
          <w:t>1</w:t>
        </w:r>
        <w:r w:rsidRPr="00A67C76">
          <w:rPr>
            <w:rFonts w:ascii="Century Gothic" w:hAnsi="Century Gothic"/>
            <w:noProof/>
            <w:webHidden/>
          </w:rPr>
          <w:fldChar w:fldCharType="end"/>
        </w:r>
      </w:hyperlink>
    </w:p>
    <w:p w:rsidR="00554B7A" w:rsidRPr="00A67C76" w:rsidRDefault="002E6077">
      <w:pPr>
        <w:pStyle w:val="TOC1"/>
        <w:tabs>
          <w:tab w:val="left" w:pos="660"/>
          <w:tab w:val="right" w:leader="dot" w:pos="9010"/>
        </w:tabs>
        <w:contextualSpacing/>
        <w:rPr>
          <w:rFonts w:ascii="Century Gothic" w:eastAsiaTheme="minorEastAsia" w:hAnsi="Century Gothic" w:cstheme="minorBidi"/>
          <w:b w:val="0"/>
          <w:caps w:val="0"/>
          <w:noProof/>
          <w:color w:val="auto"/>
          <w:kern w:val="0"/>
          <w:sz w:val="22"/>
          <w:szCs w:val="22"/>
          <w:lang w:eastAsia="en-AU"/>
        </w:rPr>
      </w:pPr>
      <w:hyperlink w:anchor="_Toc387843573" w:history="1">
        <w:r w:rsidR="00554B7A" w:rsidRPr="00A67C76">
          <w:rPr>
            <w:rStyle w:val="Hyperlink"/>
            <w:rFonts w:ascii="Century Gothic" w:eastAsiaTheme="majorEastAsia" w:hAnsi="Century Gothic"/>
            <w:noProof/>
          </w:rPr>
          <w:t>1</w:t>
        </w:r>
        <w:r w:rsidR="00554B7A" w:rsidRPr="00A67C76">
          <w:rPr>
            <w:rFonts w:ascii="Century Gothic" w:eastAsiaTheme="minorEastAsia" w:hAnsi="Century Gothic" w:cstheme="minorBidi"/>
            <w:b w:val="0"/>
            <w:caps w:val="0"/>
            <w:noProof/>
            <w:color w:val="auto"/>
            <w:kern w:val="0"/>
            <w:sz w:val="22"/>
            <w:szCs w:val="22"/>
            <w:lang w:eastAsia="en-AU"/>
          </w:rPr>
          <w:tab/>
        </w:r>
        <w:r w:rsidR="00554B7A" w:rsidRPr="00A67C76">
          <w:rPr>
            <w:rStyle w:val="Hyperlink"/>
            <w:rFonts w:ascii="Century Gothic" w:eastAsiaTheme="majorEastAsia" w:hAnsi="Century Gothic"/>
            <w:noProof/>
          </w:rPr>
          <w:t>Introduction</w:t>
        </w:r>
        <w:r w:rsidR="00554B7A" w:rsidRPr="00A67C76">
          <w:rPr>
            <w:rFonts w:ascii="Century Gothic" w:hAnsi="Century Gothic"/>
            <w:noProof/>
            <w:webHidden/>
          </w:rPr>
          <w:tab/>
        </w:r>
        <w:r w:rsidRPr="00A67C76">
          <w:rPr>
            <w:rFonts w:ascii="Century Gothic" w:hAnsi="Century Gothic"/>
            <w:noProof/>
            <w:webHidden/>
          </w:rPr>
          <w:fldChar w:fldCharType="begin"/>
        </w:r>
        <w:r w:rsidR="00554B7A" w:rsidRPr="00A67C76">
          <w:rPr>
            <w:rFonts w:ascii="Century Gothic" w:hAnsi="Century Gothic"/>
            <w:noProof/>
            <w:webHidden/>
          </w:rPr>
          <w:instrText xml:space="preserve"> PAGEREF _Toc387843573 \h </w:instrText>
        </w:r>
        <w:r w:rsidRPr="00A67C76">
          <w:rPr>
            <w:rFonts w:ascii="Century Gothic" w:hAnsi="Century Gothic"/>
            <w:noProof/>
            <w:webHidden/>
          </w:rPr>
        </w:r>
        <w:r w:rsidRPr="00A67C76">
          <w:rPr>
            <w:rFonts w:ascii="Century Gothic" w:hAnsi="Century Gothic"/>
            <w:noProof/>
            <w:webHidden/>
          </w:rPr>
          <w:fldChar w:fldCharType="separate"/>
        </w:r>
        <w:r w:rsidR="009659F2">
          <w:rPr>
            <w:rFonts w:ascii="Century Gothic" w:hAnsi="Century Gothic"/>
            <w:noProof/>
            <w:webHidden/>
          </w:rPr>
          <w:t>11</w:t>
        </w:r>
        <w:r w:rsidRPr="00A67C76">
          <w:rPr>
            <w:rFonts w:ascii="Century Gothic" w:hAnsi="Century Gothic"/>
            <w:noProof/>
            <w:webHidden/>
          </w:rPr>
          <w:fldChar w:fldCharType="end"/>
        </w:r>
      </w:hyperlink>
    </w:p>
    <w:p w:rsidR="00554B7A" w:rsidRPr="00A67C76" w:rsidRDefault="002E6077" w:rsidP="00817569">
      <w:pPr>
        <w:pStyle w:val="TOC2"/>
        <w:rPr>
          <w:rFonts w:ascii="Century Gothic" w:eastAsiaTheme="minorEastAsia" w:hAnsi="Century Gothic" w:cstheme="minorBidi"/>
          <w:color w:val="auto"/>
          <w:kern w:val="0"/>
          <w:sz w:val="22"/>
          <w:szCs w:val="22"/>
          <w:lang w:eastAsia="en-AU"/>
        </w:rPr>
      </w:pPr>
      <w:hyperlink w:anchor="_Toc387843574" w:history="1">
        <w:r w:rsidR="00554B7A" w:rsidRPr="00A67C76">
          <w:rPr>
            <w:rStyle w:val="Hyperlink"/>
            <w:rFonts w:ascii="Century Gothic" w:eastAsiaTheme="majorEastAsia" w:hAnsi="Century Gothic"/>
          </w:rPr>
          <w:t>1.1</w:t>
        </w:r>
        <w:r w:rsidR="00554B7A" w:rsidRPr="00A67C76">
          <w:rPr>
            <w:rFonts w:ascii="Century Gothic" w:eastAsiaTheme="minorEastAsia" w:hAnsi="Century Gothic" w:cstheme="minorBidi"/>
            <w:color w:val="auto"/>
            <w:kern w:val="0"/>
            <w:sz w:val="22"/>
            <w:szCs w:val="22"/>
            <w:lang w:eastAsia="en-AU"/>
          </w:rPr>
          <w:tab/>
        </w:r>
        <w:r w:rsidR="00554B7A" w:rsidRPr="00A67C76">
          <w:rPr>
            <w:rStyle w:val="Hyperlink"/>
            <w:rFonts w:ascii="Century Gothic" w:eastAsiaTheme="majorEastAsia" w:hAnsi="Century Gothic"/>
          </w:rPr>
          <w:t>General background</w:t>
        </w:r>
        <w:r w:rsidR="00554B7A" w:rsidRPr="00A67C76">
          <w:rPr>
            <w:rFonts w:ascii="Century Gothic" w:hAnsi="Century Gothic"/>
            <w:webHidden/>
          </w:rPr>
          <w:tab/>
        </w:r>
        <w:r w:rsidRPr="00A67C76">
          <w:rPr>
            <w:rFonts w:ascii="Century Gothic" w:hAnsi="Century Gothic"/>
            <w:webHidden/>
          </w:rPr>
          <w:fldChar w:fldCharType="begin"/>
        </w:r>
        <w:r w:rsidR="00554B7A" w:rsidRPr="00A67C76">
          <w:rPr>
            <w:rFonts w:ascii="Century Gothic" w:hAnsi="Century Gothic"/>
            <w:webHidden/>
          </w:rPr>
          <w:instrText xml:space="preserve"> PAGEREF _Toc387843574 \h </w:instrText>
        </w:r>
        <w:r w:rsidRPr="00A67C76">
          <w:rPr>
            <w:rFonts w:ascii="Century Gothic" w:hAnsi="Century Gothic"/>
            <w:webHidden/>
          </w:rPr>
        </w:r>
        <w:r w:rsidRPr="00A67C76">
          <w:rPr>
            <w:rFonts w:ascii="Century Gothic" w:hAnsi="Century Gothic"/>
            <w:webHidden/>
          </w:rPr>
          <w:fldChar w:fldCharType="separate"/>
        </w:r>
        <w:r w:rsidR="009659F2">
          <w:rPr>
            <w:rFonts w:ascii="Century Gothic" w:hAnsi="Century Gothic"/>
            <w:webHidden/>
          </w:rPr>
          <w:t>11</w:t>
        </w:r>
        <w:r w:rsidRPr="00A67C76">
          <w:rPr>
            <w:rFonts w:ascii="Century Gothic" w:hAnsi="Century Gothic"/>
            <w:webHidden/>
          </w:rPr>
          <w:fldChar w:fldCharType="end"/>
        </w:r>
      </w:hyperlink>
    </w:p>
    <w:p w:rsidR="00554B7A" w:rsidRPr="00A67C76" w:rsidRDefault="002E6077" w:rsidP="00817569">
      <w:pPr>
        <w:pStyle w:val="TOC2"/>
        <w:rPr>
          <w:rFonts w:ascii="Century Gothic" w:eastAsiaTheme="minorEastAsia" w:hAnsi="Century Gothic" w:cstheme="minorBidi"/>
          <w:color w:val="auto"/>
          <w:kern w:val="0"/>
          <w:sz w:val="22"/>
          <w:szCs w:val="22"/>
          <w:lang w:eastAsia="en-AU"/>
        </w:rPr>
      </w:pPr>
      <w:hyperlink w:anchor="_Toc387843575" w:history="1">
        <w:r w:rsidR="00554B7A" w:rsidRPr="00A67C76">
          <w:rPr>
            <w:rStyle w:val="Hyperlink"/>
            <w:rFonts w:ascii="Century Gothic" w:eastAsiaTheme="majorEastAsia" w:hAnsi="Century Gothic"/>
          </w:rPr>
          <w:t>1.2</w:t>
        </w:r>
        <w:r w:rsidR="00554B7A" w:rsidRPr="00A67C76">
          <w:rPr>
            <w:rFonts w:ascii="Century Gothic" w:eastAsiaTheme="minorEastAsia" w:hAnsi="Century Gothic" w:cstheme="minorBidi"/>
            <w:color w:val="auto"/>
            <w:kern w:val="0"/>
            <w:sz w:val="22"/>
            <w:szCs w:val="22"/>
            <w:lang w:eastAsia="en-AU"/>
          </w:rPr>
          <w:tab/>
        </w:r>
        <w:r w:rsidR="00554B7A" w:rsidRPr="00A67C76">
          <w:rPr>
            <w:rStyle w:val="Hyperlink"/>
            <w:rFonts w:ascii="Century Gothic" w:eastAsiaTheme="majorEastAsia" w:hAnsi="Century Gothic"/>
          </w:rPr>
          <w:t>Hydrology</w:t>
        </w:r>
        <w:r w:rsidR="00554B7A" w:rsidRPr="00A67C76">
          <w:rPr>
            <w:rFonts w:ascii="Century Gothic" w:hAnsi="Century Gothic"/>
            <w:webHidden/>
          </w:rPr>
          <w:tab/>
        </w:r>
        <w:r w:rsidRPr="00A67C76">
          <w:rPr>
            <w:rFonts w:ascii="Century Gothic" w:hAnsi="Century Gothic"/>
            <w:webHidden/>
          </w:rPr>
          <w:fldChar w:fldCharType="begin"/>
        </w:r>
        <w:r w:rsidR="00554B7A" w:rsidRPr="00A67C76">
          <w:rPr>
            <w:rFonts w:ascii="Century Gothic" w:hAnsi="Century Gothic"/>
            <w:webHidden/>
          </w:rPr>
          <w:instrText xml:space="preserve"> PAGEREF _Toc387843575 \h </w:instrText>
        </w:r>
        <w:r w:rsidRPr="00A67C76">
          <w:rPr>
            <w:rFonts w:ascii="Century Gothic" w:hAnsi="Century Gothic"/>
            <w:webHidden/>
          </w:rPr>
        </w:r>
        <w:r w:rsidRPr="00A67C76">
          <w:rPr>
            <w:rFonts w:ascii="Century Gothic" w:hAnsi="Century Gothic"/>
            <w:webHidden/>
          </w:rPr>
          <w:fldChar w:fldCharType="separate"/>
        </w:r>
        <w:r w:rsidR="009659F2">
          <w:rPr>
            <w:rFonts w:ascii="Century Gothic" w:hAnsi="Century Gothic"/>
            <w:webHidden/>
          </w:rPr>
          <w:t>12</w:t>
        </w:r>
        <w:r w:rsidRPr="00A67C76">
          <w:rPr>
            <w:rFonts w:ascii="Century Gothic" w:hAnsi="Century Gothic"/>
            <w:webHidden/>
          </w:rPr>
          <w:fldChar w:fldCharType="end"/>
        </w:r>
      </w:hyperlink>
    </w:p>
    <w:p w:rsidR="00554B7A" w:rsidRPr="00A67C76" w:rsidRDefault="002E6077" w:rsidP="00817569">
      <w:pPr>
        <w:pStyle w:val="TOC2"/>
        <w:rPr>
          <w:rFonts w:ascii="Century Gothic" w:eastAsiaTheme="minorEastAsia" w:hAnsi="Century Gothic" w:cstheme="minorBidi"/>
          <w:color w:val="auto"/>
          <w:kern w:val="0"/>
          <w:sz w:val="22"/>
          <w:szCs w:val="22"/>
          <w:lang w:eastAsia="en-AU"/>
        </w:rPr>
      </w:pPr>
      <w:hyperlink w:anchor="_Toc387843576" w:history="1">
        <w:r w:rsidR="00554B7A" w:rsidRPr="00A67C76">
          <w:rPr>
            <w:rStyle w:val="Hyperlink"/>
            <w:rFonts w:ascii="Century Gothic" w:eastAsiaTheme="majorEastAsia" w:hAnsi="Century Gothic"/>
          </w:rPr>
          <w:t>1.3</w:t>
        </w:r>
        <w:r w:rsidR="00554B7A" w:rsidRPr="00A67C76">
          <w:rPr>
            <w:rFonts w:ascii="Century Gothic" w:eastAsiaTheme="minorEastAsia" w:hAnsi="Century Gothic" w:cstheme="minorBidi"/>
            <w:color w:val="auto"/>
            <w:kern w:val="0"/>
            <w:sz w:val="22"/>
            <w:szCs w:val="22"/>
            <w:lang w:eastAsia="en-AU"/>
          </w:rPr>
          <w:tab/>
        </w:r>
        <w:r w:rsidR="00554B7A" w:rsidRPr="00A67C76">
          <w:rPr>
            <w:rStyle w:val="Hyperlink"/>
            <w:rFonts w:ascii="Century Gothic" w:eastAsiaTheme="majorEastAsia" w:hAnsi="Century Gothic"/>
          </w:rPr>
          <w:t>Commonwealth environmental watering objectives, evaluation questions and monitoring tasks</w:t>
        </w:r>
        <w:r w:rsidR="00554B7A" w:rsidRPr="00A67C76">
          <w:rPr>
            <w:rFonts w:ascii="Century Gothic" w:hAnsi="Century Gothic"/>
            <w:webHidden/>
          </w:rPr>
          <w:tab/>
        </w:r>
        <w:r w:rsidRPr="00A67C76">
          <w:rPr>
            <w:rFonts w:ascii="Century Gothic" w:hAnsi="Century Gothic"/>
            <w:webHidden/>
          </w:rPr>
          <w:fldChar w:fldCharType="begin"/>
        </w:r>
        <w:r w:rsidR="00554B7A" w:rsidRPr="00A67C76">
          <w:rPr>
            <w:rFonts w:ascii="Century Gothic" w:hAnsi="Century Gothic"/>
            <w:webHidden/>
          </w:rPr>
          <w:instrText xml:space="preserve"> PAGEREF _Toc387843576 \h </w:instrText>
        </w:r>
        <w:r w:rsidRPr="00A67C76">
          <w:rPr>
            <w:rFonts w:ascii="Century Gothic" w:hAnsi="Century Gothic"/>
            <w:webHidden/>
          </w:rPr>
        </w:r>
        <w:r w:rsidRPr="00A67C76">
          <w:rPr>
            <w:rFonts w:ascii="Century Gothic" w:hAnsi="Century Gothic"/>
            <w:webHidden/>
          </w:rPr>
          <w:fldChar w:fldCharType="separate"/>
        </w:r>
        <w:r w:rsidR="009659F2">
          <w:rPr>
            <w:rFonts w:ascii="Century Gothic" w:hAnsi="Century Gothic"/>
            <w:webHidden/>
          </w:rPr>
          <w:t>14</w:t>
        </w:r>
        <w:r w:rsidRPr="00A67C76">
          <w:rPr>
            <w:rFonts w:ascii="Century Gothic" w:hAnsi="Century Gothic"/>
            <w:webHidden/>
          </w:rPr>
          <w:fldChar w:fldCharType="end"/>
        </w:r>
      </w:hyperlink>
    </w:p>
    <w:p w:rsidR="00554B7A" w:rsidRPr="00A67C76" w:rsidRDefault="002E6077">
      <w:pPr>
        <w:pStyle w:val="TOC3"/>
        <w:contextualSpacing/>
        <w:rPr>
          <w:rFonts w:ascii="Century Gothic" w:eastAsiaTheme="minorEastAsia" w:hAnsi="Century Gothic" w:cstheme="minorBidi"/>
          <w:i w:val="0"/>
          <w:noProof/>
          <w:color w:val="auto"/>
          <w:kern w:val="0"/>
          <w:sz w:val="22"/>
          <w:szCs w:val="22"/>
          <w:lang w:eastAsia="en-AU"/>
        </w:rPr>
      </w:pPr>
      <w:hyperlink w:anchor="_Toc387843577" w:history="1">
        <w:r w:rsidR="00554B7A" w:rsidRPr="00A67C76">
          <w:rPr>
            <w:rStyle w:val="Hyperlink"/>
            <w:rFonts w:ascii="Century Gothic" w:eastAsiaTheme="majorEastAsia" w:hAnsi="Century Gothic"/>
            <w:noProof/>
          </w:rPr>
          <w:t>Main channel</w:t>
        </w:r>
        <w:r w:rsidR="00554B7A" w:rsidRPr="00A67C76">
          <w:rPr>
            <w:rFonts w:ascii="Century Gothic" w:hAnsi="Century Gothic"/>
            <w:noProof/>
            <w:webHidden/>
          </w:rPr>
          <w:tab/>
        </w:r>
        <w:r w:rsidRPr="00A67C76">
          <w:rPr>
            <w:rFonts w:ascii="Century Gothic" w:hAnsi="Century Gothic"/>
            <w:noProof/>
            <w:webHidden/>
          </w:rPr>
          <w:fldChar w:fldCharType="begin"/>
        </w:r>
        <w:r w:rsidR="00554B7A" w:rsidRPr="00A67C76">
          <w:rPr>
            <w:rFonts w:ascii="Century Gothic" w:hAnsi="Century Gothic"/>
            <w:noProof/>
            <w:webHidden/>
          </w:rPr>
          <w:instrText xml:space="preserve"> PAGEREF _Toc387843577 \h </w:instrText>
        </w:r>
        <w:r w:rsidRPr="00A67C76">
          <w:rPr>
            <w:rFonts w:ascii="Century Gothic" w:hAnsi="Century Gothic"/>
            <w:noProof/>
            <w:webHidden/>
          </w:rPr>
        </w:r>
        <w:r w:rsidRPr="00A67C76">
          <w:rPr>
            <w:rFonts w:ascii="Century Gothic" w:hAnsi="Century Gothic"/>
            <w:noProof/>
            <w:webHidden/>
          </w:rPr>
          <w:fldChar w:fldCharType="separate"/>
        </w:r>
        <w:r w:rsidR="009659F2">
          <w:rPr>
            <w:rFonts w:ascii="Century Gothic" w:hAnsi="Century Gothic"/>
            <w:noProof/>
            <w:webHidden/>
          </w:rPr>
          <w:t>16</w:t>
        </w:r>
        <w:r w:rsidRPr="00A67C76">
          <w:rPr>
            <w:rFonts w:ascii="Century Gothic" w:hAnsi="Century Gothic"/>
            <w:noProof/>
            <w:webHidden/>
          </w:rPr>
          <w:fldChar w:fldCharType="end"/>
        </w:r>
      </w:hyperlink>
    </w:p>
    <w:p w:rsidR="00554B7A" w:rsidRPr="00A67C76" w:rsidRDefault="002E6077">
      <w:pPr>
        <w:pStyle w:val="TOC3"/>
        <w:contextualSpacing/>
        <w:rPr>
          <w:rFonts w:ascii="Century Gothic" w:eastAsiaTheme="minorEastAsia" w:hAnsi="Century Gothic" w:cstheme="minorBidi"/>
          <w:i w:val="0"/>
          <w:noProof/>
          <w:color w:val="auto"/>
          <w:kern w:val="0"/>
          <w:sz w:val="22"/>
          <w:szCs w:val="22"/>
          <w:lang w:eastAsia="en-AU"/>
        </w:rPr>
      </w:pPr>
      <w:hyperlink w:anchor="_Toc387843578" w:history="1">
        <w:r w:rsidR="00554B7A" w:rsidRPr="00A67C76">
          <w:rPr>
            <w:rStyle w:val="Hyperlink"/>
            <w:rFonts w:ascii="Century Gothic" w:eastAsiaTheme="majorEastAsia" w:hAnsi="Century Gothic"/>
            <w:noProof/>
          </w:rPr>
          <w:t>Wetlands</w:t>
        </w:r>
        <w:r w:rsidR="00554B7A" w:rsidRPr="00A67C76">
          <w:rPr>
            <w:rFonts w:ascii="Century Gothic" w:hAnsi="Century Gothic"/>
            <w:noProof/>
            <w:webHidden/>
          </w:rPr>
          <w:tab/>
        </w:r>
        <w:r w:rsidRPr="00A67C76">
          <w:rPr>
            <w:rFonts w:ascii="Century Gothic" w:hAnsi="Century Gothic"/>
            <w:noProof/>
            <w:webHidden/>
          </w:rPr>
          <w:fldChar w:fldCharType="begin"/>
        </w:r>
        <w:r w:rsidR="00554B7A" w:rsidRPr="00A67C76">
          <w:rPr>
            <w:rFonts w:ascii="Century Gothic" w:hAnsi="Century Gothic"/>
            <w:noProof/>
            <w:webHidden/>
          </w:rPr>
          <w:instrText xml:space="preserve"> PAGEREF _Toc387843578 \h </w:instrText>
        </w:r>
        <w:r w:rsidRPr="00A67C76">
          <w:rPr>
            <w:rFonts w:ascii="Century Gothic" w:hAnsi="Century Gothic"/>
            <w:noProof/>
            <w:webHidden/>
          </w:rPr>
        </w:r>
        <w:r w:rsidRPr="00A67C76">
          <w:rPr>
            <w:rFonts w:ascii="Century Gothic" w:hAnsi="Century Gothic"/>
            <w:noProof/>
            <w:webHidden/>
          </w:rPr>
          <w:fldChar w:fldCharType="separate"/>
        </w:r>
        <w:r w:rsidR="009659F2">
          <w:rPr>
            <w:rFonts w:ascii="Century Gothic" w:hAnsi="Century Gothic"/>
            <w:noProof/>
            <w:webHidden/>
          </w:rPr>
          <w:t>18</w:t>
        </w:r>
        <w:r w:rsidRPr="00A67C76">
          <w:rPr>
            <w:rFonts w:ascii="Century Gothic" w:hAnsi="Century Gothic"/>
            <w:noProof/>
            <w:webHidden/>
          </w:rPr>
          <w:fldChar w:fldCharType="end"/>
        </w:r>
      </w:hyperlink>
    </w:p>
    <w:p w:rsidR="00554B7A" w:rsidRPr="00A67C76" w:rsidRDefault="002E6077">
      <w:pPr>
        <w:pStyle w:val="TOC3"/>
        <w:contextualSpacing/>
        <w:rPr>
          <w:rFonts w:ascii="Century Gothic" w:eastAsiaTheme="minorEastAsia" w:hAnsi="Century Gothic" w:cstheme="minorBidi"/>
          <w:i w:val="0"/>
          <w:noProof/>
          <w:color w:val="auto"/>
          <w:kern w:val="0"/>
          <w:sz w:val="22"/>
          <w:szCs w:val="22"/>
          <w:lang w:eastAsia="en-AU"/>
        </w:rPr>
      </w:pPr>
      <w:hyperlink w:anchor="_Toc387843579" w:history="1">
        <w:r w:rsidR="00554B7A" w:rsidRPr="00A67C76">
          <w:rPr>
            <w:rStyle w:val="Hyperlink"/>
            <w:rFonts w:ascii="Century Gothic" w:eastAsiaTheme="majorEastAsia" w:hAnsi="Century Gothic"/>
            <w:noProof/>
          </w:rPr>
          <w:t>Coorong (modelling)</w:t>
        </w:r>
        <w:r w:rsidR="00554B7A" w:rsidRPr="00A67C76">
          <w:rPr>
            <w:rFonts w:ascii="Century Gothic" w:hAnsi="Century Gothic"/>
            <w:noProof/>
            <w:webHidden/>
          </w:rPr>
          <w:tab/>
        </w:r>
        <w:r w:rsidRPr="00A67C76">
          <w:rPr>
            <w:rFonts w:ascii="Century Gothic" w:hAnsi="Century Gothic"/>
            <w:noProof/>
            <w:webHidden/>
          </w:rPr>
          <w:fldChar w:fldCharType="begin"/>
        </w:r>
        <w:r w:rsidR="00554B7A" w:rsidRPr="00A67C76">
          <w:rPr>
            <w:rFonts w:ascii="Century Gothic" w:hAnsi="Century Gothic"/>
            <w:noProof/>
            <w:webHidden/>
          </w:rPr>
          <w:instrText xml:space="preserve"> PAGEREF _Toc387843579 \h </w:instrText>
        </w:r>
        <w:r w:rsidRPr="00A67C76">
          <w:rPr>
            <w:rFonts w:ascii="Century Gothic" w:hAnsi="Century Gothic"/>
            <w:noProof/>
            <w:webHidden/>
          </w:rPr>
        </w:r>
        <w:r w:rsidRPr="00A67C76">
          <w:rPr>
            <w:rFonts w:ascii="Century Gothic" w:hAnsi="Century Gothic"/>
            <w:noProof/>
            <w:webHidden/>
          </w:rPr>
          <w:fldChar w:fldCharType="separate"/>
        </w:r>
        <w:r w:rsidR="009659F2">
          <w:rPr>
            <w:rFonts w:ascii="Century Gothic" w:hAnsi="Century Gothic"/>
            <w:noProof/>
            <w:webHidden/>
          </w:rPr>
          <w:t>20</w:t>
        </w:r>
        <w:r w:rsidRPr="00A67C76">
          <w:rPr>
            <w:rFonts w:ascii="Century Gothic" w:hAnsi="Century Gothic"/>
            <w:noProof/>
            <w:webHidden/>
          </w:rPr>
          <w:fldChar w:fldCharType="end"/>
        </w:r>
      </w:hyperlink>
    </w:p>
    <w:p w:rsidR="00554B7A" w:rsidRPr="00A67C76" w:rsidRDefault="002E6077">
      <w:pPr>
        <w:pStyle w:val="TOC1"/>
        <w:tabs>
          <w:tab w:val="left" w:pos="660"/>
          <w:tab w:val="right" w:leader="dot" w:pos="9010"/>
        </w:tabs>
        <w:contextualSpacing/>
        <w:rPr>
          <w:rFonts w:ascii="Century Gothic" w:eastAsiaTheme="minorEastAsia" w:hAnsi="Century Gothic" w:cstheme="minorBidi"/>
          <w:b w:val="0"/>
          <w:caps w:val="0"/>
          <w:noProof/>
          <w:color w:val="auto"/>
          <w:kern w:val="0"/>
          <w:sz w:val="22"/>
          <w:szCs w:val="22"/>
          <w:lang w:eastAsia="en-AU"/>
        </w:rPr>
      </w:pPr>
      <w:hyperlink w:anchor="_Toc387843580" w:history="1">
        <w:r w:rsidR="00554B7A" w:rsidRPr="00A67C76">
          <w:rPr>
            <w:rStyle w:val="Hyperlink"/>
            <w:rFonts w:ascii="Century Gothic" w:eastAsiaTheme="majorEastAsia" w:hAnsi="Century Gothic"/>
            <w:noProof/>
          </w:rPr>
          <w:t>2</w:t>
        </w:r>
        <w:r w:rsidR="00554B7A" w:rsidRPr="00A67C76">
          <w:rPr>
            <w:rFonts w:ascii="Century Gothic" w:eastAsiaTheme="minorEastAsia" w:hAnsi="Century Gothic" w:cstheme="minorBidi"/>
            <w:b w:val="0"/>
            <w:caps w:val="0"/>
            <w:noProof/>
            <w:color w:val="auto"/>
            <w:kern w:val="0"/>
            <w:sz w:val="22"/>
            <w:szCs w:val="22"/>
            <w:lang w:eastAsia="en-AU"/>
          </w:rPr>
          <w:tab/>
        </w:r>
        <w:r w:rsidR="00554B7A" w:rsidRPr="00A67C76">
          <w:rPr>
            <w:rStyle w:val="Hyperlink"/>
            <w:rFonts w:ascii="Century Gothic" w:eastAsiaTheme="majorEastAsia" w:hAnsi="Century Gothic"/>
            <w:noProof/>
          </w:rPr>
          <w:t>Biology and ecology background for tasks</w:t>
        </w:r>
        <w:r w:rsidR="00554B7A" w:rsidRPr="00A67C76">
          <w:rPr>
            <w:rFonts w:ascii="Century Gothic" w:hAnsi="Century Gothic"/>
            <w:noProof/>
            <w:webHidden/>
          </w:rPr>
          <w:tab/>
        </w:r>
        <w:r w:rsidRPr="00A67C76">
          <w:rPr>
            <w:rFonts w:ascii="Century Gothic" w:hAnsi="Century Gothic"/>
            <w:noProof/>
            <w:webHidden/>
          </w:rPr>
          <w:fldChar w:fldCharType="begin"/>
        </w:r>
        <w:r w:rsidR="00554B7A" w:rsidRPr="00A67C76">
          <w:rPr>
            <w:rFonts w:ascii="Century Gothic" w:hAnsi="Century Gothic"/>
            <w:noProof/>
            <w:webHidden/>
          </w:rPr>
          <w:instrText xml:space="preserve"> PAGEREF _Toc387843580 \h </w:instrText>
        </w:r>
        <w:r w:rsidRPr="00A67C76">
          <w:rPr>
            <w:rFonts w:ascii="Century Gothic" w:hAnsi="Century Gothic"/>
            <w:noProof/>
            <w:webHidden/>
          </w:rPr>
        </w:r>
        <w:r w:rsidRPr="00A67C76">
          <w:rPr>
            <w:rFonts w:ascii="Century Gothic" w:hAnsi="Century Gothic"/>
            <w:noProof/>
            <w:webHidden/>
          </w:rPr>
          <w:fldChar w:fldCharType="separate"/>
        </w:r>
        <w:r w:rsidR="009659F2">
          <w:rPr>
            <w:rFonts w:ascii="Century Gothic" w:hAnsi="Century Gothic"/>
            <w:noProof/>
            <w:webHidden/>
          </w:rPr>
          <w:t>22</w:t>
        </w:r>
        <w:r w:rsidRPr="00A67C76">
          <w:rPr>
            <w:rFonts w:ascii="Century Gothic" w:hAnsi="Century Gothic"/>
            <w:noProof/>
            <w:webHidden/>
          </w:rPr>
          <w:fldChar w:fldCharType="end"/>
        </w:r>
      </w:hyperlink>
    </w:p>
    <w:p w:rsidR="00554B7A" w:rsidRPr="00A67C76" w:rsidRDefault="002E6077">
      <w:pPr>
        <w:pStyle w:val="TOC3"/>
        <w:contextualSpacing/>
        <w:rPr>
          <w:rFonts w:ascii="Century Gothic" w:eastAsiaTheme="minorEastAsia" w:hAnsi="Century Gothic" w:cstheme="minorBidi"/>
          <w:i w:val="0"/>
          <w:noProof/>
          <w:color w:val="auto"/>
          <w:kern w:val="0"/>
          <w:sz w:val="22"/>
          <w:szCs w:val="22"/>
          <w:lang w:eastAsia="en-AU"/>
        </w:rPr>
      </w:pPr>
      <w:hyperlink w:anchor="_Toc387843581" w:history="1">
        <w:r w:rsidR="00554B7A" w:rsidRPr="00A67C76">
          <w:rPr>
            <w:rStyle w:val="Hyperlink"/>
            <w:rFonts w:ascii="Century Gothic" w:eastAsiaTheme="majorEastAsia" w:hAnsi="Century Gothic"/>
            <w:noProof/>
          </w:rPr>
          <w:t>Main channel</w:t>
        </w:r>
        <w:r w:rsidR="00554B7A" w:rsidRPr="00A67C76">
          <w:rPr>
            <w:rFonts w:ascii="Century Gothic" w:hAnsi="Century Gothic"/>
            <w:noProof/>
            <w:webHidden/>
          </w:rPr>
          <w:tab/>
        </w:r>
        <w:r w:rsidRPr="00A67C76">
          <w:rPr>
            <w:rFonts w:ascii="Century Gothic" w:hAnsi="Century Gothic"/>
            <w:noProof/>
            <w:webHidden/>
          </w:rPr>
          <w:fldChar w:fldCharType="begin"/>
        </w:r>
        <w:r w:rsidR="00554B7A" w:rsidRPr="00A67C76">
          <w:rPr>
            <w:rFonts w:ascii="Century Gothic" w:hAnsi="Century Gothic"/>
            <w:noProof/>
            <w:webHidden/>
          </w:rPr>
          <w:instrText xml:space="preserve"> PAGEREF _Toc387843581 \h </w:instrText>
        </w:r>
        <w:r w:rsidRPr="00A67C76">
          <w:rPr>
            <w:rFonts w:ascii="Century Gothic" w:hAnsi="Century Gothic"/>
            <w:noProof/>
            <w:webHidden/>
          </w:rPr>
        </w:r>
        <w:r w:rsidRPr="00A67C76">
          <w:rPr>
            <w:rFonts w:ascii="Century Gothic" w:hAnsi="Century Gothic"/>
            <w:noProof/>
            <w:webHidden/>
          </w:rPr>
          <w:fldChar w:fldCharType="separate"/>
        </w:r>
        <w:r w:rsidR="009659F2">
          <w:rPr>
            <w:rFonts w:ascii="Century Gothic" w:hAnsi="Century Gothic"/>
            <w:noProof/>
            <w:webHidden/>
          </w:rPr>
          <w:t>22</w:t>
        </w:r>
        <w:r w:rsidRPr="00A67C76">
          <w:rPr>
            <w:rFonts w:ascii="Century Gothic" w:hAnsi="Century Gothic"/>
            <w:noProof/>
            <w:webHidden/>
          </w:rPr>
          <w:fldChar w:fldCharType="end"/>
        </w:r>
      </w:hyperlink>
    </w:p>
    <w:p w:rsidR="00554B7A" w:rsidRPr="00A67C76" w:rsidRDefault="002E6077">
      <w:pPr>
        <w:pStyle w:val="TOC3"/>
        <w:contextualSpacing/>
        <w:rPr>
          <w:rFonts w:ascii="Century Gothic" w:eastAsiaTheme="minorEastAsia" w:hAnsi="Century Gothic" w:cstheme="minorBidi"/>
          <w:i w:val="0"/>
          <w:noProof/>
          <w:color w:val="auto"/>
          <w:kern w:val="0"/>
          <w:sz w:val="22"/>
          <w:szCs w:val="22"/>
          <w:lang w:eastAsia="en-AU"/>
        </w:rPr>
      </w:pPr>
      <w:hyperlink w:anchor="_Toc387843582" w:history="1">
        <w:r w:rsidR="00554B7A" w:rsidRPr="00A67C76">
          <w:rPr>
            <w:rStyle w:val="Hyperlink"/>
            <w:rFonts w:ascii="Century Gothic" w:eastAsiaTheme="majorEastAsia" w:hAnsi="Century Gothic"/>
            <w:noProof/>
          </w:rPr>
          <w:t>Wetlands</w:t>
        </w:r>
        <w:r w:rsidR="00554B7A" w:rsidRPr="00A67C76">
          <w:rPr>
            <w:rFonts w:ascii="Century Gothic" w:hAnsi="Century Gothic"/>
            <w:noProof/>
            <w:webHidden/>
          </w:rPr>
          <w:tab/>
        </w:r>
        <w:r w:rsidRPr="00A67C76">
          <w:rPr>
            <w:rFonts w:ascii="Century Gothic" w:hAnsi="Century Gothic"/>
            <w:noProof/>
            <w:webHidden/>
          </w:rPr>
          <w:fldChar w:fldCharType="begin"/>
        </w:r>
        <w:r w:rsidR="00554B7A" w:rsidRPr="00A67C76">
          <w:rPr>
            <w:rFonts w:ascii="Century Gothic" w:hAnsi="Century Gothic"/>
            <w:noProof/>
            <w:webHidden/>
          </w:rPr>
          <w:instrText xml:space="preserve"> PAGEREF _Toc387843582 \h </w:instrText>
        </w:r>
        <w:r w:rsidRPr="00A67C76">
          <w:rPr>
            <w:rFonts w:ascii="Century Gothic" w:hAnsi="Century Gothic"/>
            <w:noProof/>
            <w:webHidden/>
          </w:rPr>
        </w:r>
        <w:r w:rsidRPr="00A67C76">
          <w:rPr>
            <w:rFonts w:ascii="Century Gothic" w:hAnsi="Century Gothic"/>
            <w:noProof/>
            <w:webHidden/>
          </w:rPr>
          <w:fldChar w:fldCharType="separate"/>
        </w:r>
        <w:r w:rsidR="009659F2">
          <w:rPr>
            <w:rFonts w:ascii="Century Gothic" w:hAnsi="Century Gothic"/>
            <w:noProof/>
            <w:webHidden/>
          </w:rPr>
          <w:t>26</w:t>
        </w:r>
        <w:r w:rsidRPr="00A67C76">
          <w:rPr>
            <w:rFonts w:ascii="Century Gothic" w:hAnsi="Century Gothic"/>
            <w:noProof/>
            <w:webHidden/>
          </w:rPr>
          <w:fldChar w:fldCharType="end"/>
        </w:r>
      </w:hyperlink>
    </w:p>
    <w:p w:rsidR="00554B7A" w:rsidRPr="00A67C76" w:rsidRDefault="002E6077">
      <w:pPr>
        <w:pStyle w:val="TOC3"/>
        <w:contextualSpacing/>
        <w:rPr>
          <w:rFonts w:ascii="Century Gothic" w:eastAsiaTheme="minorEastAsia" w:hAnsi="Century Gothic" w:cstheme="minorBidi"/>
          <w:i w:val="0"/>
          <w:noProof/>
          <w:color w:val="auto"/>
          <w:kern w:val="0"/>
          <w:sz w:val="22"/>
          <w:szCs w:val="22"/>
          <w:lang w:eastAsia="en-AU"/>
        </w:rPr>
      </w:pPr>
      <w:hyperlink w:anchor="_Toc387843583" w:history="1">
        <w:r w:rsidR="00554B7A" w:rsidRPr="00A67C76">
          <w:rPr>
            <w:rStyle w:val="Hyperlink"/>
            <w:rFonts w:ascii="Century Gothic" w:eastAsiaTheme="majorEastAsia" w:hAnsi="Century Gothic"/>
            <w:noProof/>
          </w:rPr>
          <w:t>Coorong (modelling)</w:t>
        </w:r>
        <w:r w:rsidR="00554B7A" w:rsidRPr="00A67C76">
          <w:rPr>
            <w:rFonts w:ascii="Century Gothic" w:hAnsi="Century Gothic"/>
            <w:noProof/>
            <w:webHidden/>
          </w:rPr>
          <w:tab/>
        </w:r>
        <w:r w:rsidRPr="00A67C76">
          <w:rPr>
            <w:rFonts w:ascii="Century Gothic" w:hAnsi="Century Gothic"/>
            <w:noProof/>
            <w:webHidden/>
          </w:rPr>
          <w:fldChar w:fldCharType="begin"/>
        </w:r>
        <w:r w:rsidR="00554B7A" w:rsidRPr="00A67C76">
          <w:rPr>
            <w:rFonts w:ascii="Century Gothic" w:hAnsi="Century Gothic"/>
            <w:noProof/>
            <w:webHidden/>
          </w:rPr>
          <w:instrText xml:space="preserve"> PAGEREF _Toc387843583 \h </w:instrText>
        </w:r>
        <w:r w:rsidRPr="00A67C76">
          <w:rPr>
            <w:rFonts w:ascii="Century Gothic" w:hAnsi="Century Gothic"/>
            <w:noProof/>
            <w:webHidden/>
          </w:rPr>
        </w:r>
        <w:r w:rsidRPr="00A67C76">
          <w:rPr>
            <w:rFonts w:ascii="Century Gothic" w:hAnsi="Century Gothic"/>
            <w:noProof/>
            <w:webHidden/>
          </w:rPr>
          <w:fldChar w:fldCharType="separate"/>
        </w:r>
        <w:r w:rsidR="009659F2">
          <w:rPr>
            <w:rFonts w:ascii="Century Gothic" w:hAnsi="Century Gothic"/>
            <w:noProof/>
            <w:webHidden/>
          </w:rPr>
          <w:t>29</w:t>
        </w:r>
        <w:r w:rsidRPr="00A67C76">
          <w:rPr>
            <w:rFonts w:ascii="Century Gothic" w:hAnsi="Century Gothic"/>
            <w:noProof/>
            <w:webHidden/>
          </w:rPr>
          <w:fldChar w:fldCharType="end"/>
        </w:r>
      </w:hyperlink>
    </w:p>
    <w:p w:rsidR="00554B7A" w:rsidRPr="00A67C76" w:rsidRDefault="002E6077">
      <w:pPr>
        <w:pStyle w:val="TOC1"/>
        <w:tabs>
          <w:tab w:val="left" w:pos="660"/>
          <w:tab w:val="right" w:leader="dot" w:pos="9010"/>
        </w:tabs>
        <w:contextualSpacing/>
        <w:rPr>
          <w:rFonts w:ascii="Century Gothic" w:eastAsiaTheme="minorEastAsia" w:hAnsi="Century Gothic" w:cstheme="minorBidi"/>
          <w:b w:val="0"/>
          <w:caps w:val="0"/>
          <w:noProof/>
          <w:color w:val="auto"/>
          <w:kern w:val="0"/>
          <w:sz w:val="22"/>
          <w:szCs w:val="22"/>
          <w:lang w:eastAsia="en-AU"/>
        </w:rPr>
      </w:pPr>
      <w:hyperlink w:anchor="_Toc387843584" w:history="1">
        <w:r w:rsidR="00554B7A" w:rsidRPr="00A67C76">
          <w:rPr>
            <w:rStyle w:val="Hyperlink"/>
            <w:rFonts w:ascii="Century Gothic" w:eastAsiaTheme="majorEastAsia" w:hAnsi="Century Gothic"/>
            <w:noProof/>
          </w:rPr>
          <w:t>3</w:t>
        </w:r>
        <w:r w:rsidR="00554B7A" w:rsidRPr="00A67C76">
          <w:rPr>
            <w:rFonts w:ascii="Century Gothic" w:eastAsiaTheme="minorEastAsia" w:hAnsi="Century Gothic" w:cstheme="minorBidi"/>
            <w:b w:val="0"/>
            <w:caps w:val="0"/>
            <w:noProof/>
            <w:color w:val="auto"/>
            <w:kern w:val="0"/>
            <w:sz w:val="22"/>
            <w:szCs w:val="22"/>
            <w:lang w:eastAsia="en-AU"/>
          </w:rPr>
          <w:tab/>
        </w:r>
        <w:r w:rsidR="00554B7A" w:rsidRPr="00A67C76">
          <w:rPr>
            <w:rStyle w:val="Hyperlink"/>
            <w:rFonts w:ascii="Century Gothic" w:eastAsiaTheme="majorEastAsia" w:hAnsi="Century Gothic"/>
            <w:noProof/>
          </w:rPr>
          <w:t>General Methodology</w:t>
        </w:r>
        <w:r w:rsidR="00554B7A" w:rsidRPr="00A67C76">
          <w:rPr>
            <w:rFonts w:ascii="Century Gothic" w:hAnsi="Century Gothic"/>
            <w:noProof/>
            <w:webHidden/>
          </w:rPr>
          <w:tab/>
        </w:r>
        <w:r w:rsidRPr="00A67C76">
          <w:rPr>
            <w:rFonts w:ascii="Century Gothic" w:hAnsi="Century Gothic"/>
            <w:noProof/>
            <w:webHidden/>
          </w:rPr>
          <w:fldChar w:fldCharType="begin"/>
        </w:r>
        <w:r w:rsidR="00554B7A" w:rsidRPr="00A67C76">
          <w:rPr>
            <w:rFonts w:ascii="Century Gothic" w:hAnsi="Century Gothic"/>
            <w:noProof/>
            <w:webHidden/>
          </w:rPr>
          <w:instrText xml:space="preserve"> PAGEREF _Toc387843584 \h </w:instrText>
        </w:r>
        <w:r w:rsidRPr="00A67C76">
          <w:rPr>
            <w:rFonts w:ascii="Century Gothic" w:hAnsi="Century Gothic"/>
            <w:noProof/>
            <w:webHidden/>
          </w:rPr>
        </w:r>
        <w:r w:rsidRPr="00A67C76">
          <w:rPr>
            <w:rFonts w:ascii="Century Gothic" w:hAnsi="Century Gothic"/>
            <w:noProof/>
            <w:webHidden/>
          </w:rPr>
          <w:fldChar w:fldCharType="separate"/>
        </w:r>
        <w:r w:rsidR="009659F2">
          <w:rPr>
            <w:rFonts w:ascii="Century Gothic" w:hAnsi="Century Gothic"/>
            <w:noProof/>
            <w:webHidden/>
          </w:rPr>
          <w:t>37</w:t>
        </w:r>
        <w:r w:rsidRPr="00A67C76">
          <w:rPr>
            <w:rFonts w:ascii="Century Gothic" w:hAnsi="Century Gothic"/>
            <w:noProof/>
            <w:webHidden/>
          </w:rPr>
          <w:fldChar w:fldCharType="end"/>
        </w:r>
      </w:hyperlink>
    </w:p>
    <w:p w:rsidR="00554B7A" w:rsidRPr="00A67C76" w:rsidRDefault="002E6077" w:rsidP="00817569">
      <w:pPr>
        <w:pStyle w:val="TOC2"/>
        <w:rPr>
          <w:rFonts w:ascii="Century Gothic" w:eastAsiaTheme="minorEastAsia" w:hAnsi="Century Gothic" w:cstheme="minorBidi"/>
          <w:color w:val="auto"/>
          <w:kern w:val="0"/>
          <w:sz w:val="22"/>
          <w:szCs w:val="22"/>
          <w:lang w:eastAsia="en-AU"/>
        </w:rPr>
      </w:pPr>
      <w:hyperlink w:anchor="_Toc387843585" w:history="1">
        <w:r w:rsidR="00554B7A" w:rsidRPr="00A67C76">
          <w:rPr>
            <w:rStyle w:val="Hyperlink"/>
            <w:rFonts w:ascii="Century Gothic" w:eastAsiaTheme="majorEastAsia" w:hAnsi="Century Gothic"/>
          </w:rPr>
          <w:t>3.1</w:t>
        </w:r>
        <w:r w:rsidR="00554B7A" w:rsidRPr="00A67C76">
          <w:rPr>
            <w:rFonts w:ascii="Century Gothic" w:eastAsiaTheme="minorEastAsia" w:hAnsi="Century Gothic" w:cstheme="minorBidi"/>
            <w:color w:val="auto"/>
            <w:kern w:val="0"/>
            <w:sz w:val="22"/>
            <w:szCs w:val="22"/>
            <w:lang w:eastAsia="en-AU"/>
          </w:rPr>
          <w:tab/>
        </w:r>
        <w:r w:rsidR="00554B7A" w:rsidRPr="00A67C76">
          <w:rPr>
            <w:rStyle w:val="Hyperlink"/>
            <w:rFonts w:ascii="Century Gothic" w:eastAsiaTheme="majorEastAsia" w:hAnsi="Century Gothic"/>
          </w:rPr>
          <w:t>Study area</w:t>
        </w:r>
        <w:r w:rsidR="00554B7A" w:rsidRPr="00A67C76">
          <w:rPr>
            <w:rFonts w:ascii="Century Gothic" w:hAnsi="Century Gothic"/>
            <w:webHidden/>
          </w:rPr>
          <w:tab/>
        </w:r>
        <w:r w:rsidRPr="00A67C76">
          <w:rPr>
            <w:rFonts w:ascii="Century Gothic" w:hAnsi="Century Gothic"/>
            <w:webHidden/>
          </w:rPr>
          <w:fldChar w:fldCharType="begin"/>
        </w:r>
        <w:r w:rsidR="00554B7A" w:rsidRPr="00A67C76">
          <w:rPr>
            <w:rFonts w:ascii="Century Gothic" w:hAnsi="Century Gothic"/>
            <w:webHidden/>
          </w:rPr>
          <w:instrText xml:space="preserve"> PAGEREF _Toc387843585 \h </w:instrText>
        </w:r>
        <w:r w:rsidRPr="00A67C76">
          <w:rPr>
            <w:rFonts w:ascii="Century Gothic" w:hAnsi="Century Gothic"/>
            <w:webHidden/>
          </w:rPr>
        </w:r>
        <w:r w:rsidRPr="00A67C76">
          <w:rPr>
            <w:rFonts w:ascii="Century Gothic" w:hAnsi="Century Gothic"/>
            <w:webHidden/>
          </w:rPr>
          <w:fldChar w:fldCharType="separate"/>
        </w:r>
        <w:r w:rsidR="009659F2">
          <w:rPr>
            <w:rFonts w:ascii="Century Gothic" w:hAnsi="Century Gothic"/>
            <w:webHidden/>
          </w:rPr>
          <w:t>37</w:t>
        </w:r>
        <w:r w:rsidRPr="00A67C76">
          <w:rPr>
            <w:rFonts w:ascii="Century Gothic" w:hAnsi="Century Gothic"/>
            <w:webHidden/>
          </w:rPr>
          <w:fldChar w:fldCharType="end"/>
        </w:r>
      </w:hyperlink>
    </w:p>
    <w:p w:rsidR="00554B7A" w:rsidRPr="00A67C76" w:rsidRDefault="002E6077">
      <w:pPr>
        <w:pStyle w:val="TOC3"/>
        <w:contextualSpacing/>
        <w:rPr>
          <w:rFonts w:ascii="Century Gothic" w:eastAsiaTheme="minorEastAsia" w:hAnsi="Century Gothic" w:cstheme="minorBidi"/>
          <w:i w:val="0"/>
          <w:noProof/>
          <w:color w:val="auto"/>
          <w:kern w:val="0"/>
          <w:sz w:val="22"/>
          <w:szCs w:val="22"/>
          <w:lang w:eastAsia="en-AU"/>
        </w:rPr>
      </w:pPr>
      <w:hyperlink w:anchor="_Toc387843586" w:history="1">
        <w:r w:rsidR="00554B7A" w:rsidRPr="00A67C76">
          <w:rPr>
            <w:rStyle w:val="Hyperlink"/>
            <w:rFonts w:ascii="Century Gothic" w:eastAsiaTheme="majorEastAsia" w:hAnsi="Century Gothic"/>
            <w:noProof/>
          </w:rPr>
          <w:t>Main channel</w:t>
        </w:r>
        <w:r w:rsidR="00554B7A" w:rsidRPr="00A67C76">
          <w:rPr>
            <w:rFonts w:ascii="Century Gothic" w:hAnsi="Century Gothic"/>
            <w:noProof/>
            <w:webHidden/>
          </w:rPr>
          <w:tab/>
        </w:r>
        <w:r w:rsidRPr="00A67C76">
          <w:rPr>
            <w:rFonts w:ascii="Century Gothic" w:hAnsi="Century Gothic"/>
            <w:noProof/>
            <w:webHidden/>
          </w:rPr>
          <w:fldChar w:fldCharType="begin"/>
        </w:r>
        <w:r w:rsidR="00554B7A" w:rsidRPr="00A67C76">
          <w:rPr>
            <w:rFonts w:ascii="Century Gothic" w:hAnsi="Century Gothic"/>
            <w:noProof/>
            <w:webHidden/>
          </w:rPr>
          <w:instrText xml:space="preserve"> PAGEREF _Toc387843586 \h </w:instrText>
        </w:r>
        <w:r w:rsidRPr="00A67C76">
          <w:rPr>
            <w:rFonts w:ascii="Century Gothic" w:hAnsi="Century Gothic"/>
            <w:noProof/>
            <w:webHidden/>
          </w:rPr>
        </w:r>
        <w:r w:rsidRPr="00A67C76">
          <w:rPr>
            <w:rFonts w:ascii="Century Gothic" w:hAnsi="Century Gothic"/>
            <w:noProof/>
            <w:webHidden/>
          </w:rPr>
          <w:fldChar w:fldCharType="separate"/>
        </w:r>
        <w:r w:rsidR="009659F2">
          <w:rPr>
            <w:rFonts w:ascii="Century Gothic" w:hAnsi="Century Gothic"/>
            <w:noProof/>
            <w:webHidden/>
          </w:rPr>
          <w:t>38</w:t>
        </w:r>
        <w:r w:rsidRPr="00A67C76">
          <w:rPr>
            <w:rFonts w:ascii="Century Gothic" w:hAnsi="Century Gothic"/>
            <w:noProof/>
            <w:webHidden/>
          </w:rPr>
          <w:fldChar w:fldCharType="end"/>
        </w:r>
      </w:hyperlink>
    </w:p>
    <w:p w:rsidR="00554B7A" w:rsidRPr="00A67C76" w:rsidRDefault="002E6077">
      <w:pPr>
        <w:pStyle w:val="TOC3"/>
        <w:contextualSpacing/>
        <w:rPr>
          <w:rFonts w:ascii="Century Gothic" w:eastAsiaTheme="minorEastAsia" w:hAnsi="Century Gothic" w:cstheme="minorBidi"/>
          <w:i w:val="0"/>
          <w:noProof/>
          <w:color w:val="auto"/>
          <w:kern w:val="0"/>
          <w:sz w:val="22"/>
          <w:szCs w:val="22"/>
          <w:lang w:eastAsia="en-AU"/>
        </w:rPr>
      </w:pPr>
      <w:hyperlink w:anchor="_Toc387843587" w:history="1">
        <w:r w:rsidR="00554B7A" w:rsidRPr="00A67C76">
          <w:rPr>
            <w:rStyle w:val="Hyperlink"/>
            <w:rFonts w:ascii="Century Gothic" w:eastAsiaTheme="majorEastAsia" w:hAnsi="Century Gothic"/>
            <w:noProof/>
          </w:rPr>
          <w:t>Wetlands</w:t>
        </w:r>
        <w:r w:rsidR="00554B7A" w:rsidRPr="00A67C76">
          <w:rPr>
            <w:rFonts w:ascii="Century Gothic" w:hAnsi="Century Gothic"/>
            <w:noProof/>
            <w:webHidden/>
          </w:rPr>
          <w:tab/>
        </w:r>
        <w:r w:rsidRPr="00A67C76">
          <w:rPr>
            <w:rFonts w:ascii="Century Gothic" w:hAnsi="Century Gothic"/>
            <w:noProof/>
            <w:webHidden/>
          </w:rPr>
          <w:fldChar w:fldCharType="begin"/>
        </w:r>
        <w:r w:rsidR="00554B7A" w:rsidRPr="00A67C76">
          <w:rPr>
            <w:rFonts w:ascii="Century Gothic" w:hAnsi="Century Gothic"/>
            <w:noProof/>
            <w:webHidden/>
          </w:rPr>
          <w:instrText xml:space="preserve"> PAGEREF _Toc387843587 \h </w:instrText>
        </w:r>
        <w:r w:rsidRPr="00A67C76">
          <w:rPr>
            <w:rFonts w:ascii="Century Gothic" w:hAnsi="Century Gothic"/>
            <w:noProof/>
            <w:webHidden/>
          </w:rPr>
        </w:r>
        <w:r w:rsidRPr="00A67C76">
          <w:rPr>
            <w:rFonts w:ascii="Century Gothic" w:hAnsi="Century Gothic"/>
            <w:noProof/>
            <w:webHidden/>
          </w:rPr>
          <w:fldChar w:fldCharType="separate"/>
        </w:r>
        <w:r w:rsidR="009659F2">
          <w:rPr>
            <w:rFonts w:ascii="Century Gothic" w:hAnsi="Century Gothic"/>
            <w:noProof/>
            <w:webHidden/>
          </w:rPr>
          <w:t>39</w:t>
        </w:r>
        <w:r w:rsidRPr="00A67C76">
          <w:rPr>
            <w:rFonts w:ascii="Century Gothic" w:hAnsi="Century Gothic"/>
            <w:noProof/>
            <w:webHidden/>
          </w:rPr>
          <w:fldChar w:fldCharType="end"/>
        </w:r>
      </w:hyperlink>
    </w:p>
    <w:p w:rsidR="00554B7A" w:rsidRPr="00A67C76" w:rsidRDefault="002E6077">
      <w:pPr>
        <w:pStyle w:val="TOC3"/>
        <w:contextualSpacing/>
        <w:rPr>
          <w:rFonts w:ascii="Century Gothic" w:eastAsiaTheme="minorEastAsia" w:hAnsi="Century Gothic" w:cstheme="minorBidi"/>
          <w:i w:val="0"/>
          <w:noProof/>
          <w:color w:val="auto"/>
          <w:kern w:val="0"/>
          <w:sz w:val="22"/>
          <w:szCs w:val="22"/>
          <w:lang w:eastAsia="en-AU"/>
        </w:rPr>
      </w:pPr>
      <w:hyperlink w:anchor="_Toc387843588" w:history="1">
        <w:r w:rsidR="00554B7A" w:rsidRPr="00A67C76">
          <w:rPr>
            <w:rStyle w:val="Hyperlink"/>
            <w:rFonts w:ascii="Century Gothic" w:eastAsiaTheme="majorEastAsia" w:hAnsi="Century Gothic"/>
            <w:noProof/>
          </w:rPr>
          <w:t>Coorong (modelling)</w:t>
        </w:r>
        <w:r w:rsidR="00554B7A" w:rsidRPr="00A67C76">
          <w:rPr>
            <w:rFonts w:ascii="Century Gothic" w:hAnsi="Century Gothic"/>
            <w:noProof/>
            <w:webHidden/>
          </w:rPr>
          <w:tab/>
        </w:r>
        <w:r w:rsidRPr="00A67C76">
          <w:rPr>
            <w:rFonts w:ascii="Century Gothic" w:hAnsi="Century Gothic"/>
            <w:noProof/>
            <w:webHidden/>
          </w:rPr>
          <w:fldChar w:fldCharType="begin"/>
        </w:r>
        <w:r w:rsidR="00554B7A" w:rsidRPr="00A67C76">
          <w:rPr>
            <w:rFonts w:ascii="Century Gothic" w:hAnsi="Century Gothic"/>
            <w:noProof/>
            <w:webHidden/>
          </w:rPr>
          <w:instrText xml:space="preserve"> PAGEREF _Toc387843588 \h </w:instrText>
        </w:r>
        <w:r w:rsidRPr="00A67C76">
          <w:rPr>
            <w:rFonts w:ascii="Century Gothic" w:hAnsi="Century Gothic"/>
            <w:noProof/>
            <w:webHidden/>
          </w:rPr>
        </w:r>
        <w:r w:rsidRPr="00A67C76">
          <w:rPr>
            <w:rFonts w:ascii="Century Gothic" w:hAnsi="Century Gothic"/>
            <w:noProof/>
            <w:webHidden/>
          </w:rPr>
          <w:fldChar w:fldCharType="separate"/>
        </w:r>
        <w:r w:rsidR="009659F2">
          <w:rPr>
            <w:rFonts w:ascii="Century Gothic" w:hAnsi="Century Gothic"/>
            <w:noProof/>
            <w:webHidden/>
          </w:rPr>
          <w:t>39</w:t>
        </w:r>
        <w:r w:rsidRPr="00A67C76">
          <w:rPr>
            <w:rFonts w:ascii="Century Gothic" w:hAnsi="Century Gothic"/>
            <w:noProof/>
            <w:webHidden/>
          </w:rPr>
          <w:fldChar w:fldCharType="end"/>
        </w:r>
      </w:hyperlink>
    </w:p>
    <w:p w:rsidR="00554B7A" w:rsidRPr="00A67C76" w:rsidRDefault="002E6077" w:rsidP="00817569">
      <w:pPr>
        <w:pStyle w:val="TOC2"/>
        <w:rPr>
          <w:rFonts w:ascii="Century Gothic" w:eastAsiaTheme="minorEastAsia" w:hAnsi="Century Gothic" w:cstheme="minorBidi"/>
          <w:color w:val="auto"/>
          <w:kern w:val="0"/>
          <w:sz w:val="22"/>
          <w:szCs w:val="22"/>
          <w:lang w:eastAsia="en-AU"/>
        </w:rPr>
      </w:pPr>
      <w:hyperlink w:anchor="_Toc387843589" w:history="1">
        <w:r w:rsidR="00554B7A" w:rsidRPr="00A67C76">
          <w:rPr>
            <w:rStyle w:val="Hyperlink"/>
            <w:rFonts w:ascii="Century Gothic" w:eastAsiaTheme="majorEastAsia" w:hAnsi="Century Gothic"/>
          </w:rPr>
          <w:t>3.2</w:t>
        </w:r>
        <w:r w:rsidR="00554B7A" w:rsidRPr="00A67C76">
          <w:rPr>
            <w:rFonts w:ascii="Century Gothic" w:eastAsiaTheme="minorEastAsia" w:hAnsi="Century Gothic" w:cstheme="minorBidi"/>
            <w:color w:val="auto"/>
            <w:kern w:val="0"/>
            <w:sz w:val="22"/>
            <w:szCs w:val="22"/>
            <w:lang w:eastAsia="en-AU"/>
          </w:rPr>
          <w:tab/>
        </w:r>
        <w:r w:rsidR="00554B7A" w:rsidRPr="00A67C76">
          <w:rPr>
            <w:rStyle w:val="Hyperlink"/>
            <w:rFonts w:ascii="Century Gothic" w:eastAsiaTheme="majorEastAsia" w:hAnsi="Century Gothic"/>
          </w:rPr>
          <w:t>Task methods</w:t>
        </w:r>
        <w:r w:rsidR="00554B7A" w:rsidRPr="00A67C76">
          <w:rPr>
            <w:rFonts w:ascii="Century Gothic" w:hAnsi="Century Gothic"/>
            <w:webHidden/>
          </w:rPr>
          <w:tab/>
        </w:r>
        <w:r w:rsidRPr="00A67C76">
          <w:rPr>
            <w:rFonts w:ascii="Century Gothic" w:hAnsi="Century Gothic"/>
            <w:webHidden/>
          </w:rPr>
          <w:fldChar w:fldCharType="begin"/>
        </w:r>
        <w:r w:rsidR="00554B7A" w:rsidRPr="00A67C76">
          <w:rPr>
            <w:rFonts w:ascii="Century Gothic" w:hAnsi="Century Gothic"/>
            <w:webHidden/>
          </w:rPr>
          <w:instrText xml:space="preserve"> PAGEREF _Toc387843589 \h </w:instrText>
        </w:r>
        <w:r w:rsidRPr="00A67C76">
          <w:rPr>
            <w:rFonts w:ascii="Century Gothic" w:hAnsi="Century Gothic"/>
            <w:webHidden/>
          </w:rPr>
        </w:r>
        <w:r w:rsidRPr="00A67C76">
          <w:rPr>
            <w:rFonts w:ascii="Century Gothic" w:hAnsi="Century Gothic"/>
            <w:webHidden/>
          </w:rPr>
          <w:fldChar w:fldCharType="separate"/>
        </w:r>
        <w:r w:rsidR="009659F2">
          <w:rPr>
            <w:rFonts w:ascii="Century Gothic" w:hAnsi="Century Gothic"/>
            <w:webHidden/>
          </w:rPr>
          <w:t>40</w:t>
        </w:r>
        <w:r w:rsidRPr="00A67C76">
          <w:rPr>
            <w:rFonts w:ascii="Century Gothic" w:hAnsi="Century Gothic"/>
            <w:webHidden/>
          </w:rPr>
          <w:fldChar w:fldCharType="end"/>
        </w:r>
      </w:hyperlink>
    </w:p>
    <w:p w:rsidR="00554B7A" w:rsidRPr="00A67C76" w:rsidRDefault="002E6077">
      <w:pPr>
        <w:pStyle w:val="TOC3"/>
        <w:contextualSpacing/>
        <w:rPr>
          <w:rFonts w:ascii="Century Gothic" w:eastAsiaTheme="minorEastAsia" w:hAnsi="Century Gothic" w:cstheme="minorBidi"/>
          <w:i w:val="0"/>
          <w:noProof/>
          <w:color w:val="auto"/>
          <w:kern w:val="0"/>
          <w:sz w:val="22"/>
          <w:szCs w:val="22"/>
          <w:lang w:eastAsia="en-AU"/>
        </w:rPr>
      </w:pPr>
      <w:hyperlink w:anchor="_Toc387843590" w:history="1">
        <w:r w:rsidR="00554B7A" w:rsidRPr="00A67C76">
          <w:rPr>
            <w:rStyle w:val="Hyperlink"/>
            <w:rFonts w:ascii="Century Gothic" w:eastAsiaTheme="majorEastAsia" w:hAnsi="Century Gothic"/>
            <w:noProof/>
          </w:rPr>
          <w:t>Main channel</w:t>
        </w:r>
        <w:r w:rsidR="00554B7A" w:rsidRPr="00A67C76">
          <w:rPr>
            <w:rFonts w:ascii="Century Gothic" w:hAnsi="Century Gothic"/>
            <w:noProof/>
            <w:webHidden/>
          </w:rPr>
          <w:tab/>
        </w:r>
        <w:r w:rsidRPr="00A67C76">
          <w:rPr>
            <w:rFonts w:ascii="Century Gothic" w:hAnsi="Century Gothic"/>
            <w:noProof/>
            <w:webHidden/>
          </w:rPr>
          <w:fldChar w:fldCharType="begin"/>
        </w:r>
        <w:r w:rsidR="00554B7A" w:rsidRPr="00A67C76">
          <w:rPr>
            <w:rFonts w:ascii="Century Gothic" w:hAnsi="Century Gothic"/>
            <w:noProof/>
            <w:webHidden/>
          </w:rPr>
          <w:instrText xml:space="preserve"> PAGEREF _Toc387843590 \h </w:instrText>
        </w:r>
        <w:r w:rsidRPr="00A67C76">
          <w:rPr>
            <w:rFonts w:ascii="Century Gothic" w:hAnsi="Century Gothic"/>
            <w:noProof/>
            <w:webHidden/>
          </w:rPr>
        </w:r>
        <w:r w:rsidRPr="00A67C76">
          <w:rPr>
            <w:rFonts w:ascii="Century Gothic" w:hAnsi="Century Gothic"/>
            <w:noProof/>
            <w:webHidden/>
          </w:rPr>
          <w:fldChar w:fldCharType="separate"/>
        </w:r>
        <w:r w:rsidR="009659F2">
          <w:rPr>
            <w:rFonts w:ascii="Century Gothic" w:hAnsi="Century Gothic"/>
            <w:noProof/>
            <w:webHidden/>
          </w:rPr>
          <w:t>40</w:t>
        </w:r>
        <w:r w:rsidRPr="00A67C76">
          <w:rPr>
            <w:rFonts w:ascii="Century Gothic" w:hAnsi="Century Gothic"/>
            <w:noProof/>
            <w:webHidden/>
          </w:rPr>
          <w:fldChar w:fldCharType="end"/>
        </w:r>
      </w:hyperlink>
    </w:p>
    <w:p w:rsidR="00554B7A" w:rsidRPr="00A67C76" w:rsidRDefault="002E6077">
      <w:pPr>
        <w:pStyle w:val="TOC3"/>
        <w:contextualSpacing/>
        <w:rPr>
          <w:rFonts w:ascii="Century Gothic" w:eastAsiaTheme="minorEastAsia" w:hAnsi="Century Gothic" w:cstheme="minorBidi"/>
          <w:i w:val="0"/>
          <w:noProof/>
          <w:color w:val="auto"/>
          <w:kern w:val="0"/>
          <w:sz w:val="22"/>
          <w:szCs w:val="22"/>
          <w:lang w:eastAsia="en-AU"/>
        </w:rPr>
      </w:pPr>
      <w:hyperlink w:anchor="_Toc387843591" w:history="1">
        <w:r w:rsidR="00554B7A" w:rsidRPr="00A67C76">
          <w:rPr>
            <w:rStyle w:val="Hyperlink"/>
            <w:rFonts w:ascii="Century Gothic" w:eastAsiaTheme="majorEastAsia" w:hAnsi="Century Gothic"/>
            <w:noProof/>
          </w:rPr>
          <w:t>Wetlands</w:t>
        </w:r>
        <w:r w:rsidR="00554B7A" w:rsidRPr="00A67C76">
          <w:rPr>
            <w:rFonts w:ascii="Century Gothic" w:hAnsi="Century Gothic"/>
            <w:noProof/>
            <w:webHidden/>
          </w:rPr>
          <w:tab/>
        </w:r>
        <w:r w:rsidRPr="00A67C76">
          <w:rPr>
            <w:rFonts w:ascii="Century Gothic" w:hAnsi="Century Gothic"/>
            <w:noProof/>
            <w:webHidden/>
          </w:rPr>
          <w:fldChar w:fldCharType="begin"/>
        </w:r>
        <w:r w:rsidR="00554B7A" w:rsidRPr="00A67C76">
          <w:rPr>
            <w:rFonts w:ascii="Century Gothic" w:hAnsi="Century Gothic"/>
            <w:noProof/>
            <w:webHidden/>
          </w:rPr>
          <w:instrText xml:space="preserve"> PAGEREF _Toc387843591 \h </w:instrText>
        </w:r>
        <w:r w:rsidRPr="00A67C76">
          <w:rPr>
            <w:rFonts w:ascii="Century Gothic" w:hAnsi="Century Gothic"/>
            <w:noProof/>
            <w:webHidden/>
          </w:rPr>
        </w:r>
        <w:r w:rsidRPr="00A67C76">
          <w:rPr>
            <w:rFonts w:ascii="Century Gothic" w:hAnsi="Century Gothic"/>
            <w:noProof/>
            <w:webHidden/>
          </w:rPr>
          <w:fldChar w:fldCharType="separate"/>
        </w:r>
        <w:r w:rsidR="009659F2">
          <w:rPr>
            <w:rFonts w:ascii="Century Gothic" w:hAnsi="Century Gothic"/>
            <w:noProof/>
            <w:webHidden/>
          </w:rPr>
          <w:t>44</w:t>
        </w:r>
        <w:r w:rsidRPr="00A67C76">
          <w:rPr>
            <w:rFonts w:ascii="Century Gothic" w:hAnsi="Century Gothic"/>
            <w:noProof/>
            <w:webHidden/>
          </w:rPr>
          <w:fldChar w:fldCharType="end"/>
        </w:r>
      </w:hyperlink>
    </w:p>
    <w:p w:rsidR="00554B7A" w:rsidRPr="00A67C76" w:rsidRDefault="002E6077">
      <w:pPr>
        <w:pStyle w:val="TOC3"/>
        <w:contextualSpacing/>
        <w:rPr>
          <w:rFonts w:ascii="Century Gothic" w:eastAsiaTheme="minorEastAsia" w:hAnsi="Century Gothic" w:cstheme="minorBidi"/>
          <w:i w:val="0"/>
          <w:noProof/>
          <w:color w:val="auto"/>
          <w:kern w:val="0"/>
          <w:sz w:val="22"/>
          <w:szCs w:val="22"/>
          <w:lang w:eastAsia="en-AU"/>
        </w:rPr>
      </w:pPr>
      <w:hyperlink w:anchor="_Toc387843592" w:history="1">
        <w:r w:rsidR="00554B7A" w:rsidRPr="00A67C76">
          <w:rPr>
            <w:rStyle w:val="Hyperlink"/>
            <w:rFonts w:ascii="Century Gothic" w:eastAsiaTheme="majorEastAsia" w:hAnsi="Century Gothic"/>
            <w:noProof/>
          </w:rPr>
          <w:t>Coorong (modelling)</w:t>
        </w:r>
        <w:r w:rsidR="00554B7A" w:rsidRPr="00A67C76">
          <w:rPr>
            <w:rFonts w:ascii="Century Gothic" w:hAnsi="Century Gothic"/>
            <w:noProof/>
            <w:webHidden/>
          </w:rPr>
          <w:tab/>
        </w:r>
        <w:r w:rsidRPr="00A67C76">
          <w:rPr>
            <w:rFonts w:ascii="Century Gothic" w:hAnsi="Century Gothic"/>
            <w:noProof/>
            <w:webHidden/>
          </w:rPr>
          <w:fldChar w:fldCharType="begin"/>
        </w:r>
        <w:r w:rsidR="00554B7A" w:rsidRPr="00A67C76">
          <w:rPr>
            <w:rFonts w:ascii="Century Gothic" w:hAnsi="Century Gothic"/>
            <w:noProof/>
            <w:webHidden/>
          </w:rPr>
          <w:instrText xml:space="preserve"> PAGEREF _Toc387843592 \h </w:instrText>
        </w:r>
        <w:r w:rsidRPr="00A67C76">
          <w:rPr>
            <w:rFonts w:ascii="Century Gothic" w:hAnsi="Century Gothic"/>
            <w:noProof/>
            <w:webHidden/>
          </w:rPr>
        </w:r>
        <w:r w:rsidRPr="00A67C76">
          <w:rPr>
            <w:rFonts w:ascii="Century Gothic" w:hAnsi="Century Gothic"/>
            <w:noProof/>
            <w:webHidden/>
          </w:rPr>
          <w:fldChar w:fldCharType="separate"/>
        </w:r>
        <w:r w:rsidR="009659F2">
          <w:rPr>
            <w:rFonts w:ascii="Century Gothic" w:hAnsi="Century Gothic"/>
            <w:noProof/>
            <w:webHidden/>
          </w:rPr>
          <w:t>50</w:t>
        </w:r>
        <w:r w:rsidRPr="00A67C76">
          <w:rPr>
            <w:rFonts w:ascii="Century Gothic" w:hAnsi="Century Gothic"/>
            <w:noProof/>
            <w:webHidden/>
          </w:rPr>
          <w:fldChar w:fldCharType="end"/>
        </w:r>
      </w:hyperlink>
    </w:p>
    <w:p w:rsidR="00554B7A" w:rsidRPr="00A67C76" w:rsidRDefault="002E6077">
      <w:pPr>
        <w:pStyle w:val="TOC1"/>
        <w:tabs>
          <w:tab w:val="left" w:pos="660"/>
          <w:tab w:val="right" w:leader="dot" w:pos="9010"/>
        </w:tabs>
        <w:contextualSpacing/>
        <w:rPr>
          <w:rFonts w:ascii="Century Gothic" w:eastAsiaTheme="minorEastAsia" w:hAnsi="Century Gothic" w:cstheme="minorBidi"/>
          <w:b w:val="0"/>
          <w:caps w:val="0"/>
          <w:noProof/>
          <w:color w:val="auto"/>
          <w:kern w:val="0"/>
          <w:sz w:val="22"/>
          <w:szCs w:val="22"/>
          <w:lang w:eastAsia="en-AU"/>
        </w:rPr>
      </w:pPr>
      <w:hyperlink w:anchor="_Toc387843593" w:history="1">
        <w:r w:rsidR="00554B7A" w:rsidRPr="00A67C76">
          <w:rPr>
            <w:rStyle w:val="Hyperlink"/>
            <w:rFonts w:ascii="Century Gothic" w:eastAsiaTheme="majorEastAsia" w:hAnsi="Century Gothic"/>
            <w:noProof/>
          </w:rPr>
          <w:t>4</w:t>
        </w:r>
        <w:r w:rsidR="00554B7A" w:rsidRPr="00A67C76">
          <w:rPr>
            <w:rFonts w:ascii="Century Gothic" w:eastAsiaTheme="minorEastAsia" w:hAnsi="Century Gothic" w:cstheme="minorBidi"/>
            <w:b w:val="0"/>
            <w:caps w:val="0"/>
            <w:noProof/>
            <w:color w:val="auto"/>
            <w:kern w:val="0"/>
            <w:sz w:val="22"/>
            <w:szCs w:val="22"/>
            <w:lang w:eastAsia="en-AU"/>
          </w:rPr>
          <w:tab/>
        </w:r>
        <w:r w:rsidR="00554B7A" w:rsidRPr="00A67C76">
          <w:rPr>
            <w:rStyle w:val="Hyperlink"/>
            <w:rFonts w:ascii="Century Gothic" w:eastAsiaTheme="majorEastAsia" w:hAnsi="Century Gothic"/>
            <w:noProof/>
          </w:rPr>
          <w:t>Findings</w:t>
        </w:r>
        <w:r w:rsidR="00554B7A" w:rsidRPr="00A67C76">
          <w:rPr>
            <w:rFonts w:ascii="Century Gothic" w:hAnsi="Century Gothic"/>
            <w:noProof/>
            <w:webHidden/>
          </w:rPr>
          <w:tab/>
        </w:r>
        <w:r w:rsidRPr="00A67C76">
          <w:rPr>
            <w:rFonts w:ascii="Century Gothic" w:hAnsi="Century Gothic"/>
            <w:noProof/>
            <w:webHidden/>
          </w:rPr>
          <w:fldChar w:fldCharType="begin"/>
        </w:r>
        <w:r w:rsidR="00554B7A" w:rsidRPr="00A67C76">
          <w:rPr>
            <w:rFonts w:ascii="Century Gothic" w:hAnsi="Century Gothic"/>
            <w:noProof/>
            <w:webHidden/>
          </w:rPr>
          <w:instrText xml:space="preserve"> PAGEREF _Toc387843593 \h </w:instrText>
        </w:r>
        <w:r w:rsidRPr="00A67C76">
          <w:rPr>
            <w:rFonts w:ascii="Century Gothic" w:hAnsi="Century Gothic"/>
            <w:noProof/>
            <w:webHidden/>
          </w:rPr>
        </w:r>
        <w:r w:rsidRPr="00A67C76">
          <w:rPr>
            <w:rFonts w:ascii="Century Gothic" w:hAnsi="Century Gothic"/>
            <w:noProof/>
            <w:webHidden/>
          </w:rPr>
          <w:fldChar w:fldCharType="separate"/>
        </w:r>
        <w:r w:rsidR="009659F2">
          <w:rPr>
            <w:rFonts w:ascii="Century Gothic" w:hAnsi="Century Gothic"/>
            <w:noProof/>
            <w:webHidden/>
          </w:rPr>
          <w:t>53</w:t>
        </w:r>
        <w:r w:rsidRPr="00A67C76">
          <w:rPr>
            <w:rFonts w:ascii="Century Gothic" w:hAnsi="Century Gothic"/>
            <w:noProof/>
            <w:webHidden/>
          </w:rPr>
          <w:fldChar w:fldCharType="end"/>
        </w:r>
      </w:hyperlink>
    </w:p>
    <w:p w:rsidR="00554B7A" w:rsidRPr="00A67C76" w:rsidRDefault="002E6077" w:rsidP="00817569">
      <w:pPr>
        <w:pStyle w:val="TOC2"/>
        <w:rPr>
          <w:rFonts w:ascii="Century Gothic" w:eastAsiaTheme="minorEastAsia" w:hAnsi="Century Gothic" w:cstheme="minorBidi"/>
          <w:color w:val="auto"/>
          <w:kern w:val="0"/>
          <w:sz w:val="22"/>
          <w:szCs w:val="22"/>
          <w:lang w:eastAsia="en-AU"/>
        </w:rPr>
      </w:pPr>
      <w:hyperlink w:anchor="_Toc387843594" w:history="1">
        <w:r w:rsidR="00554B7A" w:rsidRPr="00A67C76">
          <w:rPr>
            <w:rStyle w:val="Hyperlink"/>
            <w:rFonts w:ascii="Century Gothic" w:eastAsiaTheme="majorEastAsia" w:hAnsi="Century Gothic"/>
          </w:rPr>
          <w:t>4.1</w:t>
        </w:r>
        <w:r w:rsidR="00554B7A" w:rsidRPr="00A67C76">
          <w:rPr>
            <w:rFonts w:ascii="Century Gothic" w:eastAsiaTheme="minorEastAsia" w:hAnsi="Century Gothic" w:cstheme="minorBidi"/>
            <w:color w:val="auto"/>
            <w:kern w:val="0"/>
            <w:sz w:val="22"/>
            <w:szCs w:val="22"/>
            <w:lang w:eastAsia="en-AU"/>
          </w:rPr>
          <w:tab/>
        </w:r>
        <w:r w:rsidR="00554B7A" w:rsidRPr="00A67C76">
          <w:rPr>
            <w:rStyle w:val="Hyperlink"/>
            <w:rFonts w:ascii="Century Gothic" w:eastAsiaTheme="majorEastAsia" w:hAnsi="Century Gothic"/>
          </w:rPr>
          <w:t>Main channel</w:t>
        </w:r>
        <w:r w:rsidR="00554B7A" w:rsidRPr="00A67C76">
          <w:rPr>
            <w:rFonts w:ascii="Century Gothic" w:hAnsi="Century Gothic"/>
            <w:webHidden/>
          </w:rPr>
          <w:tab/>
        </w:r>
        <w:r w:rsidRPr="00A67C76">
          <w:rPr>
            <w:rFonts w:ascii="Century Gothic" w:hAnsi="Century Gothic"/>
            <w:webHidden/>
          </w:rPr>
          <w:fldChar w:fldCharType="begin"/>
        </w:r>
        <w:r w:rsidR="00554B7A" w:rsidRPr="00A67C76">
          <w:rPr>
            <w:rFonts w:ascii="Century Gothic" w:hAnsi="Century Gothic"/>
            <w:webHidden/>
          </w:rPr>
          <w:instrText xml:space="preserve"> PAGEREF _Toc387843594 \h </w:instrText>
        </w:r>
        <w:r w:rsidRPr="00A67C76">
          <w:rPr>
            <w:rFonts w:ascii="Century Gothic" w:hAnsi="Century Gothic"/>
            <w:webHidden/>
          </w:rPr>
        </w:r>
        <w:r w:rsidRPr="00A67C76">
          <w:rPr>
            <w:rFonts w:ascii="Century Gothic" w:hAnsi="Century Gothic"/>
            <w:webHidden/>
          </w:rPr>
          <w:fldChar w:fldCharType="separate"/>
        </w:r>
        <w:r w:rsidR="009659F2">
          <w:rPr>
            <w:rFonts w:ascii="Century Gothic" w:hAnsi="Century Gothic"/>
            <w:webHidden/>
          </w:rPr>
          <w:t>53</w:t>
        </w:r>
        <w:r w:rsidRPr="00A67C76">
          <w:rPr>
            <w:rFonts w:ascii="Century Gothic" w:hAnsi="Century Gothic"/>
            <w:webHidden/>
          </w:rPr>
          <w:fldChar w:fldCharType="end"/>
        </w:r>
      </w:hyperlink>
    </w:p>
    <w:p w:rsidR="00554B7A" w:rsidRPr="00A67C76" w:rsidRDefault="002E6077" w:rsidP="00817569">
      <w:pPr>
        <w:pStyle w:val="TOC2"/>
        <w:rPr>
          <w:rFonts w:ascii="Century Gothic" w:eastAsiaTheme="minorEastAsia" w:hAnsi="Century Gothic" w:cstheme="minorBidi"/>
          <w:color w:val="auto"/>
          <w:kern w:val="0"/>
          <w:sz w:val="22"/>
          <w:szCs w:val="22"/>
          <w:lang w:eastAsia="en-AU"/>
        </w:rPr>
      </w:pPr>
      <w:hyperlink w:anchor="_Toc387843595" w:history="1">
        <w:r w:rsidR="00554B7A" w:rsidRPr="00A67C76">
          <w:rPr>
            <w:rStyle w:val="Hyperlink"/>
            <w:rFonts w:ascii="Century Gothic" w:eastAsiaTheme="majorEastAsia" w:hAnsi="Century Gothic"/>
          </w:rPr>
          <w:t>4.2</w:t>
        </w:r>
        <w:r w:rsidR="00554B7A" w:rsidRPr="00A67C76">
          <w:rPr>
            <w:rFonts w:ascii="Century Gothic" w:eastAsiaTheme="minorEastAsia" w:hAnsi="Century Gothic" w:cstheme="minorBidi"/>
            <w:color w:val="auto"/>
            <w:kern w:val="0"/>
            <w:sz w:val="22"/>
            <w:szCs w:val="22"/>
            <w:lang w:eastAsia="en-AU"/>
          </w:rPr>
          <w:tab/>
        </w:r>
        <w:r w:rsidR="00554B7A" w:rsidRPr="00A67C76">
          <w:rPr>
            <w:rStyle w:val="Hyperlink"/>
            <w:rFonts w:ascii="Century Gothic" w:eastAsiaTheme="majorEastAsia" w:hAnsi="Century Gothic"/>
          </w:rPr>
          <w:t>Wetlands</w:t>
        </w:r>
        <w:r w:rsidR="00554B7A" w:rsidRPr="00A67C76">
          <w:rPr>
            <w:rFonts w:ascii="Century Gothic" w:hAnsi="Century Gothic"/>
            <w:webHidden/>
          </w:rPr>
          <w:tab/>
        </w:r>
        <w:r w:rsidRPr="00A67C76">
          <w:rPr>
            <w:rFonts w:ascii="Century Gothic" w:hAnsi="Century Gothic"/>
            <w:webHidden/>
          </w:rPr>
          <w:fldChar w:fldCharType="begin"/>
        </w:r>
        <w:r w:rsidR="00554B7A" w:rsidRPr="00A67C76">
          <w:rPr>
            <w:rFonts w:ascii="Century Gothic" w:hAnsi="Century Gothic"/>
            <w:webHidden/>
          </w:rPr>
          <w:instrText xml:space="preserve"> PAGEREF _Toc387843595 \h </w:instrText>
        </w:r>
        <w:r w:rsidRPr="00A67C76">
          <w:rPr>
            <w:rFonts w:ascii="Century Gothic" w:hAnsi="Century Gothic"/>
            <w:webHidden/>
          </w:rPr>
        </w:r>
        <w:r w:rsidRPr="00A67C76">
          <w:rPr>
            <w:rFonts w:ascii="Century Gothic" w:hAnsi="Century Gothic"/>
            <w:webHidden/>
          </w:rPr>
          <w:fldChar w:fldCharType="separate"/>
        </w:r>
        <w:r w:rsidR="009659F2">
          <w:rPr>
            <w:rFonts w:ascii="Century Gothic" w:hAnsi="Century Gothic"/>
            <w:webHidden/>
          </w:rPr>
          <w:t>80</w:t>
        </w:r>
        <w:r w:rsidRPr="00A67C76">
          <w:rPr>
            <w:rFonts w:ascii="Century Gothic" w:hAnsi="Century Gothic"/>
            <w:webHidden/>
          </w:rPr>
          <w:fldChar w:fldCharType="end"/>
        </w:r>
      </w:hyperlink>
    </w:p>
    <w:p w:rsidR="00554B7A" w:rsidRPr="00A67C76" w:rsidRDefault="002E6077" w:rsidP="00817569">
      <w:pPr>
        <w:pStyle w:val="TOC2"/>
        <w:rPr>
          <w:rFonts w:ascii="Century Gothic" w:eastAsiaTheme="minorEastAsia" w:hAnsi="Century Gothic" w:cstheme="minorBidi"/>
          <w:color w:val="auto"/>
          <w:kern w:val="0"/>
          <w:sz w:val="22"/>
          <w:szCs w:val="22"/>
          <w:lang w:eastAsia="en-AU"/>
        </w:rPr>
      </w:pPr>
      <w:hyperlink w:anchor="_Toc387843596" w:history="1">
        <w:r w:rsidR="00554B7A" w:rsidRPr="00A67C76">
          <w:rPr>
            <w:rStyle w:val="Hyperlink"/>
            <w:rFonts w:ascii="Century Gothic" w:eastAsiaTheme="majorEastAsia" w:hAnsi="Century Gothic"/>
          </w:rPr>
          <w:t>4.3</w:t>
        </w:r>
        <w:r w:rsidR="00554B7A" w:rsidRPr="00A67C76">
          <w:rPr>
            <w:rFonts w:ascii="Century Gothic" w:eastAsiaTheme="minorEastAsia" w:hAnsi="Century Gothic" w:cstheme="minorBidi"/>
            <w:color w:val="auto"/>
            <w:kern w:val="0"/>
            <w:sz w:val="22"/>
            <w:szCs w:val="22"/>
            <w:lang w:eastAsia="en-AU"/>
          </w:rPr>
          <w:tab/>
        </w:r>
        <w:r w:rsidR="00554B7A" w:rsidRPr="00A67C76">
          <w:rPr>
            <w:rStyle w:val="Hyperlink"/>
            <w:rFonts w:ascii="Century Gothic" w:eastAsiaTheme="majorEastAsia" w:hAnsi="Century Gothic"/>
          </w:rPr>
          <w:t>Coorong (modelling)</w:t>
        </w:r>
        <w:r w:rsidR="00554B7A" w:rsidRPr="00A67C76">
          <w:rPr>
            <w:rFonts w:ascii="Century Gothic" w:hAnsi="Century Gothic"/>
            <w:webHidden/>
          </w:rPr>
          <w:tab/>
        </w:r>
        <w:r w:rsidRPr="00A67C76">
          <w:rPr>
            <w:rFonts w:ascii="Century Gothic" w:hAnsi="Century Gothic"/>
            <w:webHidden/>
          </w:rPr>
          <w:fldChar w:fldCharType="begin"/>
        </w:r>
        <w:r w:rsidR="00554B7A" w:rsidRPr="00A67C76">
          <w:rPr>
            <w:rFonts w:ascii="Century Gothic" w:hAnsi="Century Gothic"/>
            <w:webHidden/>
          </w:rPr>
          <w:instrText xml:space="preserve"> PAGEREF _Toc387843596 \h </w:instrText>
        </w:r>
        <w:r w:rsidRPr="00A67C76">
          <w:rPr>
            <w:rFonts w:ascii="Century Gothic" w:hAnsi="Century Gothic"/>
            <w:webHidden/>
          </w:rPr>
        </w:r>
        <w:r w:rsidRPr="00A67C76">
          <w:rPr>
            <w:rFonts w:ascii="Century Gothic" w:hAnsi="Century Gothic"/>
            <w:webHidden/>
          </w:rPr>
          <w:fldChar w:fldCharType="separate"/>
        </w:r>
        <w:r w:rsidR="009659F2">
          <w:rPr>
            <w:rFonts w:ascii="Century Gothic" w:hAnsi="Century Gothic"/>
            <w:webHidden/>
          </w:rPr>
          <w:t>100</w:t>
        </w:r>
        <w:r w:rsidRPr="00A67C76">
          <w:rPr>
            <w:rFonts w:ascii="Century Gothic" w:hAnsi="Century Gothic"/>
            <w:webHidden/>
          </w:rPr>
          <w:fldChar w:fldCharType="end"/>
        </w:r>
      </w:hyperlink>
    </w:p>
    <w:p w:rsidR="00554B7A" w:rsidRPr="00A67C76" w:rsidRDefault="002E6077">
      <w:pPr>
        <w:pStyle w:val="TOC1"/>
        <w:tabs>
          <w:tab w:val="left" w:pos="660"/>
          <w:tab w:val="right" w:leader="dot" w:pos="9010"/>
        </w:tabs>
        <w:contextualSpacing/>
        <w:rPr>
          <w:rFonts w:ascii="Century Gothic" w:eastAsiaTheme="minorEastAsia" w:hAnsi="Century Gothic" w:cstheme="minorBidi"/>
          <w:b w:val="0"/>
          <w:caps w:val="0"/>
          <w:noProof/>
          <w:color w:val="auto"/>
          <w:kern w:val="0"/>
          <w:sz w:val="22"/>
          <w:szCs w:val="22"/>
          <w:lang w:eastAsia="en-AU"/>
        </w:rPr>
      </w:pPr>
      <w:hyperlink w:anchor="_Toc387843597" w:history="1">
        <w:r w:rsidR="00554B7A" w:rsidRPr="00A67C76">
          <w:rPr>
            <w:rStyle w:val="Hyperlink"/>
            <w:rFonts w:ascii="Century Gothic" w:eastAsiaTheme="majorEastAsia" w:hAnsi="Century Gothic"/>
            <w:noProof/>
          </w:rPr>
          <w:t>5</w:t>
        </w:r>
        <w:r w:rsidR="00554B7A" w:rsidRPr="00A67C76">
          <w:rPr>
            <w:rFonts w:ascii="Century Gothic" w:eastAsiaTheme="minorEastAsia" w:hAnsi="Century Gothic" w:cstheme="minorBidi"/>
            <w:b w:val="0"/>
            <w:caps w:val="0"/>
            <w:noProof/>
            <w:color w:val="auto"/>
            <w:kern w:val="0"/>
            <w:sz w:val="22"/>
            <w:szCs w:val="22"/>
            <w:lang w:eastAsia="en-AU"/>
          </w:rPr>
          <w:tab/>
        </w:r>
        <w:r w:rsidR="00554B7A" w:rsidRPr="00A67C76">
          <w:rPr>
            <w:rStyle w:val="Hyperlink"/>
            <w:rFonts w:ascii="Century Gothic" w:eastAsiaTheme="majorEastAsia" w:hAnsi="Century Gothic"/>
            <w:noProof/>
          </w:rPr>
          <w:t>Discussion and Evaluation</w:t>
        </w:r>
        <w:r w:rsidR="00554B7A" w:rsidRPr="00A67C76">
          <w:rPr>
            <w:rFonts w:ascii="Century Gothic" w:hAnsi="Century Gothic"/>
            <w:noProof/>
            <w:webHidden/>
          </w:rPr>
          <w:tab/>
        </w:r>
        <w:r w:rsidRPr="00A67C76">
          <w:rPr>
            <w:rFonts w:ascii="Century Gothic" w:hAnsi="Century Gothic"/>
            <w:noProof/>
            <w:webHidden/>
          </w:rPr>
          <w:fldChar w:fldCharType="begin"/>
        </w:r>
        <w:r w:rsidR="00554B7A" w:rsidRPr="00A67C76">
          <w:rPr>
            <w:rFonts w:ascii="Century Gothic" w:hAnsi="Century Gothic"/>
            <w:noProof/>
            <w:webHidden/>
          </w:rPr>
          <w:instrText xml:space="preserve"> PAGEREF _Toc387843597 \h </w:instrText>
        </w:r>
        <w:r w:rsidRPr="00A67C76">
          <w:rPr>
            <w:rFonts w:ascii="Century Gothic" w:hAnsi="Century Gothic"/>
            <w:noProof/>
            <w:webHidden/>
          </w:rPr>
        </w:r>
        <w:r w:rsidRPr="00A67C76">
          <w:rPr>
            <w:rFonts w:ascii="Century Gothic" w:hAnsi="Century Gothic"/>
            <w:noProof/>
            <w:webHidden/>
          </w:rPr>
          <w:fldChar w:fldCharType="separate"/>
        </w:r>
        <w:r w:rsidR="009659F2">
          <w:rPr>
            <w:rFonts w:ascii="Century Gothic" w:hAnsi="Century Gothic"/>
            <w:noProof/>
            <w:webHidden/>
          </w:rPr>
          <w:t>114</w:t>
        </w:r>
        <w:r w:rsidRPr="00A67C76">
          <w:rPr>
            <w:rFonts w:ascii="Century Gothic" w:hAnsi="Century Gothic"/>
            <w:noProof/>
            <w:webHidden/>
          </w:rPr>
          <w:fldChar w:fldCharType="end"/>
        </w:r>
      </w:hyperlink>
    </w:p>
    <w:p w:rsidR="00554B7A" w:rsidRPr="00A67C76" w:rsidRDefault="002E6077" w:rsidP="00817569">
      <w:pPr>
        <w:pStyle w:val="TOC2"/>
        <w:rPr>
          <w:rFonts w:ascii="Century Gothic" w:eastAsiaTheme="minorEastAsia" w:hAnsi="Century Gothic" w:cstheme="minorBidi"/>
          <w:color w:val="auto"/>
          <w:kern w:val="0"/>
          <w:sz w:val="22"/>
          <w:szCs w:val="22"/>
          <w:lang w:eastAsia="en-AU"/>
        </w:rPr>
      </w:pPr>
      <w:hyperlink w:anchor="_Toc387843598" w:history="1">
        <w:r w:rsidR="00554B7A" w:rsidRPr="00A67C76">
          <w:rPr>
            <w:rStyle w:val="Hyperlink"/>
            <w:rFonts w:ascii="Century Gothic" w:eastAsiaTheme="majorEastAsia" w:hAnsi="Century Gothic"/>
          </w:rPr>
          <w:t>5.1</w:t>
        </w:r>
        <w:r w:rsidR="00554B7A" w:rsidRPr="00A67C76">
          <w:rPr>
            <w:rFonts w:ascii="Century Gothic" w:eastAsiaTheme="minorEastAsia" w:hAnsi="Century Gothic" w:cstheme="minorBidi"/>
            <w:color w:val="auto"/>
            <w:kern w:val="0"/>
            <w:sz w:val="22"/>
            <w:szCs w:val="22"/>
            <w:lang w:eastAsia="en-AU"/>
          </w:rPr>
          <w:tab/>
        </w:r>
        <w:r w:rsidR="00554B7A" w:rsidRPr="00A67C76">
          <w:rPr>
            <w:rStyle w:val="Hyperlink"/>
            <w:rFonts w:ascii="Century Gothic" w:eastAsiaTheme="majorEastAsia" w:hAnsi="Century Gothic"/>
          </w:rPr>
          <w:t>Main channel</w:t>
        </w:r>
        <w:r w:rsidR="00554B7A" w:rsidRPr="00A67C76">
          <w:rPr>
            <w:rFonts w:ascii="Century Gothic" w:hAnsi="Century Gothic"/>
            <w:webHidden/>
          </w:rPr>
          <w:tab/>
        </w:r>
        <w:r w:rsidRPr="00A67C76">
          <w:rPr>
            <w:rFonts w:ascii="Century Gothic" w:hAnsi="Century Gothic"/>
            <w:webHidden/>
          </w:rPr>
          <w:fldChar w:fldCharType="begin"/>
        </w:r>
        <w:r w:rsidR="00554B7A" w:rsidRPr="00A67C76">
          <w:rPr>
            <w:rFonts w:ascii="Century Gothic" w:hAnsi="Century Gothic"/>
            <w:webHidden/>
          </w:rPr>
          <w:instrText xml:space="preserve"> PAGEREF _Toc387843598 \h </w:instrText>
        </w:r>
        <w:r w:rsidRPr="00A67C76">
          <w:rPr>
            <w:rFonts w:ascii="Century Gothic" w:hAnsi="Century Gothic"/>
            <w:webHidden/>
          </w:rPr>
        </w:r>
        <w:r w:rsidRPr="00A67C76">
          <w:rPr>
            <w:rFonts w:ascii="Century Gothic" w:hAnsi="Century Gothic"/>
            <w:webHidden/>
          </w:rPr>
          <w:fldChar w:fldCharType="separate"/>
        </w:r>
        <w:r w:rsidR="009659F2">
          <w:rPr>
            <w:rFonts w:ascii="Century Gothic" w:hAnsi="Century Gothic"/>
            <w:webHidden/>
          </w:rPr>
          <w:t>114</w:t>
        </w:r>
        <w:r w:rsidRPr="00A67C76">
          <w:rPr>
            <w:rFonts w:ascii="Century Gothic" w:hAnsi="Century Gothic"/>
            <w:webHidden/>
          </w:rPr>
          <w:fldChar w:fldCharType="end"/>
        </w:r>
      </w:hyperlink>
    </w:p>
    <w:p w:rsidR="00554B7A" w:rsidRPr="00A67C76" w:rsidRDefault="002E6077" w:rsidP="00817569">
      <w:pPr>
        <w:pStyle w:val="TOC2"/>
        <w:rPr>
          <w:rFonts w:ascii="Century Gothic" w:eastAsiaTheme="minorEastAsia" w:hAnsi="Century Gothic" w:cstheme="minorBidi"/>
          <w:color w:val="auto"/>
          <w:kern w:val="0"/>
          <w:sz w:val="22"/>
          <w:szCs w:val="22"/>
          <w:lang w:eastAsia="en-AU"/>
        </w:rPr>
      </w:pPr>
      <w:hyperlink w:anchor="_Toc387843599" w:history="1">
        <w:r w:rsidR="00554B7A" w:rsidRPr="00A67C76">
          <w:rPr>
            <w:rStyle w:val="Hyperlink"/>
            <w:rFonts w:ascii="Century Gothic" w:eastAsiaTheme="majorEastAsia" w:hAnsi="Century Gothic"/>
          </w:rPr>
          <w:t>5.2</w:t>
        </w:r>
        <w:r w:rsidR="00554B7A" w:rsidRPr="00A67C76">
          <w:rPr>
            <w:rFonts w:ascii="Century Gothic" w:eastAsiaTheme="minorEastAsia" w:hAnsi="Century Gothic" w:cstheme="minorBidi"/>
            <w:color w:val="auto"/>
            <w:kern w:val="0"/>
            <w:sz w:val="22"/>
            <w:szCs w:val="22"/>
            <w:lang w:eastAsia="en-AU"/>
          </w:rPr>
          <w:tab/>
        </w:r>
        <w:r w:rsidR="00554B7A" w:rsidRPr="00A67C76">
          <w:rPr>
            <w:rStyle w:val="Hyperlink"/>
            <w:rFonts w:ascii="Century Gothic" w:eastAsiaTheme="majorEastAsia" w:hAnsi="Century Gothic"/>
          </w:rPr>
          <w:t>Wetlands</w:t>
        </w:r>
        <w:r w:rsidR="00554B7A" w:rsidRPr="00A67C76">
          <w:rPr>
            <w:rFonts w:ascii="Century Gothic" w:hAnsi="Century Gothic"/>
            <w:webHidden/>
          </w:rPr>
          <w:tab/>
        </w:r>
        <w:r w:rsidRPr="00A67C76">
          <w:rPr>
            <w:rFonts w:ascii="Century Gothic" w:hAnsi="Century Gothic"/>
            <w:webHidden/>
          </w:rPr>
          <w:fldChar w:fldCharType="begin"/>
        </w:r>
        <w:r w:rsidR="00554B7A" w:rsidRPr="00A67C76">
          <w:rPr>
            <w:rFonts w:ascii="Century Gothic" w:hAnsi="Century Gothic"/>
            <w:webHidden/>
          </w:rPr>
          <w:instrText xml:space="preserve"> PAGEREF _Toc387843599 \h </w:instrText>
        </w:r>
        <w:r w:rsidRPr="00A67C76">
          <w:rPr>
            <w:rFonts w:ascii="Century Gothic" w:hAnsi="Century Gothic"/>
            <w:webHidden/>
          </w:rPr>
        </w:r>
        <w:r w:rsidRPr="00A67C76">
          <w:rPr>
            <w:rFonts w:ascii="Century Gothic" w:hAnsi="Century Gothic"/>
            <w:webHidden/>
          </w:rPr>
          <w:fldChar w:fldCharType="separate"/>
        </w:r>
        <w:r w:rsidR="009659F2">
          <w:rPr>
            <w:rFonts w:ascii="Century Gothic" w:hAnsi="Century Gothic"/>
            <w:webHidden/>
          </w:rPr>
          <w:t>120</w:t>
        </w:r>
        <w:r w:rsidRPr="00A67C76">
          <w:rPr>
            <w:rFonts w:ascii="Century Gothic" w:hAnsi="Century Gothic"/>
            <w:webHidden/>
          </w:rPr>
          <w:fldChar w:fldCharType="end"/>
        </w:r>
      </w:hyperlink>
    </w:p>
    <w:p w:rsidR="00554B7A" w:rsidRPr="00A67C76" w:rsidRDefault="002E6077" w:rsidP="00817569">
      <w:pPr>
        <w:pStyle w:val="TOC2"/>
        <w:rPr>
          <w:rFonts w:ascii="Century Gothic" w:eastAsiaTheme="minorEastAsia" w:hAnsi="Century Gothic" w:cstheme="minorBidi"/>
          <w:color w:val="auto"/>
          <w:kern w:val="0"/>
          <w:sz w:val="22"/>
          <w:szCs w:val="22"/>
          <w:lang w:eastAsia="en-AU"/>
        </w:rPr>
      </w:pPr>
      <w:hyperlink w:anchor="_Toc387843600" w:history="1">
        <w:r w:rsidR="00554B7A" w:rsidRPr="00A67C76">
          <w:rPr>
            <w:rStyle w:val="Hyperlink"/>
            <w:rFonts w:ascii="Century Gothic" w:eastAsiaTheme="majorEastAsia" w:hAnsi="Century Gothic"/>
          </w:rPr>
          <w:t>5.3</w:t>
        </w:r>
        <w:r w:rsidR="00554B7A" w:rsidRPr="00A67C76">
          <w:rPr>
            <w:rFonts w:ascii="Century Gothic" w:eastAsiaTheme="minorEastAsia" w:hAnsi="Century Gothic" w:cstheme="minorBidi"/>
            <w:color w:val="auto"/>
            <w:kern w:val="0"/>
            <w:sz w:val="22"/>
            <w:szCs w:val="22"/>
            <w:lang w:eastAsia="en-AU"/>
          </w:rPr>
          <w:tab/>
        </w:r>
        <w:r w:rsidR="00554B7A" w:rsidRPr="00A67C76">
          <w:rPr>
            <w:rStyle w:val="Hyperlink"/>
            <w:rFonts w:ascii="Century Gothic" w:eastAsiaTheme="majorEastAsia" w:hAnsi="Century Gothic"/>
          </w:rPr>
          <w:t>Coorong (modelling)</w:t>
        </w:r>
        <w:r w:rsidR="00554B7A" w:rsidRPr="00A67C76">
          <w:rPr>
            <w:rFonts w:ascii="Century Gothic" w:hAnsi="Century Gothic"/>
            <w:webHidden/>
          </w:rPr>
          <w:tab/>
        </w:r>
        <w:r w:rsidRPr="00A67C76">
          <w:rPr>
            <w:rFonts w:ascii="Century Gothic" w:hAnsi="Century Gothic"/>
            <w:webHidden/>
          </w:rPr>
          <w:fldChar w:fldCharType="begin"/>
        </w:r>
        <w:r w:rsidR="00554B7A" w:rsidRPr="00A67C76">
          <w:rPr>
            <w:rFonts w:ascii="Century Gothic" w:hAnsi="Century Gothic"/>
            <w:webHidden/>
          </w:rPr>
          <w:instrText xml:space="preserve"> PAGEREF _Toc387843600 \h </w:instrText>
        </w:r>
        <w:r w:rsidRPr="00A67C76">
          <w:rPr>
            <w:rFonts w:ascii="Century Gothic" w:hAnsi="Century Gothic"/>
            <w:webHidden/>
          </w:rPr>
        </w:r>
        <w:r w:rsidRPr="00A67C76">
          <w:rPr>
            <w:rFonts w:ascii="Century Gothic" w:hAnsi="Century Gothic"/>
            <w:webHidden/>
          </w:rPr>
          <w:fldChar w:fldCharType="separate"/>
        </w:r>
        <w:r w:rsidR="009659F2">
          <w:rPr>
            <w:rFonts w:ascii="Century Gothic" w:hAnsi="Century Gothic"/>
            <w:webHidden/>
          </w:rPr>
          <w:t>124</w:t>
        </w:r>
        <w:r w:rsidRPr="00A67C76">
          <w:rPr>
            <w:rFonts w:ascii="Century Gothic" w:hAnsi="Century Gothic"/>
            <w:webHidden/>
          </w:rPr>
          <w:fldChar w:fldCharType="end"/>
        </w:r>
      </w:hyperlink>
    </w:p>
    <w:p w:rsidR="00554B7A" w:rsidRPr="00A67C76" w:rsidRDefault="002E6077">
      <w:pPr>
        <w:pStyle w:val="TOC1"/>
        <w:tabs>
          <w:tab w:val="left" w:pos="660"/>
          <w:tab w:val="right" w:leader="dot" w:pos="9010"/>
        </w:tabs>
        <w:contextualSpacing/>
        <w:rPr>
          <w:rFonts w:ascii="Century Gothic" w:eastAsiaTheme="minorEastAsia" w:hAnsi="Century Gothic" w:cstheme="minorBidi"/>
          <w:b w:val="0"/>
          <w:caps w:val="0"/>
          <w:noProof/>
          <w:color w:val="auto"/>
          <w:kern w:val="0"/>
          <w:sz w:val="22"/>
          <w:szCs w:val="22"/>
          <w:lang w:eastAsia="en-AU"/>
        </w:rPr>
      </w:pPr>
      <w:hyperlink w:anchor="_Toc387843601" w:history="1">
        <w:r w:rsidR="00554B7A" w:rsidRPr="00A67C76">
          <w:rPr>
            <w:rStyle w:val="Hyperlink"/>
            <w:rFonts w:ascii="Century Gothic" w:eastAsiaTheme="majorEastAsia" w:hAnsi="Century Gothic"/>
            <w:noProof/>
          </w:rPr>
          <w:t>6</w:t>
        </w:r>
        <w:r w:rsidR="00554B7A" w:rsidRPr="00A67C76">
          <w:rPr>
            <w:rFonts w:ascii="Century Gothic" w:eastAsiaTheme="minorEastAsia" w:hAnsi="Century Gothic" w:cstheme="minorBidi"/>
            <w:b w:val="0"/>
            <w:caps w:val="0"/>
            <w:noProof/>
            <w:color w:val="auto"/>
            <w:kern w:val="0"/>
            <w:sz w:val="22"/>
            <w:szCs w:val="22"/>
            <w:lang w:eastAsia="en-AU"/>
          </w:rPr>
          <w:tab/>
        </w:r>
        <w:r w:rsidR="00554B7A" w:rsidRPr="00A67C76">
          <w:rPr>
            <w:rStyle w:val="Hyperlink"/>
            <w:rFonts w:ascii="Century Gothic" w:eastAsiaTheme="majorEastAsia" w:hAnsi="Century Gothic"/>
            <w:noProof/>
          </w:rPr>
          <w:t>Conclusions and learnings</w:t>
        </w:r>
        <w:r w:rsidR="00554B7A" w:rsidRPr="00A67C76">
          <w:rPr>
            <w:rFonts w:ascii="Century Gothic" w:hAnsi="Century Gothic"/>
            <w:noProof/>
            <w:webHidden/>
          </w:rPr>
          <w:tab/>
        </w:r>
        <w:r w:rsidRPr="00A67C76">
          <w:rPr>
            <w:rFonts w:ascii="Century Gothic" w:hAnsi="Century Gothic"/>
            <w:noProof/>
            <w:webHidden/>
          </w:rPr>
          <w:fldChar w:fldCharType="begin"/>
        </w:r>
        <w:r w:rsidR="00554B7A" w:rsidRPr="00A67C76">
          <w:rPr>
            <w:rFonts w:ascii="Century Gothic" w:hAnsi="Century Gothic"/>
            <w:noProof/>
            <w:webHidden/>
          </w:rPr>
          <w:instrText xml:space="preserve"> PAGEREF _Toc387843601 \h </w:instrText>
        </w:r>
        <w:r w:rsidRPr="00A67C76">
          <w:rPr>
            <w:rFonts w:ascii="Century Gothic" w:hAnsi="Century Gothic"/>
            <w:noProof/>
            <w:webHidden/>
          </w:rPr>
        </w:r>
        <w:r w:rsidRPr="00A67C76">
          <w:rPr>
            <w:rFonts w:ascii="Century Gothic" w:hAnsi="Century Gothic"/>
            <w:noProof/>
            <w:webHidden/>
          </w:rPr>
          <w:fldChar w:fldCharType="separate"/>
        </w:r>
        <w:r w:rsidR="009659F2">
          <w:rPr>
            <w:rFonts w:ascii="Century Gothic" w:hAnsi="Century Gothic"/>
            <w:noProof/>
            <w:webHidden/>
          </w:rPr>
          <w:t>130</w:t>
        </w:r>
        <w:r w:rsidRPr="00A67C76">
          <w:rPr>
            <w:rFonts w:ascii="Century Gothic" w:hAnsi="Century Gothic"/>
            <w:noProof/>
            <w:webHidden/>
          </w:rPr>
          <w:fldChar w:fldCharType="end"/>
        </w:r>
      </w:hyperlink>
    </w:p>
    <w:p w:rsidR="00554B7A" w:rsidRPr="00A67C76" w:rsidRDefault="002E6077" w:rsidP="00817569">
      <w:pPr>
        <w:pStyle w:val="TOC2"/>
        <w:rPr>
          <w:rFonts w:ascii="Century Gothic" w:eastAsiaTheme="minorEastAsia" w:hAnsi="Century Gothic" w:cstheme="minorBidi"/>
          <w:color w:val="auto"/>
          <w:kern w:val="0"/>
          <w:sz w:val="22"/>
          <w:szCs w:val="22"/>
          <w:lang w:eastAsia="en-AU"/>
        </w:rPr>
      </w:pPr>
      <w:hyperlink w:anchor="_Toc387843602" w:history="1">
        <w:r w:rsidR="00554B7A" w:rsidRPr="00A67C76">
          <w:rPr>
            <w:rStyle w:val="Hyperlink"/>
            <w:rFonts w:ascii="Century Gothic" w:eastAsiaTheme="majorEastAsia" w:hAnsi="Century Gothic"/>
          </w:rPr>
          <w:t>6.1</w:t>
        </w:r>
        <w:r w:rsidR="00554B7A" w:rsidRPr="00A67C76">
          <w:rPr>
            <w:rFonts w:ascii="Century Gothic" w:eastAsiaTheme="minorEastAsia" w:hAnsi="Century Gothic" w:cstheme="minorBidi"/>
            <w:color w:val="auto"/>
            <w:kern w:val="0"/>
            <w:sz w:val="22"/>
            <w:szCs w:val="22"/>
            <w:lang w:eastAsia="en-AU"/>
          </w:rPr>
          <w:tab/>
        </w:r>
        <w:r w:rsidR="00554B7A" w:rsidRPr="00A67C76">
          <w:rPr>
            <w:rStyle w:val="Hyperlink"/>
            <w:rFonts w:ascii="Century Gothic" w:eastAsiaTheme="majorEastAsia" w:hAnsi="Century Gothic"/>
          </w:rPr>
          <w:t>Main channel</w:t>
        </w:r>
        <w:r w:rsidR="00554B7A" w:rsidRPr="00A67C76">
          <w:rPr>
            <w:rFonts w:ascii="Century Gothic" w:hAnsi="Century Gothic"/>
            <w:webHidden/>
          </w:rPr>
          <w:tab/>
        </w:r>
        <w:r w:rsidRPr="00A67C76">
          <w:rPr>
            <w:rFonts w:ascii="Century Gothic" w:hAnsi="Century Gothic"/>
            <w:webHidden/>
          </w:rPr>
          <w:fldChar w:fldCharType="begin"/>
        </w:r>
        <w:r w:rsidR="00554B7A" w:rsidRPr="00A67C76">
          <w:rPr>
            <w:rFonts w:ascii="Century Gothic" w:hAnsi="Century Gothic"/>
            <w:webHidden/>
          </w:rPr>
          <w:instrText xml:space="preserve"> PAGEREF _Toc387843602 \h </w:instrText>
        </w:r>
        <w:r w:rsidRPr="00A67C76">
          <w:rPr>
            <w:rFonts w:ascii="Century Gothic" w:hAnsi="Century Gothic"/>
            <w:webHidden/>
          </w:rPr>
        </w:r>
        <w:r w:rsidRPr="00A67C76">
          <w:rPr>
            <w:rFonts w:ascii="Century Gothic" w:hAnsi="Century Gothic"/>
            <w:webHidden/>
          </w:rPr>
          <w:fldChar w:fldCharType="separate"/>
        </w:r>
        <w:r w:rsidR="009659F2">
          <w:rPr>
            <w:rFonts w:ascii="Century Gothic" w:hAnsi="Century Gothic"/>
            <w:webHidden/>
          </w:rPr>
          <w:t>130</w:t>
        </w:r>
        <w:r w:rsidRPr="00A67C76">
          <w:rPr>
            <w:rFonts w:ascii="Century Gothic" w:hAnsi="Century Gothic"/>
            <w:webHidden/>
          </w:rPr>
          <w:fldChar w:fldCharType="end"/>
        </w:r>
      </w:hyperlink>
    </w:p>
    <w:p w:rsidR="00554B7A" w:rsidRPr="00A67C76" w:rsidRDefault="002E6077" w:rsidP="00817569">
      <w:pPr>
        <w:pStyle w:val="TOC2"/>
        <w:rPr>
          <w:rFonts w:ascii="Century Gothic" w:eastAsiaTheme="minorEastAsia" w:hAnsi="Century Gothic" w:cstheme="minorBidi"/>
          <w:color w:val="auto"/>
          <w:kern w:val="0"/>
          <w:sz w:val="22"/>
          <w:szCs w:val="22"/>
          <w:lang w:eastAsia="en-AU"/>
        </w:rPr>
      </w:pPr>
      <w:hyperlink w:anchor="_Toc387843603" w:history="1">
        <w:r w:rsidR="00554B7A" w:rsidRPr="00A67C76">
          <w:rPr>
            <w:rStyle w:val="Hyperlink"/>
            <w:rFonts w:ascii="Century Gothic" w:eastAsiaTheme="majorEastAsia" w:hAnsi="Century Gothic"/>
          </w:rPr>
          <w:t>6.2</w:t>
        </w:r>
        <w:r w:rsidR="00554B7A" w:rsidRPr="00A67C76">
          <w:rPr>
            <w:rFonts w:ascii="Century Gothic" w:eastAsiaTheme="minorEastAsia" w:hAnsi="Century Gothic" w:cstheme="minorBidi"/>
            <w:color w:val="auto"/>
            <w:kern w:val="0"/>
            <w:sz w:val="22"/>
            <w:szCs w:val="22"/>
            <w:lang w:eastAsia="en-AU"/>
          </w:rPr>
          <w:tab/>
        </w:r>
        <w:r w:rsidR="00554B7A" w:rsidRPr="00A67C76">
          <w:rPr>
            <w:rStyle w:val="Hyperlink"/>
            <w:rFonts w:ascii="Century Gothic" w:eastAsiaTheme="majorEastAsia" w:hAnsi="Century Gothic"/>
          </w:rPr>
          <w:t>Wetlands</w:t>
        </w:r>
        <w:r w:rsidR="00554B7A" w:rsidRPr="00A67C76">
          <w:rPr>
            <w:rFonts w:ascii="Century Gothic" w:hAnsi="Century Gothic"/>
            <w:webHidden/>
          </w:rPr>
          <w:tab/>
        </w:r>
        <w:r w:rsidRPr="00A67C76">
          <w:rPr>
            <w:rFonts w:ascii="Century Gothic" w:hAnsi="Century Gothic"/>
            <w:webHidden/>
          </w:rPr>
          <w:fldChar w:fldCharType="begin"/>
        </w:r>
        <w:r w:rsidR="00554B7A" w:rsidRPr="00A67C76">
          <w:rPr>
            <w:rFonts w:ascii="Century Gothic" w:hAnsi="Century Gothic"/>
            <w:webHidden/>
          </w:rPr>
          <w:instrText xml:space="preserve"> PAGEREF _Toc387843603 \h </w:instrText>
        </w:r>
        <w:r w:rsidRPr="00A67C76">
          <w:rPr>
            <w:rFonts w:ascii="Century Gothic" w:hAnsi="Century Gothic"/>
            <w:webHidden/>
          </w:rPr>
        </w:r>
        <w:r w:rsidRPr="00A67C76">
          <w:rPr>
            <w:rFonts w:ascii="Century Gothic" w:hAnsi="Century Gothic"/>
            <w:webHidden/>
          </w:rPr>
          <w:fldChar w:fldCharType="separate"/>
        </w:r>
        <w:r w:rsidR="009659F2">
          <w:rPr>
            <w:rFonts w:ascii="Century Gothic" w:hAnsi="Century Gothic"/>
            <w:webHidden/>
          </w:rPr>
          <w:t>131</w:t>
        </w:r>
        <w:r w:rsidRPr="00A67C76">
          <w:rPr>
            <w:rFonts w:ascii="Century Gothic" w:hAnsi="Century Gothic"/>
            <w:webHidden/>
          </w:rPr>
          <w:fldChar w:fldCharType="end"/>
        </w:r>
      </w:hyperlink>
    </w:p>
    <w:p w:rsidR="00554B7A" w:rsidRPr="00A67C76" w:rsidRDefault="002E6077" w:rsidP="00817569">
      <w:pPr>
        <w:pStyle w:val="TOC2"/>
        <w:rPr>
          <w:rFonts w:ascii="Century Gothic" w:eastAsiaTheme="minorEastAsia" w:hAnsi="Century Gothic" w:cstheme="minorBidi"/>
          <w:color w:val="auto"/>
          <w:kern w:val="0"/>
          <w:sz w:val="22"/>
          <w:szCs w:val="22"/>
          <w:lang w:eastAsia="en-AU"/>
        </w:rPr>
      </w:pPr>
      <w:hyperlink w:anchor="_Toc387843604" w:history="1">
        <w:r w:rsidR="00554B7A" w:rsidRPr="00A67C76">
          <w:rPr>
            <w:rStyle w:val="Hyperlink"/>
            <w:rFonts w:ascii="Century Gothic" w:eastAsiaTheme="majorEastAsia" w:hAnsi="Century Gothic"/>
          </w:rPr>
          <w:t>6.3</w:t>
        </w:r>
        <w:r w:rsidR="00554B7A" w:rsidRPr="00A67C76">
          <w:rPr>
            <w:rFonts w:ascii="Century Gothic" w:eastAsiaTheme="minorEastAsia" w:hAnsi="Century Gothic" w:cstheme="minorBidi"/>
            <w:color w:val="auto"/>
            <w:kern w:val="0"/>
            <w:sz w:val="22"/>
            <w:szCs w:val="22"/>
            <w:lang w:eastAsia="en-AU"/>
          </w:rPr>
          <w:tab/>
        </w:r>
        <w:r w:rsidR="00554B7A" w:rsidRPr="00A67C76">
          <w:rPr>
            <w:rStyle w:val="Hyperlink"/>
            <w:rFonts w:ascii="Century Gothic" w:eastAsiaTheme="majorEastAsia" w:hAnsi="Century Gothic"/>
          </w:rPr>
          <w:t>Coorong (modeling)</w:t>
        </w:r>
        <w:r w:rsidR="00554B7A" w:rsidRPr="00A67C76">
          <w:rPr>
            <w:rFonts w:ascii="Century Gothic" w:hAnsi="Century Gothic"/>
            <w:webHidden/>
          </w:rPr>
          <w:tab/>
        </w:r>
        <w:r w:rsidRPr="00A67C76">
          <w:rPr>
            <w:rFonts w:ascii="Century Gothic" w:hAnsi="Century Gothic"/>
            <w:webHidden/>
          </w:rPr>
          <w:fldChar w:fldCharType="begin"/>
        </w:r>
        <w:r w:rsidR="00554B7A" w:rsidRPr="00A67C76">
          <w:rPr>
            <w:rFonts w:ascii="Century Gothic" w:hAnsi="Century Gothic"/>
            <w:webHidden/>
          </w:rPr>
          <w:instrText xml:space="preserve"> PAGEREF _Toc387843604 \h </w:instrText>
        </w:r>
        <w:r w:rsidRPr="00A67C76">
          <w:rPr>
            <w:rFonts w:ascii="Century Gothic" w:hAnsi="Century Gothic"/>
            <w:webHidden/>
          </w:rPr>
        </w:r>
        <w:r w:rsidRPr="00A67C76">
          <w:rPr>
            <w:rFonts w:ascii="Century Gothic" w:hAnsi="Century Gothic"/>
            <w:webHidden/>
          </w:rPr>
          <w:fldChar w:fldCharType="separate"/>
        </w:r>
        <w:r w:rsidR="009659F2">
          <w:rPr>
            <w:rFonts w:ascii="Century Gothic" w:hAnsi="Century Gothic"/>
            <w:webHidden/>
          </w:rPr>
          <w:t>132</w:t>
        </w:r>
        <w:r w:rsidRPr="00A67C76">
          <w:rPr>
            <w:rFonts w:ascii="Century Gothic" w:hAnsi="Century Gothic"/>
            <w:webHidden/>
          </w:rPr>
          <w:fldChar w:fldCharType="end"/>
        </w:r>
      </w:hyperlink>
    </w:p>
    <w:p w:rsidR="00554B7A" w:rsidRPr="00A67C76" w:rsidRDefault="002E6077">
      <w:pPr>
        <w:pStyle w:val="TOC1"/>
        <w:tabs>
          <w:tab w:val="left" w:pos="660"/>
          <w:tab w:val="right" w:leader="dot" w:pos="9010"/>
        </w:tabs>
        <w:contextualSpacing/>
        <w:rPr>
          <w:rFonts w:ascii="Century Gothic" w:eastAsiaTheme="minorEastAsia" w:hAnsi="Century Gothic" w:cstheme="minorBidi"/>
          <w:b w:val="0"/>
          <w:caps w:val="0"/>
          <w:noProof/>
          <w:color w:val="auto"/>
          <w:kern w:val="0"/>
          <w:sz w:val="22"/>
          <w:szCs w:val="22"/>
          <w:lang w:eastAsia="en-AU"/>
        </w:rPr>
      </w:pPr>
      <w:hyperlink w:anchor="_Toc387843605" w:history="1">
        <w:r w:rsidR="00554B7A" w:rsidRPr="00A67C76">
          <w:rPr>
            <w:rStyle w:val="Hyperlink"/>
            <w:rFonts w:ascii="Century Gothic" w:eastAsiaTheme="majorEastAsia" w:hAnsi="Century Gothic"/>
            <w:noProof/>
          </w:rPr>
          <w:t>7</w:t>
        </w:r>
        <w:r w:rsidR="00554B7A" w:rsidRPr="00A67C76">
          <w:rPr>
            <w:rFonts w:ascii="Century Gothic" w:eastAsiaTheme="minorEastAsia" w:hAnsi="Century Gothic" w:cstheme="minorBidi"/>
            <w:b w:val="0"/>
            <w:caps w:val="0"/>
            <w:noProof/>
            <w:color w:val="auto"/>
            <w:kern w:val="0"/>
            <w:sz w:val="22"/>
            <w:szCs w:val="22"/>
            <w:lang w:eastAsia="en-AU"/>
          </w:rPr>
          <w:tab/>
        </w:r>
        <w:r w:rsidR="00554B7A" w:rsidRPr="00A67C76">
          <w:rPr>
            <w:rStyle w:val="Hyperlink"/>
            <w:rFonts w:ascii="Century Gothic" w:eastAsiaTheme="majorEastAsia" w:hAnsi="Century Gothic"/>
            <w:noProof/>
          </w:rPr>
          <w:t>Recommendations</w:t>
        </w:r>
        <w:r w:rsidR="00554B7A" w:rsidRPr="00A67C76">
          <w:rPr>
            <w:rFonts w:ascii="Century Gothic" w:hAnsi="Century Gothic"/>
            <w:noProof/>
            <w:webHidden/>
          </w:rPr>
          <w:tab/>
        </w:r>
        <w:r w:rsidRPr="00A67C76">
          <w:rPr>
            <w:rFonts w:ascii="Century Gothic" w:hAnsi="Century Gothic"/>
            <w:noProof/>
            <w:webHidden/>
          </w:rPr>
          <w:fldChar w:fldCharType="begin"/>
        </w:r>
        <w:r w:rsidR="00554B7A" w:rsidRPr="00A67C76">
          <w:rPr>
            <w:rFonts w:ascii="Century Gothic" w:hAnsi="Century Gothic"/>
            <w:noProof/>
            <w:webHidden/>
          </w:rPr>
          <w:instrText xml:space="preserve"> PAGEREF _Toc387843605 \h </w:instrText>
        </w:r>
        <w:r w:rsidRPr="00A67C76">
          <w:rPr>
            <w:rFonts w:ascii="Century Gothic" w:hAnsi="Century Gothic"/>
            <w:noProof/>
            <w:webHidden/>
          </w:rPr>
        </w:r>
        <w:r w:rsidRPr="00A67C76">
          <w:rPr>
            <w:rFonts w:ascii="Century Gothic" w:hAnsi="Century Gothic"/>
            <w:noProof/>
            <w:webHidden/>
          </w:rPr>
          <w:fldChar w:fldCharType="separate"/>
        </w:r>
        <w:r w:rsidR="009659F2">
          <w:rPr>
            <w:rFonts w:ascii="Century Gothic" w:hAnsi="Century Gothic"/>
            <w:noProof/>
            <w:webHidden/>
          </w:rPr>
          <w:t>134</w:t>
        </w:r>
        <w:r w:rsidRPr="00A67C76">
          <w:rPr>
            <w:rFonts w:ascii="Century Gothic" w:hAnsi="Century Gothic"/>
            <w:noProof/>
            <w:webHidden/>
          </w:rPr>
          <w:fldChar w:fldCharType="end"/>
        </w:r>
      </w:hyperlink>
    </w:p>
    <w:p w:rsidR="00554B7A" w:rsidRPr="00A67C76" w:rsidRDefault="002E6077" w:rsidP="00817569">
      <w:pPr>
        <w:pStyle w:val="TOC2"/>
        <w:rPr>
          <w:rFonts w:ascii="Century Gothic" w:eastAsiaTheme="minorEastAsia" w:hAnsi="Century Gothic" w:cstheme="minorBidi"/>
          <w:color w:val="auto"/>
          <w:kern w:val="0"/>
          <w:sz w:val="22"/>
          <w:szCs w:val="22"/>
          <w:lang w:eastAsia="en-AU"/>
        </w:rPr>
      </w:pPr>
      <w:hyperlink w:anchor="_Toc387843606" w:history="1">
        <w:r w:rsidR="00554B7A" w:rsidRPr="00A67C76">
          <w:rPr>
            <w:rStyle w:val="Hyperlink"/>
            <w:rFonts w:ascii="Century Gothic" w:eastAsiaTheme="majorEastAsia" w:hAnsi="Century Gothic"/>
          </w:rPr>
          <w:t>7.1</w:t>
        </w:r>
        <w:r w:rsidR="00554B7A" w:rsidRPr="00A67C76">
          <w:rPr>
            <w:rFonts w:ascii="Century Gothic" w:eastAsiaTheme="minorEastAsia" w:hAnsi="Century Gothic" w:cstheme="minorBidi"/>
            <w:color w:val="auto"/>
            <w:kern w:val="0"/>
            <w:sz w:val="22"/>
            <w:szCs w:val="22"/>
            <w:lang w:eastAsia="en-AU"/>
          </w:rPr>
          <w:tab/>
        </w:r>
        <w:r w:rsidR="00554B7A" w:rsidRPr="00A67C76">
          <w:rPr>
            <w:rStyle w:val="Hyperlink"/>
            <w:rFonts w:ascii="Century Gothic" w:eastAsiaTheme="majorEastAsia" w:hAnsi="Century Gothic"/>
          </w:rPr>
          <w:t>Main channel</w:t>
        </w:r>
        <w:r w:rsidR="00554B7A" w:rsidRPr="00A67C76">
          <w:rPr>
            <w:rFonts w:ascii="Century Gothic" w:hAnsi="Century Gothic"/>
            <w:webHidden/>
          </w:rPr>
          <w:tab/>
        </w:r>
        <w:r w:rsidRPr="00A67C76">
          <w:rPr>
            <w:rFonts w:ascii="Century Gothic" w:hAnsi="Century Gothic"/>
            <w:webHidden/>
          </w:rPr>
          <w:fldChar w:fldCharType="begin"/>
        </w:r>
        <w:r w:rsidR="00554B7A" w:rsidRPr="00A67C76">
          <w:rPr>
            <w:rFonts w:ascii="Century Gothic" w:hAnsi="Century Gothic"/>
            <w:webHidden/>
          </w:rPr>
          <w:instrText xml:space="preserve"> PAGEREF _Toc387843606 \h </w:instrText>
        </w:r>
        <w:r w:rsidRPr="00A67C76">
          <w:rPr>
            <w:rFonts w:ascii="Century Gothic" w:hAnsi="Century Gothic"/>
            <w:webHidden/>
          </w:rPr>
        </w:r>
        <w:r w:rsidRPr="00A67C76">
          <w:rPr>
            <w:rFonts w:ascii="Century Gothic" w:hAnsi="Century Gothic"/>
            <w:webHidden/>
          </w:rPr>
          <w:fldChar w:fldCharType="separate"/>
        </w:r>
        <w:r w:rsidR="009659F2">
          <w:rPr>
            <w:rFonts w:ascii="Century Gothic" w:hAnsi="Century Gothic"/>
            <w:webHidden/>
          </w:rPr>
          <w:t>134</w:t>
        </w:r>
        <w:r w:rsidRPr="00A67C76">
          <w:rPr>
            <w:rFonts w:ascii="Century Gothic" w:hAnsi="Century Gothic"/>
            <w:webHidden/>
          </w:rPr>
          <w:fldChar w:fldCharType="end"/>
        </w:r>
      </w:hyperlink>
    </w:p>
    <w:p w:rsidR="00554B7A" w:rsidRPr="00A67C76" w:rsidRDefault="002E6077" w:rsidP="00817569">
      <w:pPr>
        <w:pStyle w:val="TOC2"/>
        <w:rPr>
          <w:rFonts w:ascii="Century Gothic" w:eastAsiaTheme="minorEastAsia" w:hAnsi="Century Gothic" w:cstheme="minorBidi"/>
          <w:color w:val="auto"/>
          <w:kern w:val="0"/>
          <w:sz w:val="22"/>
          <w:szCs w:val="22"/>
          <w:lang w:eastAsia="en-AU"/>
        </w:rPr>
      </w:pPr>
      <w:hyperlink w:anchor="_Toc387843607" w:history="1">
        <w:r w:rsidR="00554B7A" w:rsidRPr="00A67C76">
          <w:rPr>
            <w:rStyle w:val="Hyperlink"/>
            <w:rFonts w:ascii="Century Gothic" w:eastAsiaTheme="majorEastAsia" w:hAnsi="Century Gothic"/>
          </w:rPr>
          <w:t>7.2</w:t>
        </w:r>
        <w:r w:rsidR="00554B7A" w:rsidRPr="00A67C76">
          <w:rPr>
            <w:rFonts w:ascii="Century Gothic" w:eastAsiaTheme="minorEastAsia" w:hAnsi="Century Gothic" w:cstheme="minorBidi"/>
            <w:color w:val="auto"/>
            <w:kern w:val="0"/>
            <w:sz w:val="22"/>
            <w:szCs w:val="22"/>
            <w:lang w:eastAsia="en-AU"/>
          </w:rPr>
          <w:tab/>
        </w:r>
        <w:r w:rsidR="00554B7A" w:rsidRPr="00A67C76">
          <w:rPr>
            <w:rStyle w:val="Hyperlink"/>
            <w:rFonts w:ascii="Century Gothic" w:eastAsiaTheme="majorEastAsia" w:hAnsi="Century Gothic"/>
          </w:rPr>
          <w:t>Wetlands</w:t>
        </w:r>
        <w:r w:rsidR="00554B7A" w:rsidRPr="00A67C76">
          <w:rPr>
            <w:rFonts w:ascii="Century Gothic" w:hAnsi="Century Gothic"/>
            <w:webHidden/>
          </w:rPr>
          <w:tab/>
        </w:r>
        <w:r w:rsidRPr="00A67C76">
          <w:rPr>
            <w:rFonts w:ascii="Century Gothic" w:hAnsi="Century Gothic"/>
            <w:webHidden/>
          </w:rPr>
          <w:fldChar w:fldCharType="begin"/>
        </w:r>
        <w:r w:rsidR="00554B7A" w:rsidRPr="00A67C76">
          <w:rPr>
            <w:rFonts w:ascii="Century Gothic" w:hAnsi="Century Gothic"/>
            <w:webHidden/>
          </w:rPr>
          <w:instrText xml:space="preserve"> PAGEREF _Toc387843607 \h </w:instrText>
        </w:r>
        <w:r w:rsidRPr="00A67C76">
          <w:rPr>
            <w:rFonts w:ascii="Century Gothic" w:hAnsi="Century Gothic"/>
            <w:webHidden/>
          </w:rPr>
        </w:r>
        <w:r w:rsidRPr="00A67C76">
          <w:rPr>
            <w:rFonts w:ascii="Century Gothic" w:hAnsi="Century Gothic"/>
            <w:webHidden/>
          </w:rPr>
          <w:fldChar w:fldCharType="separate"/>
        </w:r>
        <w:r w:rsidR="009659F2">
          <w:rPr>
            <w:rFonts w:ascii="Century Gothic" w:hAnsi="Century Gothic"/>
            <w:webHidden/>
          </w:rPr>
          <w:t>138</w:t>
        </w:r>
        <w:r w:rsidRPr="00A67C76">
          <w:rPr>
            <w:rFonts w:ascii="Century Gothic" w:hAnsi="Century Gothic"/>
            <w:webHidden/>
          </w:rPr>
          <w:fldChar w:fldCharType="end"/>
        </w:r>
      </w:hyperlink>
    </w:p>
    <w:p w:rsidR="00554B7A" w:rsidRPr="00A67C76" w:rsidRDefault="002E6077" w:rsidP="00817569">
      <w:pPr>
        <w:pStyle w:val="TOC2"/>
        <w:rPr>
          <w:rFonts w:ascii="Century Gothic" w:eastAsiaTheme="minorEastAsia" w:hAnsi="Century Gothic" w:cstheme="minorBidi"/>
          <w:color w:val="auto"/>
          <w:kern w:val="0"/>
          <w:sz w:val="22"/>
          <w:szCs w:val="22"/>
          <w:lang w:eastAsia="en-AU"/>
        </w:rPr>
      </w:pPr>
      <w:hyperlink w:anchor="_Toc387843608" w:history="1">
        <w:r w:rsidR="00554B7A" w:rsidRPr="00A67C76">
          <w:rPr>
            <w:rStyle w:val="Hyperlink"/>
            <w:rFonts w:ascii="Century Gothic" w:eastAsiaTheme="majorEastAsia" w:hAnsi="Century Gothic"/>
          </w:rPr>
          <w:t>7.3</w:t>
        </w:r>
        <w:r w:rsidR="00554B7A" w:rsidRPr="00A67C76">
          <w:rPr>
            <w:rFonts w:ascii="Century Gothic" w:eastAsiaTheme="minorEastAsia" w:hAnsi="Century Gothic" w:cstheme="minorBidi"/>
            <w:color w:val="auto"/>
            <w:kern w:val="0"/>
            <w:sz w:val="22"/>
            <w:szCs w:val="22"/>
            <w:lang w:eastAsia="en-AU"/>
          </w:rPr>
          <w:tab/>
        </w:r>
        <w:r w:rsidR="00554B7A" w:rsidRPr="00A67C76">
          <w:rPr>
            <w:rStyle w:val="Hyperlink"/>
            <w:rFonts w:ascii="Century Gothic" w:eastAsiaTheme="majorEastAsia" w:hAnsi="Century Gothic"/>
          </w:rPr>
          <w:t>Coorong (modelling)</w:t>
        </w:r>
        <w:r w:rsidR="00554B7A" w:rsidRPr="00A67C76">
          <w:rPr>
            <w:rFonts w:ascii="Century Gothic" w:hAnsi="Century Gothic"/>
            <w:webHidden/>
          </w:rPr>
          <w:tab/>
        </w:r>
        <w:r w:rsidRPr="00A67C76">
          <w:rPr>
            <w:rFonts w:ascii="Century Gothic" w:hAnsi="Century Gothic"/>
            <w:webHidden/>
          </w:rPr>
          <w:fldChar w:fldCharType="begin"/>
        </w:r>
        <w:r w:rsidR="00554B7A" w:rsidRPr="00A67C76">
          <w:rPr>
            <w:rFonts w:ascii="Century Gothic" w:hAnsi="Century Gothic"/>
            <w:webHidden/>
          </w:rPr>
          <w:instrText xml:space="preserve"> PAGEREF _Toc387843608 \h </w:instrText>
        </w:r>
        <w:r w:rsidRPr="00A67C76">
          <w:rPr>
            <w:rFonts w:ascii="Century Gothic" w:hAnsi="Century Gothic"/>
            <w:webHidden/>
          </w:rPr>
        </w:r>
        <w:r w:rsidRPr="00A67C76">
          <w:rPr>
            <w:rFonts w:ascii="Century Gothic" w:hAnsi="Century Gothic"/>
            <w:webHidden/>
          </w:rPr>
          <w:fldChar w:fldCharType="separate"/>
        </w:r>
        <w:r w:rsidR="009659F2">
          <w:rPr>
            <w:rFonts w:ascii="Century Gothic" w:hAnsi="Century Gothic"/>
            <w:webHidden/>
          </w:rPr>
          <w:t>140</w:t>
        </w:r>
        <w:r w:rsidRPr="00A67C76">
          <w:rPr>
            <w:rFonts w:ascii="Century Gothic" w:hAnsi="Century Gothic"/>
            <w:webHidden/>
          </w:rPr>
          <w:fldChar w:fldCharType="end"/>
        </w:r>
      </w:hyperlink>
    </w:p>
    <w:p w:rsidR="00554B7A" w:rsidRPr="00A67C76" w:rsidRDefault="002E6077">
      <w:pPr>
        <w:pStyle w:val="TOC1"/>
        <w:tabs>
          <w:tab w:val="left" w:pos="660"/>
          <w:tab w:val="right" w:leader="dot" w:pos="9010"/>
        </w:tabs>
        <w:contextualSpacing/>
        <w:rPr>
          <w:rFonts w:ascii="Century Gothic" w:eastAsiaTheme="minorEastAsia" w:hAnsi="Century Gothic" w:cstheme="minorBidi"/>
          <w:b w:val="0"/>
          <w:caps w:val="0"/>
          <w:noProof/>
          <w:color w:val="auto"/>
          <w:kern w:val="0"/>
          <w:sz w:val="22"/>
          <w:szCs w:val="22"/>
          <w:lang w:eastAsia="en-AU"/>
        </w:rPr>
      </w:pPr>
      <w:hyperlink w:anchor="_Toc387843609" w:history="1">
        <w:r w:rsidR="00554B7A" w:rsidRPr="00A67C76">
          <w:rPr>
            <w:rStyle w:val="Hyperlink"/>
            <w:rFonts w:ascii="Century Gothic" w:eastAsiaTheme="majorEastAsia" w:hAnsi="Century Gothic"/>
            <w:noProof/>
          </w:rPr>
          <w:t>8</w:t>
        </w:r>
        <w:r w:rsidR="00554B7A" w:rsidRPr="00A67C76">
          <w:rPr>
            <w:rFonts w:ascii="Century Gothic" w:eastAsiaTheme="minorEastAsia" w:hAnsi="Century Gothic" w:cstheme="minorBidi"/>
            <w:b w:val="0"/>
            <w:caps w:val="0"/>
            <w:noProof/>
            <w:color w:val="auto"/>
            <w:kern w:val="0"/>
            <w:sz w:val="22"/>
            <w:szCs w:val="22"/>
            <w:lang w:eastAsia="en-AU"/>
          </w:rPr>
          <w:tab/>
        </w:r>
        <w:r w:rsidR="00554B7A" w:rsidRPr="00A67C76">
          <w:rPr>
            <w:rStyle w:val="Hyperlink"/>
            <w:rFonts w:ascii="Century Gothic" w:eastAsiaTheme="majorEastAsia" w:hAnsi="Century Gothic"/>
            <w:noProof/>
          </w:rPr>
          <w:t>References</w:t>
        </w:r>
        <w:r w:rsidR="00554B7A" w:rsidRPr="00A67C76">
          <w:rPr>
            <w:rFonts w:ascii="Century Gothic" w:hAnsi="Century Gothic"/>
            <w:noProof/>
            <w:webHidden/>
          </w:rPr>
          <w:tab/>
        </w:r>
        <w:r w:rsidRPr="00A67C76">
          <w:rPr>
            <w:rFonts w:ascii="Century Gothic" w:hAnsi="Century Gothic"/>
            <w:noProof/>
            <w:webHidden/>
          </w:rPr>
          <w:fldChar w:fldCharType="begin"/>
        </w:r>
        <w:r w:rsidR="00554B7A" w:rsidRPr="00A67C76">
          <w:rPr>
            <w:rFonts w:ascii="Century Gothic" w:hAnsi="Century Gothic"/>
            <w:noProof/>
            <w:webHidden/>
          </w:rPr>
          <w:instrText xml:space="preserve"> PAGEREF _Toc387843609 \h </w:instrText>
        </w:r>
        <w:r w:rsidRPr="00A67C76">
          <w:rPr>
            <w:rFonts w:ascii="Century Gothic" w:hAnsi="Century Gothic"/>
            <w:noProof/>
            <w:webHidden/>
          </w:rPr>
        </w:r>
        <w:r w:rsidRPr="00A67C76">
          <w:rPr>
            <w:rFonts w:ascii="Century Gothic" w:hAnsi="Century Gothic"/>
            <w:noProof/>
            <w:webHidden/>
          </w:rPr>
          <w:fldChar w:fldCharType="separate"/>
        </w:r>
        <w:r w:rsidR="009659F2">
          <w:rPr>
            <w:rFonts w:ascii="Century Gothic" w:hAnsi="Century Gothic"/>
            <w:noProof/>
            <w:webHidden/>
          </w:rPr>
          <w:t>143</w:t>
        </w:r>
        <w:r w:rsidRPr="00A67C76">
          <w:rPr>
            <w:rFonts w:ascii="Century Gothic" w:hAnsi="Century Gothic"/>
            <w:noProof/>
            <w:webHidden/>
          </w:rPr>
          <w:fldChar w:fldCharType="end"/>
        </w:r>
      </w:hyperlink>
    </w:p>
    <w:p w:rsidR="00554B7A" w:rsidRPr="00A67C76" w:rsidRDefault="002E6077">
      <w:pPr>
        <w:pStyle w:val="TOC1"/>
        <w:tabs>
          <w:tab w:val="left" w:pos="660"/>
          <w:tab w:val="right" w:leader="dot" w:pos="9010"/>
        </w:tabs>
        <w:contextualSpacing/>
        <w:rPr>
          <w:rFonts w:ascii="Century Gothic" w:eastAsiaTheme="minorEastAsia" w:hAnsi="Century Gothic" w:cstheme="minorBidi"/>
          <w:b w:val="0"/>
          <w:caps w:val="0"/>
          <w:noProof/>
          <w:color w:val="auto"/>
          <w:kern w:val="0"/>
          <w:sz w:val="22"/>
          <w:szCs w:val="22"/>
          <w:lang w:eastAsia="en-AU"/>
        </w:rPr>
      </w:pPr>
      <w:hyperlink w:anchor="_Toc387843610" w:history="1">
        <w:r w:rsidR="00554B7A" w:rsidRPr="00A67C76">
          <w:rPr>
            <w:rStyle w:val="Hyperlink"/>
            <w:rFonts w:ascii="Century Gothic" w:eastAsiaTheme="majorEastAsia" w:hAnsi="Century Gothic"/>
            <w:noProof/>
          </w:rPr>
          <w:t>9</w:t>
        </w:r>
        <w:r w:rsidR="00554B7A" w:rsidRPr="00A67C76">
          <w:rPr>
            <w:rFonts w:ascii="Century Gothic" w:eastAsiaTheme="minorEastAsia" w:hAnsi="Century Gothic" w:cstheme="minorBidi"/>
            <w:b w:val="0"/>
            <w:caps w:val="0"/>
            <w:noProof/>
            <w:color w:val="auto"/>
            <w:kern w:val="0"/>
            <w:sz w:val="22"/>
            <w:szCs w:val="22"/>
            <w:lang w:eastAsia="en-AU"/>
          </w:rPr>
          <w:tab/>
        </w:r>
        <w:r w:rsidR="00554B7A" w:rsidRPr="00A67C76">
          <w:rPr>
            <w:rStyle w:val="Hyperlink"/>
            <w:rFonts w:ascii="Century Gothic" w:eastAsiaTheme="majorEastAsia" w:hAnsi="Century Gothic"/>
            <w:noProof/>
          </w:rPr>
          <w:t xml:space="preserve">Appendices </w:t>
        </w:r>
        <w:r w:rsidR="00554B7A" w:rsidRPr="00A67C76">
          <w:rPr>
            <w:rFonts w:ascii="Century Gothic" w:hAnsi="Century Gothic"/>
            <w:noProof/>
            <w:webHidden/>
          </w:rPr>
          <w:tab/>
        </w:r>
        <w:r w:rsidRPr="00A67C76">
          <w:rPr>
            <w:rFonts w:ascii="Century Gothic" w:hAnsi="Century Gothic"/>
            <w:noProof/>
            <w:webHidden/>
          </w:rPr>
          <w:fldChar w:fldCharType="begin"/>
        </w:r>
        <w:r w:rsidR="00554B7A" w:rsidRPr="00A67C76">
          <w:rPr>
            <w:rFonts w:ascii="Century Gothic" w:hAnsi="Century Gothic"/>
            <w:noProof/>
            <w:webHidden/>
          </w:rPr>
          <w:instrText xml:space="preserve"> PAGEREF _Toc387843610 \h </w:instrText>
        </w:r>
        <w:r w:rsidRPr="00A67C76">
          <w:rPr>
            <w:rFonts w:ascii="Century Gothic" w:hAnsi="Century Gothic"/>
            <w:noProof/>
            <w:webHidden/>
          </w:rPr>
        </w:r>
        <w:r w:rsidRPr="00A67C76">
          <w:rPr>
            <w:rFonts w:ascii="Century Gothic" w:hAnsi="Century Gothic"/>
            <w:noProof/>
            <w:webHidden/>
          </w:rPr>
          <w:fldChar w:fldCharType="separate"/>
        </w:r>
        <w:r w:rsidR="009659F2">
          <w:rPr>
            <w:rFonts w:ascii="Century Gothic" w:hAnsi="Century Gothic"/>
            <w:noProof/>
            <w:webHidden/>
          </w:rPr>
          <w:t>156</w:t>
        </w:r>
        <w:r w:rsidRPr="00A67C76">
          <w:rPr>
            <w:rFonts w:ascii="Century Gothic" w:hAnsi="Century Gothic"/>
            <w:noProof/>
            <w:webHidden/>
          </w:rPr>
          <w:fldChar w:fldCharType="end"/>
        </w:r>
      </w:hyperlink>
    </w:p>
    <w:p w:rsidR="006A3F89" w:rsidRPr="00A67C76" w:rsidRDefault="002E6077" w:rsidP="006A3F89">
      <w:pPr>
        <w:rPr>
          <w:rFonts w:cs="Arial"/>
          <w:spacing w:val="40"/>
          <w:sz w:val="32"/>
          <w:szCs w:val="32"/>
          <w:lang w:eastAsia="en-AU"/>
        </w:rPr>
      </w:pPr>
      <w:r w:rsidRPr="00A67C76">
        <w:rPr>
          <w:rFonts w:cs="Arial"/>
          <w:b/>
          <w:i/>
          <w:sz w:val="20"/>
          <w:szCs w:val="22"/>
        </w:rPr>
        <w:fldChar w:fldCharType="end"/>
      </w:r>
      <w:r w:rsidR="006A3F89" w:rsidRPr="00A67C76">
        <w:br w:type="page"/>
      </w:r>
    </w:p>
    <w:p w:rsidR="008E7AE7" w:rsidRPr="00A67C76" w:rsidRDefault="008E7AE7" w:rsidP="00F41737">
      <w:pPr>
        <w:pStyle w:val="H1anotincinTOC"/>
        <w:outlineLvl w:val="0"/>
        <w:rPr>
          <w:color w:val="1F497D" w:themeColor="text2"/>
        </w:rPr>
      </w:pPr>
      <w:bookmarkStart w:id="6" w:name="_Toc387843569"/>
      <w:r w:rsidRPr="00A67C76">
        <w:rPr>
          <w:color w:val="1F497D" w:themeColor="text2"/>
        </w:rPr>
        <w:t>List of figures</w:t>
      </w:r>
      <w:bookmarkEnd w:id="6"/>
    </w:p>
    <w:p w:rsidR="001B3305" w:rsidRPr="00A67C76" w:rsidRDefault="002E6077">
      <w:pPr>
        <w:pStyle w:val="TableofFigures"/>
        <w:contextualSpacing/>
        <w:rPr>
          <w:rFonts w:eastAsiaTheme="minorEastAsia" w:cstheme="minorBidi"/>
          <w:noProof/>
          <w:color w:val="auto"/>
          <w:sz w:val="22"/>
          <w:szCs w:val="22"/>
        </w:rPr>
      </w:pPr>
      <w:r w:rsidRPr="002E6077">
        <w:fldChar w:fldCharType="begin"/>
      </w:r>
      <w:r w:rsidR="008E7AE7" w:rsidRPr="00A67C76">
        <w:instrText xml:space="preserve"> TOC \h \z \t "FigureCaption,1" \c "Figure" </w:instrText>
      </w:r>
      <w:r w:rsidRPr="002E6077">
        <w:fldChar w:fldCharType="separate"/>
      </w:r>
      <w:hyperlink w:anchor="_Toc387843052" w:history="1">
        <w:r w:rsidR="001B3305" w:rsidRPr="00A67C76">
          <w:rPr>
            <w:rStyle w:val="Hyperlink"/>
            <w:noProof/>
          </w:rPr>
          <w:t>Figure 1. Daily flow (</w:t>
        </w:r>
        <w:r w:rsidR="00FD328A">
          <w:rPr>
            <w:rStyle w:val="Hyperlink"/>
            <w:noProof/>
          </w:rPr>
          <w:t>ML day</w:t>
        </w:r>
        <w:r w:rsidR="001B3305" w:rsidRPr="00A67C76">
          <w:rPr>
            <w:rStyle w:val="Hyperlink"/>
            <w:noProof/>
            <w:vertAlign w:val="superscript"/>
          </w:rPr>
          <w:t>-1</w:t>
        </w:r>
        <w:r w:rsidR="001B3305" w:rsidRPr="00A67C76">
          <w:rPr>
            <w:rStyle w:val="Hyperlink"/>
            <w:noProof/>
          </w:rPr>
          <w:t>) in the Lower Murray River at the South Australian border from January 1996 to April 2013.</w:t>
        </w:r>
        <w:r w:rsidR="001B3305" w:rsidRPr="00A67C76">
          <w:rPr>
            <w:noProof/>
            <w:webHidden/>
          </w:rPr>
          <w:tab/>
        </w:r>
        <w:r w:rsidRPr="00A67C76">
          <w:rPr>
            <w:noProof/>
            <w:webHidden/>
          </w:rPr>
          <w:fldChar w:fldCharType="begin"/>
        </w:r>
        <w:r w:rsidR="001B3305" w:rsidRPr="00A67C76">
          <w:rPr>
            <w:noProof/>
            <w:webHidden/>
          </w:rPr>
          <w:instrText xml:space="preserve"> PAGEREF _Toc387843052 \h </w:instrText>
        </w:r>
        <w:r w:rsidRPr="00A67C76">
          <w:rPr>
            <w:noProof/>
            <w:webHidden/>
          </w:rPr>
        </w:r>
        <w:r w:rsidRPr="00A67C76">
          <w:rPr>
            <w:noProof/>
            <w:webHidden/>
          </w:rPr>
          <w:fldChar w:fldCharType="separate"/>
        </w:r>
        <w:r w:rsidR="009659F2">
          <w:rPr>
            <w:noProof/>
            <w:webHidden/>
          </w:rPr>
          <w:t>13</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53" w:history="1">
        <w:r w:rsidR="001B3305" w:rsidRPr="00A67C76">
          <w:rPr>
            <w:rStyle w:val="Hyperlink"/>
            <w:noProof/>
          </w:rPr>
          <w:t>Figure 2. Flow to South Australia from October 2012 to June 2013.</w:t>
        </w:r>
        <w:r w:rsidR="001B3305" w:rsidRPr="00A67C76">
          <w:rPr>
            <w:noProof/>
            <w:webHidden/>
          </w:rPr>
          <w:tab/>
        </w:r>
        <w:r w:rsidRPr="00A67C76">
          <w:rPr>
            <w:noProof/>
            <w:webHidden/>
          </w:rPr>
          <w:fldChar w:fldCharType="begin"/>
        </w:r>
        <w:r w:rsidR="001B3305" w:rsidRPr="00A67C76">
          <w:rPr>
            <w:noProof/>
            <w:webHidden/>
          </w:rPr>
          <w:instrText xml:space="preserve"> PAGEREF _Toc387843053 \h </w:instrText>
        </w:r>
        <w:r w:rsidRPr="00A67C76">
          <w:rPr>
            <w:noProof/>
            <w:webHidden/>
          </w:rPr>
        </w:r>
        <w:r w:rsidRPr="00A67C76">
          <w:rPr>
            <w:noProof/>
            <w:webHidden/>
          </w:rPr>
          <w:fldChar w:fldCharType="separate"/>
        </w:r>
        <w:r w:rsidR="009659F2">
          <w:rPr>
            <w:noProof/>
            <w:webHidden/>
          </w:rPr>
          <w:t>14</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54" w:history="1">
        <w:r w:rsidR="001B3305" w:rsidRPr="00A67C76">
          <w:rPr>
            <w:rStyle w:val="Hyperlink"/>
            <w:noProof/>
          </w:rPr>
          <w:t>Figure 3. Conceptual diagram of how river ecosystems are affected by the key ecosystem driver (flow regime), subject to flow management and climate effects, and how complementary monitoring components (tasks, T 1-7) contribute toward a holistic understanding of ecosystem responses to flow management and ecological benefits in the Lower Murray River (LMR) (Note tasks are within ecosystem components and in highlighted orange boxes under flow and ecosystem processes).</w:t>
        </w:r>
        <w:r w:rsidR="001B3305" w:rsidRPr="00A67C76">
          <w:rPr>
            <w:noProof/>
            <w:webHidden/>
          </w:rPr>
          <w:tab/>
        </w:r>
        <w:r w:rsidRPr="00A67C76">
          <w:rPr>
            <w:noProof/>
            <w:webHidden/>
          </w:rPr>
          <w:fldChar w:fldCharType="begin"/>
        </w:r>
        <w:r w:rsidR="001B3305" w:rsidRPr="00A67C76">
          <w:rPr>
            <w:noProof/>
            <w:webHidden/>
          </w:rPr>
          <w:instrText xml:space="preserve"> PAGEREF _Toc387843054 \h </w:instrText>
        </w:r>
        <w:r w:rsidRPr="00A67C76">
          <w:rPr>
            <w:noProof/>
            <w:webHidden/>
          </w:rPr>
        </w:r>
        <w:r w:rsidRPr="00A67C76">
          <w:rPr>
            <w:noProof/>
            <w:webHidden/>
          </w:rPr>
          <w:fldChar w:fldCharType="separate"/>
        </w:r>
        <w:r w:rsidR="009659F2">
          <w:rPr>
            <w:noProof/>
            <w:webHidden/>
          </w:rPr>
          <w:t>15</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55" w:history="1">
        <w:r w:rsidR="001B3305" w:rsidRPr="00A67C76">
          <w:rPr>
            <w:rStyle w:val="Hyperlink"/>
            <w:noProof/>
          </w:rPr>
          <w:t xml:space="preserve">Figure 4. Optimal hydrograph for </w:t>
        </w:r>
        <w:r w:rsidR="001B3305" w:rsidRPr="00A67C76">
          <w:rPr>
            <w:rStyle w:val="Hyperlink"/>
            <w:i/>
            <w:noProof/>
          </w:rPr>
          <w:t>Ruppia tuberosa</w:t>
        </w:r>
        <w:r w:rsidR="001B3305" w:rsidRPr="00A67C76">
          <w:rPr>
            <w:rStyle w:val="Hyperlink"/>
            <w:noProof/>
          </w:rPr>
          <w:t xml:space="preserve"> in the South Lagoon of the Coorong showing the minimum water levels throughout the year and the elevations where colonisation is likely to occur.</w:t>
        </w:r>
        <w:r w:rsidR="001B3305" w:rsidRPr="00A67C76">
          <w:rPr>
            <w:noProof/>
            <w:webHidden/>
          </w:rPr>
          <w:tab/>
        </w:r>
        <w:r w:rsidRPr="00A67C76">
          <w:rPr>
            <w:noProof/>
            <w:webHidden/>
          </w:rPr>
          <w:fldChar w:fldCharType="begin"/>
        </w:r>
        <w:r w:rsidR="001B3305" w:rsidRPr="00A67C76">
          <w:rPr>
            <w:noProof/>
            <w:webHidden/>
          </w:rPr>
          <w:instrText xml:space="preserve"> PAGEREF _Toc387843055 \h </w:instrText>
        </w:r>
        <w:r w:rsidRPr="00A67C76">
          <w:rPr>
            <w:noProof/>
            <w:webHidden/>
          </w:rPr>
        </w:r>
        <w:r w:rsidRPr="00A67C76">
          <w:rPr>
            <w:noProof/>
            <w:webHidden/>
          </w:rPr>
          <w:fldChar w:fldCharType="separate"/>
        </w:r>
        <w:r w:rsidR="009659F2">
          <w:rPr>
            <w:noProof/>
            <w:webHidden/>
          </w:rPr>
          <w:t>32</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56" w:history="1">
        <w:r w:rsidR="001B3305" w:rsidRPr="00A67C76">
          <w:rPr>
            <w:rStyle w:val="Hyperlink"/>
            <w:noProof/>
          </w:rPr>
          <w:t xml:space="preserve">Figure 5. Optimal salinity regime </w:t>
        </w:r>
        <w:r w:rsidR="001B3305" w:rsidRPr="00A67C76">
          <w:rPr>
            <w:rStyle w:val="Hyperlink"/>
            <w:i/>
            <w:noProof/>
          </w:rPr>
          <w:t>Ruppia tuberosa</w:t>
        </w:r>
        <w:r w:rsidR="001B3305" w:rsidRPr="00A67C76">
          <w:rPr>
            <w:rStyle w:val="Hyperlink"/>
            <w:noProof/>
          </w:rPr>
          <w:t xml:space="preserve"> in the South Lagoon of the Coorong showing the maximum salinity thresholds for adult plants, seed germination, turion sprouting, turion viability and sexual reproduction.</w:t>
        </w:r>
        <w:r w:rsidR="001B3305" w:rsidRPr="00A67C76">
          <w:rPr>
            <w:noProof/>
            <w:webHidden/>
          </w:rPr>
          <w:tab/>
        </w:r>
        <w:r w:rsidRPr="00A67C76">
          <w:rPr>
            <w:noProof/>
            <w:webHidden/>
          </w:rPr>
          <w:fldChar w:fldCharType="begin"/>
        </w:r>
        <w:r w:rsidR="001B3305" w:rsidRPr="00A67C76">
          <w:rPr>
            <w:noProof/>
            <w:webHidden/>
          </w:rPr>
          <w:instrText xml:space="preserve"> PAGEREF _Toc387843056 \h </w:instrText>
        </w:r>
        <w:r w:rsidRPr="00A67C76">
          <w:rPr>
            <w:noProof/>
            <w:webHidden/>
          </w:rPr>
        </w:r>
        <w:r w:rsidRPr="00A67C76">
          <w:rPr>
            <w:noProof/>
            <w:webHidden/>
          </w:rPr>
          <w:fldChar w:fldCharType="separate"/>
        </w:r>
        <w:r w:rsidR="009659F2">
          <w:rPr>
            <w:noProof/>
            <w:webHidden/>
          </w:rPr>
          <w:t>33</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57" w:history="1">
        <w:r w:rsidR="001B3305" w:rsidRPr="00A67C76">
          <w:rPr>
            <w:rStyle w:val="Hyperlink"/>
            <w:noProof/>
          </w:rPr>
          <w:t xml:space="preserve">Figure 6. Conceptual model of the </w:t>
        </w:r>
        <w:r w:rsidR="00EC7B84" w:rsidRPr="00EC7B84">
          <w:rPr>
            <w:rStyle w:val="Hyperlink"/>
            <w:noProof/>
          </w:rPr>
          <w:t>life-history</w:t>
        </w:r>
        <w:r w:rsidR="001B3305" w:rsidRPr="00A67C76">
          <w:rPr>
            <w:rStyle w:val="Hyperlink"/>
            <w:noProof/>
          </w:rPr>
          <w:t xml:space="preserve"> of </w:t>
        </w:r>
        <w:r w:rsidR="001B3305" w:rsidRPr="00A67C76">
          <w:rPr>
            <w:rStyle w:val="Hyperlink"/>
            <w:i/>
            <w:noProof/>
          </w:rPr>
          <w:t>Ruppia tuberosa</w:t>
        </w:r>
        <w:r w:rsidR="001B3305" w:rsidRPr="00A67C76">
          <w:rPr>
            <w:rStyle w:val="Hyperlink"/>
            <w:noProof/>
          </w:rPr>
          <w:t xml:space="preserve"> in the South Lagoon of the Coorong.   Green boxes represent </w:t>
        </w:r>
        <w:r w:rsidR="00EC7B84" w:rsidRPr="00EC7B84">
          <w:rPr>
            <w:rStyle w:val="Hyperlink"/>
            <w:noProof/>
          </w:rPr>
          <w:t>life-history</w:t>
        </w:r>
        <w:r w:rsidR="001B3305" w:rsidRPr="00A67C76">
          <w:rPr>
            <w:rStyle w:val="Hyperlink"/>
            <w:noProof/>
          </w:rPr>
          <w:t xml:space="preserve"> stage, red boxes potential ecological “bottle necks” and the blue box requires more information.</w:t>
        </w:r>
        <w:r w:rsidR="001B3305" w:rsidRPr="00A67C76">
          <w:rPr>
            <w:noProof/>
            <w:webHidden/>
          </w:rPr>
          <w:tab/>
        </w:r>
        <w:r w:rsidRPr="00A67C76">
          <w:rPr>
            <w:noProof/>
            <w:webHidden/>
          </w:rPr>
          <w:fldChar w:fldCharType="begin"/>
        </w:r>
        <w:r w:rsidR="001B3305" w:rsidRPr="00A67C76">
          <w:rPr>
            <w:noProof/>
            <w:webHidden/>
          </w:rPr>
          <w:instrText xml:space="preserve"> PAGEREF _Toc387843057 \h </w:instrText>
        </w:r>
        <w:r w:rsidRPr="00A67C76">
          <w:rPr>
            <w:noProof/>
            <w:webHidden/>
          </w:rPr>
        </w:r>
        <w:r w:rsidRPr="00A67C76">
          <w:rPr>
            <w:noProof/>
            <w:webHidden/>
          </w:rPr>
          <w:fldChar w:fldCharType="separate"/>
        </w:r>
        <w:r w:rsidR="009659F2">
          <w:rPr>
            <w:noProof/>
            <w:webHidden/>
          </w:rPr>
          <w:t>34</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58" w:history="1">
        <w:r w:rsidR="001B3305" w:rsidRPr="00A67C76">
          <w:rPr>
            <w:rStyle w:val="Hyperlink"/>
            <w:noProof/>
          </w:rPr>
          <w:t>Figure 7. Map of the Lower Murray River, Coorong, Lower Lakes and Murray Mouth showing geomorphic regions.</w:t>
        </w:r>
        <w:r w:rsidR="001B3305" w:rsidRPr="00A67C76">
          <w:rPr>
            <w:noProof/>
            <w:webHidden/>
          </w:rPr>
          <w:tab/>
        </w:r>
        <w:r w:rsidRPr="00A67C76">
          <w:rPr>
            <w:noProof/>
            <w:webHidden/>
          </w:rPr>
          <w:fldChar w:fldCharType="begin"/>
        </w:r>
        <w:r w:rsidR="001B3305" w:rsidRPr="00A67C76">
          <w:rPr>
            <w:noProof/>
            <w:webHidden/>
          </w:rPr>
          <w:instrText xml:space="preserve"> PAGEREF _Toc387843058 \h </w:instrText>
        </w:r>
        <w:r w:rsidRPr="00A67C76">
          <w:rPr>
            <w:noProof/>
            <w:webHidden/>
          </w:rPr>
        </w:r>
        <w:r w:rsidRPr="00A67C76">
          <w:rPr>
            <w:noProof/>
            <w:webHidden/>
          </w:rPr>
          <w:fldChar w:fldCharType="separate"/>
        </w:r>
        <w:r w:rsidR="009659F2">
          <w:rPr>
            <w:noProof/>
            <w:webHidden/>
          </w:rPr>
          <w:t>38</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59" w:history="1">
        <w:r w:rsidR="001B3305" w:rsidRPr="00A67C76">
          <w:rPr>
            <w:rStyle w:val="Hyperlink"/>
            <w:noProof/>
          </w:rPr>
          <w:t>Figure 8. Hydrograph showing the Murray River flow (ML day−1) across the border to South Australia for the period August 2012 – March 2013. Red, numbered (1-6) arrows indicate the six phases of flow during which sampling were undertaken.</w:t>
        </w:r>
        <w:r w:rsidR="001B3305" w:rsidRPr="00A67C76">
          <w:rPr>
            <w:noProof/>
            <w:webHidden/>
          </w:rPr>
          <w:tab/>
        </w:r>
        <w:r w:rsidRPr="00A67C76">
          <w:rPr>
            <w:noProof/>
            <w:webHidden/>
          </w:rPr>
          <w:fldChar w:fldCharType="begin"/>
        </w:r>
        <w:r w:rsidR="001B3305" w:rsidRPr="00A67C76">
          <w:rPr>
            <w:noProof/>
            <w:webHidden/>
          </w:rPr>
          <w:instrText xml:space="preserve"> PAGEREF _Toc387843059 \h </w:instrText>
        </w:r>
        <w:r w:rsidRPr="00A67C76">
          <w:rPr>
            <w:noProof/>
            <w:webHidden/>
          </w:rPr>
        </w:r>
        <w:r w:rsidRPr="00A67C76">
          <w:rPr>
            <w:noProof/>
            <w:webHidden/>
          </w:rPr>
          <w:fldChar w:fldCharType="separate"/>
        </w:r>
        <w:r w:rsidR="009659F2">
          <w:rPr>
            <w:noProof/>
            <w:webHidden/>
          </w:rPr>
          <w:t>45</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60" w:history="1">
        <w:r w:rsidR="001B3305" w:rsidRPr="00A67C76">
          <w:rPr>
            <w:rStyle w:val="Hyperlink"/>
            <w:noProof/>
          </w:rPr>
          <w:t>Figure 9. Mean (± S.E.) standardised catch of golden perch larvae between October 2012 and January 2013 at each site: A) Lock 1, B) Lock 6 and C) Lock 6A anabranches. Refer to Section 3.2 for date of trip.</w:t>
        </w:r>
        <w:r w:rsidR="001B3305" w:rsidRPr="00A67C76">
          <w:rPr>
            <w:noProof/>
            <w:webHidden/>
          </w:rPr>
          <w:tab/>
        </w:r>
        <w:r w:rsidRPr="00A67C76">
          <w:rPr>
            <w:noProof/>
            <w:webHidden/>
          </w:rPr>
          <w:fldChar w:fldCharType="begin"/>
        </w:r>
        <w:r w:rsidR="001B3305" w:rsidRPr="00A67C76">
          <w:rPr>
            <w:noProof/>
            <w:webHidden/>
          </w:rPr>
          <w:instrText xml:space="preserve"> PAGEREF _Toc387843060 \h </w:instrText>
        </w:r>
        <w:r w:rsidRPr="00A67C76">
          <w:rPr>
            <w:noProof/>
            <w:webHidden/>
          </w:rPr>
        </w:r>
        <w:r w:rsidRPr="00A67C76">
          <w:rPr>
            <w:noProof/>
            <w:webHidden/>
          </w:rPr>
          <w:fldChar w:fldCharType="separate"/>
        </w:r>
        <w:r w:rsidR="009659F2">
          <w:rPr>
            <w:noProof/>
            <w:webHidden/>
          </w:rPr>
          <w:t>54</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61" w:history="1">
        <w:r w:rsidR="001B3305" w:rsidRPr="00A67C76">
          <w:rPr>
            <w:rStyle w:val="Hyperlink"/>
            <w:noProof/>
          </w:rPr>
          <w:t xml:space="preserve">Figure 10. Mean (± S.E.) standardised catch of golden perch larvae throughout drought (2005-06 to 2008-09), flood (2010-11) and flow years (2011-12 and </w:t>
        </w:r>
        <w:r w:rsidR="00333041" w:rsidRPr="00A67C76">
          <w:rPr>
            <w:rStyle w:val="Hyperlink"/>
            <w:noProof/>
          </w:rPr>
          <w:t>2012</w:t>
        </w:r>
        <w:r w:rsidR="00FD328A" w:rsidRPr="00FD328A">
          <w:rPr>
            <w:rStyle w:val="Hyperlink"/>
            <w:noProof/>
          </w:rPr>
          <w:t>-13</w:t>
        </w:r>
        <w:r w:rsidR="001B3305" w:rsidRPr="00A67C76">
          <w:rPr>
            <w:rStyle w:val="Hyperlink"/>
            <w:noProof/>
          </w:rPr>
          <w:t>). Note there was no sampling during 2009.</w:t>
        </w:r>
        <w:r w:rsidR="001B3305" w:rsidRPr="00A67C76">
          <w:rPr>
            <w:noProof/>
            <w:webHidden/>
          </w:rPr>
          <w:tab/>
        </w:r>
        <w:r w:rsidRPr="00A67C76">
          <w:rPr>
            <w:noProof/>
            <w:webHidden/>
          </w:rPr>
          <w:fldChar w:fldCharType="begin"/>
        </w:r>
        <w:r w:rsidR="001B3305" w:rsidRPr="00A67C76">
          <w:rPr>
            <w:noProof/>
            <w:webHidden/>
          </w:rPr>
          <w:instrText xml:space="preserve"> PAGEREF _Toc387843061 \h </w:instrText>
        </w:r>
        <w:r w:rsidRPr="00A67C76">
          <w:rPr>
            <w:noProof/>
            <w:webHidden/>
          </w:rPr>
        </w:r>
        <w:r w:rsidRPr="00A67C76">
          <w:rPr>
            <w:noProof/>
            <w:webHidden/>
          </w:rPr>
          <w:fldChar w:fldCharType="separate"/>
        </w:r>
        <w:r w:rsidR="009659F2">
          <w:rPr>
            <w:noProof/>
            <w:webHidden/>
          </w:rPr>
          <w:t>55</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62" w:history="1">
        <w:r w:rsidR="001B3305" w:rsidRPr="00A67C76">
          <w:rPr>
            <w:rStyle w:val="Hyperlink"/>
            <w:noProof/>
          </w:rPr>
          <w:t xml:space="preserve">Figure 11. Distl M analysis of larval fish assemblages throughout the sampled years across sites </w:t>
        </w:r>
        <w:r w:rsidR="00FD328A" w:rsidRPr="00FD328A">
          <w:rPr>
            <w:rStyle w:val="Hyperlink"/>
            <w:noProof/>
          </w:rPr>
          <w:t>LK-1</w:t>
        </w:r>
        <w:r w:rsidR="001B3305" w:rsidRPr="00A67C76">
          <w:rPr>
            <w:rStyle w:val="Hyperlink"/>
            <w:noProof/>
          </w:rPr>
          <w:t xml:space="preserve"> and </w:t>
        </w:r>
        <w:r w:rsidR="00FD328A" w:rsidRPr="00FD328A">
          <w:rPr>
            <w:rStyle w:val="Hyperlink"/>
            <w:noProof/>
          </w:rPr>
          <w:t>LK-6</w:t>
        </w:r>
        <w:r w:rsidR="001B3305" w:rsidRPr="00A67C76">
          <w:rPr>
            <w:rStyle w:val="Hyperlink"/>
            <w:noProof/>
          </w:rPr>
          <w:t>. Vectors represent environmental variables that were significantly correlated to axes. Black numbers above symbols represent trip number.</w:t>
        </w:r>
        <w:r w:rsidR="001B3305" w:rsidRPr="00A67C76">
          <w:rPr>
            <w:noProof/>
            <w:webHidden/>
          </w:rPr>
          <w:tab/>
        </w:r>
        <w:r w:rsidRPr="00A67C76">
          <w:rPr>
            <w:noProof/>
            <w:webHidden/>
          </w:rPr>
          <w:fldChar w:fldCharType="begin"/>
        </w:r>
        <w:r w:rsidR="001B3305" w:rsidRPr="00A67C76">
          <w:rPr>
            <w:noProof/>
            <w:webHidden/>
          </w:rPr>
          <w:instrText xml:space="preserve"> PAGEREF _Toc387843062 \h </w:instrText>
        </w:r>
        <w:r w:rsidRPr="00A67C76">
          <w:rPr>
            <w:noProof/>
            <w:webHidden/>
          </w:rPr>
        </w:r>
        <w:r w:rsidRPr="00A67C76">
          <w:rPr>
            <w:noProof/>
            <w:webHidden/>
          </w:rPr>
          <w:fldChar w:fldCharType="separate"/>
        </w:r>
        <w:r w:rsidR="009659F2">
          <w:rPr>
            <w:noProof/>
            <w:webHidden/>
          </w:rPr>
          <w:t>57</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63" w:history="1">
        <w:r w:rsidR="001B3305" w:rsidRPr="00A67C76">
          <w:rPr>
            <w:rStyle w:val="Hyperlink"/>
            <w:noProof/>
          </w:rPr>
          <w:t>Figure 12. Total abundance of zooplankters (individuals L</w:t>
        </w:r>
        <w:r w:rsidR="001B3305" w:rsidRPr="00A67C76">
          <w:rPr>
            <w:rStyle w:val="Hyperlink"/>
            <w:noProof/>
            <w:vertAlign w:val="superscript"/>
          </w:rPr>
          <w:t>-1</w:t>
        </w:r>
        <w:r w:rsidR="001B3305" w:rsidRPr="00A67C76">
          <w:rPr>
            <w:rStyle w:val="Hyperlink"/>
            <w:noProof/>
          </w:rPr>
          <w:t xml:space="preserve">) per trip at each sampling site for </w:t>
        </w:r>
        <w:r w:rsidR="00333041" w:rsidRPr="00A67C76">
          <w:rPr>
            <w:rStyle w:val="Hyperlink"/>
            <w:noProof/>
          </w:rPr>
          <w:t>2012</w:t>
        </w:r>
        <w:r w:rsidR="00FD328A" w:rsidRPr="00FD328A">
          <w:rPr>
            <w:rStyle w:val="Hyperlink"/>
            <w:noProof/>
          </w:rPr>
          <w:t>-13</w:t>
        </w:r>
        <w:r w:rsidR="001B3305" w:rsidRPr="00A67C76">
          <w:rPr>
            <w:rStyle w:val="Hyperlink"/>
            <w:noProof/>
          </w:rPr>
          <w:t>.</w:t>
        </w:r>
        <w:r w:rsidR="001B3305" w:rsidRPr="00A67C76">
          <w:rPr>
            <w:noProof/>
            <w:webHidden/>
          </w:rPr>
          <w:tab/>
        </w:r>
        <w:r w:rsidRPr="00A67C76">
          <w:rPr>
            <w:noProof/>
            <w:webHidden/>
          </w:rPr>
          <w:fldChar w:fldCharType="begin"/>
        </w:r>
        <w:r w:rsidR="001B3305" w:rsidRPr="00A67C76">
          <w:rPr>
            <w:noProof/>
            <w:webHidden/>
          </w:rPr>
          <w:instrText xml:space="preserve"> PAGEREF _Toc387843063 \h </w:instrText>
        </w:r>
        <w:r w:rsidRPr="00A67C76">
          <w:rPr>
            <w:noProof/>
            <w:webHidden/>
          </w:rPr>
        </w:r>
        <w:r w:rsidRPr="00A67C76">
          <w:rPr>
            <w:noProof/>
            <w:webHidden/>
          </w:rPr>
          <w:fldChar w:fldCharType="separate"/>
        </w:r>
        <w:r w:rsidR="009659F2">
          <w:rPr>
            <w:noProof/>
            <w:webHidden/>
          </w:rPr>
          <w:t>59</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64" w:history="1">
        <w:r w:rsidR="001B3305" w:rsidRPr="00A67C76">
          <w:rPr>
            <w:rStyle w:val="Hyperlink"/>
            <w:noProof/>
          </w:rPr>
          <w:t xml:space="preserve">Figure 13. PC ordination of zooplankton assemblages at a) </w:t>
        </w:r>
        <w:r w:rsidR="00FD328A" w:rsidRPr="00FD328A">
          <w:rPr>
            <w:rStyle w:val="Hyperlink"/>
            <w:noProof/>
          </w:rPr>
          <w:t>LK-1</w:t>
        </w:r>
        <w:r w:rsidR="001B3305" w:rsidRPr="00A67C76">
          <w:rPr>
            <w:rStyle w:val="Hyperlink"/>
            <w:noProof/>
          </w:rPr>
          <w:t xml:space="preserve">, b) </w:t>
        </w:r>
        <w:r w:rsidR="00FD328A" w:rsidRPr="00FD328A">
          <w:rPr>
            <w:rStyle w:val="Hyperlink"/>
            <w:noProof/>
          </w:rPr>
          <w:t>LK-6</w:t>
        </w:r>
        <w:r w:rsidR="001B3305" w:rsidRPr="00A67C76">
          <w:rPr>
            <w:rStyle w:val="Hyperlink"/>
            <w:noProof/>
          </w:rPr>
          <w:t xml:space="preserve"> and c) </w:t>
        </w:r>
        <w:r w:rsidR="00FD328A" w:rsidRPr="00FD328A">
          <w:rPr>
            <w:rStyle w:val="Hyperlink"/>
            <w:noProof/>
          </w:rPr>
          <w:t>LK-6</w:t>
        </w:r>
        <w:r w:rsidR="001B3305" w:rsidRPr="00A67C76">
          <w:rPr>
            <w:rStyle w:val="Hyperlink"/>
            <w:noProof/>
          </w:rPr>
          <w:t>A.</w:t>
        </w:r>
        <w:r w:rsidR="001B3305" w:rsidRPr="00A67C76">
          <w:rPr>
            <w:noProof/>
            <w:webHidden/>
          </w:rPr>
          <w:tab/>
        </w:r>
        <w:r w:rsidRPr="00A67C76">
          <w:rPr>
            <w:noProof/>
            <w:webHidden/>
          </w:rPr>
          <w:fldChar w:fldCharType="begin"/>
        </w:r>
        <w:r w:rsidR="001B3305" w:rsidRPr="00A67C76">
          <w:rPr>
            <w:noProof/>
            <w:webHidden/>
          </w:rPr>
          <w:instrText xml:space="preserve"> PAGEREF _Toc387843064 \h </w:instrText>
        </w:r>
        <w:r w:rsidRPr="00A67C76">
          <w:rPr>
            <w:noProof/>
            <w:webHidden/>
          </w:rPr>
        </w:r>
        <w:r w:rsidRPr="00A67C76">
          <w:rPr>
            <w:noProof/>
            <w:webHidden/>
          </w:rPr>
          <w:fldChar w:fldCharType="separate"/>
        </w:r>
        <w:r w:rsidR="009659F2">
          <w:rPr>
            <w:noProof/>
            <w:webHidden/>
          </w:rPr>
          <w:t>60</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65" w:history="1">
        <w:r w:rsidR="001B3305" w:rsidRPr="00A67C76">
          <w:rPr>
            <w:rStyle w:val="Hyperlink"/>
            <w:noProof/>
          </w:rPr>
          <w:t>Figure 14. PC ordination of fatty acid relative abundance in zooplankton samples per trip. Black numbers above symbols indicate site.</w:t>
        </w:r>
        <w:r w:rsidR="001B3305" w:rsidRPr="00A67C76">
          <w:rPr>
            <w:noProof/>
            <w:webHidden/>
          </w:rPr>
          <w:tab/>
        </w:r>
        <w:r w:rsidRPr="00A67C76">
          <w:rPr>
            <w:noProof/>
            <w:webHidden/>
          </w:rPr>
          <w:fldChar w:fldCharType="begin"/>
        </w:r>
        <w:r w:rsidR="001B3305" w:rsidRPr="00A67C76">
          <w:rPr>
            <w:noProof/>
            <w:webHidden/>
          </w:rPr>
          <w:instrText xml:space="preserve"> PAGEREF _Toc387843065 \h </w:instrText>
        </w:r>
        <w:r w:rsidRPr="00A67C76">
          <w:rPr>
            <w:noProof/>
            <w:webHidden/>
          </w:rPr>
        </w:r>
        <w:r w:rsidRPr="00A67C76">
          <w:rPr>
            <w:noProof/>
            <w:webHidden/>
          </w:rPr>
          <w:fldChar w:fldCharType="separate"/>
        </w:r>
        <w:r w:rsidR="009659F2">
          <w:rPr>
            <w:noProof/>
            <w:webHidden/>
          </w:rPr>
          <w:t>62</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66" w:history="1">
        <w:r w:rsidR="001B3305" w:rsidRPr="00A67C76">
          <w:rPr>
            <w:rStyle w:val="Hyperlink"/>
            <w:noProof/>
          </w:rPr>
          <w:t>Figure 15. Abundance of larvae per trip (sites pooled) of three native species.</w:t>
        </w:r>
        <w:r w:rsidR="001B3305" w:rsidRPr="00A67C76">
          <w:rPr>
            <w:noProof/>
            <w:webHidden/>
          </w:rPr>
          <w:tab/>
        </w:r>
        <w:r w:rsidRPr="00A67C76">
          <w:rPr>
            <w:noProof/>
            <w:webHidden/>
          </w:rPr>
          <w:fldChar w:fldCharType="begin"/>
        </w:r>
        <w:r w:rsidR="001B3305" w:rsidRPr="00A67C76">
          <w:rPr>
            <w:noProof/>
            <w:webHidden/>
          </w:rPr>
          <w:instrText xml:space="preserve"> PAGEREF _Toc387843066 \h </w:instrText>
        </w:r>
        <w:r w:rsidRPr="00A67C76">
          <w:rPr>
            <w:noProof/>
            <w:webHidden/>
          </w:rPr>
        </w:r>
        <w:r w:rsidRPr="00A67C76">
          <w:rPr>
            <w:noProof/>
            <w:webHidden/>
          </w:rPr>
          <w:fldChar w:fldCharType="separate"/>
        </w:r>
        <w:r w:rsidR="009659F2">
          <w:rPr>
            <w:noProof/>
            <w:webHidden/>
          </w:rPr>
          <w:t>62</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67" w:history="1">
        <w:r w:rsidR="001B3305" w:rsidRPr="00A67C76">
          <w:rPr>
            <w:rStyle w:val="Hyperlink"/>
            <w:noProof/>
          </w:rPr>
          <w:t>Figure 16. Multivariate ordination of water samples based on presence or absence of molecular operational taxonomic units summed for the three different sites and Bray-Curtis similarities between microbiotic sample data and a trajectory of the sampling trips.</w:t>
        </w:r>
        <w:r w:rsidR="001B3305" w:rsidRPr="00A67C76">
          <w:rPr>
            <w:noProof/>
            <w:webHidden/>
          </w:rPr>
          <w:tab/>
        </w:r>
        <w:r w:rsidRPr="00A67C76">
          <w:rPr>
            <w:noProof/>
            <w:webHidden/>
          </w:rPr>
          <w:fldChar w:fldCharType="begin"/>
        </w:r>
        <w:r w:rsidR="001B3305" w:rsidRPr="00A67C76">
          <w:rPr>
            <w:noProof/>
            <w:webHidden/>
          </w:rPr>
          <w:instrText xml:space="preserve"> PAGEREF _Toc387843067 \h </w:instrText>
        </w:r>
        <w:r w:rsidRPr="00A67C76">
          <w:rPr>
            <w:noProof/>
            <w:webHidden/>
          </w:rPr>
        </w:r>
        <w:r w:rsidRPr="00A67C76">
          <w:rPr>
            <w:noProof/>
            <w:webHidden/>
          </w:rPr>
          <w:fldChar w:fldCharType="separate"/>
        </w:r>
        <w:r w:rsidR="009659F2">
          <w:rPr>
            <w:noProof/>
            <w:webHidden/>
          </w:rPr>
          <w:t>65</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68" w:history="1">
        <w:r w:rsidR="001B3305" w:rsidRPr="00A67C76">
          <w:rPr>
            <w:rStyle w:val="Hyperlink"/>
            <w:noProof/>
          </w:rPr>
          <w:t>Figure 17. Multivariate ordination of zooplankton and algal samples by nMDS based on Bray-Curtis similarities between A) zooplankton samples (presence or absence of molecular operational taxonomic units), B) algal count samples (square root transformed species counts), Sampling trips 1-10 are marked.</w:t>
        </w:r>
        <w:r w:rsidR="001B3305" w:rsidRPr="00A67C76">
          <w:rPr>
            <w:noProof/>
            <w:webHidden/>
          </w:rPr>
          <w:tab/>
        </w:r>
        <w:r w:rsidRPr="00A67C76">
          <w:rPr>
            <w:noProof/>
            <w:webHidden/>
          </w:rPr>
          <w:fldChar w:fldCharType="begin"/>
        </w:r>
        <w:r w:rsidR="001B3305" w:rsidRPr="00A67C76">
          <w:rPr>
            <w:noProof/>
            <w:webHidden/>
          </w:rPr>
          <w:instrText xml:space="preserve"> PAGEREF _Toc387843068 \h </w:instrText>
        </w:r>
        <w:r w:rsidRPr="00A67C76">
          <w:rPr>
            <w:noProof/>
            <w:webHidden/>
          </w:rPr>
        </w:r>
        <w:r w:rsidRPr="00A67C76">
          <w:rPr>
            <w:noProof/>
            <w:webHidden/>
          </w:rPr>
          <w:fldChar w:fldCharType="separate"/>
        </w:r>
        <w:r w:rsidR="009659F2">
          <w:rPr>
            <w:noProof/>
            <w:webHidden/>
          </w:rPr>
          <w:t>66</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69" w:history="1">
        <w:r w:rsidR="001B3305" w:rsidRPr="00A67C76">
          <w:rPr>
            <w:rStyle w:val="Hyperlink"/>
            <w:noProof/>
          </w:rPr>
          <w:t xml:space="preserve">Figure 18. Multivariate ordination by nMDS of larval fish gut content summed for each species and then transformed to presence or absence of OTUs. </w:t>
        </w:r>
        <w:r w:rsidR="00B504C3" w:rsidRPr="00B504C3">
          <w:rPr>
            <w:rStyle w:val="Hyperlink"/>
            <w:i/>
            <w:noProof/>
          </w:rPr>
          <w:t>Maquaria ambigua</w:t>
        </w:r>
        <w:r w:rsidR="001B3305" w:rsidRPr="00A67C76">
          <w:rPr>
            <w:rStyle w:val="Hyperlink"/>
            <w:noProof/>
          </w:rPr>
          <w:t xml:space="preserve"> was divided into flexion and pre-flexion groups. Non-metric multidimension scaling ordination was carried out on the resemblance matrix of Bray-Curtis similarities between the larval fish groups.</w:t>
        </w:r>
        <w:r w:rsidR="001B3305" w:rsidRPr="00A67C76">
          <w:rPr>
            <w:noProof/>
            <w:webHidden/>
          </w:rPr>
          <w:tab/>
        </w:r>
        <w:r w:rsidRPr="00A67C76">
          <w:rPr>
            <w:noProof/>
            <w:webHidden/>
          </w:rPr>
          <w:fldChar w:fldCharType="begin"/>
        </w:r>
        <w:r w:rsidR="001B3305" w:rsidRPr="00A67C76">
          <w:rPr>
            <w:noProof/>
            <w:webHidden/>
          </w:rPr>
          <w:instrText xml:space="preserve"> PAGEREF _Toc387843069 \h </w:instrText>
        </w:r>
        <w:r w:rsidRPr="00A67C76">
          <w:rPr>
            <w:noProof/>
            <w:webHidden/>
          </w:rPr>
        </w:r>
        <w:r w:rsidRPr="00A67C76">
          <w:rPr>
            <w:noProof/>
            <w:webHidden/>
          </w:rPr>
          <w:fldChar w:fldCharType="separate"/>
        </w:r>
        <w:r w:rsidR="009659F2">
          <w:rPr>
            <w:noProof/>
            <w:webHidden/>
          </w:rPr>
          <w:t>68</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70" w:history="1">
        <w:r w:rsidR="001B3305" w:rsidRPr="00A67C76">
          <w:rPr>
            <w:rStyle w:val="Hyperlink"/>
            <w:noProof/>
          </w:rPr>
          <w:t>Figure 19. Observed and modelled electrical conductivity at selected sites. Scenarios include with and without both commonwealth environmental water (CEW) and The Living Murray water (TLMW).</w:t>
        </w:r>
        <w:r w:rsidR="001B3305" w:rsidRPr="00A67C76">
          <w:rPr>
            <w:noProof/>
            <w:webHidden/>
          </w:rPr>
          <w:tab/>
        </w:r>
        <w:r w:rsidRPr="00A67C76">
          <w:rPr>
            <w:noProof/>
            <w:webHidden/>
          </w:rPr>
          <w:fldChar w:fldCharType="begin"/>
        </w:r>
        <w:r w:rsidR="001B3305" w:rsidRPr="00A67C76">
          <w:rPr>
            <w:noProof/>
            <w:webHidden/>
          </w:rPr>
          <w:instrText xml:space="preserve"> PAGEREF _Toc387843070 \h </w:instrText>
        </w:r>
        <w:r w:rsidRPr="00A67C76">
          <w:rPr>
            <w:noProof/>
            <w:webHidden/>
          </w:rPr>
        </w:r>
        <w:r w:rsidRPr="00A67C76">
          <w:rPr>
            <w:noProof/>
            <w:webHidden/>
          </w:rPr>
          <w:fldChar w:fldCharType="separate"/>
        </w:r>
        <w:r w:rsidR="009659F2">
          <w:rPr>
            <w:noProof/>
            <w:webHidden/>
          </w:rPr>
          <w:t>70</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71" w:history="1">
        <w:r w:rsidR="001B3305" w:rsidRPr="00A67C76">
          <w:rPr>
            <w:rStyle w:val="Hyperlink"/>
            <w:noProof/>
          </w:rPr>
          <w:t>Figure 20. Modelled salt exports with and without environmental flows. Scenarios include with and without both commonwealth environmental water (CEW) and The Living Murray water (TLMW).</w:t>
        </w:r>
        <w:r w:rsidR="001B3305" w:rsidRPr="00A67C76">
          <w:rPr>
            <w:noProof/>
            <w:webHidden/>
          </w:rPr>
          <w:tab/>
        </w:r>
        <w:r w:rsidRPr="00A67C76">
          <w:rPr>
            <w:noProof/>
            <w:webHidden/>
          </w:rPr>
          <w:fldChar w:fldCharType="begin"/>
        </w:r>
        <w:r w:rsidR="001B3305" w:rsidRPr="00A67C76">
          <w:rPr>
            <w:noProof/>
            <w:webHidden/>
          </w:rPr>
          <w:instrText xml:space="preserve"> PAGEREF _Toc387843071 \h </w:instrText>
        </w:r>
        <w:r w:rsidRPr="00A67C76">
          <w:rPr>
            <w:noProof/>
            <w:webHidden/>
          </w:rPr>
        </w:r>
        <w:r w:rsidRPr="00A67C76">
          <w:rPr>
            <w:noProof/>
            <w:webHidden/>
          </w:rPr>
          <w:fldChar w:fldCharType="separate"/>
        </w:r>
        <w:r w:rsidR="009659F2">
          <w:rPr>
            <w:noProof/>
            <w:webHidden/>
          </w:rPr>
          <w:t>71</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72" w:history="1">
        <w:r w:rsidR="001B3305" w:rsidRPr="00A67C76">
          <w:rPr>
            <w:rStyle w:val="Hyperlink"/>
            <w:noProof/>
          </w:rPr>
          <w:t>Figure 21. Observed and modelled ammonium (NH</w:t>
        </w:r>
        <w:r w:rsidR="001B3305" w:rsidRPr="00A67C76">
          <w:rPr>
            <w:rStyle w:val="Hyperlink"/>
            <w:noProof/>
            <w:vertAlign w:val="subscript"/>
          </w:rPr>
          <w:t>4</w:t>
        </w:r>
        <w:r w:rsidR="001B3305" w:rsidRPr="00A67C76">
          <w:rPr>
            <w:rStyle w:val="Hyperlink"/>
            <w:noProof/>
          </w:rPr>
          <w:t>), phosphate (PO</w:t>
        </w:r>
        <w:r w:rsidR="001B3305" w:rsidRPr="00A67C76">
          <w:rPr>
            <w:rStyle w:val="Hyperlink"/>
            <w:noProof/>
            <w:vertAlign w:val="subscript"/>
          </w:rPr>
          <w:t>4</w:t>
        </w:r>
        <w:r w:rsidR="001B3305" w:rsidRPr="00A67C76">
          <w:rPr>
            <w:rStyle w:val="Hyperlink"/>
            <w:noProof/>
          </w:rPr>
          <w:t>) and silica (SiO</w:t>
        </w:r>
        <w:r w:rsidR="001B3305" w:rsidRPr="00A67C76">
          <w:rPr>
            <w:rStyle w:val="Hyperlink"/>
            <w:noProof/>
            <w:vertAlign w:val="subscript"/>
          </w:rPr>
          <w:t>2</w:t>
        </w:r>
        <w:r w:rsidR="001B3305" w:rsidRPr="00A67C76">
          <w:rPr>
            <w:rStyle w:val="Hyperlink"/>
            <w:noProof/>
          </w:rPr>
          <w:t>) concentrations at selected sites. Scenarios include with and without both commonwealth environmental water (CEW) and The Living Murray water (TLMW).</w:t>
        </w:r>
        <w:r w:rsidR="001B3305" w:rsidRPr="00A67C76">
          <w:rPr>
            <w:noProof/>
            <w:webHidden/>
          </w:rPr>
          <w:tab/>
        </w:r>
        <w:r w:rsidRPr="00A67C76">
          <w:rPr>
            <w:noProof/>
            <w:webHidden/>
          </w:rPr>
          <w:fldChar w:fldCharType="begin"/>
        </w:r>
        <w:r w:rsidR="001B3305" w:rsidRPr="00A67C76">
          <w:rPr>
            <w:noProof/>
            <w:webHidden/>
          </w:rPr>
          <w:instrText xml:space="preserve"> PAGEREF _Toc387843072 \h </w:instrText>
        </w:r>
        <w:r w:rsidRPr="00A67C76">
          <w:rPr>
            <w:noProof/>
            <w:webHidden/>
          </w:rPr>
        </w:r>
        <w:r w:rsidRPr="00A67C76">
          <w:rPr>
            <w:noProof/>
            <w:webHidden/>
          </w:rPr>
          <w:fldChar w:fldCharType="separate"/>
        </w:r>
        <w:r w:rsidR="009659F2">
          <w:rPr>
            <w:noProof/>
            <w:webHidden/>
          </w:rPr>
          <w:t>73</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73" w:history="1">
        <w:r w:rsidR="001B3305" w:rsidRPr="00A67C76">
          <w:rPr>
            <w:rStyle w:val="Hyperlink"/>
            <w:noProof/>
          </w:rPr>
          <w:t>Figure 22. Observed and modelled particulate organic nitrogen and phosphorus concentrations at selected sites. Scenarios include with and without both commonwealth environmental water (CEW) and The Living Murray water (TLMW).</w:t>
        </w:r>
        <w:r w:rsidR="001B3305" w:rsidRPr="00A67C76">
          <w:rPr>
            <w:noProof/>
            <w:webHidden/>
          </w:rPr>
          <w:tab/>
        </w:r>
        <w:r w:rsidRPr="00A67C76">
          <w:rPr>
            <w:noProof/>
            <w:webHidden/>
          </w:rPr>
          <w:fldChar w:fldCharType="begin"/>
        </w:r>
        <w:r w:rsidR="001B3305" w:rsidRPr="00A67C76">
          <w:rPr>
            <w:noProof/>
            <w:webHidden/>
          </w:rPr>
          <w:instrText xml:space="preserve"> PAGEREF _Toc387843073 \h </w:instrText>
        </w:r>
        <w:r w:rsidRPr="00A67C76">
          <w:rPr>
            <w:noProof/>
            <w:webHidden/>
          </w:rPr>
        </w:r>
        <w:r w:rsidRPr="00A67C76">
          <w:rPr>
            <w:noProof/>
            <w:webHidden/>
          </w:rPr>
          <w:fldChar w:fldCharType="separate"/>
        </w:r>
        <w:r w:rsidR="009659F2">
          <w:rPr>
            <w:noProof/>
            <w:webHidden/>
          </w:rPr>
          <w:t>74</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74" w:history="1">
        <w:r w:rsidR="001B3305" w:rsidRPr="00A67C76">
          <w:rPr>
            <w:rStyle w:val="Hyperlink"/>
            <w:noProof/>
          </w:rPr>
          <w:t>Figure 23. Modelled ammonium (NH</w:t>
        </w:r>
        <w:r w:rsidR="001B3305" w:rsidRPr="00A67C76">
          <w:rPr>
            <w:rStyle w:val="Hyperlink"/>
            <w:noProof/>
            <w:vertAlign w:val="subscript"/>
          </w:rPr>
          <w:t>4</w:t>
        </w:r>
        <w:r w:rsidR="001B3305" w:rsidRPr="00A67C76">
          <w:rPr>
            <w:rStyle w:val="Hyperlink"/>
            <w:noProof/>
          </w:rPr>
          <w:t>), phosphate (PO</w:t>
        </w:r>
        <w:r w:rsidR="001B3305" w:rsidRPr="00A67C76">
          <w:rPr>
            <w:rStyle w:val="Hyperlink"/>
            <w:noProof/>
            <w:vertAlign w:val="subscript"/>
          </w:rPr>
          <w:t>4</w:t>
        </w:r>
        <w:r w:rsidR="001B3305" w:rsidRPr="00A67C76">
          <w:rPr>
            <w:rStyle w:val="Hyperlink"/>
            <w:noProof/>
          </w:rPr>
          <w:t>) and silica (SiO</w:t>
        </w:r>
        <w:r w:rsidR="001B3305" w:rsidRPr="00A67C76">
          <w:rPr>
            <w:rStyle w:val="Hyperlink"/>
            <w:noProof/>
            <w:vertAlign w:val="subscript"/>
          </w:rPr>
          <w:t>2</w:t>
        </w:r>
        <w:r w:rsidR="001B3305" w:rsidRPr="00A67C76">
          <w:rPr>
            <w:rStyle w:val="Hyperlink"/>
            <w:noProof/>
          </w:rPr>
          <w:t>) exports with and without environmental flows. Scenarios include with and without both commonwealth environmental water (CEW) and The Living Murray water (TLMW).</w:t>
        </w:r>
        <w:r w:rsidR="001B3305" w:rsidRPr="00A67C76">
          <w:rPr>
            <w:noProof/>
            <w:webHidden/>
          </w:rPr>
          <w:tab/>
        </w:r>
        <w:r w:rsidRPr="00A67C76">
          <w:rPr>
            <w:noProof/>
            <w:webHidden/>
          </w:rPr>
          <w:fldChar w:fldCharType="begin"/>
        </w:r>
        <w:r w:rsidR="001B3305" w:rsidRPr="00A67C76">
          <w:rPr>
            <w:noProof/>
            <w:webHidden/>
          </w:rPr>
          <w:instrText xml:space="preserve"> PAGEREF _Toc387843074 \h </w:instrText>
        </w:r>
        <w:r w:rsidRPr="00A67C76">
          <w:rPr>
            <w:noProof/>
            <w:webHidden/>
          </w:rPr>
        </w:r>
        <w:r w:rsidRPr="00A67C76">
          <w:rPr>
            <w:noProof/>
            <w:webHidden/>
          </w:rPr>
          <w:fldChar w:fldCharType="separate"/>
        </w:r>
        <w:r w:rsidR="009659F2">
          <w:rPr>
            <w:noProof/>
            <w:webHidden/>
          </w:rPr>
          <w:t>75</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75" w:history="1">
        <w:r w:rsidR="001B3305" w:rsidRPr="00A67C76">
          <w:rPr>
            <w:rStyle w:val="Hyperlink"/>
            <w:noProof/>
          </w:rPr>
          <w:t>Figure 24. Modelled particulate organic phosphorus (POPL) and nitrogen (PONL) exports with and without environmental flows. Scenarios include with and without both commonwealth environmental water (CEW) and The Living Murray water (TLMW).</w:t>
        </w:r>
        <w:r w:rsidR="001B3305" w:rsidRPr="00A67C76">
          <w:rPr>
            <w:noProof/>
            <w:webHidden/>
          </w:rPr>
          <w:tab/>
        </w:r>
        <w:r w:rsidRPr="00A67C76">
          <w:rPr>
            <w:noProof/>
            <w:webHidden/>
          </w:rPr>
          <w:fldChar w:fldCharType="begin"/>
        </w:r>
        <w:r w:rsidR="001B3305" w:rsidRPr="00A67C76">
          <w:rPr>
            <w:noProof/>
            <w:webHidden/>
          </w:rPr>
          <w:instrText xml:space="preserve"> PAGEREF _Toc387843075 \h </w:instrText>
        </w:r>
        <w:r w:rsidRPr="00A67C76">
          <w:rPr>
            <w:noProof/>
            <w:webHidden/>
          </w:rPr>
        </w:r>
        <w:r w:rsidRPr="00A67C76">
          <w:rPr>
            <w:noProof/>
            <w:webHidden/>
          </w:rPr>
          <w:fldChar w:fldCharType="separate"/>
        </w:r>
        <w:r w:rsidR="009659F2">
          <w:rPr>
            <w:noProof/>
            <w:webHidden/>
          </w:rPr>
          <w:t>76</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76" w:history="1">
        <w:r w:rsidR="001B3305" w:rsidRPr="00A67C76">
          <w:rPr>
            <w:rStyle w:val="Hyperlink"/>
            <w:noProof/>
          </w:rPr>
          <w:t xml:space="preserve">Figure 25. Observed and modelled (with and without environmental watering) chlorophyll </w:t>
        </w:r>
        <w:r w:rsidR="001B3305" w:rsidRPr="00A67C76">
          <w:rPr>
            <w:rStyle w:val="Hyperlink"/>
            <w:i/>
            <w:noProof/>
          </w:rPr>
          <w:t>a</w:t>
        </w:r>
        <w:r w:rsidR="001B3305" w:rsidRPr="00A67C76">
          <w:rPr>
            <w:rStyle w:val="Hyperlink"/>
            <w:noProof/>
          </w:rPr>
          <w:t xml:space="preserve"> concentrations and turbidity with and without environmental flows. Scenarios include with and without both commonwealth environmental water (CEW) and The Living Murray water (TLMW).</w:t>
        </w:r>
        <w:r w:rsidR="001B3305" w:rsidRPr="00A67C76">
          <w:rPr>
            <w:noProof/>
            <w:webHidden/>
          </w:rPr>
          <w:tab/>
        </w:r>
        <w:r w:rsidRPr="00A67C76">
          <w:rPr>
            <w:noProof/>
            <w:webHidden/>
          </w:rPr>
          <w:fldChar w:fldCharType="begin"/>
        </w:r>
        <w:r w:rsidR="001B3305" w:rsidRPr="00A67C76">
          <w:rPr>
            <w:noProof/>
            <w:webHidden/>
          </w:rPr>
          <w:instrText xml:space="preserve"> PAGEREF _Toc387843076 \h </w:instrText>
        </w:r>
        <w:r w:rsidRPr="00A67C76">
          <w:rPr>
            <w:noProof/>
            <w:webHidden/>
          </w:rPr>
        </w:r>
        <w:r w:rsidRPr="00A67C76">
          <w:rPr>
            <w:noProof/>
            <w:webHidden/>
          </w:rPr>
          <w:fldChar w:fldCharType="separate"/>
        </w:r>
        <w:r w:rsidR="009659F2">
          <w:rPr>
            <w:noProof/>
            <w:webHidden/>
          </w:rPr>
          <w:t>78</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77" w:history="1">
        <w:r w:rsidR="001B3305" w:rsidRPr="00A67C76">
          <w:rPr>
            <w:rStyle w:val="Hyperlink"/>
            <w:noProof/>
          </w:rPr>
          <w:t xml:space="preserve">Figure 26. Modelled chlorophyll </w:t>
        </w:r>
        <w:r w:rsidR="001B3305" w:rsidRPr="00A67C76">
          <w:rPr>
            <w:rStyle w:val="Hyperlink"/>
            <w:i/>
            <w:noProof/>
          </w:rPr>
          <w:t>a</w:t>
        </w:r>
        <w:r w:rsidR="001B3305" w:rsidRPr="00A67C76">
          <w:rPr>
            <w:rStyle w:val="Hyperlink"/>
            <w:noProof/>
          </w:rPr>
          <w:t xml:space="preserve"> (TCHLA) and total suspended solid (TSS) exports with and without environmental flows. Scenarios include with and without both commonwealth environmental water (CEW) and The Living Murray water (TLMW).</w:t>
        </w:r>
        <w:r w:rsidR="001B3305" w:rsidRPr="00A67C76">
          <w:rPr>
            <w:noProof/>
            <w:webHidden/>
          </w:rPr>
          <w:tab/>
        </w:r>
        <w:r w:rsidRPr="00A67C76">
          <w:rPr>
            <w:noProof/>
            <w:webHidden/>
          </w:rPr>
          <w:fldChar w:fldCharType="begin"/>
        </w:r>
        <w:r w:rsidR="001B3305" w:rsidRPr="00A67C76">
          <w:rPr>
            <w:noProof/>
            <w:webHidden/>
          </w:rPr>
          <w:instrText xml:space="preserve"> PAGEREF _Toc387843077 \h </w:instrText>
        </w:r>
        <w:r w:rsidRPr="00A67C76">
          <w:rPr>
            <w:noProof/>
            <w:webHidden/>
          </w:rPr>
        </w:r>
        <w:r w:rsidRPr="00A67C76">
          <w:rPr>
            <w:noProof/>
            <w:webHidden/>
          </w:rPr>
          <w:fldChar w:fldCharType="separate"/>
        </w:r>
        <w:r w:rsidR="009659F2">
          <w:rPr>
            <w:noProof/>
            <w:webHidden/>
          </w:rPr>
          <w:t>79</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78" w:history="1">
        <w:r w:rsidR="001B3305" w:rsidRPr="00A67C76">
          <w:rPr>
            <w:rStyle w:val="Hyperlink"/>
            <w:noProof/>
          </w:rPr>
          <w:t xml:space="preserve">Figure 27. Principal component analysis of fish assemblages moving ‘IN’ (open symbols) and ‘OUT’ (closed symbols) of the wetland at Overland Corner during six flow phases in the Lower Murray River in </w:t>
        </w:r>
        <w:r w:rsidR="00333041" w:rsidRPr="00A67C76">
          <w:rPr>
            <w:rStyle w:val="Hyperlink"/>
            <w:noProof/>
          </w:rPr>
          <w:t>2012</w:t>
        </w:r>
        <w:r w:rsidR="00FD328A" w:rsidRPr="00FD328A">
          <w:rPr>
            <w:rStyle w:val="Hyperlink"/>
            <w:noProof/>
          </w:rPr>
          <w:t>-13</w:t>
        </w:r>
        <w:r w:rsidR="001B3305" w:rsidRPr="00A67C76">
          <w:rPr>
            <w:rStyle w:val="Hyperlink"/>
            <w:noProof/>
          </w:rPr>
          <w:t xml:space="preserve"> (Low flow phase: X = IN; + = out).</w:t>
        </w:r>
        <w:r w:rsidR="001B3305" w:rsidRPr="00A67C76">
          <w:rPr>
            <w:noProof/>
            <w:webHidden/>
          </w:rPr>
          <w:tab/>
        </w:r>
        <w:r w:rsidRPr="00A67C76">
          <w:rPr>
            <w:noProof/>
            <w:webHidden/>
          </w:rPr>
          <w:fldChar w:fldCharType="begin"/>
        </w:r>
        <w:r w:rsidR="001B3305" w:rsidRPr="00A67C76">
          <w:rPr>
            <w:noProof/>
            <w:webHidden/>
          </w:rPr>
          <w:instrText xml:space="preserve"> PAGEREF _Toc387843078 \h </w:instrText>
        </w:r>
        <w:r w:rsidRPr="00A67C76">
          <w:rPr>
            <w:noProof/>
            <w:webHidden/>
          </w:rPr>
        </w:r>
        <w:r w:rsidRPr="00A67C76">
          <w:rPr>
            <w:noProof/>
            <w:webHidden/>
          </w:rPr>
          <w:fldChar w:fldCharType="separate"/>
        </w:r>
        <w:r w:rsidR="009659F2">
          <w:rPr>
            <w:noProof/>
            <w:webHidden/>
          </w:rPr>
          <w:t>81</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79" w:history="1">
        <w:r w:rsidR="001B3305" w:rsidRPr="00A67C76">
          <w:rPr>
            <w:rStyle w:val="Hyperlink"/>
            <w:noProof/>
          </w:rPr>
          <w:t xml:space="preserve">Figure 28. Principal component analysis of fish assemblages moving ‘IN’ (open symbols) and ‘OUT’ (closed symbols) of the wetland at Kroehns during six flow phases in the Lower Murray River in </w:t>
        </w:r>
        <w:r w:rsidR="00333041" w:rsidRPr="00A67C76">
          <w:rPr>
            <w:rStyle w:val="Hyperlink"/>
            <w:noProof/>
          </w:rPr>
          <w:t>2012</w:t>
        </w:r>
        <w:r w:rsidR="00FD328A" w:rsidRPr="00FD328A">
          <w:rPr>
            <w:rStyle w:val="Hyperlink"/>
            <w:noProof/>
          </w:rPr>
          <w:t>-13</w:t>
        </w:r>
        <w:r w:rsidR="001B3305" w:rsidRPr="00A67C76">
          <w:rPr>
            <w:rStyle w:val="Hyperlink"/>
            <w:noProof/>
          </w:rPr>
          <w:t>.</w:t>
        </w:r>
        <w:r w:rsidR="001B3305" w:rsidRPr="00A67C76">
          <w:rPr>
            <w:noProof/>
            <w:webHidden/>
          </w:rPr>
          <w:tab/>
        </w:r>
        <w:r w:rsidRPr="00A67C76">
          <w:rPr>
            <w:noProof/>
            <w:webHidden/>
          </w:rPr>
          <w:fldChar w:fldCharType="begin"/>
        </w:r>
        <w:r w:rsidR="001B3305" w:rsidRPr="00A67C76">
          <w:rPr>
            <w:noProof/>
            <w:webHidden/>
          </w:rPr>
          <w:instrText xml:space="preserve"> PAGEREF _Toc387843079 \h </w:instrText>
        </w:r>
        <w:r w:rsidRPr="00A67C76">
          <w:rPr>
            <w:noProof/>
            <w:webHidden/>
          </w:rPr>
        </w:r>
        <w:r w:rsidRPr="00A67C76">
          <w:rPr>
            <w:noProof/>
            <w:webHidden/>
          </w:rPr>
          <w:fldChar w:fldCharType="separate"/>
        </w:r>
        <w:r w:rsidR="009659F2">
          <w:rPr>
            <w:noProof/>
            <w:webHidden/>
          </w:rPr>
          <w:t>85</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80" w:history="1">
        <w:r w:rsidR="001B3305" w:rsidRPr="00A67C76">
          <w:rPr>
            <w:rStyle w:val="Hyperlink"/>
            <w:noProof/>
          </w:rPr>
          <w:t xml:space="preserve">Figure 29. dbRDA ordination of the fitted model of fish assemblages moving ‘IN’ (open symbols) and ‘OUT’ (closed symbols) of the wetland at Overland Corner versus the environmental predictor variables during six flow phases in the Lower Murray River in </w:t>
        </w:r>
        <w:r w:rsidR="00333041" w:rsidRPr="00A67C76">
          <w:rPr>
            <w:rStyle w:val="Hyperlink"/>
            <w:noProof/>
          </w:rPr>
          <w:t>2012</w:t>
        </w:r>
        <w:r w:rsidR="00FD328A" w:rsidRPr="00FD328A">
          <w:rPr>
            <w:rStyle w:val="Hyperlink"/>
            <w:noProof/>
          </w:rPr>
          <w:t>-13</w:t>
        </w:r>
        <w:r w:rsidR="001B3305" w:rsidRPr="00A67C76">
          <w:rPr>
            <w:rStyle w:val="Hyperlink"/>
            <w:noProof/>
          </w:rPr>
          <w:t xml:space="preserve"> (Low flow phase: X = IN; + = OUT).</w:t>
        </w:r>
        <w:r w:rsidR="001B3305" w:rsidRPr="00A67C76">
          <w:rPr>
            <w:noProof/>
            <w:webHidden/>
          </w:rPr>
          <w:tab/>
        </w:r>
        <w:r w:rsidRPr="00A67C76">
          <w:rPr>
            <w:noProof/>
            <w:webHidden/>
          </w:rPr>
          <w:fldChar w:fldCharType="begin"/>
        </w:r>
        <w:r w:rsidR="001B3305" w:rsidRPr="00A67C76">
          <w:rPr>
            <w:noProof/>
            <w:webHidden/>
          </w:rPr>
          <w:instrText xml:space="preserve"> PAGEREF _Toc387843080 \h </w:instrText>
        </w:r>
        <w:r w:rsidRPr="00A67C76">
          <w:rPr>
            <w:noProof/>
            <w:webHidden/>
          </w:rPr>
        </w:r>
        <w:r w:rsidRPr="00A67C76">
          <w:rPr>
            <w:noProof/>
            <w:webHidden/>
          </w:rPr>
          <w:fldChar w:fldCharType="separate"/>
        </w:r>
        <w:r w:rsidR="009659F2">
          <w:rPr>
            <w:noProof/>
            <w:webHidden/>
          </w:rPr>
          <w:t>88</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81" w:history="1">
        <w:r w:rsidR="001B3305" w:rsidRPr="00A67C76">
          <w:rPr>
            <w:rStyle w:val="Hyperlink"/>
            <w:noProof/>
          </w:rPr>
          <w:t xml:space="preserve">Figure 30. dbRDA ordination of the fitted model of fish assemblages moving ‘IN’ (open symbols) and ‘OUT’ (closed symbols) of the wetland at Kroehns versus the environmental predictor variables during six flow phases in the Lower Murray River in </w:t>
        </w:r>
        <w:r w:rsidR="00333041" w:rsidRPr="00A67C76">
          <w:rPr>
            <w:rStyle w:val="Hyperlink"/>
            <w:noProof/>
          </w:rPr>
          <w:t>2012</w:t>
        </w:r>
        <w:r w:rsidR="00FD328A" w:rsidRPr="00FD328A">
          <w:rPr>
            <w:rStyle w:val="Hyperlink"/>
            <w:noProof/>
          </w:rPr>
          <w:t>-13</w:t>
        </w:r>
        <w:r w:rsidR="001B3305" w:rsidRPr="00A67C76">
          <w:rPr>
            <w:rStyle w:val="Hyperlink"/>
            <w:noProof/>
          </w:rPr>
          <w:t xml:space="preserve"> (Low flow phase: X = IN; + = OUT).</w:t>
        </w:r>
        <w:r w:rsidR="001B3305" w:rsidRPr="00A67C76">
          <w:rPr>
            <w:noProof/>
            <w:webHidden/>
          </w:rPr>
          <w:tab/>
        </w:r>
        <w:r w:rsidRPr="00A67C76">
          <w:rPr>
            <w:noProof/>
            <w:webHidden/>
          </w:rPr>
          <w:fldChar w:fldCharType="begin"/>
        </w:r>
        <w:r w:rsidR="001B3305" w:rsidRPr="00A67C76">
          <w:rPr>
            <w:noProof/>
            <w:webHidden/>
          </w:rPr>
          <w:instrText xml:space="preserve"> PAGEREF _Toc387843081 \h </w:instrText>
        </w:r>
        <w:r w:rsidRPr="00A67C76">
          <w:rPr>
            <w:noProof/>
            <w:webHidden/>
          </w:rPr>
        </w:r>
        <w:r w:rsidRPr="00A67C76">
          <w:rPr>
            <w:noProof/>
            <w:webHidden/>
          </w:rPr>
          <w:fldChar w:fldCharType="separate"/>
        </w:r>
        <w:r w:rsidR="009659F2">
          <w:rPr>
            <w:noProof/>
            <w:webHidden/>
          </w:rPr>
          <w:t>89</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82" w:history="1">
        <w:r w:rsidR="001B3305" w:rsidRPr="00A67C76">
          <w:rPr>
            <w:rStyle w:val="Hyperlink"/>
            <w:noProof/>
          </w:rPr>
          <w:t xml:space="preserve">Figure 31. Length frequency distributions for juvenile common carp (≤100 mm TL) sampled in the river-wetland connection passage and within the wetlands for the Floodplain region (left) and Gorge region (right) for six phases of flow in </w:t>
        </w:r>
        <w:r w:rsidR="00333041" w:rsidRPr="00A67C76">
          <w:rPr>
            <w:rStyle w:val="Hyperlink"/>
            <w:noProof/>
          </w:rPr>
          <w:t>2012</w:t>
        </w:r>
        <w:r w:rsidR="00FD328A" w:rsidRPr="00FD328A">
          <w:rPr>
            <w:rStyle w:val="Hyperlink"/>
            <w:noProof/>
          </w:rPr>
          <w:t>-13</w:t>
        </w:r>
        <w:r w:rsidR="001B3305" w:rsidRPr="00A67C76">
          <w:rPr>
            <w:rStyle w:val="Hyperlink"/>
            <w:noProof/>
          </w:rPr>
          <w:t>.</w:t>
        </w:r>
        <w:r w:rsidR="001B3305" w:rsidRPr="00A67C76">
          <w:rPr>
            <w:noProof/>
            <w:webHidden/>
          </w:rPr>
          <w:tab/>
        </w:r>
        <w:r w:rsidRPr="00A67C76">
          <w:rPr>
            <w:noProof/>
            <w:webHidden/>
          </w:rPr>
          <w:fldChar w:fldCharType="begin"/>
        </w:r>
        <w:r w:rsidR="001B3305" w:rsidRPr="00A67C76">
          <w:rPr>
            <w:noProof/>
            <w:webHidden/>
          </w:rPr>
          <w:instrText xml:space="preserve"> PAGEREF _Toc387843082 \h </w:instrText>
        </w:r>
        <w:r w:rsidRPr="00A67C76">
          <w:rPr>
            <w:noProof/>
            <w:webHidden/>
          </w:rPr>
        </w:r>
        <w:r w:rsidRPr="00A67C76">
          <w:rPr>
            <w:noProof/>
            <w:webHidden/>
          </w:rPr>
          <w:fldChar w:fldCharType="separate"/>
        </w:r>
        <w:r w:rsidR="009659F2">
          <w:rPr>
            <w:noProof/>
            <w:webHidden/>
          </w:rPr>
          <w:t>91</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83" w:history="1">
        <w:r w:rsidR="001B3305" w:rsidRPr="00A67C76">
          <w:rPr>
            <w:rStyle w:val="Hyperlink"/>
            <w:noProof/>
          </w:rPr>
          <w:t>Figure 32. Estimated spawning date frequency (bars) for randomly-selected juvenile common carp sampled from (a) the Floodplain (n = 57) and (b) the Gorge (n = 62) region across all flow phases. Murray River flow (ML day</w:t>
        </w:r>
        <w:r w:rsidR="001B3305" w:rsidRPr="00A67C76">
          <w:rPr>
            <w:rStyle w:val="Hyperlink"/>
            <w:rFonts w:eastAsia="MTSYN"/>
            <w:noProof/>
            <w:vertAlign w:val="superscript"/>
          </w:rPr>
          <w:t>−</w:t>
        </w:r>
        <w:r w:rsidR="001B3305" w:rsidRPr="00A67C76">
          <w:rPr>
            <w:rStyle w:val="Hyperlink"/>
            <w:noProof/>
            <w:vertAlign w:val="superscript"/>
          </w:rPr>
          <w:t>1</w:t>
        </w:r>
        <w:r w:rsidR="001B3305" w:rsidRPr="00A67C76">
          <w:rPr>
            <w:rStyle w:val="Hyperlink"/>
            <w:noProof/>
          </w:rPr>
          <w:t>) over the South Australian border for the period from 1st August 2012 to 1 February 2013.</w:t>
        </w:r>
        <w:r w:rsidR="001B3305" w:rsidRPr="00A67C76">
          <w:rPr>
            <w:noProof/>
            <w:webHidden/>
          </w:rPr>
          <w:tab/>
        </w:r>
        <w:r w:rsidRPr="00A67C76">
          <w:rPr>
            <w:noProof/>
            <w:webHidden/>
          </w:rPr>
          <w:fldChar w:fldCharType="begin"/>
        </w:r>
        <w:r w:rsidR="001B3305" w:rsidRPr="00A67C76">
          <w:rPr>
            <w:noProof/>
            <w:webHidden/>
          </w:rPr>
          <w:instrText xml:space="preserve"> PAGEREF _Toc387843083 \h </w:instrText>
        </w:r>
        <w:r w:rsidRPr="00A67C76">
          <w:rPr>
            <w:noProof/>
            <w:webHidden/>
          </w:rPr>
        </w:r>
        <w:r w:rsidRPr="00A67C76">
          <w:rPr>
            <w:noProof/>
            <w:webHidden/>
          </w:rPr>
          <w:fldChar w:fldCharType="separate"/>
        </w:r>
        <w:r w:rsidR="009659F2">
          <w:rPr>
            <w:noProof/>
            <w:webHidden/>
          </w:rPr>
          <w:t>92</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84" w:history="1">
        <w:r w:rsidR="001B3305" w:rsidRPr="00A67C76">
          <w:rPr>
            <w:rStyle w:val="Hyperlink"/>
            <w:noProof/>
          </w:rPr>
          <w:t>Figure 33. Mean (± Standard Error) (a) abundance and (b) species richness of calling males at wetlands (n=9) in spring (high flows) and summer (environmental water) 2012.</w:t>
        </w:r>
        <w:r w:rsidR="001B3305" w:rsidRPr="00A67C76">
          <w:rPr>
            <w:noProof/>
            <w:webHidden/>
          </w:rPr>
          <w:tab/>
        </w:r>
        <w:r w:rsidRPr="00A67C76">
          <w:rPr>
            <w:noProof/>
            <w:webHidden/>
          </w:rPr>
          <w:fldChar w:fldCharType="begin"/>
        </w:r>
        <w:r w:rsidR="001B3305" w:rsidRPr="00A67C76">
          <w:rPr>
            <w:noProof/>
            <w:webHidden/>
          </w:rPr>
          <w:instrText xml:space="preserve"> PAGEREF _Toc387843084 \h </w:instrText>
        </w:r>
        <w:r w:rsidRPr="00A67C76">
          <w:rPr>
            <w:noProof/>
            <w:webHidden/>
          </w:rPr>
        </w:r>
        <w:r w:rsidRPr="00A67C76">
          <w:rPr>
            <w:noProof/>
            <w:webHidden/>
          </w:rPr>
          <w:fldChar w:fldCharType="separate"/>
        </w:r>
        <w:r w:rsidR="009659F2">
          <w:rPr>
            <w:noProof/>
            <w:webHidden/>
          </w:rPr>
          <w:t>94</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85" w:history="1">
        <w:r w:rsidR="001B3305" w:rsidRPr="00A67C76">
          <w:rPr>
            <w:rStyle w:val="Hyperlink"/>
            <w:noProof/>
          </w:rPr>
          <w:t>Figure 34. Relationship between species richness of calling males and emergent vegetation (%) at wetlands in spring and summer 2012.</w:t>
        </w:r>
        <w:r w:rsidR="001B3305" w:rsidRPr="00A67C76">
          <w:rPr>
            <w:noProof/>
            <w:webHidden/>
          </w:rPr>
          <w:tab/>
        </w:r>
        <w:r w:rsidRPr="00A67C76">
          <w:rPr>
            <w:noProof/>
            <w:webHidden/>
          </w:rPr>
          <w:fldChar w:fldCharType="begin"/>
        </w:r>
        <w:r w:rsidR="001B3305" w:rsidRPr="00A67C76">
          <w:rPr>
            <w:noProof/>
            <w:webHidden/>
          </w:rPr>
          <w:instrText xml:space="preserve"> PAGEREF _Toc387843085 \h </w:instrText>
        </w:r>
        <w:r w:rsidRPr="00A67C76">
          <w:rPr>
            <w:noProof/>
            <w:webHidden/>
          </w:rPr>
        </w:r>
        <w:r w:rsidRPr="00A67C76">
          <w:rPr>
            <w:noProof/>
            <w:webHidden/>
          </w:rPr>
          <w:fldChar w:fldCharType="separate"/>
        </w:r>
        <w:r w:rsidR="009659F2">
          <w:rPr>
            <w:noProof/>
            <w:webHidden/>
          </w:rPr>
          <w:t>95</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86" w:history="1">
        <w:r w:rsidR="001B3305" w:rsidRPr="00A67C76">
          <w:rPr>
            <w:rStyle w:val="Hyperlink"/>
            <w:noProof/>
          </w:rPr>
          <w:t>Figure 35. Relationship between the abundance of calling males and emergent vegetation (%) at wetlands in spring and summer 2012.</w:t>
        </w:r>
        <w:r w:rsidR="001B3305" w:rsidRPr="00A67C76">
          <w:rPr>
            <w:noProof/>
            <w:webHidden/>
          </w:rPr>
          <w:tab/>
        </w:r>
        <w:r w:rsidRPr="00A67C76">
          <w:rPr>
            <w:noProof/>
            <w:webHidden/>
          </w:rPr>
          <w:fldChar w:fldCharType="begin"/>
        </w:r>
        <w:r w:rsidR="001B3305" w:rsidRPr="00A67C76">
          <w:rPr>
            <w:noProof/>
            <w:webHidden/>
          </w:rPr>
          <w:instrText xml:space="preserve"> PAGEREF _Toc387843086 \h </w:instrText>
        </w:r>
        <w:r w:rsidRPr="00A67C76">
          <w:rPr>
            <w:noProof/>
            <w:webHidden/>
          </w:rPr>
        </w:r>
        <w:r w:rsidRPr="00A67C76">
          <w:rPr>
            <w:noProof/>
            <w:webHidden/>
          </w:rPr>
          <w:fldChar w:fldCharType="separate"/>
        </w:r>
        <w:r w:rsidR="009659F2">
          <w:rPr>
            <w:noProof/>
            <w:webHidden/>
          </w:rPr>
          <w:t>95</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87" w:history="1">
        <w:r w:rsidR="001B3305" w:rsidRPr="00A67C76">
          <w:rPr>
            <w:rStyle w:val="Hyperlink"/>
            <w:noProof/>
          </w:rPr>
          <w:t>Figure 36. Water level (m AHD) and salinity (g/L) in the Coorong as modelled with CHM v2.1.0. Here focussing on salinities above 85 g/L to be comparable with fish habitats.</w:t>
        </w:r>
        <w:r w:rsidR="001B3305" w:rsidRPr="00A67C76">
          <w:rPr>
            <w:noProof/>
            <w:webHidden/>
          </w:rPr>
          <w:tab/>
        </w:r>
        <w:r w:rsidRPr="00A67C76">
          <w:rPr>
            <w:noProof/>
            <w:webHidden/>
          </w:rPr>
          <w:fldChar w:fldCharType="begin"/>
        </w:r>
        <w:r w:rsidR="001B3305" w:rsidRPr="00A67C76">
          <w:rPr>
            <w:noProof/>
            <w:webHidden/>
          </w:rPr>
          <w:instrText xml:space="preserve"> PAGEREF _Toc387843087 \h </w:instrText>
        </w:r>
        <w:r w:rsidRPr="00A67C76">
          <w:rPr>
            <w:noProof/>
            <w:webHidden/>
          </w:rPr>
        </w:r>
        <w:r w:rsidRPr="00A67C76">
          <w:rPr>
            <w:noProof/>
            <w:webHidden/>
          </w:rPr>
          <w:fldChar w:fldCharType="separate"/>
        </w:r>
        <w:r w:rsidR="009659F2">
          <w:rPr>
            <w:noProof/>
            <w:webHidden/>
          </w:rPr>
          <w:t>101</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88" w:history="1">
        <w:r w:rsidR="001B3305" w:rsidRPr="00A67C76">
          <w:rPr>
            <w:rStyle w:val="Hyperlink"/>
            <w:noProof/>
          </w:rPr>
          <w:t>Figure 37. Changes in water level and salinity for scenarios 2 and 3 with respect to the reference. Scenario 2: with Commonwealth environmental watering; Scenario 3: without environmental watering.</w:t>
        </w:r>
        <w:r w:rsidR="001B3305" w:rsidRPr="00A67C76">
          <w:rPr>
            <w:noProof/>
            <w:webHidden/>
          </w:rPr>
          <w:tab/>
        </w:r>
        <w:r w:rsidRPr="00A67C76">
          <w:rPr>
            <w:noProof/>
            <w:webHidden/>
          </w:rPr>
          <w:fldChar w:fldCharType="begin"/>
        </w:r>
        <w:r w:rsidR="001B3305" w:rsidRPr="00A67C76">
          <w:rPr>
            <w:noProof/>
            <w:webHidden/>
          </w:rPr>
          <w:instrText xml:space="preserve"> PAGEREF _Toc387843088 \h </w:instrText>
        </w:r>
        <w:r w:rsidRPr="00A67C76">
          <w:rPr>
            <w:noProof/>
            <w:webHidden/>
          </w:rPr>
        </w:r>
        <w:r w:rsidRPr="00A67C76">
          <w:rPr>
            <w:noProof/>
            <w:webHidden/>
          </w:rPr>
          <w:fldChar w:fldCharType="separate"/>
        </w:r>
        <w:r w:rsidR="009659F2">
          <w:rPr>
            <w:noProof/>
            <w:webHidden/>
          </w:rPr>
          <w:t>103</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89" w:history="1">
        <w:r w:rsidR="001B3305" w:rsidRPr="00A67C76">
          <w:rPr>
            <w:rStyle w:val="Hyperlink"/>
            <w:noProof/>
          </w:rPr>
          <w:t xml:space="preserve">Figure 38. Model output showing the probability of </w:t>
        </w:r>
        <w:r w:rsidR="001B3305" w:rsidRPr="00A67C76">
          <w:rPr>
            <w:rStyle w:val="Hyperlink"/>
            <w:i/>
            <w:noProof/>
          </w:rPr>
          <w:t>Ruppia tuberosa</w:t>
        </w:r>
        <w:r w:rsidR="001B3305" w:rsidRPr="00A67C76">
          <w:rPr>
            <w:rStyle w:val="Hyperlink"/>
            <w:noProof/>
          </w:rPr>
          <w:t xml:space="preserve"> sediment propagule bank replenishment from 1963 to 2013 in the North Lagoon (lower graph) and South Lagoon (upper graph) of the Coorong between Murray Mouth channel (0 km) and Salt Creek (102 km from the Murray Mouth).  The contour line on the plot represents the 25% probability of sediment propagule bank replenishment.</w:t>
        </w:r>
        <w:r w:rsidR="001B3305" w:rsidRPr="00A67C76">
          <w:rPr>
            <w:noProof/>
            <w:webHidden/>
          </w:rPr>
          <w:tab/>
        </w:r>
        <w:r w:rsidRPr="00A67C76">
          <w:rPr>
            <w:noProof/>
            <w:webHidden/>
          </w:rPr>
          <w:fldChar w:fldCharType="begin"/>
        </w:r>
        <w:r w:rsidR="001B3305" w:rsidRPr="00A67C76">
          <w:rPr>
            <w:noProof/>
            <w:webHidden/>
          </w:rPr>
          <w:instrText xml:space="preserve"> PAGEREF _Toc387843089 \h </w:instrText>
        </w:r>
        <w:r w:rsidRPr="00A67C76">
          <w:rPr>
            <w:noProof/>
            <w:webHidden/>
          </w:rPr>
        </w:r>
        <w:r w:rsidRPr="00A67C76">
          <w:rPr>
            <w:noProof/>
            <w:webHidden/>
          </w:rPr>
          <w:fldChar w:fldCharType="separate"/>
        </w:r>
        <w:r w:rsidR="009659F2">
          <w:rPr>
            <w:noProof/>
            <w:webHidden/>
          </w:rPr>
          <w:t>105</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90" w:history="1">
        <w:r w:rsidR="001B3305" w:rsidRPr="00A67C76">
          <w:rPr>
            <w:rStyle w:val="Hyperlink"/>
            <w:noProof/>
          </w:rPr>
          <w:t>Figure 39.</w:t>
        </w:r>
        <w:r w:rsidR="001B3305" w:rsidRPr="00A67C76">
          <w:rPr>
            <w:rStyle w:val="Hyperlink"/>
            <w:rFonts w:eastAsiaTheme="minorHAnsi"/>
            <w:noProof/>
          </w:rPr>
          <w:t xml:space="preserve"> Changes in sediment propagule bank replenishment probability for </w:t>
        </w:r>
        <w:r w:rsidR="001B3305" w:rsidRPr="00A67C76">
          <w:rPr>
            <w:rStyle w:val="Hyperlink"/>
            <w:rFonts w:eastAsiaTheme="minorHAnsi"/>
            <w:i/>
            <w:noProof/>
          </w:rPr>
          <w:t>Ruppia</w:t>
        </w:r>
        <w:r w:rsidR="001B3305" w:rsidRPr="00A67C76">
          <w:rPr>
            <w:rStyle w:val="Hyperlink"/>
            <w:rFonts w:eastAsiaTheme="minorHAnsi"/>
            <w:noProof/>
          </w:rPr>
          <w:t xml:space="preserve"> </w:t>
        </w:r>
        <w:r w:rsidR="001B3305" w:rsidRPr="00A67C76">
          <w:rPr>
            <w:rStyle w:val="Hyperlink"/>
            <w:rFonts w:eastAsiaTheme="minorHAnsi"/>
            <w:i/>
            <w:noProof/>
          </w:rPr>
          <w:t>tuberosa</w:t>
        </w:r>
        <w:r w:rsidR="001B3305" w:rsidRPr="00A67C76">
          <w:rPr>
            <w:rStyle w:val="Hyperlink"/>
            <w:rFonts w:eastAsiaTheme="minorHAnsi"/>
            <w:noProof/>
          </w:rPr>
          <w:t xml:space="preserve"> due to different scenarios of environmental watering (black: reference simulation, red: scenario 2, blue: scenario 3).</w:t>
        </w:r>
        <w:r w:rsidR="001B3305" w:rsidRPr="00A67C76">
          <w:rPr>
            <w:noProof/>
            <w:webHidden/>
          </w:rPr>
          <w:tab/>
        </w:r>
        <w:r w:rsidRPr="00A67C76">
          <w:rPr>
            <w:noProof/>
            <w:webHidden/>
          </w:rPr>
          <w:fldChar w:fldCharType="begin"/>
        </w:r>
        <w:r w:rsidR="001B3305" w:rsidRPr="00A67C76">
          <w:rPr>
            <w:noProof/>
            <w:webHidden/>
          </w:rPr>
          <w:instrText xml:space="preserve"> PAGEREF _Toc387843090 \h </w:instrText>
        </w:r>
        <w:r w:rsidRPr="00A67C76">
          <w:rPr>
            <w:noProof/>
            <w:webHidden/>
          </w:rPr>
        </w:r>
        <w:r w:rsidRPr="00A67C76">
          <w:rPr>
            <w:noProof/>
            <w:webHidden/>
          </w:rPr>
          <w:fldChar w:fldCharType="separate"/>
        </w:r>
        <w:r w:rsidR="009659F2">
          <w:rPr>
            <w:noProof/>
            <w:webHidden/>
          </w:rPr>
          <w:t>107</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91" w:history="1">
        <w:r w:rsidR="001B3305" w:rsidRPr="00A67C76">
          <w:rPr>
            <w:rStyle w:val="Hyperlink"/>
            <w:noProof/>
          </w:rPr>
          <w:t>Figure 40. Habitat suitability for fish species in the Coorong calculated on an annual basis. The horizontal black line indicates the border between North and South Lagoon.</w:t>
        </w:r>
        <w:r w:rsidR="001B3305" w:rsidRPr="00A67C76">
          <w:rPr>
            <w:noProof/>
            <w:webHidden/>
          </w:rPr>
          <w:tab/>
        </w:r>
        <w:r w:rsidRPr="00A67C76">
          <w:rPr>
            <w:noProof/>
            <w:webHidden/>
          </w:rPr>
          <w:fldChar w:fldCharType="begin"/>
        </w:r>
        <w:r w:rsidR="001B3305" w:rsidRPr="00A67C76">
          <w:rPr>
            <w:noProof/>
            <w:webHidden/>
          </w:rPr>
          <w:instrText xml:space="preserve"> PAGEREF _Toc387843091 \h </w:instrText>
        </w:r>
        <w:r w:rsidRPr="00A67C76">
          <w:rPr>
            <w:noProof/>
            <w:webHidden/>
          </w:rPr>
        </w:r>
        <w:r w:rsidRPr="00A67C76">
          <w:rPr>
            <w:noProof/>
            <w:webHidden/>
          </w:rPr>
          <w:fldChar w:fldCharType="separate"/>
        </w:r>
        <w:r w:rsidR="009659F2">
          <w:rPr>
            <w:noProof/>
            <w:webHidden/>
          </w:rPr>
          <w:t>109</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92" w:history="1">
        <w:r w:rsidR="001B3305" w:rsidRPr="00A67C76">
          <w:rPr>
            <w:rStyle w:val="Hyperlink"/>
            <w:noProof/>
          </w:rPr>
          <w:t>Figure 41. Fish habitat derived from salinity thresholds based on daily analysis.</w:t>
        </w:r>
        <w:r w:rsidR="001B3305" w:rsidRPr="00A67C76">
          <w:rPr>
            <w:noProof/>
            <w:webHidden/>
          </w:rPr>
          <w:tab/>
        </w:r>
        <w:r w:rsidRPr="00A67C76">
          <w:rPr>
            <w:noProof/>
            <w:webHidden/>
          </w:rPr>
          <w:fldChar w:fldCharType="begin"/>
        </w:r>
        <w:r w:rsidR="001B3305" w:rsidRPr="00A67C76">
          <w:rPr>
            <w:noProof/>
            <w:webHidden/>
          </w:rPr>
          <w:instrText xml:space="preserve"> PAGEREF _Toc387843092 \h </w:instrText>
        </w:r>
        <w:r w:rsidRPr="00A67C76">
          <w:rPr>
            <w:noProof/>
            <w:webHidden/>
          </w:rPr>
        </w:r>
        <w:r w:rsidRPr="00A67C76">
          <w:rPr>
            <w:noProof/>
            <w:webHidden/>
          </w:rPr>
          <w:fldChar w:fldCharType="separate"/>
        </w:r>
        <w:r w:rsidR="009659F2">
          <w:rPr>
            <w:noProof/>
            <w:webHidden/>
          </w:rPr>
          <w:t>170</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93" w:history="1">
        <w:r w:rsidR="001B3305" w:rsidRPr="00A67C76">
          <w:rPr>
            <w:rStyle w:val="Hyperlink"/>
            <w:noProof/>
          </w:rPr>
          <w:t xml:space="preserve">Figure 42. Changes in fish habitat suitability in </w:t>
        </w:r>
        <w:r w:rsidR="00333041" w:rsidRPr="00A67C76">
          <w:rPr>
            <w:rStyle w:val="Hyperlink"/>
            <w:noProof/>
          </w:rPr>
          <w:t>2012</w:t>
        </w:r>
        <w:r w:rsidR="00FD328A" w:rsidRPr="00FD328A">
          <w:rPr>
            <w:rStyle w:val="Hyperlink"/>
            <w:noProof/>
          </w:rPr>
          <w:t>-13</w:t>
        </w:r>
        <w:r w:rsidR="001B3305" w:rsidRPr="00A67C76">
          <w:rPr>
            <w:rStyle w:val="Hyperlink"/>
            <w:noProof/>
          </w:rPr>
          <w:t xml:space="preserve"> assuming less barrage flow (scenarios 2 and 3). Species not shown did not experience changes this particular year. A positive value in the habitat changes signifies a loss.</w:t>
        </w:r>
        <w:r w:rsidR="001B3305" w:rsidRPr="00A67C76">
          <w:rPr>
            <w:noProof/>
            <w:webHidden/>
          </w:rPr>
          <w:tab/>
        </w:r>
        <w:r w:rsidRPr="00A67C76">
          <w:rPr>
            <w:noProof/>
            <w:webHidden/>
          </w:rPr>
          <w:fldChar w:fldCharType="begin"/>
        </w:r>
        <w:r w:rsidR="001B3305" w:rsidRPr="00A67C76">
          <w:rPr>
            <w:noProof/>
            <w:webHidden/>
          </w:rPr>
          <w:instrText xml:space="preserve"> PAGEREF _Toc387843093 \h </w:instrText>
        </w:r>
        <w:r w:rsidRPr="00A67C76">
          <w:rPr>
            <w:noProof/>
            <w:webHidden/>
          </w:rPr>
        </w:r>
        <w:r w:rsidRPr="00A67C76">
          <w:rPr>
            <w:noProof/>
            <w:webHidden/>
          </w:rPr>
          <w:fldChar w:fldCharType="separate"/>
        </w:r>
        <w:r w:rsidR="009659F2">
          <w:rPr>
            <w:noProof/>
            <w:webHidden/>
          </w:rPr>
          <w:t>112</w:t>
        </w:r>
        <w:r w:rsidRPr="00A67C76">
          <w:rPr>
            <w:noProof/>
            <w:webHidden/>
          </w:rPr>
          <w:fldChar w:fldCharType="end"/>
        </w:r>
      </w:hyperlink>
    </w:p>
    <w:p w:rsidR="001B3305" w:rsidRPr="00A67C76" w:rsidRDefault="002E6077">
      <w:pPr>
        <w:pStyle w:val="TableofFigures"/>
        <w:contextualSpacing/>
        <w:rPr>
          <w:rFonts w:eastAsiaTheme="minorEastAsia" w:cstheme="minorBidi"/>
          <w:noProof/>
          <w:color w:val="auto"/>
          <w:sz w:val="22"/>
          <w:szCs w:val="22"/>
        </w:rPr>
      </w:pPr>
      <w:hyperlink w:anchor="_Toc387843094" w:history="1">
        <w:r w:rsidR="001B3305" w:rsidRPr="00A67C76">
          <w:rPr>
            <w:rStyle w:val="Hyperlink"/>
            <w:noProof/>
          </w:rPr>
          <w:t>Figure 43. Differences in habitat reach for scenarios 2 and 3 (here retreat with respect to the results of the reference scenario 1). Vertical black lines delineate cold from warm periods.</w:t>
        </w:r>
        <w:r w:rsidR="001B3305" w:rsidRPr="00A67C76">
          <w:rPr>
            <w:noProof/>
            <w:webHidden/>
          </w:rPr>
          <w:tab/>
        </w:r>
        <w:r w:rsidRPr="00A67C76">
          <w:rPr>
            <w:noProof/>
            <w:webHidden/>
          </w:rPr>
          <w:fldChar w:fldCharType="begin"/>
        </w:r>
        <w:r w:rsidR="001B3305" w:rsidRPr="00A67C76">
          <w:rPr>
            <w:noProof/>
            <w:webHidden/>
          </w:rPr>
          <w:instrText xml:space="preserve"> PAGEREF _Toc387843094 \h </w:instrText>
        </w:r>
        <w:r w:rsidRPr="00A67C76">
          <w:rPr>
            <w:noProof/>
            <w:webHidden/>
          </w:rPr>
        </w:r>
        <w:r w:rsidRPr="00A67C76">
          <w:rPr>
            <w:noProof/>
            <w:webHidden/>
          </w:rPr>
          <w:fldChar w:fldCharType="separate"/>
        </w:r>
        <w:r w:rsidR="009659F2">
          <w:rPr>
            <w:noProof/>
            <w:webHidden/>
          </w:rPr>
          <w:t>113</w:t>
        </w:r>
        <w:r w:rsidRPr="00A67C76">
          <w:rPr>
            <w:noProof/>
            <w:webHidden/>
          </w:rPr>
          <w:fldChar w:fldCharType="end"/>
        </w:r>
      </w:hyperlink>
    </w:p>
    <w:p w:rsidR="008E7AE7" w:rsidRPr="00A67C76" w:rsidRDefault="002E6077" w:rsidP="008E7AE7">
      <w:pPr>
        <w:pStyle w:val="H1anotincinTOC"/>
      </w:pPr>
      <w:r w:rsidRPr="00A67C76">
        <w:fldChar w:fldCharType="end"/>
      </w:r>
    </w:p>
    <w:p w:rsidR="008E7AE7" w:rsidRPr="00A67C76" w:rsidRDefault="008E7AE7" w:rsidP="008E7AE7">
      <w:pPr>
        <w:rPr>
          <w:rFonts w:cs="Arial"/>
          <w:spacing w:val="40"/>
          <w:sz w:val="32"/>
          <w:szCs w:val="32"/>
          <w:lang w:eastAsia="en-AU"/>
        </w:rPr>
      </w:pPr>
      <w:r w:rsidRPr="00A67C76">
        <w:br w:type="page"/>
      </w:r>
    </w:p>
    <w:p w:rsidR="003270BB" w:rsidRPr="00A67C76" w:rsidRDefault="003270BB" w:rsidP="00F41737">
      <w:pPr>
        <w:pStyle w:val="H1anotincinTOC"/>
        <w:outlineLvl w:val="0"/>
        <w:rPr>
          <w:color w:val="1F497D" w:themeColor="text2"/>
        </w:rPr>
      </w:pPr>
      <w:bookmarkStart w:id="7" w:name="_Toc387843570"/>
      <w:r w:rsidRPr="00A67C76">
        <w:rPr>
          <w:color w:val="1F497D" w:themeColor="text2"/>
        </w:rPr>
        <w:t>List of tables</w:t>
      </w:r>
      <w:bookmarkEnd w:id="7"/>
    </w:p>
    <w:p w:rsidR="004034FF" w:rsidRPr="00A67C76" w:rsidRDefault="002E6077" w:rsidP="004034FF">
      <w:pPr>
        <w:pStyle w:val="TableofFigures"/>
        <w:contextualSpacing/>
        <w:rPr>
          <w:rFonts w:asciiTheme="minorHAnsi" w:eastAsiaTheme="minorEastAsia" w:hAnsiTheme="minorHAnsi" w:cstheme="minorBidi"/>
          <w:noProof/>
          <w:color w:val="auto"/>
          <w:sz w:val="22"/>
          <w:szCs w:val="22"/>
        </w:rPr>
      </w:pPr>
      <w:r w:rsidRPr="002E6077">
        <w:fldChar w:fldCharType="begin"/>
      </w:r>
      <w:r w:rsidR="008E7AE7" w:rsidRPr="00A67C76">
        <w:instrText xml:space="preserve"> TOC \h \z \c "Table" </w:instrText>
      </w:r>
      <w:r w:rsidRPr="002E6077">
        <w:fldChar w:fldCharType="separate"/>
      </w:r>
      <w:hyperlink w:anchor="_Toc387929703" w:history="1">
        <w:r w:rsidR="004034FF" w:rsidRPr="00A67C76">
          <w:rPr>
            <w:rStyle w:val="Hyperlink"/>
            <w:noProof/>
          </w:rPr>
          <w:t xml:space="preserve">Table 1. Summary of key ecological outcomes associated with environmental water releases to the </w:t>
        </w:r>
        <w:r w:rsidR="00BD0525">
          <w:rPr>
            <w:rStyle w:val="Hyperlink"/>
            <w:noProof/>
          </w:rPr>
          <w:t>L</w:t>
        </w:r>
        <w:r w:rsidR="004034FF" w:rsidRPr="00A67C76">
          <w:rPr>
            <w:rStyle w:val="Hyperlink"/>
            <w:noProof/>
          </w:rPr>
          <w:t xml:space="preserve">ower </w:t>
        </w:r>
        <w:r w:rsidR="00BD0525">
          <w:rPr>
            <w:rStyle w:val="Hyperlink"/>
            <w:noProof/>
          </w:rPr>
          <w:t xml:space="preserve">Murray </w:t>
        </w:r>
        <w:r w:rsidR="004034FF" w:rsidRPr="00A67C76">
          <w:rPr>
            <w:rStyle w:val="Hyperlink"/>
            <w:noProof/>
          </w:rPr>
          <w:t xml:space="preserve">River during </w:t>
        </w:r>
        <w:r w:rsidR="00333041" w:rsidRPr="00A67C76">
          <w:rPr>
            <w:rStyle w:val="Hyperlink"/>
            <w:noProof/>
          </w:rPr>
          <w:t>2012</w:t>
        </w:r>
        <w:r w:rsidR="00FD328A" w:rsidRPr="00FD328A">
          <w:rPr>
            <w:rStyle w:val="Hyperlink"/>
            <w:noProof/>
          </w:rPr>
          <w:t>-13</w:t>
        </w:r>
        <w:r w:rsidR="004034FF" w:rsidRPr="00A67C76">
          <w:rPr>
            <w:rStyle w:val="Hyperlink"/>
            <w:noProof/>
          </w:rPr>
          <w:t>.</w:t>
        </w:r>
        <w:r w:rsidR="004034FF" w:rsidRPr="00A67C76">
          <w:rPr>
            <w:noProof/>
            <w:webHidden/>
          </w:rPr>
          <w:tab/>
        </w:r>
        <w:r w:rsidRPr="00A67C76">
          <w:rPr>
            <w:noProof/>
            <w:webHidden/>
          </w:rPr>
          <w:fldChar w:fldCharType="begin"/>
        </w:r>
        <w:r w:rsidR="004034FF" w:rsidRPr="00A67C76">
          <w:rPr>
            <w:noProof/>
            <w:webHidden/>
          </w:rPr>
          <w:instrText xml:space="preserve"> PAGEREF _Toc387929703 \h </w:instrText>
        </w:r>
        <w:r w:rsidRPr="00A67C76">
          <w:rPr>
            <w:noProof/>
            <w:webHidden/>
          </w:rPr>
        </w:r>
        <w:r w:rsidRPr="00A67C76">
          <w:rPr>
            <w:noProof/>
            <w:webHidden/>
          </w:rPr>
          <w:fldChar w:fldCharType="separate"/>
        </w:r>
        <w:r w:rsidR="009659F2">
          <w:rPr>
            <w:noProof/>
            <w:webHidden/>
          </w:rPr>
          <w:t>3</w:t>
        </w:r>
        <w:r w:rsidRPr="00A67C76">
          <w:rPr>
            <w:noProof/>
            <w:webHidden/>
          </w:rPr>
          <w:fldChar w:fldCharType="end"/>
        </w:r>
      </w:hyperlink>
    </w:p>
    <w:p w:rsidR="004034FF" w:rsidRPr="00A67C76" w:rsidRDefault="002E6077" w:rsidP="004034FF">
      <w:pPr>
        <w:pStyle w:val="TableofFigures"/>
        <w:contextualSpacing/>
        <w:rPr>
          <w:rFonts w:asciiTheme="minorHAnsi" w:eastAsiaTheme="minorEastAsia" w:hAnsiTheme="minorHAnsi" w:cstheme="minorBidi"/>
          <w:noProof/>
          <w:color w:val="auto"/>
          <w:sz w:val="22"/>
          <w:szCs w:val="22"/>
        </w:rPr>
      </w:pPr>
      <w:hyperlink w:anchor="_Toc387929704" w:history="1">
        <w:r w:rsidR="004034FF" w:rsidRPr="00A67C76">
          <w:rPr>
            <w:rStyle w:val="Hyperlink"/>
            <w:noProof/>
          </w:rPr>
          <w:t>Table 2. Larval fish and zooplankton (</w:t>
        </w:r>
        <w:r w:rsidR="00333041" w:rsidRPr="00A67C76">
          <w:rPr>
            <w:rStyle w:val="Hyperlink"/>
            <w:noProof/>
          </w:rPr>
          <w:t>2012</w:t>
        </w:r>
        <w:r w:rsidR="00FD328A" w:rsidRPr="00FD328A">
          <w:rPr>
            <w:rStyle w:val="Hyperlink"/>
            <w:noProof/>
          </w:rPr>
          <w:t>-13</w:t>
        </w:r>
        <w:r w:rsidR="004034FF" w:rsidRPr="00A67C76">
          <w:rPr>
            <w:rStyle w:val="Hyperlink"/>
            <w:noProof/>
          </w:rPr>
          <w:t xml:space="preserve"> only) sampling trips for the Lower Murray River between 2005-06 and </w:t>
        </w:r>
        <w:r w:rsidR="00333041" w:rsidRPr="00A67C76">
          <w:rPr>
            <w:rStyle w:val="Hyperlink"/>
            <w:noProof/>
          </w:rPr>
          <w:t>2012</w:t>
        </w:r>
        <w:r w:rsidR="00FD328A" w:rsidRPr="00FD328A">
          <w:rPr>
            <w:rStyle w:val="Hyperlink"/>
            <w:noProof/>
          </w:rPr>
          <w:t>-13</w:t>
        </w:r>
        <w:r w:rsidR="004034FF" w:rsidRPr="00A67C76">
          <w:rPr>
            <w:noProof/>
            <w:webHidden/>
          </w:rPr>
          <w:tab/>
        </w:r>
        <w:r w:rsidRPr="00A67C76">
          <w:rPr>
            <w:noProof/>
            <w:webHidden/>
          </w:rPr>
          <w:fldChar w:fldCharType="begin"/>
        </w:r>
        <w:r w:rsidR="004034FF" w:rsidRPr="00A67C76">
          <w:rPr>
            <w:noProof/>
            <w:webHidden/>
          </w:rPr>
          <w:instrText xml:space="preserve"> PAGEREF _Toc387929704 \h </w:instrText>
        </w:r>
        <w:r w:rsidRPr="00A67C76">
          <w:rPr>
            <w:noProof/>
            <w:webHidden/>
          </w:rPr>
        </w:r>
        <w:r w:rsidRPr="00A67C76">
          <w:rPr>
            <w:noProof/>
            <w:webHidden/>
          </w:rPr>
          <w:fldChar w:fldCharType="separate"/>
        </w:r>
        <w:r w:rsidR="009659F2">
          <w:rPr>
            <w:noProof/>
            <w:webHidden/>
          </w:rPr>
          <w:t>40</w:t>
        </w:r>
        <w:r w:rsidRPr="00A67C76">
          <w:rPr>
            <w:noProof/>
            <w:webHidden/>
          </w:rPr>
          <w:fldChar w:fldCharType="end"/>
        </w:r>
      </w:hyperlink>
    </w:p>
    <w:p w:rsidR="004034FF" w:rsidRPr="00A67C76" w:rsidRDefault="002E6077" w:rsidP="004034FF">
      <w:pPr>
        <w:pStyle w:val="TableofFigures"/>
        <w:contextualSpacing/>
        <w:rPr>
          <w:rFonts w:asciiTheme="minorHAnsi" w:eastAsiaTheme="minorEastAsia" w:hAnsiTheme="minorHAnsi" w:cstheme="minorBidi"/>
          <w:noProof/>
          <w:color w:val="auto"/>
          <w:sz w:val="22"/>
          <w:szCs w:val="22"/>
        </w:rPr>
      </w:pPr>
      <w:hyperlink w:anchor="_Toc387929705" w:history="1">
        <w:r w:rsidR="004034FF" w:rsidRPr="00A67C76">
          <w:rPr>
            <w:rStyle w:val="Hyperlink"/>
            <w:noProof/>
          </w:rPr>
          <w:t>Table 3. Explanatory variables used to explain frog call abundance at wetlands in 2012.</w:t>
        </w:r>
        <w:r w:rsidR="004034FF" w:rsidRPr="00A67C76">
          <w:rPr>
            <w:noProof/>
            <w:webHidden/>
          </w:rPr>
          <w:tab/>
        </w:r>
        <w:r w:rsidRPr="00A67C76">
          <w:rPr>
            <w:noProof/>
            <w:webHidden/>
          </w:rPr>
          <w:fldChar w:fldCharType="begin"/>
        </w:r>
        <w:r w:rsidR="004034FF" w:rsidRPr="00A67C76">
          <w:rPr>
            <w:noProof/>
            <w:webHidden/>
          </w:rPr>
          <w:instrText xml:space="preserve"> PAGEREF _Toc387929705 \h </w:instrText>
        </w:r>
        <w:r w:rsidRPr="00A67C76">
          <w:rPr>
            <w:noProof/>
            <w:webHidden/>
          </w:rPr>
        </w:r>
        <w:r w:rsidRPr="00A67C76">
          <w:rPr>
            <w:noProof/>
            <w:webHidden/>
          </w:rPr>
          <w:fldChar w:fldCharType="separate"/>
        </w:r>
        <w:r w:rsidR="009659F2">
          <w:rPr>
            <w:noProof/>
            <w:webHidden/>
          </w:rPr>
          <w:t>49</w:t>
        </w:r>
        <w:r w:rsidRPr="00A67C76">
          <w:rPr>
            <w:noProof/>
            <w:webHidden/>
          </w:rPr>
          <w:fldChar w:fldCharType="end"/>
        </w:r>
      </w:hyperlink>
    </w:p>
    <w:p w:rsidR="004034FF" w:rsidRPr="00A67C76" w:rsidRDefault="002E6077" w:rsidP="004034FF">
      <w:pPr>
        <w:pStyle w:val="TableofFigures"/>
        <w:contextualSpacing/>
        <w:rPr>
          <w:rFonts w:asciiTheme="minorHAnsi" w:eastAsiaTheme="minorEastAsia" w:hAnsiTheme="minorHAnsi" w:cstheme="minorBidi"/>
          <w:noProof/>
          <w:color w:val="auto"/>
          <w:sz w:val="22"/>
          <w:szCs w:val="22"/>
        </w:rPr>
      </w:pPr>
      <w:hyperlink w:anchor="_Toc387929706" w:history="1">
        <w:r w:rsidR="004034FF" w:rsidRPr="00A67C76">
          <w:rPr>
            <w:rStyle w:val="Hyperlink"/>
            <w:noProof/>
          </w:rPr>
          <w:t xml:space="preserve">Table 4. Period specific salinity thresholds for suitable habitats for seven fish species (adapted from McNeil </w:t>
        </w:r>
        <w:r w:rsidR="004034FF" w:rsidRPr="00A67C76">
          <w:rPr>
            <w:rStyle w:val="Hyperlink"/>
            <w:i/>
            <w:noProof/>
          </w:rPr>
          <w:t xml:space="preserve">et al. </w:t>
        </w:r>
        <w:r w:rsidR="004034FF" w:rsidRPr="00A67C76">
          <w:rPr>
            <w:rStyle w:val="Hyperlink"/>
            <w:noProof/>
          </w:rPr>
          <w:t>2013).</w:t>
        </w:r>
        <w:r w:rsidR="004034FF" w:rsidRPr="00A67C76">
          <w:rPr>
            <w:noProof/>
            <w:webHidden/>
          </w:rPr>
          <w:tab/>
        </w:r>
        <w:r w:rsidRPr="00A67C76">
          <w:rPr>
            <w:noProof/>
            <w:webHidden/>
          </w:rPr>
          <w:fldChar w:fldCharType="begin"/>
        </w:r>
        <w:r w:rsidR="004034FF" w:rsidRPr="00A67C76">
          <w:rPr>
            <w:noProof/>
            <w:webHidden/>
          </w:rPr>
          <w:instrText xml:space="preserve"> PAGEREF _Toc387929706 \h </w:instrText>
        </w:r>
        <w:r w:rsidRPr="00A67C76">
          <w:rPr>
            <w:noProof/>
            <w:webHidden/>
          </w:rPr>
        </w:r>
        <w:r w:rsidRPr="00A67C76">
          <w:rPr>
            <w:noProof/>
            <w:webHidden/>
          </w:rPr>
          <w:fldChar w:fldCharType="separate"/>
        </w:r>
        <w:r w:rsidR="009659F2">
          <w:rPr>
            <w:noProof/>
            <w:webHidden/>
          </w:rPr>
          <w:t>52</w:t>
        </w:r>
        <w:r w:rsidRPr="00A67C76">
          <w:rPr>
            <w:noProof/>
            <w:webHidden/>
          </w:rPr>
          <w:fldChar w:fldCharType="end"/>
        </w:r>
      </w:hyperlink>
    </w:p>
    <w:p w:rsidR="004034FF" w:rsidRPr="00A67C76" w:rsidRDefault="002E6077" w:rsidP="004034FF">
      <w:pPr>
        <w:pStyle w:val="TableofFigures"/>
        <w:contextualSpacing/>
        <w:rPr>
          <w:rFonts w:asciiTheme="minorHAnsi" w:eastAsiaTheme="minorEastAsia" w:hAnsiTheme="minorHAnsi" w:cstheme="minorBidi"/>
          <w:noProof/>
          <w:color w:val="auto"/>
          <w:sz w:val="22"/>
          <w:szCs w:val="22"/>
        </w:rPr>
      </w:pPr>
      <w:hyperlink w:anchor="_Toc387929707" w:history="1">
        <w:r w:rsidR="004034FF" w:rsidRPr="00A67C76">
          <w:rPr>
            <w:rStyle w:val="Hyperlink"/>
            <w:noProof/>
          </w:rPr>
          <w:t>Table 5. Summary of estimated larval abundance (larvae 1000m</w:t>
        </w:r>
        <w:r w:rsidR="004034FF" w:rsidRPr="00A67C76">
          <w:rPr>
            <w:rStyle w:val="Hyperlink"/>
            <w:noProof/>
            <w:vertAlign w:val="superscript"/>
          </w:rPr>
          <w:t>-3</w:t>
        </w:r>
        <w:r w:rsidR="004034FF" w:rsidRPr="00A67C76">
          <w:rPr>
            <w:rStyle w:val="Hyperlink"/>
            <w:noProof/>
          </w:rPr>
          <w:t xml:space="preserve">) per site throughout the </w:t>
        </w:r>
        <w:r w:rsidR="00333041" w:rsidRPr="00A67C76">
          <w:rPr>
            <w:rStyle w:val="Hyperlink"/>
            <w:noProof/>
          </w:rPr>
          <w:t>2012</w:t>
        </w:r>
        <w:r w:rsidR="00FD328A" w:rsidRPr="00FD328A">
          <w:rPr>
            <w:rStyle w:val="Hyperlink"/>
            <w:noProof/>
          </w:rPr>
          <w:t>-13</w:t>
        </w:r>
        <w:r w:rsidR="004034FF" w:rsidRPr="00A67C76">
          <w:rPr>
            <w:rStyle w:val="Hyperlink"/>
            <w:noProof/>
          </w:rPr>
          <w:t xml:space="preserve"> sampling period.</w:t>
        </w:r>
        <w:r w:rsidR="004034FF" w:rsidRPr="00A67C76">
          <w:rPr>
            <w:noProof/>
            <w:webHidden/>
          </w:rPr>
          <w:tab/>
        </w:r>
        <w:r w:rsidRPr="00A67C76">
          <w:rPr>
            <w:noProof/>
            <w:webHidden/>
          </w:rPr>
          <w:fldChar w:fldCharType="begin"/>
        </w:r>
        <w:r w:rsidR="004034FF" w:rsidRPr="00A67C76">
          <w:rPr>
            <w:noProof/>
            <w:webHidden/>
          </w:rPr>
          <w:instrText xml:space="preserve"> PAGEREF _Toc387929707 \h </w:instrText>
        </w:r>
        <w:r w:rsidRPr="00A67C76">
          <w:rPr>
            <w:noProof/>
            <w:webHidden/>
          </w:rPr>
        </w:r>
        <w:r w:rsidRPr="00A67C76">
          <w:rPr>
            <w:noProof/>
            <w:webHidden/>
          </w:rPr>
          <w:fldChar w:fldCharType="separate"/>
        </w:r>
        <w:r w:rsidR="009659F2">
          <w:rPr>
            <w:noProof/>
            <w:webHidden/>
          </w:rPr>
          <w:t>56</w:t>
        </w:r>
        <w:r w:rsidRPr="00A67C76">
          <w:rPr>
            <w:noProof/>
            <w:webHidden/>
          </w:rPr>
          <w:fldChar w:fldCharType="end"/>
        </w:r>
      </w:hyperlink>
    </w:p>
    <w:p w:rsidR="004034FF" w:rsidRPr="00A67C76" w:rsidRDefault="002E6077" w:rsidP="004034FF">
      <w:pPr>
        <w:pStyle w:val="TableofFigures"/>
        <w:contextualSpacing/>
        <w:rPr>
          <w:rFonts w:asciiTheme="minorHAnsi" w:eastAsiaTheme="minorEastAsia" w:hAnsiTheme="minorHAnsi" w:cstheme="minorBidi"/>
          <w:noProof/>
          <w:color w:val="auto"/>
          <w:sz w:val="22"/>
          <w:szCs w:val="22"/>
        </w:rPr>
      </w:pPr>
      <w:hyperlink w:anchor="_Toc387929708" w:history="1">
        <w:r w:rsidR="004034FF" w:rsidRPr="00A67C76">
          <w:rPr>
            <w:rStyle w:val="Hyperlink"/>
            <w:noProof/>
          </w:rPr>
          <w:t>Table 6. Summary of gut content analysis of golden perch (n=8; TL: mean=9.46 mm, range: 6.6-11.5 mm) and Murray cod larvae (n=6; TL: mean=11.17 mm, range:10.2-12.3 mm).</w:t>
        </w:r>
        <w:r w:rsidR="004034FF" w:rsidRPr="00A67C76">
          <w:rPr>
            <w:noProof/>
            <w:webHidden/>
          </w:rPr>
          <w:tab/>
        </w:r>
        <w:r w:rsidRPr="00A67C76">
          <w:rPr>
            <w:noProof/>
            <w:webHidden/>
          </w:rPr>
          <w:fldChar w:fldCharType="begin"/>
        </w:r>
        <w:r w:rsidR="004034FF" w:rsidRPr="00A67C76">
          <w:rPr>
            <w:noProof/>
            <w:webHidden/>
          </w:rPr>
          <w:instrText xml:space="preserve"> PAGEREF _Toc387929708 \h </w:instrText>
        </w:r>
        <w:r w:rsidRPr="00A67C76">
          <w:rPr>
            <w:noProof/>
            <w:webHidden/>
          </w:rPr>
        </w:r>
        <w:r w:rsidRPr="00A67C76">
          <w:rPr>
            <w:noProof/>
            <w:webHidden/>
          </w:rPr>
          <w:fldChar w:fldCharType="separate"/>
        </w:r>
        <w:r w:rsidR="009659F2">
          <w:rPr>
            <w:noProof/>
            <w:webHidden/>
          </w:rPr>
          <w:t>63</w:t>
        </w:r>
        <w:r w:rsidRPr="00A67C76">
          <w:rPr>
            <w:noProof/>
            <w:webHidden/>
          </w:rPr>
          <w:fldChar w:fldCharType="end"/>
        </w:r>
      </w:hyperlink>
    </w:p>
    <w:p w:rsidR="004034FF" w:rsidRPr="00A67C76" w:rsidRDefault="002E6077" w:rsidP="004034FF">
      <w:pPr>
        <w:pStyle w:val="TableofFigures"/>
        <w:contextualSpacing/>
        <w:rPr>
          <w:rFonts w:asciiTheme="minorHAnsi" w:eastAsiaTheme="minorEastAsia" w:hAnsiTheme="minorHAnsi" w:cstheme="minorBidi"/>
          <w:noProof/>
          <w:color w:val="auto"/>
          <w:sz w:val="22"/>
          <w:szCs w:val="22"/>
        </w:rPr>
      </w:pPr>
      <w:hyperlink w:anchor="_Toc387929709" w:history="1">
        <w:r w:rsidR="004034FF" w:rsidRPr="00A67C76">
          <w:rPr>
            <w:rStyle w:val="Hyperlink"/>
            <w:noProof/>
          </w:rPr>
          <w:t>Table 7. Summary of the DNA results obtained in the three different sites (</w:t>
        </w:r>
        <w:r w:rsidR="00FD328A" w:rsidRPr="00FD328A">
          <w:rPr>
            <w:rStyle w:val="Hyperlink"/>
            <w:noProof/>
          </w:rPr>
          <w:t>LK-6</w:t>
        </w:r>
        <w:r w:rsidR="004034FF" w:rsidRPr="00A67C76">
          <w:rPr>
            <w:rStyle w:val="Hyperlink"/>
            <w:noProof/>
          </w:rPr>
          <w:t xml:space="preserve">, </w:t>
        </w:r>
        <w:r w:rsidR="00FD328A" w:rsidRPr="00FD328A">
          <w:rPr>
            <w:rStyle w:val="Hyperlink"/>
            <w:noProof/>
          </w:rPr>
          <w:t>LK-6</w:t>
        </w:r>
        <w:r w:rsidR="004034FF" w:rsidRPr="00A67C76">
          <w:rPr>
            <w:rStyle w:val="Hyperlink"/>
            <w:noProof/>
          </w:rPr>
          <w:t xml:space="preserve">A, </w:t>
        </w:r>
        <w:r w:rsidR="00FD328A" w:rsidRPr="00FD328A">
          <w:rPr>
            <w:rStyle w:val="Hyperlink"/>
            <w:noProof/>
          </w:rPr>
          <w:t>LK-1</w:t>
        </w:r>
        <w:r w:rsidR="004034FF" w:rsidRPr="00A67C76">
          <w:rPr>
            <w:rStyle w:val="Hyperlink"/>
            <w:noProof/>
          </w:rPr>
          <w:t>)</w:t>
        </w:r>
        <w:r w:rsidR="004034FF" w:rsidRPr="00A67C76">
          <w:rPr>
            <w:noProof/>
            <w:webHidden/>
          </w:rPr>
          <w:tab/>
        </w:r>
        <w:r w:rsidRPr="00A67C76">
          <w:rPr>
            <w:noProof/>
            <w:webHidden/>
          </w:rPr>
          <w:fldChar w:fldCharType="begin"/>
        </w:r>
        <w:r w:rsidR="004034FF" w:rsidRPr="00A67C76">
          <w:rPr>
            <w:noProof/>
            <w:webHidden/>
          </w:rPr>
          <w:instrText xml:space="preserve"> PAGEREF _Toc387929709 \h </w:instrText>
        </w:r>
        <w:r w:rsidRPr="00A67C76">
          <w:rPr>
            <w:noProof/>
            <w:webHidden/>
          </w:rPr>
        </w:r>
        <w:r w:rsidRPr="00A67C76">
          <w:rPr>
            <w:noProof/>
            <w:webHidden/>
          </w:rPr>
          <w:fldChar w:fldCharType="separate"/>
        </w:r>
        <w:r w:rsidR="009659F2">
          <w:rPr>
            <w:noProof/>
            <w:webHidden/>
          </w:rPr>
          <w:t>64</w:t>
        </w:r>
        <w:r w:rsidRPr="00A67C76">
          <w:rPr>
            <w:noProof/>
            <w:webHidden/>
          </w:rPr>
          <w:fldChar w:fldCharType="end"/>
        </w:r>
      </w:hyperlink>
    </w:p>
    <w:p w:rsidR="004034FF" w:rsidRPr="00A67C76" w:rsidRDefault="002E6077" w:rsidP="004034FF">
      <w:pPr>
        <w:pStyle w:val="TableofFigures"/>
        <w:contextualSpacing/>
        <w:rPr>
          <w:rFonts w:asciiTheme="minorHAnsi" w:eastAsiaTheme="minorEastAsia" w:hAnsiTheme="minorHAnsi" w:cstheme="minorBidi"/>
          <w:noProof/>
          <w:color w:val="auto"/>
          <w:sz w:val="22"/>
          <w:szCs w:val="22"/>
        </w:rPr>
      </w:pPr>
      <w:hyperlink w:anchor="_Toc387929710" w:history="1">
        <w:r w:rsidR="004034FF" w:rsidRPr="00A67C76">
          <w:rPr>
            <w:rStyle w:val="Hyperlink"/>
            <w:noProof/>
          </w:rPr>
          <w:t>Table 8. Larval fish with diet detected by pyrosequencing. Number of OTUs is included as a measure of taxonomic diversity</w:t>
        </w:r>
        <w:r w:rsidR="004034FF" w:rsidRPr="00A67C76">
          <w:rPr>
            <w:noProof/>
            <w:webHidden/>
          </w:rPr>
          <w:tab/>
        </w:r>
        <w:r w:rsidRPr="00A67C76">
          <w:rPr>
            <w:noProof/>
            <w:webHidden/>
          </w:rPr>
          <w:fldChar w:fldCharType="begin"/>
        </w:r>
        <w:r w:rsidR="004034FF" w:rsidRPr="00A67C76">
          <w:rPr>
            <w:noProof/>
            <w:webHidden/>
          </w:rPr>
          <w:instrText xml:space="preserve"> PAGEREF _Toc387929710 \h </w:instrText>
        </w:r>
        <w:r w:rsidRPr="00A67C76">
          <w:rPr>
            <w:noProof/>
            <w:webHidden/>
          </w:rPr>
        </w:r>
        <w:r w:rsidRPr="00A67C76">
          <w:rPr>
            <w:noProof/>
            <w:webHidden/>
          </w:rPr>
          <w:fldChar w:fldCharType="separate"/>
        </w:r>
        <w:r w:rsidR="009659F2">
          <w:rPr>
            <w:noProof/>
            <w:webHidden/>
          </w:rPr>
          <w:t>67</w:t>
        </w:r>
        <w:r w:rsidRPr="00A67C76">
          <w:rPr>
            <w:noProof/>
            <w:webHidden/>
          </w:rPr>
          <w:fldChar w:fldCharType="end"/>
        </w:r>
      </w:hyperlink>
    </w:p>
    <w:p w:rsidR="004034FF" w:rsidRPr="00A67C76" w:rsidRDefault="002E6077" w:rsidP="004034FF">
      <w:pPr>
        <w:pStyle w:val="TableofFigures"/>
        <w:contextualSpacing/>
        <w:rPr>
          <w:rFonts w:asciiTheme="minorHAnsi" w:eastAsiaTheme="minorEastAsia" w:hAnsiTheme="minorHAnsi" w:cstheme="minorBidi"/>
          <w:noProof/>
          <w:color w:val="auto"/>
          <w:sz w:val="22"/>
          <w:szCs w:val="22"/>
        </w:rPr>
      </w:pPr>
      <w:hyperlink w:anchor="_Toc387929711" w:history="1">
        <w:r w:rsidR="004034FF" w:rsidRPr="00A67C76">
          <w:rPr>
            <w:rStyle w:val="Hyperlink"/>
            <w:noProof/>
          </w:rPr>
          <w:t xml:space="preserve">Table 9. Species and total number (standardised – 24 hour soak time) of fish captured using directional fyke nets and drum nets moving in and out of the wetland at Overland Corner over a 3-day period during each of the six phases of flow delivery. Functional groups: FD = flow dependent specialists, FG = foraging generalists, D = diadromous species, I = Invasive species (Abbreviation: </w:t>
        </w:r>
        <w:r w:rsidR="004034FF" w:rsidRPr="00A67C76">
          <w:rPr>
            <w:rStyle w:val="Hyperlink"/>
            <w:i/>
            <w:noProof/>
          </w:rPr>
          <w:t>Craterocephalus stercus</w:t>
        </w:r>
        <w:r w:rsidR="004034FF" w:rsidRPr="00A67C76">
          <w:rPr>
            <w:rStyle w:val="Hyperlink"/>
            <w:noProof/>
          </w:rPr>
          <w:t xml:space="preserve">. = </w:t>
        </w:r>
        <w:r w:rsidR="004034FF" w:rsidRPr="00A67C76">
          <w:rPr>
            <w:rStyle w:val="Hyperlink"/>
            <w:i/>
            <w:noProof/>
          </w:rPr>
          <w:t>Craterocephalus stercusmuscarum fulvus</w:t>
        </w:r>
        <w:r w:rsidR="004034FF" w:rsidRPr="00A67C76">
          <w:rPr>
            <w:rStyle w:val="Hyperlink"/>
            <w:noProof/>
          </w:rPr>
          <w:t>).</w:t>
        </w:r>
        <w:r w:rsidR="004034FF" w:rsidRPr="00A67C76">
          <w:rPr>
            <w:noProof/>
            <w:webHidden/>
          </w:rPr>
          <w:tab/>
        </w:r>
        <w:r w:rsidRPr="00A67C76">
          <w:rPr>
            <w:noProof/>
            <w:webHidden/>
          </w:rPr>
          <w:fldChar w:fldCharType="begin"/>
        </w:r>
        <w:r w:rsidR="004034FF" w:rsidRPr="00A67C76">
          <w:rPr>
            <w:noProof/>
            <w:webHidden/>
          </w:rPr>
          <w:instrText xml:space="preserve"> PAGEREF _Toc387929711 \h </w:instrText>
        </w:r>
        <w:r w:rsidRPr="00A67C76">
          <w:rPr>
            <w:noProof/>
            <w:webHidden/>
          </w:rPr>
        </w:r>
        <w:r w:rsidRPr="00A67C76">
          <w:rPr>
            <w:noProof/>
            <w:webHidden/>
          </w:rPr>
          <w:fldChar w:fldCharType="separate"/>
        </w:r>
        <w:r w:rsidR="009659F2">
          <w:rPr>
            <w:noProof/>
            <w:webHidden/>
          </w:rPr>
          <w:t>82</w:t>
        </w:r>
        <w:r w:rsidRPr="00A67C76">
          <w:rPr>
            <w:noProof/>
            <w:webHidden/>
          </w:rPr>
          <w:fldChar w:fldCharType="end"/>
        </w:r>
      </w:hyperlink>
    </w:p>
    <w:p w:rsidR="004034FF" w:rsidRPr="00A67C76" w:rsidRDefault="002E6077" w:rsidP="004034FF">
      <w:pPr>
        <w:pStyle w:val="TableofFigures"/>
        <w:contextualSpacing/>
        <w:rPr>
          <w:rFonts w:asciiTheme="minorHAnsi" w:eastAsiaTheme="minorEastAsia" w:hAnsiTheme="minorHAnsi" w:cstheme="minorBidi"/>
          <w:noProof/>
          <w:color w:val="auto"/>
          <w:sz w:val="22"/>
          <w:szCs w:val="22"/>
        </w:rPr>
      </w:pPr>
      <w:hyperlink w:anchor="_Toc387929712" w:history="1">
        <w:r w:rsidR="004034FF" w:rsidRPr="00A67C76">
          <w:rPr>
            <w:rStyle w:val="Hyperlink"/>
            <w:noProof/>
          </w:rPr>
          <w:t xml:space="preserve">Table 10. Species and total number (standardised – 24 hour soak time) of fish captured using directional fyke nets and drum nets moving in and out of the wetland at Kroehns over a 3-day period during each of the six phases of flow delivery. Functional groups: FD = flow dependent specialists, FG = foraging generalists, D = diadromous species, I = Invasive species (Abbreviation: </w:t>
        </w:r>
        <w:r w:rsidR="004034FF" w:rsidRPr="00A67C76">
          <w:rPr>
            <w:rStyle w:val="Hyperlink"/>
            <w:i/>
            <w:noProof/>
          </w:rPr>
          <w:t>Craterocephalus stercus</w:t>
        </w:r>
        <w:r w:rsidR="004034FF" w:rsidRPr="00A67C76">
          <w:rPr>
            <w:rStyle w:val="Hyperlink"/>
            <w:noProof/>
          </w:rPr>
          <w:t xml:space="preserve"> = </w:t>
        </w:r>
        <w:r w:rsidR="004034FF" w:rsidRPr="00A67C76">
          <w:rPr>
            <w:rStyle w:val="Hyperlink"/>
            <w:i/>
            <w:noProof/>
          </w:rPr>
          <w:t>Craterocephalus stercusmuscarum fulvus</w:t>
        </w:r>
        <w:r w:rsidR="004034FF" w:rsidRPr="00A67C76">
          <w:rPr>
            <w:rStyle w:val="Hyperlink"/>
            <w:noProof/>
          </w:rPr>
          <w:t>).</w:t>
        </w:r>
        <w:r w:rsidR="004034FF" w:rsidRPr="00A67C76">
          <w:rPr>
            <w:noProof/>
            <w:webHidden/>
          </w:rPr>
          <w:tab/>
        </w:r>
        <w:r w:rsidRPr="00A67C76">
          <w:rPr>
            <w:noProof/>
            <w:webHidden/>
          </w:rPr>
          <w:fldChar w:fldCharType="begin"/>
        </w:r>
        <w:r w:rsidR="004034FF" w:rsidRPr="00A67C76">
          <w:rPr>
            <w:noProof/>
            <w:webHidden/>
          </w:rPr>
          <w:instrText xml:space="preserve"> PAGEREF _Toc387929712 \h </w:instrText>
        </w:r>
        <w:r w:rsidRPr="00A67C76">
          <w:rPr>
            <w:noProof/>
            <w:webHidden/>
          </w:rPr>
        </w:r>
        <w:r w:rsidRPr="00A67C76">
          <w:rPr>
            <w:noProof/>
            <w:webHidden/>
          </w:rPr>
          <w:fldChar w:fldCharType="separate"/>
        </w:r>
        <w:r w:rsidR="009659F2">
          <w:rPr>
            <w:noProof/>
            <w:webHidden/>
          </w:rPr>
          <w:t>86</w:t>
        </w:r>
        <w:r w:rsidRPr="00A67C76">
          <w:rPr>
            <w:noProof/>
            <w:webHidden/>
          </w:rPr>
          <w:fldChar w:fldCharType="end"/>
        </w:r>
      </w:hyperlink>
    </w:p>
    <w:p w:rsidR="004034FF" w:rsidRPr="00A67C76" w:rsidRDefault="002E6077" w:rsidP="004034FF">
      <w:pPr>
        <w:pStyle w:val="TableofFigures"/>
        <w:contextualSpacing/>
        <w:rPr>
          <w:rFonts w:asciiTheme="minorHAnsi" w:eastAsiaTheme="minorEastAsia" w:hAnsiTheme="minorHAnsi" w:cstheme="minorBidi"/>
          <w:noProof/>
          <w:color w:val="auto"/>
          <w:sz w:val="22"/>
          <w:szCs w:val="22"/>
        </w:rPr>
      </w:pPr>
      <w:hyperlink w:anchor="_Toc387929713" w:history="1">
        <w:r w:rsidR="004034FF" w:rsidRPr="00A67C76">
          <w:rPr>
            <w:rStyle w:val="Hyperlink"/>
            <w:noProof/>
          </w:rPr>
          <w:t>Table 11. Frog species detected at wetlands in the Lower Murray River regions in spring (n=86) and summer (n=112) 2012. X= species present in both spring and summer surveys.</w:t>
        </w:r>
        <w:r w:rsidR="004034FF" w:rsidRPr="00A67C76">
          <w:rPr>
            <w:noProof/>
            <w:webHidden/>
          </w:rPr>
          <w:tab/>
        </w:r>
        <w:r w:rsidRPr="00A67C76">
          <w:rPr>
            <w:noProof/>
            <w:webHidden/>
          </w:rPr>
          <w:fldChar w:fldCharType="begin"/>
        </w:r>
        <w:r w:rsidR="004034FF" w:rsidRPr="00A67C76">
          <w:rPr>
            <w:noProof/>
            <w:webHidden/>
          </w:rPr>
          <w:instrText xml:space="preserve"> PAGEREF _Toc387929713 \h </w:instrText>
        </w:r>
        <w:r w:rsidRPr="00A67C76">
          <w:rPr>
            <w:noProof/>
            <w:webHidden/>
          </w:rPr>
        </w:r>
        <w:r w:rsidRPr="00A67C76">
          <w:rPr>
            <w:noProof/>
            <w:webHidden/>
          </w:rPr>
          <w:fldChar w:fldCharType="separate"/>
        </w:r>
        <w:r w:rsidR="009659F2">
          <w:rPr>
            <w:noProof/>
            <w:webHidden/>
          </w:rPr>
          <w:t>93</w:t>
        </w:r>
        <w:r w:rsidRPr="00A67C76">
          <w:rPr>
            <w:noProof/>
            <w:webHidden/>
          </w:rPr>
          <w:fldChar w:fldCharType="end"/>
        </w:r>
      </w:hyperlink>
    </w:p>
    <w:p w:rsidR="004034FF" w:rsidRPr="00A67C76" w:rsidRDefault="002E6077" w:rsidP="004034FF">
      <w:pPr>
        <w:pStyle w:val="TableofFigures"/>
        <w:contextualSpacing/>
        <w:rPr>
          <w:rFonts w:asciiTheme="minorHAnsi" w:eastAsiaTheme="minorEastAsia" w:hAnsiTheme="minorHAnsi" w:cstheme="minorBidi"/>
          <w:noProof/>
          <w:color w:val="auto"/>
          <w:sz w:val="22"/>
          <w:szCs w:val="22"/>
        </w:rPr>
      </w:pPr>
      <w:hyperlink w:anchor="_Toc387929714" w:history="1">
        <w:r w:rsidR="004034FF" w:rsidRPr="00A67C76">
          <w:rPr>
            <w:rStyle w:val="Hyperlink"/>
            <w:noProof/>
          </w:rPr>
          <w:t>Table 12. Maximum and minimum flows at the South Australian (SA) border (</w:t>
        </w:r>
        <w:r w:rsidR="004034FF" w:rsidRPr="00A67C76">
          <w:rPr>
            <w:rStyle w:val="Hyperlink"/>
            <w:iCs/>
            <w:noProof/>
          </w:rPr>
          <w:t>ML day</w:t>
        </w:r>
        <w:r w:rsidR="004034FF" w:rsidRPr="00A67C76">
          <w:rPr>
            <w:rStyle w:val="Hyperlink"/>
            <w:iCs/>
            <w:noProof/>
            <w:vertAlign w:val="superscript"/>
          </w:rPr>
          <w:t>-1</w:t>
        </w:r>
        <w:r w:rsidR="004034FF" w:rsidRPr="00A67C76">
          <w:rPr>
            <w:rStyle w:val="Hyperlink"/>
            <w:noProof/>
          </w:rPr>
          <w:t>) between months of September to December for the years 2005 to 2012.</w:t>
        </w:r>
        <w:r w:rsidR="004034FF" w:rsidRPr="00A67C76">
          <w:rPr>
            <w:noProof/>
            <w:webHidden/>
          </w:rPr>
          <w:tab/>
        </w:r>
        <w:r w:rsidRPr="00A67C76">
          <w:rPr>
            <w:noProof/>
            <w:webHidden/>
          </w:rPr>
          <w:fldChar w:fldCharType="begin"/>
        </w:r>
        <w:r w:rsidR="004034FF" w:rsidRPr="00A67C76">
          <w:rPr>
            <w:noProof/>
            <w:webHidden/>
          </w:rPr>
          <w:instrText xml:space="preserve"> PAGEREF _Toc387929714 \h </w:instrText>
        </w:r>
        <w:r w:rsidRPr="00A67C76">
          <w:rPr>
            <w:noProof/>
            <w:webHidden/>
          </w:rPr>
        </w:r>
        <w:r w:rsidRPr="00A67C76">
          <w:rPr>
            <w:noProof/>
            <w:webHidden/>
          </w:rPr>
          <w:fldChar w:fldCharType="separate"/>
        </w:r>
        <w:r w:rsidR="009659F2">
          <w:rPr>
            <w:noProof/>
            <w:webHidden/>
          </w:rPr>
          <w:t>96</w:t>
        </w:r>
        <w:r w:rsidRPr="00A67C76">
          <w:rPr>
            <w:noProof/>
            <w:webHidden/>
          </w:rPr>
          <w:fldChar w:fldCharType="end"/>
        </w:r>
      </w:hyperlink>
    </w:p>
    <w:p w:rsidR="008E7AE7" w:rsidRPr="00A67C76" w:rsidRDefault="002E6077" w:rsidP="008E7AE7">
      <w:pPr>
        <w:rPr>
          <w:lang w:eastAsia="en-AU"/>
        </w:rPr>
      </w:pPr>
      <w:r w:rsidRPr="00A67C76">
        <w:rPr>
          <w:lang w:eastAsia="en-AU"/>
        </w:rPr>
        <w:fldChar w:fldCharType="end"/>
      </w:r>
    </w:p>
    <w:p w:rsidR="007933B4" w:rsidRPr="00A67C76" w:rsidRDefault="007933B4">
      <w:pPr>
        <w:spacing w:before="0" w:after="200" w:line="276" w:lineRule="auto"/>
        <w:rPr>
          <w:rFonts w:eastAsiaTheme="majorEastAsia" w:cstheme="majorBidi"/>
          <w:b/>
          <w:bCs/>
          <w:caps/>
          <w:color w:val="1F497D" w:themeColor="text2"/>
          <w:sz w:val="32"/>
          <w:szCs w:val="28"/>
        </w:rPr>
      </w:pPr>
      <w:bookmarkStart w:id="8" w:name="_Toc387843571"/>
      <w:bookmarkStart w:id="9" w:name="_Toc353023387"/>
      <w:bookmarkStart w:id="10" w:name="_Toc353025167"/>
      <w:r w:rsidRPr="00A67C76">
        <w:br w:type="page"/>
      </w:r>
    </w:p>
    <w:p w:rsidR="00A62C74" w:rsidRPr="00A67C76" w:rsidRDefault="00A62C74" w:rsidP="00F41737">
      <w:pPr>
        <w:pStyle w:val="Heading1"/>
        <w:numPr>
          <w:ilvl w:val="0"/>
          <w:numId w:val="0"/>
        </w:numPr>
        <w:ind w:left="851" w:hanging="851"/>
      </w:pPr>
      <w:r w:rsidRPr="00A67C76">
        <w:t>Acknowledgements</w:t>
      </w:r>
      <w:bookmarkEnd w:id="8"/>
    </w:p>
    <w:p w:rsidR="00A62C74" w:rsidRPr="00A67C76" w:rsidRDefault="00A62C74" w:rsidP="00A62C74">
      <w:r w:rsidRPr="00A67C76">
        <w:t>This study was funded by the Commonwealth Env</w:t>
      </w:r>
      <w:r w:rsidR="00211774" w:rsidRPr="00A67C76">
        <w:t xml:space="preserve">ironmental Water Office in </w:t>
      </w:r>
      <w:r w:rsidR="00333041" w:rsidRPr="00A67C76">
        <w:t>2012</w:t>
      </w:r>
      <w:r w:rsidR="00FD328A" w:rsidRPr="00FD328A">
        <w:t>-13</w:t>
      </w:r>
      <w:r w:rsidRPr="00A67C76">
        <w:t xml:space="preserve"> with in kind contributions from SARDI, CSIRO, DEWNR, SAMDB NRMB and SA EPA. </w:t>
      </w:r>
    </w:p>
    <w:p w:rsidR="00A62C74" w:rsidRPr="00A67C76" w:rsidRDefault="00A62C74" w:rsidP="00A62C74">
      <w:r w:rsidRPr="00A67C76">
        <w:t xml:space="preserve">The project involves using data collected from previous studies in the </w:t>
      </w:r>
      <w:r w:rsidR="00EE6B16" w:rsidRPr="00A67C76">
        <w:t>Lower Murray River</w:t>
      </w:r>
      <w:r w:rsidRPr="00A67C76">
        <w:t xml:space="preserve"> funded by Goyder Institute for Water Research, The Murray-Darling Basin Authority’s The Living Murray Program, DEWNR, SAMDB NRMB, EPA, </w:t>
      </w:r>
      <w:proofErr w:type="gramStart"/>
      <w:r w:rsidRPr="00A67C76">
        <w:t>Caring</w:t>
      </w:r>
      <w:proofErr w:type="gramEnd"/>
      <w:r w:rsidRPr="00A67C76">
        <w:t xml:space="preserve"> for Our Country, Murray Futures program and the Centre for Natural Resources Management. </w:t>
      </w:r>
    </w:p>
    <w:p w:rsidR="00A62C74" w:rsidRPr="00A67C76" w:rsidRDefault="00A62C74" w:rsidP="00A62C74">
      <w:r w:rsidRPr="00A67C76">
        <w:t>Special thanks to SARDI staff David Fleer, Thiago Vasques Mari, Phillipa Wilson, Luciana Bucater, Neil Wellman, George Giatas, Josh Fredberg, Kate Frahn and Hanru Wang for technical assistance in the field or laboratory. Thanks also to Natural Resources, SA Murray-Darling Basin staff: Kate Mason, Melissa Tucker</w:t>
      </w:r>
      <w:r w:rsidR="000C50A6" w:rsidRPr="00A67C76">
        <w:t xml:space="preserve"> and </w:t>
      </w:r>
      <w:r w:rsidRPr="00A67C76">
        <w:t>Callie Nickolai.</w:t>
      </w:r>
      <w:r w:rsidR="00630B91">
        <w:t xml:space="preserve"> Thanks to Cameron Mackintosh (CEWO) and George Giatas (SARDI) for constructive reviews to a draft of this report.  </w:t>
      </w:r>
    </w:p>
    <w:p w:rsidR="00A62C74" w:rsidRPr="00A67C76" w:rsidRDefault="00A62C74" w:rsidP="00A62C74">
      <w:pPr>
        <w:rPr>
          <w:rFonts w:eastAsiaTheme="majorEastAsia" w:cstheme="majorBidi"/>
          <w:color w:val="auto"/>
          <w:sz w:val="32"/>
          <w:szCs w:val="28"/>
        </w:rPr>
      </w:pPr>
      <w:r w:rsidRPr="00A67C76">
        <w:br w:type="page"/>
      </w:r>
    </w:p>
    <w:p w:rsidR="002E1727" w:rsidRPr="00A67C76" w:rsidRDefault="002E1727" w:rsidP="00F41737">
      <w:pPr>
        <w:pStyle w:val="Heading1"/>
        <w:numPr>
          <w:ilvl w:val="0"/>
          <w:numId w:val="0"/>
        </w:numPr>
        <w:ind w:left="851" w:hanging="851"/>
        <w:sectPr w:rsidR="002E1727" w:rsidRPr="00A67C76" w:rsidSect="002E1727">
          <w:footerReference w:type="default" r:id="rId29"/>
          <w:pgSz w:w="11900" w:h="16840" w:code="9"/>
          <w:pgMar w:top="1440" w:right="1440" w:bottom="1440" w:left="1440" w:header="709" w:footer="709" w:gutter="0"/>
          <w:pgNumType w:fmt="lowerRoman"/>
          <w:cols w:space="708"/>
          <w:docGrid w:linePitch="360"/>
        </w:sectPr>
      </w:pPr>
    </w:p>
    <w:p w:rsidR="00A62C74" w:rsidRPr="00A67C76" w:rsidRDefault="00A62C74" w:rsidP="00F41737">
      <w:pPr>
        <w:pStyle w:val="Heading1"/>
        <w:numPr>
          <w:ilvl w:val="0"/>
          <w:numId w:val="0"/>
        </w:numPr>
        <w:ind w:left="851" w:hanging="851"/>
      </w:pPr>
      <w:bookmarkStart w:id="11" w:name="_Toc387843572"/>
      <w:r w:rsidRPr="00A67C76">
        <w:t>Executive summary</w:t>
      </w:r>
      <w:bookmarkEnd w:id="11"/>
    </w:p>
    <w:p w:rsidR="00AE7F32" w:rsidRPr="00A67C76" w:rsidRDefault="00AE7F32" w:rsidP="00AE7F32">
      <w:r w:rsidRPr="00A67C76">
        <w:t xml:space="preserve">This project focuses on the intervention monitoring of the ecological responses to Commonwealth environmental water delivered to the Lower Murray River in </w:t>
      </w:r>
      <w:r w:rsidR="00333041" w:rsidRPr="00A67C76">
        <w:t>2012</w:t>
      </w:r>
      <w:r w:rsidR="00FD328A" w:rsidRPr="00FD328A">
        <w:t>-13</w:t>
      </w:r>
      <w:r w:rsidRPr="00A67C76">
        <w:t>. The Lower Murray River encompasses a wide range of aquatic habitats that support diverse species of native flora and fauna. The complex ecosystems in the Lower Murray are strongly influenced by variation in riverine flow regime. During the prolonged drought that affected the Murray</w:t>
      </w:r>
      <w:r w:rsidR="00723DD6" w:rsidRPr="00A67C76">
        <w:t>–</w:t>
      </w:r>
      <w:r w:rsidRPr="00A67C76">
        <w:t xml:space="preserve">Darling Basin (2001-2010), the ecological community in the Lower Murray River suffered severe stress. </w:t>
      </w:r>
      <w:r w:rsidR="001A438F" w:rsidRPr="00A67C76">
        <w:t>The 2010 flood and ensuing high flow years have led to some ecosystem improvement.</w:t>
      </w:r>
    </w:p>
    <w:p w:rsidR="00AE7F32" w:rsidRPr="00A67C76" w:rsidRDefault="00AE7F32" w:rsidP="00AE7F32">
      <w:r w:rsidRPr="00A67C76">
        <w:t xml:space="preserve">In </w:t>
      </w:r>
      <w:r w:rsidR="00333041" w:rsidRPr="00A67C76">
        <w:t>2012</w:t>
      </w:r>
      <w:r w:rsidR="00FD328A" w:rsidRPr="00FD328A">
        <w:t>-13</w:t>
      </w:r>
      <w:r w:rsidRPr="00A67C76">
        <w:t xml:space="preserve">, ~786 GL </w:t>
      </w:r>
      <w:r w:rsidR="00353162" w:rsidRPr="00A67C76">
        <w:t xml:space="preserve">of </w:t>
      </w:r>
      <w:r w:rsidRPr="00A67C76">
        <w:t xml:space="preserve">Commonwealth environmental water </w:t>
      </w:r>
      <w:r w:rsidR="00353162" w:rsidRPr="00A67C76">
        <w:t xml:space="preserve">were </w:t>
      </w:r>
      <w:r w:rsidRPr="00A67C76">
        <w:t>delivered to the Lower Murray River, Lower Lakes and Coorong, in conjunction with other environmental flows (e.g. flows through the Murray</w:t>
      </w:r>
      <w:r w:rsidR="00723DD6" w:rsidRPr="00A67C76">
        <w:t>–</w:t>
      </w:r>
      <w:r w:rsidRPr="00A67C76">
        <w:t xml:space="preserve">Darling Basin Authority </w:t>
      </w:r>
      <w:proofErr w:type="gramStart"/>
      <w:r w:rsidRPr="00A67C76">
        <w:t>The</w:t>
      </w:r>
      <w:proofErr w:type="gramEnd"/>
      <w:r w:rsidRPr="00A67C76">
        <w:t xml:space="preserve"> Living Murray Initiative). The flow releases to South Australia were coordinated through a series of watering events across the southern connected Basin to achieve multi-site environmental outcomes. Environmental watering, following the decline of unregulated flows, helped to maintain river flow at ~15,000 </w:t>
      </w:r>
      <w:r w:rsidR="00FD328A">
        <w:t>ML day</w:t>
      </w:r>
      <w:r w:rsidRPr="00A67C76">
        <w:rPr>
          <w:vertAlign w:val="superscript"/>
        </w:rPr>
        <w:t>-1</w:t>
      </w:r>
      <w:r w:rsidRPr="00A67C76">
        <w:t xml:space="preserve"> during November, created a flow pulse of ~19,000 </w:t>
      </w:r>
      <w:r w:rsidR="00FD328A">
        <w:t>ML day</w:t>
      </w:r>
      <w:r w:rsidRPr="00A67C76">
        <w:rPr>
          <w:vertAlign w:val="superscript"/>
        </w:rPr>
        <w:t>-1</w:t>
      </w:r>
      <w:r w:rsidRPr="00A67C76">
        <w:t xml:space="preserve"> in December in the Lower Murray River and supplemented freshwater flows to the Lower Lakes and barrage releases to the Coorong.</w:t>
      </w:r>
    </w:p>
    <w:p w:rsidR="00AE7F32" w:rsidRPr="00A67C76" w:rsidRDefault="00AE7F32" w:rsidP="00AE7F32">
      <w:r w:rsidRPr="00A67C76">
        <w:t xml:space="preserve">The current project investigated key ecological responses during </w:t>
      </w:r>
      <w:r w:rsidR="00333041" w:rsidRPr="00A67C76">
        <w:t>2012</w:t>
      </w:r>
      <w:r w:rsidR="00FD328A" w:rsidRPr="00FD328A">
        <w:t>-13</w:t>
      </w:r>
      <w:r w:rsidRPr="00A67C76">
        <w:t xml:space="preserve"> in the main channel, wetlands, Lower Lakes and the Coorong, in line with expected ecological outcomes of Commonwealth environmental watering in the Lower Murray River. These included,</w:t>
      </w:r>
    </w:p>
    <w:p w:rsidR="00AE7F32" w:rsidRPr="00A67C76" w:rsidRDefault="00AE7F32" w:rsidP="00807938">
      <w:pPr>
        <w:pStyle w:val="ListParagraph"/>
        <w:numPr>
          <w:ilvl w:val="0"/>
          <w:numId w:val="24"/>
        </w:numPr>
        <w:spacing w:before="0" w:after="0"/>
        <w:contextualSpacing/>
        <w:rPr>
          <w:rFonts w:cs="Arial"/>
          <w:color w:val="auto"/>
          <w:kern w:val="0"/>
          <w:szCs w:val="22"/>
        </w:rPr>
      </w:pPr>
      <w:r w:rsidRPr="00A67C76">
        <w:rPr>
          <w:rFonts w:cs="Arial"/>
          <w:color w:val="auto"/>
          <w:kern w:val="0"/>
          <w:szCs w:val="22"/>
        </w:rPr>
        <w:t xml:space="preserve">larval fish and </w:t>
      </w:r>
      <w:r w:rsidR="00723DD6" w:rsidRPr="00A67C76">
        <w:rPr>
          <w:rFonts w:cs="Arial"/>
          <w:color w:val="auto"/>
          <w:kern w:val="0"/>
          <w:szCs w:val="22"/>
        </w:rPr>
        <w:t xml:space="preserve">reproduction of </w:t>
      </w:r>
      <w:r w:rsidRPr="00A67C76">
        <w:rPr>
          <w:rFonts w:cs="Arial"/>
          <w:color w:val="auto"/>
          <w:kern w:val="0"/>
          <w:szCs w:val="22"/>
        </w:rPr>
        <w:t xml:space="preserve">flow-cued spawners </w:t>
      </w:r>
    </w:p>
    <w:p w:rsidR="00AE7F32" w:rsidRPr="00A67C76" w:rsidRDefault="00AE7F32" w:rsidP="00807938">
      <w:pPr>
        <w:pStyle w:val="ListParagraph"/>
        <w:numPr>
          <w:ilvl w:val="0"/>
          <w:numId w:val="24"/>
        </w:numPr>
        <w:spacing w:before="0" w:after="0"/>
        <w:contextualSpacing/>
        <w:rPr>
          <w:rFonts w:cs="Arial"/>
          <w:color w:val="auto"/>
          <w:kern w:val="0"/>
          <w:szCs w:val="22"/>
        </w:rPr>
      </w:pPr>
      <w:r w:rsidRPr="00A67C76">
        <w:rPr>
          <w:rFonts w:cs="Arial"/>
          <w:color w:val="auto"/>
          <w:kern w:val="0"/>
          <w:szCs w:val="22"/>
        </w:rPr>
        <w:t>larval fish food resources</w:t>
      </w:r>
    </w:p>
    <w:p w:rsidR="00AE7F32" w:rsidRPr="00A67C76" w:rsidRDefault="00AE7F32" w:rsidP="00807938">
      <w:pPr>
        <w:pStyle w:val="ListParagraph"/>
        <w:numPr>
          <w:ilvl w:val="0"/>
          <w:numId w:val="24"/>
        </w:numPr>
        <w:spacing w:before="0" w:after="0"/>
        <w:contextualSpacing/>
        <w:rPr>
          <w:rFonts w:cs="Arial"/>
          <w:color w:val="auto"/>
          <w:kern w:val="0"/>
          <w:szCs w:val="22"/>
        </w:rPr>
      </w:pPr>
      <w:r w:rsidRPr="00A67C76">
        <w:rPr>
          <w:rFonts w:cs="Arial"/>
          <w:color w:val="auto"/>
          <w:kern w:val="0"/>
          <w:szCs w:val="22"/>
        </w:rPr>
        <w:t>dissolved and particulate material transport</w:t>
      </w:r>
    </w:p>
    <w:p w:rsidR="00AE7F32" w:rsidRPr="00A67C76" w:rsidRDefault="00AE7F32" w:rsidP="00807938">
      <w:pPr>
        <w:pStyle w:val="ListParagraph"/>
        <w:numPr>
          <w:ilvl w:val="0"/>
          <w:numId w:val="24"/>
        </w:numPr>
        <w:spacing w:before="0" w:after="0"/>
        <w:contextualSpacing/>
        <w:rPr>
          <w:rFonts w:cs="Arial"/>
          <w:color w:val="auto"/>
          <w:kern w:val="0"/>
          <w:szCs w:val="22"/>
        </w:rPr>
      </w:pPr>
      <w:r w:rsidRPr="00A67C76">
        <w:rPr>
          <w:rFonts w:cs="Arial"/>
          <w:color w:val="auto"/>
          <w:kern w:val="0"/>
          <w:szCs w:val="22"/>
        </w:rPr>
        <w:t xml:space="preserve">floodplain wetland inundation and lateral connectivity </w:t>
      </w:r>
    </w:p>
    <w:p w:rsidR="00AE7F32" w:rsidRPr="00A67C76" w:rsidRDefault="00AE7F32" w:rsidP="00807938">
      <w:pPr>
        <w:pStyle w:val="ListParagraph"/>
        <w:numPr>
          <w:ilvl w:val="0"/>
          <w:numId w:val="24"/>
        </w:numPr>
        <w:spacing w:before="0" w:after="0"/>
        <w:contextualSpacing/>
        <w:rPr>
          <w:color w:val="auto"/>
          <w:kern w:val="0"/>
          <w:szCs w:val="22"/>
        </w:rPr>
      </w:pPr>
      <w:r w:rsidRPr="00A67C76">
        <w:rPr>
          <w:rFonts w:cs="Arial"/>
          <w:color w:val="auto"/>
          <w:kern w:val="0"/>
          <w:szCs w:val="22"/>
        </w:rPr>
        <w:t xml:space="preserve">fish lateral movement </w:t>
      </w:r>
    </w:p>
    <w:p w:rsidR="00AE7F32" w:rsidRPr="00A67C76" w:rsidRDefault="00AE7F32" w:rsidP="00807938">
      <w:pPr>
        <w:pStyle w:val="ListParagraph"/>
        <w:numPr>
          <w:ilvl w:val="0"/>
          <w:numId w:val="24"/>
        </w:numPr>
        <w:spacing w:before="0" w:after="0"/>
        <w:contextualSpacing/>
        <w:rPr>
          <w:color w:val="auto"/>
          <w:kern w:val="0"/>
          <w:szCs w:val="22"/>
        </w:rPr>
      </w:pPr>
      <w:r w:rsidRPr="00A67C76">
        <w:rPr>
          <w:color w:val="auto"/>
          <w:kern w:val="0"/>
          <w:szCs w:val="22"/>
        </w:rPr>
        <w:t>frog response</w:t>
      </w:r>
    </w:p>
    <w:p w:rsidR="00AE7F32" w:rsidRPr="00A67C76" w:rsidRDefault="00AE7F32" w:rsidP="00807938">
      <w:pPr>
        <w:pStyle w:val="ListParagraph"/>
        <w:numPr>
          <w:ilvl w:val="0"/>
          <w:numId w:val="24"/>
        </w:numPr>
        <w:spacing w:before="0" w:after="0"/>
        <w:contextualSpacing/>
        <w:rPr>
          <w:rFonts w:cs="Arial"/>
          <w:color w:val="auto"/>
          <w:kern w:val="0"/>
          <w:szCs w:val="22"/>
        </w:rPr>
      </w:pPr>
      <w:r w:rsidRPr="00A67C76">
        <w:rPr>
          <w:rFonts w:cs="Arial"/>
          <w:color w:val="auto"/>
          <w:kern w:val="0"/>
          <w:szCs w:val="22"/>
        </w:rPr>
        <w:t xml:space="preserve">Coorong modelling for </w:t>
      </w:r>
      <w:r w:rsidRPr="00A67C76">
        <w:rPr>
          <w:rFonts w:cs="Arial"/>
          <w:i/>
          <w:color w:val="auto"/>
          <w:kern w:val="0"/>
          <w:szCs w:val="22"/>
        </w:rPr>
        <w:t>Ruppia</w:t>
      </w:r>
      <w:r w:rsidR="00031E2A">
        <w:rPr>
          <w:rFonts w:cs="Arial"/>
          <w:i/>
          <w:color w:val="auto"/>
          <w:kern w:val="0"/>
          <w:szCs w:val="22"/>
        </w:rPr>
        <w:t xml:space="preserve"> tuberosa</w:t>
      </w:r>
      <w:r w:rsidRPr="00A67C76">
        <w:rPr>
          <w:rFonts w:cs="Arial"/>
          <w:i/>
          <w:color w:val="auto"/>
          <w:kern w:val="0"/>
          <w:szCs w:val="22"/>
        </w:rPr>
        <w:t xml:space="preserve"> </w:t>
      </w:r>
      <w:r w:rsidRPr="00A67C76">
        <w:rPr>
          <w:rFonts w:cs="Arial"/>
          <w:color w:val="auto"/>
          <w:kern w:val="0"/>
          <w:szCs w:val="22"/>
        </w:rPr>
        <w:t xml:space="preserve">and fish habitat </w:t>
      </w:r>
    </w:p>
    <w:p w:rsidR="00AE7F32" w:rsidRPr="00A67C76" w:rsidRDefault="00AE7F32" w:rsidP="00AE7F32">
      <w:r w:rsidRPr="00A67C76">
        <w:t xml:space="preserve">For each component, monitoring/modelling was conducted to address questions and test hypotheses based on our conceptual understanding of the life histories of relevant biota and ecological processes, and the responses </w:t>
      </w:r>
      <w:r w:rsidR="00723DD6" w:rsidRPr="00A67C76">
        <w:t xml:space="preserve">that </w:t>
      </w:r>
      <w:r w:rsidRPr="00A67C76">
        <w:t xml:space="preserve">might be expected from the flow scenarios and environmental water delivery in </w:t>
      </w:r>
      <w:r w:rsidR="00333041" w:rsidRPr="00A67C76">
        <w:t>2012</w:t>
      </w:r>
      <w:r w:rsidR="00FD328A" w:rsidRPr="00FD328A">
        <w:t>-13</w:t>
      </w:r>
      <w:r w:rsidRPr="00A67C76">
        <w:t xml:space="preserve">. This report provides a summary of the above studies and a synthesis of the ecological outcomes of the </w:t>
      </w:r>
      <w:r w:rsidR="00333041" w:rsidRPr="00A67C76">
        <w:t>2012</w:t>
      </w:r>
      <w:r w:rsidR="00FD328A" w:rsidRPr="00FD328A">
        <w:t>-13</w:t>
      </w:r>
      <w:r w:rsidRPr="00A67C76">
        <w:t xml:space="preserve"> environmental watering in the Lower Murray River. </w:t>
      </w:r>
    </w:p>
    <w:p w:rsidR="00AE7F32" w:rsidRPr="00A67C76" w:rsidRDefault="00AE7F32" w:rsidP="00AE7F32">
      <w:pPr>
        <w:rPr>
          <w:b/>
          <w:color w:val="1F497D" w:themeColor="text2"/>
        </w:rPr>
      </w:pPr>
      <w:r w:rsidRPr="00A67C76">
        <w:rPr>
          <w:b/>
          <w:color w:val="1F497D" w:themeColor="text2"/>
        </w:rPr>
        <w:t>Key ecological outcomes</w:t>
      </w:r>
    </w:p>
    <w:p w:rsidR="00AE7F32" w:rsidRPr="00A67C76" w:rsidRDefault="00AE7F32" w:rsidP="00AE7F32">
      <w:r w:rsidRPr="00A67C76">
        <w:t xml:space="preserve">Monitoring in </w:t>
      </w:r>
      <w:r w:rsidR="00333041" w:rsidRPr="00A67C76">
        <w:t>2012</w:t>
      </w:r>
      <w:r w:rsidR="00FD328A" w:rsidRPr="00FD328A">
        <w:t>-13</w:t>
      </w:r>
      <w:r w:rsidRPr="00A67C76">
        <w:t xml:space="preserve"> identified a number of ecological responses associated with the delivery of Commonwealth environmental water in the Lower Murray River. Key outcomes</w:t>
      </w:r>
      <w:r w:rsidRPr="00A67C76">
        <w:rPr>
          <w:szCs w:val="24"/>
        </w:rPr>
        <w:t xml:space="preserve"> are summarised in</w:t>
      </w:r>
      <w:r w:rsidR="004034FF" w:rsidRPr="00A67C76">
        <w:rPr>
          <w:szCs w:val="24"/>
        </w:rPr>
        <w:t xml:space="preserve"> </w:t>
      </w:r>
      <w:r w:rsidR="002E6077" w:rsidRPr="00A67C76">
        <w:rPr>
          <w:szCs w:val="24"/>
        </w:rPr>
        <w:fldChar w:fldCharType="begin"/>
      </w:r>
      <w:r w:rsidR="004034FF" w:rsidRPr="00A67C76">
        <w:rPr>
          <w:szCs w:val="24"/>
        </w:rPr>
        <w:instrText xml:space="preserve"> REF _Ref387929534 \h </w:instrText>
      </w:r>
      <w:r w:rsidR="002E6077" w:rsidRPr="00A67C76">
        <w:rPr>
          <w:szCs w:val="24"/>
        </w:rPr>
      </w:r>
      <w:r w:rsidR="002E6077" w:rsidRPr="00A67C76">
        <w:rPr>
          <w:szCs w:val="24"/>
        </w:rPr>
        <w:fldChar w:fldCharType="separate"/>
      </w:r>
      <w:r w:rsidR="009659F2" w:rsidRPr="00A67C76">
        <w:t xml:space="preserve">Table </w:t>
      </w:r>
      <w:r w:rsidR="009659F2">
        <w:rPr>
          <w:noProof/>
        </w:rPr>
        <w:t>1</w:t>
      </w:r>
      <w:r w:rsidR="002E6077" w:rsidRPr="00A67C76">
        <w:rPr>
          <w:szCs w:val="24"/>
        </w:rPr>
        <w:fldChar w:fldCharType="end"/>
      </w:r>
      <w:r w:rsidRPr="00A67C76">
        <w:rPr>
          <w:szCs w:val="24"/>
        </w:rPr>
        <w:t xml:space="preserve">. </w:t>
      </w:r>
    </w:p>
    <w:p w:rsidR="00723DD6" w:rsidRPr="00A67C76" w:rsidRDefault="00723DD6" w:rsidP="00AE7F32">
      <w:pPr>
        <w:spacing w:line="240" w:lineRule="auto"/>
        <w:sectPr w:rsidR="00723DD6" w:rsidRPr="00A67C76" w:rsidSect="007154D8">
          <w:footerReference w:type="default" r:id="rId30"/>
          <w:pgSz w:w="11900" w:h="16840" w:code="9"/>
          <w:pgMar w:top="1440" w:right="1440" w:bottom="1440" w:left="1440" w:header="709" w:footer="709" w:gutter="0"/>
          <w:pgNumType w:start="1"/>
          <w:cols w:space="708"/>
          <w:docGrid w:linePitch="360"/>
        </w:sectPr>
      </w:pPr>
    </w:p>
    <w:p w:rsidR="00AE7F32" w:rsidRPr="00A67C76" w:rsidRDefault="004034FF" w:rsidP="004034FF">
      <w:pPr>
        <w:pStyle w:val="Caption"/>
      </w:pPr>
      <w:bookmarkStart w:id="12" w:name="_Ref387929534"/>
      <w:bookmarkStart w:id="13" w:name="_Ref387929410"/>
      <w:bookmarkStart w:id="14" w:name="_Toc387929703"/>
      <w:proofErr w:type="gramStart"/>
      <w:r w:rsidRPr="00A67C76">
        <w:t xml:space="preserve">Table </w:t>
      </w:r>
      <w:proofErr w:type="gramEnd"/>
      <w:r w:rsidR="002E6077" w:rsidRPr="00A67C76">
        <w:fldChar w:fldCharType="begin"/>
      </w:r>
      <w:r w:rsidR="00621CBB" w:rsidRPr="00A67C76">
        <w:instrText xml:space="preserve"> SEQ Table \* ARABIC </w:instrText>
      </w:r>
      <w:r w:rsidR="002E6077" w:rsidRPr="00A67C76">
        <w:fldChar w:fldCharType="separate"/>
      </w:r>
      <w:r w:rsidR="009659F2">
        <w:rPr>
          <w:noProof/>
        </w:rPr>
        <w:t>1</w:t>
      </w:r>
      <w:r w:rsidR="002E6077" w:rsidRPr="00A67C76">
        <w:rPr>
          <w:noProof/>
        </w:rPr>
        <w:fldChar w:fldCharType="end"/>
      </w:r>
      <w:bookmarkEnd w:id="12"/>
      <w:proofErr w:type="gramStart"/>
      <w:r w:rsidR="00AE7F32" w:rsidRPr="00A67C76">
        <w:t>.</w:t>
      </w:r>
      <w:proofErr w:type="gramEnd"/>
      <w:r w:rsidR="00AE7F32" w:rsidRPr="00A67C76">
        <w:t xml:space="preserve"> Summary of key ecological outcomes associated with environmental water releases to the </w:t>
      </w:r>
      <w:r w:rsidR="00003A8D">
        <w:t>L</w:t>
      </w:r>
      <w:r w:rsidR="00AE7F32" w:rsidRPr="00A67C76">
        <w:t>ower Murray</w:t>
      </w:r>
      <w:r w:rsidR="00D0423A" w:rsidRPr="00A67C76">
        <w:t xml:space="preserve"> River </w:t>
      </w:r>
      <w:r w:rsidR="00AE7F32" w:rsidRPr="00A67C76">
        <w:t xml:space="preserve">during </w:t>
      </w:r>
      <w:r w:rsidR="00333041" w:rsidRPr="00A67C76">
        <w:t>2012</w:t>
      </w:r>
      <w:r w:rsidR="00FD328A" w:rsidRPr="00FD328A">
        <w:t>-13</w:t>
      </w:r>
      <w:r w:rsidR="00AE7F32" w:rsidRPr="00A67C76">
        <w:t>.</w:t>
      </w:r>
      <w:bookmarkEnd w:id="13"/>
      <w:bookmarkEnd w:id="14"/>
    </w:p>
    <w:tbl>
      <w:tblPr>
        <w:tblStyle w:val="TableGrid"/>
        <w:tblW w:w="14257" w:type="dxa"/>
        <w:jc w:val="center"/>
        <w:tblLook w:val="04A0"/>
      </w:tblPr>
      <w:tblGrid>
        <w:gridCol w:w="2660"/>
        <w:gridCol w:w="4111"/>
        <w:gridCol w:w="1559"/>
        <w:gridCol w:w="5927"/>
      </w:tblGrid>
      <w:tr w:rsidR="00723DD6" w:rsidRPr="00A67C76" w:rsidTr="001D3E74">
        <w:trPr>
          <w:trHeight w:val="665"/>
          <w:tblHeader/>
          <w:jc w:val="center"/>
        </w:trPr>
        <w:tc>
          <w:tcPr>
            <w:tcW w:w="2660" w:type="dxa"/>
            <w:vAlign w:val="center"/>
          </w:tcPr>
          <w:p w:rsidR="00723DD6" w:rsidRPr="00A67C76" w:rsidRDefault="00723DD6" w:rsidP="00D0423A">
            <w:pPr>
              <w:spacing w:before="120" w:line="240" w:lineRule="auto"/>
              <w:jc w:val="center"/>
              <w:rPr>
                <w:b/>
                <w:szCs w:val="22"/>
              </w:rPr>
            </w:pPr>
            <w:r w:rsidRPr="00A67C76">
              <w:rPr>
                <w:b/>
                <w:szCs w:val="22"/>
              </w:rPr>
              <w:t>Objective of watering</w:t>
            </w:r>
          </w:p>
        </w:tc>
        <w:tc>
          <w:tcPr>
            <w:tcW w:w="4111" w:type="dxa"/>
          </w:tcPr>
          <w:p w:rsidR="00723DD6" w:rsidRPr="00A67C76" w:rsidRDefault="00723DD6" w:rsidP="001A438F">
            <w:pPr>
              <w:jc w:val="center"/>
              <w:rPr>
                <w:b/>
                <w:szCs w:val="22"/>
              </w:rPr>
            </w:pPr>
            <w:r w:rsidRPr="00A67C76">
              <w:rPr>
                <w:b/>
                <w:szCs w:val="22"/>
              </w:rPr>
              <w:t>Expected outcome</w:t>
            </w:r>
          </w:p>
        </w:tc>
        <w:tc>
          <w:tcPr>
            <w:tcW w:w="1559" w:type="dxa"/>
          </w:tcPr>
          <w:p w:rsidR="00723DD6" w:rsidRPr="00A67C76" w:rsidRDefault="00723DD6" w:rsidP="001A438F">
            <w:pPr>
              <w:jc w:val="center"/>
              <w:rPr>
                <w:b/>
                <w:szCs w:val="22"/>
              </w:rPr>
            </w:pPr>
            <w:r w:rsidRPr="00A67C76">
              <w:rPr>
                <w:b/>
                <w:szCs w:val="22"/>
              </w:rPr>
              <w:t>Indicator</w:t>
            </w:r>
          </w:p>
        </w:tc>
        <w:tc>
          <w:tcPr>
            <w:tcW w:w="5927" w:type="dxa"/>
          </w:tcPr>
          <w:p w:rsidR="00723DD6" w:rsidRPr="00A67C76" w:rsidRDefault="00723DD6" w:rsidP="001A438F">
            <w:pPr>
              <w:jc w:val="center"/>
              <w:rPr>
                <w:b/>
                <w:szCs w:val="22"/>
              </w:rPr>
            </w:pPr>
            <w:r w:rsidRPr="00A67C76">
              <w:rPr>
                <w:b/>
                <w:szCs w:val="22"/>
              </w:rPr>
              <w:t>Monitoring/modelling result</w:t>
            </w:r>
          </w:p>
        </w:tc>
      </w:tr>
      <w:tr w:rsidR="00723DD6" w:rsidRPr="00A67C76" w:rsidTr="001D3E74">
        <w:trPr>
          <w:jc w:val="center"/>
        </w:trPr>
        <w:tc>
          <w:tcPr>
            <w:tcW w:w="2660" w:type="dxa"/>
            <w:vAlign w:val="center"/>
          </w:tcPr>
          <w:p w:rsidR="00723DD6" w:rsidRPr="00A67C76" w:rsidRDefault="00723DD6" w:rsidP="00807938">
            <w:pPr>
              <w:pStyle w:val="ListParagraph"/>
              <w:numPr>
                <w:ilvl w:val="0"/>
                <w:numId w:val="25"/>
              </w:numPr>
              <w:spacing w:before="120" w:line="240" w:lineRule="auto"/>
              <w:ind w:left="284" w:hanging="215"/>
            </w:pPr>
            <w:r w:rsidRPr="00A67C76">
              <w:t>support breeding of native fish</w:t>
            </w:r>
          </w:p>
          <w:p w:rsidR="00723DD6" w:rsidRPr="00A67C76" w:rsidRDefault="00723DD6" w:rsidP="00723DD6">
            <w:pPr>
              <w:pStyle w:val="ListParagraph"/>
              <w:numPr>
                <w:ilvl w:val="0"/>
                <w:numId w:val="0"/>
              </w:numPr>
              <w:spacing w:before="120" w:line="240" w:lineRule="auto"/>
              <w:ind w:left="284"/>
            </w:pPr>
          </w:p>
          <w:p w:rsidR="00723DD6" w:rsidRPr="00A67C76" w:rsidRDefault="00723DD6" w:rsidP="00807938">
            <w:pPr>
              <w:pStyle w:val="ListParagraph"/>
              <w:numPr>
                <w:ilvl w:val="0"/>
                <w:numId w:val="25"/>
              </w:numPr>
              <w:spacing w:before="120" w:line="240" w:lineRule="auto"/>
              <w:ind w:left="284" w:hanging="215"/>
            </w:pPr>
            <w:r w:rsidRPr="00A67C76">
              <w:t>support recruitment of juvenile life stages</w:t>
            </w:r>
          </w:p>
        </w:tc>
        <w:tc>
          <w:tcPr>
            <w:tcW w:w="4111" w:type="dxa"/>
          </w:tcPr>
          <w:p w:rsidR="00723DD6" w:rsidRPr="00A67C76" w:rsidRDefault="00723DD6" w:rsidP="001A438F">
            <w:pPr>
              <w:spacing w:before="120"/>
              <w:rPr>
                <w:bCs/>
              </w:rPr>
            </w:pPr>
            <w:r w:rsidRPr="00A67C76">
              <w:rPr>
                <w:bCs/>
              </w:rPr>
              <w:t xml:space="preserve">environmental watering will: </w:t>
            </w:r>
          </w:p>
          <w:p w:rsidR="00723DD6" w:rsidRPr="00A67C76" w:rsidRDefault="00723DD6" w:rsidP="00807938">
            <w:pPr>
              <w:pStyle w:val="ListParagraph"/>
              <w:numPr>
                <w:ilvl w:val="0"/>
                <w:numId w:val="25"/>
              </w:numPr>
              <w:spacing w:before="120" w:line="240" w:lineRule="auto"/>
              <w:ind w:left="249" w:hanging="249"/>
            </w:pPr>
            <w:r w:rsidRPr="00A67C76">
              <w:t>trigger spawning and lead to increased larval fish abundance in flow-cued spawners (i.e. golden perch and silver perch)</w:t>
            </w:r>
          </w:p>
          <w:p w:rsidR="00723DD6" w:rsidRPr="00A67C76" w:rsidRDefault="00723DD6" w:rsidP="00807938">
            <w:pPr>
              <w:pStyle w:val="ListParagraph"/>
              <w:numPr>
                <w:ilvl w:val="0"/>
                <w:numId w:val="25"/>
              </w:numPr>
              <w:spacing w:before="120" w:line="240" w:lineRule="auto"/>
              <w:ind w:left="249" w:hanging="249"/>
            </w:pPr>
            <w:r w:rsidRPr="00A67C76">
              <w:t>lead to fish recruitment success and enhance the recruitment of flow-cued spawning species (i.e. golden perch, silver perch</w:t>
            </w:r>
          </w:p>
          <w:p w:rsidR="00723DD6" w:rsidRPr="00A67C76" w:rsidRDefault="00723DD6" w:rsidP="00807938">
            <w:pPr>
              <w:pStyle w:val="ListParagraph"/>
              <w:numPr>
                <w:ilvl w:val="0"/>
                <w:numId w:val="25"/>
              </w:numPr>
              <w:spacing w:before="120" w:line="240" w:lineRule="auto"/>
              <w:ind w:left="249" w:hanging="249"/>
            </w:pPr>
            <w:r w:rsidRPr="00A67C76">
              <w:t>facilitate larval/post-larval fish dispersion</w:t>
            </w:r>
          </w:p>
        </w:tc>
        <w:tc>
          <w:tcPr>
            <w:tcW w:w="1559" w:type="dxa"/>
          </w:tcPr>
          <w:p w:rsidR="00723DD6" w:rsidRPr="00A67C76" w:rsidRDefault="00723DD6" w:rsidP="001A438F">
            <w:pPr>
              <w:spacing w:before="120"/>
              <w:jc w:val="center"/>
              <w:rPr>
                <w:b/>
                <w:szCs w:val="22"/>
              </w:rPr>
            </w:pPr>
            <w:r w:rsidRPr="00A67C76">
              <w:rPr>
                <w:b/>
                <w:szCs w:val="22"/>
              </w:rPr>
              <w:t>Larval fish</w:t>
            </w:r>
          </w:p>
        </w:tc>
        <w:tc>
          <w:tcPr>
            <w:tcW w:w="5927" w:type="dxa"/>
          </w:tcPr>
          <w:p w:rsidR="00723DD6" w:rsidRPr="00A67C76" w:rsidRDefault="00723DD6" w:rsidP="00807938">
            <w:pPr>
              <w:pStyle w:val="ListParagraph"/>
              <w:numPr>
                <w:ilvl w:val="0"/>
                <w:numId w:val="31"/>
              </w:numPr>
              <w:spacing w:before="120" w:line="240" w:lineRule="auto"/>
            </w:pPr>
            <w:r w:rsidRPr="00A67C76">
              <w:t xml:space="preserve">presence of flow-cued spawning fish </w:t>
            </w:r>
            <w:r w:rsidR="00D0423A" w:rsidRPr="00A67C76">
              <w:t xml:space="preserve"> larvae </w:t>
            </w:r>
            <w:r w:rsidRPr="00A67C76">
              <w:t>was extended through to summer after delivery of environmental water</w:t>
            </w:r>
          </w:p>
          <w:p w:rsidR="00723DD6" w:rsidRPr="00A67C76" w:rsidRDefault="00723DD6" w:rsidP="00807938">
            <w:pPr>
              <w:pStyle w:val="ListParagraph"/>
              <w:numPr>
                <w:ilvl w:val="0"/>
                <w:numId w:val="31"/>
              </w:numPr>
              <w:spacing w:before="120" w:line="240" w:lineRule="auto"/>
            </w:pPr>
            <w:r w:rsidRPr="00A67C76">
              <w:t>spatio-temporal changes in zooplankton assemblages associate</w:t>
            </w:r>
            <w:r w:rsidR="00D0423A" w:rsidRPr="00A67C76">
              <w:t>d</w:t>
            </w:r>
            <w:r w:rsidRPr="00A67C76">
              <w:t xml:space="preserve"> with environmental watering</w:t>
            </w:r>
          </w:p>
          <w:p w:rsidR="00723DD6" w:rsidRPr="00A67C76" w:rsidRDefault="00723DD6" w:rsidP="00807938">
            <w:pPr>
              <w:pStyle w:val="ListParagraph"/>
              <w:numPr>
                <w:ilvl w:val="0"/>
                <w:numId w:val="31"/>
              </w:numPr>
              <w:spacing w:before="120" w:line="240" w:lineRule="auto"/>
            </w:pPr>
            <w:r w:rsidRPr="00A67C76">
              <w:t xml:space="preserve">zooplankton from warmer regions highlighted the importance of longitudinal connectivity </w:t>
            </w:r>
          </w:p>
        </w:tc>
      </w:tr>
      <w:tr w:rsidR="00723DD6" w:rsidRPr="00A67C76" w:rsidTr="001D3E74">
        <w:trPr>
          <w:jc w:val="center"/>
        </w:trPr>
        <w:tc>
          <w:tcPr>
            <w:tcW w:w="2660" w:type="dxa"/>
          </w:tcPr>
          <w:p w:rsidR="00723DD6" w:rsidRPr="00A67C76" w:rsidRDefault="00723DD6" w:rsidP="00723DD6">
            <w:pPr>
              <w:numPr>
                <w:ilvl w:val="0"/>
                <w:numId w:val="8"/>
              </w:numPr>
              <w:spacing w:before="120" w:line="240" w:lineRule="auto"/>
              <w:ind w:left="284" w:hanging="215"/>
            </w:pPr>
            <w:r w:rsidRPr="00A67C76">
              <w:t>support ecosystem functions related to longitudinal connectivity</w:t>
            </w:r>
          </w:p>
          <w:p w:rsidR="00723DD6" w:rsidRPr="00A67C76" w:rsidRDefault="00723DD6" w:rsidP="00723DD6">
            <w:pPr>
              <w:numPr>
                <w:ilvl w:val="0"/>
                <w:numId w:val="8"/>
              </w:numPr>
              <w:spacing w:before="120" w:line="240" w:lineRule="auto"/>
              <w:ind w:left="284" w:hanging="215"/>
            </w:pPr>
            <w:r w:rsidRPr="00A67C76">
              <w:t>support key ecosystem functions related to connectivity between the river and the floodplain</w:t>
            </w:r>
          </w:p>
        </w:tc>
        <w:tc>
          <w:tcPr>
            <w:tcW w:w="4111" w:type="dxa"/>
          </w:tcPr>
          <w:p w:rsidR="00723DD6" w:rsidRPr="00A67C76" w:rsidRDefault="00723DD6" w:rsidP="001A438F">
            <w:pPr>
              <w:spacing w:before="120"/>
              <w:rPr>
                <w:bCs/>
              </w:rPr>
            </w:pPr>
            <w:r w:rsidRPr="00A67C76">
              <w:rPr>
                <w:bCs/>
              </w:rPr>
              <w:t xml:space="preserve">environmental watering will: </w:t>
            </w:r>
          </w:p>
          <w:p w:rsidR="00723DD6" w:rsidRPr="00A67C76" w:rsidRDefault="00723DD6" w:rsidP="00807938">
            <w:pPr>
              <w:pStyle w:val="ListParagraph"/>
              <w:numPr>
                <w:ilvl w:val="0"/>
                <w:numId w:val="26"/>
              </w:numPr>
              <w:spacing w:before="120" w:line="240" w:lineRule="auto"/>
              <w:ind w:left="249" w:hanging="249"/>
              <w:rPr>
                <w:bCs/>
              </w:rPr>
            </w:pPr>
            <w:r w:rsidRPr="00A67C76">
              <w:rPr>
                <w:bCs/>
              </w:rPr>
              <w:t>better connect the channel with fringing riparian, wetland or floodplain areas enhance the food supply for larval fish</w:t>
            </w:r>
          </w:p>
          <w:p w:rsidR="00723DD6" w:rsidRPr="00A67C76" w:rsidRDefault="00067352" w:rsidP="00807938">
            <w:pPr>
              <w:pStyle w:val="ListParagraph"/>
              <w:numPr>
                <w:ilvl w:val="0"/>
                <w:numId w:val="26"/>
              </w:numPr>
              <w:spacing w:before="120" w:line="240" w:lineRule="auto"/>
              <w:ind w:left="249" w:hanging="249"/>
            </w:pPr>
            <w:r w:rsidRPr="00A67C76">
              <w:rPr>
                <w:bCs/>
              </w:rPr>
              <w:t>i</w:t>
            </w:r>
            <w:r w:rsidR="00723DD6" w:rsidRPr="00A67C76">
              <w:rPr>
                <w:bCs/>
              </w:rPr>
              <w:t xml:space="preserve">ncrease duration of flows </w:t>
            </w:r>
            <w:r w:rsidRPr="00A67C76">
              <w:rPr>
                <w:bCs/>
              </w:rPr>
              <w:t xml:space="preserve">and </w:t>
            </w:r>
            <w:r w:rsidR="00723DD6" w:rsidRPr="00A67C76">
              <w:rPr>
                <w:bCs/>
              </w:rPr>
              <w:t>will enhance food supply for larval fish</w:t>
            </w:r>
          </w:p>
        </w:tc>
        <w:tc>
          <w:tcPr>
            <w:tcW w:w="1559" w:type="dxa"/>
          </w:tcPr>
          <w:p w:rsidR="00723DD6" w:rsidRPr="00A67C76" w:rsidRDefault="00723DD6" w:rsidP="001A438F">
            <w:pPr>
              <w:spacing w:before="120"/>
              <w:jc w:val="center"/>
              <w:rPr>
                <w:b/>
                <w:szCs w:val="22"/>
              </w:rPr>
            </w:pPr>
            <w:r w:rsidRPr="00A67C76">
              <w:rPr>
                <w:b/>
                <w:szCs w:val="22"/>
              </w:rPr>
              <w:t>Food resources for larval fish</w:t>
            </w:r>
          </w:p>
          <w:p w:rsidR="00723DD6" w:rsidRPr="00A67C76" w:rsidRDefault="00723DD6" w:rsidP="001A438F">
            <w:pPr>
              <w:spacing w:before="120"/>
              <w:ind w:firstLine="720"/>
              <w:jc w:val="center"/>
              <w:rPr>
                <w:b/>
                <w:szCs w:val="22"/>
              </w:rPr>
            </w:pPr>
          </w:p>
        </w:tc>
        <w:tc>
          <w:tcPr>
            <w:tcW w:w="5927" w:type="dxa"/>
          </w:tcPr>
          <w:p w:rsidR="00723DD6" w:rsidRPr="00A67C76" w:rsidRDefault="00723DD6" w:rsidP="00807938">
            <w:pPr>
              <w:pStyle w:val="ListParagraph"/>
              <w:numPr>
                <w:ilvl w:val="0"/>
                <w:numId w:val="32"/>
              </w:numPr>
              <w:spacing w:before="120" w:line="240" w:lineRule="auto"/>
            </w:pPr>
            <w:r w:rsidRPr="00A67C76">
              <w:t>likely selectivity in feeding for larval fish</w:t>
            </w:r>
          </w:p>
          <w:p w:rsidR="00723DD6" w:rsidRPr="00A67C76" w:rsidRDefault="00723DD6" w:rsidP="00807938">
            <w:pPr>
              <w:pStyle w:val="ListParagraph"/>
              <w:numPr>
                <w:ilvl w:val="0"/>
                <w:numId w:val="32"/>
              </w:numPr>
              <w:spacing w:before="120" w:line="240" w:lineRule="auto"/>
            </w:pPr>
            <w:r w:rsidRPr="00A67C76">
              <w:t>spatio-temporal changes in eukaryotic community associated with environmental water delivery may affect larval gut content</w:t>
            </w:r>
          </w:p>
        </w:tc>
      </w:tr>
      <w:tr w:rsidR="00723DD6" w:rsidRPr="00A67C76" w:rsidTr="001D3E74">
        <w:trPr>
          <w:jc w:val="center"/>
        </w:trPr>
        <w:tc>
          <w:tcPr>
            <w:tcW w:w="2660" w:type="dxa"/>
          </w:tcPr>
          <w:p w:rsidR="00723DD6" w:rsidRPr="00A67C76" w:rsidRDefault="00723DD6" w:rsidP="00807938">
            <w:pPr>
              <w:pStyle w:val="ListParagraph"/>
              <w:numPr>
                <w:ilvl w:val="0"/>
                <w:numId w:val="29"/>
              </w:numPr>
              <w:spacing w:before="120" w:line="240" w:lineRule="auto"/>
              <w:ind w:left="284" w:hanging="215"/>
            </w:pPr>
            <w:r w:rsidRPr="00A67C76">
              <w:t>support the transportation and export of salt and nutrients through an open Murray Mouth</w:t>
            </w:r>
          </w:p>
        </w:tc>
        <w:tc>
          <w:tcPr>
            <w:tcW w:w="4111" w:type="dxa"/>
          </w:tcPr>
          <w:p w:rsidR="00723DD6" w:rsidRPr="00A67C76" w:rsidRDefault="00723DD6" w:rsidP="001A438F">
            <w:pPr>
              <w:spacing w:before="120"/>
              <w:rPr>
                <w:bCs/>
              </w:rPr>
            </w:pPr>
            <w:r w:rsidRPr="00A67C76">
              <w:rPr>
                <w:bCs/>
              </w:rPr>
              <w:t xml:space="preserve">environmental watering will: </w:t>
            </w:r>
          </w:p>
          <w:p w:rsidR="00723DD6" w:rsidRPr="00A67C76" w:rsidRDefault="00723DD6" w:rsidP="00807938">
            <w:pPr>
              <w:pStyle w:val="ListParagraph"/>
              <w:numPr>
                <w:ilvl w:val="0"/>
                <w:numId w:val="28"/>
              </w:numPr>
              <w:spacing w:before="120" w:line="240" w:lineRule="auto"/>
              <w:ind w:left="249" w:hanging="249"/>
              <w:rPr>
                <w:bCs/>
              </w:rPr>
            </w:pPr>
            <w:r w:rsidRPr="00A67C76">
              <w:rPr>
                <w:bCs/>
              </w:rPr>
              <w:t xml:space="preserve">increase the mobilisation of salts </w:t>
            </w:r>
          </w:p>
          <w:p w:rsidR="00723DD6" w:rsidRPr="00A67C76" w:rsidRDefault="00723DD6" w:rsidP="00807938">
            <w:pPr>
              <w:pStyle w:val="ListParagraph"/>
              <w:numPr>
                <w:ilvl w:val="0"/>
                <w:numId w:val="27"/>
              </w:numPr>
              <w:spacing w:before="120" w:line="240" w:lineRule="auto"/>
              <w:ind w:left="249" w:hanging="249"/>
              <w:rPr>
                <w:bCs/>
              </w:rPr>
            </w:pPr>
            <w:r w:rsidRPr="00A67C76">
              <w:rPr>
                <w:bCs/>
              </w:rPr>
              <w:t xml:space="preserve">increase the mobilisation of nutrients </w:t>
            </w:r>
          </w:p>
          <w:p w:rsidR="00D0423A" w:rsidRPr="00A67C76" w:rsidRDefault="00723DD6" w:rsidP="00807938">
            <w:pPr>
              <w:pStyle w:val="ListParagraph"/>
              <w:numPr>
                <w:ilvl w:val="0"/>
                <w:numId w:val="27"/>
              </w:numPr>
              <w:spacing w:before="120" w:line="240" w:lineRule="auto"/>
              <w:ind w:left="249" w:hanging="249"/>
            </w:pPr>
            <w:r w:rsidRPr="00A67C76">
              <w:rPr>
                <w:bCs/>
              </w:rPr>
              <w:t xml:space="preserve">increase suspended organic matter loads </w:t>
            </w:r>
          </w:p>
          <w:p w:rsidR="00723DD6" w:rsidRPr="00A67C76" w:rsidRDefault="00723DD6" w:rsidP="00807938">
            <w:pPr>
              <w:pStyle w:val="ListParagraph"/>
              <w:numPr>
                <w:ilvl w:val="0"/>
                <w:numId w:val="27"/>
              </w:numPr>
              <w:spacing w:before="120" w:line="240" w:lineRule="auto"/>
              <w:ind w:left="249" w:hanging="249"/>
            </w:pPr>
            <w:r w:rsidRPr="00A67C76">
              <w:rPr>
                <w:bCs/>
              </w:rPr>
              <w:t>increase the re</w:t>
            </w:r>
            <w:r w:rsidR="005D6819" w:rsidRPr="00A67C76">
              <w:rPr>
                <w:bCs/>
              </w:rPr>
              <w:t>-</w:t>
            </w:r>
            <w:r w:rsidRPr="00A67C76">
              <w:rPr>
                <w:bCs/>
              </w:rPr>
              <w:t>suspension of inorganic matter from the river bed and thus increase the transport of suspended inorganic matter from the basin and through the Lower Murray River</w:t>
            </w:r>
          </w:p>
        </w:tc>
        <w:tc>
          <w:tcPr>
            <w:tcW w:w="1559" w:type="dxa"/>
          </w:tcPr>
          <w:p w:rsidR="00723DD6" w:rsidRPr="00A67C76" w:rsidRDefault="00723DD6" w:rsidP="001A438F">
            <w:pPr>
              <w:spacing w:before="120"/>
              <w:jc w:val="center"/>
              <w:rPr>
                <w:b/>
                <w:szCs w:val="22"/>
              </w:rPr>
            </w:pPr>
            <w:r w:rsidRPr="00A67C76">
              <w:rPr>
                <w:b/>
                <w:szCs w:val="22"/>
              </w:rPr>
              <w:t>Dissolved and particulate material transport</w:t>
            </w:r>
          </w:p>
        </w:tc>
        <w:tc>
          <w:tcPr>
            <w:tcW w:w="5927" w:type="dxa"/>
          </w:tcPr>
          <w:p w:rsidR="00723DD6" w:rsidRPr="00A67C76" w:rsidRDefault="005D6819" w:rsidP="00807938">
            <w:pPr>
              <w:pStyle w:val="ListParagraph"/>
              <w:numPr>
                <w:ilvl w:val="0"/>
                <w:numId w:val="37"/>
              </w:numPr>
              <w:spacing w:before="120" w:line="240" w:lineRule="auto"/>
            </w:pPr>
            <w:proofErr w:type="gramStart"/>
            <w:r w:rsidRPr="00A67C76">
              <w:t>t</w:t>
            </w:r>
            <w:r w:rsidR="00723DD6" w:rsidRPr="00A67C76">
              <w:t>he</w:t>
            </w:r>
            <w:proofErr w:type="gramEnd"/>
            <w:r w:rsidR="00723DD6" w:rsidRPr="00A67C76">
              <w:t xml:space="preserve"> modelling outputs suggest that the flow regimes supported by Commonwealth environmental watering increased the transport of dissolved and particulate matter through the Lower Murray River.</w:t>
            </w:r>
          </w:p>
          <w:p w:rsidR="00723DD6" w:rsidRPr="00A67C76" w:rsidRDefault="005D6819" w:rsidP="00807938">
            <w:pPr>
              <w:pStyle w:val="ListParagraph"/>
              <w:numPr>
                <w:ilvl w:val="0"/>
                <w:numId w:val="37"/>
              </w:numPr>
              <w:spacing w:before="120" w:line="240" w:lineRule="auto"/>
            </w:pPr>
            <w:proofErr w:type="gramStart"/>
            <w:r w:rsidRPr="00A67C76">
              <w:t>f</w:t>
            </w:r>
            <w:r w:rsidR="00723DD6" w:rsidRPr="00A67C76">
              <w:t>or</w:t>
            </w:r>
            <w:proofErr w:type="gramEnd"/>
            <w:r w:rsidR="00723DD6" w:rsidRPr="00A67C76">
              <w:t xml:space="preserve"> some parameters, additional exports were only achieved because two sources of environmental water were provided, highlighting the importance of supplementary water provisions to the region.</w:t>
            </w:r>
          </w:p>
        </w:tc>
      </w:tr>
      <w:tr w:rsidR="00723DD6" w:rsidRPr="00A67C76" w:rsidTr="001D3E74">
        <w:trPr>
          <w:jc w:val="center"/>
        </w:trPr>
        <w:tc>
          <w:tcPr>
            <w:tcW w:w="2660" w:type="dxa"/>
          </w:tcPr>
          <w:p w:rsidR="00723DD6" w:rsidRPr="00A67C76" w:rsidRDefault="00723DD6" w:rsidP="00807938">
            <w:pPr>
              <w:pStyle w:val="ListParagraph"/>
              <w:numPr>
                <w:ilvl w:val="0"/>
                <w:numId w:val="30"/>
              </w:numPr>
              <w:spacing w:before="120" w:line="240" w:lineRule="auto"/>
              <w:ind w:left="284" w:hanging="215"/>
            </w:pPr>
            <w:r w:rsidRPr="00A67C76">
              <w:t>support key ecosystem functions, related to connectivity between the river and the floodplain</w:t>
            </w:r>
          </w:p>
        </w:tc>
        <w:tc>
          <w:tcPr>
            <w:tcW w:w="4111" w:type="dxa"/>
          </w:tcPr>
          <w:p w:rsidR="00723DD6" w:rsidRPr="00A67C76" w:rsidRDefault="00723DD6" w:rsidP="001A438F">
            <w:pPr>
              <w:spacing w:before="120"/>
              <w:ind w:left="249" w:hanging="165"/>
              <w:rPr>
                <w:bCs/>
              </w:rPr>
            </w:pPr>
            <w:r w:rsidRPr="00A67C76">
              <w:rPr>
                <w:bCs/>
              </w:rPr>
              <w:t xml:space="preserve">environmental watering will: </w:t>
            </w:r>
          </w:p>
          <w:p w:rsidR="00723DD6" w:rsidRPr="00A67C76" w:rsidRDefault="00723DD6" w:rsidP="00807938">
            <w:pPr>
              <w:pStyle w:val="ListParagraph"/>
              <w:numPr>
                <w:ilvl w:val="0"/>
                <w:numId w:val="30"/>
              </w:numPr>
              <w:spacing w:before="120" w:line="240" w:lineRule="auto"/>
              <w:ind w:left="318" w:hanging="284"/>
            </w:pPr>
            <w:proofErr w:type="gramStart"/>
            <w:r w:rsidRPr="00A67C76">
              <w:rPr>
                <w:bCs/>
              </w:rPr>
              <w:t>increase</w:t>
            </w:r>
            <w:proofErr w:type="gramEnd"/>
            <w:r w:rsidRPr="00A67C76">
              <w:rPr>
                <w:bCs/>
              </w:rPr>
              <w:t xml:space="preserve"> lateral connectivity of wetlands and low lying floodplain and floodplain inundation area.</w:t>
            </w:r>
          </w:p>
        </w:tc>
        <w:tc>
          <w:tcPr>
            <w:tcW w:w="1559" w:type="dxa"/>
          </w:tcPr>
          <w:p w:rsidR="00723DD6" w:rsidRPr="00A67C76" w:rsidRDefault="00723DD6" w:rsidP="001A438F">
            <w:pPr>
              <w:spacing w:before="120"/>
              <w:jc w:val="center"/>
              <w:rPr>
                <w:b/>
                <w:szCs w:val="22"/>
              </w:rPr>
            </w:pPr>
            <w:r w:rsidRPr="00A67C76">
              <w:rPr>
                <w:b/>
                <w:szCs w:val="22"/>
              </w:rPr>
              <w:t>Inundation and lateral connectivity</w:t>
            </w:r>
          </w:p>
        </w:tc>
        <w:tc>
          <w:tcPr>
            <w:tcW w:w="5927" w:type="dxa"/>
          </w:tcPr>
          <w:p w:rsidR="00723DD6" w:rsidRPr="00A67C76" w:rsidRDefault="005D6819" w:rsidP="00807938">
            <w:pPr>
              <w:pStyle w:val="ListParagraph"/>
              <w:numPr>
                <w:ilvl w:val="0"/>
                <w:numId w:val="36"/>
              </w:numPr>
              <w:spacing w:before="120" w:line="240" w:lineRule="auto"/>
              <w:rPr>
                <w:rFonts w:asciiTheme="majorHAnsi" w:eastAsiaTheme="majorEastAsia" w:hAnsiTheme="majorHAnsi" w:cstheme="majorBidi"/>
                <w:b/>
                <w:bCs/>
                <w:color w:val="4F81BD" w:themeColor="accent1"/>
                <w:sz w:val="26"/>
                <w:szCs w:val="26"/>
              </w:rPr>
            </w:pPr>
            <w:proofErr w:type="gramStart"/>
            <w:r w:rsidRPr="00A67C76">
              <w:t>t</w:t>
            </w:r>
            <w:r w:rsidR="00723DD6" w:rsidRPr="00A67C76">
              <w:t>he</w:t>
            </w:r>
            <w:proofErr w:type="gramEnd"/>
            <w:r w:rsidR="00723DD6" w:rsidRPr="00A67C76">
              <w:t xml:space="preserve"> environmental watering during December, allowed for ~600 hectares increase in inundation area along the Lower Murray River. </w:t>
            </w:r>
          </w:p>
          <w:p w:rsidR="00723DD6" w:rsidRPr="00A67C76" w:rsidRDefault="005D6819" w:rsidP="00807938">
            <w:pPr>
              <w:pStyle w:val="ListParagraph"/>
              <w:numPr>
                <w:ilvl w:val="0"/>
                <w:numId w:val="36"/>
              </w:numPr>
              <w:spacing w:before="120" w:line="240" w:lineRule="auto"/>
            </w:pPr>
            <w:proofErr w:type="gramStart"/>
            <w:r w:rsidRPr="00A67C76">
              <w:t>t</w:t>
            </w:r>
            <w:r w:rsidR="00723DD6" w:rsidRPr="00A67C76">
              <w:t>he</w:t>
            </w:r>
            <w:proofErr w:type="gramEnd"/>
            <w:r w:rsidR="00723DD6" w:rsidRPr="00A67C76">
              <w:t xml:space="preserve"> backwater curves showed 0.05-0.80 m increases in water level, depending on distance from the lock/weir and the section of the river. </w:t>
            </w:r>
          </w:p>
          <w:p w:rsidR="00723DD6" w:rsidRPr="00A67C76" w:rsidRDefault="005D6819" w:rsidP="00807938">
            <w:pPr>
              <w:pStyle w:val="ListParagraph"/>
              <w:numPr>
                <w:ilvl w:val="0"/>
                <w:numId w:val="36"/>
              </w:numPr>
              <w:spacing w:before="120" w:line="240" w:lineRule="auto"/>
            </w:pPr>
            <w:proofErr w:type="gramStart"/>
            <w:r w:rsidRPr="00A67C76">
              <w:t>t</w:t>
            </w:r>
            <w:r w:rsidR="00723DD6" w:rsidRPr="00A67C76">
              <w:t>he</w:t>
            </w:r>
            <w:proofErr w:type="gramEnd"/>
            <w:r w:rsidR="00723DD6" w:rsidRPr="00A67C76">
              <w:t xml:space="preserve"> higher water levels potentially increased the inundation area of riparian vegetation in the main channel.</w:t>
            </w:r>
          </w:p>
        </w:tc>
      </w:tr>
      <w:tr w:rsidR="00723DD6" w:rsidRPr="00A67C76" w:rsidTr="001D3E74">
        <w:trPr>
          <w:jc w:val="center"/>
        </w:trPr>
        <w:tc>
          <w:tcPr>
            <w:tcW w:w="2660" w:type="dxa"/>
          </w:tcPr>
          <w:p w:rsidR="00723DD6" w:rsidRPr="00A67C76" w:rsidRDefault="00723DD6" w:rsidP="00807938">
            <w:pPr>
              <w:pStyle w:val="ListParagraph"/>
              <w:numPr>
                <w:ilvl w:val="0"/>
                <w:numId w:val="30"/>
              </w:numPr>
              <w:spacing w:before="120" w:line="240" w:lineRule="auto"/>
              <w:ind w:left="284" w:hanging="215"/>
            </w:pPr>
            <w:r w:rsidRPr="00A67C76">
              <w:t>support key ecosystem functions related to connectivity between the river and the floodplain</w:t>
            </w:r>
          </w:p>
          <w:p w:rsidR="00723DD6" w:rsidRPr="00A67C76" w:rsidRDefault="00723DD6" w:rsidP="00807938">
            <w:pPr>
              <w:pStyle w:val="ListParagraph"/>
              <w:numPr>
                <w:ilvl w:val="0"/>
                <w:numId w:val="30"/>
              </w:numPr>
              <w:spacing w:before="120" w:line="240" w:lineRule="auto"/>
              <w:ind w:left="284" w:hanging="215"/>
            </w:pPr>
            <w:r w:rsidRPr="00A67C76">
              <w:t>support breeding of native fish</w:t>
            </w:r>
          </w:p>
          <w:p w:rsidR="00723DD6" w:rsidRPr="00A67C76" w:rsidRDefault="00723DD6" w:rsidP="00807938">
            <w:pPr>
              <w:pStyle w:val="ListParagraph"/>
              <w:numPr>
                <w:ilvl w:val="0"/>
                <w:numId w:val="30"/>
              </w:numPr>
              <w:spacing w:before="120" w:line="240" w:lineRule="auto"/>
              <w:ind w:left="284" w:hanging="215"/>
            </w:pPr>
            <w:r w:rsidRPr="00A67C76">
              <w:t>support recruitment of juvenile life stages</w:t>
            </w:r>
          </w:p>
        </w:tc>
        <w:tc>
          <w:tcPr>
            <w:tcW w:w="4111" w:type="dxa"/>
          </w:tcPr>
          <w:p w:rsidR="00723DD6" w:rsidRPr="00A67C76" w:rsidRDefault="00723DD6" w:rsidP="001A438F">
            <w:pPr>
              <w:spacing w:before="120"/>
              <w:rPr>
                <w:bCs/>
              </w:rPr>
            </w:pPr>
            <w:r w:rsidRPr="00A67C76">
              <w:rPr>
                <w:bCs/>
              </w:rPr>
              <w:t xml:space="preserve">environmental watering will: </w:t>
            </w:r>
          </w:p>
          <w:p w:rsidR="00723DD6" w:rsidRPr="00A67C76" w:rsidRDefault="00723DD6" w:rsidP="00807938">
            <w:pPr>
              <w:pStyle w:val="ListParagraph"/>
              <w:numPr>
                <w:ilvl w:val="0"/>
                <w:numId w:val="30"/>
              </w:numPr>
              <w:spacing w:before="120" w:line="240" w:lineRule="auto"/>
              <w:ind w:left="302" w:hanging="283"/>
            </w:pPr>
            <w:proofErr w:type="gramStart"/>
            <w:r w:rsidRPr="00A67C76">
              <w:t>sustain</w:t>
            </w:r>
            <w:proofErr w:type="gramEnd"/>
            <w:r w:rsidRPr="00A67C76">
              <w:t xml:space="preserve"> flows and maintain the lateral movement of fish, particularly small bodied species.</w:t>
            </w:r>
          </w:p>
          <w:p w:rsidR="00723DD6" w:rsidRPr="00A67C76" w:rsidRDefault="00723DD6" w:rsidP="00807938">
            <w:pPr>
              <w:pStyle w:val="ListParagraph"/>
              <w:numPr>
                <w:ilvl w:val="0"/>
                <w:numId w:val="30"/>
              </w:numPr>
              <w:spacing w:before="120" w:line="240" w:lineRule="auto"/>
              <w:ind w:left="302" w:hanging="283"/>
            </w:pPr>
            <w:proofErr w:type="gramStart"/>
            <w:r w:rsidRPr="00A67C76">
              <w:t>extend</w:t>
            </w:r>
            <w:proofErr w:type="gramEnd"/>
            <w:r w:rsidRPr="00A67C76">
              <w:t xml:space="preserve"> high flow conditions and increase inundated aquatic habitat, potentially providing nursery ground for fish.</w:t>
            </w:r>
          </w:p>
          <w:p w:rsidR="00723DD6" w:rsidRPr="00A67C76" w:rsidRDefault="00723DD6" w:rsidP="00807938">
            <w:pPr>
              <w:pStyle w:val="ListParagraph"/>
              <w:numPr>
                <w:ilvl w:val="0"/>
                <w:numId w:val="30"/>
              </w:numPr>
              <w:spacing w:before="120" w:line="240" w:lineRule="auto"/>
              <w:ind w:left="302" w:hanging="283"/>
            </w:pPr>
            <w:r w:rsidRPr="00A67C76">
              <w:t>affect regional differences amongst fish assemblages</w:t>
            </w:r>
          </w:p>
        </w:tc>
        <w:tc>
          <w:tcPr>
            <w:tcW w:w="1559" w:type="dxa"/>
          </w:tcPr>
          <w:p w:rsidR="00723DD6" w:rsidRPr="00A67C76" w:rsidRDefault="00723DD6" w:rsidP="001A438F">
            <w:pPr>
              <w:spacing w:before="120"/>
              <w:jc w:val="center"/>
              <w:rPr>
                <w:b/>
                <w:szCs w:val="22"/>
              </w:rPr>
            </w:pPr>
            <w:r w:rsidRPr="00A67C76">
              <w:rPr>
                <w:b/>
                <w:szCs w:val="22"/>
              </w:rPr>
              <w:t>Lateral fish movement</w:t>
            </w:r>
          </w:p>
        </w:tc>
        <w:tc>
          <w:tcPr>
            <w:tcW w:w="5927" w:type="dxa"/>
          </w:tcPr>
          <w:p w:rsidR="00723DD6" w:rsidRPr="00A67C76" w:rsidRDefault="004A3AC7" w:rsidP="00807938">
            <w:pPr>
              <w:pStyle w:val="ListParagraph"/>
              <w:numPr>
                <w:ilvl w:val="0"/>
                <w:numId w:val="33"/>
              </w:numPr>
              <w:spacing w:before="120" w:line="240" w:lineRule="auto"/>
            </w:pPr>
            <w:r w:rsidRPr="00A67C76">
              <w:t xml:space="preserve">there </w:t>
            </w:r>
            <w:r w:rsidR="002E6680">
              <w:t>was</w:t>
            </w:r>
            <w:r w:rsidRPr="00A67C76">
              <w:t xml:space="preserve"> </w:t>
            </w:r>
            <w:r w:rsidR="00723DD6" w:rsidRPr="00A67C76">
              <w:t xml:space="preserve">high variability in fish assemblages, suggesting </w:t>
            </w:r>
            <w:r w:rsidR="002E6680">
              <w:t xml:space="preserve">individual </w:t>
            </w:r>
            <w:r w:rsidR="00723DD6" w:rsidRPr="00A67C76">
              <w:t>wetlands respond uniquely to environmental variables</w:t>
            </w:r>
          </w:p>
          <w:p w:rsidR="00723DD6" w:rsidRPr="00A67C76" w:rsidRDefault="00723DD6" w:rsidP="00807938">
            <w:pPr>
              <w:pStyle w:val="ListParagraph"/>
              <w:numPr>
                <w:ilvl w:val="0"/>
                <w:numId w:val="33"/>
              </w:numPr>
              <w:spacing w:before="120" w:line="240" w:lineRule="auto"/>
            </w:pPr>
            <w:r w:rsidRPr="00A67C76">
              <w:t>delivery of environmental water did not appear to enhance reproduction and recruitment of carp</w:t>
            </w:r>
          </w:p>
          <w:p w:rsidR="00723DD6" w:rsidRPr="00A67C76" w:rsidRDefault="00723DD6" w:rsidP="00807938">
            <w:pPr>
              <w:pStyle w:val="ListParagraph"/>
              <w:numPr>
                <w:ilvl w:val="0"/>
                <w:numId w:val="33"/>
              </w:numPr>
              <w:spacing w:before="120" w:line="240" w:lineRule="auto"/>
            </w:pPr>
            <w:r w:rsidRPr="00A67C76">
              <w:t xml:space="preserve">no clear consistent pattern of movement throughout the wetlands was detected </w:t>
            </w:r>
          </w:p>
        </w:tc>
      </w:tr>
      <w:tr w:rsidR="00723DD6" w:rsidRPr="00A67C76" w:rsidTr="001D3E74">
        <w:trPr>
          <w:jc w:val="center"/>
        </w:trPr>
        <w:tc>
          <w:tcPr>
            <w:tcW w:w="2660" w:type="dxa"/>
          </w:tcPr>
          <w:p w:rsidR="00723DD6" w:rsidRPr="00A67C76" w:rsidRDefault="00723DD6" w:rsidP="00807938">
            <w:pPr>
              <w:pStyle w:val="ListParagraph"/>
              <w:numPr>
                <w:ilvl w:val="0"/>
                <w:numId w:val="30"/>
              </w:numPr>
              <w:spacing w:before="120" w:line="240" w:lineRule="auto"/>
              <w:ind w:left="283" w:hanging="215"/>
            </w:pPr>
            <w:r w:rsidRPr="00A67C76">
              <w:t>support key ecosystem functions, related to connectivity between the river and the floodplain</w:t>
            </w:r>
          </w:p>
        </w:tc>
        <w:tc>
          <w:tcPr>
            <w:tcW w:w="4111" w:type="dxa"/>
          </w:tcPr>
          <w:p w:rsidR="00723DD6" w:rsidRPr="00A67C76" w:rsidRDefault="00723DD6" w:rsidP="001A438F">
            <w:pPr>
              <w:spacing w:before="120"/>
              <w:rPr>
                <w:bCs/>
              </w:rPr>
            </w:pPr>
            <w:r w:rsidRPr="00A67C76">
              <w:rPr>
                <w:bCs/>
              </w:rPr>
              <w:t xml:space="preserve">environmental watering will: </w:t>
            </w:r>
          </w:p>
          <w:p w:rsidR="00723DD6" w:rsidRPr="00A67C76" w:rsidRDefault="00723DD6" w:rsidP="00807938">
            <w:pPr>
              <w:pStyle w:val="ListParagraph"/>
              <w:numPr>
                <w:ilvl w:val="0"/>
                <w:numId w:val="30"/>
              </w:numPr>
              <w:spacing w:before="120" w:line="240" w:lineRule="auto"/>
              <w:ind w:left="302" w:hanging="283"/>
            </w:pPr>
            <w:r w:rsidRPr="00A67C76">
              <w:t>increase frog distribution, diversity and relative abundance in comparison to previous lower flow years</w:t>
            </w:r>
          </w:p>
          <w:p w:rsidR="00723DD6" w:rsidRPr="00A67C76" w:rsidRDefault="00723DD6" w:rsidP="00807938">
            <w:pPr>
              <w:pStyle w:val="ListParagraph"/>
              <w:numPr>
                <w:ilvl w:val="0"/>
                <w:numId w:val="30"/>
              </w:numPr>
              <w:spacing w:before="120" w:line="240" w:lineRule="auto"/>
              <w:ind w:left="293" w:hanging="286"/>
            </w:pPr>
            <w:proofErr w:type="gramStart"/>
            <w:r w:rsidRPr="00A67C76">
              <w:t>increase</w:t>
            </w:r>
            <w:proofErr w:type="gramEnd"/>
            <w:r w:rsidRPr="00A67C76">
              <w:t xml:space="preserve"> the extent of frog habitat within each of the South Australian River reaches.</w:t>
            </w:r>
          </w:p>
        </w:tc>
        <w:tc>
          <w:tcPr>
            <w:tcW w:w="1559" w:type="dxa"/>
          </w:tcPr>
          <w:p w:rsidR="00723DD6" w:rsidRPr="00A67C76" w:rsidRDefault="00723DD6" w:rsidP="001A438F">
            <w:pPr>
              <w:spacing w:before="120"/>
              <w:jc w:val="center"/>
              <w:rPr>
                <w:b/>
                <w:szCs w:val="22"/>
              </w:rPr>
            </w:pPr>
            <w:r w:rsidRPr="00A67C76">
              <w:rPr>
                <w:b/>
                <w:szCs w:val="22"/>
              </w:rPr>
              <w:t>Frog response</w:t>
            </w:r>
          </w:p>
        </w:tc>
        <w:tc>
          <w:tcPr>
            <w:tcW w:w="5927" w:type="dxa"/>
          </w:tcPr>
          <w:p w:rsidR="00723DD6" w:rsidRPr="00A67C76" w:rsidRDefault="00723DD6" w:rsidP="00807938">
            <w:pPr>
              <w:pStyle w:val="ListParagraph"/>
              <w:numPr>
                <w:ilvl w:val="0"/>
                <w:numId w:val="34"/>
              </w:numPr>
              <w:spacing w:before="120" w:line="240" w:lineRule="auto"/>
            </w:pPr>
            <w:r w:rsidRPr="00A67C76">
              <w:t>frog calling and species richness was lower in summer than spring likely due to higher unregulated flows in spring</w:t>
            </w:r>
          </w:p>
          <w:p w:rsidR="00723DD6" w:rsidRPr="00A67C76" w:rsidRDefault="00723DD6" w:rsidP="00807938">
            <w:pPr>
              <w:pStyle w:val="ListParagraph"/>
              <w:numPr>
                <w:ilvl w:val="0"/>
                <w:numId w:val="34"/>
              </w:numPr>
              <w:spacing w:before="120" w:line="240" w:lineRule="auto"/>
            </w:pPr>
            <w:r w:rsidRPr="00A67C76">
              <w:t>however, environmental water</w:t>
            </w:r>
            <w:r w:rsidR="00003A8D">
              <w:t>ing</w:t>
            </w:r>
            <w:r w:rsidRPr="00A67C76">
              <w:t xml:space="preserve"> in summer may have maintained habitat availability for frog breeding </w:t>
            </w:r>
          </w:p>
          <w:p w:rsidR="00723DD6" w:rsidRPr="00A67C76" w:rsidRDefault="00723DD6" w:rsidP="004034FF">
            <w:pPr>
              <w:spacing w:before="120" w:line="240" w:lineRule="auto"/>
            </w:pPr>
          </w:p>
        </w:tc>
      </w:tr>
      <w:tr w:rsidR="00723DD6" w:rsidRPr="00A67C76" w:rsidTr="001D3E74">
        <w:trPr>
          <w:jc w:val="center"/>
        </w:trPr>
        <w:tc>
          <w:tcPr>
            <w:tcW w:w="2660" w:type="dxa"/>
          </w:tcPr>
          <w:p w:rsidR="00723DD6" w:rsidRPr="00A67C76" w:rsidRDefault="00723DD6" w:rsidP="00723DD6">
            <w:pPr>
              <w:numPr>
                <w:ilvl w:val="0"/>
                <w:numId w:val="10"/>
              </w:numPr>
              <w:spacing w:before="120" w:line="240" w:lineRule="auto"/>
              <w:ind w:left="283" w:hanging="215"/>
            </w:pPr>
            <w:r w:rsidRPr="00A67C76">
              <w:t>support ecosystem functions related to longitudinal connectivity</w:t>
            </w:r>
          </w:p>
        </w:tc>
        <w:tc>
          <w:tcPr>
            <w:tcW w:w="4111" w:type="dxa"/>
          </w:tcPr>
          <w:p w:rsidR="00723DD6" w:rsidRPr="00A67C76" w:rsidRDefault="00723DD6" w:rsidP="001A438F">
            <w:pPr>
              <w:spacing w:before="120"/>
              <w:rPr>
                <w:bCs/>
              </w:rPr>
            </w:pPr>
            <w:r w:rsidRPr="00A67C76">
              <w:rPr>
                <w:bCs/>
              </w:rPr>
              <w:t xml:space="preserve">environmental watering will: </w:t>
            </w:r>
          </w:p>
          <w:p w:rsidR="00723DD6" w:rsidRPr="00A67C76" w:rsidRDefault="00723DD6" w:rsidP="00807938">
            <w:pPr>
              <w:pStyle w:val="ListParagraph"/>
              <w:numPr>
                <w:ilvl w:val="0"/>
                <w:numId w:val="38"/>
              </w:numPr>
              <w:spacing w:before="120" w:line="240" w:lineRule="auto"/>
              <w:ind w:left="289" w:hanging="289"/>
            </w:pPr>
            <w:r w:rsidRPr="00A67C76">
              <w:t xml:space="preserve">increase freshwater flow through the barrages and into the Coorong and improve salinity conditions and water levels in the Coorong thus enhancing </w:t>
            </w:r>
            <w:r w:rsidRPr="00A67C76">
              <w:rPr>
                <w:i/>
              </w:rPr>
              <w:t>Ruppia tuberosa</w:t>
            </w:r>
            <w:r w:rsidRPr="00A67C76">
              <w:t xml:space="preserve"> and fish habitats</w:t>
            </w:r>
          </w:p>
        </w:tc>
        <w:tc>
          <w:tcPr>
            <w:tcW w:w="1559" w:type="dxa"/>
          </w:tcPr>
          <w:p w:rsidR="00723DD6" w:rsidRPr="00A67C76" w:rsidRDefault="00723DD6" w:rsidP="001A438F">
            <w:pPr>
              <w:spacing w:before="120"/>
              <w:jc w:val="center"/>
              <w:rPr>
                <w:b/>
                <w:szCs w:val="22"/>
              </w:rPr>
            </w:pPr>
            <w:r w:rsidRPr="00A67C76">
              <w:rPr>
                <w:b/>
                <w:szCs w:val="22"/>
              </w:rPr>
              <w:t>Coorong (Modelling)</w:t>
            </w:r>
          </w:p>
        </w:tc>
        <w:tc>
          <w:tcPr>
            <w:tcW w:w="5927" w:type="dxa"/>
          </w:tcPr>
          <w:p w:rsidR="00723DD6" w:rsidRPr="00A67C76" w:rsidRDefault="005D6819" w:rsidP="00807938">
            <w:pPr>
              <w:pStyle w:val="ListParagraph"/>
              <w:numPr>
                <w:ilvl w:val="0"/>
                <w:numId w:val="35"/>
              </w:numPr>
              <w:spacing w:before="120" w:line="240" w:lineRule="auto"/>
            </w:pPr>
            <w:r w:rsidRPr="00A67C76">
              <w:t>t</w:t>
            </w:r>
            <w:r w:rsidR="00723DD6" w:rsidRPr="00A67C76">
              <w:t xml:space="preserve">he </w:t>
            </w:r>
            <w:r w:rsidR="00723DD6" w:rsidRPr="00A67C76">
              <w:rPr>
                <w:i/>
              </w:rPr>
              <w:t>Ruppia</w:t>
            </w:r>
            <w:r w:rsidR="00031E2A">
              <w:rPr>
                <w:i/>
              </w:rPr>
              <w:t xml:space="preserve"> tuberosa</w:t>
            </w:r>
            <w:r w:rsidR="00723DD6" w:rsidRPr="00A67C76">
              <w:t xml:space="preserve"> and fish habitat models together with the hydrodynamic model (CHM v2.1) provide a useful tool for the evaluation and planning of environmental watering, including volume and timing of barrage outflows required to maintain viable populations of </w:t>
            </w:r>
            <w:r w:rsidR="00723DD6" w:rsidRPr="00A67C76">
              <w:rPr>
                <w:i/>
              </w:rPr>
              <w:t>Ruppia tuberosa</w:t>
            </w:r>
            <w:r w:rsidR="00723DD6" w:rsidRPr="00A67C76">
              <w:t xml:space="preserve"> and extent of fish habitat for key species.</w:t>
            </w:r>
          </w:p>
          <w:p w:rsidR="00723DD6" w:rsidRPr="00A67C76" w:rsidRDefault="005D6819" w:rsidP="00807938">
            <w:pPr>
              <w:pStyle w:val="ListParagraph"/>
              <w:numPr>
                <w:ilvl w:val="0"/>
                <w:numId w:val="35"/>
              </w:numPr>
              <w:spacing w:before="120" w:line="240" w:lineRule="auto"/>
            </w:pPr>
            <w:proofErr w:type="gramStart"/>
            <w:r w:rsidRPr="00A67C76">
              <w:t>e</w:t>
            </w:r>
            <w:r w:rsidR="00723DD6" w:rsidRPr="00A67C76">
              <w:t>nvironmental</w:t>
            </w:r>
            <w:proofErr w:type="gramEnd"/>
            <w:r w:rsidR="00723DD6" w:rsidRPr="00A67C76">
              <w:t xml:space="preserve"> water delivery in addition to an unregulated flow in </w:t>
            </w:r>
            <w:r w:rsidR="00333041" w:rsidRPr="00A67C76">
              <w:t>2012</w:t>
            </w:r>
            <w:r w:rsidR="00723DD6" w:rsidRPr="00A67C76">
              <w:t xml:space="preserve"> provided a small benefit to </w:t>
            </w:r>
            <w:r w:rsidR="00723DD6" w:rsidRPr="00A67C76">
              <w:rPr>
                <w:i/>
              </w:rPr>
              <w:t>Ruppia tuberosa</w:t>
            </w:r>
            <w:r w:rsidR="00723DD6" w:rsidRPr="00A67C76">
              <w:t xml:space="preserve"> populations, with up to 10% increase in the probability of propagule bank replenishment in the South Lagoon.</w:t>
            </w:r>
          </w:p>
          <w:p w:rsidR="00723DD6" w:rsidRPr="00A67C76" w:rsidRDefault="00067352" w:rsidP="00807938">
            <w:pPr>
              <w:pStyle w:val="ListParagraph"/>
              <w:numPr>
                <w:ilvl w:val="0"/>
                <w:numId w:val="35"/>
              </w:numPr>
              <w:spacing w:before="120" w:line="240" w:lineRule="auto"/>
            </w:pPr>
            <w:proofErr w:type="gramStart"/>
            <w:r w:rsidRPr="00A67C76">
              <w:t>w</w:t>
            </w:r>
            <w:r w:rsidR="00723DD6" w:rsidRPr="00A67C76">
              <w:t>atering</w:t>
            </w:r>
            <w:proofErr w:type="gramEnd"/>
            <w:r w:rsidR="00723DD6" w:rsidRPr="00A67C76">
              <w:t xml:space="preserve"> also benefited fish in the Coorong by improving habitat suitability up to 13% and increasing habitat extent up to 30 km (e.g. mulloway).</w:t>
            </w:r>
          </w:p>
        </w:tc>
      </w:tr>
    </w:tbl>
    <w:p w:rsidR="00723DD6" w:rsidRPr="00A67C76" w:rsidRDefault="00723DD6" w:rsidP="00AE7F32">
      <w:pPr>
        <w:spacing w:line="240" w:lineRule="auto"/>
        <w:sectPr w:rsidR="00723DD6" w:rsidRPr="00A67C76" w:rsidSect="007154D8">
          <w:footerReference w:type="default" r:id="rId31"/>
          <w:pgSz w:w="16840" w:h="11900" w:orient="landscape" w:code="9"/>
          <w:pgMar w:top="1440" w:right="1440" w:bottom="1440" w:left="1440" w:header="709" w:footer="709" w:gutter="0"/>
          <w:cols w:space="708"/>
          <w:docGrid w:linePitch="360"/>
        </w:sectPr>
      </w:pPr>
    </w:p>
    <w:p w:rsidR="00AE7F32" w:rsidRPr="00A67C76" w:rsidRDefault="00AE7F32" w:rsidP="00AE7F32">
      <w:pPr>
        <w:rPr>
          <w:b/>
          <w:color w:val="1F497D" w:themeColor="text2"/>
        </w:rPr>
      </w:pPr>
      <w:r w:rsidRPr="00A67C76">
        <w:rPr>
          <w:b/>
          <w:color w:val="1F497D" w:themeColor="text2"/>
        </w:rPr>
        <w:t>Key learning and management implications</w:t>
      </w:r>
    </w:p>
    <w:p w:rsidR="00AE7F32" w:rsidRPr="00A67C76" w:rsidRDefault="00AE7F32" w:rsidP="00050F8D">
      <w:r w:rsidRPr="00A67C76">
        <w:t xml:space="preserve">Based on insights provided by the studies through the </w:t>
      </w:r>
      <w:r w:rsidR="00333041" w:rsidRPr="00A67C76">
        <w:t>2012</w:t>
      </w:r>
      <w:r w:rsidR="00FD328A" w:rsidRPr="00FD328A">
        <w:t>-13</w:t>
      </w:r>
      <w:r w:rsidRPr="00A67C76">
        <w:t xml:space="preserve"> monitoring, and current knowledge of nutrient dynamics and flow related biology/ecology in the Lower Murray River, Lakes and Coorong, the following points should be considered with regard to the approach to environmental watering</w:t>
      </w:r>
      <w:r w:rsidR="00363E1B">
        <w:t>.</w:t>
      </w:r>
    </w:p>
    <w:p w:rsidR="00AE7F32" w:rsidRPr="00A67C76" w:rsidRDefault="00F32509" w:rsidP="00050F8D">
      <w:pPr>
        <w:rPr>
          <w:b/>
          <w:i/>
        </w:rPr>
      </w:pPr>
      <w:r>
        <w:rPr>
          <w:b/>
          <w:i/>
        </w:rPr>
        <w:t>Lower Murray River</w:t>
      </w:r>
    </w:p>
    <w:p w:rsidR="00AE7F32" w:rsidRPr="00A67C76" w:rsidRDefault="003E2DD9" w:rsidP="00050F8D">
      <w:r>
        <w:t>T</w:t>
      </w:r>
      <w:r w:rsidR="006865D9" w:rsidRPr="00A67C76">
        <w:t xml:space="preserve">here </w:t>
      </w:r>
      <w:r>
        <w:t>wa</w:t>
      </w:r>
      <w:r w:rsidRPr="00A67C76">
        <w:t xml:space="preserve">s </w:t>
      </w:r>
      <w:r w:rsidR="006865D9" w:rsidRPr="00A67C76">
        <w:t xml:space="preserve">a </w:t>
      </w:r>
      <w:r w:rsidR="00AE7F32" w:rsidRPr="00A67C76">
        <w:t xml:space="preserve">strong presence of larval fish of large-bodied native species from late October to December. An environmental flow pulse with the appropriate timing and adequate magnitude and duration may enhance and extend the presence of </w:t>
      </w:r>
      <w:r w:rsidR="006865D9" w:rsidRPr="00A67C76">
        <w:t xml:space="preserve">some of </w:t>
      </w:r>
      <w:r w:rsidR="00AE7F32" w:rsidRPr="00A67C76">
        <w:t>these native fish larvae</w:t>
      </w:r>
      <w:r w:rsidR="006865D9" w:rsidRPr="00A67C76">
        <w:t xml:space="preserve"> (e.g. golden perch and silver perch)</w:t>
      </w:r>
      <w:r w:rsidR="00AE7F32" w:rsidRPr="00A67C76">
        <w:t xml:space="preserve"> and may lead to enhanced recruitment in the Lower Murray River.</w:t>
      </w:r>
      <w:r>
        <w:t xml:space="preserve"> Maintaining a seasonal flow regime</w:t>
      </w:r>
      <w:r w:rsidR="00895E0F">
        <w:t>, potentially through the use of e</w:t>
      </w:r>
      <w:r w:rsidR="00003A8D">
        <w:t xml:space="preserve">nvironmental </w:t>
      </w:r>
      <w:r w:rsidR="00895E0F">
        <w:t>water</w:t>
      </w:r>
      <w:r>
        <w:t xml:space="preserve"> during </w:t>
      </w:r>
      <w:r w:rsidR="00363E1B">
        <w:t>spring and summer</w:t>
      </w:r>
      <w:r>
        <w:t xml:space="preserve"> is important for some large-bodied native fish</w:t>
      </w:r>
      <w:r w:rsidR="00CE704D">
        <w:t xml:space="preserve"> and </w:t>
      </w:r>
      <w:r w:rsidR="00363E1B">
        <w:t>in this study di</w:t>
      </w:r>
      <w:r w:rsidR="00CE704D">
        <w:t>d not have an effect on spawning and recruitment of carp within the wetlands</w:t>
      </w:r>
      <w:r w:rsidR="00363E1B">
        <w:t>.</w:t>
      </w:r>
      <w:r>
        <w:t xml:space="preserve"> </w:t>
      </w:r>
      <w:r w:rsidR="00AE7F32" w:rsidRPr="00A67C76">
        <w:t xml:space="preserve"> </w:t>
      </w:r>
    </w:p>
    <w:p w:rsidR="00895E0F" w:rsidRPr="00A67C76" w:rsidRDefault="00895E0F" w:rsidP="00895E0F">
      <w:r w:rsidRPr="00A67C76">
        <w:t xml:space="preserve">Whilst seasonal flow regimes are important in maintaining the ecological integrity of freshwater systems, within-channel flow management may present an opportunity to prolong and potentially enhance the lateral movements of native fish, with the direct benefits likely to be most pronounced in the wetlands upstream from Lock 1, whereby water levels are more influenced by flow discharge. </w:t>
      </w:r>
    </w:p>
    <w:p w:rsidR="00AE7F32" w:rsidRDefault="00895E0F" w:rsidP="00895E0F">
      <w:r w:rsidRPr="00A67C76">
        <w:t xml:space="preserve">Nonetheless, due to the high spatial variability in the structure of fish assemblages attempting to access and exit wetlands and the physical, biological and hydrological differences among wetlands, the movement pattern will differ </w:t>
      </w:r>
      <w:r>
        <w:t xml:space="preserve">among wetlands </w:t>
      </w:r>
      <w:r w:rsidRPr="00A67C76">
        <w:t>in response to the regimes of flow delivery. This highlights the need for individual assessment of wetlands prior to the management interventions to support lateral fish movement.</w:t>
      </w:r>
      <w:r w:rsidR="00AE7F32" w:rsidRPr="00A67C76">
        <w:t xml:space="preserve">  </w:t>
      </w:r>
    </w:p>
    <w:p w:rsidR="00CE704D" w:rsidRDefault="00CE704D" w:rsidP="00CE704D">
      <w:r w:rsidRPr="00A67C76">
        <w:t>In addition to flow regimes, managing flow integrity is critical; the source and continuity of the</w:t>
      </w:r>
      <w:r w:rsidR="004E0976">
        <w:t xml:space="preserve"> water delivered can play an</w:t>
      </w:r>
      <w:r w:rsidRPr="00A67C76">
        <w:t xml:space="preserve"> important role in the outcomes achieved. For example, this study showed a strong influence of zooplankton species originated in the upper parts of the basin on the assemblages in the Lower Murray River and contributing to the local ecosystem.</w:t>
      </w:r>
    </w:p>
    <w:p w:rsidR="00AE7F32" w:rsidRPr="00A67C76" w:rsidRDefault="00363E1B" w:rsidP="00050F8D">
      <w:r>
        <w:t>A broad view of</w:t>
      </w:r>
      <w:r w:rsidRPr="00A67C76">
        <w:t xml:space="preserve"> eukaryotic microorganisms present in the river</w:t>
      </w:r>
      <w:r>
        <w:t>, including zooplankton</w:t>
      </w:r>
      <w:r w:rsidR="005262F0">
        <w:t xml:space="preserve">, was obtained through </w:t>
      </w:r>
      <w:r w:rsidR="00AE7F32" w:rsidRPr="00A67C76">
        <w:t xml:space="preserve">molecular analyses </w:t>
      </w:r>
      <w:r w:rsidR="005262F0">
        <w:t xml:space="preserve">which </w:t>
      </w:r>
      <w:r w:rsidR="00AE7F32" w:rsidRPr="00A67C76">
        <w:t>identified a significant range</w:t>
      </w:r>
      <w:r w:rsidR="004F7D52">
        <w:t xml:space="preserve"> of taxa</w:t>
      </w:r>
      <w:r w:rsidR="00AE7F32" w:rsidRPr="00A67C76">
        <w:t>, covering a broad range of trophic levels. It could potential</w:t>
      </w:r>
      <w:r w:rsidR="00050F8D" w:rsidRPr="00A67C76">
        <w:t>ly</w:t>
      </w:r>
      <w:r w:rsidR="00AE7F32" w:rsidRPr="00A67C76">
        <w:t xml:space="preserve"> be used as </w:t>
      </w:r>
      <w:r w:rsidR="0002558B" w:rsidRPr="00A67C76">
        <w:t xml:space="preserve">a </w:t>
      </w:r>
      <w:r w:rsidR="00AE7F32" w:rsidRPr="00A67C76">
        <w:t>tool for more</w:t>
      </w:r>
      <w:r w:rsidR="004F7D52">
        <w:t xml:space="preserve"> </w:t>
      </w:r>
      <w:r w:rsidR="00AE7F32" w:rsidRPr="00A67C76">
        <w:t xml:space="preserve">comprehensively assessing the mix of different trophic level pathways that underpin energy and material cycles in aquatic ecosystems </w:t>
      </w:r>
      <w:r w:rsidR="00A67C76" w:rsidRPr="00A67C76">
        <w:t xml:space="preserve">that </w:t>
      </w:r>
      <w:r w:rsidR="00AE7F32" w:rsidRPr="00A67C76">
        <w:t>respond to flow and water quality.</w:t>
      </w:r>
    </w:p>
    <w:p w:rsidR="00AE7F32" w:rsidRPr="00A67C76" w:rsidRDefault="00AE7F32" w:rsidP="00050F8D">
      <w:r w:rsidRPr="00A67C76">
        <w:t xml:space="preserve">The modelling approaches </w:t>
      </w:r>
      <w:r w:rsidR="004F7D52">
        <w:t xml:space="preserve">that describe aspects of water quality such as dissolved and particulate organic matter that were presented </w:t>
      </w:r>
      <w:r w:rsidRPr="00A67C76">
        <w:t>in this study could be used in planning for flow deliveries, by assessing the potential benefits/d</w:t>
      </w:r>
      <w:r w:rsidR="004E0976">
        <w:t>etriments</w:t>
      </w:r>
      <w:r w:rsidRPr="00A67C76">
        <w:t xml:space="preserve"> of various watering actions in the hydrologically complex Lower Murray system. Continued refinement of the model will further improve its capacity to evaluate the influence of environmental water deliveries. The following specific points pertinent to material transport could be used to help guide future environmental watering:</w:t>
      </w:r>
    </w:p>
    <w:p w:rsidR="00AE7F32" w:rsidRPr="00A67C76" w:rsidRDefault="00067352" w:rsidP="00807938">
      <w:pPr>
        <w:pStyle w:val="ListParagraph"/>
        <w:numPr>
          <w:ilvl w:val="0"/>
          <w:numId w:val="38"/>
        </w:numPr>
      </w:pPr>
      <w:proofErr w:type="gramStart"/>
      <w:r w:rsidRPr="00A67C76">
        <w:t>e</w:t>
      </w:r>
      <w:r w:rsidR="00AE7F32" w:rsidRPr="00A67C76">
        <w:t>nvironmental</w:t>
      </w:r>
      <w:proofErr w:type="gramEnd"/>
      <w:r w:rsidR="00AE7F32" w:rsidRPr="00A67C76">
        <w:t xml:space="preserve"> watering during low to moderate flow periods (e.g. 10,000-40,000 </w:t>
      </w:r>
      <w:r w:rsidR="00FD328A">
        <w:t>ML day</w:t>
      </w:r>
      <w:r w:rsidR="00AE7F32" w:rsidRPr="00A67C76">
        <w:rPr>
          <w:vertAlign w:val="superscript"/>
        </w:rPr>
        <w:t>-1</w:t>
      </w:r>
      <w:r w:rsidR="00AE7F32" w:rsidRPr="00A67C76">
        <w:t>) will increase the transport and export of dissolved and particulate material.</w:t>
      </w:r>
    </w:p>
    <w:p w:rsidR="00AE7F32" w:rsidRPr="00A67C76" w:rsidRDefault="00067352" w:rsidP="00807938">
      <w:pPr>
        <w:pStyle w:val="ListParagraph"/>
        <w:numPr>
          <w:ilvl w:val="0"/>
          <w:numId w:val="38"/>
        </w:numPr>
      </w:pPr>
      <w:proofErr w:type="gramStart"/>
      <w:r w:rsidRPr="00A67C76">
        <w:t>e</w:t>
      </w:r>
      <w:r w:rsidR="00AE7F32" w:rsidRPr="00A67C76">
        <w:t>nvironmental</w:t>
      </w:r>
      <w:proofErr w:type="gramEnd"/>
      <w:r w:rsidR="00AE7F32" w:rsidRPr="00A67C76">
        <w:t xml:space="preserve"> flow deliveries during extended low flow periods are likely to have greater impacts on salt and nutrient concentrations than periods with antecedent moderate flow conditions. </w:t>
      </w:r>
    </w:p>
    <w:p w:rsidR="00AE7F32" w:rsidRPr="00A67C76" w:rsidRDefault="00067352" w:rsidP="00807938">
      <w:pPr>
        <w:pStyle w:val="ListParagraph"/>
        <w:numPr>
          <w:ilvl w:val="0"/>
          <w:numId w:val="38"/>
        </w:numPr>
      </w:pPr>
      <w:proofErr w:type="gramStart"/>
      <w:r w:rsidRPr="00A67C76">
        <w:t>e</w:t>
      </w:r>
      <w:r w:rsidR="00AE7F32" w:rsidRPr="00A67C76">
        <w:t>nvironmental</w:t>
      </w:r>
      <w:proofErr w:type="gramEnd"/>
      <w:r w:rsidR="00AE7F32" w:rsidRPr="00A67C76">
        <w:t xml:space="preserve"> water use that results in floodplain inundation will likely result in increased nutrient concentrations (mobilisation) and export. This may be achieved by moderate-large floods (e.g. &gt;40,000 </w:t>
      </w:r>
      <w:r w:rsidR="00FD328A">
        <w:t>ML day</w:t>
      </w:r>
      <w:r w:rsidR="00AE7F32" w:rsidRPr="00A67C76">
        <w:rPr>
          <w:vertAlign w:val="superscript"/>
        </w:rPr>
        <w:t>-1</w:t>
      </w:r>
      <w:r w:rsidR="00AE7F32" w:rsidRPr="00A67C76">
        <w:t xml:space="preserve">) that inundate previously dry floodplain and wetland habitats. </w:t>
      </w:r>
    </w:p>
    <w:p w:rsidR="00AE7F32" w:rsidRPr="00A67C76" w:rsidRDefault="00067352" w:rsidP="00807938">
      <w:pPr>
        <w:pStyle w:val="ListParagraph"/>
        <w:numPr>
          <w:ilvl w:val="0"/>
          <w:numId w:val="38"/>
        </w:numPr>
      </w:pPr>
      <w:r w:rsidRPr="00A67C76">
        <w:t>m</w:t>
      </w:r>
      <w:r w:rsidR="00AE7F32" w:rsidRPr="00A67C76">
        <w:t xml:space="preserve">aximum exports of dissolved and particulate material from the Murray Mouth are likely to be achieved by delivering environmental water during periods of low oceanic water levels (summer). However, this may reduce water availability at other times, increasing the import of material from the Southern Ocean during those times. In contrast, delivery of environmental water to the region at times of high oceanic water levels is likely to increase the exchange of water and associated nutrients and salt through the Coorong, rather than predominately through the Murray Mouth. </w:t>
      </w:r>
    </w:p>
    <w:p w:rsidR="00AE7F32" w:rsidRPr="00A67C76" w:rsidRDefault="00067352" w:rsidP="00807938">
      <w:pPr>
        <w:pStyle w:val="ListParagraph"/>
        <w:numPr>
          <w:ilvl w:val="0"/>
          <w:numId w:val="38"/>
        </w:numPr>
      </w:pPr>
      <w:proofErr w:type="gramStart"/>
      <w:r w:rsidRPr="00A67C76">
        <w:t>n</w:t>
      </w:r>
      <w:r w:rsidR="00AE7F32" w:rsidRPr="00A67C76">
        <w:t>et</w:t>
      </w:r>
      <w:proofErr w:type="gramEnd"/>
      <w:r w:rsidR="00AE7F32" w:rsidRPr="00A67C76">
        <w:t xml:space="preserve"> export of dissolved and particulate material can be achieved when discharges above threshold levels are provided. Whilst, these discharge thresholds are currently unknown and likely differ with seasonal changes in downstream water levels, supplementary water sources are important in providing adequate flows to export material from the system.</w:t>
      </w:r>
    </w:p>
    <w:p w:rsidR="00AE7F32" w:rsidRPr="00A67C76" w:rsidRDefault="00067352" w:rsidP="00807938">
      <w:pPr>
        <w:pStyle w:val="ListParagraph"/>
        <w:numPr>
          <w:ilvl w:val="0"/>
          <w:numId w:val="38"/>
        </w:numPr>
      </w:pPr>
      <w:proofErr w:type="gramStart"/>
      <w:r w:rsidRPr="00A67C76">
        <w:t>f</w:t>
      </w:r>
      <w:r w:rsidR="00AE7F32" w:rsidRPr="00A67C76">
        <w:t>lows</w:t>
      </w:r>
      <w:proofErr w:type="gramEnd"/>
      <w:r w:rsidR="00AE7F32" w:rsidRPr="00A67C76">
        <w:t xml:space="preserve"> during winter may result in limited assimilation of nutrients by biota (slower growth rates), whilst deliveries during summer could increase the risk of blackwater events and cyanobacterial blooms, depending on hydrological conditions. Flows during spring are likely to minimise these risks, but also maximise the benefits of nutrient inputs (e.g. stimulate productivity to support larval survival). </w:t>
      </w:r>
    </w:p>
    <w:p w:rsidR="00AE7F32" w:rsidRPr="00A67C76" w:rsidRDefault="00067352" w:rsidP="00807938">
      <w:pPr>
        <w:pStyle w:val="ListParagraph"/>
        <w:numPr>
          <w:ilvl w:val="0"/>
          <w:numId w:val="38"/>
        </w:numPr>
      </w:pPr>
      <w:proofErr w:type="gramStart"/>
      <w:r w:rsidRPr="00A67C76">
        <w:t>m</w:t>
      </w:r>
      <w:r w:rsidR="00AE7F32" w:rsidRPr="00A67C76">
        <w:t>ultiple</w:t>
      </w:r>
      <w:proofErr w:type="gramEnd"/>
      <w:r w:rsidR="00AE7F32" w:rsidRPr="00A67C76">
        <w:t xml:space="preserve"> watering events in a given year could be used to meet different ecological objectives. For example one event in spring could be provided to increase nutrient assimilation, followed by a subsequent event to export material to downstream ecosystems.</w:t>
      </w:r>
    </w:p>
    <w:p w:rsidR="00AE7F32" w:rsidRPr="00A67C76" w:rsidRDefault="00AE7F32" w:rsidP="00050F8D">
      <w:r w:rsidRPr="00A67C76">
        <w:t>Environmental watering that aim</w:t>
      </w:r>
      <w:r w:rsidR="00EB0F42" w:rsidRPr="00A67C76">
        <w:t>s</w:t>
      </w:r>
      <w:r w:rsidRPr="00A67C76">
        <w:t xml:space="preserve"> to increase frog breeding response and recruitment need</w:t>
      </w:r>
      <w:r w:rsidR="00EB0F42" w:rsidRPr="00A67C76">
        <w:t>s</w:t>
      </w:r>
      <w:r w:rsidRPr="00A67C76">
        <w:t xml:space="preserve"> to provide water that will increase the inundation of vegetation during the months when frogs are reproductively active (spring/summer). This may be achieved through: </w:t>
      </w:r>
    </w:p>
    <w:p w:rsidR="00AE7F32" w:rsidRPr="00A67C76" w:rsidRDefault="00067352" w:rsidP="00807938">
      <w:pPr>
        <w:pStyle w:val="ListParagraph"/>
        <w:numPr>
          <w:ilvl w:val="0"/>
          <w:numId w:val="39"/>
        </w:numPr>
      </w:pPr>
      <w:r w:rsidRPr="00A67C76">
        <w:t>a</w:t>
      </w:r>
      <w:r w:rsidR="00AE7F32" w:rsidRPr="00A67C76">
        <w:t xml:space="preserve">n increase in water levels that leads to the inundation of riparian vegetation along the fringing edges of permanent water courses and wetlands, </w:t>
      </w:r>
    </w:p>
    <w:p w:rsidR="00AE7F32" w:rsidRPr="00A67C76" w:rsidRDefault="00067352" w:rsidP="00807938">
      <w:pPr>
        <w:pStyle w:val="ListParagraph"/>
        <w:numPr>
          <w:ilvl w:val="0"/>
          <w:numId w:val="39"/>
        </w:numPr>
      </w:pPr>
      <w:r w:rsidRPr="00A67C76">
        <w:t>a</w:t>
      </w:r>
      <w:r w:rsidR="00AE7F32" w:rsidRPr="00A67C76">
        <w:t xml:space="preserve">n increase in water levels that leads to the inundation of larger areas of temporary wetlands and floodplains, or </w:t>
      </w:r>
    </w:p>
    <w:p w:rsidR="00AE7F32" w:rsidRPr="00A67C76" w:rsidRDefault="00067352" w:rsidP="00807938">
      <w:pPr>
        <w:pStyle w:val="ListParagraph"/>
        <w:numPr>
          <w:ilvl w:val="0"/>
          <w:numId w:val="39"/>
        </w:numPr>
      </w:pPr>
      <w:proofErr w:type="gramStart"/>
      <w:r w:rsidRPr="00A67C76">
        <w:t>l</w:t>
      </w:r>
      <w:r w:rsidR="00AE7F32" w:rsidRPr="00A67C76">
        <w:t>ocalised</w:t>
      </w:r>
      <w:proofErr w:type="gramEnd"/>
      <w:r w:rsidR="00AE7F32" w:rsidRPr="00A67C76">
        <w:t xml:space="preserve"> pumping into temporary wetlands and floodplain areas.</w:t>
      </w:r>
    </w:p>
    <w:p w:rsidR="00AE7F32" w:rsidRPr="00A67C76" w:rsidRDefault="00067352" w:rsidP="00807938">
      <w:pPr>
        <w:pStyle w:val="ListParagraph"/>
        <w:numPr>
          <w:ilvl w:val="0"/>
          <w:numId w:val="39"/>
        </w:numPr>
      </w:pPr>
      <w:proofErr w:type="gramStart"/>
      <w:r w:rsidRPr="00A67C76">
        <w:t>h</w:t>
      </w:r>
      <w:r w:rsidR="00AE7F32" w:rsidRPr="00A67C76">
        <w:t>owever</w:t>
      </w:r>
      <w:proofErr w:type="gramEnd"/>
      <w:r w:rsidR="00AE7F32" w:rsidRPr="00A67C76">
        <w:t xml:space="preserve">, the extent of inundation of vegetation as a result of the above events will be influenced by how watering and flows have impacted on the vegetation in the years or months preceding the planned event. </w:t>
      </w:r>
    </w:p>
    <w:p w:rsidR="003414CC" w:rsidRDefault="003414CC">
      <w:pPr>
        <w:spacing w:before="0" w:after="200" w:line="276" w:lineRule="auto"/>
        <w:rPr>
          <w:b/>
          <w:i/>
        </w:rPr>
      </w:pPr>
      <w:r>
        <w:rPr>
          <w:b/>
          <w:i/>
        </w:rPr>
        <w:br w:type="page"/>
      </w:r>
    </w:p>
    <w:p w:rsidR="00AE7F32" w:rsidRPr="00A67C76" w:rsidRDefault="00F32509" w:rsidP="00050F8D">
      <w:pPr>
        <w:rPr>
          <w:b/>
          <w:i/>
        </w:rPr>
      </w:pPr>
      <w:r>
        <w:rPr>
          <w:b/>
          <w:i/>
        </w:rPr>
        <w:t>Coorong</w:t>
      </w:r>
    </w:p>
    <w:p w:rsidR="00AE7F32" w:rsidRPr="00A67C76" w:rsidRDefault="00AE7F32" w:rsidP="00050F8D">
      <w:r w:rsidRPr="00A67C76">
        <w:t>The volumes of environmental water</w:t>
      </w:r>
      <w:r w:rsidR="00785F1F">
        <w:t xml:space="preserve"> currently</w:t>
      </w:r>
      <w:r w:rsidRPr="00A67C76">
        <w:t xml:space="preserve"> available will have </w:t>
      </w:r>
      <w:r w:rsidR="00B35580">
        <w:t>limited</w:t>
      </w:r>
      <w:r w:rsidR="009979CB" w:rsidRPr="00A67C76">
        <w:t xml:space="preserve"> </w:t>
      </w:r>
      <w:r w:rsidRPr="00A67C76">
        <w:t xml:space="preserve">benefit on </w:t>
      </w:r>
      <w:r w:rsidRPr="00A67C76">
        <w:rPr>
          <w:i/>
        </w:rPr>
        <w:t>Ruppia tuberosa</w:t>
      </w:r>
      <w:r w:rsidRPr="00A67C76">
        <w:t xml:space="preserve"> populations in the South Lagoon unless delivered in conjunction with an unregulated flow event.  Even in this situation the unregulated flow will need to be of sufficient duration to provide barrage outflows during November and early December and environmental water used to manage flow recession to reduce the rate of water level decline in the South Lagoon to reduce the risk of stranding.</w:t>
      </w:r>
      <w:r w:rsidR="00785F1F">
        <w:t xml:space="preserve"> For environmental flows alone to have a significant benefit much larger volumes of water will be required than are currently available.</w:t>
      </w:r>
    </w:p>
    <w:p w:rsidR="00AE7F32" w:rsidRPr="00A67C76" w:rsidRDefault="00AE7F32" w:rsidP="00050F8D">
      <w:r w:rsidRPr="00A67C76">
        <w:t xml:space="preserve">Freshwater inflow is pivotal in maintaining estuarine fish habitat and populations in the Coorong. Environmental watering could be managed to maintain the connectivity and extend barrage outflows to improve the quality and extent of fish habitat in the Coorong. </w:t>
      </w:r>
    </w:p>
    <w:p w:rsidR="00AE7F32" w:rsidRPr="00A67C76" w:rsidRDefault="00AE7F32" w:rsidP="00050F8D">
      <w:r w:rsidRPr="00A67C76">
        <w:t xml:space="preserve">Environmental watering during the summer months or in years with less barrage flows and higher salinity will provide a much larger effect of habitat improvement. </w:t>
      </w:r>
    </w:p>
    <w:p w:rsidR="00F32509" w:rsidRDefault="00AE7F32" w:rsidP="00050F8D">
      <w:r w:rsidRPr="00A67C76">
        <w:t xml:space="preserve">Flow delivery during late spring/summer is important as this period corresponds to the spawning and recruitment season of most estuarine fish species in the Coorong. Environmental flows could potentially help in maintaining </w:t>
      </w:r>
      <w:r w:rsidR="004E0976">
        <w:t xml:space="preserve">a </w:t>
      </w:r>
      <w:r w:rsidRPr="00A67C76">
        <w:t>favourable salinity gradient, enhancing productivity and improving connectivity to facilitate fish recruitment.</w:t>
      </w:r>
    </w:p>
    <w:p w:rsidR="00AE7F32" w:rsidRPr="00A67C76" w:rsidRDefault="00F32509" w:rsidP="00050F8D">
      <w:r>
        <w:t>Recommendations for future research and monitoring for the Lower Murray River and Coo</w:t>
      </w:r>
      <w:r w:rsidR="004E0976">
        <w:t>rong are provided in S</w:t>
      </w:r>
      <w:r>
        <w:t xml:space="preserve">ection 7. </w:t>
      </w:r>
      <w:r w:rsidR="00AE7F32" w:rsidRPr="00A67C76">
        <w:t xml:space="preserve">  </w:t>
      </w:r>
    </w:p>
    <w:p w:rsidR="00F32509" w:rsidRDefault="00F32509">
      <w:pPr>
        <w:spacing w:before="0" w:after="200" w:line="276" w:lineRule="auto"/>
        <w:rPr>
          <w:rFonts w:eastAsiaTheme="majorEastAsia" w:cstheme="majorBidi"/>
          <w:b/>
          <w:bCs/>
          <w:caps/>
          <w:color w:val="1F497D" w:themeColor="text2"/>
          <w:sz w:val="32"/>
          <w:szCs w:val="28"/>
        </w:rPr>
      </w:pPr>
      <w:bookmarkStart w:id="15" w:name="_Toc387843573"/>
      <w:r>
        <w:br w:type="page"/>
      </w:r>
    </w:p>
    <w:p w:rsidR="008229EE" w:rsidRPr="00A67C76" w:rsidRDefault="003E2B6B" w:rsidP="00F41737">
      <w:pPr>
        <w:pStyle w:val="Heading1"/>
      </w:pPr>
      <w:r w:rsidRPr="00A67C76">
        <w:t>Introduction</w:t>
      </w:r>
      <w:bookmarkEnd w:id="9"/>
      <w:bookmarkEnd w:id="10"/>
      <w:bookmarkEnd w:id="15"/>
    </w:p>
    <w:p w:rsidR="00A62C74" w:rsidRPr="00A67C76" w:rsidRDefault="00EE0B4B" w:rsidP="00F41737">
      <w:pPr>
        <w:pStyle w:val="Heading2"/>
      </w:pPr>
      <w:bookmarkStart w:id="16" w:name="_Toc381776097"/>
      <w:bookmarkStart w:id="17" w:name="_Toc387843574"/>
      <w:bookmarkStart w:id="18" w:name="_Toc353023400"/>
      <w:bookmarkStart w:id="19" w:name="_Toc353025181"/>
      <w:r w:rsidRPr="00A67C76">
        <w:t>General b</w:t>
      </w:r>
      <w:r w:rsidR="00A62C74" w:rsidRPr="00A67C76">
        <w:t>ackground</w:t>
      </w:r>
      <w:bookmarkEnd w:id="16"/>
      <w:bookmarkEnd w:id="17"/>
    </w:p>
    <w:p w:rsidR="00A62C74" w:rsidRPr="00A67C76" w:rsidRDefault="00A62C74" w:rsidP="00A62C74">
      <w:pPr>
        <w:autoSpaceDE w:val="0"/>
        <w:autoSpaceDN w:val="0"/>
        <w:adjustRightInd w:val="0"/>
        <w:ind w:right="-180"/>
      </w:pPr>
      <w:r w:rsidRPr="00A67C76">
        <w:t xml:space="preserve">River regulation and flow modification have severely impacted riverine ecosystems throughout the world </w:t>
      </w:r>
      <w:r w:rsidRPr="00A67C76">
        <w:rPr>
          <w:noProof/>
        </w:rPr>
        <w:t>(Kingsford 2000; Bunn and Arthington 2002; Tockner and Stanford 2002)</w:t>
      </w:r>
      <w:r w:rsidRPr="00A67C76">
        <w:t>. Natural flow regime</w:t>
      </w:r>
      <w:r w:rsidR="001A35CE" w:rsidRPr="00A67C76">
        <w:t>s</w:t>
      </w:r>
      <w:r w:rsidRPr="00A67C76">
        <w:t xml:space="preserve"> play a critical role in maintaining ecological integrity of </w:t>
      </w:r>
      <w:proofErr w:type="gramStart"/>
      <w:r w:rsidRPr="00A67C76">
        <w:t>floodplain rivers</w:t>
      </w:r>
      <w:proofErr w:type="gramEnd"/>
      <w:r w:rsidRPr="00A67C76">
        <w:t xml:space="preserve"> </w:t>
      </w:r>
      <w:r w:rsidRPr="00A67C76">
        <w:rPr>
          <w:noProof/>
          <w:lang w:eastAsia="en-AU"/>
        </w:rPr>
        <w:t>(Junk</w:t>
      </w:r>
      <w:r w:rsidRPr="00A67C76">
        <w:rPr>
          <w:i/>
          <w:noProof/>
          <w:lang w:eastAsia="en-AU"/>
        </w:rPr>
        <w:t xml:space="preserve"> et al.</w:t>
      </w:r>
      <w:r w:rsidRPr="00A67C76">
        <w:rPr>
          <w:noProof/>
          <w:lang w:eastAsia="en-AU"/>
        </w:rPr>
        <w:t xml:space="preserve"> 1989; Poff</w:t>
      </w:r>
      <w:r w:rsidRPr="00A67C76">
        <w:rPr>
          <w:i/>
          <w:noProof/>
          <w:lang w:eastAsia="en-AU"/>
        </w:rPr>
        <w:t xml:space="preserve"> et al.</w:t>
      </w:r>
      <w:r w:rsidRPr="00A67C76">
        <w:rPr>
          <w:noProof/>
          <w:lang w:eastAsia="en-AU"/>
        </w:rPr>
        <w:t xml:space="preserve"> 1997; Puckridge</w:t>
      </w:r>
      <w:r w:rsidRPr="00A67C76">
        <w:rPr>
          <w:i/>
          <w:noProof/>
          <w:lang w:eastAsia="en-AU"/>
        </w:rPr>
        <w:t xml:space="preserve"> et al.</w:t>
      </w:r>
      <w:r w:rsidRPr="00A67C76">
        <w:rPr>
          <w:noProof/>
          <w:lang w:eastAsia="en-AU"/>
        </w:rPr>
        <w:t xml:space="preserve"> 1998; Lytle and Poff 2004)</w:t>
      </w:r>
      <w:r w:rsidRPr="00A67C76">
        <w:rPr>
          <w:lang w:eastAsia="en-AU"/>
        </w:rPr>
        <w:t>.</w:t>
      </w:r>
      <w:r w:rsidRPr="00A67C76">
        <w:t xml:space="preserve"> Therefore</w:t>
      </w:r>
      <w:r w:rsidRPr="00A67C76">
        <w:rPr>
          <w:lang w:eastAsia="en-AU"/>
        </w:rPr>
        <w:t xml:space="preserve"> ecological restoration for river systems often involves environmental flow </w:t>
      </w:r>
      <w:r w:rsidR="006D2CBA" w:rsidRPr="00A67C76">
        <w:rPr>
          <w:lang w:eastAsia="en-AU"/>
        </w:rPr>
        <w:t xml:space="preserve">use </w:t>
      </w:r>
      <w:r w:rsidRPr="00A67C76">
        <w:rPr>
          <w:lang w:eastAsia="en-AU"/>
        </w:rPr>
        <w:t xml:space="preserve">to re-establish key components of the natural flow regime in order to restore important ecological processes and rehabilitate the ecosystem components (Poff </w:t>
      </w:r>
      <w:r w:rsidRPr="00A67C76">
        <w:rPr>
          <w:i/>
          <w:lang w:eastAsia="en-AU"/>
        </w:rPr>
        <w:t>et al.</w:t>
      </w:r>
      <w:r w:rsidRPr="00A67C76">
        <w:rPr>
          <w:lang w:eastAsia="en-AU"/>
        </w:rPr>
        <w:t xml:space="preserve"> 1997; </w:t>
      </w:r>
      <w:hyperlink w:anchor="_ENREF_10" w:tooltip="Arthington, 2006 #453" w:history="1">
        <w:r w:rsidRPr="00A67C76">
          <w:rPr>
            <w:noProof/>
            <w:lang w:eastAsia="en-AU"/>
          </w:rPr>
          <w:t>Arthington</w:t>
        </w:r>
        <w:r w:rsidRPr="00A67C76">
          <w:rPr>
            <w:i/>
            <w:noProof/>
            <w:lang w:eastAsia="en-AU"/>
          </w:rPr>
          <w:t xml:space="preserve"> et al.</w:t>
        </w:r>
        <w:r w:rsidRPr="00A67C76">
          <w:rPr>
            <w:noProof/>
            <w:lang w:eastAsia="en-AU"/>
          </w:rPr>
          <w:t xml:space="preserve"> 2006</w:t>
        </w:r>
      </w:hyperlink>
      <w:r w:rsidRPr="00A67C76">
        <w:rPr>
          <w:lang w:eastAsia="en-AU"/>
        </w:rPr>
        <w:t>). Understanding biological and ecological responses to flow regime</w:t>
      </w:r>
      <w:r w:rsidR="006E2A2E" w:rsidRPr="00A67C76">
        <w:rPr>
          <w:lang w:eastAsia="en-AU"/>
        </w:rPr>
        <w:t xml:space="preserve"> components</w:t>
      </w:r>
      <w:r w:rsidRPr="00A67C76">
        <w:rPr>
          <w:lang w:eastAsia="en-AU"/>
        </w:rPr>
        <w:t xml:space="preserve"> provides critical knowledge to underpin environmental flow management to a</w:t>
      </w:r>
      <w:r w:rsidR="00CB7D0A" w:rsidRPr="00A67C76">
        <w:rPr>
          <w:lang w:eastAsia="en-AU"/>
        </w:rPr>
        <w:t xml:space="preserve">chieve </w:t>
      </w:r>
      <w:r w:rsidR="00525D2C" w:rsidRPr="00A67C76">
        <w:rPr>
          <w:lang w:eastAsia="en-AU"/>
        </w:rPr>
        <w:t xml:space="preserve">the </w:t>
      </w:r>
      <w:r w:rsidR="00CB7D0A" w:rsidRPr="00A67C76">
        <w:rPr>
          <w:lang w:eastAsia="en-AU"/>
        </w:rPr>
        <w:t>best ecological outcomes</w:t>
      </w:r>
      <w:r w:rsidRPr="00A67C76">
        <w:t xml:space="preserve"> </w:t>
      </w:r>
      <w:r w:rsidRPr="00A67C76">
        <w:rPr>
          <w:noProof/>
        </w:rPr>
        <w:t xml:space="preserve">(Walker </w:t>
      </w:r>
      <w:r w:rsidRPr="00A67C76">
        <w:rPr>
          <w:i/>
          <w:noProof/>
        </w:rPr>
        <w:t xml:space="preserve"> et al.</w:t>
      </w:r>
      <w:r w:rsidRPr="00A67C76">
        <w:rPr>
          <w:noProof/>
        </w:rPr>
        <w:t xml:space="preserve"> 1995; Arthington</w:t>
      </w:r>
      <w:r w:rsidRPr="00A67C76">
        <w:rPr>
          <w:i/>
          <w:noProof/>
        </w:rPr>
        <w:t xml:space="preserve"> et al.</w:t>
      </w:r>
      <w:r w:rsidRPr="00A67C76">
        <w:rPr>
          <w:noProof/>
        </w:rPr>
        <w:t xml:space="preserve"> 2006)</w:t>
      </w:r>
      <w:r w:rsidRPr="00A67C76">
        <w:t>.</w:t>
      </w:r>
    </w:p>
    <w:p w:rsidR="0067231F" w:rsidRPr="00A67C76" w:rsidRDefault="0067231F" w:rsidP="00A62C74">
      <w:pPr>
        <w:autoSpaceDE w:val="0"/>
        <w:autoSpaceDN w:val="0"/>
        <w:adjustRightInd w:val="0"/>
        <w:ind w:right="-180"/>
        <w:rPr>
          <w:rFonts w:ascii="Garamond" w:hAnsi="Garamond"/>
        </w:rPr>
      </w:pPr>
      <w:r w:rsidRPr="00A67C76">
        <w:t xml:space="preserve">The </w:t>
      </w:r>
      <w:r w:rsidR="006E2A2E" w:rsidRPr="00A67C76">
        <w:t>L</w:t>
      </w:r>
      <w:r w:rsidRPr="00A67C76">
        <w:t>ower Murray River represents a significant ecological asset to be targeted for environmental flows</w:t>
      </w:r>
      <w:r w:rsidR="00466752">
        <w:t xml:space="preserve"> (DEWNR 2013)</w:t>
      </w:r>
      <w:r w:rsidRPr="00A67C76">
        <w:t xml:space="preserve">. The complex system includes the main river channel, anabranches, floodplain/wetlands, billabongs, stream tributaries and the Lower Lakes, Coorong and Murray Mouth ecosystem, which provide a range of water dependent habitats and support significant flora and fauna. </w:t>
      </w:r>
      <w:r w:rsidR="006E2A2E" w:rsidRPr="00A67C76">
        <w:rPr>
          <w:szCs w:val="24"/>
        </w:rPr>
        <w:t>The distribution and abundance of all aquatic biota</w:t>
      </w:r>
      <w:r w:rsidR="006E2A2E" w:rsidRPr="00A67C76">
        <w:t xml:space="preserve"> is influenced by the f</w:t>
      </w:r>
      <w:r w:rsidRPr="00A67C76">
        <w:t>low regime</w:t>
      </w:r>
      <w:r w:rsidR="006E2A2E" w:rsidRPr="00A67C76">
        <w:t xml:space="preserve"> which </w:t>
      </w:r>
      <w:r w:rsidRPr="00A67C76">
        <w:t>plays an overarching role in driving riverine</w:t>
      </w:r>
      <w:r w:rsidRPr="00A67C76">
        <w:rPr>
          <w:szCs w:val="24"/>
        </w:rPr>
        <w:t xml:space="preserve"> ecosystem structure and function </w:t>
      </w:r>
      <w:r w:rsidRPr="00A67C76">
        <w:rPr>
          <w:rFonts w:cstheme="minorHAnsi"/>
          <w:noProof/>
          <w:szCs w:val="24"/>
        </w:rPr>
        <w:t>(Poff and Allan 1995; Sparks</w:t>
      </w:r>
      <w:r w:rsidRPr="00A67C76">
        <w:rPr>
          <w:rFonts w:cstheme="minorHAnsi"/>
          <w:i/>
          <w:noProof/>
          <w:szCs w:val="24"/>
        </w:rPr>
        <w:t xml:space="preserve"> et al.</w:t>
      </w:r>
      <w:r w:rsidRPr="00A67C76">
        <w:rPr>
          <w:rFonts w:cstheme="minorHAnsi"/>
          <w:noProof/>
          <w:szCs w:val="24"/>
        </w:rPr>
        <w:t xml:space="preserve"> 1998)</w:t>
      </w:r>
      <w:r w:rsidRPr="00A67C76">
        <w:rPr>
          <w:szCs w:val="24"/>
        </w:rPr>
        <w:t>.  During the recent decadal drought in the M</w:t>
      </w:r>
      <w:r w:rsidR="006E2A2E" w:rsidRPr="00A67C76">
        <w:rPr>
          <w:szCs w:val="24"/>
        </w:rPr>
        <w:t>urray–</w:t>
      </w:r>
      <w:r w:rsidRPr="00A67C76">
        <w:rPr>
          <w:szCs w:val="24"/>
        </w:rPr>
        <w:t>D</w:t>
      </w:r>
      <w:r w:rsidR="006E2A2E" w:rsidRPr="00A67C76">
        <w:rPr>
          <w:szCs w:val="24"/>
        </w:rPr>
        <w:t xml:space="preserve">arling </w:t>
      </w:r>
      <w:r w:rsidRPr="00A67C76">
        <w:rPr>
          <w:szCs w:val="24"/>
        </w:rPr>
        <w:t>B</w:t>
      </w:r>
      <w:r w:rsidR="006E2A2E" w:rsidRPr="00A67C76">
        <w:rPr>
          <w:szCs w:val="24"/>
        </w:rPr>
        <w:t>asin</w:t>
      </w:r>
      <w:r w:rsidRPr="00A67C76">
        <w:rPr>
          <w:szCs w:val="24"/>
        </w:rPr>
        <w:t xml:space="preserve"> </w:t>
      </w:r>
      <w:r w:rsidR="006B4D99" w:rsidRPr="00A67C76">
        <w:rPr>
          <w:szCs w:val="24"/>
        </w:rPr>
        <w:t xml:space="preserve">(MDB) </w:t>
      </w:r>
      <w:r w:rsidRPr="00A67C76">
        <w:rPr>
          <w:szCs w:val="24"/>
        </w:rPr>
        <w:t xml:space="preserve">(2001-2010), the ecosystem of the </w:t>
      </w:r>
      <w:r w:rsidR="006E2A2E" w:rsidRPr="00A67C76">
        <w:rPr>
          <w:szCs w:val="24"/>
        </w:rPr>
        <w:t>L</w:t>
      </w:r>
      <w:r w:rsidRPr="00A67C76">
        <w:rPr>
          <w:szCs w:val="24"/>
        </w:rPr>
        <w:t xml:space="preserve">ower Murray River was under severe stress; much of the biota declined and the resilience of the ecosystem was compromised </w:t>
      </w:r>
      <w:r w:rsidRPr="00A67C76">
        <w:rPr>
          <w:noProof/>
          <w:szCs w:val="24"/>
        </w:rPr>
        <w:t>(e.g. Noell</w:t>
      </w:r>
      <w:r w:rsidRPr="00A67C76">
        <w:rPr>
          <w:i/>
          <w:noProof/>
          <w:szCs w:val="24"/>
        </w:rPr>
        <w:t xml:space="preserve"> et al.</w:t>
      </w:r>
      <w:r w:rsidRPr="00A67C76">
        <w:rPr>
          <w:noProof/>
          <w:szCs w:val="24"/>
        </w:rPr>
        <w:t xml:space="preserve"> 2009; Nicol 2010; Zampatti</w:t>
      </w:r>
      <w:r w:rsidRPr="00A67C76">
        <w:rPr>
          <w:i/>
          <w:noProof/>
          <w:szCs w:val="24"/>
        </w:rPr>
        <w:t xml:space="preserve"> et al.</w:t>
      </w:r>
      <w:r w:rsidRPr="00A67C76">
        <w:rPr>
          <w:noProof/>
          <w:szCs w:val="24"/>
        </w:rPr>
        <w:t xml:space="preserve"> 2010)</w:t>
      </w:r>
      <w:r w:rsidRPr="00A67C76">
        <w:rPr>
          <w:szCs w:val="24"/>
        </w:rPr>
        <w:t xml:space="preserve">. A natural flood in late 2010 and the following year’s high flows with environmental water </w:t>
      </w:r>
      <w:r w:rsidR="006D2CBA" w:rsidRPr="00A67C76">
        <w:rPr>
          <w:szCs w:val="24"/>
        </w:rPr>
        <w:t xml:space="preserve">deliveries </w:t>
      </w:r>
      <w:r w:rsidRPr="00A67C76">
        <w:rPr>
          <w:szCs w:val="24"/>
        </w:rPr>
        <w:t xml:space="preserve">have led to some positive signs of ecological recovery </w:t>
      </w:r>
      <w:r w:rsidRPr="00A67C76">
        <w:rPr>
          <w:noProof/>
          <w:szCs w:val="24"/>
        </w:rPr>
        <w:t>(e.g. Gehrig</w:t>
      </w:r>
      <w:r w:rsidRPr="00A67C76">
        <w:rPr>
          <w:i/>
          <w:noProof/>
          <w:szCs w:val="24"/>
        </w:rPr>
        <w:t xml:space="preserve"> et al.</w:t>
      </w:r>
      <w:r w:rsidRPr="00A67C76">
        <w:rPr>
          <w:noProof/>
          <w:szCs w:val="24"/>
        </w:rPr>
        <w:t xml:space="preserve"> 2012; Nicol</w:t>
      </w:r>
      <w:r w:rsidRPr="00A67C76">
        <w:rPr>
          <w:i/>
          <w:noProof/>
          <w:szCs w:val="24"/>
        </w:rPr>
        <w:t xml:space="preserve"> et al.</w:t>
      </w:r>
      <w:r w:rsidRPr="00A67C76">
        <w:rPr>
          <w:noProof/>
          <w:szCs w:val="24"/>
        </w:rPr>
        <w:t xml:space="preserve"> 2013</w:t>
      </w:r>
      <w:r w:rsidR="00770D82" w:rsidRPr="00A67C76">
        <w:rPr>
          <w:noProof/>
          <w:szCs w:val="24"/>
        </w:rPr>
        <w:t>; Ye</w:t>
      </w:r>
      <w:r w:rsidR="00770D82" w:rsidRPr="00A67C76">
        <w:rPr>
          <w:i/>
          <w:noProof/>
          <w:szCs w:val="24"/>
        </w:rPr>
        <w:t xml:space="preserve"> et al.</w:t>
      </w:r>
      <w:r w:rsidR="00770D82" w:rsidRPr="00A67C76">
        <w:rPr>
          <w:noProof/>
          <w:szCs w:val="24"/>
        </w:rPr>
        <w:t xml:space="preserve"> 2013</w:t>
      </w:r>
      <w:r w:rsidR="00B54230" w:rsidRPr="00A67C76">
        <w:rPr>
          <w:noProof/>
          <w:szCs w:val="24"/>
        </w:rPr>
        <w:t>c</w:t>
      </w:r>
      <w:r w:rsidRPr="00A67C76">
        <w:rPr>
          <w:noProof/>
          <w:szCs w:val="24"/>
        </w:rPr>
        <w:t>)</w:t>
      </w:r>
      <w:r w:rsidRPr="00A67C76">
        <w:rPr>
          <w:szCs w:val="24"/>
        </w:rPr>
        <w:t xml:space="preserve">. </w:t>
      </w:r>
    </w:p>
    <w:p w:rsidR="00A62C74" w:rsidRPr="00A67C76" w:rsidRDefault="009178AF" w:rsidP="00A62C74">
      <w:r>
        <w:t>Since 2011-12, s</w:t>
      </w:r>
      <w:r w:rsidR="00A62C74" w:rsidRPr="00A67C76">
        <w:t xml:space="preserve">ignificant volumes of Commonwealth environmental water have been delivered to the </w:t>
      </w:r>
      <w:r w:rsidR="00EE6B16" w:rsidRPr="00A67C76">
        <w:t>Lower Murray</w:t>
      </w:r>
      <w:r w:rsidR="00525D2C" w:rsidRPr="00A67C76">
        <w:t xml:space="preserve"> River</w:t>
      </w:r>
      <w:r w:rsidR="00A62C74" w:rsidRPr="00A67C76">
        <w:t>, Lower Lakes and Coorong</w:t>
      </w:r>
      <w:r w:rsidR="00180711" w:rsidRPr="00180711">
        <w:t>,</w:t>
      </w:r>
      <w:r w:rsidR="00A62C74" w:rsidRPr="00A67C76">
        <w:t xml:space="preserve"> in conjunction with other environmental flows (e.g. flows through the Murray-Darling Basin Authority </w:t>
      </w:r>
      <w:proofErr w:type="gramStart"/>
      <w:r w:rsidR="00A62C74" w:rsidRPr="00A67C76">
        <w:t>The</w:t>
      </w:r>
      <w:proofErr w:type="gramEnd"/>
      <w:r w:rsidR="00A62C74" w:rsidRPr="00A67C76">
        <w:t xml:space="preserve"> Living Murray Initiative), to facilitate ecosystem recovery post drought and restore ecological health (www.environment.gov.au/ewater/). The flow releases to South Australia were coordinated through a series of watering events across the southern connected Basin to achieve multi-site environmental outcomes </w:t>
      </w:r>
      <w:r w:rsidR="00D42F91" w:rsidRPr="00A67C76">
        <w:t>(</w:t>
      </w:r>
      <w:r w:rsidR="00A62C74" w:rsidRPr="00A67C76">
        <w:t>www.environment.gov.au/ewater/).</w:t>
      </w:r>
    </w:p>
    <w:p w:rsidR="00A62C74" w:rsidRPr="00A67C76" w:rsidRDefault="00A62C74" w:rsidP="00F41737">
      <w:pPr>
        <w:pStyle w:val="Heading2"/>
      </w:pPr>
      <w:bookmarkStart w:id="20" w:name="_Toc381776098"/>
      <w:bookmarkStart w:id="21" w:name="_Ref381795585"/>
      <w:bookmarkStart w:id="22" w:name="_Toc387843575"/>
      <w:bookmarkStart w:id="23" w:name="_Ref387847824"/>
      <w:r w:rsidRPr="00A67C76">
        <w:t>Hydrology</w:t>
      </w:r>
      <w:bookmarkEnd w:id="20"/>
      <w:bookmarkEnd w:id="21"/>
      <w:bookmarkEnd w:id="22"/>
      <w:bookmarkEnd w:id="23"/>
    </w:p>
    <w:p w:rsidR="004223DB" w:rsidRPr="00A67C76" w:rsidRDefault="004223DB" w:rsidP="004223DB">
      <w:r w:rsidRPr="00A67C76">
        <w:t>The MDB is a highly regulated river system, particularly in the southern Basin, where the natural flow regimes have been substantially modified, leading to decreased hydrological variability, increased water level stability and reduced floodplain inundation (Maheshwari</w:t>
      </w:r>
      <w:r w:rsidRPr="00A67C76">
        <w:rPr>
          <w:i/>
        </w:rPr>
        <w:t xml:space="preserve"> et al.</w:t>
      </w:r>
      <w:r w:rsidRPr="00A67C76">
        <w:t xml:space="preserve"> 1995; Richter</w:t>
      </w:r>
      <w:r w:rsidRPr="00A67C76">
        <w:rPr>
          <w:i/>
        </w:rPr>
        <w:t xml:space="preserve"> et al.</w:t>
      </w:r>
      <w:r w:rsidRPr="00A67C76">
        <w:t xml:space="preserve"> 1996). The Lower Murray River is heavily modified by upstream diversions and extraction, and a series of 11 low-level (&lt;3 m) weirs constructed in the 1930s-1940s, changing a connected flowing river to a series of weir pools (Walker 2006). Consequently, there has been a profound impact on riverine processes and the ecological community in the Lower Murray River (Walker 1985; Walker and Thoms 1993). </w:t>
      </w:r>
    </w:p>
    <w:p w:rsidR="00F7470C" w:rsidRPr="00A67C76" w:rsidRDefault="00F7470C" w:rsidP="00A62C74">
      <w:r w:rsidRPr="00A67C76">
        <w:t>From 1996 to 2010 the MDB experienced a severe drought</w:t>
      </w:r>
      <w:r w:rsidR="001D5F6D" w:rsidRPr="00A67C76">
        <w:t>;</w:t>
      </w:r>
      <w:r w:rsidRPr="00A67C76">
        <w:t xml:space="preserve"> inflows into the Murray River system were approximately 40% of the historical mean (MDBA 2011). </w:t>
      </w:r>
      <w:r w:rsidR="004E3546" w:rsidRPr="00A67C76">
        <w:t xml:space="preserve">The drought was broken in late 2010 by a </w:t>
      </w:r>
      <w:r w:rsidR="00B300D1" w:rsidRPr="00A67C76">
        <w:t>significant overbank flow</w:t>
      </w:r>
      <w:r w:rsidR="004E3546" w:rsidRPr="00A67C76">
        <w:t>, reaching a peak of</w:t>
      </w:r>
      <w:r w:rsidRPr="00A67C76">
        <w:t xml:space="preserve"> approximately 93,000 </w:t>
      </w:r>
      <w:r w:rsidR="00FD328A">
        <w:t>ML day</w:t>
      </w:r>
      <w:r w:rsidRPr="00A67C76">
        <w:rPr>
          <w:vertAlign w:val="superscript"/>
        </w:rPr>
        <w:t>-1</w:t>
      </w:r>
      <w:r w:rsidRPr="00A67C76">
        <w:t xml:space="preserve"> </w:t>
      </w:r>
      <w:r w:rsidR="004E3546" w:rsidRPr="00A67C76">
        <w:t>in February 2011</w:t>
      </w:r>
      <w:r w:rsidR="006B4D99" w:rsidRPr="00A67C76">
        <w:t xml:space="preserve"> </w:t>
      </w:r>
      <w:r w:rsidRPr="00A67C76">
        <w:t xml:space="preserve">in the Lower Murray River.  </w:t>
      </w:r>
      <w:r w:rsidR="00B300D1" w:rsidRPr="00A67C76">
        <w:t xml:space="preserve">In </w:t>
      </w:r>
      <w:r w:rsidR="00ED2647" w:rsidRPr="00A67C76">
        <w:t xml:space="preserve">the </w:t>
      </w:r>
      <w:r w:rsidR="00B300D1" w:rsidRPr="00A67C76">
        <w:t>s</w:t>
      </w:r>
      <w:r w:rsidRPr="00A67C76">
        <w:t>ubsequent</w:t>
      </w:r>
      <w:r w:rsidR="00B300D1" w:rsidRPr="00A67C76">
        <w:t xml:space="preserve"> two years, flow remained </w:t>
      </w:r>
      <w:r w:rsidRPr="00A67C76">
        <w:t xml:space="preserve">high </w:t>
      </w:r>
      <w:r w:rsidR="00B300D1" w:rsidRPr="00A67C76">
        <w:t>although largely confine</w:t>
      </w:r>
      <w:r w:rsidR="006B4D99" w:rsidRPr="00A67C76">
        <w:t>d</w:t>
      </w:r>
      <w:r w:rsidR="00B300D1" w:rsidRPr="00A67C76">
        <w:t xml:space="preserve"> </w:t>
      </w:r>
      <w:r w:rsidRPr="00A67C76">
        <w:t xml:space="preserve">within </w:t>
      </w:r>
      <w:r w:rsidR="00B300D1" w:rsidRPr="00A67C76">
        <w:t xml:space="preserve">the </w:t>
      </w:r>
      <w:r w:rsidRPr="00A67C76">
        <w:t>channel</w:t>
      </w:r>
      <w:r w:rsidR="00B300D1" w:rsidRPr="00A67C76">
        <w:t xml:space="preserve"> (</w:t>
      </w:r>
      <w:r w:rsidR="007565B5" w:rsidRPr="00A67C76">
        <w:t>&lt;</w:t>
      </w:r>
      <w:r w:rsidR="00D54254" w:rsidRPr="00A67C76">
        <w:t xml:space="preserve"> </w:t>
      </w:r>
      <w:r w:rsidR="00936D24" w:rsidRPr="00A67C76">
        <w:t>5</w:t>
      </w:r>
      <w:r w:rsidR="00D54254" w:rsidRPr="00A67C76">
        <w:t xml:space="preserve">0,000 </w:t>
      </w:r>
      <w:r w:rsidR="00FD328A">
        <w:t>ML day</w:t>
      </w:r>
      <w:r w:rsidR="00D54254" w:rsidRPr="00A67C76">
        <w:rPr>
          <w:vertAlign w:val="superscript"/>
        </w:rPr>
        <w:t>-1</w:t>
      </w:r>
      <w:proofErr w:type="gramStart"/>
      <w:r w:rsidR="00936D24" w:rsidRPr="00A67C76">
        <w:t>)</w:t>
      </w:r>
      <w:r w:rsidR="00D54254" w:rsidRPr="00A67C76">
        <w:t>(</w:t>
      </w:r>
      <w:proofErr w:type="gramEnd"/>
      <w:r w:rsidR="002E6077" w:rsidRPr="00A67C76">
        <w:fldChar w:fldCharType="begin"/>
      </w:r>
      <w:r w:rsidR="00BC4A40" w:rsidRPr="00A67C76">
        <w:instrText xml:space="preserve"> REF _Ref387827310 \h </w:instrText>
      </w:r>
      <w:r w:rsidR="002E6077" w:rsidRPr="00A67C76">
        <w:fldChar w:fldCharType="separate"/>
      </w:r>
      <w:r w:rsidR="009659F2" w:rsidRPr="00A67C76">
        <w:t xml:space="preserve">Figure </w:t>
      </w:r>
      <w:r w:rsidR="009659F2">
        <w:rPr>
          <w:noProof/>
        </w:rPr>
        <w:t>1</w:t>
      </w:r>
      <w:r w:rsidR="002E6077" w:rsidRPr="00A67C76">
        <w:fldChar w:fldCharType="end"/>
      </w:r>
      <w:r w:rsidR="00D54254" w:rsidRPr="00A67C76">
        <w:t>).</w:t>
      </w:r>
      <w:r w:rsidRPr="00A67C76">
        <w:t xml:space="preserve"> </w:t>
      </w:r>
    </w:p>
    <w:p w:rsidR="00D54254" w:rsidRPr="00A67C76" w:rsidRDefault="000C50A6" w:rsidP="00F914C8">
      <w:pPr>
        <w:pStyle w:val="Captions"/>
      </w:pPr>
      <w:bookmarkStart w:id="24" w:name="_Ref387827310"/>
      <w:r w:rsidRPr="00A67C76">
        <w:rPr>
          <w:noProof/>
          <w:lang w:val="en-AU" w:eastAsia="en-AU"/>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5895340" cy="4379595"/>
            <wp:effectExtent l="19050" t="0" r="0" b="0"/>
            <wp:wrapTopAndBottom/>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email"/>
                    <a:srcRect/>
                    <a:stretch>
                      <a:fillRect/>
                    </a:stretch>
                  </pic:blipFill>
                  <pic:spPr bwMode="auto">
                    <a:xfrm>
                      <a:off x="0" y="0"/>
                      <a:ext cx="5895340" cy="4379595"/>
                    </a:xfrm>
                    <a:prstGeom prst="rect">
                      <a:avLst/>
                    </a:prstGeom>
                    <a:noFill/>
                    <a:ln w="9525">
                      <a:noFill/>
                      <a:miter lim="800000"/>
                      <a:headEnd/>
                      <a:tailEnd/>
                    </a:ln>
                  </pic:spPr>
                </pic:pic>
              </a:graphicData>
            </a:graphic>
          </wp:anchor>
        </w:drawing>
      </w:r>
      <w:bookmarkStart w:id="25" w:name="_Toc387843052"/>
      <w:proofErr w:type="gramStart"/>
      <w:r w:rsidR="00D54254" w:rsidRPr="00A67C76">
        <w:t xml:space="preserve">Figure </w:t>
      </w:r>
      <w:proofErr w:type="gramEnd"/>
      <w:r w:rsidR="002E6077" w:rsidRPr="00A67C76">
        <w:fldChar w:fldCharType="begin"/>
      </w:r>
      <w:r w:rsidR="006B4D99" w:rsidRPr="00A67C76">
        <w:instrText xml:space="preserve"> SEQ Figure \* ARABIC </w:instrText>
      </w:r>
      <w:r w:rsidR="002E6077" w:rsidRPr="00A67C76">
        <w:fldChar w:fldCharType="separate"/>
      </w:r>
      <w:r w:rsidR="009659F2">
        <w:rPr>
          <w:noProof/>
        </w:rPr>
        <w:t>1</w:t>
      </w:r>
      <w:r w:rsidR="002E6077" w:rsidRPr="00A67C76">
        <w:rPr>
          <w:noProof/>
        </w:rPr>
        <w:fldChar w:fldCharType="end"/>
      </w:r>
      <w:bookmarkEnd w:id="24"/>
      <w:proofErr w:type="gramStart"/>
      <w:r w:rsidR="00606176" w:rsidRPr="00A67C76">
        <w:rPr>
          <w:noProof/>
        </w:rPr>
        <w:t>.</w:t>
      </w:r>
      <w:proofErr w:type="gramEnd"/>
      <w:r w:rsidR="00C70A31" w:rsidRPr="00A67C76">
        <w:t xml:space="preserve"> </w:t>
      </w:r>
      <w:proofErr w:type="gramStart"/>
      <w:r w:rsidR="00C70A31" w:rsidRPr="00A67C76">
        <w:t>Daily flow (</w:t>
      </w:r>
      <w:r w:rsidR="00FD328A">
        <w:t>ML day</w:t>
      </w:r>
      <w:r w:rsidR="00C70A31" w:rsidRPr="00A67C76">
        <w:rPr>
          <w:vertAlign w:val="superscript"/>
        </w:rPr>
        <w:t>-1</w:t>
      </w:r>
      <w:r w:rsidR="00C70A31" w:rsidRPr="00A67C76">
        <w:t>) in the Lower Murray River at the South Australian border from January 1996 to April 2013.</w:t>
      </w:r>
      <w:bookmarkEnd w:id="25"/>
      <w:proofErr w:type="gramEnd"/>
      <w:r w:rsidR="00180711">
        <w:t xml:space="preserve"> Dotted line represented approximate bankfull flow in the main channel of the Lower Murray River.</w:t>
      </w:r>
    </w:p>
    <w:p w:rsidR="00791CE3" w:rsidRPr="00A67C76" w:rsidRDefault="00791CE3" w:rsidP="00A62C74">
      <w:r w:rsidRPr="00A67C76">
        <w:t xml:space="preserve">In </w:t>
      </w:r>
      <w:r w:rsidR="00333041" w:rsidRPr="00A67C76">
        <w:t>2012</w:t>
      </w:r>
      <w:r w:rsidR="00FD328A" w:rsidRPr="00FD328A">
        <w:t>-13</w:t>
      </w:r>
      <w:r w:rsidRPr="00A67C76">
        <w:t xml:space="preserve"> there was unregulated flow to South Australia throughout the winter</w:t>
      </w:r>
      <w:r w:rsidR="00936D24" w:rsidRPr="00A67C76">
        <w:t>,</w:t>
      </w:r>
      <w:r w:rsidRPr="00A67C76">
        <w:t xml:space="preserve"> reaching </w:t>
      </w:r>
      <w:r w:rsidR="00122788" w:rsidRPr="00A67C76">
        <w:t>~</w:t>
      </w:r>
      <w:r w:rsidRPr="00A67C76">
        <w:t>50,000</w:t>
      </w:r>
      <w:r w:rsidR="00A62C74" w:rsidRPr="00A67C76">
        <w:t xml:space="preserve"> </w:t>
      </w:r>
      <w:r w:rsidR="00FD328A">
        <w:t>ML day</w:t>
      </w:r>
      <w:r w:rsidRPr="00A67C76">
        <w:rPr>
          <w:vertAlign w:val="superscript"/>
        </w:rPr>
        <w:t>-1</w:t>
      </w:r>
      <w:r w:rsidRPr="00A67C76">
        <w:t xml:space="preserve"> </w:t>
      </w:r>
      <w:r w:rsidR="00122788" w:rsidRPr="00A67C76">
        <w:t xml:space="preserve">in late September. This was followed by a steep drop </w:t>
      </w:r>
      <w:r w:rsidRPr="00A67C76">
        <w:t xml:space="preserve">in October </w:t>
      </w:r>
      <w:r w:rsidR="00122788" w:rsidRPr="00A67C76">
        <w:t xml:space="preserve">to ~20,000 </w:t>
      </w:r>
      <w:r w:rsidR="00FD328A">
        <w:t>ML day</w:t>
      </w:r>
      <w:r w:rsidR="00122788" w:rsidRPr="00A67C76">
        <w:rPr>
          <w:vertAlign w:val="superscript"/>
        </w:rPr>
        <w:t>-1</w:t>
      </w:r>
      <w:r w:rsidR="00122788" w:rsidRPr="00A67C76">
        <w:t xml:space="preserve"> </w:t>
      </w:r>
      <w:r w:rsidR="00BE1D7A" w:rsidRPr="00A67C76">
        <w:t>(</w:t>
      </w:r>
      <w:r w:rsidR="002E6077" w:rsidRPr="00A67C76">
        <w:fldChar w:fldCharType="begin"/>
      </w:r>
      <w:r w:rsidR="00BE1D7A" w:rsidRPr="00A67C76">
        <w:instrText xml:space="preserve"> REF _Ref387827310 \h </w:instrText>
      </w:r>
      <w:r w:rsidR="002E6077" w:rsidRPr="00A67C76">
        <w:fldChar w:fldCharType="separate"/>
      </w:r>
      <w:r w:rsidR="009659F2" w:rsidRPr="00A67C76">
        <w:t xml:space="preserve">Figure </w:t>
      </w:r>
      <w:r w:rsidR="009659F2">
        <w:rPr>
          <w:noProof/>
        </w:rPr>
        <w:t>1</w:t>
      </w:r>
      <w:r w:rsidR="002E6077" w:rsidRPr="00A67C76">
        <w:fldChar w:fldCharType="end"/>
      </w:r>
      <w:r w:rsidRPr="00A67C76">
        <w:t xml:space="preserve">). Following the drop of unregulated </w:t>
      </w:r>
      <w:r w:rsidR="00172975" w:rsidRPr="00A67C76">
        <w:t>flow</w:t>
      </w:r>
      <w:r w:rsidRPr="00A67C76">
        <w:t xml:space="preserve"> there were a series of environmental water deliveries that maintained </w:t>
      </w:r>
      <w:r w:rsidR="00172975" w:rsidRPr="00A67C76">
        <w:t xml:space="preserve">river </w:t>
      </w:r>
      <w:r w:rsidRPr="00A67C76">
        <w:t>flow at ~</w:t>
      </w:r>
      <w:r w:rsidR="00122788" w:rsidRPr="00A67C76">
        <w:t>15</w:t>
      </w:r>
      <w:r w:rsidRPr="00A67C76">
        <w:t>,000</w:t>
      </w:r>
      <w:r w:rsidR="00180711">
        <w:t> </w:t>
      </w:r>
      <w:r w:rsidR="00FD328A">
        <w:t>ML day</w:t>
      </w:r>
      <w:r w:rsidRPr="00A67C76">
        <w:rPr>
          <w:vertAlign w:val="superscript"/>
        </w:rPr>
        <w:t>-1</w:t>
      </w:r>
      <w:r w:rsidRPr="00A67C76">
        <w:t xml:space="preserve"> during November </w:t>
      </w:r>
      <w:r w:rsidR="002B777C" w:rsidRPr="00A67C76">
        <w:t>and created a flow</w:t>
      </w:r>
      <w:r w:rsidR="00EC5B8A" w:rsidRPr="00A67C76">
        <w:t xml:space="preserve"> </w:t>
      </w:r>
      <w:r w:rsidR="002B777C" w:rsidRPr="00A67C76">
        <w:t>pulse</w:t>
      </w:r>
      <w:r w:rsidR="00506AC9" w:rsidRPr="00A67C76">
        <w:t xml:space="preserve"> of ~19</w:t>
      </w:r>
      <w:r w:rsidR="002B777C" w:rsidRPr="00A67C76">
        <w:t xml:space="preserve">,000 </w:t>
      </w:r>
      <w:r w:rsidR="00FD328A">
        <w:t>ML day</w:t>
      </w:r>
      <w:r w:rsidR="002B777C" w:rsidRPr="00A67C76">
        <w:rPr>
          <w:vertAlign w:val="superscript"/>
        </w:rPr>
        <w:t>-1</w:t>
      </w:r>
      <w:r w:rsidR="001B4806" w:rsidRPr="00A67C76">
        <w:t xml:space="preserve"> in December</w:t>
      </w:r>
      <w:r w:rsidR="00BE1D7A" w:rsidRPr="00A67C76">
        <w:t xml:space="preserve"> (</w:t>
      </w:r>
      <w:r w:rsidR="002E6077" w:rsidRPr="00A67C76">
        <w:fldChar w:fldCharType="begin"/>
      </w:r>
      <w:r w:rsidR="00BE1D7A" w:rsidRPr="00A67C76">
        <w:instrText xml:space="preserve"> REF _Ref387827372 \h </w:instrText>
      </w:r>
      <w:r w:rsidR="002E6077" w:rsidRPr="00A67C76">
        <w:fldChar w:fldCharType="separate"/>
      </w:r>
      <w:r w:rsidR="009659F2" w:rsidRPr="00A67C76">
        <w:t xml:space="preserve">Figure </w:t>
      </w:r>
      <w:r w:rsidR="009659F2">
        <w:rPr>
          <w:noProof/>
        </w:rPr>
        <w:t>2</w:t>
      </w:r>
      <w:r w:rsidR="002E6077" w:rsidRPr="00A67C76">
        <w:fldChar w:fldCharType="end"/>
      </w:r>
      <w:r w:rsidR="00BE1D7A" w:rsidRPr="00A67C76">
        <w:t>)</w:t>
      </w:r>
      <w:r w:rsidR="002B777C" w:rsidRPr="00A67C76">
        <w:t xml:space="preserve">. From January onwards flows remained around or below 10,000 </w:t>
      </w:r>
      <w:r w:rsidR="00FD328A">
        <w:t>ML day</w:t>
      </w:r>
      <w:r w:rsidR="002B777C" w:rsidRPr="00A67C76">
        <w:rPr>
          <w:vertAlign w:val="superscript"/>
        </w:rPr>
        <w:t>-1</w:t>
      </w:r>
      <w:r w:rsidR="00394A5F" w:rsidRPr="00A67C76">
        <w:t xml:space="preserve"> even with continued environmental water delivery to the Lower Murray River. </w:t>
      </w:r>
    </w:p>
    <w:p w:rsidR="0067231F" w:rsidRPr="00A67C76" w:rsidRDefault="002B777C" w:rsidP="00A62C74">
      <w:r w:rsidRPr="00A67C76">
        <w:t xml:space="preserve">Through the use of the </w:t>
      </w:r>
      <w:r w:rsidR="00E41741" w:rsidRPr="00A67C76">
        <w:t>Murray River</w:t>
      </w:r>
      <w:r w:rsidRPr="00A67C76">
        <w:t xml:space="preserve"> Floodplain Inundation Model (RiM-FIM III)</w:t>
      </w:r>
      <w:r w:rsidR="009D35EC" w:rsidRPr="00A67C76">
        <w:t>,</w:t>
      </w:r>
      <w:r w:rsidR="00FC5214" w:rsidRPr="00A67C76">
        <w:t xml:space="preserve"> </w:t>
      </w:r>
      <w:r w:rsidRPr="00A67C76">
        <w:t xml:space="preserve">areas of inundation and backwater curves were estimated. </w:t>
      </w:r>
      <w:r w:rsidR="009673C4" w:rsidRPr="00A67C76">
        <w:t>The environmental water</w:t>
      </w:r>
      <w:r w:rsidR="006D2CBA" w:rsidRPr="00A67C76">
        <w:t>ing</w:t>
      </w:r>
      <w:r w:rsidR="009673C4" w:rsidRPr="00A67C76">
        <w:t xml:space="preserve"> during </w:t>
      </w:r>
      <w:r w:rsidR="000C50A6" w:rsidRPr="00A67C76">
        <w:t>December,</w:t>
      </w:r>
      <w:r w:rsidR="009673C4" w:rsidRPr="00A67C76">
        <w:t xml:space="preserve"> allowed for</w:t>
      </w:r>
      <w:r w:rsidR="004E0976">
        <w:t xml:space="preserve"> the</w:t>
      </w:r>
      <w:r w:rsidR="009673C4" w:rsidRPr="00A67C76">
        <w:t xml:space="preserve"> inundation area to remain ~600 hectares larger </w:t>
      </w:r>
      <w:r w:rsidR="00F65A6F" w:rsidRPr="00A67C76">
        <w:t xml:space="preserve">in the Lower Murray River (the South Australian border to Wellington) </w:t>
      </w:r>
      <w:r w:rsidR="009673C4" w:rsidRPr="00A67C76">
        <w:t>than it would have been</w:t>
      </w:r>
      <w:r w:rsidR="006B4D99" w:rsidRPr="00A67C76">
        <w:t xml:space="preserve"> </w:t>
      </w:r>
      <w:r w:rsidR="009673C4" w:rsidRPr="00A67C76">
        <w:t xml:space="preserve">if </w:t>
      </w:r>
      <w:r w:rsidR="000C50A6" w:rsidRPr="00A67C76">
        <w:t xml:space="preserve">no environmental water was allocated and </w:t>
      </w:r>
      <w:r w:rsidR="009673C4" w:rsidRPr="00A67C76">
        <w:t xml:space="preserve">the flow had receded to &lt;10,000 </w:t>
      </w:r>
      <w:r w:rsidR="00FD328A">
        <w:t>ML day</w:t>
      </w:r>
      <w:r w:rsidR="009673C4" w:rsidRPr="00A67C76">
        <w:rPr>
          <w:vertAlign w:val="superscript"/>
        </w:rPr>
        <w:t>-1</w:t>
      </w:r>
      <w:r w:rsidR="009673C4" w:rsidRPr="00A67C76">
        <w:t xml:space="preserve">. The backwater curves showed that water levels would have been 0.05-0.80 m lower, depending on distance from the lock/weir </w:t>
      </w:r>
      <w:r w:rsidR="00D63B5C" w:rsidRPr="00A67C76">
        <w:t xml:space="preserve">and the section of the river analysed, </w:t>
      </w:r>
      <w:r w:rsidR="009673C4" w:rsidRPr="00A67C76">
        <w:t>without</w:t>
      </w:r>
      <w:r w:rsidR="00D63B5C" w:rsidRPr="00A67C76">
        <w:t xml:space="preserve"> the</w:t>
      </w:r>
      <w:r w:rsidR="00E016EE" w:rsidRPr="00A67C76">
        <w:t xml:space="preserve"> delivery of</w:t>
      </w:r>
      <w:r w:rsidR="00D63B5C" w:rsidRPr="00A67C76">
        <w:t xml:space="preserve"> environmental water. Th</w:t>
      </w:r>
      <w:r w:rsidR="00EE7D26" w:rsidRPr="00A67C76">
        <w:t xml:space="preserve">e higher water levels </w:t>
      </w:r>
      <w:r w:rsidR="00E90EFC">
        <w:rPr>
          <w:noProof/>
          <w:lang w:eastAsia="en-AU"/>
        </w:rPr>
        <w:drawing>
          <wp:anchor distT="0" distB="0" distL="114300" distR="114300" simplePos="0" relativeHeight="251666432" behindDoc="0" locked="0" layoutInCell="1" allowOverlap="1">
            <wp:simplePos x="0" y="0"/>
            <wp:positionH relativeFrom="column">
              <wp:posOffset>-76835</wp:posOffset>
            </wp:positionH>
            <wp:positionV relativeFrom="paragraph">
              <wp:posOffset>1104900</wp:posOffset>
            </wp:positionV>
            <wp:extent cx="5945505" cy="4699000"/>
            <wp:effectExtent l="19050" t="0" r="0" b="0"/>
            <wp:wrapTopAndBottom/>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email"/>
                    <a:srcRect/>
                    <a:stretch>
                      <a:fillRect/>
                    </a:stretch>
                  </pic:blipFill>
                  <pic:spPr bwMode="auto">
                    <a:xfrm>
                      <a:off x="0" y="0"/>
                      <a:ext cx="5945505" cy="4699000"/>
                    </a:xfrm>
                    <a:prstGeom prst="rect">
                      <a:avLst/>
                    </a:prstGeom>
                    <a:noFill/>
                    <a:ln w="9525">
                      <a:noFill/>
                      <a:miter lim="800000"/>
                      <a:headEnd/>
                      <a:tailEnd/>
                    </a:ln>
                  </pic:spPr>
                </pic:pic>
              </a:graphicData>
            </a:graphic>
          </wp:anchor>
        </w:drawing>
      </w:r>
      <w:r w:rsidR="00D63B5C" w:rsidRPr="00A67C76">
        <w:t>potentially increased the inundation area of riparian vegetation in the main channel</w:t>
      </w:r>
      <w:r w:rsidR="00180711" w:rsidRPr="00180711">
        <w:t xml:space="preserve"> </w:t>
      </w:r>
      <w:r w:rsidR="00D63B5C" w:rsidRPr="00A67C76">
        <w:t xml:space="preserve">(for details refer to Ye </w:t>
      </w:r>
      <w:r w:rsidR="00993BDD" w:rsidRPr="00A67C76">
        <w:rPr>
          <w:i/>
        </w:rPr>
        <w:t>et al.</w:t>
      </w:r>
      <w:r w:rsidR="00D63B5C" w:rsidRPr="00A67C76">
        <w:t xml:space="preserve"> 2013</w:t>
      </w:r>
      <w:r w:rsidR="00770D82" w:rsidRPr="00A67C76">
        <w:t>b</w:t>
      </w:r>
      <w:r w:rsidR="00D63B5C" w:rsidRPr="00A67C76">
        <w:t xml:space="preserve">). </w:t>
      </w:r>
      <w:r w:rsidR="009673C4" w:rsidRPr="00A67C76">
        <w:t xml:space="preserve"> </w:t>
      </w:r>
      <w:bookmarkStart w:id="26" w:name="_Ref384124452"/>
      <w:bookmarkStart w:id="27" w:name="_Ref384124439"/>
    </w:p>
    <w:p w:rsidR="004C3AB5" w:rsidRPr="00A67C76" w:rsidRDefault="0067231F" w:rsidP="00F914C8">
      <w:pPr>
        <w:pStyle w:val="Captions"/>
      </w:pPr>
      <w:bookmarkStart w:id="28" w:name="_Ref387827372"/>
      <w:bookmarkStart w:id="29" w:name="_Toc387843053"/>
      <w:proofErr w:type="gramStart"/>
      <w:r w:rsidRPr="00A67C76">
        <w:t xml:space="preserve">Figure </w:t>
      </w:r>
      <w:proofErr w:type="gramEnd"/>
      <w:r w:rsidR="002E6077" w:rsidRPr="00A67C76">
        <w:fldChar w:fldCharType="begin"/>
      </w:r>
      <w:r w:rsidR="00110CB9" w:rsidRPr="00A67C76">
        <w:instrText xml:space="preserve"> SEQ Figure \* ARABIC </w:instrText>
      </w:r>
      <w:r w:rsidR="002E6077" w:rsidRPr="00A67C76">
        <w:fldChar w:fldCharType="separate"/>
      </w:r>
      <w:r w:rsidR="009659F2">
        <w:rPr>
          <w:noProof/>
        </w:rPr>
        <w:t>2</w:t>
      </w:r>
      <w:r w:rsidR="002E6077" w:rsidRPr="00A67C76">
        <w:rPr>
          <w:noProof/>
        </w:rPr>
        <w:fldChar w:fldCharType="end"/>
      </w:r>
      <w:bookmarkEnd w:id="26"/>
      <w:bookmarkEnd w:id="28"/>
      <w:proofErr w:type="gramStart"/>
      <w:r w:rsidR="00606176" w:rsidRPr="00A67C76">
        <w:rPr>
          <w:noProof/>
        </w:rPr>
        <w:t>.</w:t>
      </w:r>
      <w:proofErr w:type="gramEnd"/>
      <w:r w:rsidRPr="00A67C76">
        <w:t xml:space="preserve"> Flow to South Australia from </w:t>
      </w:r>
      <w:r w:rsidR="00180711">
        <w:t>July</w:t>
      </w:r>
      <w:r w:rsidRPr="00A67C76">
        <w:t xml:space="preserve"> 2012 to June 2013.</w:t>
      </w:r>
      <w:bookmarkEnd w:id="27"/>
      <w:bookmarkEnd w:id="29"/>
    </w:p>
    <w:p w:rsidR="00A62C74" w:rsidRPr="00A67C76" w:rsidRDefault="006B75F1" w:rsidP="00F41737">
      <w:pPr>
        <w:pStyle w:val="Heading2"/>
      </w:pPr>
      <w:bookmarkStart w:id="30" w:name="_Toc387843576"/>
      <w:bookmarkStart w:id="31" w:name="_Ref387847432"/>
      <w:r w:rsidRPr="00A67C76">
        <w:t>Commonwealth environmental wate</w:t>
      </w:r>
      <w:r w:rsidR="00285554">
        <w:t>r</w:t>
      </w:r>
      <w:r w:rsidRPr="00A67C76">
        <w:t>ing objectives, evaluation questions and monitoring tasks</w:t>
      </w:r>
      <w:bookmarkEnd w:id="30"/>
      <w:bookmarkEnd w:id="31"/>
    </w:p>
    <w:p w:rsidR="006B75F1" w:rsidRPr="00A67C76" w:rsidRDefault="006B75F1" w:rsidP="006B75F1">
      <w:r w:rsidRPr="00A67C76">
        <w:t xml:space="preserve">Through the intervention monitoring of Commonwealth environmental water delivered to the Lower Murray River in </w:t>
      </w:r>
      <w:r w:rsidR="00333041" w:rsidRPr="00A67C76">
        <w:t>2012</w:t>
      </w:r>
      <w:r w:rsidR="00FD328A" w:rsidRPr="00FD328A">
        <w:t>-13</w:t>
      </w:r>
      <w:r w:rsidRPr="00A67C76">
        <w:t xml:space="preserve">, structured, targeted investigations have been carried out to explore flow related ecological responses in the complex </w:t>
      </w:r>
      <w:r w:rsidR="00F5496D" w:rsidRPr="00A67C76">
        <w:t>Lower Murray River</w:t>
      </w:r>
      <w:r w:rsidRPr="00A67C76">
        <w:t xml:space="preserve"> system (i.e. the main channel and associated wetlands, and Coorong). The following conceptual diagram illustrates our current understanding of how river ecosystems are affected by the key ecosystem driver (flow regime), subject to flow management and climate effects, and how the proposed complementary monitoring components (tasks) contribute toward a holistic understanding of ecosystem responses to flow management and ecological benefits (</w:t>
      </w:r>
      <w:r w:rsidR="002E6077" w:rsidRPr="00A67C76">
        <w:fldChar w:fldCharType="begin"/>
      </w:r>
      <w:r w:rsidRPr="00A67C76">
        <w:instrText xml:space="preserve"> REF _Ref381777206 \h </w:instrText>
      </w:r>
      <w:r w:rsidR="002E6077" w:rsidRPr="00A67C76">
        <w:fldChar w:fldCharType="separate"/>
      </w:r>
      <w:r w:rsidR="009659F2" w:rsidRPr="00A67C76">
        <w:t xml:space="preserve">Figure </w:t>
      </w:r>
      <w:r w:rsidR="009659F2">
        <w:rPr>
          <w:noProof/>
        </w:rPr>
        <w:t>3</w:t>
      </w:r>
      <w:r w:rsidR="002E6077" w:rsidRPr="00A67C76">
        <w:fldChar w:fldCharType="end"/>
      </w:r>
      <w:r w:rsidRPr="00A67C76">
        <w:t>).</w:t>
      </w:r>
    </w:p>
    <w:p w:rsidR="006B75F1" w:rsidRPr="00A67C76" w:rsidRDefault="006B75F1" w:rsidP="006B75F1">
      <w:r w:rsidRPr="00A67C76">
        <w:rPr>
          <w:noProof/>
          <w:lang w:eastAsia="en-AU"/>
        </w:rPr>
        <w:drawing>
          <wp:inline distT="0" distB="0" distL="0" distR="0">
            <wp:extent cx="5757661" cy="5975131"/>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email"/>
                    <a:srcRect/>
                    <a:stretch>
                      <a:fillRect/>
                    </a:stretch>
                  </pic:blipFill>
                  <pic:spPr bwMode="auto">
                    <a:xfrm>
                      <a:off x="0" y="0"/>
                      <a:ext cx="5753127" cy="5970425"/>
                    </a:xfrm>
                    <a:prstGeom prst="rect">
                      <a:avLst/>
                    </a:prstGeom>
                    <a:noFill/>
                    <a:ln w="9525">
                      <a:noFill/>
                      <a:miter lim="800000"/>
                      <a:headEnd/>
                      <a:tailEnd/>
                    </a:ln>
                  </pic:spPr>
                </pic:pic>
              </a:graphicData>
            </a:graphic>
          </wp:inline>
        </w:drawing>
      </w:r>
    </w:p>
    <w:p w:rsidR="006B75F1" w:rsidRPr="00A67C76" w:rsidRDefault="006B75F1" w:rsidP="00F914C8">
      <w:pPr>
        <w:pStyle w:val="Captions"/>
      </w:pPr>
      <w:bookmarkStart w:id="32" w:name="_Ref381777206"/>
      <w:bookmarkStart w:id="33" w:name="_Toc387843054"/>
      <w:proofErr w:type="gramStart"/>
      <w:r w:rsidRPr="00A67C76">
        <w:t xml:space="preserve">Figure </w:t>
      </w:r>
      <w:proofErr w:type="gramEnd"/>
      <w:r w:rsidR="002E6077" w:rsidRPr="00A67C76">
        <w:fldChar w:fldCharType="begin"/>
      </w:r>
      <w:r w:rsidR="006B4D99" w:rsidRPr="00A67C76">
        <w:instrText xml:space="preserve"> SEQ Figure \* ARABIC </w:instrText>
      </w:r>
      <w:r w:rsidR="002E6077" w:rsidRPr="00A67C76">
        <w:fldChar w:fldCharType="separate"/>
      </w:r>
      <w:r w:rsidR="009659F2">
        <w:rPr>
          <w:noProof/>
        </w:rPr>
        <w:t>3</w:t>
      </w:r>
      <w:r w:rsidR="002E6077" w:rsidRPr="00A67C76">
        <w:rPr>
          <w:noProof/>
        </w:rPr>
        <w:fldChar w:fldCharType="end"/>
      </w:r>
      <w:bookmarkEnd w:id="32"/>
      <w:proofErr w:type="gramStart"/>
      <w:r w:rsidRPr="00A67C76">
        <w:t>.</w:t>
      </w:r>
      <w:proofErr w:type="gramEnd"/>
      <w:r w:rsidRPr="00A67C76">
        <w:t xml:space="preserve"> Conceptual diagram of how river ecosystems are affected by the key ecosystem driver (flow regime), subject to flow management and climate effects, and how complementary monitoring components (tasks) contribute toward a holistic understanding of ecosystem responses to flow management and ecological benefits in the Lower Murray River (LMR) (Note tasks are within ecosystem components and in highlighted orange boxes under flow and ecosystem processes).</w:t>
      </w:r>
      <w:bookmarkEnd w:id="33"/>
    </w:p>
    <w:p w:rsidR="001360D3" w:rsidRPr="00A67C76" w:rsidRDefault="001360D3">
      <w:pPr>
        <w:spacing w:before="0" w:after="200" w:line="276" w:lineRule="auto"/>
      </w:pPr>
      <w:r w:rsidRPr="00A67C76">
        <w:br w:type="page"/>
      </w:r>
    </w:p>
    <w:p w:rsidR="0067231F" w:rsidRPr="00A67C76" w:rsidRDefault="0067231F" w:rsidP="0067231F">
      <w:r w:rsidRPr="00A67C76">
        <w:t xml:space="preserve">Aligning with relevant Commonwealth environmental watering objectives for the </w:t>
      </w:r>
      <w:r w:rsidR="00F5496D" w:rsidRPr="00A67C76">
        <w:t>Lower Murray River</w:t>
      </w:r>
      <w:r w:rsidRPr="00A67C76">
        <w:t xml:space="preserve">, we proposed to test a series of hypotheses based on our conceptual understanding of the life histories of relevant biota and ecological processes, and what responses might be expected from the flow scenarios with environmental water delivery in </w:t>
      </w:r>
      <w:r w:rsidR="00333041" w:rsidRPr="00A67C76">
        <w:t>2012</w:t>
      </w:r>
      <w:r w:rsidR="00FD328A" w:rsidRPr="00FD328A">
        <w:t>-13</w:t>
      </w:r>
      <w:r w:rsidRPr="00A67C76">
        <w:t xml:space="preserve">. The work has been conducted through the following seven tasks with investigations into the main channel and wetlands of the </w:t>
      </w:r>
      <w:r w:rsidR="00F5496D" w:rsidRPr="00A67C76">
        <w:t>Lower Murray River</w:t>
      </w:r>
      <w:r w:rsidRPr="00A67C76">
        <w:t>, and the Coorong, Lower Lakes and Murray Mouth (CLLMM) region.</w:t>
      </w:r>
    </w:p>
    <w:p w:rsidR="0067231F" w:rsidRPr="00A67C76" w:rsidRDefault="0067231F" w:rsidP="008F0A76">
      <w:pPr>
        <w:pStyle w:val="Heading3"/>
      </w:pPr>
      <w:bookmarkStart w:id="34" w:name="_Toc387843577"/>
      <w:r w:rsidRPr="00A67C76">
        <w:t>Main channel</w:t>
      </w:r>
      <w:bookmarkEnd w:id="34"/>
    </w:p>
    <w:p w:rsidR="0067231F" w:rsidRPr="00A67C76" w:rsidRDefault="0067231F" w:rsidP="0067231F">
      <w:pPr>
        <w:rPr>
          <w:b/>
          <w:szCs w:val="22"/>
        </w:rPr>
      </w:pPr>
      <w:r w:rsidRPr="00A67C76">
        <w:rPr>
          <w:b/>
          <w:szCs w:val="22"/>
        </w:rPr>
        <w:t xml:space="preserve">Larval fish </w:t>
      </w:r>
    </w:p>
    <w:p w:rsidR="0067231F" w:rsidRPr="00A67C76" w:rsidRDefault="0067231F" w:rsidP="0067231F">
      <w:pPr>
        <w:rPr>
          <w:i/>
          <w:u w:val="single"/>
        </w:rPr>
      </w:pPr>
      <w:r w:rsidRPr="00A67C76">
        <w:rPr>
          <w:i/>
          <w:u w:val="single"/>
        </w:rPr>
        <w:t>Commonwealth environmental watering objectives: Fauna</w:t>
      </w:r>
    </w:p>
    <w:p w:rsidR="0067231F" w:rsidRPr="00A67C76" w:rsidRDefault="00067352" w:rsidP="001360D3">
      <w:pPr>
        <w:numPr>
          <w:ilvl w:val="0"/>
          <w:numId w:val="9"/>
        </w:numPr>
        <w:spacing w:before="120"/>
        <w:ind w:left="1434" w:hanging="357"/>
      </w:pPr>
      <w:proofErr w:type="gramStart"/>
      <w:r w:rsidRPr="00A67C76">
        <w:t>p</w:t>
      </w:r>
      <w:r w:rsidR="0067231F" w:rsidRPr="00A67C76">
        <w:t>rovide</w:t>
      </w:r>
      <w:proofErr w:type="gramEnd"/>
      <w:r w:rsidR="0067231F" w:rsidRPr="00A67C76">
        <w:t xml:space="preserve"> a flow regime that supports breeding of native fish. </w:t>
      </w:r>
    </w:p>
    <w:p w:rsidR="0067231F" w:rsidRPr="00A67C76" w:rsidRDefault="00067352" w:rsidP="001360D3">
      <w:pPr>
        <w:numPr>
          <w:ilvl w:val="0"/>
          <w:numId w:val="9"/>
        </w:numPr>
        <w:spacing w:before="120"/>
        <w:ind w:left="1434" w:hanging="357"/>
      </w:pPr>
      <w:proofErr w:type="gramStart"/>
      <w:r w:rsidRPr="00A67C76">
        <w:t>p</w:t>
      </w:r>
      <w:r w:rsidR="0067231F" w:rsidRPr="00A67C76">
        <w:t>rovide</w:t>
      </w:r>
      <w:proofErr w:type="gramEnd"/>
      <w:r w:rsidR="0067231F" w:rsidRPr="00A67C76">
        <w:t xml:space="preserve"> a flow regime that supports recruitment of juvenile life stages.</w:t>
      </w:r>
    </w:p>
    <w:p w:rsidR="0067231F" w:rsidRPr="00A67C76" w:rsidRDefault="0067231F" w:rsidP="0067231F">
      <w:r w:rsidRPr="00A67C76">
        <w:rPr>
          <w:i/>
          <w:u w:val="single"/>
        </w:rPr>
        <w:t xml:space="preserve">Hypotheses: </w:t>
      </w:r>
      <w:r w:rsidRPr="00A67C76">
        <w:t xml:space="preserve">Increased flow into the </w:t>
      </w:r>
      <w:r w:rsidR="00F5496D" w:rsidRPr="00A67C76">
        <w:t>Lower Murray River</w:t>
      </w:r>
      <w:r w:rsidRPr="00A67C76">
        <w:t xml:space="preserve"> (peak and duration) in spring/summer will:</w:t>
      </w:r>
    </w:p>
    <w:p w:rsidR="0067231F" w:rsidRPr="00A67C76" w:rsidRDefault="00722BA0" w:rsidP="00807938">
      <w:pPr>
        <w:numPr>
          <w:ilvl w:val="0"/>
          <w:numId w:val="13"/>
        </w:numPr>
        <w:ind w:left="714" w:hanging="357"/>
      </w:pPr>
      <w:proofErr w:type="gramStart"/>
      <w:r w:rsidRPr="00A67C76">
        <w:t>l</w:t>
      </w:r>
      <w:r w:rsidR="0067231F" w:rsidRPr="00A67C76">
        <w:t>ead</w:t>
      </w:r>
      <w:proofErr w:type="gramEnd"/>
      <w:r w:rsidR="0067231F" w:rsidRPr="00A67C76">
        <w:t xml:space="preserve"> to different spawning responses in different fish species with varied level of flow dependence; it will trigger spawning and lead to increased larval fish abundance in flow-cued spawners (i.e. golden perch</w:t>
      </w:r>
      <w:r w:rsidR="002E4CB5">
        <w:t xml:space="preserve"> (</w:t>
      </w:r>
      <w:r w:rsidR="002E4CB5" w:rsidRPr="002E4CB5">
        <w:rPr>
          <w:i/>
        </w:rPr>
        <w:t>Macquaria ambigua</w:t>
      </w:r>
      <w:r w:rsidR="002E4CB5">
        <w:t>)</w:t>
      </w:r>
      <w:r w:rsidR="0067231F" w:rsidRPr="00A67C76">
        <w:t xml:space="preserve"> and silver perch</w:t>
      </w:r>
      <w:r w:rsidR="002E4CB5">
        <w:t xml:space="preserve"> (</w:t>
      </w:r>
      <w:r w:rsidR="002E4CB5" w:rsidRPr="002E4CB5">
        <w:rPr>
          <w:i/>
        </w:rPr>
        <w:t>Bidyanus bidyanus</w:t>
      </w:r>
      <w:r w:rsidR="002E4CB5">
        <w:t>)</w:t>
      </w:r>
      <w:r w:rsidR="0067231F" w:rsidRPr="00A67C76">
        <w:t xml:space="preserve">) in the </w:t>
      </w:r>
      <w:r w:rsidR="00F5496D" w:rsidRPr="00A67C76">
        <w:t>Lower Murray River</w:t>
      </w:r>
      <w:r w:rsidR="0067231F" w:rsidRPr="00A67C76">
        <w:t>.</w:t>
      </w:r>
    </w:p>
    <w:p w:rsidR="0067231F" w:rsidRPr="00A67C76" w:rsidRDefault="00722BA0" w:rsidP="00807938">
      <w:pPr>
        <w:numPr>
          <w:ilvl w:val="0"/>
          <w:numId w:val="13"/>
        </w:numPr>
        <w:ind w:left="714" w:hanging="357"/>
      </w:pPr>
      <w:proofErr w:type="gramStart"/>
      <w:r w:rsidRPr="00A67C76">
        <w:t>e</w:t>
      </w:r>
      <w:r w:rsidR="0067231F" w:rsidRPr="00A67C76">
        <w:t>nhance</w:t>
      </w:r>
      <w:proofErr w:type="gramEnd"/>
      <w:r w:rsidR="0067231F" w:rsidRPr="00A67C76">
        <w:t xml:space="preserve"> the food supply and quality for larval fish, leading to greater survival and growth rates.</w:t>
      </w:r>
    </w:p>
    <w:p w:rsidR="0067231F" w:rsidRPr="00A67C76" w:rsidRDefault="00722BA0" w:rsidP="00807938">
      <w:pPr>
        <w:numPr>
          <w:ilvl w:val="0"/>
          <w:numId w:val="13"/>
        </w:numPr>
        <w:ind w:left="714" w:hanging="357"/>
      </w:pPr>
      <w:proofErr w:type="gramStart"/>
      <w:r w:rsidRPr="00A67C76">
        <w:t>l</w:t>
      </w:r>
      <w:r w:rsidR="0067231F" w:rsidRPr="00A67C76">
        <w:t>ead</w:t>
      </w:r>
      <w:proofErr w:type="gramEnd"/>
      <w:r w:rsidR="0067231F" w:rsidRPr="00A67C76">
        <w:t xml:space="preserve"> to fish recruitment success and enhance the recruitment of flow-cued spawning species (i.e. golden perch, silver perch) in </w:t>
      </w:r>
      <w:r w:rsidR="004E0976">
        <w:t xml:space="preserve">the </w:t>
      </w:r>
      <w:r w:rsidR="00F5496D" w:rsidRPr="00A67C76">
        <w:t>Lower Murray River</w:t>
      </w:r>
      <w:r w:rsidR="0067231F" w:rsidRPr="00A67C76">
        <w:t xml:space="preserve">. </w:t>
      </w:r>
    </w:p>
    <w:p w:rsidR="0067231F" w:rsidRPr="00A67C76" w:rsidRDefault="00722BA0" w:rsidP="00807938">
      <w:pPr>
        <w:numPr>
          <w:ilvl w:val="0"/>
          <w:numId w:val="13"/>
        </w:numPr>
        <w:ind w:left="714" w:hanging="357"/>
      </w:pPr>
      <w:r w:rsidRPr="00A67C76">
        <w:t>f</w:t>
      </w:r>
      <w:r w:rsidR="0067231F" w:rsidRPr="00A67C76">
        <w:t>acilitate larval/post-larval fish dispersion</w:t>
      </w:r>
      <w:r w:rsidR="004E0976">
        <w:t>;</w:t>
      </w:r>
      <w:r w:rsidR="0067231F" w:rsidRPr="00A67C76">
        <w:t xml:space="preserve"> thus</w:t>
      </w:r>
      <w:r w:rsidR="004E0976">
        <w:t>,</w:t>
      </w:r>
      <w:r w:rsidR="0067231F" w:rsidRPr="00A67C76">
        <w:t xml:space="preserve"> will contribute to recruitment success in local fish populations (e.g. golden perch, silver perch and Murray cod</w:t>
      </w:r>
      <w:r w:rsidR="002E4CB5">
        <w:t xml:space="preserve"> (</w:t>
      </w:r>
      <w:r w:rsidR="002E4CB5" w:rsidRPr="002E4CB5">
        <w:rPr>
          <w:i/>
        </w:rPr>
        <w:t>Maccullochella peelii</w:t>
      </w:r>
      <w:r w:rsidR="0067231F" w:rsidRPr="00A67C76">
        <w:t>)</w:t>
      </w:r>
      <w:r w:rsidR="004E0976">
        <w:t>)</w:t>
      </w:r>
      <w:r w:rsidR="0067231F" w:rsidRPr="00A67C76">
        <w:t xml:space="preserve"> in the </w:t>
      </w:r>
      <w:r w:rsidR="00F5496D" w:rsidRPr="00A67C76">
        <w:t>Lower Murray River</w:t>
      </w:r>
      <w:r w:rsidR="0067231F" w:rsidRPr="00A67C76">
        <w:t xml:space="preserve">; natal origin of these fish will be influenced by the source of flow (e.g. may be the Darling River, mid or upper Murray River, as well as the Murrumbidgee and Goulburn rivers). </w:t>
      </w:r>
    </w:p>
    <w:p w:rsidR="0067231F" w:rsidRPr="00A67C76" w:rsidRDefault="0067231F" w:rsidP="0067231F">
      <w:pPr>
        <w:rPr>
          <w:b/>
        </w:rPr>
      </w:pPr>
      <w:r w:rsidRPr="00A67C76">
        <w:rPr>
          <w:b/>
        </w:rPr>
        <w:t xml:space="preserve">Food resources for larval fish </w:t>
      </w:r>
    </w:p>
    <w:p w:rsidR="0067231F" w:rsidRPr="00A67C76" w:rsidRDefault="0067231F" w:rsidP="0067231F">
      <w:pPr>
        <w:rPr>
          <w:i/>
          <w:u w:val="single"/>
        </w:rPr>
      </w:pPr>
      <w:r w:rsidRPr="00A67C76">
        <w:rPr>
          <w:bCs/>
          <w:i/>
          <w:u w:val="single"/>
        </w:rPr>
        <w:t xml:space="preserve">Commonwealth environmental watering objectives: </w:t>
      </w:r>
      <w:r w:rsidRPr="00A67C76">
        <w:rPr>
          <w:i/>
          <w:u w:val="single"/>
        </w:rPr>
        <w:t xml:space="preserve">Ecosystem function and connectivity </w:t>
      </w:r>
    </w:p>
    <w:p w:rsidR="0067231F" w:rsidRPr="00A67C76" w:rsidRDefault="00067352" w:rsidP="001360D3">
      <w:pPr>
        <w:numPr>
          <w:ilvl w:val="0"/>
          <w:numId w:val="8"/>
        </w:numPr>
        <w:ind w:left="714" w:hanging="357"/>
      </w:pPr>
      <w:r w:rsidRPr="00A67C76">
        <w:t>p</w:t>
      </w:r>
      <w:r w:rsidR="0067231F" w:rsidRPr="00A67C76">
        <w:t>rovide a flow regime that supports ecosystem functions related to longitudinal connectivity</w:t>
      </w:r>
    </w:p>
    <w:p w:rsidR="0067231F" w:rsidRPr="00A67C76" w:rsidRDefault="00067352" w:rsidP="001360D3">
      <w:pPr>
        <w:numPr>
          <w:ilvl w:val="0"/>
          <w:numId w:val="8"/>
        </w:numPr>
        <w:ind w:left="714" w:hanging="357"/>
        <w:rPr>
          <w:b/>
          <w:bCs/>
        </w:rPr>
      </w:pPr>
      <w:proofErr w:type="gramStart"/>
      <w:r w:rsidRPr="00A67C76">
        <w:t>p</w:t>
      </w:r>
      <w:r w:rsidR="0067231F" w:rsidRPr="00A67C76">
        <w:t>rovide</w:t>
      </w:r>
      <w:proofErr w:type="gramEnd"/>
      <w:r w:rsidR="0067231F" w:rsidRPr="00A67C76">
        <w:t xml:space="preserve"> a flow regime which supports key ecosystem functions related to connectivity between the river and the floodplain. </w:t>
      </w:r>
    </w:p>
    <w:p w:rsidR="0067231F" w:rsidRPr="00A67C76" w:rsidRDefault="00067352" w:rsidP="001360D3">
      <w:pPr>
        <w:numPr>
          <w:ilvl w:val="0"/>
          <w:numId w:val="8"/>
        </w:numPr>
        <w:ind w:left="714" w:hanging="357"/>
        <w:rPr>
          <w:b/>
          <w:bCs/>
        </w:rPr>
      </w:pPr>
      <w:proofErr w:type="gramStart"/>
      <w:r w:rsidRPr="00A67C76">
        <w:t>p</w:t>
      </w:r>
      <w:r w:rsidR="0067231F" w:rsidRPr="00A67C76">
        <w:t>rovide</w:t>
      </w:r>
      <w:proofErr w:type="gramEnd"/>
      <w:r w:rsidR="0067231F" w:rsidRPr="00A67C76">
        <w:t xml:space="preserve"> a flow regime that supports fish breeding and recruitment</w:t>
      </w:r>
      <w:r w:rsidR="004E0976">
        <w:t>.</w:t>
      </w:r>
    </w:p>
    <w:p w:rsidR="0067231F" w:rsidRPr="00A67C76" w:rsidRDefault="0067231F" w:rsidP="0067231F">
      <w:pPr>
        <w:rPr>
          <w:bCs/>
        </w:rPr>
      </w:pPr>
      <w:r w:rsidRPr="00A67C76">
        <w:rPr>
          <w:bCs/>
          <w:i/>
          <w:u w:val="single"/>
        </w:rPr>
        <w:t>Hypotheses:</w:t>
      </w:r>
      <w:r w:rsidRPr="00A67C76">
        <w:rPr>
          <w:b/>
          <w:bCs/>
        </w:rPr>
        <w:t xml:space="preserve"> </w:t>
      </w:r>
      <w:r w:rsidRPr="00A67C76">
        <w:rPr>
          <w:bCs/>
        </w:rPr>
        <w:t xml:space="preserve">Increases in flow levels to better connect the channel with fringing riparian, wetland or floodplain areas enhances </w:t>
      </w:r>
      <w:r w:rsidR="00F76C53">
        <w:rPr>
          <w:bCs/>
        </w:rPr>
        <w:t>the food supply for larval fish.</w:t>
      </w:r>
    </w:p>
    <w:p w:rsidR="0067231F" w:rsidRPr="00A67C76" w:rsidRDefault="0067231F" w:rsidP="0067231F">
      <w:pPr>
        <w:rPr>
          <w:bCs/>
        </w:rPr>
      </w:pPr>
      <w:proofErr w:type="gramStart"/>
      <w:r w:rsidRPr="00A67C76">
        <w:rPr>
          <w:bCs/>
        </w:rPr>
        <w:t>Increases in the duration of flows connecting the channel with fringing riparian, wetland or floodplain areas enhances</w:t>
      </w:r>
      <w:proofErr w:type="gramEnd"/>
      <w:r w:rsidRPr="00A67C76">
        <w:rPr>
          <w:bCs/>
        </w:rPr>
        <w:t xml:space="preserve"> the food supply for larval fish.</w:t>
      </w:r>
    </w:p>
    <w:p w:rsidR="0067231F" w:rsidRPr="00A67C76" w:rsidRDefault="0067231F" w:rsidP="0067231F">
      <w:pPr>
        <w:rPr>
          <w:bCs/>
        </w:rPr>
      </w:pPr>
      <w:r w:rsidRPr="00A67C76">
        <w:rPr>
          <w:bCs/>
        </w:rPr>
        <w:t>At particular points in the hydrograph (fringing riparian connection, low level wetland connection, shedding floodplain connection), small increases in flow levels and/or duration significantly increase the food supply to larval fish.</w:t>
      </w:r>
    </w:p>
    <w:p w:rsidR="0067231F" w:rsidRPr="00A67C76" w:rsidRDefault="0067231F" w:rsidP="0067231F">
      <w:pPr>
        <w:rPr>
          <w:b/>
        </w:rPr>
      </w:pPr>
      <w:r w:rsidRPr="00A67C76">
        <w:rPr>
          <w:b/>
        </w:rPr>
        <w:t xml:space="preserve">Dissolved and particulate material transport </w:t>
      </w:r>
    </w:p>
    <w:p w:rsidR="0067231F" w:rsidRPr="00A67C76" w:rsidRDefault="0067231F" w:rsidP="0067231F">
      <w:pPr>
        <w:rPr>
          <w:i/>
          <w:u w:val="single"/>
        </w:rPr>
      </w:pPr>
      <w:r w:rsidRPr="00A67C76">
        <w:rPr>
          <w:bCs/>
          <w:i/>
          <w:u w:val="single"/>
        </w:rPr>
        <w:t xml:space="preserve">Commonwealth environmental watering objectives: </w:t>
      </w:r>
      <w:r w:rsidRPr="00A67C76">
        <w:rPr>
          <w:i/>
          <w:u w:val="single"/>
        </w:rPr>
        <w:t>Salt and nutrient</w:t>
      </w:r>
    </w:p>
    <w:p w:rsidR="0067231F" w:rsidRPr="00A67C76" w:rsidRDefault="00067352" w:rsidP="0067231F">
      <w:pPr>
        <w:numPr>
          <w:ilvl w:val="0"/>
          <w:numId w:val="10"/>
        </w:numPr>
      </w:pPr>
      <w:proofErr w:type="gramStart"/>
      <w:r w:rsidRPr="00A67C76">
        <w:t>p</w:t>
      </w:r>
      <w:r w:rsidR="0067231F" w:rsidRPr="00A67C76">
        <w:t>rovide</w:t>
      </w:r>
      <w:proofErr w:type="gramEnd"/>
      <w:r w:rsidR="0067231F" w:rsidRPr="00A67C76">
        <w:t xml:space="preserve"> a flow regime that supports the transportation and export of salt and nutrients through an open Murray Mouth. </w:t>
      </w:r>
    </w:p>
    <w:p w:rsidR="0067231F" w:rsidRPr="00A67C76" w:rsidRDefault="0067231F" w:rsidP="0067231F">
      <w:pPr>
        <w:rPr>
          <w:b/>
        </w:rPr>
      </w:pPr>
      <w:r w:rsidRPr="00A67C76">
        <w:rPr>
          <w:i/>
          <w:u w:val="single"/>
        </w:rPr>
        <w:t>Hypotheses:</w:t>
      </w:r>
      <w:r w:rsidRPr="00A67C76">
        <w:rPr>
          <w:b/>
        </w:rPr>
        <w:t xml:space="preserve"> </w:t>
      </w:r>
      <w:r w:rsidRPr="00A67C76">
        <w:t>Salt transport</w:t>
      </w:r>
      <w:r w:rsidRPr="00A67C76">
        <w:rPr>
          <w:bCs/>
        </w:rPr>
        <w:t>: environmental water</w:t>
      </w:r>
      <w:r w:rsidR="00E016EE" w:rsidRPr="00A67C76">
        <w:rPr>
          <w:bCs/>
        </w:rPr>
        <w:t xml:space="preserve">ing </w:t>
      </w:r>
      <w:r w:rsidRPr="00A67C76">
        <w:rPr>
          <w:bCs/>
        </w:rPr>
        <w:t xml:space="preserve">will increase the </w:t>
      </w:r>
      <w:r w:rsidR="004E0976">
        <w:rPr>
          <w:bCs/>
        </w:rPr>
        <w:t>mobilisation of salts from the B</w:t>
      </w:r>
      <w:r w:rsidRPr="00A67C76">
        <w:rPr>
          <w:bCs/>
        </w:rPr>
        <w:t>asin and increase the transport of salt passing from Lock 1 through the Lower Murray River and if there is sufficient flow, through the Lower Lakes and Murray Mouth.</w:t>
      </w:r>
    </w:p>
    <w:p w:rsidR="0067231F" w:rsidRPr="00A67C76" w:rsidRDefault="0067231F" w:rsidP="0067231F">
      <w:pPr>
        <w:rPr>
          <w:bCs/>
        </w:rPr>
      </w:pPr>
      <w:r w:rsidRPr="00A67C76">
        <w:t>Nutrient transport: e</w:t>
      </w:r>
      <w:r w:rsidRPr="00A67C76">
        <w:rPr>
          <w:bCs/>
        </w:rPr>
        <w:t>nvironmental water</w:t>
      </w:r>
      <w:r w:rsidR="00E016EE" w:rsidRPr="00A67C76">
        <w:rPr>
          <w:bCs/>
        </w:rPr>
        <w:t xml:space="preserve">ing </w:t>
      </w:r>
      <w:r w:rsidRPr="00A67C76">
        <w:rPr>
          <w:bCs/>
        </w:rPr>
        <w:t xml:space="preserve">will increase the mobilisation of nutrients from the </w:t>
      </w:r>
      <w:r w:rsidR="004E0976">
        <w:rPr>
          <w:bCs/>
        </w:rPr>
        <w:t>B</w:t>
      </w:r>
      <w:r w:rsidRPr="00A67C76">
        <w:rPr>
          <w:bCs/>
        </w:rPr>
        <w:t>asin and increase nutrient loads passing from Lock 1 through the Lower Murray River and if there is sufficient flow, through the Lower Lakes and Murray Mouth.</w:t>
      </w:r>
    </w:p>
    <w:p w:rsidR="0067231F" w:rsidRPr="00A67C76" w:rsidRDefault="0067231F" w:rsidP="0067231F">
      <w:pPr>
        <w:rPr>
          <w:bCs/>
        </w:rPr>
      </w:pPr>
      <w:r w:rsidRPr="00A67C76">
        <w:t>Suspended organic matter: e</w:t>
      </w:r>
      <w:r w:rsidRPr="00A67C76">
        <w:rPr>
          <w:bCs/>
        </w:rPr>
        <w:t>nvironmental water</w:t>
      </w:r>
      <w:r w:rsidR="00E016EE" w:rsidRPr="00A67C76">
        <w:rPr>
          <w:bCs/>
        </w:rPr>
        <w:t xml:space="preserve">ing </w:t>
      </w:r>
      <w:r w:rsidRPr="00A67C76">
        <w:rPr>
          <w:bCs/>
        </w:rPr>
        <w:t>will increase suspended organic matter loads passing from Lock 1 through the Lower Murray River and if there is sufficient flow, through the Lower Lakes and Murray Mouth. In particular, increased floodplain inundation will result in increased loads of phytoplankton biomass and dead organic matter.</w:t>
      </w:r>
    </w:p>
    <w:p w:rsidR="0067231F" w:rsidRPr="00A67C76" w:rsidRDefault="0067231F" w:rsidP="0067231F">
      <w:pPr>
        <w:rPr>
          <w:bCs/>
        </w:rPr>
      </w:pPr>
      <w:proofErr w:type="gramStart"/>
      <w:r w:rsidRPr="00A67C76">
        <w:t>Suspended inorganic matter: e</w:t>
      </w:r>
      <w:r w:rsidRPr="00A67C76">
        <w:rPr>
          <w:bCs/>
        </w:rPr>
        <w:t>nvironmental water</w:t>
      </w:r>
      <w:r w:rsidR="00E016EE" w:rsidRPr="00A67C76">
        <w:rPr>
          <w:bCs/>
        </w:rPr>
        <w:t xml:space="preserve">ing </w:t>
      </w:r>
      <w:r w:rsidRPr="00A67C76">
        <w:rPr>
          <w:bCs/>
        </w:rPr>
        <w:t>will increase the resuspension of inorganic matter from the river bed and thus increase the transport of suspended inorganic matter from Lock 1 through the Lower Murray River and if there is sufficient flow, through the Lower Lakes and Murray Mouth.</w:t>
      </w:r>
      <w:proofErr w:type="gramEnd"/>
    </w:p>
    <w:p w:rsidR="0067231F" w:rsidRPr="00A67C76" w:rsidRDefault="0067231F" w:rsidP="008F0A76">
      <w:pPr>
        <w:pStyle w:val="Heading3"/>
      </w:pPr>
      <w:bookmarkStart w:id="35" w:name="_Toc387843578"/>
      <w:bookmarkStart w:id="36" w:name="_Toc381784039"/>
      <w:r w:rsidRPr="00A67C76">
        <w:t>Wetlands</w:t>
      </w:r>
      <w:bookmarkEnd w:id="35"/>
    </w:p>
    <w:p w:rsidR="0067231F" w:rsidRPr="00A67C76" w:rsidRDefault="0067231F" w:rsidP="0067231F">
      <w:pPr>
        <w:rPr>
          <w:b/>
        </w:rPr>
      </w:pPr>
      <w:r w:rsidRPr="00A67C76">
        <w:rPr>
          <w:b/>
        </w:rPr>
        <w:t>Inundation and lateral connectivity</w:t>
      </w:r>
      <w:bookmarkEnd w:id="36"/>
      <w:r w:rsidRPr="00A67C76">
        <w:rPr>
          <w:b/>
        </w:rPr>
        <w:t xml:space="preserve"> </w:t>
      </w:r>
    </w:p>
    <w:p w:rsidR="0067231F" w:rsidRPr="00A67C76" w:rsidRDefault="0067231F" w:rsidP="0067231F">
      <w:pPr>
        <w:rPr>
          <w:i/>
          <w:u w:val="single"/>
        </w:rPr>
      </w:pPr>
      <w:r w:rsidRPr="00A67C76">
        <w:rPr>
          <w:bCs/>
          <w:i/>
          <w:u w:val="single"/>
        </w:rPr>
        <w:t xml:space="preserve">Commonwealth environmental watering objectives: </w:t>
      </w:r>
      <w:r w:rsidRPr="00A67C76">
        <w:rPr>
          <w:i/>
          <w:u w:val="single"/>
        </w:rPr>
        <w:t>Ecosystem functions and connectivity</w:t>
      </w:r>
    </w:p>
    <w:p w:rsidR="0067231F" w:rsidRPr="00A67C76" w:rsidRDefault="00067352" w:rsidP="0067231F">
      <w:pPr>
        <w:numPr>
          <w:ilvl w:val="0"/>
          <w:numId w:val="10"/>
        </w:numPr>
      </w:pPr>
      <w:proofErr w:type="gramStart"/>
      <w:r w:rsidRPr="00A67C76">
        <w:t>p</w:t>
      </w:r>
      <w:r w:rsidR="0067231F" w:rsidRPr="00A67C76">
        <w:t>rovide</w:t>
      </w:r>
      <w:proofErr w:type="gramEnd"/>
      <w:r w:rsidR="0067231F" w:rsidRPr="00A67C76">
        <w:t xml:space="preserve"> a flow regime which supports key ecosystem functions, related to connectivity between the river and the floodplain.</w:t>
      </w:r>
    </w:p>
    <w:p w:rsidR="0067231F" w:rsidRPr="00A67C76" w:rsidRDefault="0067231F" w:rsidP="0067231F">
      <w:pPr>
        <w:rPr>
          <w:bCs/>
        </w:rPr>
      </w:pPr>
      <w:r w:rsidRPr="00A67C76">
        <w:rPr>
          <w:bCs/>
          <w:i/>
          <w:u w:val="single"/>
        </w:rPr>
        <w:t>Hypotheses:</w:t>
      </w:r>
      <w:r w:rsidRPr="00A67C76">
        <w:rPr>
          <w:b/>
          <w:bCs/>
        </w:rPr>
        <w:t xml:space="preserve"> </w:t>
      </w:r>
      <w:r w:rsidRPr="00A67C76">
        <w:rPr>
          <w:bCs/>
        </w:rPr>
        <w:t>Lateral connectivity of wetlands and low lying floodplain is increased and floodplain inundation area is increased by environmental watering.</w:t>
      </w:r>
    </w:p>
    <w:p w:rsidR="00E520D9" w:rsidRDefault="00E520D9" w:rsidP="0067231F">
      <w:r>
        <w:t>The evaluation was conducted t</w:t>
      </w:r>
      <w:r w:rsidRPr="00A67C76">
        <w:t xml:space="preserve">hrough the use of the Murray River Floodplain Inundation Model (RiM-FIM III), </w:t>
      </w:r>
      <w:r>
        <w:t xml:space="preserve">with findings </w:t>
      </w:r>
      <w:r w:rsidR="00985F69">
        <w:t xml:space="preserve">presented in Section 1.2 </w:t>
      </w:r>
      <w:r>
        <w:t xml:space="preserve">regarding increased </w:t>
      </w:r>
      <w:r w:rsidRPr="00A67C76">
        <w:t xml:space="preserve">areas of inundation and </w:t>
      </w:r>
      <w:r>
        <w:t>water level</w:t>
      </w:r>
      <w:r w:rsidR="00985F69">
        <w:t>s</w:t>
      </w:r>
      <w:r>
        <w:t xml:space="preserve"> </w:t>
      </w:r>
      <w:r w:rsidR="00985F69">
        <w:t>associated with environmental water deliveries</w:t>
      </w:r>
      <w:r>
        <w:t>.</w:t>
      </w:r>
    </w:p>
    <w:p w:rsidR="0067231F" w:rsidRPr="00A67C76" w:rsidRDefault="0067231F" w:rsidP="0067231F">
      <w:pPr>
        <w:rPr>
          <w:b/>
        </w:rPr>
      </w:pPr>
      <w:r w:rsidRPr="00A67C76">
        <w:rPr>
          <w:b/>
        </w:rPr>
        <w:t xml:space="preserve">Lateral movements of fish </w:t>
      </w:r>
    </w:p>
    <w:p w:rsidR="0067231F" w:rsidRPr="00A67C76" w:rsidRDefault="0067231F" w:rsidP="0067231F">
      <w:pPr>
        <w:rPr>
          <w:i/>
          <w:u w:val="single"/>
        </w:rPr>
      </w:pPr>
      <w:r w:rsidRPr="00A67C76">
        <w:rPr>
          <w:bCs/>
          <w:i/>
          <w:u w:val="single"/>
        </w:rPr>
        <w:t xml:space="preserve">Commonwealth environmental watering objectives: </w:t>
      </w:r>
      <w:r w:rsidRPr="00A67C76">
        <w:rPr>
          <w:i/>
          <w:u w:val="single"/>
        </w:rPr>
        <w:t>Ecosystem function and connectivity/Fauna</w:t>
      </w:r>
    </w:p>
    <w:p w:rsidR="0067231F" w:rsidRPr="00A67C76" w:rsidRDefault="00067352" w:rsidP="0067231F">
      <w:pPr>
        <w:numPr>
          <w:ilvl w:val="0"/>
          <w:numId w:val="10"/>
        </w:numPr>
        <w:rPr>
          <w:b/>
        </w:rPr>
      </w:pPr>
      <w:proofErr w:type="gramStart"/>
      <w:r w:rsidRPr="00A67C76">
        <w:t>p</w:t>
      </w:r>
      <w:r w:rsidR="0067231F" w:rsidRPr="00A67C76">
        <w:t>rovide</w:t>
      </w:r>
      <w:proofErr w:type="gramEnd"/>
      <w:r w:rsidR="0067231F" w:rsidRPr="00A67C76">
        <w:t xml:space="preserve"> a flow regime which supports key ecosystem functions related to connectivity between the river and the floodplain.</w:t>
      </w:r>
    </w:p>
    <w:p w:rsidR="0067231F" w:rsidRPr="00A67C76" w:rsidRDefault="00067352" w:rsidP="0067231F">
      <w:pPr>
        <w:numPr>
          <w:ilvl w:val="0"/>
          <w:numId w:val="10"/>
        </w:numPr>
        <w:rPr>
          <w:b/>
        </w:rPr>
      </w:pPr>
      <w:proofErr w:type="gramStart"/>
      <w:r w:rsidRPr="00A67C76">
        <w:t>p</w:t>
      </w:r>
      <w:r w:rsidR="0067231F" w:rsidRPr="00A67C76">
        <w:t>rovide</w:t>
      </w:r>
      <w:proofErr w:type="gramEnd"/>
      <w:r w:rsidR="0067231F" w:rsidRPr="00A67C76">
        <w:t xml:space="preserve"> a flow regime that supports breeding of native fish.</w:t>
      </w:r>
    </w:p>
    <w:p w:rsidR="0067231F" w:rsidRPr="00A67C76" w:rsidRDefault="00067352" w:rsidP="0067231F">
      <w:pPr>
        <w:numPr>
          <w:ilvl w:val="0"/>
          <w:numId w:val="10"/>
        </w:numPr>
        <w:rPr>
          <w:b/>
        </w:rPr>
      </w:pPr>
      <w:proofErr w:type="gramStart"/>
      <w:r w:rsidRPr="00A67C76">
        <w:t>p</w:t>
      </w:r>
      <w:r w:rsidR="0067231F" w:rsidRPr="00A67C76">
        <w:t>rovide</w:t>
      </w:r>
      <w:proofErr w:type="gramEnd"/>
      <w:r w:rsidR="0067231F" w:rsidRPr="00A67C76">
        <w:t xml:space="preserve"> a flow regime that supports recruitment of juvenile life stages.</w:t>
      </w:r>
    </w:p>
    <w:p w:rsidR="0067231F" w:rsidRPr="00A67C76" w:rsidRDefault="0067231F" w:rsidP="0067231F">
      <w:r w:rsidRPr="00A67C76">
        <w:rPr>
          <w:bCs/>
          <w:i/>
          <w:u w:val="single"/>
        </w:rPr>
        <w:t>Hypotheses:</w:t>
      </w:r>
      <w:r w:rsidRPr="00A67C76">
        <w:rPr>
          <w:b/>
          <w:bCs/>
        </w:rPr>
        <w:t xml:space="preserve"> </w:t>
      </w:r>
      <w:r w:rsidRPr="00A67C76">
        <w:t>Sustained flows will maintain the lateral movement of fish (from the River channel to the connected wetlands), particularly small bodied species.</w:t>
      </w:r>
    </w:p>
    <w:p w:rsidR="0067231F" w:rsidRPr="00A67C76" w:rsidRDefault="0067231F" w:rsidP="0067231F">
      <w:r w:rsidRPr="00A67C76">
        <w:t>Extended high flow conditions</w:t>
      </w:r>
      <w:r w:rsidR="00BF6767" w:rsidRPr="00A67C76">
        <w:t xml:space="preserve"> as a result of environmental watering</w:t>
      </w:r>
      <w:r w:rsidRPr="00A67C76">
        <w:t xml:space="preserve"> will increase inundated aquatic habitat, potentially providing </w:t>
      </w:r>
      <w:r w:rsidR="004E0976">
        <w:t xml:space="preserve">a </w:t>
      </w:r>
      <w:r w:rsidRPr="00A67C76">
        <w:t>nursery ground for fish.</w:t>
      </w:r>
    </w:p>
    <w:p w:rsidR="0067231F" w:rsidRPr="00A67C76" w:rsidRDefault="0067231F" w:rsidP="0067231F">
      <w:r w:rsidRPr="00A67C76">
        <w:t>The composition of fish assemblages attempting to access wetlands in the ‘Murray Gorge’ region will be different compared to those attempting to access wetlands in the ‘Floodplain’ region of the Lower Murray River.</w:t>
      </w:r>
    </w:p>
    <w:p w:rsidR="0067231F" w:rsidRPr="00A67C76" w:rsidRDefault="0067231F" w:rsidP="0067231F">
      <w:r w:rsidRPr="00A67C76">
        <w:t>Changes in environmental conditions (hydrology, i.e. water level, water temperature, salinity, flow direction, flow velocity) associated with different phases of environmental water delivery to South Australia will influence the abundance and diversity of native and non-native fish assemblages moving between the main channel and off-channel wetland habitats in the Lower Murray River.</w:t>
      </w:r>
    </w:p>
    <w:p w:rsidR="0067231F" w:rsidRPr="00A67C76" w:rsidRDefault="0067231F" w:rsidP="0067231F">
      <w:pPr>
        <w:rPr>
          <w:b/>
        </w:rPr>
      </w:pPr>
      <w:r w:rsidRPr="00A67C76">
        <w:rPr>
          <w:b/>
        </w:rPr>
        <w:t xml:space="preserve">Frog response </w:t>
      </w:r>
    </w:p>
    <w:p w:rsidR="0067231F" w:rsidRPr="00A67C76" w:rsidRDefault="0067231F" w:rsidP="0067231F">
      <w:pPr>
        <w:rPr>
          <w:i/>
          <w:u w:val="single"/>
        </w:rPr>
      </w:pPr>
      <w:r w:rsidRPr="00A67C76">
        <w:rPr>
          <w:bCs/>
          <w:i/>
          <w:u w:val="single"/>
        </w:rPr>
        <w:t xml:space="preserve">Commonwealth environmental watering objectives: </w:t>
      </w:r>
      <w:r w:rsidRPr="00A67C76">
        <w:rPr>
          <w:i/>
          <w:u w:val="single"/>
        </w:rPr>
        <w:t>Ecosystem functions and connectivity/fauna</w:t>
      </w:r>
    </w:p>
    <w:p w:rsidR="0067231F" w:rsidRPr="00A67C76" w:rsidRDefault="00067352" w:rsidP="0067231F">
      <w:pPr>
        <w:numPr>
          <w:ilvl w:val="0"/>
          <w:numId w:val="11"/>
        </w:numPr>
      </w:pPr>
      <w:proofErr w:type="gramStart"/>
      <w:r w:rsidRPr="00A67C76">
        <w:t>p</w:t>
      </w:r>
      <w:r w:rsidR="0067231F" w:rsidRPr="00A67C76">
        <w:t>rovide</w:t>
      </w:r>
      <w:proofErr w:type="gramEnd"/>
      <w:r w:rsidR="0067231F" w:rsidRPr="00A67C76">
        <w:t xml:space="preserve"> a flow regime which supports key ecosystem functions, related to connectivity between the river and the floodplain.</w:t>
      </w:r>
    </w:p>
    <w:p w:rsidR="0067231F" w:rsidRPr="00A67C76" w:rsidRDefault="0067231F" w:rsidP="0067231F">
      <w:r w:rsidRPr="00A67C76">
        <w:rPr>
          <w:bCs/>
          <w:i/>
          <w:u w:val="single"/>
        </w:rPr>
        <w:t>Hypotheses:</w:t>
      </w:r>
      <w:r w:rsidRPr="00A67C76">
        <w:rPr>
          <w:b/>
          <w:bCs/>
        </w:rPr>
        <w:t xml:space="preserve"> </w:t>
      </w:r>
      <w:r w:rsidRPr="00A67C76">
        <w:t xml:space="preserve">Increased flow in the Lower Murray River (peak and duration) in spring/summer </w:t>
      </w:r>
      <w:r w:rsidR="00333041" w:rsidRPr="00A67C76">
        <w:t>2012</w:t>
      </w:r>
      <w:r w:rsidR="00FD328A" w:rsidRPr="00FD328A">
        <w:t>-13</w:t>
      </w:r>
      <w:r w:rsidRPr="00A67C76">
        <w:t xml:space="preserve"> as a result of environmental watering will </w:t>
      </w:r>
    </w:p>
    <w:p w:rsidR="0067231F" w:rsidRPr="00A67C76" w:rsidRDefault="00067352" w:rsidP="0067231F">
      <w:pPr>
        <w:numPr>
          <w:ilvl w:val="0"/>
          <w:numId w:val="11"/>
        </w:numPr>
      </w:pPr>
      <w:proofErr w:type="gramStart"/>
      <w:r w:rsidRPr="00A67C76">
        <w:t>l</w:t>
      </w:r>
      <w:r w:rsidR="0067231F" w:rsidRPr="00A67C76">
        <w:t>ead</w:t>
      </w:r>
      <w:proofErr w:type="gramEnd"/>
      <w:r w:rsidR="0067231F" w:rsidRPr="00A67C76">
        <w:t xml:space="preserve"> to an increase in frog distribution, diversity and relative abundance in comparison to previous lower flow years.</w:t>
      </w:r>
    </w:p>
    <w:p w:rsidR="0067231F" w:rsidRPr="00A67C76" w:rsidRDefault="00067352" w:rsidP="0067231F">
      <w:pPr>
        <w:numPr>
          <w:ilvl w:val="0"/>
          <w:numId w:val="11"/>
        </w:numPr>
      </w:pPr>
      <w:proofErr w:type="gramStart"/>
      <w:r w:rsidRPr="00A67C76">
        <w:t>i</w:t>
      </w:r>
      <w:r w:rsidR="0067231F" w:rsidRPr="00A67C76">
        <w:t>ncrease</w:t>
      </w:r>
      <w:proofErr w:type="gramEnd"/>
      <w:r w:rsidR="0067231F" w:rsidRPr="00A67C76">
        <w:t xml:space="preserve"> the extent of frog habitat within each of the South Australian River reaches.</w:t>
      </w:r>
    </w:p>
    <w:p w:rsidR="00985F69" w:rsidRPr="00A67C76" w:rsidRDefault="005178B0" w:rsidP="00985F69">
      <w:pPr>
        <w:pStyle w:val="Heading3"/>
      </w:pPr>
      <w:r w:rsidRPr="00A67C76">
        <w:br w:type="page"/>
      </w:r>
      <w:bookmarkStart w:id="37" w:name="_Toc387843579"/>
      <w:r w:rsidR="0067231F" w:rsidRPr="00A67C76">
        <w:t>Coorong (modelling)</w:t>
      </w:r>
      <w:bookmarkEnd w:id="37"/>
    </w:p>
    <w:p w:rsidR="0067231F" w:rsidRPr="00A67C76" w:rsidRDefault="0067231F" w:rsidP="0067231F">
      <w:pPr>
        <w:rPr>
          <w:b/>
        </w:rPr>
      </w:pPr>
      <w:r w:rsidRPr="00A67C76">
        <w:rPr>
          <w:b/>
          <w:i/>
        </w:rPr>
        <w:t>Ruppia tuberosa</w:t>
      </w:r>
      <w:r w:rsidRPr="00A67C76">
        <w:rPr>
          <w:b/>
        </w:rPr>
        <w:t xml:space="preserve"> and fish habitat </w:t>
      </w:r>
    </w:p>
    <w:p w:rsidR="0067231F" w:rsidRPr="00A67C76" w:rsidRDefault="0067231F" w:rsidP="0067231F">
      <w:pPr>
        <w:rPr>
          <w:i/>
          <w:u w:val="single"/>
        </w:rPr>
      </w:pPr>
      <w:r w:rsidRPr="00A67C76">
        <w:rPr>
          <w:i/>
          <w:u w:val="single"/>
        </w:rPr>
        <w:t>Commonwealth environmental watering objectives: Ecosystem function and connectivity (Coorong)</w:t>
      </w:r>
    </w:p>
    <w:p w:rsidR="0067231F" w:rsidRPr="00A67C76" w:rsidRDefault="00067352" w:rsidP="0067231F">
      <w:pPr>
        <w:numPr>
          <w:ilvl w:val="0"/>
          <w:numId w:val="10"/>
        </w:numPr>
      </w:pPr>
      <w:r w:rsidRPr="00A67C76">
        <w:t>p</w:t>
      </w:r>
      <w:r w:rsidR="0067231F" w:rsidRPr="00A67C76">
        <w:t>rovide a flow regime that supports ecosystem functions related to longitudinal connectivity</w:t>
      </w:r>
    </w:p>
    <w:p w:rsidR="0067231F" w:rsidRPr="00A67C76" w:rsidRDefault="0067231F" w:rsidP="0067231F">
      <w:r w:rsidRPr="00A67C76">
        <w:rPr>
          <w:bCs/>
          <w:i/>
          <w:u w:val="single"/>
        </w:rPr>
        <w:t>Hypotheses:</w:t>
      </w:r>
      <w:r w:rsidRPr="00A67C76">
        <w:rPr>
          <w:b/>
          <w:bCs/>
        </w:rPr>
        <w:t xml:space="preserve"> </w:t>
      </w:r>
      <w:r w:rsidRPr="00A67C76">
        <w:t xml:space="preserve">Increased freshwater flow through the barrages and into the Coorong due to environmental watering will </w:t>
      </w:r>
      <w:r w:rsidR="004E0976">
        <w:t>reduce</w:t>
      </w:r>
      <w:r w:rsidRPr="00A67C76">
        <w:t xml:space="preserve"> salinity and </w:t>
      </w:r>
      <w:r w:rsidR="004E0976">
        <w:t xml:space="preserve">increase </w:t>
      </w:r>
      <w:r w:rsidRPr="00A67C76">
        <w:t>water levels in the Coorong</w:t>
      </w:r>
      <w:r w:rsidR="004E0976">
        <w:t>,</w:t>
      </w:r>
      <w:r w:rsidRPr="00A67C76">
        <w:t xml:space="preserve"> thus enhancing </w:t>
      </w:r>
      <w:r w:rsidRPr="00A67C76">
        <w:rPr>
          <w:i/>
        </w:rPr>
        <w:t>Ruppia tuberosa</w:t>
      </w:r>
      <w:r w:rsidRPr="00A67C76">
        <w:t xml:space="preserve"> and fish habitats.</w:t>
      </w:r>
    </w:p>
    <w:p w:rsidR="0067231F" w:rsidRPr="00A67C76" w:rsidRDefault="0067231F" w:rsidP="003B591A">
      <w:pPr>
        <w:rPr>
          <w:b/>
          <w:i/>
          <w:sz w:val="24"/>
          <w:szCs w:val="24"/>
        </w:rPr>
      </w:pPr>
      <w:r w:rsidRPr="00A67C76">
        <w:rPr>
          <w:b/>
          <w:i/>
          <w:sz w:val="24"/>
          <w:szCs w:val="24"/>
        </w:rPr>
        <w:t>Evaluation questions</w:t>
      </w:r>
    </w:p>
    <w:p w:rsidR="0067231F" w:rsidRPr="00A67C76" w:rsidRDefault="0067231F" w:rsidP="0067231F">
      <w:r w:rsidRPr="00A67C76">
        <w:t>The following key evaluation questions will be addressed through the seven project tasks:</w:t>
      </w:r>
    </w:p>
    <w:p w:rsidR="0067231F" w:rsidRPr="00A67C76" w:rsidRDefault="0067231F" w:rsidP="0067231F">
      <w:r w:rsidRPr="00A67C76">
        <w:t>Has environmental water:</w:t>
      </w:r>
    </w:p>
    <w:p w:rsidR="00E90EFC" w:rsidRDefault="00E90EFC" w:rsidP="0067231F">
      <w:pPr>
        <w:numPr>
          <w:ilvl w:val="0"/>
          <w:numId w:val="7"/>
        </w:numPr>
      </w:pPr>
      <w:r w:rsidRPr="00A67C76">
        <w:t>Contributed to the maintenance or improvement of the lateral connectivity between wetlands and the low lying floodplain in the Lower Murray River?</w:t>
      </w:r>
    </w:p>
    <w:p w:rsidR="0067231F" w:rsidRPr="00A67C76" w:rsidRDefault="0067231F" w:rsidP="0067231F">
      <w:pPr>
        <w:numPr>
          <w:ilvl w:val="0"/>
          <w:numId w:val="7"/>
        </w:numPr>
      </w:pPr>
      <w:r w:rsidRPr="00A67C76">
        <w:t>Supported the spawning and recruitment of native fish in the Lower Murray River?</w:t>
      </w:r>
    </w:p>
    <w:p w:rsidR="0067231F" w:rsidRPr="00A67C76" w:rsidRDefault="0067231F" w:rsidP="0067231F">
      <w:pPr>
        <w:numPr>
          <w:ilvl w:val="0"/>
          <w:numId w:val="7"/>
        </w:numPr>
      </w:pPr>
      <w:r w:rsidRPr="00A67C76">
        <w:t>Contributed to the provision of adequate larval fish food resources in the Lower Murray region?</w:t>
      </w:r>
    </w:p>
    <w:p w:rsidR="00E90EFC" w:rsidRPr="00A67C76" w:rsidRDefault="00E90EFC" w:rsidP="00E90EFC">
      <w:pPr>
        <w:numPr>
          <w:ilvl w:val="0"/>
          <w:numId w:val="7"/>
        </w:numPr>
      </w:pPr>
      <w:r w:rsidRPr="00A67C76">
        <w:t xml:space="preserve">Contributed to the transport of salt, nutrients and other dissolved and particulate matter through the Murray Mouth?  </w:t>
      </w:r>
    </w:p>
    <w:p w:rsidR="00E90EFC" w:rsidRPr="00A67C76" w:rsidRDefault="00E90EFC" w:rsidP="00E90EFC">
      <w:pPr>
        <w:numPr>
          <w:ilvl w:val="0"/>
          <w:numId w:val="7"/>
        </w:numPr>
      </w:pPr>
      <w:r w:rsidRPr="00A67C76">
        <w:t>Improved the lateral movements of fish?</w:t>
      </w:r>
    </w:p>
    <w:p w:rsidR="007507D4" w:rsidRDefault="00E90EFC" w:rsidP="00E90EFC">
      <w:pPr>
        <w:numPr>
          <w:ilvl w:val="0"/>
          <w:numId w:val="7"/>
        </w:numPr>
      </w:pPr>
      <w:r w:rsidRPr="00A67C76">
        <w:t>Supported the breeding of frogs in the wetlands of the Lower Murray River?</w:t>
      </w:r>
    </w:p>
    <w:p w:rsidR="00E90EFC" w:rsidRPr="00A67C76" w:rsidRDefault="00E90EFC" w:rsidP="00E90EFC">
      <w:pPr>
        <w:numPr>
          <w:ilvl w:val="0"/>
          <w:numId w:val="7"/>
        </w:numPr>
      </w:pPr>
      <w:r w:rsidRPr="00A67C76">
        <w:t xml:space="preserve">Provided benefits for </w:t>
      </w:r>
      <w:r w:rsidRPr="00A67C76">
        <w:rPr>
          <w:i/>
        </w:rPr>
        <w:t xml:space="preserve">Ruppia tuberosa </w:t>
      </w:r>
      <w:r w:rsidRPr="00A67C76">
        <w:t>and fish habitat in the Coorong?</w:t>
      </w:r>
    </w:p>
    <w:p w:rsidR="0067231F" w:rsidRPr="00A67C76" w:rsidRDefault="007507D4" w:rsidP="007507D4">
      <w:pPr>
        <w:numPr>
          <w:ilvl w:val="0"/>
          <w:numId w:val="7"/>
        </w:numPr>
      </w:pPr>
      <w:r w:rsidRPr="00A67C76">
        <w:t>How do these results inform future watering?</w:t>
      </w:r>
    </w:p>
    <w:p w:rsidR="0067231F" w:rsidRPr="00A67C76" w:rsidRDefault="0067231F" w:rsidP="0067231F">
      <w:r w:rsidRPr="00A67C76">
        <w:t xml:space="preserve">This report presents the findings and outcomes during the </w:t>
      </w:r>
      <w:r w:rsidR="00333041" w:rsidRPr="00A67C76">
        <w:t>2012</w:t>
      </w:r>
      <w:r w:rsidR="00FD328A" w:rsidRPr="00FD328A">
        <w:t>-13</w:t>
      </w:r>
      <w:r w:rsidRPr="00A67C76">
        <w:t xml:space="preserve"> intervention monitoring for environmental watering in the Lower Murray River (South Australia). </w:t>
      </w:r>
    </w:p>
    <w:p w:rsidR="0067231F" w:rsidRPr="00A67C76" w:rsidRDefault="0067231F" w:rsidP="00A62C74"/>
    <w:p w:rsidR="00A62C74" w:rsidRPr="00A67C76" w:rsidRDefault="00A62C74" w:rsidP="00A62C74">
      <w:pPr>
        <w:pStyle w:val="Caption"/>
        <w:rPr>
          <w:rStyle w:val="CharChar7"/>
          <w:rFonts w:ascii="Century Gothic" w:eastAsiaTheme="majorEastAsia" w:hAnsi="Century Gothic" w:cs="Times New Roman"/>
          <w:color w:val="auto"/>
          <w:spacing w:val="0"/>
          <w:sz w:val="20"/>
        </w:rPr>
      </w:pPr>
    </w:p>
    <w:p w:rsidR="002D7DE0" w:rsidRPr="00A67C76" w:rsidRDefault="002D7DE0">
      <w:pPr>
        <w:spacing w:after="200" w:line="276" w:lineRule="auto"/>
        <w:rPr>
          <w:rFonts w:eastAsiaTheme="majorEastAsia" w:cstheme="majorBidi"/>
          <w:b/>
          <w:bCs/>
          <w:color w:val="1F497D" w:themeColor="text2"/>
          <w:sz w:val="26"/>
          <w:szCs w:val="26"/>
        </w:rPr>
      </w:pPr>
      <w:r w:rsidRPr="00A67C76">
        <w:br w:type="page"/>
      </w:r>
    </w:p>
    <w:p w:rsidR="005D1601" w:rsidRPr="00A67C76" w:rsidRDefault="005D1601" w:rsidP="001360D3">
      <w:pPr>
        <w:pStyle w:val="Heading1"/>
      </w:pPr>
      <w:bookmarkStart w:id="38" w:name="_Toc387843580"/>
      <w:r w:rsidRPr="00A67C76">
        <w:t>Biology and ecology background for tasks</w:t>
      </w:r>
      <w:bookmarkEnd w:id="38"/>
    </w:p>
    <w:p w:rsidR="005D1601" w:rsidRPr="00A67C76" w:rsidRDefault="005D1601" w:rsidP="007507D4">
      <w:pPr>
        <w:pStyle w:val="Heading2"/>
      </w:pPr>
      <w:bookmarkStart w:id="39" w:name="_Toc387843581"/>
      <w:r w:rsidRPr="00A67C76">
        <w:t>Main channel</w:t>
      </w:r>
      <w:bookmarkEnd w:id="39"/>
    </w:p>
    <w:p w:rsidR="005D1601" w:rsidRPr="00A67C76" w:rsidRDefault="005D1601" w:rsidP="008F0A76">
      <w:pPr>
        <w:rPr>
          <w:b/>
        </w:rPr>
      </w:pPr>
      <w:r w:rsidRPr="00A67C76">
        <w:rPr>
          <w:b/>
        </w:rPr>
        <w:t>Larval fish</w:t>
      </w:r>
    </w:p>
    <w:p w:rsidR="005D1601" w:rsidRPr="00A67C76" w:rsidRDefault="005D1601" w:rsidP="005D1601">
      <w:pPr>
        <w:rPr>
          <w:szCs w:val="22"/>
        </w:rPr>
      </w:pPr>
      <w:r w:rsidRPr="00A67C76">
        <w:rPr>
          <w:szCs w:val="22"/>
        </w:rPr>
        <w:t xml:space="preserve">In Australia, studies have been conducted to improve our understanding of the significance of flows and/or floodplains on key aspects of fish population dynamics including spawning and recruitment </w:t>
      </w:r>
      <w:r w:rsidRPr="00A67C76">
        <w:rPr>
          <w:noProof/>
          <w:szCs w:val="22"/>
        </w:rPr>
        <w:t>(e.g. Harris and Gehrke 1994; Humphries</w:t>
      </w:r>
      <w:r w:rsidRPr="00A67C76">
        <w:rPr>
          <w:i/>
          <w:noProof/>
          <w:szCs w:val="22"/>
        </w:rPr>
        <w:t xml:space="preserve"> et al.</w:t>
      </w:r>
      <w:r w:rsidRPr="00A67C76">
        <w:rPr>
          <w:noProof/>
          <w:szCs w:val="22"/>
        </w:rPr>
        <w:t xml:space="preserve"> 1999; King</w:t>
      </w:r>
      <w:r w:rsidRPr="00A67C76">
        <w:rPr>
          <w:i/>
          <w:noProof/>
          <w:szCs w:val="22"/>
        </w:rPr>
        <w:t xml:space="preserve"> et al.</w:t>
      </w:r>
      <w:r w:rsidRPr="00A67C76">
        <w:rPr>
          <w:noProof/>
          <w:szCs w:val="22"/>
        </w:rPr>
        <w:t xml:space="preserve"> 2003; Mallen-Cooper and Stuart 2003; Graham and Harris 2005; Arthington</w:t>
      </w:r>
      <w:r w:rsidRPr="00A67C76">
        <w:rPr>
          <w:i/>
          <w:noProof/>
          <w:szCs w:val="22"/>
        </w:rPr>
        <w:t xml:space="preserve"> et al.</w:t>
      </w:r>
      <w:r w:rsidRPr="00A67C76">
        <w:rPr>
          <w:noProof/>
          <w:szCs w:val="22"/>
        </w:rPr>
        <w:t xml:space="preserve"> 2006; King</w:t>
      </w:r>
      <w:r w:rsidRPr="00A67C76">
        <w:rPr>
          <w:i/>
          <w:noProof/>
          <w:szCs w:val="22"/>
        </w:rPr>
        <w:t xml:space="preserve"> et al.</w:t>
      </w:r>
      <w:r w:rsidRPr="00A67C76">
        <w:rPr>
          <w:noProof/>
          <w:szCs w:val="22"/>
        </w:rPr>
        <w:t xml:space="preserve"> 2007; Ye</w:t>
      </w:r>
      <w:r w:rsidRPr="00A67C76">
        <w:rPr>
          <w:i/>
          <w:noProof/>
          <w:szCs w:val="22"/>
        </w:rPr>
        <w:t xml:space="preserve"> et al.</w:t>
      </w:r>
      <w:r w:rsidRPr="00A67C76">
        <w:rPr>
          <w:noProof/>
          <w:szCs w:val="22"/>
        </w:rPr>
        <w:t xml:space="preserve"> 2008; Ebner</w:t>
      </w:r>
      <w:r w:rsidRPr="00A67C76">
        <w:rPr>
          <w:i/>
          <w:noProof/>
          <w:szCs w:val="22"/>
        </w:rPr>
        <w:t xml:space="preserve"> et al.</w:t>
      </w:r>
      <w:r w:rsidRPr="00A67C76">
        <w:rPr>
          <w:noProof/>
          <w:szCs w:val="22"/>
        </w:rPr>
        <w:t xml:space="preserve"> 2009; Cheshire</w:t>
      </w:r>
      <w:r w:rsidRPr="00A67C76">
        <w:rPr>
          <w:i/>
          <w:noProof/>
          <w:szCs w:val="22"/>
        </w:rPr>
        <w:t xml:space="preserve"> et al.</w:t>
      </w:r>
      <w:r w:rsidRPr="00A67C76">
        <w:rPr>
          <w:noProof/>
          <w:szCs w:val="22"/>
        </w:rPr>
        <w:t xml:space="preserve"> 2012)</w:t>
      </w:r>
      <w:r w:rsidRPr="00A67C76">
        <w:rPr>
          <w:szCs w:val="22"/>
        </w:rPr>
        <w:t xml:space="preserve">. Indeed two analogous fish recruitment models have been developed based on observations from temperate Australian floodplain rivers, the flood recruitment model (FRM) (Harris and Gehrke 1994) and the low flow recruitment hypothesis (LFRH) (Humphries </w:t>
      </w:r>
      <w:r w:rsidRPr="00A67C76">
        <w:rPr>
          <w:i/>
          <w:szCs w:val="22"/>
        </w:rPr>
        <w:t>et al.</w:t>
      </w:r>
      <w:r w:rsidRPr="00A67C76">
        <w:rPr>
          <w:szCs w:val="22"/>
        </w:rPr>
        <w:t xml:space="preserve"> 1999). The FRM, developed following the principles of the flood pulse concept </w:t>
      </w:r>
      <w:r w:rsidRPr="00A67C76">
        <w:rPr>
          <w:noProof/>
          <w:szCs w:val="22"/>
        </w:rPr>
        <w:t>(Junk</w:t>
      </w:r>
      <w:r w:rsidRPr="00A67C76">
        <w:rPr>
          <w:i/>
          <w:noProof/>
          <w:szCs w:val="22"/>
        </w:rPr>
        <w:t xml:space="preserve"> et al.</w:t>
      </w:r>
      <w:r w:rsidRPr="00A67C76">
        <w:rPr>
          <w:noProof/>
          <w:szCs w:val="22"/>
        </w:rPr>
        <w:t xml:space="preserve"> 1989)</w:t>
      </w:r>
      <w:r w:rsidRPr="00A67C76">
        <w:rPr>
          <w:szCs w:val="22"/>
        </w:rPr>
        <w:t xml:space="preserve">, proposes two methods by which increased flows may enhance recruitment in river fish: flooding directly triggers spawning, and/or flooding indirectly enhances the survival of larvae and juveniles by providing suitable food and habitat on the inundated floodplain (Harris and Gehrke 1994). Despite widespread acceptance of the principles of the flood pulse concept and FRM, many Australian riverine fish have developed more plastic life histories with reproduction occurring during periods of low flows </w:t>
      </w:r>
      <w:r w:rsidRPr="00A67C76">
        <w:rPr>
          <w:noProof/>
          <w:szCs w:val="22"/>
        </w:rPr>
        <w:t xml:space="preserve">(e.g. Humphries </w:t>
      </w:r>
      <w:r w:rsidRPr="00A67C76">
        <w:rPr>
          <w:i/>
          <w:noProof/>
          <w:szCs w:val="22"/>
        </w:rPr>
        <w:t>et al.</w:t>
      </w:r>
      <w:r w:rsidRPr="00A67C76">
        <w:rPr>
          <w:noProof/>
          <w:szCs w:val="22"/>
        </w:rPr>
        <w:t xml:space="preserve"> 1999; King </w:t>
      </w:r>
      <w:r w:rsidRPr="00A67C76">
        <w:rPr>
          <w:i/>
          <w:noProof/>
          <w:szCs w:val="22"/>
        </w:rPr>
        <w:t>et al.</w:t>
      </w:r>
      <w:r w:rsidRPr="00A67C76">
        <w:rPr>
          <w:noProof/>
          <w:szCs w:val="22"/>
        </w:rPr>
        <w:t xml:space="preserve"> 2003; Zeug and Winemiller 2008; Cheshire 2010)</w:t>
      </w:r>
      <w:r w:rsidRPr="00A67C76">
        <w:rPr>
          <w:szCs w:val="22"/>
        </w:rPr>
        <w:t xml:space="preserve">. </w:t>
      </w:r>
      <w:proofErr w:type="gramStart"/>
      <w:r w:rsidRPr="00A67C76">
        <w:rPr>
          <w:szCs w:val="22"/>
        </w:rPr>
        <w:t xml:space="preserve">The LFRH (Humphries </w:t>
      </w:r>
      <w:r w:rsidRPr="00A67C76">
        <w:rPr>
          <w:i/>
          <w:szCs w:val="22"/>
        </w:rPr>
        <w:t>et al.</w:t>
      </w:r>
      <w:r w:rsidRPr="00A67C76">
        <w:rPr>
          <w:szCs w:val="22"/>
        </w:rPr>
        <w:t xml:space="preserve"> 1999) highlights that some species can successfully spawn and recruit during low within-channel flows.</w:t>
      </w:r>
      <w:proofErr w:type="gramEnd"/>
      <w:r w:rsidRPr="00A67C76">
        <w:rPr>
          <w:szCs w:val="22"/>
        </w:rPr>
        <w:t xml:space="preserve"> Specifically, larval fish studies during the recent extended drought period have demonstrated that the LFRH is applicable in the </w:t>
      </w:r>
      <w:r w:rsidR="00F5496D" w:rsidRPr="00A67C76">
        <w:rPr>
          <w:szCs w:val="22"/>
        </w:rPr>
        <w:t>Lower Murray River</w:t>
      </w:r>
      <w:r w:rsidRPr="00A67C76">
        <w:rPr>
          <w:szCs w:val="22"/>
        </w:rPr>
        <w:t xml:space="preserve"> for small to medium-bodied native fish species </w:t>
      </w:r>
      <w:r w:rsidRPr="00A67C76">
        <w:rPr>
          <w:noProof/>
          <w:szCs w:val="22"/>
        </w:rPr>
        <w:t>(Cheshire 2010)</w:t>
      </w:r>
      <w:r w:rsidRPr="00A67C76">
        <w:rPr>
          <w:szCs w:val="22"/>
        </w:rPr>
        <w:t xml:space="preserve">. Whereas the 2010/11 high unregulated flows and extended flood period, allowed the investigation of the FRM in the </w:t>
      </w:r>
      <w:r w:rsidR="00F5496D" w:rsidRPr="00A67C76">
        <w:rPr>
          <w:szCs w:val="22"/>
        </w:rPr>
        <w:t>Lower Murray River</w:t>
      </w:r>
      <w:r w:rsidRPr="00A67C76">
        <w:rPr>
          <w:szCs w:val="22"/>
        </w:rPr>
        <w:t xml:space="preserve">, indicating some positive responses with increased abundance and distribution of larval fish in several large-bodied native species (golden perch, silver perch, Murray cod and freshwater catfish) </w:t>
      </w:r>
      <w:r w:rsidRPr="00A67C76">
        <w:rPr>
          <w:noProof/>
          <w:szCs w:val="22"/>
        </w:rPr>
        <w:t>(Cheshire</w:t>
      </w:r>
      <w:r w:rsidRPr="00A67C76">
        <w:rPr>
          <w:i/>
          <w:noProof/>
          <w:szCs w:val="22"/>
        </w:rPr>
        <w:t xml:space="preserve"> et al.</w:t>
      </w:r>
      <w:r w:rsidRPr="00A67C76">
        <w:rPr>
          <w:noProof/>
          <w:szCs w:val="22"/>
        </w:rPr>
        <w:t xml:space="preserve"> 2012)</w:t>
      </w:r>
      <w:r w:rsidRPr="00A67C76">
        <w:rPr>
          <w:szCs w:val="22"/>
        </w:rPr>
        <w:t>.</w:t>
      </w:r>
    </w:p>
    <w:p w:rsidR="005D1601" w:rsidRPr="00A67C76" w:rsidRDefault="005D1601" w:rsidP="005D1601">
      <w:pPr>
        <w:rPr>
          <w:szCs w:val="22"/>
        </w:rPr>
      </w:pPr>
      <w:r w:rsidRPr="00A67C76">
        <w:rPr>
          <w:szCs w:val="22"/>
        </w:rPr>
        <w:t xml:space="preserve">Larval fish mortality </w:t>
      </w:r>
      <w:r w:rsidR="002D7DE0" w:rsidRPr="00A67C76">
        <w:rPr>
          <w:szCs w:val="22"/>
        </w:rPr>
        <w:t>is commonly associated to either predation or starvation, and can be</w:t>
      </w:r>
      <w:r w:rsidRPr="00A67C76">
        <w:rPr>
          <w:szCs w:val="22"/>
        </w:rPr>
        <w:t xml:space="preserve"> exceptionally high (i.e. 90-99%) </w:t>
      </w:r>
      <w:proofErr w:type="gramStart"/>
      <w:r w:rsidRPr="00A67C76">
        <w:rPr>
          <w:noProof/>
          <w:szCs w:val="22"/>
        </w:rPr>
        <w:t>(Kelso and Rutherford 1996; Trippel and Chambers 1997)</w:t>
      </w:r>
      <w:r w:rsidRPr="00A67C76">
        <w:rPr>
          <w:szCs w:val="22"/>
        </w:rPr>
        <w:t>.</w:t>
      </w:r>
      <w:proofErr w:type="gramEnd"/>
      <w:r w:rsidRPr="00A67C76">
        <w:rPr>
          <w:szCs w:val="22"/>
        </w:rPr>
        <w:t xml:space="preserve"> The shift from endogenous (depends on internal yolk sac) to exogenous (depends on external resources) feeding is when starvation usually occurs and is referred to as the </w:t>
      </w:r>
      <w:r w:rsidRPr="00A67C76">
        <w:rPr>
          <w:i/>
          <w:szCs w:val="22"/>
        </w:rPr>
        <w:t>critical period</w:t>
      </w:r>
      <w:r w:rsidRPr="00A67C76">
        <w:rPr>
          <w:szCs w:val="22"/>
        </w:rPr>
        <w:t xml:space="preserve"> </w:t>
      </w:r>
      <w:r w:rsidRPr="00A67C76">
        <w:rPr>
          <w:noProof/>
          <w:szCs w:val="22"/>
        </w:rPr>
        <w:t>(May 1974)</w:t>
      </w:r>
      <w:r w:rsidRPr="00A67C76">
        <w:rPr>
          <w:szCs w:val="22"/>
        </w:rPr>
        <w:t xml:space="preserve">. It has been suggested that a temporal overlap between fish spawning and zooplankton abundance is needed for larval fish growth and survival </w:t>
      </w:r>
      <w:r w:rsidRPr="00A67C76">
        <w:rPr>
          <w:noProof/>
          <w:szCs w:val="22"/>
        </w:rPr>
        <w:t>(Cushing 1990)</w:t>
      </w:r>
      <w:r w:rsidRPr="00A67C76">
        <w:rPr>
          <w:szCs w:val="22"/>
        </w:rPr>
        <w:t xml:space="preserve">. To provide the required high densities of zooplankton, floodplain inundation has been suggested as a necessary event </w:t>
      </w:r>
      <w:r w:rsidRPr="00A67C76">
        <w:rPr>
          <w:noProof/>
          <w:szCs w:val="22"/>
        </w:rPr>
        <w:t xml:space="preserve">(Welcomme 1985; Junk </w:t>
      </w:r>
      <w:r w:rsidRPr="00A67C76">
        <w:rPr>
          <w:i/>
          <w:noProof/>
          <w:szCs w:val="22"/>
        </w:rPr>
        <w:t>et al</w:t>
      </w:r>
      <w:r w:rsidRPr="00A67C76">
        <w:rPr>
          <w:noProof/>
          <w:szCs w:val="22"/>
        </w:rPr>
        <w:t>. 1989; Harris and Gerke 1994)</w:t>
      </w:r>
      <w:r w:rsidRPr="00A67C76">
        <w:rPr>
          <w:szCs w:val="22"/>
        </w:rPr>
        <w:t xml:space="preserve">. In the MDB there is relatively little information on zooplankton composition in the main channel </w:t>
      </w:r>
      <w:r w:rsidRPr="00A67C76">
        <w:rPr>
          <w:noProof/>
          <w:szCs w:val="22"/>
        </w:rPr>
        <w:t>(but see Shiel</w:t>
      </w:r>
      <w:r w:rsidRPr="00A67C76">
        <w:rPr>
          <w:i/>
          <w:noProof/>
          <w:szCs w:val="22"/>
        </w:rPr>
        <w:t xml:space="preserve"> et al.</w:t>
      </w:r>
      <w:r w:rsidRPr="00A67C76">
        <w:rPr>
          <w:noProof/>
          <w:szCs w:val="22"/>
        </w:rPr>
        <w:t xml:space="preserve"> 1982; Shiel 1985; King 2004)</w:t>
      </w:r>
      <w:r w:rsidRPr="00A67C76">
        <w:rPr>
          <w:szCs w:val="22"/>
        </w:rPr>
        <w:t xml:space="preserve">. Zooplankton density </w:t>
      </w:r>
      <w:r w:rsidR="005A61FE">
        <w:rPr>
          <w:szCs w:val="22"/>
        </w:rPr>
        <w:t>and</w:t>
      </w:r>
      <w:r w:rsidRPr="00A67C76">
        <w:rPr>
          <w:szCs w:val="22"/>
        </w:rPr>
        <w:t xml:space="preserve"> species composition will affect larval fish survival. The species composition of the zooplanktonic community will determine the actual proportion of that community that is available as a food resource</w:t>
      </w:r>
      <w:r w:rsidR="005B179D" w:rsidRPr="00A67C76">
        <w:rPr>
          <w:szCs w:val="22"/>
        </w:rPr>
        <w:t>.</w:t>
      </w:r>
      <w:r w:rsidRPr="00A67C76">
        <w:rPr>
          <w:szCs w:val="22"/>
        </w:rPr>
        <w:t xml:space="preserve"> </w:t>
      </w:r>
      <w:r w:rsidR="005B179D" w:rsidRPr="00A67C76">
        <w:rPr>
          <w:szCs w:val="22"/>
        </w:rPr>
        <w:t>T</w:t>
      </w:r>
      <w:r w:rsidRPr="00A67C76">
        <w:rPr>
          <w:szCs w:val="22"/>
        </w:rPr>
        <w:t>he size and biochemical constitution (e.g. protein and fatty acids) of these food item</w:t>
      </w:r>
      <w:r w:rsidR="00555A4C" w:rsidRPr="00A67C76">
        <w:rPr>
          <w:szCs w:val="22"/>
        </w:rPr>
        <w:t xml:space="preserve">s are of particular importance. Larval fish mouth gap determines the size of zooplankters that may be consumed. </w:t>
      </w:r>
      <w:r w:rsidRPr="00A67C76">
        <w:rPr>
          <w:szCs w:val="22"/>
        </w:rPr>
        <w:t xml:space="preserve">The abundance of certain fatty acids in larval fish diets has been shown to be essential to larval fish development and growth </w:t>
      </w:r>
      <w:r w:rsidRPr="00A67C76">
        <w:rPr>
          <w:noProof/>
          <w:szCs w:val="22"/>
        </w:rPr>
        <w:t>(Coutteau</w:t>
      </w:r>
      <w:r w:rsidRPr="00A67C76">
        <w:rPr>
          <w:i/>
          <w:noProof/>
          <w:szCs w:val="22"/>
        </w:rPr>
        <w:t xml:space="preserve"> et al.</w:t>
      </w:r>
      <w:r w:rsidRPr="00A67C76">
        <w:rPr>
          <w:noProof/>
          <w:szCs w:val="22"/>
        </w:rPr>
        <w:t xml:space="preserve"> 1997; Tocher 2010</w:t>
      </w:r>
      <w:r w:rsidR="00555A4C" w:rsidRPr="00A67C76">
        <w:rPr>
          <w:noProof/>
          <w:szCs w:val="22"/>
        </w:rPr>
        <w:t>).</w:t>
      </w:r>
      <w:r w:rsidRPr="00A67C76">
        <w:rPr>
          <w:szCs w:val="22"/>
        </w:rPr>
        <w:t xml:space="preserve"> </w:t>
      </w:r>
    </w:p>
    <w:p w:rsidR="005D1601" w:rsidRPr="00A67C76" w:rsidRDefault="005D1601" w:rsidP="005D1601">
      <w:pPr>
        <w:rPr>
          <w:szCs w:val="22"/>
        </w:rPr>
      </w:pPr>
      <w:r w:rsidRPr="00A67C76">
        <w:rPr>
          <w:szCs w:val="22"/>
        </w:rPr>
        <w:t xml:space="preserve">Our understanding of the role of flows and flooding in the </w:t>
      </w:r>
      <w:r w:rsidR="00EC7B84" w:rsidRPr="00EC7B84">
        <w:rPr>
          <w:szCs w:val="22"/>
        </w:rPr>
        <w:t>life-history</w:t>
      </w:r>
      <w:r w:rsidRPr="00A67C76">
        <w:rPr>
          <w:szCs w:val="22"/>
        </w:rPr>
        <w:t xml:space="preserve"> cycles of many of the MDB fish has improved in recent years (e.g. Humphries </w:t>
      </w:r>
      <w:r w:rsidRPr="00A67C76">
        <w:rPr>
          <w:i/>
          <w:szCs w:val="22"/>
        </w:rPr>
        <w:t>et al.</w:t>
      </w:r>
      <w:r w:rsidRPr="00A67C76">
        <w:rPr>
          <w:szCs w:val="22"/>
        </w:rPr>
        <w:t xml:space="preserve"> 1999; King </w:t>
      </w:r>
      <w:r w:rsidRPr="00A67C76">
        <w:rPr>
          <w:i/>
          <w:szCs w:val="22"/>
        </w:rPr>
        <w:t>et al.</w:t>
      </w:r>
      <w:r w:rsidRPr="00A67C76">
        <w:rPr>
          <w:szCs w:val="22"/>
        </w:rPr>
        <w:t xml:space="preserve"> 2003; Mallen-Cooper and Stuart 2003; Graham and Harris 2005; Ebner </w:t>
      </w:r>
      <w:r w:rsidRPr="00A67C76">
        <w:rPr>
          <w:i/>
          <w:szCs w:val="22"/>
        </w:rPr>
        <w:t>et al.</w:t>
      </w:r>
      <w:r w:rsidRPr="00A67C76">
        <w:rPr>
          <w:szCs w:val="22"/>
        </w:rPr>
        <w:t xml:space="preserve"> 2009; King et </w:t>
      </w:r>
      <w:r w:rsidRPr="00A67C76">
        <w:rPr>
          <w:i/>
          <w:szCs w:val="22"/>
        </w:rPr>
        <w:t>al.</w:t>
      </w:r>
      <w:r w:rsidRPr="00A67C76">
        <w:rPr>
          <w:szCs w:val="22"/>
        </w:rPr>
        <w:t xml:space="preserve"> 2009; Cheshire 2010; Cheshire </w:t>
      </w:r>
      <w:r w:rsidRPr="00A67C76">
        <w:rPr>
          <w:i/>
          <w:szCs w:val="22"/>
        </w:rPr>
        <w:t>et al.</w:t>
      </w:r>
      <w:r w:rsidRPr="00A67C76">
        <w:rPr>
          <w:szCs w:val="22"/>
        </w:rPr>
        <w:t xml:space="preserve"> 2012). However, there are significant knowledge gaps on the specific environmental conditions required for successful fish spawning and recruitment and the complex mechanisms of how flow or other environmental factors affect fish (King </w:t>
      </w:r>
      <w:r w:rsidRPr="00A67C76">
        <w:rPr>
          <w:i/>
          <w:szCs w:val="22"/>
        </w:rPr>
        <w:t>et al.</w:t>
      </w:r>
      <w:r w:rsidRPr="00A67C76">
        <w:rPr>
          <w:szCs w:val="22"/>
        </w:rPr>
        <w:t xml:space="preserve"> 2009). Such knowledge is critical for the restoration of ecologically important components of the flow regime in order to rehabilitate native fish populations through environmental flow management (Walker et</w:t>
      </w:r>
      <w:r w:rsidRPr="00A67C76">
        <w:rPr>
          <w:i/>
          <w:szCs w:val="22"/>
        </w:rPr>
        <w:t xml:space="preserve"> al.</w:t>
      </w:r>
      <w:r w:rsidRPr="00A67C76">
        <w:rPr>
          <w:szCs w:val="22"/>
        </w:rPr>
        <w:t xml:space="preserve"> 1995; Arthington </w:t>
      </w:r>
      <w:r w:rsidRPr="00A67C76">
        <w:rPr>
          <w:i/>
          <w:szCs w:val="22"/>
        </w:rPr>
        <w:t>et al.</w:t>
      </w:r>
      <w:r w:rsidRPr="00A67C76">
        <w:rPr>
          <w:szCs w:val="22"/>
        </w:rPr>
        <w:t xml:space="preserve"> 2006). </w:t>
      </w:r>
    </w:p>
    <w:p w:rsidR="005D1601" w:rsidRPr="00A67C76" w:rsidRDefault="005D1601" w:rsidP="008F0A76">
      <w:pPr>
        <w:rPr>
          <w:b/>
        </w:rPr>
      </w:pPr>
      <w:r w:rsidRPr="00A67C76">
        <w:rPr>
          <w:b/>
        </w:rPr>
        <w:t>Food resources for larval fish</w:t>
      </w:r>
    </w:p>
    <w:p w:rsidR="005D1601" w:rsidRPr="00A67C76" w:rsidRDefault="005D1601" w:rsidP="005D1601">
      <w:pPr>
        <w:rPr>
          <w:szCs w:val="22"/>
        </w:rPr>
      </w:pPr>
      <w:r w:rsidRPr="00A67C76">
        <w:rPr>
          <w:szCs w:val="22"/>
        </w:rPr>
        <w:t>The trophic linkages of food webs determine the pathways and efficiency of organic carbon (food energy) transfer through ecosystems.  In a river ecosystem, sources of carbon originally fixed into organic material by photosynthesis can be detritus from the floodplains, or produced within the river by algae, attached biofilms and macrophytes.  In some cases fish can directly utilise this material, but in many cases the organic material is processed through the microbial community into forms that are suitable for use by higher organisms.</w:t>
      </w:r>
    </w:p>
    <w:p w:rsidR="005D1601" w:rsidRPr="00A67C76" w:rsidRDefault="005D1601" w:rsidP="005D1601">
      <w:pPr>
        <w:rPr>
          <w:szCs w:val="22"/>
        </w:rPr>
      </w:pPr>
      <w:r w:rsidRPr="00A67C76">
        <w:rPr>
          <w:szCs w:val="22"/>
        </w:rPr>
        <w:t xml:space="preserve">The importance of micro-organisms (bacteria, protists, ciliates, fungi, algae and zooplankton) as a major source of food for the larger organisms in freshwater systems is well recognised </w:t>
      </w:r>
      <w:r w:rsidRPr="00A67C76">
        <w:rPr>
          <w:noProof/>
          <w:szCs w:val="22"/>
        </w:rPr>
        <w:t>(Schmid-Araya and Schmid 2000; Pernthaler and Posch 2009)</w:t>
      </w:r>
      <w:r w:rsidRPr="00A67C76">
        <w:rPr>
          <w:szCs w:val="22"/>
        </w:rPr>
        <w:t xml:space="preserve">.  Flagellated protists that are approximately 5 µm in size are major consumers of bacteria in freshwater habitats and they excrete surplus nutrients to the surrounding environment.  Ciliates will graze on bacteria and algae and prey on other ciliates and flagellated protists.  Zooplankton can feed on algae, protists, ciliates and the zoospores of fungi.  Within this range of microorganisms, decomposers, detritivores, herbivores and carnivores all play a role in utilising, re-packaging and transferring the organic material between trophic levels.  The characteristics of these communities and their inter-connections reflect the environmental conditions such as flow, turbidity and water quality, the result being that species are linked together in a highly complex network over a wide range of spatial scales.  Microscopic eukaryotes are abundant in freshwater, but due to their size and a lack of taxonomic knowledge for these groups </w:t>
      </w:r>
      <w:r w:rsidRPr="00A67C76">
        <w:rPr>
          <w:noProof/>
          <w:szCs w:val="22"/>
        </w:rPr>
        <w:t>(Creer</w:t>
      </w:r>
      <w:r w:rsidRPr="00A67C76">
        <w:rPr>
          <w:i/>
          <w:noProof/>
          <w:szCs w:val="22"/>
        </w:rPr>
        <w:t xml:space="preserve"> et al.</w:t>
      </w:r>
      <w:r w:rsidRPr="00A67C76">
        <w:rPr>
          <w:noProof/>
          <w:szCs w:val="22"/>
        </w:rPr>
        <w:t xml:space="preserve"> 2010; Zinger</w:t>
      </w:r>
      <w:r w:rsidRPr="00A67C76">
        <w:rPr>
          <w:i/>
          <w:noProof/>
          <w:szCs w:val="22"/>
        </w:rPr>
        <w:t xml:space="preserve"> et al.</w:t>
      </w:r>
      <w:r w:rsidRPr="00A67C76">
        <w:rPr>
          <w:noProof/>
          <w:szCs w:val="22"/>
        </w:rPr>
        <w:t xml:space="preserve"> 2012)</w:t>
      </w:r>
      <w:r w:rsidRPr="00A67C76">
        <w:rPr>
          <w:szCs w:val="22"/>
        </w:rPr>
        <w:t xml:space="preserve"> surveying these taxa for their response to changing environmental conditions has been restricted.  With recently improved information, the analysis of micro-eukaryotic community structure is developing as a useful tool in sustainably managing aquatic environments and water resources </w:t>
      </w:r>
      <w:r w:rsidRPr="00A67C76">
        <w:rPr>
          <w:noProof/>
          <w:szCs w:val="22"/>
        </w:rPr>
        <w:t>(Bradford</w:t>
      </w:r>
      <w:r w:rsidRPr="00A67C76">
        <w:rPr>
          <w:i/>
          <w:noProof/>
          <w:szCs w:val="22"/>
        </w:rPr>
        <w:t xml:space="preserve"> et al.</w:t>
      </w:r>
      <w:r w:rsidRPr="00A67C76">
        <w:rPr>
          <w:noProof/>
          <w:szCs w:val="22"/>
        </w:rPr>
        <w:t xml:space="preserve"> 2013)</w:t>
      </w:r>
      <w:r w:rsidRPr="00A67C76">
        <w:rPr>
          <w:szCs w:val="22"/>
        </w:rPr>
        <w:t>.</w:t>
      </w:r>
    </w:p>
    <w:p w:rsidR="005D1601" w:rsidRPr="00A67C76" w:rsidRDefault="005D1601" w:rsidP="005D1601">
      <w:pPr>
        <w:rPr>
          <w:szCs w:val="22"/>
        </w:rPr>
      </w:pPr>
      <w:r w:rsidRPr="00A67C76">
        <w:rPr>
          <w:szCs w:val="22"/>
        </w:rPr>
        <w:t xml:space="preserve">Native fish populations in the </w:t>
      </w:r>
      <w:r w:rsidR="00E41741" w:rsidRPr="00A67C76">
        <w:rPr>
          <w:szCs w:val="22"/>
        </w:rPr>
        <w:t>Murray River</w:t>
      </w:r>
      <w:r w:rsidRPr="00A67C76">
        <w:rPr>
          <w:szCs w:val="22"/>
        </w:rPr>
        <w:t xml:space="preserve"> have declined over the last 100 years to about 10% of the pre-European level (MDBC 2013). Although the causes are still not well defined, water extraction, regulation of flow, invasive species, and climate change are all considered to be contributing factors.  A lack of knowledge of the food web position of the larvae and juveniles of native fish in the </w:t>
      </w:r>
      <w:r w:rsidR="00E41741" w:rsidRPr="00A67C76">
        <w:rPr>
          <w:szCs w:val="22"/>
        </w:rPr>
        <w:t>Murray River</w:t>
      </w:r>
      <w:r w:rsidRPr="00A67C76">
        <w:rPr>
          <w:szCs w:val="22"/>
        </w:rPr>
        <w:t xml:space="preserve"> makes it difficult to pin down the processes that may have contributed to their population decreases.  A critical stage in the life cycle of fish is when larval fish switch from endogenous to exogenous feeding.  This is a time when the availability of suitable prey can determine their survival and fish year-class strength.  Zooplankton are often considered to be major food resource for fish larvae but recent studies have shown that ciliates can account for 60% of the total carbon biomass consumed, however they are fragile and easily digested so were often not identified in traditional studies </w:t>
      </w:r>
      <w:r w:rsidRPr="00A67C76">
        <w:rPr>
          <w:noProof/>
          <w:szCs w:val="22"/>
        </w:rPr>
        <w:t>(Zingel</w:t>
      </w:r>
      <w:r w:rsidRPr="00A67C76">
        <w:rPr>
          <w:i/>
          <w:noProof/>
          <w:szCs w:val="22"/>
        </w:rPr>
        <w:t xml:space="preserve"> et al.</w:t>
      </w:r>
      <w:r w:rsidRPr="00A67C76">
        <w:rPr>
          <w:noProof/>
          <w:szCs w:val="22"/>
        </w:rPr>
        <w:t xml:space="preserve"> 2012)</w:t>
      </w:r>
      <w:r w:rsidRPr="00A67C76">
        <w:rPr>
          <w:szCs w:val="22"/>
        </w:rPr>
        <w:t xml:space="preserve">.  Food resources utilised by larvae can be identified by molecular amplification of gut content, which will detect the short fragments of prey items that are the products of digestion </w:t>
      </w:r>
      <w:r w:rsidRPr="00A67C76">
        <w:rPr>
          <w:noProof/>
          <w:szCs w:val="22"/>
        </w:rPr>
        <w:t>(Chow</w:t>
      </w:r>
      <w:r w:rsidRPr="00A67C76">
        <w:rPr>
          <w:i/>
          <w:noProof/>
          <w:szCs w:val="22"/>
        </w:rPr>
        <w:t xml:space="preserve"> et al.</w:t>
      </w:r>
      <w:r w:rsidRPr="00A67C76">
        <w:rPr>
          <w:noProof/>
          <w:szCs w:val="22"/>
        </w:rPr>
        <w:t xml:space="preserve"> 2011; Terahara</w:t>
      </w:r>
      <w:r w:rsidRPr="00A67C76">
        <w:rPr>
          <w:i/>
          <w:noProof/>
          <w:szCs w:val="22"/>
        </w:rPr>
        <w:t xml:space="preserve"> et al.</w:t>
      </w:r>
      <w:r w:rsidRPr="00A67C76">
        <w:rPr>
          <w:noProof/>
          <w:szCs w:val="22"/>
        </w:rPr>
        <w:t xml:space="preserve"> 2011; O'Rorke</w:t>
      </w:r>
      <w:r w:rsidRPr="00A67C76">
        <w:rPr>
          <w:i/>
          <w:noProof/>
          <w:szCs w:val="22"/>
        </w:rPr>
        <w:t xml:space="preserve"> et al.</w:t>
      </w:r>
      <w:r w:rsidRPr="00A67C76">
        <w:rPr>
          <w:noProof/>
          <w:szCs w:val="22"/>
        </w:rPr>
        <w:t xml:space="preserve"> 2012)</w:t>
      </w:r>
      <w:r w:rsidRPr="00A67C76">
        <w:rPr>
          <w:szCs w:val="22"/>
        </w:rPr>
        <w:t>.</w:t>
      </w:r>
    </w:p>
    <w:p w:rsidR="005D1601" w:rsidRPr="00A67C76" w:rsidRDefault="005D1601" w:rsidP="008F0A76">
      <w:pPr>
        <w:rPr>
          <w:b/>
        </w:rPr>
      </w:pPr>
      <w:r w:rsidRPr="00A67C76">
        <w:rPr>
          <w:b/>
        </w:rPr>
        <w:t xml:space="preserve">Dissolved and particulate material transport </w:t>
      </w:r>
    </w:p>
    <w:p w:rsidR="005D1601" w:rsidRPr="00A67C76" w:rsidRDefault="005D1601" w:rsidP="005D1601">
      <w:r w:rsidRPr="00A67C76">
        <w:t>Flow provides habitat and resources for aquatic organisms by altering the concentrations and transport of dissolved and particulate material. Here we consider dissolved and particulate material to include:</w:t>
      </w:r>
    </w:p>
    <w:p w:rsidR="005D1601" w:rsidRPr="00A67C76" w:rsidRDefault="00067352" w:rsidP="00807938">
      <w:pPr>
        <w:pStyle w:val="ListParagraph"/>
        <w:numPr>
          <w:ilvl w:val="0"/>
          <w:numId w:val="16"/>
        </w:numPr>
        <w:spacing w:before="120"/>
        <w:ind w:left="1134" w:hanging="425"/>
      </w:pPr>
      <w:proofErr w:type="gramStart"/>
      <w:r w:rsidRPr="00A67C76">
        <w:t>s</w:t>
      </w:r>
      <w:r w:rsidR="005D1601" w:rsidRPr="00A67C76">
        <w:t>alinity</w:t>
      </w:r>
      <w:proofErr w:type="gramEnd"/>
      <w:r w:rsidR="005D1601" w:rsidRPr="00A67C76">
        <w:t xml:space="preserve">, which is a measure of total dissolved salts and is a particularly important parameter governing the distribution and abundance of aquatic biota. Salinity is strongly influenced by flow through the alteration of groundwater inputs, evapoconcentration and intrusions of seawater </w:t>
      </w:r>
      <w:r w:rsidR="005D1601" w:rsidRPr="00A67C76">
        <w:rPr>
          <w:noProof/>
        </w:rPr>
        <w:t>(</w:t>
      </w:r>
      <w:r w:rsidR="005D1601" w:rsidRPr="00A67C76">
        <w:rPr>
          <w:rFonts w:eastAsia="Arial Unicode MS"/>
          <w:noProof/>
        </w:rPr>
        <w:t>Brookes</w:t>
      </w:r>
      <w:r w:rsidR="005D1601" w:rsidRPr="00A67C76">
        <w:rPr>
          <w:rFonts w:eastAsia="Arial Unicode MS"/>
          <w:i/>
          <w:noProof/>
        </w:rPr>
        <w:t xml:space="preserve"> et al.</w:t>
      </w:r>
      <w:r w:rsidR="005D1601" w:rsidRPr="00A67C76">
        <w:rPr>
          <w:rFonts w:eastAsia="Arial Unicode MS"/>
          <w:noProof/>
        </w:rPr>
        <w:t xml:space="preserve"> 2009; Aldridge</w:t>
      </w:r>
      <w:r w:rsidR="005D1601" w:rsidRPr="00A67C76">
        <w:rPr>
          <w:rFonts w:eastAsia="Arial Unicode MS"/>
          <w:i/>
          <w:noProof/>
        </w:rPr>
        <w:t xml:space="preserve"> et al.</w:t>
      </w:r>
      <w:r w:rsidR="005D1601" w:rsidRPr="00A67C76">
        <w:rPr>
          <w:rFonts w:eastAsia="Arial Unicode MS"/>
          <w:noProof/>
        </w:rPr>
        <w:t xml:space="preserve"> 2011; Aldridge</w:t>
      </w:r>
      <w:r w:rsidR="005D1601" w:rsidRPr="00A67C76">
        <w:rPr>
          <w:rFonts w:eastAsia="Arial Unicode MS"/>
          <w:i/>
          <w:noProof/>
        </w:rPr>
        <w:t xml:space="preserve"> et al.</w:t>
      </w:r>
      <w:r w:rsidR="005D1601" w:rsidRPr="00A67C76">
        <w:rPr>
          <w:rFonts w:eastAsia="Arial Unicode MS"/>
          <w:noProof/>
        </w:rPr>
        <w:t xml:space="preserve"> 2012; Mosley</w:t>
      </w:r>
      <w:r w:rsidR="005D1601" w:rsidRPr="00A67C76">
        <w:rPr>
          <w:rFonts w:eastAsia="Arial Unicode MS"/>
          <w:i/>
          <w:noProof/>
        </w:rPr>
        <w:t xml:space="preserve"> et al.</w:t>
      </w:r>
      <w:r w:rsidR="005D1601" w:rsidRPr="00A67C76">
        <w:rPr>
          <w:rFonts w:eastAsia="Arial Unicode MS"/>
          <w:noProof/>
        </w:rPr>
        <w:t xml:space="preserve"> 2012</w:t>
      </w:r>
      <w:r w:rsidR="005D1601" w:rsidRPr="00A67C76">
        <w:rPr>
          <w:noProof/>
        </w:rPr>
        <w:t>)</w:t>
      </w:r>
      <w:r w:rsidR="005D1601" w:rsidRPr="00A67C76">
        <w:t xml:space="preserve">. </w:t>
      </w:r>
    </w:p>
    <w:p w:rsidR="005D1601" w:rsidRPr="00A67C76" w:rsidRDefault="00067352" w:rsidP="00807938">
      <w:pPr>
        <w:pStyle w:val="ListParagraph"/>
        <w:numPr>
          <w:ilvl w:val="0"/>
          <w:numId w:val="16"/>
        </w:numPr>
        <w:spacing w:before="120"/>
        <w:ind w:left="1134" w:hanging="425"/>
      </w:pPr>
      <w:proofErr w:type="gramStart"/>
      <w:r w:rsidRPr="00A67C76">
        <w:t>d</w:t>
      </w:r>
      <w:r w:rsidR="005D1601" w:rsidRPr="00A67C76">
        <w:t>issolved</w:t>
      </w:r>
      <w:proofErr w:type="gramEnd"/>
      <w:r w:rsidR="005D1601" w:rsidRPr="00A67C76">
        <w:t xml:space="preserve"> inorganic nutrients, which are readily assimilated by biota and are essential resources for growth and survival </w:t>
      </w:r>
      <w:r w:rsidR="005D1601" w:rsidRPr="00A67C76">
        <w:rPr>
          <w:noProof/>
        </w:rPr>
        <w:t>(Poff</w:t>
      </w:r>
      <w:r w:rsidR="005D1601" w:rsidRPr="00A67C76">
        <w:rPr>
          <w:i/>
          <w:noProof/>
        </w:rPr>
        <w:t xml:space="preserve"> et al.</w:t>
      </w:r>
      <w:r w:rsidR="005D1601" w:rsidRPr="00A67C76">
        <w:rPr>
          <w:noProof/>
        </w:rPr>
        <w:t xml:space="preserve"> 1997)</w:t>
      </w:r>
      <w:r w:rsidR="005D1601" w:rsidRPr="00A67C76">
        <w:t>. Nitrogen, phosphorus and silica are particularly important because they often control the productivity of aquatic ecosystems. Flow results in the mobilisation and transport of dissolved nutrients through the leaching of nutrients from dried sediments and dead organic matter.</w:t>
      </w:r>
    </w:p>
    <w:p w:rsidR="005D1601" w:rsidRPr="00A67C76" w:rsidRDefault="00067352" w:rsidP="00807938">
      <w:pPr>
        <w:pStyle w:val="ListParagraph"/>
        <w:numPr>
          <w:ilvl w:val="0"/>
          <w:numId w:val="16"/>
        </w:numPr>
        <w:spacing w:before="120"/>
        <w:ind w:left="1134" w:hanging="425"/>
      </w:pPr>
      <w:proofErr w:type="gramStart"/>
      <w:r w:rsidRPr="00A67C76">
        <w:t>p</w:t>
      </w:r>
      <w:r w:rsidR="005D1601" w:rsidRPr="00A67C76">
        <w:t>articulate</w:t>
      </w:r>
      <w:proofErr w:type="gramEnd"/>
      <w:r w:rsidR="005D1601" w:rsidRPr="00A67C76">
        <w:t xml:space="preserve"> organic nutrients (phosphorus and nitrogen), which are those nutrients incorporated into the tissue of living and dead organisms. Flow can influence particulate organic nutrient concentrations and transport through a number of mechanisms, including through increased productivity associated with elevated dissolved nutrient concentrations.</w:t>
      </w:r>
    </w:p>
    <w:p w:rsidR="005D1601" w:rsidRPr="00A67C76" w:rsidRDefault="00067352" w:rsidP="00807938">
      <w:pPr>
        <w:pStyle w:val="ListParagraph"/>
        <w:numPr>
          <w:ilvl w:val="0"/>
          <w:numId w:val="16"/>
        </w:numPr>
        <w:spacing w:before="120"/>
        <w:ind w:left="1134" w:hanging="425"/>
      </w:pPr>
      <w:proofErr w:type="gramStart"/>
      <w:r w:rsidRPr="00A67C76">
        <w:t>c</w:t>
      </w:r>
      <w:r w:rsidR="005D1601" w:rsidRPr="00A67C76">
        <w:t>hlorophyll</w:t>
      </w:r>
      <w:proofErr w:type="gramEnd"/>
      <w:r w:rsidR="005D1601" w:rsidRPr="00A67C76">
        <w:t xml:space="preserve"> </w:t>
      </w:r>
      <w:r w:rsidR="005D1601" w:rsidRPr="00A67C76">
        <w:rPr>
          <w:i/>
        </w:rPr>
        <w:t>a</w:t>
      </w:r>
      <w:r w:rsidR="005D1601" w:rsidRPr="00A67C76">
        <w:t xml:space="preserve">, which is a measure of phytoplankton biomass, with phytoplankton being an important primary producer of riverine ecosystems. Flow can influence chlorophyll </w:t>
      </w:r>
      <w:r w:rsidR="005D1601" w:rsidRPr="00A67C76">
        <w:rPr>
          <w:i/>
        </w:rPr>
        <w:t>a</w:t>
      </w:r>
      <w:r w:rsidR="005D1601" w:rsidRPr="00A67C76">
        <w:t xml:space="preserve"> concentrations and transport through increased phytoplankton productivity. </w:t>
      </w:r>
    </w:p>
    <w:p w:rsidR="005D1601" w:rsidRPr="00A67C76" w:rsidRDefault="00067352" w:rsidP="00807938">
      <w:pPr>
        <w:pStyle w:val="ListParagraph"/>
        <w:numPr>
          <w:ilvl w:val="0"/>
          <w:numId w:val="16"/>
        </w:numPr>
        <w:spacing w:before="120"/>
        <w:ind w:left="1134" w:hanging="425"/>
      </w:pPr>
      <w:proofErr w:type="gramStart"/>
      <w:r w:rsidRPr="00A67C76">
        <w:t>t</w:t>
      </w:r>
      <w:r w:rsidR="005D1601" w:rsidRPr="00A67C76">
        <w:t>otal</w:t>
      </w:r>
      <w:proofErr w:type="gramEnd"/>
      <w:r w:rsidR="005D1601" w:rsidRPr="00A67C76">
        <w:t xml:space="preserve"> suspended solids, which is a measure of the total amount of inorganic and organic particulate material. It has a strong influence on light availability, which is important for structuring aquatic ecosystems (Geddes 1984</w:t>
      </w:r>
      <w:r w:rsidR="005A1FFE" w:rsidRPr="00A67C76">
        <w:t xml:space="preserve"> </w:t>
      </w:r>
      <w:r w:rsidR="005D1601" w:rsidRPr="00A67C76">
        <w:t>a</w:t>
      </w:r>
      <w:proofErr w:type="gramStart"/>
      <w:r w:rsidR="005D1601" w:rsidRPr="00A67C76">
        <w:t>,b</w:t>
      </w:r>
      <w:proofErr w:type="gramEnd"/>
      <w:r w:rsidR="005D1601" w:rsidRPr="00A67C76">
        <w:t>). It is influenced by flow through increased productivity as described previously, as well as the mobilisation of inorganic material from the floodplain and river channel (i</w:t>
      </w:r>
      <w:r w:rsidR="005A1FFE" w:rsidRPr="00A67C76">
        <w:t>.</w:t>
      </w:r>
      <w:r w:rsidR="005D1601" w:rsidRPr="00A67C76">
        <w:t xml:space="preserve">e. resuspension). </w:t>
      </w:r>
    </w:p>
    <w:p w:rsidR="005D1601" w:rsidRPr="00A67C76" w:rsidRDefault="005D1601" w:rsidP="005D1601">
      <w:r w:rsidRPr="00A67C76">
        <w:rPr>
          <w:rFonts w:eastAsia="Arial Unicode MS"/>
          <w:lang w:eastAsia="en-AU"/>
        </w:rPr>
        <w:t>Altering the flow regime of riverine systems has had significant consequences for the concentrations and transport of dissolved and particulate material (</w:t>
      </w:r>
      <w:r w:rsidRPr="00A67C76">
        <w:rPr>
          <w:rFonts w:eastAsia="Arial Unicode MS"/>
          <w:noProof/>
          <w:lang w:eastAsia="en-AU"/>
        </w:rPr>
        <w:t>Aldridge</w:t>
      </w:r>
      <w:r w:rsidRPr="00A67C76">
        <w:rPr>
          <w:rFonts w:eastAsia="Arial Unicode MS"/>
          <w:i/>
          <w:noProof/>
          <w:lang w:eastAsia="en-AU"/>
        </w:rPr>
        <w:t xml:space="preserve"> et al.</w:t>
      </w:r>
      <w:r w:rsidRPr="00A67C76">
        <w:rPr>
          <w:rFonts w:eastAsia="Arial Unicode MS"/>
          <w:noProof/>
          <w:lang w:eastAsia="en-AU"/>
        </w:rPr>
        <w:t xml:space="preserve"> 2012</w:t>
      </w:r>
      <w:r w:rsidRPr="00A67C76">
        <w:rPr>
          <w:rFonts w:eastAsia="Arial Unicode MS"/>
          <w:lang w:eastAsia="en-AU"/>
        </w:rPr>
        <w:t>). For example, reduced flow can result in salinisation through evapoconcentration and the intrusion of saline water; reduced sediment transport and increased sedimentation; reduced nutrient concentrations through due to decreased mobilisation of nutrients from the floodplain; reduced primary productivity because of nutrient limitation; and thus reduced secondary productivity. Such observations have been made in the Murray</w:t>
      </w:r>
      <w:r w:rsidR="00936721">
        <w:rPr>
          <w:rFonts w:eastAsia="Arial Unicode MS"/>
          <w:lang w:eastAsia="en-AU"/>
        </w:rPr>
        <w:t xml:space="preserve"> River</w:t>
      </w:r>
      <w:r w:rsidRPr="00A67C76">
        <w:rPr>
          <w:rFonts w:eastAsia="Arial Unicode MS"/>
          <w:lang w:eastAsia="en-AU"/>
        </w:rPr>
        <w:t xml:space="preserve">, including the Lower Murray River, Lower Lakes and Coorong </w:t>
      </w:r>
      <w:r w:rsidRPr="00A67C76">
        <w:rPr>
          <w:rFonts w:eastAsia="Arial Unicode MS"/>
          <w:noProof/>
          <w:lang w:eastAsia="en-AU"/>
        </w:rPr>
        <w:t>(Brookes</w:t>
      </w:r>
      <w:r w:rsidRPr="00A67C76">
        <w:rPr>
          <w:rFonts w:eastAsia="Arial Unicode MS"/>
          <w:i/>
          <w:noProof/>
          <w:lang w:eastAsia="en-AU"/>
        </w:rPr>
        <w:t xml:space="preserve"> et al.</w:t>
      </w:r>
      <w:r w:rsidRPr="00A67C76">
        <w:rPr>
          <w:rFonts w:eastAsia="Arial Unicode MS"/>
          <w:noProof/>
          <w:lang w:eastAsia="en-AU"/>
        </w:rPr>
        <w:t xml:space="preserve"> 2009; Aldridge</w:t>
      </w:r>
      <w:r w:rsidRPr="00A67C76">
        <w:rPr>
          <w:rFonts w:eastAsia="Arial Unicode MS"/>
          <w:i/>
          <w:noProof/>
          <w:lang w:eastAsia="en-AU"/>
        </w:rPr>
        <w:t xml:space="preserve"> et al.</w:t>
      </w:r>
      <w:r w:rsidRPr="00A67C76">
        <w:rPr>
          <w:rFonts w:eastAsia="Arial Unicode MS"/>
          <w:noProof/>
          <w:lang w:eastAsia="en-AU"/>
        </w:rPr>
        <w:t xml:space="preserve"> 2011; Aldridge</w:t>
      </w:r>
      <w:r w:rsidRPr="00A67C76">
        <w:rPr>
          <w:rFonts w:eastAsia="Arial Unicode MS"/>
          <w:i/>
          <w:noProof/>
          <w:lang w:eastAsia="en-AU"/>
        </w:rPr>
        <w:t xml:space="preserve"> et al.</w:t>
      </w:r>
      <w:r w:rsidRPr="00A67C76">
        <w:rPr>
          <w:rFonts w:eastAsia="Arial Unicode MS"/>
          <w:noProof/>
          <w:lang w:eastAsia="en-AU"/>
        </w:rPr>
        <w:t xml:space="preserve"> 2012; Mosley</w:t>
      </w:r>
      <w:r w:rsidRPr="00A67C76">
        <w:rPr>
          <w:rFonts w:eastAsia="Arial Unicode MS"/>
          <w:i/>
          <w:noProof/>
          <w:lang w:eastAsia="en-AU"/>
        </w:rPr>
        <w:t xml:space="preserve"> et al.</w:t>
      </w:r>
      <w:r w:rsidRPr="00A67C76">
        <w:rPr>
          <w:rFonts w:eastAsia="Arial Unicode MS"/>
          <w:noProof/>
          <w:lang w:eastAsia="en-AU"/>
        </w:rPr>
        <w:t xml:space="preserve"> 2012)</w:t>
      </w:r>
      <w:r w:rsidRPr="00A67C76">
        <w:t xml:space="preserve">. </w:t>
      </w:r>
    </w:p>
    <w:p w:rsidR="005D1601" w:rsidRPr="00A67C76" w:rsidRDefault="005D1601" w:rsidP="005D1601">
      <w:pPr>
        <w:rPr>
          <w:rFonts w:cs="Arial"/>
          <w:bCs/>
        </w:rPr>
      </w:pPr>
      <w:r w:rsidRPr="00A67C76">
        <w:t xml:space="preserve">Environmental flow </w:t>
      </w:r>
      <w:r w:rsidR="00E016EE" w:rsidRPr="00A67C76">
        <w:t xml:space="preserve">deliveries </w:t>
      </w:r>
      <w:r w:rsidRPr="00A67C76">
        <w:t xml:space="preserve">may be used to reinstate some of the natural processes that control the concentrations and transport of dissolved and particulate material. In doing so, these flows may provide ecological benefits through the provision of habitat and resources for biota. </w:t>
      </w:r>
    </w:p>
    <w:p w:rsidR="00D93633" w:rsidRPr="00A67C76" w:rsidRDefault="005D1601" w:rsidP="007507D4">
      <w:pPr>
        <w:pStyle w:val="Heading2"/>
      </w:pPr>
      <w:bookmarkStart w:id="40" w:name="_Toc387843582"/>
      <w:r w:rsidRPr="00A67C76">
        <w:t>Wetlands</w:t>
      </w:r>
      <w:bookmarkEnd w:id="40"/>
    </w:p>
    <w:p w:rsidR="005D1601" w:rsidRPr="00A67C76" w:rsidRDefault="005D1601" w:rsidP="00D93633">
      <w:pPr>
        <w:rPr>
          <w:b/>
          <w:i/>
        </w:rPr>
      </w:pPr>
      <w:r w:rsidRPr="00A67C76">
        <w:rPr>
          <w:b/>
        </w:rPr>
        <w:t>Lateral movements of fish</w:t>
      </w:r>
    </w:p>
    <w:p w:rsidR="005D1601" w:rsidRPr="00A67C76" w:rsidRDefault="005D1601" w:rsidP="005D1601">
      <w:pPr>
        <w:autoSpaceDE w:val="0"/>
        <w:autoSpaceDN w:val="0"/>
        <w:adjustRightInd w:val="0"/>
        <w:spacing w:after="240"/>
        <w:ind w:right="-181"/>
        <w:rPr>
          <w:rFonts w:eastAsia="Arial Unicode MS"/>
          <w:bCs/>
          <w:szCs w:val="22"/>
          <w:lang w:eastAsia="en-AU"/>
        </w:rPr>
      </w:pPr>
      <w:r w:rsidRPr="00A67C76">
        <w:rPr>
          <w:rFonts w:eastAsia="Arial Unicode MS"/>
          <w:bCs/>
          <w:szCs w:val="22"/>
          <w:lang w:eastAsia="en-AU"/>
        </w:rPr>
        <w:t xml:space="preserve">Restoring lateral connectivity is important for maintaining native fish populations through increased survival, recruitment, feeding and reproduction opportunities (Junk </w:t>
      </w:r>
      <w:r w:rsidRPr="00A67C76">
        <w:rPr>
          <w:rFonts w:eastAsia="Arial Unicode MS"/>
          <w:bCs/>
          <w:i/>
          <w:szCs w:val="22"/>
          <w:lang w:eastAsia="en-AU"/>
        </w:rPr>
        <w:t xml:space="preserve">et al. </w:t>
      </w:r>
      <w:r w:rsidRPr="00A67C76">
        <w:rPr>
          <w:rFonts w:eastAsia="Arial Unicode MS"/>
          <w:bCs/>
          <w:szCs w:val="22"/>
          <w:lang w:eastAsia="en-AU"/>
        </w:rPr>
        <w:t xml:space="preserve">1989), as off-channel habitats increase habitat availability and complexity. However, carp are also likely to benefit and therefore such </w:t>
      </w:r>
      <w:r w:rsidR="005A61FE">
        <w:rPr>
          <w:rFonts w:eastAsia="Arial Unicode MS"/>
          <w:bCs/>
          <w:szCs w:val="22"/>
          <w:lang w:eastAsia="en-AU"/>
        </w:rPr>
        <w:t xml:space="preserve">a </w:t>
      </w:r>
      <w:r w:rsidRPr="00A67C76">
        <w:rPr>
          <w:rFonts w:eastAsia="Arial Unicode MS"/>
          <w:bCs/>
          <w:szCs w:val="22"/>
          <w:lang w:eastAsia="en-AU"/>
        </w:rPr>
        <w:t>risk needs to be managed</w:t>
      </w:r>
      <w:r w:rsidR="00936721">
        <w:rPr>
          <w:rFonts w:eastAsia="Arial Unicode MS"/>
          <w:bCs/>
          <w:szCs w:val="22"/>
          <w:lang w:eastAsia="en-AU"/>
        </w:rPr>
        <w:t xml:space="preserve"> (Thwaites and Fredb</w:t>
      </w:r>
      <w:r w:rsidR="006652CA">
        <w:rPr>
          <w:rFonts w:eastAsia="Arial Unicode MS"/>
          <w:bCs/>
          <w:szCs w:val="22"/>
          <w:lang w:eastAsia="en-AU"/>
        </w:rPr>
        <w:t>e</w:t>
      </w:r>
      <w:r w:rsidR="00936721">
        <w:rPr>
          <w:rFonts w:eastAsia="Arial Unicode MS"/>
          <w:bCs/>
          <w:szCs w:val="22"/>
          <w:lang w:eastAsia="en-AU"/>
        </w:rPr>
        <w:t>rg 2014)</w:t>
      </w:r>
      <w:r w:rsidRPr="00A67C76">
        <w:rPr>
          <w:rFonts w:eastAsia="Arial Unicode MS"/>
          <w:bCs/>
          <w:szCs w:val="22"/>
          <w:lang w:eastAsia="en-AU"/>
        </w:rPr>
        <w:t>.</w:t>
      </w:r>
    </w:p>
    <w:p w:rsidR="005D1601" w:rsidRPr="00A67C76" w:rsidRDefault="005D1601" w:rsidP="005D1601">
      <w:pPr>
        <w:autoSpaceDE w:val="0"/>
        <w:autoSpaceDN w:val="0"/>
        <w:adjustRightInd w:val="0"/>
        <w:spacing w:after="240"/>
        <w:ind w:right="-181"/>
        <w:rPr>
          <w:rFonts w:eastAsia="Arial Unicode MS"/>
          <w:bCs/>
          <w:szCs w:val="22"/>
          <w:lang w:eastAsia="en-AU"/>
        </w:rPr>
      </w:pPr>
      <w:r w:rsidRPr="00A67C76">
        <w:rPr>
          <w:rFonts w:eastAsia="Arial Unicode MS"/>
          <w:bCs/>
          <w:szCs w:val="22"/>
          <w:lang w:eastAsia="en-AU"/>
        </w:rPr>
        <w:t xml:space="preserve">The </w:t>
      </w:r>
      <w:r w:rsidR="00E41741" w:rsidRPr="00A67C76">
        <w:rPr>
          <w:rFonts w:eastAsia="Arial Unicode MS"/>
          <w:bCs/>
          <w:szCs w:val="22"/>
          <w:lang w:eastAsia="en-AU"/>
        </w:rPr>
        <w:t>Murray River</w:t>
      </w:r>
      <w:r w:rsidRPr="00A67C76">
        <w:rPr>
          <w:rFonts w:eastAsia="Arial Unicode MS"/>
          <w:bCs/>
          <w:szCs w:val="22"/>
          <w:lang w:eastAsia="en-AU"/>
        </w:rPr>
        <w:t xml:space="preserve"> is a highly regulated river system, which supports a diverse range of fish species. Understanding the influence of different freshwater flow scenarios on the lateral movement of both native and invasive species between main-channel and wetland habitats would facilitate the development of well-informed, flow-related management intervention strategies to (</w:t>
      </w:r>
      <w:r w:rsidRPr="00A67C76">
        <w:rPr>
          <w:rFonts w:eastAsia="Arial Unicode MS"/>
          <w:bCs/>
          <w:i/>
          <w:szCs w:val="22"/>
          <w:lang w:eastAsia="en-AU"/>
        </w:rPr>
        <w:t>i</w:t>
      </w:r>
      <w:r w:rsidRPr="00A67C76">
        <w:rPr>
          <w:rFonts w:eastAsia="Arial Unicode MS"/>
          <w:bCs/>
          <w:szCs w:val="22"/>
          <w:lang w:eastAsia="en-AU"/>
        </w:rPr>
        <w:t>) enhance reproduction and recruitment success for native fish species; and (</w:t>
      </w:r>
      <w:r w:rsidRPr="00A67C76">
        <w:rPr>
          <w:rFonts w:eastAsia="Arial Unicode MS"/>
          <w:bCs/>
          <w:i/>
          <w:szCs w:val="22"/>
          <w:lang w:eastAsia="en-AU"/>
        </w:rPr>
        <w:t>ii</w:t>
      </w:r>
      <w:r w:rsidRPr="00A67C76">
        <w:rPr>
          <w:rFonts w:eastAsia="Arial Unicode MS"/>
          <w:bCs/>
          <w:szCs w:val="22"/>
          <w:lang w:eastAsia="en-AU"/>
        </w:rPr>
        <w:t>) inhibit key aspects of the population dynamics of invasive species, such as carp.</w:t>
      </w:r>
    </w:p>
    <w:p w:rsidR="005D1601" w:rsidRPr="00A67C76" w:rsidRDefault="005D1601" w:rsidP="005D1601">
      <w:pPr>
        <w:autoSpaceDE w:val="0"/>
        <w:autoSpaceDN w:val="0"/>
        <w:adjustRightInd w:val="0"/>
        <w:spacing w:after="240"/>
        <w:ind w:right="-181"/>
        <w:rPr>
          <w:rFonts w:eastAsia="Arial Unicode MS"/>
          <w:bCs/>
          <w:szCs w:val="22"/>
          <w:lang w:eastAsia="en-AU"/>
        </w:rPr>
      </w:pPr>
      <w:r w:rsidRPr="00A67C76">
        <w:rPr>
          <w:rFonts w:eastAsia="Arial Unicode MS"/>
          <w:bCs/>
          <w:szCs w:val="22"/>
          <w:lang w:eastAsia="en-AU"/>
        </w:rPr>
        <w:t xml:space="preserve">Knowledge on the lateral movements of freshwater fish between main-channel and wetland habitats in the </w:t>
      </w:r>
      <w:r w:rsidR="00E41741" w:rsidRPr="00A67C76">
        <w:rPr>
          <w:rFonts w:eastAsia="Arial Unicode MS"/>
          <w:bCs/>
          <w:szCs w:val="22"/>
          <w:lang w:eastAsia="en-AU"/>
        </w:rPr>
        <w:t>Murray River</w:t>
      </w:r>
      <w:r w:rsidRPr="00A67C76">
        <w:rPr>
          <w:rFonts w:eastAsia="Arial Unicode MS"/>
          <w:bCs/>
          <w:szCs w:val="22"/>
          <w:lang w:eastAsia="en-AU"/>
        </w:rPr>
        <w:t xml:space="preserve"> is limited. In 2006, </w:t>
      </w:r>
      <w:r w:rsidRPr="00A67C76">
        <w:rPr>
          <w:rFonts w:eastAsia="Arial Unicode MS"/>
          <w:szCs w:val="22"/>
          <w:lang w:eastAsia="en-AU"/>
        </w:rPr>
        <w:t xml:space="preserve">Conallin </w:t>
      </w:r>
      <w:r w:rsidRPr="00A67C76">
        <w:rPr>
          <w:rFonts w:eastAsia="Arial Unicode MS"/>
          <w:i/>
          <w:szCs w:val="22"/>
          <w:lang w:eastAsia="en-AU"/>
        </w:rPr>
        <w:t xml:space="preserve">et al. </w:t>
      </w:r>
      <w:r w:rsidRPr="00A67C76">
        <w:rPr>
          <w:rFonts w:eastAsia="Arial Unicode MS"/>
          <w:szCs w:val="22"/>
          <w:lang w:eastAsia="en-AU"/>
        </w:rPr>
        <w:t xml:space="preserve">(2010) </w:t>
      </w:r>
      <w:r w:rsidRPr="00A67C76">
        <w:rPr>
          <w:rFonts w:eastAsia="Arial Unicode MS"/>
          <w:bCs/>
          <w:szCs w:val="22"/>
          <w:lang w:eastAsia="en-AU"/>
        </w:rPr>
        <w:t xml:space="preserve">examined the lateral movement of fish in the </w:t>
      </w:r>
      <w:r w:rsidR="00F5496D" w:rsidRPr="00A67C76">
        <w:rPr>
          <w:rFonts w:eastAsia="Arial Unicode MS"/>
          <w:bCs/>
          <w:szCs w:val="22"/>
          <w:lang w:eastAsia="en-AU"/>
        </w:rPr>
        <w:t>Lower Murray River</w:t>
      </w:r>
      <w:r w:rsidRPr="00A67C76">
        <w:rPr>
          <w:rFonts w:eastAsia="Arial Unicode MS"/>
          <w:bCs/>
          <w:szCs w:val="22"/>
          <w:lang w:eastAsia="en-AU"/>
        </w:rPr>
        <w:t xml:space="preserve"> under low-flow conditions. That study</w:t>
      </w:r>
      <w:r w:rsidRPr="00A67C76">
        <w:rPr>
          <w:rFonts w:eastAsia="Arial Unicode MS"/>
          <w:szCs w:val="22"/>
          <w:lang w:eastAsia="en-AU"/>
        </w:rPr>
        <w:t xml:space="preserve"> identified variations in the lateral movements of adult and juvenile fish, but no directional consistency was identified, which likely reflected an absence of hydrological cues, due to the lack of flow during the drought. Furthermore, Conallin </w:t>
      </w:r>
      <w:r w:rsidRPr="00A67C76">
        <w:rPr>
          <w:rFonts w:eastAsia="Arial Unicode MS"/>
          <w:i/>
          <w:szCs w:val="22"/>
          <w:lang w:eastAsia="en-AU"/>
        </w:rPr>
        <w:t>et al.</w:t>
      </w:r>
      <w:r w:rsidRPr="00A67C76">
        <w:rPr>
          <w:rFonts w:eastAsia="Arial Unicode MS"/>
          <w:szCs w:val="22"/>
          <w:lang w:eastAsia="en-AU"/>
        </w:rPr>
        <w:t xml:space="preserve"> (2010) predicted that directional movements would become apparent under increased flow conditions. In contrast, </w:t>
      </w:r>
      <w:r w:rsidRPr="00A67C76">
        <w:rPr>
          <w:rFonts w:eastAsia="Arial Unicode MS"/>
          <w:bCs/>
          <w:szCs w:val="22"/>
          <w:lang w:eastAsia="en-AU"/>
        </w:rPr>
        <w:t>under variable flow conditions</w:t>
      </w:r>
      <w:r w:rsidRPr="00A67C76" w:rsidDel="00D16B58">
        <w:rPr>
          <w:rFonts w:eastAsia="Arial Unicode MS"/>
          <w:bCs/>
          <w:szCs w:val="22"/>
          <w:lang w:eastAsia="en-AU"/>
        </w:rPr>
        <w:t xml:space="preserve"> </w:t>
      </w:r>
      <w:r w:rsidRPr="00A67C76">
        <w:rPr>
          <w:rFonts w:eastAsia="Arial Unicode MS"/>
          <w:bCs/>
          <w:szCs w:val="22"/>
          <w:lang w:eastAsia="en-AU"/>
        </w:rPr>
        <w:t xml:space="preserve">in the mid-upper </w:t>
      </w:r>
      <w:r w:rsidR="00E41741" w:rsidRPr="00A67C76">
        <w:rPr>
          <w:rFonts w:eastAsia="Arial Unicode MS"/>
          <w:bCs/>
          <w:szCs w:val="22"/>
          <w:lang w:eastAsia="en-AU"/>
        </w:rPr>
        <w:t>Murray River</w:t>
      </w:r>
      <w:r w:rsidRPr="00A67C76">
        <w:rPr>
          <w:rFonts w:eastAsia="Arial Unicode MS"/>
          <w:bCs/>
          <w:szCs w:val="22"/>
          <w:lang w:eastAsia="en-AU"/>
        </w:rPr>
        <w:t xml:space="preserve"> (north-eastern Victoria), lateral movements of small-bodied native fish were identified to strongly correlate with fluctuations in water level - as water levels rose, fish moved from the main river channel into off-channel habitats, before returning to the main river as water levels receded (Lyon </w:t>
      </w:r>
      <w:r w:rsidRPr="00A67C76">
        <w:rPr>
          <w:rFonts w:eastAsia="Arial Unicode MS"/>
          <w:bCs/>
          <w:i/>
          <w:szCs w:val="22"/>
          <w:lang w:eastAsia="en-AU"/>
        </w:rPr>
        <w:t>et al.</w:t>
      </w:r>
      <w:r w:rsidRPr="00A67C76">
        <w:rPr>
          <w:rFonts w:eastAsia="Arial Unicode MS"/>
          <w:bCs/>
          <w:szCs w:val="22"/>
          <w:lang w:eastAsia="en-AU"/>
        </w:rPr>
        <w:t xml:space="preserve"> 2010).</w:t>
      </w:r>
    </w:p>
    <w:p w:rsidR="005D1601" w:rsidRPr="00A67C76" w:rsidRDefault="005D1601" w:rsidP="008F0A76">
      <w:pPr>
        <w:rPr>
          <w:b/>
        </w:rPr>
      </w:pPr>
      <w:r w:rsidRPr="00A67C76">
        <w:rPr>
          <w:b/>
        </w:rPr>
        <w:t>Frog response</w:t>
      </w:r>
    </w:p>
    <w:p w:rsidR="005D1601" w:rsidRPr="00A67C76" w:rsidRDefault="007E0B7B" w:rsidP="005D1601">
      <w:pPr>
        <w:rPr>
          <w:szCs w:val="22"/>
        </w:rPr>
      </w:pPr>
      <w:r w:rsidRPr="00A67C76">
        <w:rPr>
          <w:szCs w:val="22"/>
        </w:rPr>
        <w:t xml:space="preserve">River regulation and recent drought has had a substantial impact on ecosystem processes and aquatic biota, including frog populations. A reduction in the extent, duration and frequency of wetlands flooded, and increased incidences of drought, negatively impact on all frog species found within the South Australian Murray River Corridor (Carey and Alexander 2003; Hazell 2003; Piha </w:t>
      </w:r>
      <w:r w:rsidRPr="00A67C76">
        <w:rPr>
          <w:i/>
          <w:iCs/>
          <w:szCs w:val="22"/>
        </w:rPr>
        <w:t>et al.</w:t>
      </w:r>
      <w:r w:rsidRPr="00A67C76">
        <w:rPr>
          <w:szCs w:val="22"/>
        </w:rPr>
        <w:t xml:space="preserve"> 2007). Species reliant on seasonal flooding and </w:t>
      </w:r>
      <w:r w:rsidR="00936721">
        <w:rPr>
          <w:szCs w:val="22"/>
        </w:rPr>
        <w:t>variable</w:t>
      </w:r>
      <w:r w:rsidR="00A06C3B">
        <w:rPr>
          <w:szCs w:val="22"/>
        </w:rPr>
        <w:t xml:space="preserve"> </w:t>
      </w:r>
      <w:r w:rsidRPr="00A67C76">
        <w:rPr>
          <w:szCs w:val="22"/>
        </w:rPr>
        <w:t>flow regimes are at risk as a result of reduced flooding frequencies, which is forecast</w:t>
      </w:r>
      <w:r w:rsidR="005F254A" w:rsidRPr="00A67C76">
        <w:rPr>
          <w:szCs w:val="22"/>
        </w:rPr>
        <w:t>ed</w:t>
      </w:r>
      <w:r w:rsidRPr="00A67C76">
        <w:rPr>
          <w:szCs w:val="22"/>
        </w:rPr>
        <w:t xml:space="preserve"> to be exacerbated by </w:t>
      </w:r>
      <w:proofErr w:type="gramStart"/>
      <w:r w:rsidRPr="00A67C76">
        <w:rPr>
          <w:szCs w:val="22"/>
        </w:rPr>
        <w:t>climate</w:t>
      </w:r>
      <w:proofErr w:type="gramEnd"/>
      <w:r w:rsidRPr="00A67C76">
        <w:rPr>
          <w:szCs w:val="22"/>
        </w:rPr>
        <w:t xml:space="preserve"> change (Gonzalez </w:t>
      </w:r>
      <w:r w:rsidRPr="00A67C76">
        <w:rPr>
          <w:i/>
          <w:szCs w:val="22"/>
        </w:rPr>
        <w:t>et al.</w:t>
      </w:r>
      <w:r w:rsidRPr="00A67C76">
        <w:rPr>
          <w:szCs w:val="22"/>
        </w:rPr>
        <w:t xml:space="preserve"> 2011). Less flooding is likely to result in a decline in vegetation health and reduced habitat extent for fauna. It may also lead to an increase in salinity due to less available freshwater and drier climate conditions</w:t>
      </w:r>
      <w:r w:rsidR="004045E3">
        <w:rPr>
          <w:szCs w:val="22"/>
        </w:rPr>
        <w:t xml:space="preserve"> (</w:t>
      </w:r>
      <w:r w:rsidR="004045E3" w:rsidRPr="00A67C76">
        <w:rPr>
          <w:szCs w:val="22"/>
        </w:rPr>
        <w:t xml:space="preserve">Gonzalez </w:t>
      </w:r>
      <w:r w:rsidR="004045E3" w:rsidRPr="00A67C76">
        <w:rPr>
          <w:i/>
          <w:szCs w:val="22"/>
        </w:rPr>
        <w:t>et al.</w:t>
      </w:r>
      <w:r w:rsidR="004045E3" w:rsidRPr="00A67C76">
        <w:rPr>
          <w:szCs w:val="22"/>
        </w:rPr>
        <w:t xml:space="preserve"> 2011</w:t>
      </w:r>
      <w:r w:rsidR="004045E3">
        <w:rPr>
          <w:szCs w:val="22"/>
        </w:rPr>
        <w:t>)</w:t>
      </w:r>
      <w:r w:rsidRPr="00A67C76">
        <w:rPr>
          <w:szCs w:val="22"/>
        </w:rPr>
        <w:t xml:space="preserve">. Recruitment can be impacted in species reliant on flooding cues, or are unable to complete breeding cycles prior to drying events (Lane and Mahoney 2002; Wassens 2011). As a result, those species that </w:t>
      </w:r>
      <w:r w:rsidR="00936721">
        <w:rPr>
          <w:szCs w:val="22"/>
        </w:rPr>
        <w:t xml:space="preserve">have </w:t>
      </w:r>
      <w:r w:rsidRPr="00A67C76">
        <w:rPr>
          <w:szCs w:val="22"/>
        </w:rPr>
        <w:t xml:space="preserve">narrow habitat and physiological requirements, such as low salinity tolerances, limited dispersal ability, low reproductive capacity and recruitment rates, are at greater risk of decline due to reductions in flooding (Gonzalez </w:t>
      </w:r>
      <w:r w:rsidRPr="00A67C76">
        <w:rPr>
          <w:i/>
          <w:szCs w:val="22"/>
        </w:rPr>
        <w:t>et al.</w:t>
      </w:r>
      <w:r w:rsidRPr="00A67C76">
        <w:rPr>
          <w:szCs w:val="22"/>
        </w:rPr>
        <w:t xml:space="preserve"> 2011). </w:t>
      </w:r>
      <w:r w:rsidR="005D1601" w:rsidRPr="00A67C76">
        <w:rPr>
          <w:noProof/>
          <w:szCs w:val="22"/>
        </w:rPr>
        <w:t xml:space="preserve"> </w:t>
      </w:r>
      <w:r w:rsidR="005D1601" w:rsidRPr="00A67C76">
        <w:rPr>
          <w:szCs w:val="22"/>
        </w:rPr>
        <w:t xml:space="preserve"> </w:t>
      </w:r>
    </w:p>
    <w:p w:rsidR="007E0B7B" w:rsidRPr="00A67C76" w:rsidRDefault="005D1601" w:rsidP="005D1601">
      <w:pPr>
        <w:rPr>
          <w:noProof/>
          <w:szCs w:val="22"/>
        </w:rPr>
      </w:pPr>
      <w:r w:rsidRPr="00A67C76">
        <w:rPr>
          <w:noProof/>
          <w:szCs w:val="22"/>
        </w:rPr>
        <w:t xml:space="preserve">Frog species within the South Australian </w:t>
      </w:r>
      <w:r w:rsidR="00E41741" w:rsidRPr="00A67C76">
        <w:rPr>
          <w:noProof/>
          <w:szCs w:val="22"/>
        </w:rPr>
        <w:t>Murray River</w:t>
      </w:r>
      <w:r w:rsidRPr="00A67C76">
        <w:rPr>
          <w:noProof/>
          <w:szCs w:val="22"/>
        </w:rPr>
        <w:t xml:space="preserve"> corridor are found occupying waterbodies with a range of hydrological charactersitics from permanent and newly inundated ephemeral wetlands and creeks, to highly modified environments such as dams (Gonzalez </w:t>
      </w:r>
      <w:r w:rsidRPr="00A67C76">
        <w:rPr>
          <w:i/>
          <w:noProof/>
          <w:szCs w:val="22"/>
        </w:rPr>
        <w:t>et al.</w:t>
      </w:r>
      <w:r w:rsidRPr="00A67C76">
        <w:rPr>
          <w:noProof/>
          <w:szCs w:val="22"/>
        </w:rPr>
        <w:t xml:space="preserve"> 2011).</w:t>
      </w:r>
      <w:r w:rsidR="007E0B7B" w:rsidRPr="00A67C76">
        <w:rPr>
          <w:noProof/>
          <w:szCs w:val="22"/>
        </w:rPr>
        <w:t xml:space="preserve"> Most of these species have a preference for temporary waterbodies for breeding however they are also known to breed in permanent waterbodies (Lane and Mahoney 2002; Pyke </w:t>
      </w:r>
      <w:r w:rsidR="00917D36" w:rsidRPr="00A67C76">
        <w:rPr>
          <w:i/>
          <w:noProof/>
          <w:szCs w:val="22"/>
        </w:rPr>
        <w:t>et al.</w:t>
      </w:r>
      <w:r w:rsidR="00917D36" w:rsidRPr="00A67C76">
        <w:rPr>
          <w:noProof/>
          <w:szCs w:val="22"/>
        </w:rPr>
        <w:t xml:space="preserve"> </w:t>
      </w:r>
      <w:r w:rsidR="007E0B7B" w:rsidRPr="00A67C76">
        <w:rPr>
          <w:noProof/>
          <w:szCs w:val="22"/>
        </w:rPr>
        <w:t xml:space="preserve">2002; Lauck </w:t>
      </w:r>
      <w:r w:rsidR="007E0B7B" w:rsidRPr="00A67C76">
        <w:rPr>
          <w:i/>
          <w:noProof/>
          <w:szCs w:val="22"/>
        </w:rPr>
        <w:t>et al</w:t>
      </w:r>
      <w:r w:rsidR="007E0B7B" w:rsidRPr="00A67C76">
        <w:rPr>
          <w:noProof/>
          <w:szCs w:val="22"/>
        </w:rPr>
        <w:t xml:space="preserve">. 2005; Wassens </w:t>
      </w:r>
      <w:r w:rsidR="007E0B7B" w:rsidRPr="00A67C76">
        <w:rPr>
          <w:i/>
          <w:noProof/>
          <w:szCs w:val="22"/>
        </w:rPr>
        <w:t>et al.</w:t>
      </w:r>
      <w:r w:rsidR="007E0B7B" w:rsidRPr="00A67C76">
        <w:rPr>
          <w:noProof/>
          <w:szCs w:val="22"/>
        </w:rPr>
        <w:t xml:space="preserve"> 2008; Gonzalez </w:t>
      </w:r>
      <w:r w:rsidR="007E0B7B" w:rsidRPr="00A67C76">
        <w:rPr>
          <w:i/>
          <w:noProof/>
          <w:szCs w:val="22"/>
        </w:rPr>
        <w:t>et al.</w:t>
      </w:r>
      <w:r w:rsidR="007E0B7B" w:rsidRPr="00A67C76">
        <w:rPr>
          <w:noProof/>
          <w:szCs w:val="22"/>
        </w:rPr>
        <w:t xml:space="preserve"> 2011; Mason and Hillyard 2011</w:t>
      </w:r>
      <w:r w:rsidR="00755F68" w:rsidRPr="00A67C76">
        <w:rPr>
          <w:noProof/>
          <w:szCs w:val="22"/>
        </w:rPr>
        <w:t>; Wassens and Maher 2011</w:t>
      </w:r>
      <w:r w:rsidR="007E0B7B" w:rsidRPr="00A67C76">
        <w:rPr>
          <w:noProof/>
          <w:szCs w:val="22"/>
        </w:rPr>
        <w:t>).</w:t>
      </w:r>
      <w:r w:rsidRPr="00A67C76">
        <w:rPr>
          <w:noProof/>
          <w:szCs w:val="22"/>
        </w:rPr>
        <w:t xml:space="preserve"> </w:t>
      </w:r>
    </w:p>
    <w:p w:rsidR="007E0B7B" w:rsidRPr="00A67C76" w:rsidRDefault="007E0B7B" w:rsidP="005D1601">
      <w:pPr>
        <w:rPr>
          <w:noProof/>
          <w:szCs w:val="22"/>
        </w:rPr>
      </w:pPr>
      <w:r w:rsidRPr="00A67C76">
        <w:rPr>
          <w:noProof/>
          <w:szCs w:val="22"/>
        </w:rPr>
        <w:t>The Southern Bell Frog</w:t>
      </w:r>
      <w:r w:rsidR="005A61FE">
        <w:rPr>
          <w:noProof/>
          <w:szCs w:val="22"/>
        </w:rPr>
        <w:t xml:space="preserve"> (</w:t>
      </w:r>
      <w:r w:rsidR="005A61FE" w:rsidRPr="005A61FE">
        <w:rPr>
          <w:i/>
          <w:noProof/>
          <w:szCs w:val="22"/>
        </w:rPr>
        <w:t>Litoria raniformis</w:t>
      </w:r>
      <w:r w:rsidR="005A61FE" w:rsidRPr="005A61FE">
        <w:rPr>
          <w:noProof/>
          <w:szCs w:val="22"/>
        </w:rPr>
        <w:t>)</w:t>
      </w:r>
      <w:r w:rsidRPr="00A67C76">
        <w:rPr>
          <w:noProof/>
          <w:szCs w:val="22"/>
        </w:rPr>
        <w:t xml:space="preserve"> is a species that is reliant on flooding of temporary wetlands for breeding and, as a result, is particularly at risk due to reduced flooding (Gonzalez </w:t>
      </w:r>
      <w:r w:rsidRPr="00A67C76">
        <w:rPr>
          <w:i/>
          <w:noProof/>
          <w:szCs w:val="22"/>
        </w:rPr>
        <w:t>et al.</w:t>
      </w:r>
      <w:r w:rsidRPr="00A67C76">
        <w:rPr>
          <w:noProof/>
          <w:szCs w:val="22"/>
        </w:rPr>
        <w:t xml:space="preserve"> 2011). Widely found across the south-eastern region of the Murray-Darling Basin, in recent years it has undergone major declines</w:t>
      </w:r>
      <w:r w:rsidR="004045E3">
        <w:rPr>
          <w:noProof/>
          <w:szCs w:val="22"/>
        </w:rPr>
        <w:t xml:space="preserve"> in distribution</w:t>
      </w:r>
      <w:r w:rsidRPr="00A67C76">
        <w:rPr>
          <w:noProof/>
          <w:szCs w:val="22"/>
        </w:rPr>
        <w:t xml:space="preserve"> (Wassens 2011). This has led to the species being listed as nationally threatened (vulnerable under the </w:t>
      </w:r>
      <w:r w:rsidRPr="005A61FE">
        <w:rPr>
          <w:i/>
          <w:noProof/>
          <w:szCs w:val="22"/>
        </w:rPr>
        <w:t>Environment Protection and Biodiversity Conservation Act</w:t>
      </w:r>
      <w:r w:rsidRPr="00A67C76">
        <w:rPr>
          <w:noProof/>
          <w:szCs w:val="22"/>
        </w:rPr>
        <w:t xml:space="preserve"> 1999), threatened in </w:t>
      </w:r>
      <w:r w:rsidRPr="005A61FE">
        <w:rPr>
          <w:noProof/>
          <w:szCs w:val="22"/>
        </w:rPr>
        <w:t>South Australia</w:t>
      </w:r>
      <w:r w:rsidRPr="00A67C76">
        <w:rPr>
          <w:noProof/>
          <w:szCs w:val="22"/>
        </w:rPr>
        <w:t xml:space="preserve"> (</w:t>
      </w:r>
      <w:r w:rsidRPr="005A61FE">
        <w:rPr>
          <w:i/>
          <w:noProof/>
          <w:szCs w:val="22"/>
        </w:rPr>
        <w:t xml:space="preserve">National Parks and Wildlife Act </w:t>
      </w:r>
      <w:r w:rsidRPr="00A67C76">
        <w:rPr>
          <w:noProof/>
          <w:szCs w:val="22"/>
        </w:rPr>
        <w:t xml:space="preserve">1972), </w:t>
      </w:r>
      <w:r w:rsidR="00E3197F" w:rsidRPr="00A67C76">
        <w:rPr>
          <w:noProof/>
          <w:szCs w:val="22"/>
        </w:rPr>
        <w:t>e</w:t>
      </w:r>
      <w:r w:rsidRPr="00A67C76">
        <w:rPr>
          <w:noProof/>
          <w:szCs w:val="22"/>
        </w:rPr>
        <w:t>ndangered in New South Wales (</w:t>
      </w:r>
      <w:r w:rsidRPr="005A61FE">
        <w:rPr>
          <w:i/>
          <w:noProof/>
          <w:szCs w:val="22"/>
        </w:rPr>
        <w:t>Threatened Species Conservation Act</w:t>
      </w:r>
      <w:r w:rsidRPr="00A67C76">
        <w:rPr>
          <w:noProof/>
          <w:szCs w:val="22"/>
        </w:rPr>
        <w:t xml:space="preserve"> 1995), vulnerable in Tasmania (</w:t>
      </w:r>
      <w:r w:rsidRPr="004D3AE1">
        <w:rPr>
          <w:i/>
          <w:noProof/>
          <w:szCs w:val="22"/>
        </w:rPr>
        <w:t>Threatened Species Protection Act</w:t>
      </w:r>
      <w:r w:rsidRPr="00A67C76">
        <w:rPr>
          <w:noProof/>
          <w:szCs w:val="22"/>
        </w:rPr>
        <w:t xml:space="preserve"> 1995) and threatened in Victoria (</w:t>
      </w:r>
      <w:r w:rsidRPr="004D3AE1">
        <w:rPr>
          <w:i/>
          <w:noProof/>
          <w:szCs w:val="22"/>
        </w:rPr>
        <w:t xml:space="preserve">Flora and Fauna Gurantee Act </w:t>
      </w:r>
      <w:r w:rsidRPr="00A67C76">
        <w:rPr>
          <w:noProof/>
          <w:szCs w:val="22"/>
        </w:rPr>
        <w:t xml:space="preserve">1988)  (Turner </w:t>
      </w:r>
      <w:r w:rsidRPr="00A67C76">
        <w:rPr>
          <w:i/>
          <w:noProof/>
          <w:szCs w:val="22"/>
        </w:rPr>
        <w:t>et al.</w:t>
      </w:r>
      <w:r w:rsidRPr="00A67C76">
        <w:rPr>
          <w:noProof/>
          <w:szCs w:val="22"/>
        </w:rPr>
        <w:t xml:space="preserve"> 2011; Wassens 2011).</w:t>
      </w:r>
    </w:p>
    <w:p w:rsidR="007E0B7B" w:rsidRPr="00A67C76" w:rsidRDefault="007E0B7B" w:rsidP="007E0B7B">
      <w:pPr>
        <w:rPr>
          <w:noProof/>
          <w:szCs w:val="22"/>
        </w:rPr>
      </w:pPr>
      <w:r w:rsidRPr="00A67C76">
        <w:rPr>
          <w:noProof/>
          <w:szCs w:val="22"/>
        </w:rPr>
        <w:t xml:space="preserve">Although most species can utilise wetlands with a range of water regimes, they are highly dependant on inundated vegetation and/or physical habitat (Anstis 2002; Hazell 2003; Schultz 2006; Healey </w:t>
      </w:r>
      <w:r w:rsidRPr="00A67C76">
        <w:rPr>
          <w:i/>
          <w:noProof/>
          <w:szCs w:val="22"/>
        </w:rPr>
        <w:t>et al.</w:t>
      </w:r>
      <w:r w:rsidRPr="00A67C76">
        <w:rPr>
          <w:noProof/>
          <w:szCs w:val="22"/>
        </w:rPr>
        <w:t xml:space="preserve"> 1997; Wassens 2011) and prefer to breed in waterbodies where abundant, complex and diverse emergent, submerged and fringing vegetation exists (Jansen and Healy 2003; Wassens </w:t>
      </w:r>
      <w:r w:rsidRPr="00A67C76">
        <w:rPr>
          <w:i/>
          <w:noProof/>
          <w:szCs w:val="22"/>
        </w:rPr>
        <w:t>et al.</w:t>
      </w:r>
      <w:r w:rsidRPr="00A67C76">
        <w:rPr>
          <w:noProof/>
          <w:szCs w:val="22"/>
        </w:rPr>
        <w:t xml:space="preserve"> 2007; Gonzalez </w:t>
      </w:r>
      <w:r w:rsidRPr="00A67C76">
        <w:rPr>
          <w:i/>
          <w:noProof/>
          <w:szCs w:val="22"/>
        </w:rPr>
        <w:t>et al.</w:t>
      </w:r>
      <w:r w:rsidRPr="00A67C76">
        <w:rPr>
          <w:noProof/>
          <w:szCs w:val="22"/>
        </w:rPr>
        <w:t xml:space="preserve"> 2011; Wassens 2011; Wassens and Maher 201</w:t>
      </w:r>
      <w:r w:rsidR="00917D36" w:rsidRPr="00A67C76">
        <w:rPr>
          <w:noProof/>
          <w:szCs w:val="22"/>
        </w:rPr>
        <w:t>1</w:t>
      </w:r>
      <w:r w:rsidRPr="00A67C76">
        <w:rPr>
          <w:noProof/>
          <w:szCs w:val="22"/>
        </w:rPr>
        <w:t xml:space="preserve">). Vegetation performs a number of important habitat functions for frogs and tadpoles such as; providing sites for calling and attachment of eggs, a food source through input of organic matter and a substrate for the growth of biofilms, and refuge and protection from predators (Anstis 2002; Lane </w:t>
      </w:r>
      <w:r w:rsidRPr="00A67C76">
        <w:rPr>
          <w:i/>
          <w:noProof/>
          <w:szCs w:val="22"/>
        </w:rPr>
        <w:t>et al</w:t>
      </w:r>
      <w:r w:rsidRPr="00A67C76">
        <w:rPr>
          <w:noProof/>
          <w:szCs w:val="22"/>
        </w:rPr>
        <w:t>. 2007; Wassens and Maher 201</w:t>
      </w:r>
      <w:r w:rsidR="00917D36" w:rsidRPr="00A67C76">
        <w:rPr>
          <w:noProof/>
          <w:szCs w:val="22"/>
        </w:rPr>
        <w:t>1</w:t>
      </w:r>
      <w:r w:rsidRPr="00A67C76">
        <w:rPr>
          <w:noProof/>
          <w:szCs w:val="22"/>
        </w:rPr>
        <w:t xml:space="preserve">). </w:t>
      </w:r>
    </w:p>
    <w:p w:rsidR="005D1601" w:rsidRPr="00A67C76" w:rsidRDefault="005D1601" w:rsidP="005D1601">
      <w:pPr>
        <w:rPr>
          <w:szCs w:val="22"/>
        </w:rPr>
      </w:pPr>
      <w:r w:rsidRPr="00A67C76">
        <w:rPr>
          <w:szCs w:val="22"/>
        </w:rPr>
        <w:t xml:space="preserve">Because changes to hydrological regimes, and the presence and level of structural complexity of aquatic and littoral vegetation directly affect frog species (Healy </w:t>
      </w:r>
      <w:r w:rsidRPr="00A67C76">
        <w:rPr>
          <w:i/>
          <w:szCs w:val="22"/>
        </w:rPr>
        <w:t>et al.</w:t>
      </w:r>
      <w:r w:rsidRPr="00A67C76">
        <w:rPr>
          <w:szCs w:val="22"/>
        </w:rPr>
        <w:t xml:space="preserve"> 1997; Tarr and Babbitt 2002; McNally </w:t>
      </w:r>
      <w:r w:rsidRPr="00A67C76">
        <w:rPr>
          <w:i/>
          <w:szCs w:val="22"/>
        </w:rPr>
        <w:t xml:space="preserve">et al. </w:t>
      </w:r>
      <w:r w:rsidRPr="00A67C76">
        <w:rPr>
          <w:szCs w:val="22"/>
        </w:rPr>
        <w:t xml:space="preserve">2009), it is especially important for environmental water managers to have a good understanding of the impact on frog populations of hydrological regimes. The </w:t>
      </w:r>
      <w:r w:rsidR="00E016EE" w:rsidRPr="00A67C76">
        <w:rPr>
          <w:szCs w:val="22"/>
        </w:rPr>
        <w:t xml:space="preserve">delivery </w:t>
      </w:r>
      <w:r w:rsidRPr="00A67C76">
        <w:rPr>
          <w:szCs w:val="22"/>
        </w:rPr>
        <w:t>of environmental water, particularly where it leads to an increase in inundation of wetlands and vegetation habitats, may lead to improvements in frog populations across the Murray-Darling Basin.</w:t>
      </w:r>
    </w:p>
    <w:p w:rsidR="005D1601" w:rsidRPr="00A67C76" w:rsidRDefault="005D1601" w:rsidP="007507D4">
      <w:pPr>
        <w:pStyle w:val="Heading2"/>
      </w:pPr>
      <w:bookmarkStart w:id="41" w:name="_Toc387843583"/>
      <w:r w:rsidRPr="00A67C76">
        <w:t>Coorong (modelling)</w:t>
      </w:r>
      <w:bookmarkEnd w:id="41"/>
    </w:p>
    <w:p w:rsidR="004A4C70" w:rsidRPr="00A67C76" w:rsidRDefault="004A4C70" w:rsidP="008F0A76">
      <w:pPr>
        <w:rPr>
          <w:rFonts w:cs="Arial"/>
          <w:szCs w:val="22"/>
          <w:lang w:eastAsia="en-AU"/>
        </w:rPr>
      </w:pPr>
      <w:r w:rsidRPr="00A67C76">
        <w:rPr>
          <w:rFonts w:eastAsiaTheme="minorHAnsi"/>
        </w:rPr>
        <w:t xml:space="preserve">The Coorong is a dynamic estuarine lagoon system located at the terminus of the Murray-Darling Basin in South Australia. </w:t>
      </w:r>
      <w:r w:rsidR="00E92AA9" w:rsidRPr="00A67C76">
        <w:rPr>
          <w:rFonts w:eastAsiaTheme="minorHAnsi"/>
        </w:rPr>
        <w:t>It has been heavily im</w:t>
      </w:r>
      <w:r w:rsidR="00E92AA9" w:rsidRPr="00A67C76">
        <w:rPr>
          <w:rFonts w:eastAsiaTheme="minorHAnsi" w:cstheme="minorBidi"/>
          <w:color w:val="auto"/>
          <w:kern w:val="0"/>
          <w:szCs w:val="22"/>
        </w:rPr>
        <w:t xml:space="preserve">pacted by river regulation and water extraction upstream since European settlement; subsequently the current average annual flow has declined by 61% at the Murray Mouth </w:t>
      </w:r>
      <w:r w:rsidR="00E92AA9" w:rsidRPr="00A67C76">
        <w:rPr>
          <w:rFonts w:cs="Arial"/>
          <w:szCs w:val="22"/>
          <w:lang w:eastAsia="en-AU"/>
        </w:rPr>
        <w:t>(from 12</w:t>
      </w:r>
      <w:r w:rsidR="00E92AA9" w:rsidRPr="00A67C76">
        <w:rPr>
          <w:rFonts w:cs="Arial"/>
          <w:lang w:eastAsia="en-AU"/>
        </w:rPr>
        <w:t>,</w:t>
      </w:r>
      <w:r w:rsidR="00E92AA9" w:rsidRPr="00A67C76">
        <w:rPr>
          <w:rFonts w:cs="Arial"/>
          <w:szCs w:val="22"/>
          <w:lang w:eastAsia="en-AU"/>
        </w:rPr>
        <w:t xml:space="preserve">333 </w:t>
      </w:r>
      <w:r w:rsidR="00E92AA9" w:rsidRPr="00A67C76">
        <w:rPr>
          <w:rFonts w:cs="Arial"/>
          <w:szCs w:val="22"/>
        </w:rPr>
        <w:t>GL y</w:t>
      </w:r>
      <w:r w:rsidR="009A0D22" w:rsidRPr="00A67C76">
        <w:rPr>
          <w:rFonts w:cs="Arial"/>
          <w:szCs w:val="22"/>
        </w:rPr>
        <w:t>ear</w:t>
      </w:r>
      <w:r w:rsidR="00E92AA9" w:rsidRPr="00A67C76">
        <w:rPr>
          <w:rFonts w:cs="Arial"/>
          <w:szCs w:val="22"/>
          <w:vertAlign w:val="superscript"/>
        </w:rPr>
        <w:t>-1</w:t>
      </w:r>
      <w:r w:rsidR="00E92AA9" w:rsidRPr="00A67C76">
        <w:rPr>
          <w:rFonts w:cs="Arial"/>
          <w:szCs w:val="22"/>
          <w:lang w:eastAsia="en-AU"/>
        </w:rPr>
        <w:t xml:space="preserve"> to 4</w:t>
      </w:r>
      <w:r w:rsidR="00E92AA9" w:rsidRPr="00A67C76">
        <w:rPr>
          <w:rFonts w:cs="Arial"/>
          <w:lang w:eastAsia="en-AU"/>
        </w:rPr>
        <w:t>,</w:t>
      </w:r>
      <w:r w:rsidR="00E92AA9" w:rsidRPr="00A67C76">
        <w:rPr>
          <w:rFonts w:cs="Arial"/>
          <w:szCs w:val="22"/>
          <w:lang w:eastAsia="en-AU"/>
        </w:rPr>
        <w:t xml:space="preserve">733 </w:t>
      </w:r>
      <w:r w:rsidR="00E92AA9" w:rsidRPr="00A67C76">
        <w:rPr>
          <w:rFonts w:cs="Arial"/>
          <w:szCs w:val="22"/>
        </w:rPr>
        <w:t>GL y</w:t>
      </w:r>
      <w:r w:rsidR="009A0D22" w:rsidRPr="00A67C76">
        <w:rPr>
          <w:rFonts w:cs="Arial"/>
          <w:szCs w:val="22"/>
        </w:rPr>
        <w:t>ear</w:t>
      </w:r>
      <w:r w:rsidR="00E92AA9" w:rsidRPr="00A67C76">
        <w:rPr>
          <w:rFonts w:cs="Arial"/>
          <w:szCs w:val="22"/>
          <w:vertAlign w:val="superscript"/>
        </w:rPr>
        <w:t>-1</w:t>
      </w:r>
      <w:r w:rsidR="00E92AA9" w:rsidRPr="00A67C76">
        <w:rPr>
          <w:rFonts w:cs="Arial"/>
          <w:szCs w:val="22"/>
          <w:lang w:eastAsia="en-AU"/>
        </w:rPr>
        <w:t xml:space="preserve">; CSIRO 2008). </w:t>
      </w:r>
      <w:r w:rsidR="00E92AA9" w:rsidRPr="00A67C76">
        <w:rPr>
          <w:rFonts w:eastAsiaTheme="minorHAnsi" w:cstheme="minorBidi"/>
          <w:color w:val="auto"/>
          <w:kern w:val="0"/>
          <w:szCs w:val="22"/>
        </w:rPr>
        <w:t xml:space="preserve"> The Coorong</w:t>
      </w:r>
      <w:r w:rsidRPr="00A67C76">
        <w:rPr>
          <w:rFonts w:eastAsiaTheme="minorHAnsi" w:cstheme="minorBidi"/>
          <w:color w:val="auto"/>
          <w:kern w:val="0"/>
          <w:szCs w:val="22"/>
        </w:rPr>
        <w:t xml:space="preserve"> </w:t>
      </w:r>
      <w:r w:rsidRPr="00A67C76">
        <w:rPr>
          <w:rFonts w:cs="Arial"/>
          <w:szCs w:val="22"/>
        </w:rPr>
        <w:t xml:space="preserve">has a strong north-south salinity gradient, generally ranging from brackish/marine in the Murray Mouth area to hypersaline in the North and South Lagoons (Geddes and Bulter 1984; Geddes 1987).  Salinities are spatiotemporally variable and highly dependent on the freshwater inflows from the </w:t>
      </w:r>
      <w:r w:rsidR="008126DD">
        <w:rPr>
          <w:rFonts w:cs="Arial"/>
          <w:szCs w:val="22"/>
        </w:rPr>
        <w:t xml:space="preserve">Murray </w:t>
      </w:r>
      <w:r w:rsidRPr="00A67C76">
        <w:rPr>
          <w:rFonts w:cs="Arial"/>
          <w:szCs w:val="22"/>
        </w:rPr>
        <w:t>River</w:t>
      </w:r>
      <w:r w:rsidR="00EB692B" w:rsidRPr="00A67C76">
        <w:rPr>
          <w:rFonts w:cs="Arial"/>
          <w:szCs w:val="22"/>
        </w:rPr>
        <w:t xml:space="preserve">, </w:t>
      </w:r>
      <w:r w:rsidRPr="00A67C76">
        <w:rPr>
          <w:rFonts w:cs="Arial"/>
          <w:szCs w:val="22"/>
        </w:rPr>
        <w:t xml:space="preserve">with varied salinities supporting different ecological communities (Brookes </w:t>
      </w:r>
      <w:r w:rsidRPr="00A67C76">
        <w:rPr>
          <w:rFonts w:cs="Arial"/>
          <w:i/>
          <w:szCs w:val="22"/>
        </w:rPr>
        <w:t>et al.</w:t>
      </w:r>
      <w:r w:rsidRPr="00A67C76">
        <w:rPr>
          <w:rFonts w:cs="Arial"/>
          <w:szCs w:val="22"/>
        </w:rPr>
        <w:t xml:space="preserve"> 2009). In addition, the southern end of the South Lagoon receives small volumes of fresh/brackish </w:t>
      </w:r>
      <w:bookmarkStart w:id="42" w:name="OLE_LINK5"/>
      <w:r w:rsidRPr="00A67C76">
        <w:rPr>
          <w:rFonts w:cs="Arial"/>
          <w:szCs w:val="22"/>
        </w:rPr>
        <w:t xml:space="preserve">water </w:t>
      </w:r>
      <w:bookmarkEnd w:id="42"/>
      <w:r w:rsidRPr="00A67C76">
        <w:rPr>
          <w:rFonts w:cs="Arial"/>
          <w:szCs w:val="22"/>
        </w:rPr>
        <w:t>from a network of drains (</w:t>
      </w:r>
      <w:r w:rsidRPr="00A67C76">
        <w:rPr>
          <w:rFonts w:cs="Arial"/>
          <w:szCs w:val="22"/>
          <w:lang w:eastAsia="en-AU"/>
        </w:rPr>
        <w:t>the Upper South East Drainage Scheme) through Salt Creek.</w:t>
      </w:r>
    </w:p>
    <w:p w:rsidR="0030422F" w:rsidRPr="00A67C76" w:rsidRDefault="002C278A" w:rsidP="00B0408D">
      <w:r w:rsidRPr="00A67C76">
        <w:rPr>
          <w:lang w:eastAsia="en-AU"/>
        </w:rPr>
        <w:t>Freshwater inflow is a crucial driver affecting salinity and water level regimes in the Coorong; these physical-chemical parameters have a strong influence on the habitat and ecological communities</w:t>
      </w:r>
      <w:r w:rsidR="00F9170F" w:rsidRPr="00A67C76">
        <w:rPr>
          <w:lang w:eastAsia="en-AU"/>
        </w:rPr>
        <w:t xml:space="preserve"> including the iconic macrophyte, </w:t>
      </w:r>
      <w:r w:rsidR="00F9170F" w:rsidRPr="00A67C76">
        <w:rPr>
          <w:i/>
          <w:lang w:eastAsia="en-AU"/>
        </w:rPr>
        <w:t>Ruppia tuberosa</w:t>
      </w:r>
      <w:r w:rsidR="00A908A0" w:rsidRPr="00A67C76">
        <w:rPr>
          <w:i/>
          <w:lang w:eastAsia="en-AU"/>
        </w:rPr>
        <w:t xml:space="preserve"> </w:t>
      </w:r>
      <w:r w:rsidR="00A908A0" w:rsidRPr="00A67C76">
        <w:rPr>
          <w:lang w:eastAsia="en-AU"/>
        </w:rPr>
        <w:t>(Nicol 2005)</w:t>
      </w:r>
      <w:r w:rsidR="00F9170F" w:rsidRPr="00A67C76">
        <w:rPr>
          <w:lang w:eastAsia="en-AU"/>
        </w:rPr>
        <w:t>, and a range of fish species</w:t>
      </w:r>
      <w:r w:rsidR="009356DB" w:rsidRPr="00A67C76">
        <w:rPr>
          <w:lang w:eastAsia="en-AU"/>
        </w:rPr>
        <w:t xml:space="preserve"> in the Coorong</w:t>
      </w:r>
      <w:r w:rsidR="00A64B62" w:rsidRPr="00A67C76">
        <w:rPr>
          <w:lang w:eastAsia="en-AU"/>
        </w:rPr>
        <w:t xml:space="preserve"> </w:t>
      </w:r>
      <w:r w:rsidR="00A64B62" w:rsidRPr="00A67C76">
        <w:t xml:space="preserve">(Ye </w:t>
      </w:r>
      <w:r w:rsidR="00A64B62" w:rsidRPr="00A67C76">
        <w:rPr>
          <w:i/>
        </w:rPr>
        <w:t>et al.</w:t>
      </w:r>
      <w:r w:rsidR="00A64B62" w:rsidRPr="00A67C76">
        <w:t xml:space="preserve"> 2012; Livore </w:t>
      </w:r>
      <w:r w:rsidR="00A64B62" w:rsidRPr="00A67C76">
        <w:rPr>
          <w:i/>
        </w:rPr>
        <w:t>et al.</w:t>
      </w:r>
      <w:r w:rsidR="00A64B62" w:rsidRPr="00A67C76">
        <w:t xml:space="preserve"> 2013).</w:t>
      </w:r>
      <w:r w:rsidRPr="00A67C76">
        <w:rPr>
          <w:lang w:eastAsia="en-AU"/>
        </w:rPr>
        <w:t xml:space="preserve"> </w:t>
      </w:r>
      <w:r w:rsidR="009356DB" w:rsidRPr="00A67C76">
        <w:t xml:space="preserve">The hydrodynamic model developed by CSIRO over the past years (Webster 2007; Webster 2013) and now being available as </w:t>
      </w:r>
      <w:r w:rsidR="00661BA6" w:rsidRPr="00A67C76">
        <w:t xml:space="preserve">the </w:t>
      </w:r>
      <w:r w:rsidR="009356DB" w:rsidRPr="00A67C76">
        <w:rPr>
          <w:i/>
        </w:rPr>
        <w:t>Coorong Hydrodynamic Model</w:t>
      </w:r>
      <w:r w:rsidR="009356DB" w:rsidRPr="00A67C76">
        <w:t xml:space="preserve"> (CHM) v2.1 (Joehnk and Webster 2014) allows the simulati</w:t>
      </w:r>
      <w:r w:rsidR="0030422F" w:rsidRPr="00A67C76">
        <w:t xml:space="preserve">on of salinity and water levels </w:t>
      </w:r>
      <w:r w:rsidR="009356DB" w:rsidRPr="00A67C76">
        <w:t>along the 10</w:t>
      </w:r>
      <w:r w:rsidR="000154BC">
        <w:t>2</w:t>
      </w:r>
      <w:r w:rsidR="009356DB" w:rsidRPr="00A67C76">
        <w:t xml:space="preserve"> km of Coorong by 1 km resolution. This was combined with our conceptual understanding of </w:t>
      </w:r>
      <w:r w:rsidR="00A64B62" w:rsidRPr="00A67C76">
        <w:t xml:space="preserve">the </w:t>
      </w:r>
      <w:r w:rsidR="00EC7B84" w:rsidRPr="00EC7B84">
        <w:t>life-history</w:t>
      </w:r>
      <w:r w:rsidR="00A64B62" w:rsidRPr="00A67C76">
        <w:t xml:space="preserve"> of </w:t>
      </w:r>
      <w:r w:rsidR="00A64B62" w:rsidRPr="00A67C76">
        <w:rPr>
          <w:i/>
        </w:rPr>
        <w:t>Ruppia tuberosa</w:t>
      </w:r>
      <w:r w:rsidR="00A64B62" w:rsidRPr="00A67C76">
        <w:t xml:space="preserve"> and </w:t>
      </w:r>
      <w:r w:rsidR="009356DB" w:rsidRPr="00A67C76">
        <w:t>the</w:t>
      </w:r>
      <w:r w:rsidR="00A64B62" w:rsidRPr="00A67C76">
        <w:t xml:space="preserve"> effects of salinity and </w:t>
      </w:r>
      <w:r w:rsidR="009356DB" w:rsidRPr="00A67C76">
        <w:t>water leve</w:t>
      </w:r>
      <w:r w:rsidR="00A64B62" w:rsidRPr="00A67C76">
        <w:t xml:space="preserve">ls on key processes to evaluate the ecological benefit based on flow regimes and </w:t>
      </w:r>
      <w:r w:rsidR="00333041" w:rsidRPr="00A67C76">
        <w:t>2012</w:t>
      </w:r>
      <w:r w:rsidR="00FD328A" w:rsidRPr="00FD328A">
        <w:t>-13</w:t>
      </w:r>
      <w:r w:rsidR="00A64B62" w:rsidRPr="00A67C76">
        <w:t xml:space="preserve"> environmental watering in the Coorong. In addition, </w:t>
      </w:r>
      <w:r w:rsidR="0030422F" w:rsidRPr="00A67C76">
        <w:t xml:space="preserve">exploratory analysis on </w:t>
      </w:r>
      <w:r w:rsidR="00A64B62" w:rsidRPr="00A67C76">
        <w:t xml:space="preserve">the extent of estuarine fish habitat </w:t>
      </w:r>
      <w:r w:rsidR="0030422F" w:rsidRPr="00A67C76">
        <w:t xml:space="preserve">was also undertaken based on the salinity tolerance thresholds of seven key species in the Coorong. </w:t>
      </w:r>
    </w:p>
    <w:p w:rsidR="00461871" w:rsidRDefault="00461871" w:rsidP="000B7E74"/>
    <w:p w:rsidR="005D1601" w:rsidRPr="00A67C76" w:rsidRDefault="005D1601" w:rsidP="000B7E74">
      <w:r w:rsidRPr="00A67C76">
        <w:t>Ruppia tuberosa</w:t>
      </w:r>
    </w:p>
    <w:p w:rsidR="00FE5736" w:rsidRPr="00A67C76" w:rsidRDefault="00FE5736" w:rsidP="000B7E74">
      <w:pPr>
        <w:rPr>
          <w:rFonts w:eastAsiaTheme="minorHAnsi" w:cstheme="minorBidi"/>
          <w:color w:val="auto"/>
          <w:kern w:val="0"/>
          <w:szCs w:val="22"/>
        </w:rPr>
      </w:pPr>
      <w:r w:rsidRPr="003414CC">
        <w:rPr>
          <w:rFonts w:eastAsiaTheme="minorHAnsi" w:cstheme="minorBidi"/>
          <w:i/>
          <w:color w:val="auto"/>
          <w:kern w:val="0"/>
          <w:szCs w:val="22"/>
        </w:rPr>
        <w:t>Ruppia tuberosa</w:t>
      </w:r>
      <w:r w:rsidRPr="00A67C76">
        <w:rPr>
          <w:rFonts w:eastAsiaTheme="minorHAnsi" w:cstheme="minorBidi"/>
          <w:color w:val="auto"/>
          <w:kern w:val="0"/>
          <w:szCs w:val="22"/>
        </w:rPr>
        <w:t xml:space="preserve"> is a submergent halophyte that was historically common in the South Lagoon of the Coorong </w:t>
      </w:r>
      <w:r w:rsidRPr="00A67C76">
        <w:rPr>
          <w:rFonts w:eastAsiaTheme="minorHAnsi" w:cstheme="minorBidi"/>
          <w:noProof/>
          <w:color w:val="auto"/>
          <w:kern w:val="0"/>
          <w:szCs w:val="22"/>
        </w:rPr>
        <w:t>(Geddes and Brock 1977; Brock 1979; Brock 1981; Paton 1982; Geddes and Butler 1984; Geddes 1987; Paton 1996)</w:t>
      </w:r>
      <w:r w:rsidRPr="00A67C76">
        <w:rPr>
          <w:rFonts w:eastAsiaTheme="minorHAnsi" w:cstheme="minorBidi"/>
          <w:color w:val="auto"/>
          <w:kern w:val="0"/>
          <w:szCs w:val="22"/>
        </w:rPr>
        <w:t xml:space="preserve">.  It is one of the most salt tolerant angiosperms with a maximum salinity tolerance of 230 g/L for adult plants </w:t>
      </w:r>
      <w:r w:rsidRPr="00A67C76">
        <w:rPr>
          <w:rFonts w:eastAsiaTheme="minorHAnsi" w:cstheme="minorBidi"/>
          <w:noProof/>
          <w:color w:val="auto"/>
          <w:kern w:val="0"/>
          <w:szCs w:val="22"/>
        </w:rPr>
        <w:t>(Brock 1982a)</w:t>
      </w:r>
      <w:r w:rsidRPr="00A67C76">
        <w:rPr>
          <w:rFonts w:eastAsiaTheme="minorHAnsi" w:cstheme="minorBidi"/>
          <w:color w:val="auto"/>
          <w:kern w:val="0"/>
          <w:szCs w:val="22"/>
        </w:rPr>
        <w:t xml:space="preserve">; however, much lower salinities are required for life cycle completion.  </w:t>
      </w:r>
      <w:r w:rsidRPr="00A67C76">
        <w:rPr>
          <w:rFonts w:eastAsiaTheme="minorHAnsi" w:cstheme="minorBidi"/>
          <w:noProof/>
          <w:color w:val="auto"/>
          <w:kern w:val="0"/>
          <w:szCs w:val="22"/>
        </w:rPr>
        <w:t>Kim et al. (2013)</w:t>
      </w:r>
      <w:r w:rsidRPr="00A67C76">
        <w:rPr>
          <w:rFonts w:eastAsiaTheme="minorHAnsi" w:cstheme="minorBidi"/>
          <w:color w:val="auto"/>
          <w:kern w:val="0"/>
          <w:szCs w:val="22"/>
        </w:rPr>
        <w:t xml:space="preserve"> reported that salinities lower than 85 g/L for 15 days are required for germination from seeds and 125 g</w:t>
      </w:r>
      <w:r w:rsidR="00EC6344" w:rsidRPr="00A67C76">
        <w:rPr>
          <w:rFonts w:eastAsiaTheme="minorHAnsi" w:cstheme="minorBidi"/>
          <w:color w:val="auto"/>
          <w:kern w:val="0"/>
          <w:szCs w:val="22"/>
        </w:rPr>
        <w:t>/</w:t>
      </w:r>
      <w:r w:rsidRPr="00A67C76">
        <w:rPr>
          <w:rFonts w:eastAsiaTheme="minorHAnsi" w:cstheme="minorBidi"/>
          <w:color w:val="auto"/>
          <w:kern w:val="0"/>
          <w:szCs w:val="22"/>
        </w:rPr>
        <w:t>L for sprouting from turions</w:t>
      </w:r>
      <w:r w:rsidR="005D1482">
        <w:rPr>
          <w:rFonts w:eastAsiaTheme="minorHAnsi" w:cstheme="minorBidi"/>
          <w:color w:val="auto"/>
          <w:kern w:val="0"/>
          <w:szCs w:val="22"/>
        </w:rPr>
        <w:t xml:space="preserve"> (</w:t>
      </w:r>
      <w:r w:rsidR="005D1482" w:rsidRPr="005D1482">
        <w:rPr>
          <w:rFonts w:eastAsiaTheme="minorHAnsi" w:cstheme="minorBidi"/>
          <w:color w:val="auto"/>
          <w:kern w:val="0"/>
          <w:szCs w:val="22"/>
        </w:rPr>
        <w:t>a specialised</w:t>
      </w:r>
      <w:r w:rsidR="005D1482">
        <w:rPr>
          <w:rFonts w:eastAsiaTheme="minorHAnsi" w:cstheme="minorBidi"/>
          <w:color w:val="auto"/>
          <w:kern w:val="0"/>
          <w:szCs w:val="22"/>
        </w:rPr>
        <w:t xml:space="preserve"> drought resistant</w:t>
      </w:r>
      <w:r w:rsidR="005D1482" w:rsidRPr="005D1482">
        <w:rPr>
          <w:rFonts w:eastAsiaTheme="minorHAnsi" w:cstheme="minorBidi"/>
          <w:color w:val="auto"/>
          <w:kern w:val="0"/>
          <w:szCs w:val="22"/>
        </w:rPr>
        <w:t xml:space="preserve"> </w:t>
      </w:r>
      <w:r w:rsidR="005D1482">
        <w:rPr>
          <w:rFonts w:eastAsiaTheme="minorHAnsi" w:cstheme="minorBidi"/>
          <w:color w:val="auto"/>
          <w:kern w:val="0"/>
          <w:szCs w:val="22"/>
        </w:rPr>
        <w:t>asexual propagule</w:t>
      </w:r>
      <w:r w:rsidR="005D1482" w:rsidRPr="005D1482">
        <w:rPr>
          <w:rFonts w:eastAsiaTheme="minorHAnsi" w:cstheme="minorBidi"/>
          <w:color w:val="auto"/>
          <w:kern w:val="0"/>
          <w:szCs w:val="22"/>
        </w:rPr>
        <w:t xml:space="preserve"> produced by aquatic plants</w:t>
      </w:r>
      <w:r w:rsidR="005D1482">
        <w:rPr>
          <w:rFonts w:eastAsiaTheme="minorHAnsi" w:cstheme="minorBidi"/>
          <w:color w:val="auto"/>
          <w:kern w:val="0"/>
          <w:szCs w:val="22"/>
        </w:rPr>
        <w:t>)</w:t>
      </w:r>
      <w:r w:rsidRPr="00A67C76">
        <w:rPr>
          <w:rFonts w:eastAsiaTheme="minorHAnsi" w:cstheme="minorBidi"/>
          <w:color w:val="auto"/>
          <w:kern w:val="0"/>
          <w:szCs w:val="22"/>
        </w:rPr>
        <w:t xml:space="preserve">.  Furthermore, exposure to elevated salinity followed by lower salinity stimulated germination in seeds but reduced viability of turions by over 90% </w:t>
      </w:r>
      <w:r w:rsidRPr="00A67C76">
        <w:rPr>
          <w:rFonts w:eastAsiaTheme="minorHAnsi" w:cstheme="minorBidi"/>
          <w:noProof/>
          <w:color w:val="auto"/>
          <w:kern w:val="0"/>
          <w:szCs w:val="22"/>
        </w:rPr>
        <w:t>(Kim et al. 2013)</w:t>
      </w:r>
      <w:r w:rsidRPr="00A67C76">
        <w:rPr>
          <w:rFonts w:eastAsiaTheme="minorHAnsi" w:cstheme="minorBidi"/>
          <w:color w:val="auto"/>
          <w:kern w:val="0"/>
          <w:szCs w:val="22"/>
        </w:rPr>
        <w:t xml:space="preserve">.  </w:t>
      </w:r>
      <w:r w:rsidRPr="00A67C76">
        <w:rPr>
          <w:rFonts w:eastAsiaTheme="minorHAnsi" w:cstheme="minorBidi"/>
          <w:noProof/>
          <w:color w:val="auto"/>
          <w:kern w:val="0"/>
          <w:szCs w:val="22"/>
        </w:rPr>
        <w:t>Brock (1982b)</w:t>
      </w:r>
      <w:r w:rsidRPr="00A67C76">
        <w:rPr>
          <w:rFonts w:eastAsiaTheme="minorHAnsi" w:cstheme="minorBidi"/>
          <w:color w:val="auto"/>
          <w:kern w:val="0"/>
          <w:szCs w:val="22"/>
        </w:rPr>
        <w:t xml:space="preserve"> also noted that at elevated salinities </w:t>
      </w:r>
      <w:r w:rsidRPr="003414CC">
        <w:rPr>
          <w:rFonts w:eastAsiaTheme="minorHAnsi" w:cstheme="minorBidi"/>
          <w:i/>
          <w:color w:val="auto"/>
          <w:kern w:val="0"/>
          <w:szCs w:val="22"/>
        </w:rPr>
        <w:t>Ruppia tuberosa</w:t>
      </w:r>
      <w:r w:rsidRPr="00A67C76">
        <w:rPr>
          <w:rFonts w:eastAsiaTheme="minorHAnsi" w:cstheme="minorBidi"/>
          <w:color w:val="auto"/>
          <w:kern w:val="0"/>
          <w:szCs w:val="22"/>
        </w:rPr>
        <w:t xml:space="preserve"> did not flower and was restricted to reproducing asexually; therefore, lower salinities are required for the production of seed and subsequent replenishing of the sediment propagule bank.</w:t>
      </w:r>
    </w:p>
    <w:p w:rsidR="00FE5736" w:rsidRPr="00A67C76" w:rsidRDefault="00FE5736" w:rsidP="000B7E74">
      <w:pPr>
        <w:rPr>
          <w:rFonts w:eastAsiaTheme="minorHAnsi" w:cstheme="minorBidi"/>
          <w:color w:val="auto"/>
          <w:kern w:val="0"/>
          <w:szCs w:val="22"/>
        </w:rPr>
      </w:pPr>
      <w:r w:rsidRPr="00A67C76">
        <w:rPr>
          <w:rFonts w:eastAsiaTheme="minorHAnsi" w:cstheme="minorBidi"/>
          <w:color w:val="auto"/>
          <w:kern w:val="0"/>
          <w:szCs w:val="22"/>
        </w:rPr>
        <w:t xml:space="preserve">Water levels are also a critical factor for </w:t>
      </w:r>
      <w:r w:rsidRPr="003414CC">
        <w:rPr>
          <w:rFonts w:eastAsiaTheme="minorHAnsi" w:cstheme="minorBidi"/>
          <w:i/>
          <w:color w:val="auto"/>
          <w:kern w:val="0"/>
          <w:szCs w:val="22"/>
        </w:rPr>
        <w:t>Ruppia tuberosa</w:t>
      </w:r>
      <w:r w:rsidRPr="00A67C76">
        <w:rPr>
          <w:rFonts w:eastAsiaTheme="minorHAnsi" w:cstheme="minorBidi"/>
          <w:color w:val="auto"/>
          <w:kern w:val="0"/>
          <w:szCs w:val="22"/>
        </w:rPr>
        <w:t xml:space="preserve"> in the South Lagoon of the Coorong.</w:t>
      </w:r>
      <w:r w:rsidR="00D0528B" w:rsidRPr="00A67C76">
        <w:rPr>
          <w:rFonts w:eastAsiaTheme="minorHAnsi" w:cstheme="minorBidi"/>
          <w:color w:val="auto"/>
          <w:kern w:val="0"/>
          <w:szCs w:val="22"/>
        </w:rPr>
        <w:t xml:space="preserve"> </w:t>
      </w:r>
      <w:r w:rsidRPr="003414CC">
        <w:rPr>
          <w:rFonts w:eastAsiaTheme="minorHAnsi" w:cstheme="minorBidi"/>
          <w:i/>
          <w:color w:val="auto"/>
          <w:kern w:val="0"/>
          <w:szCs w:val="22"/>
        </w:rPr>
        <w:t>Ruppia tuberosa</w:t>
      </w:r>
      <w:r w:rsidRPr="00A67C76">
        <w:rPr>
          <w:rFonts w:eastAsiaTheme="minorHAnsi" w:cstheme="minorBidi"/>
          <w:color w:val="auto"/>
          <w:kern w:val="0"/>
          <w:szCs w:val="22"/>
        </w:rPr>
        <w:t xml:space="preserve"> is highly sensitive to desiccation but has high light requirements; therefore, there is a narrow band where the species can occur in the highly turbid South Lagoon </w:t>
      </w:r>
      <w:r w:rsidRPr="00A67C76">
        <w:rPr>
          <w:rFonts w:eastAsiaTheme="minorHAnsi" w:cstheme="minorBidi"/>
          <w:noProof/>
          <w:color w:val="auto"/>
          <w:kern w:val="0"/>
          <w:szCs w:val="22"/>
        </w:rPr>
        <w:t>(Nicol 2005)</w:t>
      </w:r>
      <w:r w:rsidRPr="00A67C76">
        <w:rPr>
          <w:rFonts w:eastAsiaTheme="minorHAnsi" w:cstheme="minorBidi"/>
          <w:color w:val="auto"/>
          <w:kern w:val="0"/>
          <w:szCs w:val="22"/>
        </w:rPr>
        <w:t xml:space="preserve">.  </w:t>
      </w:r>
      <w:r w:rsidRPr="003414CC">
        <w:rPr>
          <w:rFonts w:eastAsiaTheme="minorHAnsi" w:cstheme="minorBidi"/>
          <w:i/>
          <w:color w:val="auto"/>
          <w:kern w:val="0"/>
          <w:szCs w:val="22"/>
        </w:rPr>
        <w:t>Ruppia tuberosa</w:t>
      </w:r>
      <w:r w:rsidRPr="00A67C76">
        <w:rPr>
          <w:rFonts w:eastAsiaTheme="minorHAnsi" w:cstheme="minorBidi"/>
          <w:color w:val="auto"/>
          <w:kern w:val="0"/>
          <w:szCs w:val="22"/>
        </w:rPr>
        <w:t xml:space="preserve"> colonises areas between 0 and -0.5 m AHD in May to June in the South Lagoon; areas below -0.5 m AHD are below the euphotic zone and areas above 0 m AHD are prone to desiccation due to wind driven water levels fluctuations (seiching) (Nicol 2005). These water levels need to be maintained until at least mid November, preferably mid to late December to ensure the life cycle is completed and the seed bank replenished</w:t>
      </w:r>
      <w:r w:rsidR="005D703E">
        <w:rPr>
          <w:rFonts w:eastAsiaTheme="minorHAnsi" w:cstheme="minorBidi"/>
          <w:color w:val="auto"/>
          <w:kern w:val="0"/>
          <w:szCs w:val="22"/>
        </w:rPr>
        <w:t xml:space="preserve"> (Figure 4)</w:t>
      </w:r>
      <w:r w:rsidRPr="00A67C76">
        <w:rPr>
          <w:rFonts w:eastAsiaTheme="minorHAnsi" w:cstheme="minorBidi"/>
          <w:color w:val="auto"/>
          <w:kern w:val="0"/>
          <w:szCs w:val="22"/>
        </w:rPr>
        <w:t>.</w:t>
      </w:r>
    </w:p>
    <w:p w:rsidR="00FE5736" w:rsidRPr="00A67C76" w:rsidRDefault="002E6077" w:rsidP="000B7E74">
      <w:pPr>
        <w:rPr>
          <w:rFonts w:eastAsiaTheme="minorHAnsi" w:cstheme="minorBidi"/>
          <w:color w:val="auto"/>
          <w:kern w:val="0"/>
          <w:szCs w:val="22"/>
        </w:rPr>
      </w:pPr>
      <w:fldSimple w:instr=" REF _Ref384126371 \h  \* MERGEFORMAT ">
        <w:r w:rsidR="009659F2" w:rsidRPr="00A67C76">
          <w:t xml:space="preserve">Figure </w:t>
        </w:r>
        <w:r w:rsidR="009659F2">
          <w:t>5</w:t>
        </w:r>
      </w:fldSimple>
      <w:r w:rsidR="00BC4A40" w:rsidRPr="00A67C76">
        <w:rPr>
          <w:rFonts w:eastAsiaTheme="minorHAnsi" w:cstheme="minorBidi"/>
          <w:color w:val="auto"/>
          <w:kern w:val="0"/>
          <w:szCs w:val="22"/>
        </w:rPr>
        <w:t xml:space="preserve"> </w:t>
      </w:r>
      <w:r w:rsidR="00FE5736" w:rsidRPr="00A67C76">
        <w:rPr>
          <w:rFonts w:eastAsiaTheme="minorHAnsi" w:cstheme="minorBidi"/>
          <w:color w:val="auto"/>
          <w:kern w:val="0"/>
          <w:szCs w:val="22"/>
        </w:rPr>
        <w:t xml:space="preserve">represents </w:t>
      </w:r>
      <w:r w:rsidR="0065481E" w:rsidRPr="00A67C76">
        <w:rPr>
          <w:rFonts w:eastAsiaTheme="minorHAnsi" w:cstheme="minorBidi"/>
          <w:color w:val="auto"/>
          <w:kern w:val="0"/>
          <w:szCs w:val="22"/>
        </w:rPr>
        <w:t xml:space="preserve">the </w:t>
      </w:r>
      <w:r w:rsidR="00FE5736" w:rsidRPr="00A67C76">
        <w:rPr>
          <w:rFonts w:eastAsiaTheme="minorHAnsi" w:cstheme="minorBidi"/>
          <w:color w:val="auto"/>
          <w:kern w:val="0"/>
          <w:szCs w:val="22"/>
        </w:rPr>
        <w:t xml:space="preserve">optimal salinity regime for </w:t>
      </w:r>
      <w:r w:rsidR="00FE5736" w:rsidRPr="003414CC">
        <w:rPr>
          <w:rFonts w:eastAsiaTheme="minorHAnsi" w:cstheme="minorBidi"/>
          <w:i/>
          <w:color w:val="auto"/>
          <w:kern w:val="0"/>
          <w:szCs w:val="22"/>
        </w:rPr>
        <w:t>Ruppia tuberosa</w:t>
      </w:r>
      <w:r w:rsidR="00FE5736" w:rsidRPr="00A67C76">
        <w:rPr>
          <w:rFonts w:eastAsiaTheme="minorHAnsi" w:cstheme="minorBidi"/>
          <w:color w:val="auto"/>
          <w:kern w:val="0"/>
          <w:szCs w:val="22"/>
        </w:rPr>
        <w:t xml:space="preserve"> in the South Lagoon of the Coorong.  </w:t>
      </w:r>
      <w:r w:rsidR="005D1482">
        <w:rPr>
          <w:rFonts w:eastAsiaTheme="minorHAnsi" w:cstheme="minorBidi"/>
          <w:color w:val="auto"/>
          <w:kern w:val="0"/>
          <w:szCs w:val="22"/>
        </w:rPr>
        <w:t>S</w:t>
      </w:r>
      <w:r w:rsidR="00FE5736" w:rsidRPr="00A67C76">
        <w:rPr>
          <w:rFonts w:eastAsiaTheme="minorHAnsi" w:cstheme="minorBidi"/>
          <w:color w:val="auto"/>
          <w:kern w:val="0"/>
          <w:szCs w:val="22"/>
        </w:rPr>
        <w:t xml:space="preserve">alinity needs to be lower than 125 g/L for turions to sprout and 85 g/L for seed germination for at least 15 days </w:t>
      </w:r>
      <w:r w:rsidR="00FE5736" w:rsidRPr="00A67C76">
        <w:rPr>
          <w:rFonts w:eastAsiaTheme="minorHAnsi" w:cstheme="minorBidi"/>
          <w:noProof/>
          <w:color w:val="auto"/>
          <w:kern w:val="0"/>
          <w:szCs w:val="22"/>
        </w:rPr>
        <w:t>(Kim et al. 2013)</w:t>
      </w:r>
      <w:r w:rsidR="00FE5736" w:rsidRPr="00A67C76">
        <w:rPr>
          <w:rFonts w:eastAsiaTheme="minorHAnsi" w:cstheme="minorBidi"/>
          <w:color w:val="auto"/>
          <w:kern w:val="0"/>
          <w:szCs w:val="22"/>
        </w:rPr>
        <w:t xml:space="preserve">. </w:t>
      </w:r>
      <w:r w:rsidR="00F05052">
        <w:rPr>
          <w:rFonts w:eastAsiaTheme="minorHAnsi" w:cstheme="minorBidi"/>
          <w:color w:val="auto"/>
          <w:kern w:val="0"/>
          <w:szCs w:val="22"/>
        </w:rPr>
        <w:t>S</w:t>
      </w:r>
      <w:r w:rsidR="00FE5736" w:rsidRPr="00A67C76">
        <w:rPr>
          <w:rFonts w:eastAsiaTheme="minorHAnsi" w:cstheme="minorBidi"/>
          <w:color w:val="auto"/>
          <w:kern w:val="0"/>
          <w:szCs w:val="22"/>
        </w:rPr>
        <w:t>alinity needs to be maintained below 100 g/L for the duration of the growing season to ensure plants reproduce sexually.  Whilst seed production is restricted at salinities above 100 g/L, turions may be produced but this requires further study.   The maximum salinity thresholds for adult plants (230 g</w:t>
      </w:r>
      <w:r w:rsidR="00D0528B" w:rsidRPr="00A67C76">
        <w:rPr>
          <w:rFonts w:eastAsiaTheme="minorHAnsi" w:cstheme="minorBidi"/>
          <w:color w:val="auto"/>
          <w:kern w:val="0"/>
          <w:szCs w:val="22"/>
        </w:rPr>
        <w:t>/</w:t>
      </w:r>
      <w:r w:rsidR="00FE5736" w:rsidRPr="00A67C76">
        <w:rPr>
          <w:rFonts w:eastAsiaTheme="minorHAnsi" w:cstheme="minorBidi"/>
          <w:color w:val="auto"/>
          <w:kern w:val="0"/>
          <w:szCs w:val="22"/>
        </w:rPr>
        <w:t>L), turion sprouting (125 g/L), seed germination (85 g/L), sexual reproduction (100 g/L) and turion viability (130 g/L) are also represented.</w:t>
      </w:r>
    </w:p>
    <w:p w:rsidR="00FE5736" w:rsidRPr="006652CA" w:rsidRDefault="00FE5736" w:rsidP="000B7E74">
      <w:r w:rsidRPr="00A67C76">
        <w:rPr>
          <w:rFonts w:eastAsiaTheme="minorHAnsi" w:cstheme="minorBidi"/>
          <w:szCs w:val="22"/>
        </w:rPr>
        <w:t>The information in</w:t>
      </w:r>
      <w:r w:rsidR="004E7C07">
        <w:rPr>
          <w:rFonts w:eastAsiaTheme="minorHAnsi" w:cstheme="minorBidi"/>
          <w:szCs w:val="22"/>
        </w:rPr>
        <w:t xml:space="preserve"> </w:t>
      </w:r>
      <w:r w:rsidR="0094043E">
        <w:rPr>
          <w:rFonts w:eastAsiaTheme="minorHAnsi" w:cstheme="minorBidi"/>
          <w:szCs w:val="22"/>
        </w:rPr>
        <w:t xml:space="preserve">Figure 4 </w:t>
      </w:r>
      <w:r w:rsidR="004360C3" w:rsidRPr="00A67C76">
        <w:rPr>
          <w:rFonts w:eastAsiaTheme="minorHAnsi" w:cstheme="minorBidi"/>
          <w:color w:val="auto"/>
          <w:kern w:val="0"/>
          <w:szCs w:val="22"/>
        </w:rPr>
        <w:t>and</w:t>
      </w:r>
      <w:r w:rsidR="0094043E">
        <w:rPr>
          <w:rFonts w:eastAsiaTheme="minorHAnsi" w:cstheme="minorBidi"/>
          <w:color w:val="auto"/>
          <w:kern w:val="0"/>
          <w:szCs w:val="22"/>
        </w:rPr>
        <w:t xml:space="preserve"> Figure 5</w:t>
      </w:r>
      <w:r w:rsidR="004360C3" w:rsidRPr="00A67C76">
        <w:rPr>
          <w:rFonts w:eastAsiaTheme="minorHAnsi" w:cstheme="minorBidi"/>
          <w:color w:val="auto"/>
          <w:kern w:val="0"/>
          <w:szCs w:val="22"/>
        </w:rPr>
        <w:t xml:space="preserve"> are summarised in </w:t>
      </w:r>
      <w:fldSimple w:instr=" REF _Ref384126423 \h  \* MERGEFORMAT ">
        <w:r w:rsidR="009659F2" w:rsidRPr="00A67C76">
          <w:t xml:space="preserve">Figure </w:t>
        </w:r>
        <w:r w:rsidR="009659F2">
          <w:t>6</w:t>
        </w:r>
      </w:fldSimple>
      <w:r w:rsidR="00BC4A40" w:rsidRPr="00A67C76">
        <w:rPr>
          <w:rFonts w:eastAsiaTheme="minorHAnsi" w:cstheme="minorBidi"/>
          <w:color w:val="auto"/>
          <w:kern w:val="0"/>
          <w:szCs w:val="22"/>
        </w:rPr>
        <w:t xml:space="preserve"> </w:t>
      </w:r>
      <w:r w:rsidR="004360C3" w:rsidRPr="00A67C76">
        <w:rPr>
          <w:rFonts w:eastAsiaTheme="minorHAnsi" w:cstheme="minorBidi"/>
          <w:color w:val="auto"/>
          <w:kern w:val="0"/>
          <w:szCs w:val="22"/>
        </w:rPr>
        <w:t>,</w:t>
      </w:r>
      <w:r w:rsidRPr="00A67C76">
        <w:rPr>
          <w:rFonts w:eastAsiaTheme="minorHAnsi" w:cstheme="minorBidi"/>
          <w:color w:val="auto"/>
          <w:kern w:val="0"/>
          <w:szCs w:val="22"/>
        </w:rPr>
        <w:t xml:space="preserve"> a conceptual model that represents the </w:t>
      </w:r>
      <w:r w:rsidR="00EC7B84" w:rsidRPr="00EC7B84">
        <w:rPr>
          <w:rFonts w:eastAsiaTheme="minorHAnsi" w:cstheme="minorBidi"/>
          <w:color w:val="auto"/>
          <w:kern w:val="0"/>
          <w:szCs w:val="22"/>
        </w:rPr>
        <w:t>life-history</w:t>
      </w:r>
      <w:r w:rsidRPr="00A67C76">
        <w:rPr>
          <w:rFonts w:eastAsiaTheme="minorHAnsi" w:cstheme="minorBidi"/>
          <w:color w:val="auto"/>
          <w:kern w:val="0"/>
          <w:szCs w:val="22"/>
        </w:rPr>
        <w:t xml:space="preserve"> of </w:t>
      </w:r>
      <w:r w:rsidRPr="003414CC">
        <w:rPr>
          <w:rFonts w:eastAsiaTheme="minorHAnsi" w:cstheme="minorBidi"/>
          <w:i/>
          <w:color w:val="auto"/>
          <w:kern w:val="0"/>
          <w:szCs w:val="22"/>
        </w:rPr>
        <w:t>Ruppia tuberosa</w:t>
      </w:r>
      <w:r w:rsidRPr="00A67C76">
        <w:rPr>
          <w:rFonts w:eastAsiaTheme="minorHAnsi" w:cstheme="minorBidi"/>
          <w:color w:val="auto"/>
          <w:kern w:val="0"/>
          <w:szCs w:val="22"/>
        </w:rPr>
        <w:t xml:space="preserve"> in the South Lagoon of the Coorong. The </w:t>
      </w:r>
      <w:r w:rsidR="00EC7B84" w:rsidRPr="00EC7B84">
        <w:rPr>
          <w:rFonts w:eastAsiaTheme="minorHAnsi" w:cstheme="minorBidi"/>
          <w:color w:val="auto"/>
          <w:kern w:val="0"/>
          <w:szCs w:val="22"/>
        </w:rPr>
        <w:t>life-history</w:t>
      </w:r>
      <w:r w:rsidRPr="00A67C76">
        <w:rPr>
          <w:rFonts w:eastAsiaTheme="minorHAnsi" w:cstheme="minorBidi"/>
          <w:color w:val="auto"/>
          <w:kern w:val="0"/>
          <w:szCs w:val="22"/>
        </w:rPr>
        <w:t xml:space="preserve"> of </w:t>
      </w:r>
      <w:r w:rsidRPr="003414CC">
        <w:rPr>
          <w:rFonts w:eastAsiaTheme="minorHAnsi" w:cstheme="minorBidi"/>
          <w:i/>
          <w:color w:val="auto"/>
          <w:kern w:val="0"/>
          <w:szCs w:val="22"/>
        </w:rPr>
        <w:t>Ruppia tuberosa</w:t>
      </w:r>
      <w:r w:rsidRPr="00A67C76">
        <w:rPr>
          <w:rFonts w:eastAsiaTheme="minorHAnsi" w:cstheme="minorBidi"/>
          <w:color w:val="auto"/>
          <w:kern w:val="0"/>
          <w:szCs w:val="22"/>
        </w:rPr>
        <w:t xml:space="preserve"> is represented by five stages; the sediment propagule bank, seedlings, juveniles, asexual adults and sexual adults.  The sediment propagule bank consists of seeds and turions; turions will sprout (in May to June) when inundated with water that has salinity lower than 125 g/L and seeds will germinate when the salinity is below 85 g/L (Kim et al. 2013).  Seedlings will persist and become juveniles providing the water level is maintained above +0.2 m AHD and the salinity remains below 100 g/L and in turn juveniles will become asexual adults if the aforementioned conditions are maintained until October.  If the salinity remains below 100 g/L and the water level above +0.2 m AHD until mid November (preferably </w:t>
      </w:r>
      <w:proofErr w:type="gramStart"/>
      <w:r w:rsidRPr="00A67C76">
        <w:rPr>
          <w:rFonts w:eastAsiaTheme="minorHAnsi" w:cstheme="minorBidi"/>
          <w:color w:val="auto"/>
          <w:kern w:val="0"/>
          <w:szCs w:val="22"/>
        </w:rPr>
        <w:t>mid</w:t>
      </w:r>
      <w:proofErr w:type="gramEnd"/>
      <w:r w:rsidRPr="00A67C76">
        <w:rPr>
          <w:rFonts w:eastAsiaTheme="minorHAnsi" w:cstheme="minorBidi"/>
          <w:color w:val="auto"/>
          <w:kern w:val="0"/>
          <w:szCs w:val="22"/>
        </w:rPr>
        <w:t xml:space="preserve"> to late December) the plants will reach sexual maturity and replenish the propagule bank.  However, if the salinity exceeds 100 g/L the plants will not flower but turions may be produced that will partially replenish the propagule bank.  If water levels fall below +0.2 m AHD before mid November plants will die and the propagule bank will not be replenished.</w:t>
      </w:r>
    </w:p>
    <w:p w:rsidR="00FE5736" w:rsidRPr="00A67C76" w:rsidRDefault="001676A9" w:rsidP="000B7E74">
      <w:pPr>
        <w:rPr>
          <w:rFonts w:eastAsiaTheme="minorHAnsi" w:cstheme="minorBidi"/>
          <w:color w:val="auto"/>
          <w:kern w:val="0"/>
          <w:szCs w:val="22"/>
        </w:rPr>
      </w:pPr>
      <w:r>
        <w:rPr>
          <w:rFonts w:eastAsiaTheme="minorHAnsi" w:cstheme="minorBidi"/>
          <w:color w:val="auto"/>
          <w:kern w:val="0"/>
          <w:szCs w:val="22"/>
        </w:rPr>
        <w:t>The ecological bottle</w:t>
      </w:r>
      <w:r w:rsidR="00FE5736" w:rsidRPr="00A67C76">
        <w:rPr>
          <w:rFonts w:eastAsiaTheme="minorHAnsi" w:cstheme="minorBidi"/>
          <w:color w:val="auto"/>
          <w:kern w:val="0"/>
          <w:szCs w:val="22"/>
        </w:rPr>
        <w:t xml:space="preserve">necks identified were seed germination and turion sprouting because during periods of extended barrage closure the salinity in May and June often did not fall below the thresholds </w:t>
      </w:r>
      <w:r w:rsidR="00F05052">
        <w:rPr>
          <w:rFonts w:eastAsiaTheme="minorHAnsi" w:cstheme="minorBidi"/>
          <w:color w:val="auto"/>
          <w:kern w:val="0"/>
          <w:szCs w:val="22"/>
        </w:rPr>
        <w:t>for</w:t>
      </w:r>
      <w:r w:rsidR="00F05052" w:rsidRPr="00A67C76">
        <w:rPr>
          <w:rFonts w:eastAsiaTheme="minorHAnsi" w:cstheme="minorBidi"/>
          <w:color w:val="auto"/>
          <w:kern w:val="0"/>
          <w:szCs w:val="22"/>
        </w:rPr>
        <w:t xml:space="preserve"> </w:t>
      </w:r>
      <w:r w:rsidR="00FE5736" w:rsidRPr="00A67C76">
        <w:rPr>
          <w:rFonts w:eastAsiaTheme="minorHAnsi" w:cstheme="minorBidi"/>
          <w:color w:val="auto"/>
          <w:kern w:val="0"/>
          <w:szCs w:val="22"/>
        </w:rPr>
        <w:t>germination or sprouting</w:t>
      </w:r>
      <w:r w:rsidR="00EC6344" w:rsidRPr="00A67C76">
        <w:rPr>
          <w:rFonts w:eastAsiaTheme="minorHAnsi" w:cstheme="minorBidi"/>
          <w:color w:val="auto"/>
          <w:kern w:val="0"/>
          <w:szCs w:val="22"/>
        </w:rPr>
        <w:t xml:space="preserve"> </w:t>
      </w:r>
      <w:r w:rsidR="004360C3" w:rsidRPr="00A67C76">
        <w:rPr>
          <w:rFonts w:eastAsiaTheme="minorHAnsi" w:cstheme="minorBidi"/>
          <w:color w:val="auto"/>
          <w:kern w:val="0"/>
          <w:szCs w:val="22"/>
        </w:rPr>
        <w:t>(</w:t>
      </w:r>
      <w:fldSimple w:instr=" REF _Ref384126423 \h  \* MERGEFORMAT ">
        <w:r w:rsidR="009659F2" w:rsidRPr="00A67C76">
          <w:t xml:space="preserve">Figure </w:t>
        </w:r>
        <w:r w:rsidR="009659F2">
          <w:t>6</w:t>
        </w:r>
      </w:fldSimple>
      <w:r w:rsidR="004360C3" w:rsidRPr="00A67C76">
        <w:rPr>
          <w:rFonts w:eastAsiaTheme="minorHAnsi" w:cstheme="minorBidi"/>
          <w:color w:val="auto"/>
          <w:kern w:val="0"/>
          <w:szCs w:val="22"/>
        </w:rPr>
        <w:t>)</w:t>
      </w:r>
      <w:r w:rsidR="00FE5736" w:rsidRPr="00A67C76">
        <w:rPr>
          <w:rFonts w:eastAsiaTheme="minorHAnsi" w:cstheme="minorBidi"/>
          <w:color w:val="auto"/>
          <w:kern w:val="0"/>
          <w:szCs w:val="22"/>
        </w:rPr>
        <w:t>.  Furthermore, the high salinities experienced over summer during periods of extended barrage closure may have reduced turion viability in the propagule bank.  The other bottle neck</w:t>
      </w:r>
      <w:r w:rsidR="0065481E" w:rsidRPr="00A67C76">
        <w:rPr>
          <w:rFonts w:eastAsiaTheme="minorHAnsi" w:cstheme="minorBidi"/>
          <w:color w:val="auto"/>
          <w:kern w:val="0"/>
          <w:szCs w:val="22"/>
        </w:rPr>
        <w:t>s</w:t>
      </w:r>
      <w:r w:rsidR="00FE5736" w:rsidRPr="00A67C76">
        <w:rPr>
          <w:rFonts w:eastAsiaTheme="minorHAnsi" w:cstheme="minorBidi"/>
          <w:color w:val="auto"/>
          <w:kern w:val="0"/>
          <w:szCs w:val="22"/>
        </w:rPr>
        <w:t xml:space="preserve"> identified were plants not reaching sexual maturity and the propagule bank not being replenished</w:t>
      </w:r>
      <w:r w:rsidR="00EC6344" w:rsidRPr="00A67C76">
        <w:rPr>
          <w:rFonts w:eastAsiaTheme="minorHAnsi" w:cstheme="minorBidi"/>
          <w:color w:val="auto"/>
          <w:kern w:val="0"/>
          <w:szCs w:val="22"/>
        </w:rPr>
        <w:t xml:space="preserve"> </w:t>
      </w:r>
      <w:r w:rsidR="004360C3" w:rsidRPr="00A67C76">
        <w:rPr>
          <w:rFonts w:eastAsiaTheme="minorHAnsi" w:cstheme="minorBidi"/>
          <w:color w:val="auto"/>
          <w:kern w:val="0"/>
          <w:szCs w:val="22"/>
        </w:rPr>
        <w:t>(</w:t>
      </w:r>
      <w:fldSimple w:instr=" REF _Ref384126423 \h  \* MERGEFORMAT ">
        <w:r w:rsidR="009659F2" w:rsidRPr="00A67C76">
          <w:t xml:space="preserve">Figure </w:t>
        </w:r>
        <w:r w:rsidR="009659F2">
          <w:t>6</w:t>
        </w:r>
      </w:fldSimple>
      <w:r w:rsidR="004360C3" w:rsidRPr="00A67C76">
        <w:rPr>
          <w:rFonts w:eastAsiaTheme="minorHAnsi" w:cstheme="minorBidi"/>
          <w:color w:val="auto"/>
          <w:kern w:val="0"/>
          <w:szCs w:val="22"/>
        </w:rPr>
        <w:t>)</w:t>
      </w:r>
      <w:r w:rsidR="00FE5736" w:rsidRPr="00A67C76">
        <w:rPr>
          <w:rFonts w:eastAsiaTheme="minorHAnsi" w:cstheme="minorBidi"/>
          <w:color w:val="auto"/>
          <w:kern w:val="0"/>
          <w:szCs w:val="22"/>
        </w:rPr>
        <w:t>. Barrage outflows often cease during late October to early November, which causes a sudden drop in water level in the South Lagoon, stranding plants that have not reached sexual maturity.</w:t>
      </w:r>
    </w:p>
    <w:p w:rsidR="005D1601" w:rsidRPr="00A67C76" w:rsidRDefault="005D1601" w:rsidP="009A0D22">
      <w:pPr>
        <w:rPr>
          <w:szCs w:val="24"/>
        </w:rPr>
        <w:sectPr w:rsidR="005D1601" w:rsidRPr="00A67C76" w:rsidSect="007154D8">
          <w:footerReference w:type="default" r:id="rId35"/>
          <w:pgSz w:w="11900" w:h="16840" w:code="9"/>
          <w:pgMar w:top="1440" w:right="1440" w:bottom="1440" w:left="1440" w:header="709" w:footer="709" w:gutter="0"/>
          <w:cols w:space="708"/>
          <w:docGrid w:linePitch="360"/>
        </w:sectPr>
      </w:pPr>
      <w:r w:rsidRPr="00A67C76">
        <w:rPr>
          <w:b/>
          <w:szCs w:val="24"/>
        </w:rPr>
        <w:br w:type="page"/>
      </w:r>
    </w:p>
    <w:p w:rsidR="005178B0" w:rsidRPr="00A67C76" w:rsidRDefault="005D1601" w:rsidP="00F914C8">
      <w:pPr>
        <w:pStyle w:val="Captions"/>
      </w:pPr>
      <w:bookmarkStart w:id="43" w:name="_Ref381778549"/>
      <w:r w:rsidRPr="00A67C76">
        <w:rPr>
          <w:noProof/>
          <w:lang w:val="en-AU" w:eastAsia="en-AU"/>
        </w:rPr>
        <w:drawing>
          <wp:inline distT="0" distB="0" distL="0" distR="0">
            <wp:extent cx="7532051" cy="49320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email"/>
                    <a:srcRect/>
                    <a:stretch>
                      <a:fillRect/>
                    </a:stretch>
                  </pic:blipFill>
                  <pic:spPr bwMode="auto">
                    <a:xfrm>
                      <a:off x="0" y="0"/>
                      <a:ext cx="7532051" cy="4932000"/>
                    </a:xfrm>
                    <a:prstGeom prst="rect">
                      <a:avLst/>
                    </a:prstGeom>
                    <a:noFill/>
                    <a:ln w="9525">
                      <a:noFill/>
                      <a:miter lim="800000"/>
                      <a:headEnd/>
                      <a:tailEnd/>
                    </a:ln>
                  </pic:spPr>
                </pic:pic>
              </a:graphicData>
            </a:graphic>
          </wp:inline>
        </w:drawing>
      </w:r>
      <w:bookmarkStart w:id="44" w:name="_Ref384126190"/>
    </w:p>
    <w:p w:rsidR="005D1601" w:rsidRPr="00A67C76" w:rsidRDefault="005D1601" w:rsidP="00537BBD">
      <w:pPr>
        <w:pStyle w:val="Captions"/>
      </w:pPr>
      <w:bookmarkStart w:id="45" w:name="_Toc387843055"/>
      <w:proofErr w:type="gramStart"/>
      <w:r w:rsidRPr="00A67C76">
        <w:t xml:space="preserve">Figure </w:t>
      </w:r>
      <w:proofErr w:type="gramEnd"/>
      <w:r w:rsidR="002E6077" w:rsidRPr="00A67C76">
        <w:fldChar w:fldCharType="begin"/>
      </w:r>
      <w:r w:rsidR="00110CB9" w:rsidRPr="00A67C76">
        <w:instrText xml:space="preserve"> SEQ Figure \* ARABIC </w:instrText>
      </w:r>
      <w:r w:rsidR="002E6077" w:rsidRPr="00A67C76">
        <w:fldChar w:fldCharType="separate"/>
      </w:r>
      <w:r w:rsidR="009659F2">
        <w:rPr>
          <w:noProof/>
        </w:rPr>
        <w:t>4</w:t>
      </w:r>
      <w:r w:rsidR="002E6077" w:rsidRPr="00A67C76">
        <w:rPr>
          <w:noProof/>
        </w:rPr>
        <w:fldChar w:fldCharType="end"/>
      </w:r>
      <w:bookmarkEnd w:id="43"/>
      <w:bookmarkEnd w:id="44"/>
      <w:proofErr w:type="gramStart"/>
      <w:r w:rsidRPr="00A67C76">
        <w:t>.</w:t>
      </w:r>
      <w:proofErr w:type="gramEnd"/>
      <w:r w:rsidRPr="00A67C76">
        <w:t xml:space="preserve"> Optimal hydrograph for </w:t>
      </w:r>
      <w:r w:rsidRPr="00A67C76">
        <w:rPr>
          <w:i/>
        </w:rPr>
        <w:t>Ruppia tuberosa</w:t>
      </w:r>
      <w:r w:rsidRPr="00A67C76">
        <w:t xml:space="preserve"> in the South Lagoon of the Coorong showing the minimum water levels throughout the year and the elevations where colonisation is likely to occur.</w:t>
      </w:r>
      <w:bookmarkEnd w:id="45"/>
    </w:p>
    <w:p w:rsidR="005D1601" w:rsidRPr="00A67C76" w:rsidRDefault="005D1601" w:rsidP="005178B0">
      <w:pPr>
        <w:pStyle w:val="Caption"/>
      </w:pPr>
      <w:bookmarkStart w:id="46" w:name="_Ref381778581"/>
      <w:r w:rsidRPr="00A67C76">
        <w:rPr>
          <w:noProof/>
          <w:lang w:eastAsia="en-AU"/>
        </w:rPr>
        <w:drawing>
          <wp:inline distT="0" distB="0" distL="0" distR="0">
            <wp:extent cx="7333074" cy="4788000"/>
            <wp:effectExtent l="19050" t="0" r="1176"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email"/>
                    <a:srcRect/>
                    <a:stretch>
                      <a:fillRect/>
                    </a:stretch>
                  </pic:blipFill>
                  <pic:spPr bwMode="auto">
                    <a:xfrm>
                      <a:off x="0" y="0"/>
                      <a:ext cx="7333074" cy="4788000"/>
                    </a:xfrm>
                    <a:prstGeom prst="rect">
                      <a:avLst/>
                    </a:prstGeom>
                    <a:noFill/>
                    <a:ln w="9525">
                      <a:noFill/>
                      <a:miter lim="800000"/>
                      <a:headEnd/>
                      <a:tailEnd/>
                    </a:ln>
                  </pic:spPr>
                </pic:pic>
              </a:graphicData>
            </a:graphic>
          </wp:inline>
        </w:drawing>
      </w:r>
    </w:p>
    <w:p w:rsidR="005D1601" w:rsidRPr="00A67C76" w:rsidRDefault="005D1601" w:rsidP="005D1601">
      <w:pPr>
        <w:pStyle w:val="Caption"/>
      </w:pPr>
      <w:bookmarkStart w:id="47" w:name="_Ref384126371"/>
      <w:bookmarkStart w:id="48" w:name="_Toc387843056"/>
      <w:proofErr w:type="gramStart"/>
      <w:r w:rsidRPr="00A67C76">
        <w:t xml:space="preserve">Figure </w:t>
      </w:r>
      <w:proofErr w:type="gramEnd"/>
      <w:r w:rsidR="002E6077" w:rsidRPr="00A67C76">
        <w:fldChar w:fldCharType="begin"/>
      </w:r>
      <w:r w:rsidR="00110CB9" w:rsidRPr="00A67C76">
        <w:instrText xml:space="preserve"> SEQ Figure \* ARABIC </w:instrText>
      </w:r>
      <w:r w:rsidR="002E6077" w:rsidRPr="00A67C76">
        <w:fldChar w:fldCharType="separate"/>
      </w:r>
      <w:r w:rsidR="009659F2">
        <w:rPr>
          <w:noProof/>
        </w:rPr>
        <w:t>5</w:t>
      </w:r>
      <w:r w:rsidR="002E6077" w:rsidRPr="00A67C76">
        <w:rPr>
          <w:noProof/>
        </w:rPr>
        <w:fldChar w:fldCharType="end"/>
      </w:r>
      <w:bookmarkEnd w:id="46"/>
      <w:bookmarkEnd w:id="47"/>
      <w:proofErr w:type="gramStart"/>
      <w:r w:rsidRPr="00A67C76">
        <w:t>.</w:t>
      </w:r>
      <w:proofErr w:type="gramEnd"/>
      <w:r w:rsidRPr="00A67C76">
        <w:t xml:space="preserve"> </w:t>
      </w:r>
      <w:proofErr w:type="gramStart"/>
      <w:r w:rsidRPr="00A67C76">
        <w:t xml:space="preserve">Optimal salinity regime </w:t>
      </w:r>
      <w:r w:rsidRPr="00A67C76">
        <w:rPr>
          <w:i/>
        </w:rPr>
        <w:t>Ruppia tuberosa</w:t>
      </w:r>
      <w:r w:rsidRPr="00A67C76">
        <w:t xml:space="preserve"> in the South Lagoon of the Coorong showing the maximum salinity thresholds for adult plants, seed germination, turion sprouting, turion viability and sexual reproduction.</w:t>
      </w:r>
      <w:bookmarkEnd w:id="48"/>
      <w:proofErr w:type="gramEnd"/>
    </w:p>
    <w:p w:rsidR="005D1601" w:rsidRPr="00A67C76" w:rsidRDefault="00E45E3C" w:rsidP="005D1601">
      <w:pPr>
        <w:jc w:val="center"/>
      </w:pPr>
      <w:bookmarkStart w:id="49" w:name="_Ref381778597"/>
      <w:r w:rsidRPr="00E45E3C">
        <w:rPr>
          <w:noProof/>
          <w:lang w:eastAsia="en-AU"/>
        </w:rPr>
        <w:drawing>
          <wp:inline distT="0" distB="0" distL="0" distR="0">
            <wp:extent cx="6600825" cy="473635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email"/>
                    <a:srcRect/>
                    <a:stretch>
                      <a:fillRect/>
                    </a:stretch>
                  </pic:blipFill>
                  <pic:spPr bwMode="auto">
                    <a:xfrm>
                      <a:off x="0" y="0"/>
                      <a:ext cx="6600825" cy="4736355"/>
                    </a:xfrm>
                    <a:prstGeom prst="rect">
                      <a:avLst/>
                    </a:prstGeom>
                    <a:noFill/>
                    <a:ln w="9525">
                      <a:noFill/>
                      <a:miter lim="800000"/>
                      <a:headEnd/>
                      <a:tailEnd/>
                    </a:ln>
                  </pic:spPr>
                </pic:pic>
              </a:graphicData>
            </a:graphic>
          </wp:inline>
        </w:drawing>
      </w:r>
    </w:p>
    <w:p w:rsidR="00F24A4D" w:rsidRPr="00A67C76" w:rsidRDefault="005D1601" w:rsidP="00F914C8">
      <w:pPr>
        <w:pStyle w:val="Captions"/>
        <w:sectPr w:rsidR="00F24A4D" w:rsidRPr="00A67C76" w:rsidSect="00F24A4D">
          <w:footerReference w:type="default" r:id="rId39"/>
          <w:pgSz w:w="16840" w:h="11900" w:orient="landscape" w:code="9"/>
          <w:pgMar w:top="1440" w:right="1440" w:bottom="1440" w:left="1440" w:header="709" w:footer="709" w:gutter="0"/>
          <w:cols w:space="708"/>
          <w:docGrid w:linePitch="360"/>
        </w:sectPr>
      </w:pPr>
      <w:bookmarkStart w:id="50" w:name="_Ref384126423"/>
      <w:bookmarkStart w:id="51" w:name="_Toc387843057"/>
      <w:proofErr w:type="gramStart"/>
      <w:r w:rsidRPr="00A67C76">
        <w:t xml:space="preserve">Figure </w:t>
      </w:r>
      <w:proofErr w:type="gramEnd"/>
      <w:r w:rsidR="002E6077" w:rsidRPr="00A67C76">
        <w:fldChar w:fldCharType="begin"/>
      </w:r>
      <w:r w:rsidR="006B4D99" w:rsidRPr="00A67C76">
        <w:instrText xml:space="preserve"> SEQ Figure \* ARABIC </w:instrText>
      </w:r>
      <w:r w:rsidR="002E6077" w:rsidRPr="00A67C76">
        <w:fldChar w:fldCharType="separate"/>
      </w:r>
      <w:r w:rsidR="009659F2">
        <w:rPr>
          <w:noProof/>
        </w:rPr>
        <w:t>6</w:t>
      </w:r>
      <w:r w:rsidR="002E6077" w:rsidRPr="00A67C76">
        <w:rPr>
          <w:noProof/>
        </w:rPr>
        <w:fldChar w:fldCharType="end"/>
      </w:r>
      <w:bookmarkEnd w:id="49"/>
      <w:bookmarkEnd w:id="50"/>
      <w:proofErr w:type="gramStart"/>
      <w:r w:rsidRPr="00A67C76">
        <w:t>.</w:t>
      </w:r>
      <w:proofErr w:type="gramEnd"/>
      <w:r w:rsidRPr="00A67C76">
        <w:t xml:space="preserve"> </w:t>
      </w:r>
      <w:proofErr w:type="gramStart"/>
      <w:r w:rsidRPr="00A67C76">
        <w:t xml:space="preserve">Conceptual model of the </w:t>
      </w:r>
      <w:r w:rsidR="00EC7B84" w:rsidRPr="00EC7B84">
        <w:t>life-history</w:t>
      </w:r>
      <w:r w:rsidRPr="00A67C76">
        <w:t xml:space="preserve"> of </w:t>
      </w:r>
      <w:r w:rsidRPr="00A67C76">
        <w:rPr>
          <w:i/>
        </w:rPr>
        <w:t>Ruppia tuberosa</w:t>
      </w:r>
      <w:r w:rsidRPr="00A67C76">
        <w:t xml:space="preserve"> in the South Lagoon of the Coorong.</w:t>
      </w:r>
      <w:proofErr w:type="gramEnd"/>
      <w:r w:rsidRPr="00A67C76">
        <w:t xml:space="preserve"> Green boxes represent </w:t>
      </w:r>
      <w:r w:rsidR="00EC7B84" w:rsidRPr="00EC7B84">
        <w:t>life-history</w:t>
      </w:r>
      <w:r w:rsidRPr="00A67C76">
        <w:t xml:space="preserve"> stage</w:t>
      </w:r>
      <w:r w:rsidR="00E45E3C">
        <w:t>s</w:t>
      </w:r>
      <w:r w:rsidRPr="00A67C76">
        <w:t>, red boxes potential ecological “bottle necks” and the blue box requires more information.</w:t>
      </w:r>
      <w:bookmarkEnd w:id="51"/>
    </w:p>
    <w:p w:rsidR="00C2253B" w:rsidRPr="00A67C76" w:rsidRDefault="0030422F" w:rsidP="000B7E74">
      <w:r w:rsidRPr="00A67C76">
        <w:t>Fish habitat</w:t>
      </w:r>
    </w:p>
    <w:p w:rsidR="00344007" w:rsidRPr="00A67C76" w:rsidRDefault="00694AD2" w:rsidP="000B7E74">
      <w:pPr>
        <w:rPr>
          <w:rFonts w:cs="Arial"/>
          <w:szCs w:val="24"/>
        </w:rPr>
      </w:pPr>
      <w:r w:rsidRPr="00A67C76">
        <w:rPr>
          <w:rFonts w:cs="Arial"/>
          <w:szCs w:val="24"/>
        </w:rPr>
        <w:t xml:space="preserve">The </w:t>
      </w:r>
      <w:r w:rsidR="00C2253B" w:rsidRPr="00A67C76">
        <w:rPr>
          <w:rFonts w:cs="Arial"/>
          <w:szCs w:val="24"/>
        </w:rPr>
        <w:t>Coorong supports a diverse range of fish species including freshwater, estuarine</w:t>
      </w:r>
      <w:r w:rsidR="00C52DB6" w:rsidRPr="00A67C76">
        <w:rPr>
          <w:rFonts w:cs="Arial"/>
          <w:szCs w:val="24"/>
        </w:rPr>
        <w:t>,</w:t>
      </w:r>
      <w:r w:rsidR="005A5828" w:rsidRPr="00A67C76">
        <w:rPr>
          <w:rFonts w:cs="Arial"/>
          <w:szCs w:val="24"/>
        </w:rPr>
        <w:t xml:space="preserve"> </w:t>
      </w:r>
      <w:proofErr w:type="gramStart"/>
      <w:r w:rsidR="00C52DB6" w:rsidRPr="00A67C76">
        <w:rPr>
          <w:rFonts w:cs="Arial"/>
          <w:szCs w:val="24"/>
        </w:rPr>
        <w:t>marine</w:t>
      </w:r>
      <w:proofErr w:type="gramEnd"/>
      <w:r w:rsidR="00C52DB6" w:rsidRPr="00A67C76">
        <w:rPr>
          <w:rFonts w:cs="Arial"/>
          <w:szCs w:val="24"/>
        </w:rPr>
        <w:t xml:space="preserve"> and diadromous species.  Although with</w:t>
      </w:r>
      <w:r w:rsidR="00C2253B" w:rsidRPr="00A67C76">
        <w:rPr>
          <w:rFonts w:cs="Arial"/>
          <w:szCs w:val="24"/>
        </w:rPr>
        <w:t xml:space="preserve"> different </w:t>
      </w:r>
      <w:r w:rsidR="00EC7B84" w:rsidRPr="00EC7B84">
        <w:rPr>
          <w:rFonts w:cs="Arial"/>
          <w:szCs w:val="24"/>
        </w:rPr>
        <w:t>life-history</w:t>
      </w:r>
      <w:r w:rsidR="00C2253B" w:rsidRPr="00A67C76">
        <w:rPr>
          <w:rFonts w:cs="Arial"/>
          <w:szCs w:val="24"/>
        </w:rPr>
        <w:t xml:space="preserve"> strategies</w:t>
      </w:r>
      <w:r w:rsidR="00C52DB6" w:rsidRPr="00A67C76">
        <w:rPr>
          <w:rFonts w:cs="Arial"/>
          <w:szCs w:val="24"/>
        </w:rPr>
        <w:t xml:space="preserve">, many species are strongly associated with estuaries, using them as spawning, nursery and feeding grounds, refuge, or </w:t>
      </w:r>
      <w:r w:rsidRPr="00A67C76">
        <w:rPr>
          <w:rFonts w:cs="Arial"/>
          <w:szCs w:val="24"/>
        </w:rPr>
        <w:t xml:space="preserve">a </w:t>
      </w:r>
      <w:r w:rsidR="00C52DB6" w:rsidRPr="00A67C76">
        <w:rPr>
          <w:rFonts w:cs="Arial"/>
          <w:szCs w:val="24"/>
        </w:rPr>
        <w:t>migratory pathway (Whitfield 1999). Freshwater inflow</w:t>
      </w:r>
      <w:r w:rsidR="005A5828" w:rsidRPr="00A67C76">
        <w:rPr>
          <w:rFonts w:cs="Arial"/>
          <w:szCs w:val="24"/>
        </w:rPr>
        <w:t>s</w:t>
      </w:r>
      <w:r w:rsidR="00C52DB6" w:rsidRPr="00A67C76">
        <w:rPr>
          <w:rFonts w:cs="Arial"/>
          <w:szCs w:val="24"/>
        </w:rPr>
        <w:t xml:space="preserve"> </w:t>
      </w:r>
      <w:r w:rsidR="005A5828" w:rsidRPr="00A67C76">
        <w:rPr>
          <w:rFonts w:cs="Arial"/>
          <w:szCs w:val="24"/>
        </w:rPr>
        <w:t xml:space="preserve">and connectivity are </w:t>
      </w:r>
      <w:r w:rsidR="00C52DB6" w:rsidRPr="00A67C76">
        <w:rPr>
          <w:rFonts w:cs="Arial"/>
          <w:szCs w:val="24"/>
        </w:rPr>
        <w:t xml:space="preserve">crucial for </w:t>
      </w:r>
      <w:r w:rsidR="005A5828" w:rsidRPr="00A67C76">
        <w:rPr>
          <w:rFonts w:cs="Arial"/>
          <w:szCs w:val="24"/>
        </w:rPr>
        <w:t>maintaining the</w:t>
      </w:r>
      <w:r w:rsidR="00C52DB6" w:rsidRPr="00A67C76">
        <w:rPr>
          <w:rFonts w:cs="Arial"/>
          <w:szCs w:val="24"/>
        </w:rPr>
        <w:t xml:space="preserve"> </w:t>
      </w:r>
      <w:r w:rsidR="005A5828" w:rsidRPr="00A67C76">
        <w:rPr>
          <w:rFonts w:cs="Arial"/>
          <w:szCs w:val="24"/>
        </w:rPr>
        <w:t xml:space="preserve">habitat, </w:t>
      </w:r>
      <w:r w:rsidR="00C52DB6" w:rsidRPr="00A67C76">
        <w:rPr>
          <w:rFonts w:cs="Arial"/>
          <w:szCs w:val="24"/>
        </w:rPr>
        <w:t xml:space="preserve">productivity </w:t>
      </w:r>
      <w:r w:rsidR="005A5828" w:rsidRPr="00A67C76">
        <w:rPr>
          <w:rFonts w:cs="Arial"/>
          <w:szCs w:val="24"/>
        </w:rPr>
        <w:t xml:space="preserve">and ecological integrity in estuaries. Over the past years, many studies in the Coorong </w:t>
      </w:r>
      <w:r w:rsidR="00C2253B" w:rsidRPr="00A67C76">
        <w:rPr>
          <w:rFonts w:cs="Arial"/>
          <w:szCs w:val="24"/>
        </w:rPr>
        <w:t>ha</w:t>
      </w:r>
      <w:r w:rsidR="005A5828" w:rsidRPr="00A67C76">
        <w:rPr>
          <w:rFonts w:cs="Arial"/>
          <w:szCs w:val="24"/>
        </w:rPr>
        <w:t>ve</w:t>
      </w:r>
      <w:r w:rsidR="00C2253B" w:rsidRPr="00A67C76">
        <w:rPr>
          <w:rFonts w:cs="Arial"/>
          <w:szCs w:val="24"/>
        </w:rPr>
        <w:t xml:space="preserve"> identified </w:t>
      </w:r>
      <w:r w:rsidR="005A5828" w:rsidRPr="00A67C76">
        <w:rPr>
          <w:rFonts w:cs="Arial"/>
          <w:szCs w:val="24"/>
        </w:rPr>
        <w:t xml:space="preserve">salinity </w:t>
      </w:r>
      <w:r w:rsidR="00C2253B" w:rsidRPr="00A67C76">
        <w:rPr>
          <w:rFonts w:cs="Arial"/>
          <w:szCs w:val="24"/>
        </w:rPr>
        <w:t xml:space="preserve">as the key driver that influences fish assemblage structure </w:t>
      </w:r>
      <w:r w:rsidR="005A5828" w:rsidRPr="00A67C76">
        <w:rPr>
          <w:rFonts w:cs="Arial"/>
          <w:szCs w:val="24"/>
        </w:rPr>
        <w:t>(</w:t>
      </w:r>
      <w:r w:rsidR="007653AE" w:rsidRPr="00A67C76">
        <w:rPr>
          <w:rFonts w:cs="Arial"/>
          <w:szCs w:val="24"/>
        </w:rPr>
        <w:t xml:space="preserve">Noell </w:t>
      </w:r>
      <w:r w:rsidR="007653AE" w:rsidRPr="00A67C76">
        <w:rPr>
          <w:rFonts w:cs="Arial"/>
          <w:i/>
          <w:szCs w:val="24"/>
        </w:rPr>
        <w:t>et al.</w:t>
      </w:r>
      <w:r w:rsidR="007653AE" w:rsidRPr="00A67C76">
        <w:rPr>
          <w:rFonts w:cs="Arial"/>
          <w:szCs w:val="24"/>
        </w:rPr>
        <w:t xml:space="preserve"> 2009; </w:t>
      </w:r>
      <w:r w:rsidR="005A5828" w:rsidRPr="00A67C76">
        <w:rPr>
          <w:rFonts w:cs="Arial"/>
          <w:szCs w:val="24"/>
        </w:rPr>
        <w:t xml:space="preserve">Zampatti </w:t>
      </w:r>
      <w:r w:rsidR="005A5828" w:rsidRPr="00A67C76">
        <w:rPr>
          <w:rFonts w:cs="Arial"/>
          <w:i/>
          <w:szCs w:val="24"/>
        </w:rPr>
        <w:t>et al.</w:t>
      </w:r>
      <w:r w:rsidR="005A5828" w:rsidRPr="00A67C76">
        <w:rPr>
          <w:rFonts w:cs="Arial"/>
          <w:szCs w:val="24"/>
        </w:rPr>
        <w:t xml:space="preserve"> 2010) </w:t>
      </w:r>
      <w:r w:rsidR="00C2253B" w:rsidRPr="00A67C76">
        <w:rPr>
          <w:rFonts w:cs="Arial"/>
          <w:szCs w:val="24"/>
        </w:rPr>
        <w:t>and the extent of estuarine fish habitat in the Coorong</w:t>
      </w:r>
      <w:r w:rsidR="005A5828" w:rsidRPr="00A67C76">
        <w:rPr>
          <w:rFonts w:cs="Arial"/>
          <w:szCs w:val="24"/>
        </w:rPr>
        <w:t xml:space="preserve"> </w:t>
      </w:r>
      <w:r w:rsidR="00C2253B" w:rsidRPr="00A67C76">
        <w:rPr>
          <w:rFonts w:cs="Arial"/>
          <w:szCs w:val="24"/>
        </w:rPr>
        <w:t>(</w:t>
      </w:r>
      <w:r w:rsidR="00C2253B" w:rsidRPr="00A67C76">
        <w:rPr>
          <w:rFonts w:cs="Arial"/>
          <w:szCs w:val="22"/>
        </w:rPr>
        <w:t xml:space="preserve">Geddes 1987; </w:t>
      </w:r>
      <w:r w:rsidR="00C2253B" w:rsidRPr="00A67C76">
        <w:rPr>
          <w:rFonts w:cs="Arial"/>
          <w:szCs w:val="24"/>
        </w:rPr>
        <w:t xml:space="preserve">Noell </w:t>
      </w:r>
      <w:r w:rsidR="00C2253B" w:rsidRPr="00A67C76">
        <w:rPr>
          <w:rFonts w:cs="Arial"/>
          <w:i/>
          <w:szCs w:val="24"/>
        </w:rPr>
        <w:t>et al.</w:t>
      </w:r>
      <w:r w:rsidR="00C2253B" w:rsidRPr="00A67C76">
        <w:rPr>
          <w:rFonts w:cs="Arial"/>
          <w:szCs w:val="24"/>
        </w:rPr>
        <w:t xml:space="preserve"> 2009; Ye </w:t>
      </w:r>
      <w:r w:rsidR="00C2253B" w:rsidRPr="00A67C76">
        <w:rPr>
          <w:rFonts w:cs="Arial"/>
          <w:i/>
          <w:szCs w:val="24"/>
        </w:rPr>
        <w:t>et al.</w:t>
      </w:r>
      <w:r w:rsidR="00C2253B" w:rsidRPr="00A67C76">
        <w:rPr>
          <w:rFonts w:cs="Arial"/>
          <w:szCs w:val="24"/>
        </w:rPr>
        <w:t xml:space="preserve"> 2011</w:t>
      </w:r>
      <w:r w:rsidR="00917D36" w:rsidRPr="00A67C76">
        <w:rPr>
          <w:rFonts w:cs="Arial"/>
          <w:szCs w:val="24"/>
        </w:rPr>
        <w:t>b</w:t>
      </w:r>
      <w:r w:rsidR="00C2253B" w:rsidRPr="00A67C76">
        <w:rPr>
          <w:rFonts w:cs="Arial"/>
          <w:szCs w:val="24"/>
        </w:rPr>
        <w:t xml:space="preserve">). </w:t>
      </w:r>
      <w:r w:rsidR="00344007" w:rsidRPr="00A67C76">
        <w:rPr>
          <w:rFonts w:cs="Arial"/>
          <w:szCs w:val="24"/>
        </w:rPr>
        <w:t xml:space="preserve">The contraction of effective fish habitat for a range of species due to freshwater flow reduction and increased salinities was well demonstrated during the millennium drought (2001-2010) (Noell </w:t>
      </w:r>
      <w:r w:rsidR="00344007" w:rsidRPr="00A67C76">
        <w:rPr>
          <w:rFonts w:cs="Arial"/>
          <w:i/>
          <w:szCs w:val="24"/>
        </w:rPr>
        <w:t>et al.</w:t>
      </w:r>
      <w:r w:rsidR="00344007" w:rsidRPr="00A67C76">
        <w:rPr>
          <w:rFonts w:cs="Arial"/>
          <w:szCs w:val="24"/>
        </w:rPr>
        <w:t xml:space="preserve"> 2009; Ferguson </w:t>
      </w:r>
      <w:r w:rsidR="00344007" w:rsidRPr="00A67C76">
        <w:rPr>
          <w:rFonts w:cs="Arial"/>
          <w:i/>
          <w:szCs w:val="24"/>
        </w:rPr>
        <w:t>et al.</w:t>
      </w:r>
      <w:r w:rsidR="00344007" w:rsidRPr="00A67C76">
        <w:rPr>
          <w:rFonts w:cs="Arial"/>
          <w:szCs w:val="24"/>
        </w:rPr>
        <w:t xml:space="preserve"> 201</w:t>
      </w:r>
      <w:r w:rsidR="00AC14F1" w:rsidRPr="00A67C76">
        <w:rPr>
          <w:rFonts w:cs="Arial"/>
          <w:szCs w:val="24"/>
        </w:rPr>
        <w:t>3</w:t>
      </w:r>
      <w:r w:rsidR="00344007" w:rsidRPr="00A67C76">
        <w:rPr>
          <w:rFonts w:cs="Arial"/>
          <w:szCs w:val="24"/>
        </w:rPr>
        <w:t xml:space="preserve">; Ye </w:t>
      </w:r>
      <w:r w:rsidR="00344007" w:rsidRPr="00A67C76">
        <w:rPr>
          <w:rFonts w:cs="Arial"/>
          <w:i/>
          <w:szCs w:val="24"/>
        </w:rPr>
        <w:t>et al.</w:t>
      </w:r>
      <w:r w:rsidR="00344007" w:rsidRPr="00A67C76">
        <w:rPr>
          <w:rFonts w:cs="Arial"/>
          <w:szCs w:val="24"/>
        </w:rPr>
        <w:t xml:space="preserve"> 2013</w:t>
      </w:r>
      <w:r w:rsidR="00917D36" w:rsidRPr="00A67C76">
        <w:rPr>
          <w:rFonts w:cs="Arial"/>
          <w:szCs w:val="24"/>
        </w:rPr>
        <w:t>a</w:t>
      </w:r>
      <w:r w:rsidR="00344007" w:rsidRPr="00A67C76">
        <w:rPr>
          <w:rFonts w:cs="Arial"/>
          <w:szCs w:val="24"/>
        </w:rPr>
        <w:t xml:space="preserve">). The restoration of fish habitat was further shown in recent high flow years (2010-2013) following the substantial increase in barrage release and a broad </w:t>
      </w:r>
      <w:r w:rsidR="00AC14F1" w:rsidRPr="00A67C76">
        <w:rPr>
          <w:rFonts w:cs="Arial"/>
          <w:szCs w:val="24"/>
        </w:rPr>
        <w:t xml:space="preserve">salinity reduction throughout the Coorong (Ye </w:t>
      </w:r>
      <w:r w:rsidR="00AC14F1" w:rsidRPr="00A67C76">
        <w:rPr>
          <w:rFonts w:cs="Arial"/>
          <w:i/>
          <w:szCs w:val="24"/>
        </w:rPr>
        <w:t>et al.</w:t>
      </w:r>
      <w:r w:rsidR="00AC14F1" w:rsidRPr="00A67C76">
        <w:rPr>
          <w:rFonts w:cs="Arial"/>
          <w:szCs w:val="24"/>
        </w:rPr>
        <w:t xml:space="preserve"> 2012; Livore </w:t>
      </w:r>
      <w:r w:rsidR="00AC14F1" w:rsidRPr="00A67C76">
        <w:rPr>
          <w:rFonts w:cs="Arial"/>
          <w:i/>
          <w:szCs w:val="24"/>
        </w:rPr>
        <w:t>et al.</w:t>
      </w:r>
      <w:r w:rsidR="00AC14F1" w:rsidRPr="00A67C76">
        <w:rPr>
          <w:rFonts w:cs="Arial"/>
          <w:szCs w:val="24"/>
        </w:rPr>
        <w:t xml:space="preserve"> 2013). </w:t>
      </w:r>
      <w:r w:rsidR="00344007" w:rsidRPr="00A67C76">
        <w:rPr>
          <w:rFonts w:cs="Arial"/>
          <w:szCs w:val="24"/>
        </w:rPr>
        <w:t xml:space="preserve"> </w:t>
      </w:r>
    </w:p>
    <w:p w:rsidR="000B21EF" w:rsidRPr="00A67C76" w:rsidRDefault="00BA67B7" w:rsidP="000B7E74">
      <w:pPr>
        <w:rPr>
          <w:sz w:val="20"/>
        </w:rPr>
      </w:pPr>
      <w:r w:rsidRPr="00A67C76">
        <w:t>A recent study investigated the tolerance thresholds of key Coorong fish species’ juveniles to hyper-marine salinity and the relationship between thresholds and distribution of species and salinity levels in the field</w:t>
      </w:r>
      <w:r w:rsidR="008B7EB6" w:rsidRPr="00A67C76">
        <w:t xml:space="preserve"> (McNeil </w:t>
      </w:r>
      <w:r w:rsidR="008B7EB6" w:rsidRPr="00A67C76">
        <w:rPr>
          <w:i/>
        </w:rPr>
        <w:t>et al.</w:t>
      </w:r>
      <w:r w:rsidR="008B7EB6" w:rsidRPr="00A67C76">
        <w:t xml:space="preserve"> 2013)</w:t>
      </w:r>
      <w:r w:rsidRPr="00A67C76">
        <w:t xml:space="preserve">. These species include important </w:t>
      </w:r>
      <w:r w:rsidR="008B7EB6" w:rsidRPr="00A67C76">
        <w:t xml:space="preserve">commercial and recreational </w:t>
      </w:r>
      <w:r w:rsidRPr="00A67C76">
        <w:t>fishery species, mulloway (</w:t>
      </w:r>
      <w:r w:rsidRPr="00A67C76">
        <w:rPr>
          <w:i/>
        </w:rPr>
        <w:t xml:space="preserve">Argyrosomus </w:t>
      </w:r>
      <w:r w:rsidR="00E413D4">
        <w:rPr>
          <w:i/>
        </w:rPr>
        <w:t>japonicus</w:t>
      </w:r>
      <w:r w:rsidRPr="00A67C76">
        <w:t>), yellow eye mullet (</w:t>
      </w:r>
      <w:r w:rsidRPr="00A67C76">
        <w:rPr>
          <w:i/>
        </w:rPr>
        <w:t>Aldrichetta forsteri</w:t>
      </w:r>
      <w:r w:rsidRPr="00A67C76">
        <w:t>), black bream (</w:t>
      </w:r>
      <w:r w:rsidRPr="00A67C76">
        <w:rPr>
          <w:i/>
        </w:rPr>
        <w:t>Acanthopagrus butcheri</w:t>
      </w:r>
      <w:r w:rsidRPr="00A67C76">
        <w:t>) and greenback flounder (</w:t>
      </w:r>
      <w:r w:rsidRPr="00A67C76">
        <w:rPr>
          <w:i/>
        </w:rPr>
        <w:t>Rhombosolea tapirina</w:t>
      </w:r>
      <w:r w:rsidRPr="00A67C76">
        <w:t xml:space="preserve">), and </w:t>
      </w:r>
      <w:r w:rsidR="00772F7D" w:rsidRPr="00A67C76">
        <w:t xml:space="preserve">species with high ecological and conservation values, </w:t>
      </w:r>
      <w:r w:rsidRPr="00A67C76">
        <w:t>Tamar goby (</w:t>
      </w:r>
      <w:r w:rsidRPr="00A67C76">
        <w:rPr>
          <w:i/>
        </w:rPr>
        <w:t>Afurcagobius tamarensis</w:t>
      </w:r>
      <w:r w:rsidR="00772F7D" w:rsidRPr="00A67C76">
        <w:t>),</w:t>
      </w:r>
      <w:r w:rsidRPr="00A67C76">
        <w:t xml:space="preserve"> congolli (</w:t>
      </w:r>
      <w:r w:rsidRPr="00A67C76">
        <w:rPr>
          <w:i/>
        </w:rPr>
        <w:t>Pseudaphritis urvillii</w:t>
      </w:r>
      <w:r w:rsidRPr="00A67C76">
        <w:t>), and smallmouthed hardyhead (</w:t>
      </w:r>
      <w:r w:rsidR="00B467A7" w:rsidRPr="00B467A7">
        <w:rPr>
          <w:i/>
        </w:rPr>
        <w:t>Atherinosoma microstoma</w:t>
      </w:r>
      <w:r w:rsidRPr="00A67C76">
        <w:rPr>
          <w:sz w:val="20"/>
        </w:rPr>
        <w:t xml:space="preserve">). </w:t>
      </w:r>
    </w:p>
    <w:p w:rsidR="00D93633" w:rsidRPr="00A67C76" w:rsidRDefault="002A358C" w:rsidP="000B7E74">
      <w:pPr>
        <w:sectPr w:rsidR="00D93633" w:rsidRPr="00A67C76" w:rsidSect="00F24A4D">
          <w:footerReference w:type="default" r:id="rId40"/>
          <w:pgSz w:w="11900" w:h="16840" w:code="9"/>
          <w:pgMar w:top="1440" w:right="1440" w:bottom="1440" w:left="1440" w:header="709" w:footer="709" w:gutter="0"/>
          <w:cols w:space="708"/>
          <w:docGrid w:linePitch="360"/>
        </w:sectPr>
      </w:pPr>
      <w:r w:rsidRPr="00A67C76">
        <w:rPr>
          <w:sz w:val="20"/>
        </w:rPr>
        <w:t>G</w:t>
      </w:r>
      <w:r w:rsidR="004752E7" w:rsidRPr="00A67C76">
        <w:t xml:space="preserve">radual acclimation tolerance trials </w:t>
      </w:r>
      <w:r w:rsidRPr="00A67C76">
        <w:t>were conducted in</w:t>
      </w:r>
      <w:r w:rsidR="004752E7" w:rsidRPr="00A67C76">
        <w:t xml:space="preserve"> aquaria at two different test temperatures; 14 ºC (representative</w:t>
      </w:r>
      <w:r w:rsidRPr="00A67C76">
        <w:t xml:space="preserve"> cold</w:t>
      </w:r>
      <w:r w:rsidR="004752E7" w:rsidRPr="00A67C76">
        <w:t xml:space="preserve"> ‘winter’ temperature) and 23 ºC (representative </w:t>
      </w:r>
      <w:r w:rsidRPr="00A67C76">
        <w:t xml:space="preserve">warm </w:t>
      </w:r>
      <w:r w:rsidR="004752E7" w:rsidRPr="00A67C76">
        <w:t xml:space="preserve">‘summer’ temperature). </w:t>
      </w:r>
      <w:r w:rsidRPr="00A67C76">
        <w:t>T</w:t>
      </w:r>
      <w:r w:rsidR="004752E7" w:rsidRPr="00A67C76">
        <w:t xml:space="preserve">he </w:t>
      </w:r>
      <w:r w:rsidRPr="00A67C76">
        <w:t>lethal concentrations</w:t>
      </w:r>
      <w:r w:rsidR="004752E7" w:rsidRPr="00A67C76">
        <w:t xml:space="preserve"> </w:t>
      </w:r>
      <w:r w:rsidRPr="00A67C76">
        <w:t xml:space="preserve">(i.e. </w:t>
      </w:r>
      <w:r w:rsidR="004752E7" w:rsidRPr="00A67C76">
        <w:t>tolerance thresholds</w:t>
      </w:r>
      <w:r w:rsidRPr="00A67C76">
        <w:t>) were compared</w:t>
      </w:r>
      <w:r w:rsidR="004752E7" w:rsidRPr="00A67C76">
        <w:t xml:space="preserve"> to the distribution of fish across a natural salinity gradient in the field</w:t>
      </w:r>
      <w:r w:rsidRPr="00A67C76">
        <w:t xml:space="preserve"> (Noell </w:t>
      </w:r>
      <w:r w:rsidRPr="00A67C76">
        <w:rPr>
          <w:i/>
        </w:rPr>
        <w:t>et al.</w:t>
      </w:r>
      <w:r w:rsidRPr="00A67C76">
        <w:t xml:space="preserve"> 2009)</w:t>
      </w:r>
      <w:r w:rsidR="004752E7" w:rsidRPr="00A67C76">
        <w:t xml:space="preserve">. The results suggest that threshold values, in particular </w:t>
      </w:r>
      <w:r w:rsidRPr="00A67C76">
        <w:t>10% lethal concentration (</w:t>
      </w:r>
      <w:r w:rsidR="004752E7" w:rsidRPr="00A67C76">
        <w:t>LC</w:t>
      </w:r>
      <w:r w:rsidR="004752E7" w:rsidRPr="00A67C76">
        <w:rPr>
          <w:vertAlign w:val="subscript"/>
        </w:rPr>
        <w:t>10</w:t>
      </w:r>
      <w:r w:rsidRPr="00A67C76">
        <w:t xml:space="preserve">) </w:t>
      </w:r>
      <w:r w:rsidR="004752E7" w:rsidRPr="00A67C76">
        <w:t xml:space="preserve">and </w:t>
      </w:r>
      <w:r w:rsidRPr="00A67C76">
        <w:t>50% lethal concentration (</w:t>
      </w:r>
      <w:r w:rsidR="004752E7" w:rsidRPr="00A67C76">
        <w:t>LC</w:t>
      </w:r>
      <w:r w:rsidR="004752E7" w:rsidRPr="00A67C76">
        <w:rPr>
          <w:vertAlign w:val="subscript"/>
        </w:rPr>
        <w:t>50</w:t>
      </w:r>
      <w:r w:rsidRPr="00A67C76">
        <w:t xml:space="preserve">), </w:t>
      </w:r>
      <w:r w:rsidR="004752E7" w:rsidRPr="00A67C76">
        <w:t>can approximate the maximum salinity extent of field distribution of species with moderate accuracy.</w:t>
      </w:r>
      <w:r w:rsidR="00E0513A" w:rsidRPr="00A67C76">
        <w:t xml:space="preserve"> </w:t>
      </w:r>
      <w:r w:rsidR="000B21EF" w:rsidRPr="00A67C76">
        <w:t xml:space="preserve"> As fish juveniles </w:t>
      </w:r>
      <w:r w:rsidR="00E30FC7" w:rsidRPr="00A67C76">
        <w:t>were generally</w:t>
      </w:r>
      <w:r w:rsidR="000B21EF" w:rsidRPr="00A67C76">
        <w:t xml:space="preserve"> reported to be more sensitive to salinity impacts than adults (Hart </w:t>
      </w:r>
      <w:r w:rsidR="000B21EF" w:rsidRPr="00A67C76">
        <w:rPr>
          <w:i/>
        </w:rPr>
        <w:t>et al</w:t>
      </w:r>
      <w:r w:rsidR="00917D36" w:rsidRPr="00A67C76">
        <w:t>.</w:t>
      </w:r>
      <w:r w:rsidR="000B21EF" w:rsidRPr="00A67C76">
        <w:rPr>
          <w:i/>
        </w:rPr>
        <w:t xml:space="preserve"> </w:t>
      </w:r>
      <w:r w:rsidR="000B21EF" w:rsidRPr="00A67C76">
        <w:t xml:space="preserve">1991; Clunie </w:t>
      </w:r>
      <w:r w:rsidR="000B21EF" w:rsidRPr="00A67C76">
        <w:rPr>
          <w:i/>
        </w:rPr>
        <w:t>et al</w:t>
      </w:r>
      <w:r w:rsidR="00917D36" w:rsidRPr="00A67C76">
        <w:t>.</w:t>
      </w:r>
      <w:r w:rsidR="000B21EF" w:rsidRPr="00A67C76">
        <w:t xml:space="preserve"> 2002), their salinities tolerance thresholds were used in the fish habitat modelling for the Coorong. </w:t>
      </w:r>
      <w:r w:rsidRPr="00A67C76">
        <w:t>LC</w:t>
      </w:r>
      <w:r w:rsidR="000B21EF" w:rsidRPr="00A67C76">
        <w:rPr>
          <w:vertAlign w:val="subscript"/>
        </w:rPr>
        <w:t xml:space="preserve">10 </w:t>
      </w:r>
      <w:r w:rsidR="000B21EF" w:rsidRPr="00A67C76">
        <w:t>wa</w:t>
      </w:r>
      <w:r w:rsidRPr="00A67C76">
        <w:t>s</w:t>
      </w:r>
      <w:r w:rsidR="00E30FC7" w:rsidRPr="00A67C76">
        <w:t xml:space="preserve"> adopted as</w:t>
      </w:r>
      <w:r w:rsidRPr="00A67C76">
        <w:t xml:space="preserve"> a </w:t>
      </w:r>
      <w:r w:rsidR="00E0513A" w:rsidRPr="00A67C76">
        <w:t>more conservative threshold than LC</w:t>
      </w:r>
      <w:r w:rsidR="00E0513A" w:rsidRPr="00A67C76">
        <w:rPr>
          <w:vertAlign w:val="subscript"/>
        </w:rPr>
        <w:t>50</w:t>
      </w:r>
      <w:r w:rsidR="00E0513A" w:rsidRPr="00A67C76">
        <w:t xml:space="preserve"> to simulate suitable fish habitat in the field.</w:t>
      </w:r>
      <w:bookmarkStart w:id="52" w:name="_Toc381776101"/>
      <w:r w:rsidR="00D93633" w:rsidRPr="00A67C76">
        <w:t xml:space="preserve"> </w:t>
      </w:r>
    </w:p>
    <w:p w:rsidR="009C5F10" w:rsidRPr="00A67C76" w:rsidRDefault="009C5F10" w:rsidP="00F41737">
      <w:pPr>
        <w:pStyle w:val="Heading1"/>
      </w:pPr>
      <w:bookmarkStart w:id="53" w:name="_Toc387843584"/>
      <w:r w:rsidRPr="00A67C76">
        <w:t>General Methodology</w:t>
      </w:r>
      <w:bookmarkEnd w:id="52"/>
      <w:bookmarkEnd w:id="53"/>
    </w:p>
    <w:p w:rsidR="003F7FFD" w:rsidRPr="00A67C76" w:rsidRDefault="009C5F10" w:rsidP="00F41737">
      <w:pPr>
        <w:pStyle w:val="Heading2"/>
      </w:pPr>
      <w:bookmarkStart w:id="54" w:name="_Toc381776102"/>
      <w:bookmarkStart w:id="55" w:name="_Toc387843585"/>
      <w:r w:rsidRPr="00A67C76">
        <w:t>Study area</w:t>
      </w:r>
      <w:bookmarkEnd w:id="54"/>
      <w:bookmarkEnd w:id="55"/>
    </w:p>
    <w:p w:rsidR="003F7FFD" w:rsidRPr="00A67C76" w:rsidRDefault="003F7FFD" w:rsidP="004E7C07">
      <w:r w:rsidRPr="00A67C76">
        <w:t xml:space="preserve">This broader study was conducted at various sites in the main channel and </w:t>
      </w:r>
      <w:r w:rsidR="00F766AB" w:rsidRPr="00A67C76">
        <w:t xml:space="preserve">selected </w:t>
      </w:r>
      <w:r w:rsidRPr="00A67C76">
        <w:t>wetlands of the Lower Murray River and across the Coorong, Lower Lakes and Murray Mouth (</w:t>
      </w:r>
      <w:r w:rsidR="004E7C07">
        <w:t>CLLMM) region, South Australia (</w:t>
      </w:r>
      <w:r w:rsidR="002E6077">
        <w:fldChar w:fldCharType="begin"/>
      </w:r>
      <w:r w:rsidR="004E7C07">
        <w:instrText xml:space="preserve"> REF _Ref411507585 \h </w:instrText>
      </w:r>
      <w:r w:rsidR="002E6077">
        <w:fldChar w:fldCharType="separate"/>
      </w:r>
      <w:r w:rsidR="009659F2" w:rsidRPr="00A67C76">
        <w:t xml:space="preserve">Figure </w:t>
      </w:r>
      <w:r w:rsidR="009659F2">
        <w:rPr>
          <w:noProof/>
        </w:rPr>
        <w:t>7</w:t>
      </w:r>
      <w:r w:rsidR="002E6077">
        <w:fldChar w:fldCharType="end"/>
      </w:r>
      <w:r w:rsidR="004E7C07">
        <w:t>)</w:t>
      </w:r>
      <w:r w:rsidRPr="00A67C76">
        <w:t>. Sites in the Lower Murray River (the stretch of the Murray</w:t>
      </w:r>
      <w:r w:rsidR="004A4F4B" w:rsidRPr="00A67C76">
        <w:t xml:space="preserve"> River</w:t>
      </w:r>
      <w:r w:rsidRPr="00A67C76">
        <w:t xml:space="preserve"> between the </w:t>
      </w:r>
      <w:r w:rsidR="003626AB" w:rsidRPr="00A67C76">
        <w:t>South Australian</w:t>
      </w:r>
      <w:r w:rsidRPr="00A67C76">
        <w:t xml:space="preserve"> border and the Lower Lakes) covered three distinct geomorphic regions:</w:t>
      </w:r>
    </w:p>
    <w:p w:rsidR="003F7FFD" w:rsidRPr="00A67C76" w:rsidRDefault="003F7FFD" w:rsidP="00807938">
      <w:pPr>
        <w:pStyle w:val="ListParagraph"/>
        <w:numPr>
          <w:ilvl w:val="0"/>
          <w:numId w:val="18"/>
        </w:numPr>
      </w:pPr>
      <w:r w:rsidRPr="00A67C76">
        <w:t>Floodplain (</w:t>
      </w:r>
      <w:r w:rsidR="003626AB" w:rsidRPr="00A67C76">
        <w:t>South Australian</w:t>
      </w:r>
      <w:r w:rsidRPr="00A67C76">
        <w:t xml:space="preserve"> border to Overland Corner) </w:t>
      </w:r>
    </w:p>
    <w:p w:rsidR="003F7FFD" w:rsidRPr="00A67C76" w:rsidRDefault="003F7FFD" w:rsidP="00807938">
      <w:pPr>
        <w:pStyle w:val="ListParagraph"/>
        <w:numPr>
          <w:ilvl w:val="0"/>
          <w:numId w:val="18"/>
        </w:numPr>
      </w:pPr>
      <w:r w:rsidRPr="00A67C76">
        <w:t>Gorge (</w:t>
      </w:r>
      <w:r w:rsidR="009E0A7A" w:rsidRPr="00A67C76">
        <w:t>Overland Corner</w:t>
      </w:r>
      <w:r w:rsidRPr="00A67C76">
        <w:t xml:space="preserve"> to Mannum)</w:t>
      </w:r>
    </w:p>
    <w:p w:rsidR="003F7FFD" w:rsidRDefault="003F7FFD" w:rsidP="00807938">
      <w:pPr>
        <w:pStyle w:val="ListParagraph"/>
        <w:numPr>
          <w:ilvl w:val="0"/>
          <w:numId w:val="18"/>
        </w:numPr>
      </w:pPr>
      <w:r w:rsidRPr="00A67C76">
        <w:t>Swamplands (Mannum to Wellington)</w:t>
      </w:r>
    </w:p>
    <w:p w:rsidR="003B4DB2" w:rsidRPr="00A67C76" w:rsidRDefault="003B4DB2" w:rsidP="003B4DB2">
      <w:pPr>
        <w:pStyle w:val="ListParagraph"/>
        <w:numPr>
          <w:ilvl w:val="0"/>
          <w:numId w:val="0"/>
        </w:numPr>
        <w:ind w:left="360"/>
        <w:jc w:val="center"/>
      </w:pPr>
      <w:r w:rsidRPr="003B4DB2">
        <w:rPr>
          <w:noProof/>
        </w:rPr>
        <w:drawing>
          <wp:inline distT="0" distB="0" distL="0" distR="0">
            <wp:extent cx="5727700" cy="404442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7700" cy="4044426"/>
                    </a:xfrm>
                    <a:prstGeom prst="rect">
                      <a:avLst/>
                    </a:prstGeom>
                    <a:noFill/>
                    <a:ln>
                      <a:noFill/>
                    </a:ln>
                  </pic:spPr>
                </pic:pic>
              </a:graphicData>
            </a:graphic>
          </wp:inline>
        </w:drawing>
      </w:r>
    </w:p>
    <w:p w:rsidR="003F7FFD" w:rsidRPr="00A67C76" w:rsidRDefault="003F7FFD" w:rsidP="003F7FFD"/>
    <w:p w:rsidR="000A353C" w:rsidRDefault="000A353C" w:rsidP="003F7FFD">
      <w:pPr>
        <w:pStyle w:val="Caption"/>
      </w:pPr>
      <w:bookmarkStart w:id="56" w:name="_Ref382232091"/>
      <w:bookmarkStart w:id="57" w:name="_Toc387843058"/>
    </w:p>
    <w:p w:rsidR="000A353C" w:rsidRDefault="003B4DB2" w:rsidP="003B4DB2">
      <w:r w:rsidRPr="003B4DB2">
        <w:rPr>
          <w:noProof/>
          <w:lang w:eastAsia="en-AU"/>
        </w:rPr>
        <w:drawing>
          <wp:inline distT="0" distB="0" distL="0" distR="0">
            <wp:extent cx="5727700" cy="40434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7700" cy="4043483"/>
                    </a:xfrm>
                    <a:prstGeom prst="rect">
                      <a:avLst/>
                    </a:prstGeom>
                    <a:noFill/>
                    <a:ln>
                      <a:noFill/>
                    </a:ln>
                  </pic:spPr>
                </pic:pic>
              </a:graphicData>
            </a:graphic>
          </wp:inline>
        </w:drawing>
      </w:r>
    </w:p>
    <w:p w:rsidR="003F7FFD" w:rsidRPr="00A67C76" w:rsidRDefault="003F7FFD" w:rsidP="003F7FFD">
      <w:pPr>
        <w:pStyle w:val="Caption"/>
      </w:pPr>
      <w:bookmarkStart w:id="58" w:name="_Ref411507585"/>
      <w:proofErr w:type="gramStart"/>
      <w:r w:rsidRPr="00A67C76">
        <w:t xml:space="preserve">Figure </w:t>
      </w:r>
      <w:proofErr w:type="gramEnd"/>
      <w:r w:rsidR="002E6077" w:rsidRPr="00A67C76">
        <w:fldChar w:fldCharType="begin"/>
      </w:r>
      <w:r w:rsidR="00110CB9" w:rsidRPr="00A67C76">
        <w:instrText xml:space="preserve"> SEQ Figure \* ARABIC </w:instrText>
      </w:r>
      <w:r w:rsidR="002E6077" w:rsidRPr="00A67C76">
        <w:fldChar w:fldCharType="separate"/>
      </w:r>
      <w:r w:rsidR="009659F2">
        <w:rPr>
          <w:noProof/>
        </w:rPr>
        <w:t>7</w:t>
      </w:r>
      <w:r w:rsidR="002E6077" w:rsidRPr="00A67C76">
        <w:rPr>
          <w:noProof/>
        </w:rPr>
        <w:fldChar w:fldCharType="end"/>
      </w:r>
      <w:bookmarkEnd w:id="56"/>
      <w:bookmarkEnd w:id="58"/>
      <w:proofErr w:type="gramStart"/>
      <w:r w:rsidRPr="00A67C76">
        <w:t>.</w:t>
      </w:r>
      <w:proofErr w:type="gramEnd"/>
      <w:r w:rsidRPr="00A67C76">
        <w:t xml:space="preserve"> </w:t>
      </w:r>
      <w:r w:rsidR="002C5FFF" w:rsidRPr="00A67C76">
        <w:t>Map of</w:t>
      </w:r>
      <w:r w:rsidR="002C5FFF">
        <w:t xml:space="preserve"> </w:t>
      </w:r>
      <w:r w:rsidR="000A353C">
        <w:t xml:space="preserve">a) </w:t>
      </w:r>
      <w:r w:rsidR="003414CC">
        <w:t xml:space="preserve">the Lower Murray River, </w:t>
      </w:r>
      <w:r w:rsidRPr="00A67C76">
        <w:t>Lower Lakes and Murray Mouth showing geomorphic regions</w:t>
      </w:r>
      <w:r w:rsidR="000A353C">
        <w:t>; b)</w:t>
      </w:r>
      <w:r w:rsidR="002C5FFF">
        <w:t xml:space="preserve"> the Coorong showing North and South lagoons and 0, 55 and 102 km markers used for Coorong modelling</w:t>
      </w:r>
      <w:r w:rsidRPr="00A67C76">
        <w:t>.</w:t>
      </w:r>
      <w:bookmarkEnd w:id="57"/>
    </w:p>
    <w:p w:rsidR="003F7FFD" w:rsidRPr="00A67C76" w:rsidRDefault="003F7FFD" w:rsidP="003F7FFD">
      <w:r w:rsidRPr="00A67C76">
        <w:t xml:space="preserve">Sampling site information for each task is given below. For more detailed information (i.e. maps and GPS coordinates) please refer </w:t>
      </w:r>
      <w:r w:rsidR="009E401F" w:rsidRPr="00A67C76">
        <w:t xml:space="preserve">to </w:t>
      </w:r>
      <w:r w:rsidR="002E6077" w:rsidRPr="00A67C76">
        <w:fldChar w:fldCharType="begin"/>
      </w:r>
      <w:r w:rsidR="009E401F" w:rsidRPr="00A67C76">
        <w:instrText xml:space="preserve"> REF _Ref387840970 \h </w:instrText>
      </w:r>
      <w:r w:rsidR="002E6077" w:rsidRPr="00A67C76">
        <w:fldChar w:fldCharType="separate"/>
      </w:r>
      <w:r w:rsidR="009659F2" w:rsidRPr="00A67C76">
        <w:t xml:space="preserve">Appendix </w:t>
      </w:r>
      <w:r w:rsidR="009659F2">
        <w:rPr>
          <w:noProof/>
        </w:rPr>
        <w:t>I</w:t>
      </w:r>
      <w:r w:rsidR="002E6077" w:rsidRPr="00A67C76">
        <w:fldChar w:fldCharType="end"/>
      </w:r>
      <w:r w:rsidRPr="00A67C76">
        <w:t>.</w:t>
      </w:r>
    </w:p>
    <w:p w:rsidR="005D1601" w:rsidRPr="00D44DE1" w:rsidRDefault="005D1601" w:rsidP="008F0A76">
      <w:pPr>
        <w:pStyle w:val="Heading3"/>
      </w:pPr>
      <w:bookmarkStart w:id="59" w:name="_Toc387843586"/>
      <w:r w:rsidRPr="009F69D3">
        <w:t>Main channel</w:t>
      </w:r>
      <w:bookmarkEnd w:id="59"/>
    </w:p>
    <w:p w:rsidR="00450980" w:rsidRPr="00A67C76" w:rsidRDefault="003F7FFD" w:rsidP="00450980">
      <w:pPr>
        <w:spacing w:before="120"/>
      </w:pPr>
      <w:r w:rsidRPr="00A67C76">
        <w:rPr>
          <w:i/>
          <w:u w:val="single"/>
        </w:rPr>
        <w:t>Larval fish and food resources for larval fish:</w:t>
      </w:r>
      <w:r w:rsidRPr="00A67C76">
        <w:rPr>
          <w:b/>
        </w:rPr>
        <w:t xml:space="preserve"> </w:t>
      </w:r>
      <w:r w:rsidR="004A4F4B" w:rsidRPr="00A67C76">
        <w:t>For these two tasks, t</w:t>
      </w:r>
      <w:r w:rsidRPr="00A67C76">
        <w:t xml:space="preserve">hree sites were sampled: </w:t>
      </w:r>
    </w:p>
    <w:p w:rsidR="003F7FFD" w:rsidRPr="00A67C76" w:rsidRDefault="00FD328A" w:rsidP="00807938">
      <w:pPr>
        <w:pStyle w:val="ListParagraph"/>
        <w:numPr>
          <w:ilvl w:val="0"/>
          <w:numId w:val="20"/>
        </w:numPr>
        <w:spacing w:before="120"/>
      </w:pPr>
      <w:r w:rsidRPr="00FD328A">
        <w:t>LK-1</w:t>
      </w:r>
      <w:r w:rsidR="003F7FFD" w:rsidRPr="00A67C76">
        <w:t xml:space="preserve"> –in the main channel downstream of Lock 1 (Gorge region),</w:t>
      </w:r>
    </w:p>
    <w:p w:rsidR="003F7FFD" w:rsidRPr="00A67C76" w:rsidRDefault="00FD328A" w:rsidP="00807938">
      <w:pPr>
        <w:pStyle w:val="ListParagraph"/>
        <w:numPr>
          <w:ilvl w:val="0"/>
          <w:numId w:val="19"/>
        </w:numPr>
        <w:spacing w:before="120"/>
      </w:pPr>
      <w:r w:rsidRPr="00FD328A">
        <w:t>LK-6</w:t>
      </w:r>
      <w:r w:rsidR="003F7FFD" w:rsidRPr="00A67C76">
        <w:t xml:space="preserve"> – in the main channel downstream of Lock 6 (Floodplain region) and</w:t>
      </w:r>
    </w:p>
    <w:p w:rsidR="003F7FFD" w:rsidRPr="00A67C76" w:rsidRDefault="00FD328A" w:rsidP="00807938">
      <w:pPr>
        <w:pStyle w:val="ListParagraph"/>
        <w:numPr>
          <w:ilvl w:val="0"/>
          <w:numId w:val="19"/>
        </w:numPr>
        <w:spacing w:before="120"/>
      </w:pPr>
      <w:r w:rsidRPr="00FD328A">
        <w:t>LK-6</w:t>
      </w:r>
      <w:r w:rsidR="003F7FFD" w:rsidRPr="00A67C76">
        <w:t xml:space="preserve">A – in the </w:t>
      </w:r>
      <w:r w:rsidR="00C12CB4" w:rsidRPr="00A67C76">
        <w:t xml:space="preserve">main channel downstream of an </w:t>
      </w:r>
      <w:r w:rsidR="003F7FFD" w:rsidRPr="00A67C76">
        <w:t>anabranch system adjacent to Lock 6 (Floodplain region).</w:t>
      </w:r>
    </w:p>
    <w:p w:rsidR="003F7FFD" w:rsidRPr="00A67C76" w:rsidRDefault="003F7FFD" w:rsidP="003F7FFD">
      <w:r w:rsidRPr="00A67C76">
        <w:rPr>
          <w:i/>
          <w:u w:val="single"/>
        </w:rPr>
        <w:t xml:space="preserve">Dissolved and particulate material transport: </w:t>
      </w:r>
      <w:r w:rsidRPr="00A67C76">
        <w:t>The study area for this task was in the main channel from Lock 1 (Blanchetown) to the Murray Mouth, incorporating the Lower Murray River, Lower Lakes and Northern Coorong (</w:t>
      </w:r>
      <w:r w:rsidR="002E6077" w:rsidRPr="00A67C76">
        <w:fldChar w:fldCharType="begin"/>
      </w:r>
      <w:r w:rsidR="009E401F" w:rsidRPr="00A67C76">
        <w:instrText xml:space="preserve"> REF _Ref387840970 \h </w:instrText>
      </w:r>
      <w:r w:rsidR="002E6077" w:rsidRPr="00A67C76">
        <w:fldChar w:fldCharType="separate"/>
      </w:r>
      <w:r w:rsidR="009659F2" w:rsidRPr="00A67C76">
        <w:t xml:space="preserve">Appendix </w:t>
      </w:r>
      <w:r w:rsidR="009659F2">
        <w:rPr>
          <w:noProof/>
        </w:rPr>
        <w:t>I</w:t>
      </w:r>
      <w:r w:rsidR="002E6077" w:rsidRPr="00A67C76">
        <w:fldChar w:fldCharType="end"/>
      </w:r>
      <w:r w:rsidRPr="00A67C76">
        <w:t>).</w:t>
      </w:r>
    </w:p>
    <w:p w:rsidR="005D1601" w:rsidRPr="00A67C76" w:rsidRDefault="005D1601" w:rsidP="008F0A76">
      <w:pPr>
        <w:pStyle w:val="Heading3"/>
      </w:pPr>
      <w:bookmarkStart w:id="60" w:name="_Toc387843587"/>
      <w:r w:rsidRPr="00A67C76">
        <w:t>Wetlands</w:t>
      </w:r>
      <w:bookmarkEnd w:id="60"/>
    </w:p>
    <w:p w:rsidR="003F7FFD" w:rsidRPr="00A67C76" w:rsidRDefault="003F7FFD" w:rsidP="003F7FFD">
      <w:r w:rsidRPr="00A67C76">
        <w:rPr>
          <w:i/>
          <w:u w:val="single"/>
        </w:rPr>
        <w:t>Lateral movements of fish:</w:t>
      </w:r>
      <w:r w:rsidRPr="00A67C76">
        <w:t xml:space="preserve"> This study was conducted in four wetland sites in the Lower Murray River. Two of these sites were in the Floodplain region: Martins Bend and Overland Corner, and two in the Gorge region: Kroehns and North Purnong (</w:t>
      </w:r>
      <w:r w:rsidR="002E6077" w:rsidRPr="00A67C76">
        <w:fldChar w:fldCharType="begin"/>
      </w:r>
      <w:r w:rsidR="009E401F" w:rsidRPr="00A67C76">
        <w:instrText xml:space="preserve"> REF _Ref387840970 \h </w:instrText>
      </w:r>
      <w:r w:rsidR="002E6077" w:rsidRPr="00A67C76">
        <w:fldChar w:fldCharType="separate"/>
      </w:r>
      <w:r w:rsidR="009659F2" w:rsidRPr="00A67C76">
        <w:t xml:space="preserve">Appendix </w:t>
      </w:r>
      <w:r w:rsidR="009659F2">
        <w:rPr>
          <w:noProof/>
        </w:rPr>
        <w:t>I</w:t>
      </w:r>
      <w:r w:rsidR="002E6077" w:rsidRPr="00A67C76">
        <w:fldChar w:fldCharType="end"/>
      </w:r>
      <w:r w:rsidRPr="00A67C76">
        <w:t xml:space="preserve">). </w:t>
      </w:r>
    </w:p>
    <w:p w:rsidR="003F7FFD" w:rsidRPr="00A67C76" w:rsidRDefault="003F7FFD" w:rsidP="003F7FFD">
      <w:pPr>
        <w:rPr>
          <w:rFonts w:cs="Segoe UI"/>
          <w:szCs w:val="24"/>
        </w:rPr>
      </w:pPr>
      <w:r w:rsidRPr="00A67C76">
        <w:rPr>
          <w:i/>
          <w:u w:val="single"/>
        </w:rPr>
        <w:t>Frog response:</w:t>
      </w:r>
      <w:r w:rsidRPr="00A67C76">
        <w:t xml:space="preserve"> </w:t>
      </w:r>
      <w:r w:rsidRPr="00A67C76">
        <w:rPr>
          <w:rFonts w:cs="Segoe UI"/>
          <w:szCs w:val="24"/>
        </w:rPr>
        <w:t xml:space="preserve">This study included a total of 130 sites at 44 wetlands across three geomorphic regions: Floodplain, Gorge and Swamplands. Nine of these wetlands from two regions (Gorge and Floodplain) were used </w:t>
      </w:r>
      <w:r w:rsidRPr="00A67C76">
        <w:rPr>
          <w:szCs w:val="24"/>
        </w:rPr>
        <w:t>to assess the difference</w:t>
      </w:r>
      <w:r w:rsidR="00026448" w:rsidRPr="00A67C76">
        <w:rPr>
          <w:szCs w:val="24"/>
        </w:rPr>
        <w:t xml:space="preserve">s in frog species diversity and calling </w:t>
      </w:r>
      <w:r w:rsidRPr="00A67C76">
        <w:rPr>
          <w:szCs w:val="24"/>
        </w:rPr>
        <w:t xml:space="preserve">abundance between spring (no environmental water) and summer (with environmental water delivery). </w:t>
      </w:r>
      <w:r w:rsidR="004C628E" w:rsidRPr="00A67C76">
        <w:rPr>
          <w:szCs w:val="24"/>
        </w:rPr>
        <w:t>For detailed information on study sites r</w:t>
      </w:r>
      <w:r w:rsidR="004C628E" w:rsidRPr="00A67C76">
        <w:rPr>
          <w:rFonts w:cs="Segoe UI"/>
          <w:szCs w:val="24"/>
        </w:rPr>
        <w:t xml:space="preserve">efer to </w:t>
      </w:r>
      <w:r w:rsidRPr="00A67C76">
        <w:rPr>
          <w:rFonts w:cs="Segoe UI"/>
          <w:szCs w:val="24"/>
        </w:rPr>
        <w:t>Hoffman</w:t>
      </w:r>
      <w:r w:rsidR="00026448" w:rsidRPr="00A67C76">
        <w:rPr>
          <w:rFonts w:cs="Segoe UI"/>
          <w:szCs w:val="24"/>
        </w:rPr>
        <w:t>n</w:t>
      </w:r>
      <w:r w:rsidRPr="00A67C76">
        <w:rPr>
          <w:rFonts w:cs="Segoe UI"/>
          <w:szCs w:val="24"/>
        </w:rPr>
        <w:t xml:space="preserve"> </w:t>
      </w:r>
      <w:r w:rsidRPr="00A67C76">
        <w:rPr>
          <w:rFonts w:cs="Segoe UI"/>
          <w:i/>
          <w:szCs w:val="24"/>
        </w:rPr>
        <w:t>et al</w:t>
      </w:r>
      <w:r w:rsidRPr="00A67C76">
        <w:rPr>
          <w:rFonts w:cs="Segoe UI"/>
          <w:szCs w:val="24"/>
        </w:rPr>
        <w:t>.</w:t>
      </w:r>
      <w:r w:rsidR="004C628E" w:rsidRPr="00A67C76">
        <w:rPr>
          <w:rFonts w:cs="Segoe UI"/>
          <w:szCs w:val="24"/>
        </w:rPr>
        <w:t xml:space="preserve"> (2014)</w:t>
      </w:r>
      <w:r w:rsidRPr="00A67C76">
        <w:rPr>
          <w:rFonts w:cs="Segoe UI"/>
          <w:szCs w:val="24"/>
        </w:rPr>
        <w:t>.</w:t>
      </w:r>
    </w:p>
    <w:p w:rsidR="005D1601" w:rsidRPr="00A67C76" w:rsidRDefault="005D1601" w:rsidP="008F0A76">
      <w:pPr>
        <w:pStyle w:val="Heading3"/>
      </w:pPr>
      <w:bookmarkStart w:id="61" w:name="_Toc387843588"/>
      <w:bookmarkStart w:id="62" w:name="_Ref381778781"/>
      <w:r w:rsidRPr="00A67C76">
        <w:t>Coorong (modelling)</w:t>
      </w:r>
      <w:bookmarkEnd w:id="61"/>
    </w:p>
    <w:p w:rsidR="00C12CB4" w:rsidRPr="00A67C76" w:rsidRDefault="00522ACA" w:rsidP="0089330F">
      <w:pPr>
        <w:sectPr w:rsidR="00C12CB4" w:rsidRPr="00A67C76" w:rsidSect="00A62C74">
          <w:footerReference w:type="default" r:id="rId43"/>
          <w:pgSz w:w="11900" w:h="16840" w:code="9"/>
          <w:pgMar w:top="1440" w:right="1440" w:bottom="1440" w:left="1440" w:header="709" w:footer="709" w:gutter="0"/>
          <w:cols w:space="708"/>
          <w:docGrid w:linePitch="360"/>
        </w:sectPr>
      </w:pPr>
      <w:r w:rsidRPr="00A67C76">
        <w:rPr>
          <w:i/>
          <w:u w:val="single"/>
        </w:rPr>
        <w:t>Ruppia tuberosa and fish habitat</w:t>
      </w:r>
      <w:bookmarkEnd w:id="62"/>
      <w:r w:rsidR="00266FD4" w:rsidRPr="00A67C76">
        <w:rPr>
          <w:i/>
          <w:u w:val="single"/>
        </w:rPr>
        <w:t>:</w:t>
      </w:r>
      <w:r w:rsidR="00266FD4" w:rsidRPr="00A67C76">
        <w:t xml:space="preserve"> The modelling </w:t>
      </w:r>
      <w:r w:rsidR="00EA1A8B" w:rsidRPr="00A67C76">
        <w:t>was conducted for the areas from Murray Mouth, to the North and South lagoons of the Coorong</w:t>
      </w:r>
      <w:r w:rsidR="00A93F48">
        <w:t xml:space="preserve"> (Figure 7</w:t>
      </w:r>
      <w:r w:rsidR="002C5FFF">
        <w:t>b</w:t>
      </w:r>
      <w:r w:rsidR="00A93F48">
        <w:t>)</w:t>
      </w:r>
      <w:r w:rsidR="00EA1A8B" w:rsidRPr="00A67C76">
        <w:t>.</w:t>
      </w:r>
    </w:p>
    <w:p w:rsidR="009C5F10" w:rsidRPr="00A67C76" w:rsidRDefault="009C5F10" w:rsidP="00F41737">
      <w:pPr>
        <w:pStyle w:val="Heading2"/>
      </w:pPr>
      <w:bookmarkStart w:id="63" w:name="_Toc381776103"/>
      <w:bookmarkStart w:id="64" w:name="_Ref381881675"/>
      <w:bookmarkStart w:id="65" w:name="_Toc387843589"/>
      <w:r w:rsidRPr="00A67C76">
        <w:t>Task methods</w:t>
      </w:r>
      <w:bookmarkEnd w:id="63"/>
      <w:bookmarkEnd w:id="64"/>
      <w:bookmarkEnd w:id="65"/>
    </w:p>
    <w:p w:rsidR="005D1601" w:rsidRPr="00A67C76" w:rsidRDefault="005D1601" w:rsidP="00A2199F">
      <w:pPr>
        <w:pStyle w:val="Heading3"/>
      </w:pPr>
      <w:bookmarkStart w:id="66" w:name="_Toc387843590"/>
      <w:r w:rsidRPr="00A67C76">
        <w:t>Main channel</w:t>
      </w:r>
      <w:bookmarkEnd w:id="66"/>
    </w:p>
    <w:p w:rsidR="00AB254A" w:rsidRPr="00A67C76" w:rsidRDefault="009C5F10" w:rsidP="00C12CB4">
      <w:pPr>
        <w:rPr>
          <w:b/>
        </w:rPr>
      </w:pPr>
      <w:r w:rsidRPr="00A67C76">
        <w:rPr>
          <w:b/>
        </w:rPr>
        <w:t xml:space="preserve">Larval fish  </w:t>
      </w:r>
    </w:p>
    <w:p w:rsidR="009C5F10" w:rsidRPr="00A67C76" w:rsidRDefault="009C5F10" w:rsidP="009C5F10">
      <w:pPr>
        <w:rPr>
          <w:bCs/>
        </w:rPr>
      </w:pPr>
      <w:r w:rsidRPr="00A67C76">
        <w:rPr>
          <w:bCs/>
        </w:rPr>
        <w:t>Larval fish assemblages in the Lower Murray River were sampled in order to detect changes in abundances during the reproductive season of some relevant freshwater native fish species. Samples were collected on a fortnightly basis from October 2012 to March 2013 (</w:t>
      </w:r>
      <w:r w:rsidR="002E6077" w:rsidRPr="00A67C76">
        <w:rPr>
          <w:bCs/>
        </w:rPr>
        <w:fldChar w:fldCharType="begin"/>
      </w:r>
      <w:r w:rsidR="00433A94" w:rsidRPr="00A67C76">
        <w:rPr>
          <w:bCs/>
        </w:rPr>
        <w:instrText xml:space="preserve"> REF _Ref382216056 \h </w:instrText>
      </w:r>
      <w:r w:rsidR="002E6077" w:rsidRPr="00A67C76">
        <w:rPr>
          <w:bCs/>
        </w:rPr>
      </w:r>
      <w:r w:rsidR="002E6077" w:rsidRPr="00A67C76">
        <w:rPr>
          <w:bCs/>
        </w:rPr>
        <w:fldChar w:fldCharType="separate"/>
      </w:r>
      <w:r w:rsidR="009659F2" w:rsidRPr="00A67C76">
        <w:t xml:space="preserve">Table </w:t>
      </w:r>
      <w:r w:rsidR="009659F2">
        <w:rPr>
          <w:noProof/>
        </w:rPr>
        <w:t>2</w:t>
      </w:r>
      <w:r w:rsidR="002E6077" w:rsidRPr="00A67C76">
        <w:rPr>
          <w:bCs/>
        </w:rPr>
        <w:fldChar w:fldCharType="end"/>
      </w:r>
      <w:r w:rsidRPr="00A67C76">
        <w:rPr>
          <w:bCs/>
        </w:rPr>
        <w:t>). Sampling was carried out by towing a Bongo net with a 500 µm mesh astern a 7 m boat, three times during the day and night (total of six tows site</w:t>
      </w:r>
      <w:r w:rsidRPr="00A67C76">
        <w:rPr>
          <w:bCs/>
          <w:vertAlign w:val="superscript"/>
        </w:rPr>
        <w:t>-1</w:t>
      </w:r>
      <w:r w:rsidRPr="00A67C76">
        <w:rPr>
          <w:bCs/>
        </w:rPr>
        <w:t xml:space="preserve"> trip</w:t>
      </w:r>
      <w:r w:rsidRPr="00A67C76">
        <w:rPr>
          <w:bCs/>
          <w:vertAlign w:val="superscript"/>
        </w:rPr>
        <w:t>-1</w:t>
      </w:r>
      <w:r w:rsidRPr="00A67C76">
        <w:rPr>
          <w:bCs/>
        </w:rPr>
        <w:t xml:space="preserve">). Samples were then sorted and larval fish were identified and quantified in the lab. For more details please refer to Bucater </w:t>
      </w:r>
      <w:r w:rsidRPr="00A67C76">
        <w:rPr>
          <w:bCs/>
          <w:i/>
        </w:rPr>
        <w:t>et al</w:t>
      </w:r>
      <w:r w:rsidRPr="00A67C76">
        <w:rPr>
          <w:bCs/>
        </w:rPr>
        <w:t xml:space="preserve">. </w:t>
      </w:r>
      <w:r w:rsidR="00E669BF" w:rsidRPr="00A67C76">
        <w:rPr>
          <w:bCs/>
        </w:rPr>
        <w:t>(</w:t>
      </w:r>
      <w:r w:rsidRPr="00A67C76">
        <w:rPr>
          <w:bCs/>
        </w:rPr>
        <w:t>2009</w:t>
      </w:r>
      <w:r w:rsidR="00E669BF" w:rsidRPr="00A67C76">
        <w:rPr>
          <w:bCs/>
        </w:rPr>
        <w:t>)</w:t>
      </w:r>
      <w:r w:rsidRPr="00A67C76">
        <w:rPr>
          <w:bCs/>
        </w:rPr>
        <w:t xml:space="preserve">. </w:t>
      </w:r>
    </w:p>
    <w:p w:rsidR="009C5F10" w:rsidRPr="00A67C76" w:rsidRDefault="00265D49" w:rsidP="00265D49">
      <w:pPr>
        <w:pStyle w:val="Caption"/>
      </w:pPr>
      <w:bookmarkStart w:id="67" w:name="_Ref382216056"/>
      <w:bookmarkStart w:id="68" w:name="_Toc387929704"/>
      <w:proofErr w:type="gramStart"/>
      <w:r w:rsidRPr="00A67C76">
        <w:t xml:space="preserve">Table </w:t>
      </w:r>
      <w:proofErr w:type="gramEnd"/>
      <w:r w:rsidR="002E6077" w:rsidRPr="00A67C76">
        <w:fldChar w:fldCharType="begin"/>
      </w:r>
      <w:r w:rsidRPr="00A67C76">
        <w:instrText xml:space="preserve"> SEQ Table \* ARABIC </w:instrText>
      </w:r>
      <w:r w:rsidR="002E6077" w:rsidRPr="00A67C76">
        <w:fldChar w:fldCharType="separate"/>
      </w:r>
      <w:r w:rsidR="009659F2">
        <w:rPr>
          <w:noProof/>
        </w:rPr>
        <w:t>2</w:t>
      </w:r>
      <w:r w:rsidR="002E6077" w:rsidRPr="00A67C76">
        <w:fldChar w:fldCharType="end"/>
      </w:r>
      <w:bookmarkEnd w:id="67"/>
      <w:proofErr w:type="gramStart"/>
      <w:r w:rsidRPr="00A67C76">
        <w:t>.</w:t>
      </w:r>
      <w:proofErr w:type="gramEnd"/>
      <w:r w:rsidR="009C5F10" w:rsidRPr="00A67C76">
        <w:t xml:space="preserve"> Larval fish sampling trips for the </w:t>
      </w:r>
      <w:r w:rsidR="00EE6B16" w:rsidRPr="00A67C76">
        <w:t>Lower Murray River</w:t>
      </w:r>
      <w:r w:rsidR="009C5F10" w:rsidRPr="00A67C76">
        <w:t xml:space="preserve"> between 2005-06 and </w:t>
      </w:r>
      <w:r w:rsidR="00333041" w:rsidRPr="00A67C76">
        <w:t>2012</w:t>
      </w:r>
      <w:r w:rsidR="00671237">
        <w:t>-</w:t>
      </w:r>
      <w:r w:rsidR="00333041" w:rsidRPr="00A67C76">
        <w:t>13</w:t>
      </w:r>
      <w:bookmarkEnd w:id="68"/>
      <w:r w:rsidR="00671237">
        <w:t xml:space="preserve"> (</w:t>
      </w:r>
      <w:r w:rsidR="00671237" w:rsidRPr="00A67C76">
        <w:t>zooplankton</w:t>
      </w:r>
      <w:r w:rsidR="00671237">
        <w:t xml:space="preserve"> sampling only occurred in 2012-13).</w:t>
      </w:r>
    </w:p>
    <w:tbl>
      <w:tblPr>
        <w:tblW w:w="7338" w:type="dxa"/>
        <w:jc w:val="center"/>
        <w:tblLayout w:type="fixed"/>
        <w:tblLook w:val="01E0"/>
      </w:tblPr>
      <w:tblGrid>
        <w:gridCol w:w="1370"/>
        <w:gridCol w:w="2534"/>
        <w:gridCol w:w="3434"/>
      </w:tblGrid>
      <w:tr w:rsidR="009C5F10" w:rsidRPr="00A67C76" w:rsidTr="00AB254A">
        <w:trPr>
          <w:trHeight w:val="340"/>
          <w:jc w:val="center"/>
        </w:trPr>
        <w:tc>
          <w:tcPr>
            <w:tcW w:w="1370" w:type="dxa"/>
            <w:tcBorders>
              <w:top w:val="single" w:sz="4" w:space="0" w:color="auto"/>
              <w:bottom w:val="single" w:sz="4" w:space="0" w:color="auto"/>
            </w:tcBorders>
            <w:vAlign w:val="center"/>
          </w:tcPr>
          <w:p w:rsidR="009C5F10" w:rsidRPr="00A67C76" w:rsidRDefault="009C5F10" w:rsidP="005178B0">
            <w:pPr>
              <w:pStyle w:val="BodyText1"/>
              <w:keepNext/>
              <w:keepLines/>
              <w:spacing w:before="0" w:after="0"/>
              <w:ind w:firstLine="17"/>
              <w:contextualSpacing/>
              <w:jc w:val="center"/>
              <w:rPr>
                <w:rFonts w:ascii="Century Gothic" w:hAnsi="Century Gothic" w:cstheme="minorHAnsi"/>
                <w:b/>
                <w:lang w:eastAsia="en-AU"/>
              </w:rPr>
            </w:pPr>
            <w:r w:rsidRPr="00A67C76">
              <w:rPr>
                <w:rFonts w:ascii="Century Gothic" w:hAnsi="Century Gothic" w:cstheme="minorHAnsi"/>
                <w:b/>
                <w:lang w:eastAsia="en-AU"/>
              </w:rPr>
              <w:t>Trip Number</w:t>
            </w:r>
          </w:p>
        </w:tc>
        <w:tc>
          <w:tcPr>
            <w:tcW w:w="2534" w:type="dxa"/>
            <w:tcBorders>
              <w:top w:val="single" w:sz="4" w:space="0" w:color="auto"/>
              <w:bottom w:val="single" w:sz="4" w:space="0" w:color="auto"/>
            </w:tcBorders>
            <w:vAlign w:val="center"/>
          </w:tcPr>
          <w:p w:rsidR="009C5F10" w:rsidRPr="00A67C76" w:rsidRDefault="009C5F10" w:rsidP="005178B0">
            <w:pPr>
              <w:pStyle w:val="BodyText1"/>
              <w:keepNext/>
              <w:keepLines/>
              <w:spacing w:before="0" w:after="0"/>
              <w:ind w:firstLine="17"/>
              <w:contextualSpacing/>
              <w:jc w:val="center"/>
              <w:rPr>
                <w:rFonts w:ascii="Century Gothic" w:hAnsi="Century Gothic" w:cstheme="minorHAnsi"/>
                <w:b/>
                <w:lang w:eastAsia="en-AU"/>
              </w:rPr>
            </w:pPr>
            <w:r w:rsidRPr="00A67C76">
              <w:rPr>
                <w:rFonts w:ascii="Century Gothic" w:hAnsi="Century Gothic" w:cstheme="minorHAnsi"/>
                <w:b/>
                <w:lang w:eastAsia="en-AU"/>
              </w:rPr>
              <w:t>Indicative sampling week</w:t>
            </w:r>
          </w:p>
        </w:tc>
        <w:tc>
          <w:tcPr>
            <w:tcW w:w="3434" w:type="dxa"/>
            <w:tcBorders>
              <w:top w:val="single" w:sz="4" w:space="0" w:color="auto"/>
              <w:bottom w:val="single" w:sz="4" w:space="0" w:color="auto"/>
            </w:tcBorders>
            <w:vAlign w:val="center"/>
          </w:tcPr>
          <w:p w:rsidR="009C5F10" w:rsidRPr="00A67C76" w:rsidRDefault="009C5F10" w:rsidP="005178B0">
            <w:pPr>
              <w:pStyle w:val="BodyText1"/>
              <w:keepNext/>
              <w:keepLines/>
              <w:spacing w:before="0" w:after="0"/>
              <w:ind w:firstLine="17"/>
              <w:contextualSpacing/>
              <w:jc w:val="center"/>
              <w:rPr>
                <w:rFonts w:ascii="Century Gothic" w:hAnsi="Century Gothic" w:cstheme="minorHAnsi"/>
                <w:b/>
                <w:lang w:eastAsia="en-AU"/>
              </w:rPr>
            </w:pPr>
            <w:r w:rsidRPr="00A67C76">
              <w:rPr>
                <w:rFonts w:ascii="Century Gothic" w:hAnsi="Century Gothic" w:cstheme="minorHAnsi"/>
                <w:b/>
                <w:lang w:eastAsia="en-AU"/>
              </w:rPr>
              <w:t>Watering Years</w:t>
            </w:r>
          </w:p>
        </w:tc>
      </w:tr>
      <w:tr w:rsidR="009C5F10" w:rsidRPr="00A67C76" w:rsidTr="00AB254A">
        <w:trPr>
          <w:trHeight w:val="340"/>
          <w:jc w:val="center"/>
        </w:trPr>
        <w:tc>
          <w:tcPr>
            <w:tcW w:w="1370" w:type="dxa"/>
            <w:tcBorders>
              <w:top w:val="single" w:sz="4" w:space="0" w:color="auto"/>
            </w:tcBorders>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1</w:t>
            </w:r>
          </w:p>
        </w:tc>
        <w:tc>
          <w:tcPr>
            <w:tcW w:w="2534" w:type="dxa"/>
            <w:tcBorders>
              <w:top w:val="single" w:sz="4" w:space="0" w:color="auto"/>
            </w:tcBorders>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2</w:t>
            </w:r>
            <w:r w:rsidRPr="00A67C76">
              <w:rPr>
                <w:sz w:val="20"/>
                <w:vertAlign w:val="superscript"/>
                <w:lang w:eastAsia="en-AU"/>
              </w:rPr>
              <w:t>nd</w:t>
            </w:r>
            <w:r w:rsidRPr="00A67C76">
              <w:rPr>
                <w:sz w:val="20"/>
                <w:lang w:eastAsia="en-AU"/>
              </w:rPr>
              <w:t xml:space="preserve"> week in October</w:t>
            </w:r>
          </w:p>
        </w:tc>
        <w:tc>
          <w:tcPr>
            <w:tcW w:w="3434" w:type="dxa"/>
            <w:tcBorders>
              <w:top w:val="single" w:sz="4" w:space="0" w:color="auto"/>
            </w:tcBorders>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ALL</w:t>
            </w:r>
          </w:p>
        </w:tc>
      </w:tr>
      <w:tr w:rsidR="009C5F10" w:rsidRPr="00A67C76" w:rsidTr="00AB254A">
        <w:trPr>
          <w:trHeight w:val="340"/>
          <w:jc w:val="center"/>
        </w:trPr>
        <w:tc>
          <w:tcPr>
            <w:tcW w:w="1370" w:type="dxa"/>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2</w:t>
            </w:r>
          </w:p>
        </w:tc>
        <w:tc>
          <w:tcPr>
            <w:tcW w:w="2534" w:type="dxa"/>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4</w:t>
            </w:r>
            <w:r w:rsidRPr="00A67C76">
              <w:rPr>
                <w:sz w:val="20"/>
                <w:vertAlign w:val="superscript"/>
                <w:lang w:eastAsia="en-AU"/>
              </w:rPr>
              <w:t>th</w:t>
            </w:r>
            <w:r w:rsidRPr="00A67C76">
              <w:rPr>
                <w:sz w:val="20"/>
                <w:lang w:eastAsia="en-AU"/>
              </w:rPr>
              <w:t xml:space="preserve"> week in October</w:t>
            </w:r>
          </w:p>
        </w:tc>
        <w:tc>
          <w:tcPr>
            <w:tcW w:w="3434" w:type="dxa"/>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ALL</w:t>
            </w:r>
          </w:p>
        </w:tc>
      </w:tr>
      <w:tr w:rsidR="009C5F10" w:rsidRPr="00A67C76" w:rsidTr="00AB254A">
        <w:trPr>
          <w:trHeight w:val="340"/>
          <w:jc w:val="center"/>
        </w:trPr>
        <w:tc>
          <w:tcPr>
            <w:tcW w:w="1370" w:type="dxa"/>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3</w:t>
            </w:r>
          </w:p>
        </w:tc>
        <w:tc>
          <w:tcPr>
            <w:tcW w:w="2534" w:type="dxa"/>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2</w:t>
            </w:r>
            <w:r w:rsidRPr="00A67C76">
              <w:rPr>
                <w:sz w:val="20"/>
                <w:vertAlign w:val="superscript"/>
                <w:lang w:eastAsia="en-AU"/>
              </w:rPr>
              <w:t>nd</w:t>
            </w:r>
            <w:r w:rsidRPr="00A67C76">
              <w:rPr>
                <w:sz w:val="20"/>
                <w:lang w:eastAsia="en-AU"/>
              </w:rPr>
              <w:t xml:space="preserve"> week in November</w:t>
            </w:r>
          </w:p>
        </w:tc>
        <w:tc>
          <w:tcPr>
            <w:tcW w:w="3434" w:type="dxa"/>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ALL</w:t>
            </w:r>
          </w:p>
        </w:tc>
      </w:tr>
      <w:tr w:rsidR="009C5F10" w:rsidRPr="00A67C76" w:rsidTr="00AB254A">
        <w:trPr>
          <w:trHeight w:val="340"/>
          <w:jc w:val="center"/>
        </w:trPr>
        <w:tc>
          <w:tcPr>
            <w:tcW w:w="1370" w:type="dxa"/>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4</w:t>
            </w:r>
          </w:p>
        </w:tc>
        <w:tc>
          <w:tcPr>
            <w:tcW w:w="2534" w:type="dxa"/>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4</w:t>
            </w:r>
            <w:r w:rsidRPr="00A67C76">
              <w:rPr>
                <w:sz w:val="20"/>
                <w:vertAlign w:val="superscript"/>
                <w:lang w:eastAsia="en-AU"/>
              </w:rPr>
              <w:t>th</w:t>
            </w:r>
            <w:r w:rsidRPr="00A67C76">
              <w:rPr>
                <w:sz w:val="20"/>
                <w:lang w:eastAsia="en-AU"/>
              </w:rPr>
              <w:t xml:space="preserve"> week in November</w:t>
            </w:r>
          </w:p>
        </w:tc>
        <w:tc>
          <w:tcPr>
            <w:tcW w:w="3434" w:type="dxa"/>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ALL</w:t>
            </w:r>
          </w:p>
        </w:tc>
      </w:tr>
      <w:tr w:rsidR="009C5F10" w:rsidRPr="00A67C76" w:rsidTr="00AB254A">
        <w:trPr>
          <w:trHeight w:val="340"/>
          <w:jc w:val="center"/>
        </w:trPr>
        <w:tc>
          <w:tcPr>
            <w:tcW w:w="1370" w:type="dxa"/>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5</w:t>
            </w:r>
          </w:p>
        </w:tc>
        <w:tc>
          <w:tcPr>
            <w:tcW w:w="2534" w:type="dxa"/>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2</w:t>
            </w:r>
            <w:r w:rsidRPr="00A67C76">
              <w:rPr>
                <w:sz w:val="20"/>
                <w:vertAlign w:val="superscript"/>
                <w:lang w:eastAsia="en-AU"/>
              </w:rPr>
              <w:t>nd</w:t>
            </w:r>
            <w:r w:rsidRPr="00A67C76">
              <w:rPr>
                <w:sz w:val="20"/>
                <w:lang w:eastAsia="en-AU"/>
              </w:rPr>
              <w:t xml:space="preserve"> week in December</w:t>
            </w:r>
          </w:p>
        </w:tc>
        <w:tc>
          <w:tcPr>
            <w:tcW w:w="3434" w:type="dxa"/>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ALL</w:t>
            </w:r>
          </w:p>
        </w:tc>
      </w:tr>
      <w:tr w:rsidR="009C5F10" w:rsidRPr="00A67C76" w:rsidTr="00AB254A">
        <w:trPr>
          <w:trHeight w:val="340"/>
          <w:jc w:val="center"/>
        </w:trPr>
        <w:tc>
          <w:tcPr>
            <w:tcW w:w="1370" w:type="dxa"/>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6</w:t>
            </w:r>
          </w:p>
        </w:tc>
        <w:tc>
          <w:tcPr>
            <w:tcW w:w="2534" w:type="dxa"/>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4</w:t>
            </w:r>
            <w:r w:rsidRPr="00A67C76">
              <w:rPr>
                <w:sz w:val="20"/>
                <w:vertAlign w:val="superscript"/>
                <w:lang w:eastAsia="en-AU"/>
              </w:rPr>
              <w:t>th</w:t>
            </w:r>
            <w:r w:rsidRPr="00A67C76">
              <w:rPr>
                <w:sz w:val="20"/>
                <w:lang w:eastAsia="en-AU"/>
              </w:rPr>
              <w:t xml:space="preserve">  week in December</w:t>
            </w:r>
          </w:p>
        </w:tc>
        <w:tc>
          <w:tcPr>
            <w:tcW w:w="3434" w:type="dxa"/>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ALL</w:t>
            </w:r>
          </w:p>
        </w:tc>
      </w:tr>
      <w:tr w:rsidR="009C5F10" w:rsidRPr="00A67C76" w:rsidTr="00AB254A">
        <w:trPr>
          <w:trHeight w:val="340"/>
          <w:jc w:val="center"/>
        </w:trPr>
        <w:tc>
          <w:tcPr>
            <w:tcW w:w="1370" w:type="dxa"/>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7</w:t>
            </w:r>
          </w:p>
        </w:tc>
        <w:tc>
          <w:tcPr>
            <w:tcW w:w="2534" w:type="dxa"/>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1</w:t>
            </w:r>
            <w:r w:rsidRPr="00A67C76">
              <w:rPr>
                <w:sz w:val="20"/>
                <w:vertAlign w:val="superscript"/>
                <w:lang w:eastAsia="en-AU"/>
              </w:rPr>
              <w:t>st</w:t>
            </w:r>
            <w:r w:rsidRPr="00A67C76">
              <w:rPr>
                <w:sz w:val="20"/>
                <w:lang w:eastAsia="en-AU"/>
              </w:rPr>
              <w:t xml:space="preserve"> week in January</w:t>
            </w:r>
          </w:p>
        </w:tc>
        <w:tc>
          <w:tcPr>
            <w:tcW w:w="3434" w:type="dxa"/>
            <w:vAlign w:val="bottom"/>
          </w:tcPr>
          <w:p w:rsidR="009C5F10" w:rsidRPr="00A67C76" w:rsidRDefault="00333041" w:rsidP="005178B0">
            <w:pPr>
              <w:spacing w:after="0"/>
              <w:ind w:firstLine="17"/>
              <w:contextualSpacing/>
              <w:jc w:val="center"/>
              <w:rPr>
                <w:sz w:val="20"/>
                <w:lang w:eastAsia="en-AU"/>
              </w:rPr>
            </w:pPr>
            <w:r w:rsidRPr="00A67C76">
              <w:rPr>
                <w:sz w:val="20"/>
                <w:lang w:eastAsia="en-AU"/>
              </w:rPr>
              <w:t>2012</w:t>
            </w:r>
            <w:r w:rsidR="00FD328A" w:rsidRPr="00FD328A">
              <w:rPr>
                <w:sz w:val="20"/>
                <w:lang w:eastAsia="en-AU"/>
              </w:rPr>
              <w:t>-13</w:t>
            </w:r>
          </w:p>
        </w:tc>
      </w:tr>
      <w:tr w:rsidR="009C5F10" w:rsidRPr="00A67C76" w:rsidTr="00AB254A">
        <w:trPr>
          <w:trHeight w:val="340"/>
          <w:jc w:val="center"/>
        </w:trPr>
        <w:tc>
          <w:tcPr>
            <w:tcW w:w="1370" w:type="dxa"/>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8</w:t>
            </w:r>
          </w:p>
        </w:tc>
        <w:tc>
          <w:tcPr>
            <w:tcW w:w="2534" w:type="dxa"/>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3</w:t>
            </w:r>
            <w:r w:rsidRPr="00A67C76">
              <w:rPr>
                <w:sz w:val="20"/>
                <w:vertAlign w:val="superscript"/>
                <w:lang w:eastAsia="en-AU"/>
              </w:rPr>
              <w:t>rd</w:t>
            </w:r>
            <w:r w:rsidRPr="00A67C76">
              <w:rPr>
                <w:sz w:val="20"/>
                <w:lang w:eastAsia="en-AU"/>
              </w:rPr>
              <w:t xml:space="preserve"> week in January</w:t>
            </w:r>
          </w:p>
        </w:tc>
        <w:tc>
          <w:tcPr>
            <w:tcW w:w="3434" w:type="dxa"/>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 xml:space="preserve">2005-06, 2010-11 and </w:t>
            </w:r>
            <w:r w:rsidR="00FD328A">
              <w:rPr>
                <w:sz w:val="20"/>
                <w:lang w:eastAsia="en-AU"/>
              </w:rPr>
              <w:t>2012-</w:t>
            </w:r>
            <w:r w:rsidR="00333041" w:rsidRPr="00A67C76">
              <w:rPr>
                <w:sz w:val="20"/>
                <w:lang w:eastAsia="en-AU"/>
              </w:rPr>
              <w:t>13</w:t>
            </w:r>
          </w:p>
        </w:tc>
      </w:tr>
      <w:tr w:rsidR="009C5F10" w:rsidRPr="00A67C76" w:rsidTr="00AB254A">
        <w:trPr>
          <w:trHeight w:val="340"/>
          <w:jc w:val="center"/>
        </w:trPr>
        <w:tc>
          <w:tcPr>
            <w:tcW w:w="1370" w:type="dxa"/>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9</w:t>
            </w:r>
          </w:p>
        </w:tc>
        <w:tc>
          <w:tcPr>
            <w:tcW w:w="2534" w:type="dxa"/>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1</w:t>
            </w:r>
            <w:r w:rsidRPr="00A67C76">
              <w:rPr>
                <w:sz w:val="20"/>
                <w:vertAlign w:val="superscript"/>
                <w:lang w:eastAsia="en-AU"/>
              </w:rPr>
              <w:t>st</w:t>
            </w:r>
            <w:r w:rsidRPr="00A67C76">
              <w:rPr>
                <w:sz w:val="20"/>
                <w:lang w:eastAsia="en-AU"/>
              </w:rPr>
              <w:t xml:space="preserve"> week in February</w:t>
            </w:r>
          </w:p>
        </w:tc>
        <w:tc>
          <w:tcPr>
            <w:tcW w:w="3434" w:type="dxa"/>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 xml:space="preserve">2011-12 and </w:t>
            </w:r>
            <w:r w:rsidR="00FD328A">
              <w:rPr>
                <w:sz w:val="20"/>
                <w:lang w:eastAsia="en-AU"/>
              </w:rPr>
              <w:t>2012-</w:t>
            </w:r>
            <w:r w:rsidR="00333041" w:rsidRPr="00A67C76">
              <w:rPr>
                <w:sz w:val="20"/>
                <w:lang w:eastAsia="en-AU"/>
              </w:rPr>
              <w:t>13</w:t>
            </w:r>
          </w:p>
        </w:tc>
      </w:tr>
      <w:tr w:rsidR="009C5F10" w:rsidRPr="00A67C76" w:rsidTr="00AB254A">
        <w:trPr>
          <w:trHeight w:val="340"/>
          <w:jc w:val="center"/>
        </w:trPr>
        <w:tc>
          <w:tcPr>
            <w:tcW w:w="1370" w:type="dxa"/>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10</w:t>
            </w:r>
          </w:p>
        </w:tc>
        <w:tc>
          <w:tcPr>
            <w:tcW w:w="2534" w:type="dxa"/>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3</w:t>
            </w:r>
            <w:r w:rsidRPr="00A67C76">
              <w:rPr>
                <w:sz w:val="20"/>
                <w:vertAlign w:val="superscript"/>
                <w:lang w:eastAsia="en-AU"/>
              </w:rPr>
              <w:t>rd</w:t>
            </w:r>
            <w:r w:rsidRPr="00A67C76">
              <w:rPr>
                <w:sz w:val="20"/>
                <w:lang w:eastAsia="en-AU"/>
              </w:rPr>
              <w:t xml:space="preserve"> week in February</w:t>
            </w:r>
          </w:p>
        </w:tc>
        <w:tc>
          <w:tcPr>
            <w:tcW w:w="3434" w:type="dxa"/>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 xml:space="preserve">2011-12 and </w:t>
            </w:r>
            <w:r w:rsidR="00FD328A">
              <w:rPr>
                <w:sz w:val="20"/>
                <w:lang w:eastAsia="en-AU"/>
              </w:rPr>
              <w:t>2012-</w:t>
            </w:r>
            <w:r w:rsidR="00333041" w:rsidRPr="00A67C76">
              <w:rPr>
                <w:sz w:val="20"/>
                <w:lang w:eastAsia="en-AU"/>
              </w:rPr>
              <w:t>13</w:t>
            </w:r>
          </w:p>
        </w:tc>
      </w:tr>
      <w:tr w:rsidR="009C5F10" w:rsidRPr="00A67C76" w:rsidTr="00AB254A">
        <w:trPr>
          <w:trHeight w:val="340"/>
          <w:jc w:val="center"/>
        </w:trPr>
        <w:tc>
          <w:tcPr>
            <w:tcW w:w="1370" w:type="dxa"/>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11</w:t>
            </w:r>
          </w:p>
        </w:tc>
        <w:tc>
          <w:tcPr>
            <w:tcW w:w="2534" w:type="dxa"/>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1</w:t>
            </w:r>
            <w:r w:rsidRPr="00A67C76">
              <w:rPr>
                <w:sz w:val="20"/>
                <w:vertAlign w:val="superscript"/>
                <w:lang w:eastAsia="en-AU"/>
              </w:rPr>
              <w:t>st</w:t>
            </w:r>
            <w:r w:rsidRPr="00A67C76">
              <w:rPr>
                <w:sz w:val="20"/>
                <w:lang w:eastAsia="en-AU"/>
              </w:rPr>
              <w:t xml:space="preserve"> week March</w:t>
            </w:r>
          </w:p>
        </w:tc>
        <w:tc>
          <w:tcPr>
            <w:tcW w:w="3434" w:type="dxa"/>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 xml:space="preserve">2011-12 and </w:t>
            </w:r>
            <w:r w:rsidR="00FD328A">
              <w:rPr>
                <w:sz w:val="20"/>
                <w:lang w:eastAsia="en-AU"/>
              </w:rPr>
              <w:t>2012-</w:t>
            </w:r>
            <w:r w:rsidR="00333041" w:rsidRPr="00A67C76">
              <w:rPr>
                <w:sz w:val="20"/>
                <w:lang w:eastAsia="en-AU"/>
              </w:rPr>
              <w:t>13</w:t>
            </w:r>
          </w:p>
        </w:tc>
      </w:tr>
      <w:tr w:rsidR="009C5F10" w:rsidRPr="00A67C76" w:rsidTr="00AB254A">
        <w:trPr>
          <w:trHeight w:val="340"/>
          <w:jc w:val="center"/>
        </w:trPr>
        <w:tc>
          <w:tcPr>
            <w:tcW w:w="1370" w:type="dxa"/>
            <w:tcBorders>
              <w:bottom w:val="single" w:sz="4" w:space="0" w:color="auto"/>
            </w:tcBorders>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12</w:t>
            </w:r>
          </w:p>
        </w:tc>
        <w:tc>
          <w:tcPr>
            <w:tcW w:w="2534" w:type="dxa"/>
            <w:tcBorders>
              <w:bottom w:val="single" w:sz="4" w:space="0" w:color="auto"/>
            </w:tcBorders>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3</w:t>
            </w:r>
            <w:r w:rsidRPr="00A67C76">
              <w:rPr>
                <w:sz w:val="20"/>
                <w:vertAlign w:val="superscript"/>
                <w:lang w:eastAsia="en-AU"/>
              </w:rPr>
              <w:t>rd</w:t>
            </w:r>
            <w:r w:rsidRPr="00A67C76">
              <w:rPr>
                <w:sz w:val="20"/>
                <w:lang w:eastAsia="en-AU"/>
              </w:rPr>
              <w:t xml:space="preserve"> week in March</w:t>
            </w:r>
          </w:p>
        </w:tc>
        <w:tc>
          <w:tcPr>
            <w:tcW w:w="3434" w:type="dxa"/>
            <w:tcBorders>
              <w:bottom w:val="single" w:sz="4" w:space="0" w:color="auto"/>
            </w:tcBorders>
            <w:vAlign w:val="bottom"/>
          </w:tcPr>
          <w:p w:rsidR="009C5F10" w:rsidRPr="00A67C76" w:rsidRDefault="009C5F10" w:rsidP="005178B0">
            <w:pPr>
              <w:spacing w:after="0"/>
              <w:ind w:firstLine="17"/>
              <w:contextualSpacing/>
              <w:jc w:val="center"/>
              <w:rPr>
                <w:sz w:val="20"/>
                <w:lang w:eastAsia="en-AU"/>
              </w:rPr>
            </w:pPr>
            <w:r w:rsidRPr="00A67C76">
              <w:rPr>
                <w:sz w:val="20"/>
                <w:lang w:eastAsia="en-AU"/>
              </w:rPr>
              <w:t>2011-12</w:t>
            </w:r>
          </w:p>
        </w:tc>
      </w:tr>
    </w:tbl>
    <w:p w:rsidR="009C5F10" w:rsidRPr="00A67C76" w:rsidRDefault="009C5F10" w:rsidP="009C5F10">
      <w:r w:rsidRPr="00A67C76">
        <w:rPr>
          <w:bCs/>
        </w:rPr>
        <w:t>As part of this task</w:t>
      </w:r>
      <w:r w:rsidR="00396DC2" w:rsidRPr="00A67C76">
        <w:rPr>
          <w:bCs/>
        </w:rPr>
        <w:t>,</w:t>
      </w:r>
      <w:r w:rsidRPr="00A67C76">
        <w:rPr>
          <w:bCs/>
        </w:rPr>
        <w:t xml:space="preserve"> zooplankton assemblage was also sampled. </w:t>
      </w:r>
      <w:r w:rsidRPr="00A67C76">
        <w:t xml:space="preserve">Water samples using a Haney trap (volume = 4.5 litre) were collected to assess zooplankton abundance and community structure in the water column. Two Haney trap samples comprising a total of 9 litres were sieved through 32 µm mesh and the filtrate was preserved in 70% ethanol </w:t>
      </w:r>
      <w:r w:rsidRPr="00A67C76">
        <w:rPr>
          <w:i/>
        </w:rPr>
        <w:t>in situ</w:t>
      </w:r>
      <w:r w:rsidRPr="00A67C76">
        <w:t xml:space="preserve"> to compose each sample. Three replicate samples were collected during the day and night of the same day; resulting in three day and three night samples for each site during each trip (for details see Ye </w:t>
      </w:r>
      <w:r w:rsidRPr="00A67C76">
        <w:rPr>
          <w:i/>
        </w:rPr>
        <w:t>et al</w:t>
      </w:r>
      <w:r w:rsidRPr="00A67C76">
        <w:t>. 2013</w:t>
      </w:r>
      <w:r w:rsidR="00770D82" w:rsidRPr="00A67C76">
        <w:t>b</w:t>
      </w:r>
      <w:r w:rsidRPr="00A67C76">
        <w:t>). Species were identified using keys in Shiel (19</w:t>
      </w:r>
      <w:r w:rsidR="00E75DC1" w:rsidRPr="00A67C76">
        <w:t>8</w:t>
      </w:r>
      <w:r w:rsidRPr="00A67C76">
        <w:t xml:space="preserve">5) and references therein. The total count of </w:t>
      </w:r>
      <w:r w:rsidR="00671237">
        <w:t>zoo</w:t>
      </w:r>
      <w:r w:rsidRPr="00A67C76">
        <w:t xml:space="preserve">plankters in 1 ml was multiplied by the number of millilitres in the original sample volume to provide an estimate of the density in the 4.5 litre trap volume. The accuracy of the method had previously been established to be ±2% by taking triplicate aliquots and calculating standard deviation and standard error. </w:t>
      </w:r>
    </w:p>
    <w:p w:rsidR="009C5F10" w:rsidRDefault="009C5F10" w:rsidP="009C5F10">
      <w:r w:rsidRPr="00A67C76">
        <w:t>For nutritional value of the zooplankton community, samples were collected by pumping subsurface water through three consecutive sieves of decreasing size (i.e. 1000</w:t>
      </w:r>
      <w:r w:rsidR="00110CB9" w:rsidRPr="00A67C76">
        <w:t xml:space="preserve"> </w:t>
      </w:r>
      <w:r w:rsidRPr="00A67C76">
        <w:t>µm, 500</w:t>
      </w:r>
      <w:r w:rsidR="00110CB9" w:rsidRPr="00A67C76">
        <w:t xml:space="preserve"> </w:t>
      </w:r>
      <w:r w:rsidRPr="00A67C76">
        <w:t>µm and 100</w:t>
      </w:r>
      <w:r w:rsidR="00110CB9" w:rsidRPr="00A67C76">
        <w:t xml:space="preserve"> </w:t>
      </w:r>
      <w:r w:rsidRPr="00A67C76">
        <w:t>µm) for one hour with a direct line electric pump (~1100 L/hour) while larval plankton tows were carried out. One day and one night sample were collected at each site in all trips of 2012 except the first (n</w:t>
      </w:r>
      <w:r w:rsidR="000570C4" w:rsidRPr="00A67C76">
        <w:t xml:space="preserve"> </w:t>
      </w:r>
      <w:r w:rsidRPr="00A67C76">
        <w:t>=</w:t>
      </w:r>
      <w:r w:rsidR="000570C4" w:rsidRPr="00A67C76">
        <w:t xml:space="preserve"> </w:t>
      </w:r>
      <w:r w:rsidRPr="00A67C76">
        <w:t xml:space="preserve">9). The filtrate obtained in 100 µm mesh sieves was washed and preserved on ice. As soon as practically possible, samples were frozen and returned to the lab where they were freeze-dried and biochemically analysed (for details see Ye </w:t>
      </w:r>
      <w:r w:rsidRPr="00A67C76">
        <w:rPr>
          <w:i/>
        </w:rPr>
        <w:t>et al</w:t>
      </w:r>
      <w:r w:rsidRPr="00A67C76">
        <w:t>. 2013</w:t>
      </w:r>
      <w:r w:rsidR="00770D82" w:rsidRPr="00A67C76">
        <w:t>b</w:t>
      </w:r>
      <w:r w:rsidRPr="00A67C76">
        <w:t>). Percentages of fatty acids that have been shown to be important in larval fish development were of particular interest (e.g. EPA, DHA, ARA, LIN and ALA).</w:t>
      </w:r>
    </w:p>
    <w:p w:rsidR="000B7E74" w:rsidRPr="000B7E74" w:rsidRDefault="000B7E74" w:rsidP="009C5F10">
      <w:bookmarkStart w:id="69" w:name="_Toc243986929"/>
      <w:r w:rsidRPr="000B7E74">
        <w:rPr>
          <w:bCs/>
        </w:rPr>
        <w:t xml:space="preserve">Larval fish abundances will be expressed as number of individuals per cubic meter of water filtered. To model relationships between </w:t>
      </w:r>
      <w:r w:rsidR="009243FC">
        <w:rPr>
          <w:bCs/>
        </w:rPr>
        <w:t xml:space="preserve">larval fish </w:t>
      </w:r>
      <w:r w:rsidRPr="000B7E74">
        <w:rPr>
          <w:bCs/>
        </w:rPr>
        <w:t>abundance</w:t>
      </w:r>
      <w:r w:rsidR="009243FC">
        <w:rPr>
          <w:bCs/>
        </w:rPr>
        <w:t xml:space="preserve"> as well as zooplankton abundance</w:t>
      </w:r>
      <w:r w:rsidRPr="000B7E74">
        <w:rPr>
          <w:bCs/>
        </w:rPr>
        <w:t xml:space="preserve"> </w:t>
      </w:r>
      <w:r w:rsidR="009243FC">
        <w:rPr>
          <w:bCs/>
        </w:rPr>
        <w:t>with</w:t>
      </w:r>
      <w:r w:rsidRPr="000B7E74">
        <w:rPr>
          <w:bCs/>
        </w:rPr>
        <w:t xml:space="preserve"> one or more WQ predictor variables, as described by the Bray-Curtis resemblance matrix, we will use the DistLM (distance-based linear models) routine and the model-building criteria of forward R</w:t>
      </w:r>
      <w:r w:rsidRPr="000B7E74">
        <w:rPr>
          <w:bCs/>
          <w:vertAlign w:val="superscript"/>
        </w:rPr>
        <w:t>2</w:t>
      </w:r>
      <w:r w:rsidRPr="000B7E74">
        <w:rPr>
          <w:bCs/>
        </w:rPr>
        <w:t>. Ordination of fitted values for the DistLM will be achieved through distance-based redundancy analysis (dbRDA), with vector overlays to show individual WQ parameters that were important in driving variation along dbRDA axes.</w:t>
      </w:r>
      <w:bookmarkEnd w:id="69"/>
    </w:p>
    <w:p w:rsidR="00AB254A" w:rsidRPr="00A67C76" w:rsidRDefault="009C5F10" w:rsidP="00C12CB4">
      <w:pPr>
        <w:rPr>
          <w:b/>
        </w:rPr>
      </w:pPr>
      <w:r w:rsidRPr="00A67C76">
        <w:rPr>
          <w:b/>
        </w:rPr>
        <w:t>Food resources for larval fish</w:t>
      </w:r>
    </w:p>
    <w:p w:rsidR="009C5F10" w:rsidRPr="00A67C76" w:rsidRDefault="009C5F10" w:rsidP="009C5F10">
      <w:r w:rsidRPr="00A67C76">
        <w:t xml:space="preserve">Water samples were collected for DNA analyses of the microorganism community composition from mid-river, the river edge and macrophyte beds. Water samples were also collected mid-river for phytoplankton enumeration. Zooplankton samples were collected from the open water using a </w:t>
      </w:r>
      <w:r w:rsidR="005B16FD" w:rsidRPr="00A67C76">
        <w:t>Haney</w:t>
      </w:r>
      <w:r w:rsidR="00A27B4E" w:rsidRPr="00A67C76">
        <w:t xml:space="preserve"> t</w:t>
      </w:r>
      <w:r w:rsidRPr="00A67C76">
        <w:t xml:space="preserve">rap that captured larger micro-organisms occurring in lower densities (see </w:t>
      </w:r>
      <w:r w:rsidR="00A27B4E" w:rsidRPr="00A67C76">
        <w:t>previous</w:t>
      </w:r>
      <w:r w:rsidRPr="00A67C76">
        <w:t xml:space="preserve"> section)</w:t>
      </w:r>
      <w:r w:rsidR="00EA1A8B" w:rsidRPr="00A67C76">
        <w:t>.</w:t>
      </w:r>
      <w:r w:rsidRPr="00A67C76">
        <w:t xml:space="preserve"> Zooplankton collections were sub-sampled for molecular analyses and microscopic enumeration (for details see Ye </w:t>
      </w:r>
      <w:r w:rsidRPr="00A67C76">
        <w:rPr>
          <w:i/>
        </w:rPr>
        <w:t>et al</w:t>
      </w:r>
      <w:r w:rsidRPr="00A67C76">
        <w:t>. 2013</w:t>
      </w:r>
      <w:r w:rsidR="00770D82" w:rsidRPr="00A67C76">
        <w:t>b</w:t>
      </w:r>
      <w:r w:rsidRPr="00A67C76">
        <w:t>). Larval fish were collected as described in the previous section.</w:t>
      </w:r>
    </w:p>
    <w:p w:rsidR="009C5F10" w:rsidRPr="00A67C76" w:rsidRDefault="009C5F10" w:rsidP="009C5F10">
      <w:r w:rsidRPr="00A67C76">
        <w:t xml:space="preserve">DNA was extracted from both the water samples and the zooplankton samples and a fragment of the 18S rRNA gene that is highly conserved in eukaryotes was amplified using the Polymerase Chain Reaction (PCR) and sequenced by 454 pyrosequencing (Bradford </w:t>
      </w:r>
      <w:r w:rsidRPr="00A67C76">
        <w:rPr>
          <w:i/>
        </w:rPr>
        <w:t>et al.</w:t>
      </w:r>
      <w:r w:rsidRPr="00A67C76">
        <w:t xml:space="preserve"> 2013). Larval fish were washed in distilled water and the alimentary tract r</w:t>
      </w:r>
      <w:r w:rsidR="004E7C07">
        <w:t>f</w:t>
      </w:r>
      <w:r w:rsidRPr="00A67C76">
        <w:t xml:space="preserve">emoved. DNA was extracted from each individual fish gut and treated in the same way as the water and zooplankton DNA samples except that peptide nucleic acid probes were added to block the amplification of fish tissue during the PCR step. </w:t>
      </w:r>
    </w:p>
    <w:p w:rsidR="009C5F10" w:rsidRPr="00A67C76" w:rsidRDefault="009C5F10" w:rsidP="009C5F10">
      <w:r w:rsidRPr="00A67C76">
        <w:t xml:space="preserve">Unique DNA sequences representing Operational Taxonomic Units (OTUs) were identified from the water, zooplankton and fish gut samples (Bradford </w:t>
      </w:r>
      <w:r w:rsidRPr="00A67C76">
        <w:rPr>
          <w:i/>
        </w:rPr>
        <w:t>et al</w:t>
      </w:r>
      <w:r w:rsidRPr="00A67C76">
        <w:t>. 2013). Taxonomic identification of OTUs was made by matching the sequence reads to a curated reference sequence data</w:t>
      </w:r>
      <w:r w:rsidR="00E75DC1" w:rsidRPr="00A67C76">
        <w:t>base (SILVA 18SrRNA database; Qu</w:t>
      </w:r>
      <w:r w:rsidRPr="00A67C76">
        <w:t xml:space="preserve">ast </w:t>
      </w:r>
      <w:r w:rsidRPr="00A67C76">
        <w:rPr>
          <w:i/>
        </w:rPr>
        <w:t>et al</w:t>
      </w:r>
      <w:r w:rsidRPr="00A67C76">
        <w:t xml:space="preserve">. 2012). </w:t>
      </w:r>
    </w:p>
    <w:p w:rsidR="009C5F10" w:rsidRPr="00A67C76" w:rsidRDefault="009C5F10" w:rsidP="009C5F10">
      <w:r w:rsidRPr="00A67C76">
        <w:t xml:space="preserve">Non-metric, multivariate statistical analyses (PRIMER v6; Clarke and Gorley 2006), were used to test for significant differences in microeukaryote community composition between sites, trips, sampling locations, and diets of fish species. In general molecular sequence information was analysed as presence/absence data as the number of sequence reads is not considered a reliable measure of the numbers or biomass of organisms (Bradford </w:t>
      </w:r>
      <w:r w:rsidRPr="00A67C76">
        <w:rPr>
          <w:i/>
        </w:rPr>
        <w:t>et al</w:t>
      </w:r>
      <w:r w:rsidRPr="00A67C76">
        <w:t>. 2013).</w:t>
      </w:r>
    </w:p>
    <w:p w:rsidR="00D16236" w:rsidRPr="00A67C76" w:rsidRDefault="00871864" w:rsidP="00C12CB4">
      <w:pPr>
        <w:rPr>
          <w:b/>
        </w:rPr>
      </w:pPr>
      <w:r w:rsidRPr="00A67C76">
        <w:rPr>
          <w:b/>
        </w:rPr>
        <w:t>Dissolved and particulate material</w:t>
      </w:r>
      <w:r w:rsidR="00D16236" w:rsidRPr="00A67C76">
        <w:rPr>
          <w:b/>
        </w:rPr>
        <w:t xml:space="preserve"> transport</w:t>
      </w:r>
    </w:p>
    <w:p w:rsidR="00871864" w:rsidRPr="00A67C76" w:rsidRDefault="00871864" w:rsidP="00871864">
      <w:r w:rsidRPr="00A67C76">
        <w:t>Water quality was monitored between October 2012 and April 2013 and supplemented with additional data sources (</w:t>
      </w:r>
      <w:r w:rsidR="002E6077" w:rsidRPr="00A67C76">
        <w:fldChar w:fldCharType="begin"/>
      </w:r>
      <w:r w:rsidR="009E401F" w:rsidRPr="00A67C76">
        <w:instrText xml:space="preserve"> REF _Ref387840970 \h </w:instrText>
      </w:r>
      <w:r w:rsidR="002E6077" w:rsidRPr="00A67C76">
        <w:fldChar w:fldCharType="separate"/>
      </w:r>
      <w:r w:rsidR="009659F2" w:rsidRPr="00A67C76">
        <w:t xml:space="preserve">Appendix </w:t>
      </w:r>
      <w:r w:rsidR="009659F2">
        <w:rPr>
          <w:noProof/>
        </w:rPr>
        <w:t>I</w:t>
      </w:r>
      <w:r w:rsidR="002E6077" w:rsidRPr="00A67C76">
        <w:fldChar w:fldCharType="end"/>
      </w:r>
      <w:r w:rsidRPr="00A67C76">
        <w:t xml:space="preserve">). At each sampling site, measurements of water temperature, electrical conductivity, dissolved </w:t>
      </w:r>
      <w:proofErr w:type="gramStart"/>
      <w:r w:rsidRPr="00A67C76">
        <w:t>oxygen,</w:t>
      </w:r>
      <w:proofErr w:type="gramEnd"/>
      <w:r w:rsidRPr="00A67C76">
        <w:t xml:space="preserve"> pH and turbidity were taken at 0.5 m intervals through the water column. In addition, integrated-depth water samples were collected and sent to the Australian Water Quality Centre, an accredited laboratory of the National Association of Testing Authorities. Samples were analysed for filterable reactive phosphorus (herein phosphate), total phosphorus, nitrate, ammonium, total Kjeldahl nitrogen</w:t>
      </w:r>
      <w:r w:rsidR="001F08E6">
        <w:t xml:space="preserve"> (the sum of organic nitrogen and NH4)</w:t>
      </w:r>
      <w:r w:rsidRPr="00A67C76">
        <w:t xml:space="preserve">, dissolved silica, total suspended solids, suspended organic matter and chlorophyll </w:t>
      </w:r>
      <w:r w:rsidRPr="00A67C76">
        <w:rPr>
          <w:i/>
        </w:rPr>
        <w:t>a</w:t>
      </w:r>
      <w:r w:rsidRPr="00A67C76">
        <w:t xml:space="preserve"> using standard techniques. Total nitrogen was calculated as the sum of total Kjeldahl nitrogen and nitrate. Organic nitrogen was calculated as the difference between total Kjeldahl nitrogen and ammonium.</w:t>
      </w:r>
    </w:p>
    <w:p w:rsidR="00871864" w:rsidRPr="00A67C76" w:rsidRDefault="00871864" w:rsidP="00871864">
      <w:r w:rsidRPr="00A67C76">
        <w:t xml:space="preserve">The physico-chemical information was used to validate a three-dimensional hydrodynamic-biogeochemical model, ELCOM-CAEDYM, which has been used extensively within the region </w:t>
      </w:r>
      <w:r w:rsidRPr="00A67C76">
        <w:rPr>
          <w:noProof/>
        </w:rPr>
        <w:t xml:space="preserve">(e.g. Aldridge </w:t>
      </w:r>
      <w:r w:rsidRPr="00A67C76">
        <w:rPr>
          <w:i/>
          <w:noProof/>
        </w:rPr>
        <w:t>et al</w:t>
      </w:r>
      <w:r w:rsidRPr="00A67C76">
        <w:rPr>
          <w:noProof/>
        </w:rPr>
        <w:t>. 2013)</w:t>
      </w:r>
      <w:r w:rsidRPr="00A67C76">
        <w:t xml:space="preserve">. The model was initialised with data from a range of data sources, including Lock 1 inflows with the different combinations of environmental water </w:t>
      </w:r>
      <w:r w:rsidR="00E016EE" w:rsidRPr="00A67C76">
        <w:t>use</w:t>
      </w:r>
      <w:r w:rsidR="008A1B51" w:rsidRPr="00A67C76">
        <w:t xml:space="preserve"> </w:t>
      </w:r>
      <w:r w:rsidRPr="00A67C76">
        <w:t xml:space="preserve">(provided by the MDBA). The flow data are treated as indicative only due to complexities around interstate water accounting. Assumptions such as these, result in uncertainty in the model outputs </w:t>
      </w:r>
      <w:r w:rsidRPr="00A67C76">
        <w:rPr>
          <w:noProof/>
        </w:rPr>
        <w:t>(refer to Aldridge</w:t>
      </w:r>
      <w:r w:rsidRPr="00A67C76">
        <w:rPr>
          <w:i/>
          <w:noProof/>
        </w:rPr>
        <w:t xml:space="preserve"> et al.</w:t>
      </w:r>
      <w:r w:rsidRPr="00A67C76">
        <w:rPr>
          <w:noProof/>
        </w:rPr>
        <w:t xml:space="preserve"> 2013 for more detail)</w:t>
      </w:r>
      <w:r w:rsidRPr="00A67C76">
        <w:t xml:space="preserve"> and so outputs are not be treated as absolute values. When assessing the relative differences between scenarios, the uncertainties are considered to influence the accuracy of each scenario equally and so the model outputs are used to assess the general response to environmental </w:t>
      </w:r>
      <w:r w:rsidR="00AE7311" w:rsidRPr="00A67C76">
        <w:t>watering</w:t>
      </w:r>
      <w:r w:rsidRPr="00A67C76">
        <w:t xml:space="preserve">. For detailed information on the modelling approach, assumptions and validation, refer to Aldridge </w:t>
      </w:r>
      <w:r w:rsidRPr="00A67C76">
        <w:rPr>
          <w:i/>
        </w:rPr>
        <w:t>et al.</w:t>
      </w:r>
      <w:r w:rsidRPr="00A67C76">
        <w:t xml:space="preserve"> </w:t>
      </w:r>
      <w:r w:rsidRPr="00A67C76">
        <w:rPr>
          <w:noProof/>
        </w:rPr>
        <w:t>(2013)</w:t>
      </w:r>
      <w:r w:rsidRPr="00A67C76">
        <w:t xml:space="preserve"> and Hipsey and Busch (2012).</w:t>
      </w:r>
    </w:p>
    <w:p w:rsidR="00871864" w:rsidRPr="00A67C76" w:rsidRDefault="00871864" w:rsidP="00871864">
      <w:r w:rsidRPr="00A67C76">
        <w:t>For this study, four simulations were run and compared for 1</w:t>
      </w:r>
      <w:r w:rsidR="001676A9">
        <w:t xml:space="preserve"> </w:t>
      </w:r>
      <w:r w:rsidRPr="00A67C76">
        <w:t>October 2012 to 30 June 2013:</w:t>
      </w:r>
    </w:p>
    <w:p w:rsidR="00871864" w:rsidRPr="00A67C76" w:rsidRDefault="00067352" w:rsidP="00807938">
      <w:pPr>
        <w:pStyle w:val="ListParagraph"/>
        <w:numPr>
          <w:ilvl w:val="0"/>
          <w:numId w:val="21"/>
        </w:numPr>
      </w:pPr>
      <w:r w:rsidRPr="00A67C76">
        <w:t>w</w:t>
      </w:r>
      <w:r w:rsidR="00871864" w:rsidRPr="00A67C76">
        <w:t xml:space="preserve">ith both </w:t>
      </w:r>
      <w:r w:rsidR="001676A9">
        <w:t>C</w:t>
      </w:r>
      <w:r w:rsidR="00871864" w:rsidRPr="00A67C76">
        <w:t xml:space="preserve">ommonwealth environmental water and The Living Murray water; </w:t>
      </w:r>
    </w:p>
    <w:p w:rsidR="00871864" w:rsidRPr="00A67C76" w:rsidRDefault="00067352" w:rsidP="00807938">
      <w:pPr>
        <w:pStyle w:val="ListParagraph"/>
        <w:numPr>
          <w:ilvl w:val="0"/>
          <w:numId w:val="21"/>
        </w:numPr>
      </w:pPr>
      <w:r w:rsidRPr="00A67C76">
        <w:t>w</w:t>
      </w:r>
      <w:r w:rsidR="00871864" w:rsidRPr="00A67C76">
        <w:t xml:space="preserve">ith </w:t>
      </w:r>
      <w:r w:rsidR="001676A9">
        <w:t>C</w:t>
      </w:r>
      <w:r w:rsidR="00871864" w:rsidRPr="00A67C76">
        <w:t xml:space="preserve">ommonwealth environmental water, but without The Living Murray water; </w:t>
      </w:r>
    </w:p>
    <w:p w:rsidR="00871864" w:rsidRPr="00A67C76" w:rsidRDefault="00067352" w:rsidP="00807938">
      <w:pPr>
        <w:pStyle w:val="ListParagraph"/>
        <w:numPr>
          <w:ilvl w:val="0"/>
          <w:numId w:val="21"/>
        </w:numPr>
      </w:pPr>
      <w:r w:rsidRPr="00A67C76">
        <w:t>w</w:t>
      </w:r>
      <w:r w:rsidR="00871864" w:rsidRPr="00A67C76">
        <w:t xml:space="preserve">ithout </w:t>
      </w:r>
      <w:r w:rsidR="001676A9">
        <w:t>C</w:t>
      </w:r>
      <w:r w:rsidR="00871864" w:rsidRPr="00A67C76">
        <w:t>ommonwealth environmental water, but with The Living Murray water</w:t>
      </w:r>
      <w:r w:rsidR="00C50CBA" w:rsidRPr="00A67C76">
        <w:t>;</w:t>
      </w:r>
    </w:p>
    <w:p w:rsidR="00871864" w:rsidRPr="00A67C76" w:rsidRDefault="00067352" w:rsidP="00807938">
      <w:pPr>
        <w:pStyle w:val="ListParagraph"/>
        <w:numPr>
          <w:ilvl w:val="0"/>
          <w:numId w:val="21"/>
        </w:numPr>
      </w:pPr>
      <w:proofErr w:type="gramStart"/>
      <w:r w:rsidRPr="00A67C76">
        <w:t>w</w:t>
      </w:r>
      <w:r w:rsidR="00871864" w:rsidRPr="00A67C76">
        <w:t>ithout</w:t>
      </w:r>
      <w:proofErr w:type="gramEnd"/>
      <w:r w:rsidR="00871864" w:rsidRPr="00A67C76">
        <w:t xml:space="preserve"> both </w:t>
      </w:r>
      <w:r w:rsidR="001676A9">
        <w:t>C</w:t>
      </w:r>
      <w:r w:rsidR="00871864" w:rsidRPr="00A67C76">
        <w:t>ommonwealth environmental wa</w:t>
      </w:r>
      <w:r w:rsidR="003414CC">
        <w:t>ter and The Living Murray water</w:t>
      </w:r>
      <w:r w:rsidR="00871864" w:rsidRPr="00A67C76">
        <w:t xml:space="preserve">. </w:t>
      </w:r>
    </w:p>
    <w:p w:rsidR="00871864" w:rsidRPr="00A67C76" w:rsidRDefault="00871864" w:rsidP="00871864">
      <w:pPr>
        <w:rPr>
          <w:sz w:val="20"/>
          <w:highlight w:val="yellow"/>
        </w:rPr>
      </w:pPr>
      <w:r w:rsidRPr="00A67C76">
        <w:t>The influence of environmental water</w:t>
      </w:r>
      <w:r w:rsidR="00AE7311" w:rsidRPr="00A67C76">
        <w:t>ing</w:t>
      </w:r>
      <w:r w:rsidRPr="00A67C76">
        <w:t xml:space="preserve"> on the concentrations of material w</w:t>
      </w:r>
      <w:r w:rsidR="00AE7311" w:rsidRPr="00A67C76">
        <w:t>as</w:t>
      </w:r>
      <w:r w:rsidRPr="00A67C76">
        <w:t xml:space="preserve"> assessed through a comparison of modelled concentrations for the Lower Murray River (Wellington), Lower Lakes (Lake Alexandrina Middle) and Murray Mouth. The transport of material was assessed through modelled exports from the Lower Murray River (Wellington), Lower Lakes (Barrages) and Murray Mouth.</w:t>
      </w:r>
    </w:p>
    <w:p w:rsidR="005D1601" w:rsidRPr="00A67C76" w:rsidRDefault="005D1601" w:rsidP="008F0A76">
      <w:pPr>
        <w:pStyle w:val="Heading3"/>
      </w:pPr>
      <w:bookmarkStart w:id="70" w:name="_Toc387843591"/>
      <w:r w:rsidRPr="00A67C76">
        <w:t>Wetlands</w:t>
      </w:r>
      <w:bookmarkEnd w:id="70"/>
    </w:p>
    <w:p w:rsidR="00D16236" w:rsidRPr="00A67C76" w:rsidRDefault="00DB21D5" w:rsidP="00C12CB4">
      <w:pPr>
        <w:rPr>
          <w:b/>
        </w:rPr>
      </w:pPr>
      <w:r w:rsidRPr="00A67C76">
        <w:rPr>
          <w:b/>
        </w:rPr>
        <w:t>Lateral movements of fish</w:t>
      </w:r>
    </w:p>
    <w:p w:rsidR="009617BC" w:rsidRPr="00A67C76" w:rsidRDefault="009617BC" w:rsidP="0089330F">
      <w:pPr>
        <w:rPr>
          <w:i/>
          <w:u w:val="single"/>
        </w:rPr>
      </w:pPr>
      <w:r w:rsidRPr="00A67C76">
        <w:rPr>
          <w:i/>
          <w:u w:val="single"/>
        </w:rPr>
        <w:t>Field sampling</w:t>
      </w:r>
    </w:p>
    <w:p w:rsidR="005178B0" w:rsidRPr="00A67C76" w:rsidRDefault="009617BC" w:rsidP="009617BC">
      <w:r w:rsidRPr="00A67C76">
        <w:t xml:space="preserve">Fish assemblages moving through the river-wetland connection passage of four wetlands were sampled to describe the lateral movements of native and invasive fish before, during and after the delivery of the environmental water in </w:t>
      </w:r>
      <w:r w:rsidR="00333041" w:rsidRPr="00A67C76">
        <w:t>2012</w:t>
      </w:r>
      <w:r w:rsidR="00FD328A" w:rsidRPr="00FD328A">
        <w:t>-13</w:t>
      </w:r>
      <w:r w:rsidRPr="00A67C76">
        <w:t>. Sampling was undertaken during six phases of flow delivery (</w:t>
      </w:r>
      <w:r w:rsidR="002E6077" w:rsidRPr="00A67C76">
        <w:fldChar w:fldCharType="begin"/>
      </w:r>
      <w:r w:rsidRPr="00A67C76">
        <w:instrText xml:space="preserve"> REF _Ref381787269 \h </w:instrText>
      </w:r>
      <w:r w:rsidR="002E6077" w:rsidRPr="00A67C76">
        <w:fldChar w:fldCharType="separate"/>
      </w:r>
      <w:r w:rsidR="009659F2" w:rsidRPr="00A67C76">
        <w:t xml:space="preserve">Figure </w:t>
      </w:r>
      <w:r w:rsidR="009659F2">
        <w:rPr>
          <w:noProof/>
        </w:rPr>
        <w:t>8</w:t>
      </w:r>
      <w:r w:rsidR="002E6077" w:rsidRPr="00A67C76">
        <w:fldChar w:fldCharType="end"/>
      </w:r>
      <w:r w:rsidRPr="00A67C76">
        <w:t xml:space="preserve">) to examine the influence of environmental water </w:t>
      </w:r>
      <w:r w:rsidRPr="00A67C76">
        <w:rPr>
          <w:noProof/>
        </w:rPr>
        <w:t>(EW)</w:t>
      </w:r>
      <w:r w:rsidRPr="00A67C76">
        <w:t xml:space="preserve"> delivery and associated hydrological cues on fish movement to and from wetlands. The six flow phases were: (1) High – unregulated high flows; (2) Receding – regulated recession of flow; (3) Rising </w:t>
      </w:r>
      <w:r w:rsidRPr="00A67C76">
        <w:rPr>
          <w:noProof/>
        </w:rPr>
        <w:t>(EW)</w:t>
      </w:r>
      <w:r w:rsidRPr="00A67C76">
        <w:t xml:space="preserve"> – increasing flow associated with the delivery of the environmental water; (4) High </w:t>
      </w:r>
      <w:r w:rsidRPr="00A67C76">
        <w:rPr>
          <w:noProof/>
        </w:rPr>
        <w:t>(EW)</w:t>
      </w:r>
      <w:r w:rsidRPr="00A67C76">
        <w:t xml:space="preserve"> – stable and relatively high flow associated with the delivery of environmental water; (5) Receding </w:t>
      </w:r>
      <w:r w:rsidRPr="00A67C76">
        <w:rPr>
          <w:noProof/>
        </w:rPr>
        <w:t>(EW)</w:t>
      </w:r>
      <w:r w:rsidRPr="00A67C76">
        <w:t xml:space="preserve"> – recession of flow associated with environmental water delivery; and (6) Low – low regulated flow</w:t>
      </w:r>
      <w:r w:rsidR="002E6680">
        <w:t xml:space="preserve"> (Figure 8)</w:t>
      </w:r>
      <w:r w:rsidRPr="00A67C76">
        <w:t xml:space="preserve">. However, no sampling was done at Martins Bend and North Purnong during the High </w:t>
      </w:r>
      <w:r w:rsidRPr="00A67C76">
        <w:rPr>
          <w:noProof/>
        </w:rPr>
        <w:t>(EW)</w:t>
      </w:r>
      <w:r w:rsidRPr="00A67C76">
        <w:t xml:space="preserve"> and Receding </w:t>
      </w:r>
      <w:r w:rsidRPr="00A67C76">
        <w:rPr>
          <w:noProof/>
        </w:rPr>
        <w:t>(EW)</w:t>
      </w:r>
      <w:r w:rsidRPr="00A67C76">
        <w:t xml:space="preserve"> phases due to time constraints. As such, data for these two wetlands are not included in thi</w:t>
      </w:r>
      <w:r w:rsidR="00E84BC2" w:rsidRPr="00A67C76">
        <w:t>s report</w:t>
      </w:r>
      <w:r w:rsidRPr="00A67C76">
        <w:t>.</w:t>
      </w:r>
    </w:p>
    <w:p w:rsidR="009617BC" w:rsidRPr="00A67C76" w:rsidRDefault="009617BC" w:rsidP="009617BC">
      <w:pPr>
        <w:jc w:val="center"/>
      </w:pPr>
      <w:r w:rsidRPr="00A67C76">
        <w:rPr>
          <w:noProof/>
          <w:lang w:eastAsia="en-AU"/>
        </w:rPr>
        <w:drawing>
          <wp:inline distT="0" distB="0" distL="0" distR="0">
            <wp:extent cx="5655920" cy="3166188"/>
            <wp:effectExtent l="19050" t="0" r="1930" b="0"/>
            <wp:docPr id="58" name="Picture 1" descr="C:\UserData\Documents\AAA Lateral fish movement data\flow to S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Data\Documents\AAA Lateral fish movement data\flow to SA.tif"/>
                    <pic:cNvPicPr>
                      <a:picLocks noChangeAspect="1" noChangeArrowheads="1"/>
                    </pic:cNvPicPr>
                  </pic:nvPicPr>
                  <pic:blipFill>
                    <a:blip r:embed="rId4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6384" cy="3172046"/>
                    </a:xfrm>
                    <a:prstGeom prst="rect">
                      <a:avLst/>
                    </a:prstGeom>
                    <a:noFill/>
                    <a:ln>
                      <a:noFill/>
                    </a:ln>
                  </pic:spPr>
                </pic:pic>
              </a:graphicData>
            </a:graphic>
          </wp:inline>
        </w:drawing>
      </w:r>
    </w:p>
    <w:p w:rsidR="009617BC" w:rsidRPr="00A67C76" w:rsidRDefault="009617BC" w:rsidP="009617BC">
      <w:pPr>
        <w:pStyle w:val="Caption"/>
      </w:pPr>
      <w:bookmarkStart w:id="71" w:name="_Ref381787269"/>
      <w:bookmarkStart w:id="72" w:name="_Toc387843059"/>
      <w:proofErr w:type="gramStart"/>
      <w:r w:rsidRPr="00A67C76">
        <w:t xml:space="preserve">Figure </w:t>
      </w:r>
      <w:proofErr w:type="gramEnd"/>
      <w:r w:rsidR="002E6077" w:rsidRPr="00A67C76">
        <w:fldChar w:fldCharType="begin"/>
      </w:r>
      <w:r w:rsidRPr="00A67C76">
        <w:instrText xml:space="preserve"> SEQ Figure \* ARABIC </w:instrText>
      </w:r>
      <w:r w:rsidR="002E6077" w:rsidRPr="00A67C76">
        <w:fldChar w:fldCharType="separate"/>
      </w:r>
      <w:r w:rsidR="009659F2">
        <w:rPr>
          <w:noProof/>
        </w:rPr>
        <w:t>8</w:t>
      </w:r>
      <w:r w:rsidR="002E6077" w:rsidRPr="00A67C76">
        <w:fldChar w:fldCharType="end"/>
      </w:r>
      <w:bookmarkEnd w:id="71"/>
      <w:proofErr w:type="gramStart"/>
      <w:r w:rsidRPr="00A67C76">
        <w:t>.</w:t>
      </w:r>
      <w:proofErr w:type="gramEnd"/>
      <w:r w:rsidRPr="00A67C76">
        <w:t xml:space="preserve"> </w:t>
      </w:r>
      <w:proofErr w:type="gramStart"/>
      <w:r w:rsidRPr="00A67C76">
        <w:t>Hydrograph showing the Murray River flow (ML day</w:t>
      </w:r>
      <w:r w:rsidRPr="007A51B4">
        <w:rPr>
          <w:vertAlign w:val="superscript"/>
        </w:rPr>
        <w:t>−1</w:t>
      </w:r>
      <w:r w:rsidRPr="00A67C76">
        <w:t>) across the border to South Australia for the period August 2012 – March 2013.</w:t>
      </w:r>
      <w:proofErr w:type="gramEnd"/>
      <w:r w:rsidRPr="00A67C76">
        <w:t xml:space="preserve"> Red, numbered (1-6) arrows indicate the six phases of flow during which sampling were undertaken.</w:t>
      </w:r>
      <w:bookmarkEnd w:id="72"/>
      <w:r w:rsidRPr="00A67C76">
        <w:t xml:space="preserve"> </w:t>
      </w:r>
    </w:p>
    <w:p w:rsidR="009617BC" w:rsidRPr="00A67C76" w:rsidRDefault="009617BC" w:rsidP="009617BC">
      <w:r w:rsidRPr="00A67C76">
        <w:t xml:space="preserve">On each sampling occasion, a network of fyke nets and drum nets were set in the river-wetland connection passage of each wetland, to catch fish moving bi-directionally between the main river channel and the wetland. All nets were set for 24 hours on three consecutive days (replicates). All fish captured were identified to species level, and counted. Up to 30 individuals of each species were randomly sub-sampled and measured for total length (TL mm) and released well outside of the net fleet in the direction they were originally moving. Each native species was classified to one of five functional groups based on their use of specific habitats and reproductive strategy (see </w:t>
      </w:r>
      <w:r w:rsidRPr="00A67C76">
        <w:rPr>
          <w:noProof/>
        </w:rPr>
        <w:t>Baumgartner</w:t>
      </w:r>
      <w:r w:rsidRPr="00A67C76">
        <w:rPr>
          <w:i/>
          <w:noProof/>
        </w:rPr>
        <w:t xml:space="preserve"> et al.</w:t>
      </w:r>
      <w:r w:rsidR="00794ED6" w:rsidRPr="00A67C76">
        <w:rPr>
          <w:noProof/>
        </w:rPr>
        <w:t xml:space="preserve"> 2013</w:t>
      </w:r>
      <w:r w:rsidRPr="00A67C76">
        <w:t xml:space="preserve">). Each species was categorised as </w:t>
      </w:r>
      <w:proofErr w:type="gramStart"/>
      <w:r w:rsidRPr="00A67C76">
        <w:t>either a</w:t>
      </w:r>
      <w:proofErr w:type="gramEnd"/>
      <w:r w:rsidRPr="00A67C76">
        <w:t xml:space="preserve"> long-lived apex predator, flow-dependent specialist, foraging generalist, floodplain specialist, or diadromous. All invasive species were categorised into a single group.</w:t>
      </w:r>
    </w:p>
    <w:p w:rsidR="009617BC" w:rsidRPr="00A67C76" w:rsidRDefault="009617BC" w:rsidP="009617BC">
      <w:r w:rsidRPr="00A67C76">
        <w:t>On each sampling occasion, measurements of pH, dissolved oxygen, temperature and conductivity were recorded. Data for flow discharge, relative water level (meters AHD, level relative to Australian Height Datum) were obtained for both sites from the DEWNR Surface Water Arch</w:t>
      </w:r>
      <w:r w:rsidR="00EB2976" w:rsidRPr="00A67C76">
        <w:t>ive (www.waterconnect.sa.gov.au</w:t>
      </w:r>
      <w:r w:rsidRPr="00A67C76">
        <w:t xml:space="preserve">). Estimates of the surface area of each wetland were obtained from the </w:t>
      </w:r>
      <w:r w:rsidR="008126DD">
        <w:t xml:space="preserve">Murray </w:t>
      </w:r>
      <w:r w:rsidRPr="00A67C76">
        <w:t>River</w:t>
      </w:r>
      <w:r w:rsidR="00F60B90" w:rsidRPr="00A67C76">
        <w:t xml:space="preserve"> </w:t>
      </w:r>
      <w:r w:rsidRPr="00A67C76">
        <w:t>Floodplain Inundation Model (</w:t>
      </w:r>
      <w:r w:rsidR="002F41A0" w:rsidRPr="00A67C76">
        <w:t>described above</w:t>
      </w:r>
      <w:r w:rsidRPr="00A67C76">
        <w:t>) to estimate changes in wetland size (ar</w:t>
      </w:r>
      <w:r w:rsidR="00EB2976" w:rsidRPr="00A67C76">
        <w:t>ea of inundation) throughout the</w:t>
      </w:r>
      <w:r w:rsidRPr="00A67C76">
        <w:t xml:space="preserve"> study period. </w:t>
      </w:r>
    </w:p>
    <w:p w:rsidR="009617BC" w:rsidRPr="00A67C76" w:rsidRDefault="009617BC" w:rsidP="0089330F">
      <w:pPr>
        <w:rPr>
          <w:i/>
          <w:u w:val="single"/>
        </w:rPr>
      </w:pPr>
      <w:r w:rsidRPr="00A67C76">
        <w:rPr>
          <w:i/>
          <w:u w:val="single"/>
        </w:rPr>
        <w:t>Data analysis</w:t>
      </w:r>
    </w:p>
    <w:p w:rsidR="009617BC" w:rsidRPr="00A67C76" w:rsidRDefault="009617BC" w:rsidP="009617BC">
      <w:r w:rsidRPr="00A67C76">
        <w:t>For data analyses, fish abundance data were standardised for catch-per-unit-effort (CPUE) to provide a relative abundance (no. of fish.hour</w:t>
      </w:r>
      <w:r w:rsidRPr="00A67C76">
        <w:rPr>
          <w:vertAlign w:val="superscript"/>
        </w:rPr>
        <w:t>-1</w:t>
      </w:r>
      <w:r w:rsidRPr="00A67C76">
        <w:t xml:space="preserve">) prior to analyses. Fish assemblage structure was defined by the species composition and the relative abundance of each species within each replicate (day) over each flow phase for each wetland. Complex multivariate statistical analyses were undertaken using the PRIMER v6 package (Clarke and Warwick 2001) to: (1) </w:t>
      </w:r>
      <w:r w:rsidR="002E6680">
        <w:t xml:space="preserve">investigate </w:t>
      </w:r>
      <w:r w:rsidRPr="00A67C76">
        <w:t xml:space="preserve">differences in assemblage structure moving ‘In’ and ‘Out’ of each wetland between and across flow phases; (2) </w:t>
      </w:r>
      <w:r w:rsidR="002E6680">
        <w:t xml:space="preserve">determine </w:t>
      </w:r>
      <w:r w:rsidRPr="00A67C76">
        <w:t xml:space="preserve">the key species that drive the differences between assemblages; and (3) </w:t>
      </w:r>
      <w:r w:rsidR="002E6680">
        <w:t xml:space="preserve">determine </w:t>
      </w:r>
      <w:r w:rsidRPr="00A67C76">
        <w:t xml:space="preserve">whether variation in fish assemblage structure was correlated to changes in hydrology. Detailed statistical analyses are described in </w:t>
      </w:r>
      <w:r w:rsidRPr="00A67C76">
        <w:rPr>
          <w:noProof/>
        </w:rPr>
        <w:t>Earl and Ye (</w:t>
      </w:r>
      <w:r w:rsidR="008F2924">
        <w:rPr>
          <w:noProof/>
        </w:rPr>
        <w:t>In P</w:t>
      </w:r>
      <w:r w:rsidR="00030FC1">
        <w:rPr>
          <w:noProof/>
        </w:rPr>
        <w:t>rep</w:t>
      </w:r>
      <w:r w:rsidRPr="00A67C76">
        <w:rPr>
          <w:noProof/>
        </w:rPr>
        <w:t>)</w:t>
      </w:r>
      <w:r w:rsidRPr="00A67C76">
        <w:t>.</w:t>
      </w:r>
    </w:p>
    <w:p w:rsidR="009617BC" w:rsidRPr="00A67C76" w:rsidRDefault="009617BC" w:rsidP="00B96C04">
      <w:r w:rsidRPr="00A67C76">
        <w:t xml:space="preserve">The size distributions of key species moving into and out of wetlands were compared using a two-sample Kolmogorov-Smirnov test which was done using the IBM SPSS statistics package V.20. Fish length data were pooled </w:t>
      </w:r>
      <w:r w:rsidR="000549C3" w:rsidRPr="00A67C76">
        <w:t>a</w:t>
      </w:r>
      <w:r w:rsidRPr="00A67C76">
        <w:t>cross flow phases for each wetland to ensure sufficient sample sizes</w:t>
      </w:r>
      <w:r w:rsidRPr="00A67C76">
        <w:rPr>
          <w:rFonts w:ascii="AdvP41153C" w:eastAsia="AdvP41153C" w:hAnsiTheme="minorHAnsi" w:cs="AdvP41153C"/>
          <w:sz w:val="20"/>
        </w:rPr>
        <w:t>.</w:t>
      </w:r>
    </w:p>
    <w:p w:rsidR="009617BC" w:rsidRPr="00A67C76" w:rsidRDefault="009617BC" w:rsidP="0089330F">
      <w:pPr>
        <w:rPr>
          <w:i/>
          <w:u w:val="single"/>
        </w:rPr>
      </w:pPr>
      <w:r w:rsidRPr="00A67C76">
        <w:rPr>
          <w:i/>
          <w:u w:val="single"/>
        </w:rPr>
        <w:t xml:space="preserve">Carp reproduction and recruitment </w:t>
      </w:r>
    </w:p>
    <w:p w:rsidR="009617BC" w:rsidRPr="00A67C76" w:rsidRDefault="009617BC" w:rsidP="009617BC">
      <w:r w:rsidRPr="00A67C76">
        <w:t xml:space="preserve">To examine the influence of environmental water delivery on the spawning activity of common carp, all mature females (&gt; 300 mm TL) captured in each region, during each flow phase, were retained for processing in the laboratory.  The ovaries of each fish were removed and classified macroscopically to one of five stages of development based on their appearance, size and colour. The five stages were: (1) immature; (2) developing/resting; (3) developed; (4) ovulating (spawning imminent); and (5) spent/regressing (see Fowler </w:t>
      </w:r>
      <w:r w:rsidRPr="00A67C76">
        <w:rPr>
          <w:i/>
        </w:rPr>
        <w:t xml:space="preserve">et al. </w:t>
      </w:r>
      <w:r w:rsidR="005C75EF" w:rsidRPr="00A67C76">
        <w:t>1999</w:t>
      </w:r>
      <w:r w:rsidRPr="00A67C76">
        <w:t xml:space="preserve"> for detailed descriptions). All ovaries classified to ≥Stage 3, were subjected to microscopic analysis to provide a more accurate indication of recent or imminent spawning activity.</w:t>
      </w:r>
    </w:p>
    <w:p w:rsidR="00450980" w:rsidRPr="00A67C76" w:rsidRDefault="009617BC" w:rsidP="00D52C53">
      <w:r w:rsidRPr="00A67C76">
        <w:t xml:space="preserve">To further assess the influence of environmental water delivery on the spawning patterns for common carp, all juveniles &lt;100 mm TL sampled were retained, dissected for the removal of their otoliths, and aged (in days) to estimate the date they were spawned. Estimated spawning dates for fish from each region were plotted in relation to the timing of flow delivery. Detailed descriptions of field sampling methods are described in Earl and </w:t>
      </w:r>
      <w:proofErr w:type="gramStart"/>
      <w:r w:rsidRPr="00A67C76">
        <w:t>Ye</w:t>
      </w:r>
      <w:proofErr w:type="gramEnd"/>
      <w:r w:rsidRPr="00A67C76">
        <w:t xml:space="preserve"> (</w:t>
      </w:r>
      <w:r w:rsidR="008F2924">
        <w:t>In P</w:t>
      </w:r>
      <w:r w:rsidR="00030FC1">
        <w:t>rep</w:t>
      </w:r>
      <w:r w:rsidRPr="00A67C76">
        <w:t xml:space="preserve">). </w:t>
      </w:r>
    </w:p>
    <w:p w:rsidR="00AB254A" w:rsidRPr="00A67C76" w:rsidRDefault="00E149FE" w:rsidP="00C12CB4">
      <w:pPr>
        <w:rPr>
          <w:b/>
        </w:rPr>
      </w:pPr>
      <w:r w:rsidRPr="00A67C76">
        <w:rPr>
          <w:b/>
        </w:rPr>
        <w:t>Frog response</w:t>
      </w:r>
    </w:p>
    <w:p w:rsidR="00F42F0F" w:rsidRPr="00A67C76" w:rsidRDefault="00F42F0F" w:rsidP="00F42F0F">
      <w:r w:rsidRPr="00A67C76">
        <w:t>To evaluate the proposed hypotheses (</w:t>
      </w:r>
      <w:r w:rsidR="00F35178" w:rsidRPr="00A67C76">
        <w:t xml:space="preserve">Section </w:t>
      </w:r>
      <w:r w:rsidR="002E6077" w:rsidRPr="00A67C76">
        <w:fldChar w:fldCharType="begin"/>
      </w:r>
      <w:r w:rsidR="00F35178" w:rsidRPr="00A67C76">
        <w:instrText xml:space="preserve"> REF _Ref387847432 \n \h </w:instrText>
      </w:r>
      <w:r w:rsidR="002E6077" w:rsidRPr="00A67C76">
        <w:fldChar w:fldCharType="separate"/>
      </w:r>
      <w:r w:rsidR="009659F2">
        <w:t>1.3</w:t>
      </w:r>
      <w:r w:rsidR="002E6077" w:rsidRPr="00A67C76">
        <w:fldChar w:fldCharType="end"/>
      </w:r>
      <w:r w:rsidRPr="00A67C76">
        <w:t>), this project undertook the following tasks: 1) describe the frog community and distribution within the Lower Murray River during spring and summer 2012, 2) compare the diversity and abundance of frogs calling at wetlands before and during the environmental water provision and model environmental factors that may influence frog calling abundance and species richness and 3) compare frog breeding (through calling activity) in 2012 during the environmental watering with previous years to investigate frog breeding responses over a longer time scale.</w:t>
      </w:r>
    </w:p>
    <w:p w:rsidR="00F42F0F" w:rsidRPr="00A67C76" w:rsidRDefault="00F42F0F" w:rsidP="009C5F10">
      <w:pPr>
        <w:rPr>
          <w:i/>
          <w:u w:val="single"/>
        </w:rPr>
      </w:pPr>
      <w:r w:rsidRPr="00A67C76">
        <w:rPr>
          <w:i/>
          <w:u w:val="single"/>
        </w:rPr>
        <w:t>Field sampling</w:t>
      </w:r>
    </w:p>
    <w:p w:rsidR="00932287" w:rsidRPr="00D74E85" w:rsidRDefault="00932287" w:rsidP="00932287">
      <w:pPr>
        <w:spacing w:before="60" w:after="60"/>
        <w:rPr>
          <w:rFonts w:cs="Segoe UI"/>
          <w:szCs w:val="22"/>
          <w:highlight w:val="yellow"/>
        </w:rPr>
      </w:pPr>
      <w:r w:rsidRPr="00F11290">
        <w:rPr>
          <w:rFonts w:cs="Segoe UI"/>
          <w:szCs w:val="24"/>
        </w:rPr>
        <w:t xml:space="preserve">To </w:t>
      </w:r>
      <w:r w:rsidRPr="00F11290">
        <w:rPr>
          <w:rFonts w:cs="Segoe UI"/>
          <w:szCs w:val="22"/>
        </w:rPr>
        <w:t>investigate the breeding response of frogs to environmental water delivery, frog call surveys were conducted between September and December 2012.</w:t>
      </w:r>
      <w:r w:rsidRPr="00F11290">
        <w:rPr>
          <w:szCs w:val="22"/>
        </w:rPr>
        <w:t xml:space="preserve"> </w:t>
      </w:r>
      <w:r w:rsidRPr="00F11290">
        <w:rPr>
          <w:rFonts w:cs="Segoe UI"/>
          <w:szCs w:val="22"/>
        </w:rPr>
        <w:t>Frog call surveys are a common method for detecting frog species and utilises the species-specific calls that male frogs use to attract mates to breeding sites during t</w:t>
      </w:r>
      <w:r w:rsidRPr="00F11290">
        <w:rPr>
          <w:rFonts w:cs="Arial"/>
          <w:szCs w:val="22"/>
        </w:rPr>
        <w:t xml:space="preserve">he first phase of </w:t>
      </w:r>
      <w:r>
        <w:rPr>
          <w:rFonts w:cs="Arial"/>
          <w:szCs w:val="22"/>
        </w:rPr>
        <w:t xml:space="preserve">a </w:t>
      </w:r>
      <w:r w:rsidRPr="00F11290">
        <w:rPr>
          <w:rFonts w:cs="Arial"/>
          <w:szCs w:val="22"/>
        </w:rPr>
        <w:t xml:space="preserve">breeding response (Tyler 1994, Zimmerman 1994). </w:t>
      </w:r>
      <w:r w:rsidRPr="00F11290">
        <w:rPr>
          <w:rFonts w:cs="Segoe UI"/>
          <w:szCs w:val="22"/>
        </w:rPr>
        <w:t xml:space="preserve">This </w:t>
      </w:r>
      <w:r w:rsidRPr="00F11290">
        <w:rPr>
          <w:rFonts w:cs="Arial"/>
          <w:szCs w:val="22"/>
        </w:rPr>
        <w:t>method has many advantages</w:t>
      </w:r>
      <w:r>
        <w:rPr>
          <w:rFonts w:cs="Arial"/>
          <w:szCs w:val="22"/>
        </w:rPr>
        <w:t>,</w:t>
      </w:r>
      <w:r w:rsidRPr="00F11290">
        <w:rPr>
          <w:rFonts w:cs="Arial"/>
          <w:szCs w:val="22"/>
        </w:rPr>
        <w:t xml:space="preserve"> such as allowing individuals to be detected without visual observation, which can be difficult due to </w:t>
      </w:r>
      <w:r>
        <w:rPr>
          <w:rFonts w:cs="Arial"/>
          <w:szCs w:val="22"/>
        </w:rPr>
        <w:t>the</w:t>
      </w:r>
      <w:r w:rsidRPr="00F11290">
        <w:rPr>
          <w:rFonts w:cs="Arial"/>
          <w:szCs w:val="22"/>
        </w:rPr>
        <w:t xml:space="preserve"> cryptic nature</w:t>
      </w:r>
      <w:r>
        <w:rPr>
          <w:rFonts w:cs="Arial"/>
          <w:szCs w:val="22"/>
        </w:rPr>
        <w:t xml:space="preserve"> of many frogs </w:t>
      </w:r>
      <w:r w:rsidRPr="00F11290">
        <w:rPr>
          <w:rFonts w:cs="Arial"/>
          <w:szCs w:val="22"/>
        </w:rPr>
        <w:t>(Zimmerman 1994).</w:t>
      </w:r>
      <w:r>
        <w:rPr>
          <w:rFonts w:cs="Segoe UI"/>
          <w:szCs w:val="22"/>
        </w:rPr>
        <w:t xml:space="preserve"> </w:t>
      </w:r>
      <w:r w:rsidRPr="00F11290">
        <w:rPr>
          <w:rFonts w:cs="Segoe UI"/>
          <w:szCs w:val="22"/>
        </w:rPr>
        <w:t>To allow comparison of the abundance and species richness of male frogs calling before and during the environmental watering</w:t>
      </w:r>
      <w:r w:rsidRPr="00A67C76">
        <w:rPr>
          <w:rFonts w:cs="Segoe UI"/>
          <w:szCs w:val="24"/>
        </w:rPr>
        <w:t xml:space="preserve">, nine wetlands from two geomorphic regions (Floodplain and Gorge) were sampled repeatedly in September (no environmental water but higher flows occurred) and December 2012 (environmental water). </w:t>
      </w:r>
    </w:p>
    <w:p w:rsidR="00F42F0F" w:rsidRPr="00A67C76" w:rsidRDefault="00F42F0F" w:rsidP="00F42F0F">
      <w:pPr>
        <w:rPr>
          <w:rFonts w:cs="Segoe UI"/>
          <w:szCs w:val="24"/>
        </w:rPr>
      </w:pPr>
      <w:r w:rsidRPr="00A67C76">
        <w:rPr>
          <w:rFonts w:cs="Segoe UI"/>
          <w:szCs w:val="24"/>
        </w:rPr>
        <w:t xml:space="preserve">At each wetland the number of survey sites (replicates) varied depending on wetland size (larger wetlands requiring more sites) and accessibility at the time of surveying (due to flooding). To target areas inundated by the environmental water provided in summer, additional wetland sites were selected and assessed using the Rim-FIM (Overton </w:t>
      </w:r>
      <w:r w:rsidRPr="00A67C76">
        <w:rPr>
          <w:rFonts w:cs="Segoe UI"/>
          <w:i/>
          <w:szCs w:val="24"/>
        </w:rPr>
        <w:t>et al.</w:t>
      </w:r>
      <w:r w:rsidRPr="00A67C76">
        <w:rPr>
          <w:rFonts w:cs="Segoe UI"/>
          <w:szCs w:val="24"/>
        </w:rPr>
        <w:t xml:space="preserve"> 2006) and on-site field assessment. </w:t>
      </w:r>
      <w:r w:rsidR="00BE238E" w:rsidRPr="00A67C76">
        <w:rPr>
          <w:rFonts w:cs="Segoe UI"/>
          <w:szCs w:val="24"/>
        </w:rPr>
        <w:t>Male f</w:t>
      </w:r>
      <w:r w:rsidRPr="00A67C76">
        <w:rPr>
          <w:rFonts w:cs="Segoe UI"/>
          <w:szCs w:val="24"/>
        </w:rPr>
        <w:t xml:space="preserve">rog calls were sampled following the method outlined in Your Wetland – Monitoring Manual (Tucker 2004). </w:t>
      </w:r>
      <w:r w:rsidR="00932287" w:rsidRPr="00D71A9B">
        <w:t xml:space="preserve">All wetland species of frogs within the Lower Murray River area call throughout the spring and summer months and frog calling is influenced largely by environmental and habitat variables, such as the peak of a flow event (Dostine </w:t>
      </w:r>
      <w:r w:rsidR="00932287" w:rsidRPr="00D71A9B">
        <w:rPr>
          <w:i/>
        </w:rPr>
        <w:t xml:space="preserve">et al. </w:t>
      </w:r>
      <w:r w:rsidR="00932287" w:rsidRPr="00505326">
        <w:t>2013</w:t>
      </w:r>
      <w:r w:rsidR="00932287" w:rsidRPr="00D71A9B">
        <w:t xml:space="preserve">; </w:t>
      </w:r>
      <w:r w:rsidR="00932287">
        <w:t>Wassens</w:t>
      </w:r>
      <w:r w:rsidR="00932287" w:rsidRPr="00D71A9B">
        <w:t xml:space="preserve"> 2011).</w:t>
      </w:r>
      <w:r w:rsidR="00932287">
        <w:t xml:space="preserve"> </w:t>
      </w:r>
      <w:r w:rsidRPr="00A67C76">
        <w:rPr>
          <w:rFonts w:cs="Segoe UI"/>
          <w:szCs w:val="24"/>
        </w:rPr>
        <w:t xml:space="preserve">Habitat and environmental variables were also recorded during the surveys using a method adapted from the habitat assessment developed by Native Fish Australia (Hammer 2005). </w:t>
      </w:r>
    </w:p>
    <w:p w:rsidR="00F42F0F" w:rsidRPr="00A67C76" w:rsidRDefault="00F42F0F" w:rsidP="009C5F10">
      <w:pPr>
        <w:rPr>
          <w:rFonts w:cs="Segoe UI"/>
          <w:i/>
          <w:szCs w:val="24"/>
          <w:u w:val="single"/>
        </w:rPr>
      </w:pPr>
      <w:r w:rsidRPr="00A67C76">
        <w:rPr>
          <w:rFonts w:cs="Segoe UI"/>
          <w:i/>
          <w:szCs w:val="24"/>
          <w:u w:val="single"/>
        </w:rPr>
        <w:t>Comparison of spring and summer 2012</w:t>
      </w:r>
    </w:p>
    <w:p w:rsidR="00F42F0F" w:rsidRPr="00A67C76" w:rsidRDefault="00F42F0F" w:rsidP="001676A9">
      <w:pPr>
        <w:spacing w:after="0"/>
        <w:rPr>
          <w:rFonts w:cs="Segoe UI"/>
          <w:szCs w:val="24"/>
        </w:rPr>
      </w:pPr>
      <w:r w:rsidRPr="00A67C76">
        <w:rPr>
          <w:rFonts w:cs="Segoe UI"/>
          <w:szCs w:val="24"/>
        </w:rPr>
        <w:t>To assess if there was an increased call response during the e</w:t>
      </w:r>
      <w:r w:rsidR="00D43B22">
        <w:rPr>
          <w:rFonts w:cs="Segoe UI"/>
          <w:szCs w:val="24"/>
        </w:rPr>
        <w:t xml:space="preserve">nvironmental </w:t>
      </w:r>
      <w:r w:rsidRPr="00A67C76">
        <w:rPr>
          <w:rFonts w:cs="Segoe UI"/>
          <w:szCs w:val="24"/>
        </w:rPr>
        <w:t>water provision, the average species call richness (the number of species calling at a site) and frog call abundance (the estimated abundance of all male frogs calling at a frog site) and environmental variables at wetlands in spring (before e-water) and summer (during e-water) 2012 were compared using t-tests.</w:t>
      </w:r>
    </w:p>
    <w:p w:rsidR="00F42F0F" w:rsidRPr="001676A9" w:rsidRDefault="00F42F0F" w:rsidP="00536073">
      <w:pPr>
        <w:rPr>
          <w:b/>
          <w:bCs/>
          <w:color w:val="auto"/>
          <w:sz w:val="20"/>
          <w:szCs w:val="18"/>
        </w:rPr>
      </w:pPr>
      <w:r w:rsidRPr="00A67C76">
        <w:rPr>
          <w:rFonts w:cs="Segoe UI"/>
          <w:szCs w:val="24"/>
        </w:rPr>
        <w:t>To investigate the relationship between environmental variables and the number of frogs and species recorded calling during frog surveys, generalised linear modelling was conducted with a quasi-Poisson distribution, appropriate for count data with over-dispersion (Crawley 2007). The dependent variables were frog call abundance (the estimated total number of calling males) and frog call richness (the total number of species calling) at each survey site considered against a number of environmental variables (</w:t>
      </w:r>
      <w:r w:rsidR="00536073">
        <w:rPr>
          <w:rFonts w:cs="Segoe UI"/>
          <w:szCs w:val="24"/>
        </w:rPr>
        <w:t>Table 3</w:t>
      </w:r>
      <w:r w:rsidRPr="00A67C76">
        <w:rPr>
          <w:rFonts w:cs="Segoe UI"/>
          <w:szCs w:val="24"/>
        </w:rPr>
        <w:t xml:space="preserve">). The explained deviance of the global model, which is the proportion of the model parameters that accounts for the variation of the dependent variable, was calculated by the following equation: </w:t>
      </w:r>
    </w:p>
    <w:p w:rsidR="00F42F0F" w:rsidRPr="00A67C76" w:rsidRDefault="00F42F0F" w:rsidP="00F42F0F">
      <w:pPr>
        <w:rPr>
          <w:rFonts w:cs="Segoe UI"/>
          <w:szCs w:val="24"/>
        </w:rPr>
      </w:pPr>
      <w:r w:rsidRPr="00A67C76">
        <w:rPr>
          <w:rFonts w:cs="Segoe UI"/>
          <w:szCs w:val="24"/>
        </w:rPr>
        <w:t>Explained variance = (null deviance - residual deviance)/null deviance.</w:t>
      </w:r>
    </w:p>
    <w:p w:rsidR="003414CC" w:rsidRDefault="003414CC">
      <w:pPr>
        <w:spacing w:before="0" w:after="200" w:line="276" w:lineRule="auto"/>
        <w:rPr>
          <w:b/>
          <w:bCs/>
          <w:color w:val="auto"/>
          <w:sz w:val="20"/>
          <w:szCs w:val="18"/>
        </w:rPr>
      </w:pPr>
      <w:bookmarkStart w:id="73" w:name="_Ref387832090"/>
      <w:bookmarkStart w:id="74" w:name="_Ref387832061"/>
      <w:bookmarkStart w:id="75" w:name="_Toc387929705"/>
      <w:r>
        <w:br w:type="page"/>
      </w:r>
    </w:p>
    <w:p w:rsidR="00F42F0F" w:rsidRPr="00A67C76" w:rsidRDefault="00606176" w:rsidP="00606176">
      <w:pPr>
        <w:pStyle w:val="Caption"/>
      </w:pPr>
      <w:proofErr w:type="gramStart"/>
      <w:r w:rsidRPr="00A67C76">
        <w:t xml:space="preserve">Table </w:t>
      </w:r>
      <w:proofErr w:type="gramEnd"/>
      <w:r w:rsidR="002E6077" w:rsidRPr="00A67C76">
        <w:fldChar w:fldCharType="begin"/>
      </w:r>
      <w:r w:rsidR="00621CBB" w:rsidRPr="00A67C76">
        <w:instrText xml:space="preserve"> SEQ Table \* ARABIC </w:instrText>
      </w:r>
      <w:r w:rsidR="002E6077" w:rsidRPr="00A67C76">
        <w:fldChar w:fldCharType="separate"/>
      </w:r>
      <w:r w:rsidR="009659F2">
        <w:rPr>
          <w:noProof/>
        </w:rPr>
        <w:t>3</w:t>
      </w:r>
      <w:r w:rsidR="002E6077" w:rsidRPr="00A67C76">
        <w:rPr>
          <w:noProof/>
        </w:rPr>
        <w:fldChar w:fldCharType="end"/>
      </w:r>
      <w:bookmarkEnd w:id="73"/>
      <w:proofErr w:type="gramStart"/>
      <w:r w:rsidRPr="00A67C76">
        <w:t>.</w:t>
      </w:r>
      <w:proofErr w:type="gramEnd"/>
      <w:r w:rsidR="00932543" w:rsidRPr="00A67C76">
        <w:t xml:space="preserve"> Explanatory variables used to explain frog call abundance at wetlands in 2012.</w:t>
      </w:r>
      <w:bookmarkEnd w:id="74"/>
      <w:bookmarkEnd w:id="75"/>
    </w:p>
    <w:tbl>
      <w:tblPr>
        <w:tblpPr w:leftFromText="180" w:rightFromText="180" w:vertAnchor="text" w:horzAnchor="margin" w:tblpX="108" w:tblpY="188"/>
        <w:tblW w:w="9180" w:type="dxa"/>
        <w:tblLook w:val="00A0"/>
      </w:tblPr>
      <w:tblGrid>
        <w:gridCol w:w="2988"/>
        <w:gridCol w:w="6192"/>
      </w:tblGrid>
      <w:tr w:rsidR="00F42F0F" w:rsidRPr="00A67C76" w:rsidTr="00D43B22">
        <w:trPr>
          <w:trHeight w:val="340"/>
        </w:trPr>
        <w:tc>
          <w:tcPr>
            <w:tcW w:w="2988" w:type="dxa"/>
            <w:tcBorders>
              <w:top w:val="single" w:sz="4" w:space="0" w:color="A6A6A6" w:themeColor="background1" w:themeShade="A6"/>
              <w:left w:val="nil"/>
              <w:bottom w:val="single" w:sz="4" w:space="0" w:color="A6A6A6" w:themeColor="background1" w:themeShade="A6"/>
              <w:right w:val="nil"/>
            </w:tcBorders>
            <w:shd w:val="clear" w:color="auto" w:fill="auto"/>
            <w:noWrap/>
          </w:tcPr>
          <w:p w:rsidR="00F42F0F" w:rsidRPr="00A67C76" w:rsidRDefault="00F42F0F" w:rsidP="00932543">
            <w:pPr>
              <w:spacing w:before="120" w:line="240" w:lineRule="auto"/>
              <w:contextualSpacing/>
              <w:rPr>
                <w:rFonts w:cs="Segoe UI"/>
                <w:b/>
                <w:iCs/>
                <w:sz w:val="20"/>
              </w:rPr>
            </w:pPr>
            <w:r w:rsidRPr="00A67C76">
              <w:rPr>
                <w:rFonts w:cs="Segoe UI"/>
                <w:b/>
                <w:iCs/>
                <w:sz w:val="20"/>
              </w:rPr>
              <w:t>Variable</w:t>
            </w:r>
          </w:p>
        </w:tc>
        <w:tc>
          <w:tcPr>
            <w:tcW w:w="6192"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rsidR="00F42F0F" w:rsidRPr="00A67C76" w:rsidRDefault="00F42F0F" w:rsidP="00932543">
            <w:pPr>
              <w:spacing w:before="120" w:line="240" w:lineRule="auto"/>
              <w:contextualSpacing/>
              <w:jc w:val="center"/>
              <w:rPr>
                <w:rFonts w:cs="Segoe UI"/>
                <w:b/>
                <w:iCs/>
                <w:sz w:val="20"/>
              </w:rPr>
            </w:pPr>
            <w:r w:rsidRPr="00A67C76">
              <w:rPr>
                <w:rFonts w:cs="Segoe UI"/>
                <w:b/>
                <w:iCs/>
                <w:sz w:val="20"/>
              </w:rPr>
              <w:t>Description</w:t>
            </w:r>
          </w:p>
        </w:tc>
      </w:tr>
      <w:tr w:rsidR="00F42F0F" w:rsidRPr="00A67C76" w:rsidTr="00932543">
        <w:trPr>
          <w:trHeight w:val="300"/>
        </w:trPr>
        <w:tc>
          <w:tcPr>
            <w:tcW w:w="2988" w:type="dxa"/>
            <w:tcBorders>
              <w:top w:val="single" w:sz="4" w:space="0" w:color="A6A6A6" w:themeColor="background1" w:themeShade="A6"/>
              <w:left w:val="nil"/>
              <w:bottom w:val="nil"/>
              <w:right w:val="nil"/>
            </w:tcBorders>
            <w:noWrap/>
            <w:vAlign w:val="center"/>
          </w:tcPr>
          <w:p w:rsidR="00F42F0F" w:rsidRPr="00A67C76" w:rsidRDefault="00F42F0F" w:rsidP="00932543">
            <w:pPr>
              <w:spacing w:line="276" w:lineRule="auto"/>
              <w:contextualSpacing/>
              <w:rPr>
                <w:rFonts w:cs="Segoe UI"/>
                <w:sz w:val="20"/>
              </w:rPr>
            </w:pPr>
            <w:r w:rsidRPr="00A67C76">
              <w:rPr>
                <w:rFonts w:cs="Segoe UI"/>
                <w:sz w:val="20"/>
              </w:rPr>
              <w:t>Flows to SA</w:t>
            </w:r>
          </w:p>
        </w:tc>
        <w:tc>
          <w:tcPr>
            <w:tcW w:w="6192" w:type="dxa"/>
            <w:tcBorders>
              <w:top w:val="single" w:sz="4" w:space="0" w:color="A6A6A6" w:themeColor="background1" w:themeShade="A6"/>
              <w:left w:val="nil"/>
              <w:bottom w:val="nil"/>
              <w:right w:val="nil"/>
            </w:tcBorders>
            <w:noWrap/>
            <w:vAlign w:val="center"/>
          </w:tcPr>
          <w:p w:rsidR="00F42F0F" w:rsidRPr="00A67C76" w:rsidRDefault="00F42F0F" w:rsidP="00932543">
            <w:pPr>
              <w:spacing w:line="276" w:lineRule="auto"/>
              <w:contextualSpacing/>
              <w:rPr>
                <w:rFonts w:cs="Segoe UI"/>
                <w:sz w:val="20"/>
              </w:rPr>
            </w:pPr>
            <w:r w:rsidRPr="00A67C76">
              <w:rPr>
                <w:rFonts w:cs="Segoe UI"/>
                <w:sz w:val="20"/>
              </w:rPr>
              <w:t>Recorded flow at the border entering SA on day of frog survey (</w:t>
            </w:r>
            <w:r w:rsidRPr="00A67C76">
              <w:rPr>
                <w:rFonts w:cs="Segoe UI"/>
                <w:iCs/>
                <w:sz w:val="20"/>
              </w:rPr>
              <w:t>ML day</w:t>
            </w:r>
            <w:r w:rsidRPr="00A67C76">
              <w:rPr>
                <w:rFonts w:cs="Segoe UI"/>
                <w:iCs/>
                <w:sz w:val="20"/>
                <w:vertAlign w:val="superscript"/>
              </w:rPr>
              <w:t>-1</w:t>
            </w:r>
            <w:r w:rsidRPr="00A67C76">
              <w:rPr>
                <w:rFonts w:cs="Segoe UI"/>
                <w:iCs/>
                <w:sz w:val="20"/>
              </w:rPr>
              <w:t>)</w:t>
            </w:r>
          </w:p>
        </w:tc>
      </w:tr>
      <w:tr w:rsidR="00F42F0F" w:rsidRPr="00A67C76" w:rsidTr="00932543">
        <w:trPr>
          <w:trHeight w:val="300"/>
        </w:trPr>
        <w:tc>
          <w:tcPr>
            <w:tcW w:w="2988" w:type="dxa"/>
            <w:tcBorders>
              <w:top w:val="nil"/>
              <w:left w:val="nil"/>
              <w:bottom w:val="nil"/>
              <w:right w:val="nil"/>
            </w:tcBorders>
            <w:noWrap/>
            <w:vAlign w:val="center"/>
          </w:tcPr>
          <w:p w:rsidR="00F42F0F" w:rsidRPr="00A67C76" w:rsidRDefault="00F42F0F" w:rsidP="00932543">
            <w:pPr>
              <w:spacing w:line="276" w:lineRule="auto"/>
              <w:contextualSpacing/>
              <w:rPr>
                <w:rFonts w:cs="Segoe UI"/>
                <w:sz w:val="20"/>
              </w:rPr>
            </w:pPr>
            <w:r w:rsidRPr="00A67C76">
              <w:rPr>
                <w:rFonts w:cs="Segoe UI"/>
                <w:sz w:val="20"/>
              </w:rPr>
              <w:t>Electrical conductivity</w:t>
            </w:r>
          </w:p>
        </w:tc>
        <w:tc>
          <w:tcPr>
            <w:tcW w:w="6192" w:type="dxa"/>
            <w:tcBorders>
              <w:top w:val="nil"/>
              <w:left w:val="nil"/>
              <w:bottom w:val="nil"/>
              <w:right w:val="nil"/>
            </w:tcBorders>
            <w:noWrap/>
            <w:vAlign w:val="center"/>
          </w:tcPr>
          <w:p w:rsidR="00F42F0F" w:rsidRPr="00A67C76" w:rsidRDefault="00F42F0F" w:rsidP="00932543">
            <w:pPr>
              <w:spacing w:line="276" w:lineRule="auto"/>
              <w:contextualSpacing/>
              <w:rPr>
                <w:rFonts w:cs="Segoe UI"/>
                <w:sz w:val="20"/>
              </w:rPr>
            </w:pPr>
            <w:r w:rsidRPr="00A67C76">
              <w:rPr>
                <w:rFonts w:cs="Segoe UI"/>
                <w:sz w:val="20"/>
              </w:rPr>
              <w:t>Electrical conductivity of the surface water at frog survey site (µS/cm)</w:t>
            </w:r>
          </w:p>
        </w:tc>
      </w:tr>
      <w:tr w:rsidR="00F42F0F" w:rsidRPr="00A67C76" w:rsidTr="00932543">
        <w:trPr>
          <w:trHeight w:val="300"/>
        </w:trPr>
        <w:tc>
          <w:tcPr>
            <w:tcW w:w="2988" w:type="dxa"/>
            <w:tcBorders>
              <w:top w:val="nil"/>
              <w:left w:val="nil"/>
              <w:bottom w:val="nil"/>
              <w:right w:val="nil"/>
            </w:tcBorders>
            <w:noWrap/>
            <w:vAlign w:val="center"/>
          </w:tcPr>
          <w:p w:rsidR="00F42F0F" w:rsidRPr="00A67C76" w:rsidRDefault="00F42F0F" w:rsidP="00932543">
            <w:pPr>
              <w:spacing w:line="276" w:lineRule="auto"/>
              <w:contextualSpacing/>
              <w:rPr>
                <w:rFonts w:cs="Segoe UI"/>
                <w:sz w:val="20"/>
              </w:rPr>
            </w:pPr>
            <w:r w:rsidRPr="00A67C76">
              <w:rPr>
                <w:rFonts w:cs="Segoe UI"/>
                <w:sz w:val="20"/>
              </w:rPr>
              <w:t>Air temperature</w:t>
            </w:r>
          </w:p>
        </w:tc>
        <w:tc>
          <w:tcPr>
            <w:tcW w:w="6192" w:type="dxa"/>
            <w:tcBorders>
              <w:top w:val="nil"/>
              <w:left w:val="nil"/>
              <w:bottom w:val="nil"/>
              <w:right w:val="nil"/>
            </w:tcBorders>
            <w:noWrap/>
            <w:vAlign w:val="center"/>
          </w:tcPr>
          <w:p w:rsidR="00F42F0F" w:rsidRPr="00A67C76" w:rsidRDefault="00F42F0F" w:rsidP="00932543">
            <w:pPr>
              <w:spacing w:line="276" w:lineRule="auto"/>
              <w:contextualSpacing/>
              <w:rPr>
                <w:rFonts w:cs="Segoe UI"/>
                <w:sz w:val="20"/>
              </w:rPr>
            </w:pPr>
            <w:r w:rsidRPr="00A67C76">
              <w:rPr>
                <w:rFonts w:cs="Segoe UI"/>
                <w:sz w:val="20"/>
              </w:rPr>
              <w:t>Air temperature recorded during survey (</w:t>
            </w:r>
            <w:r w:rsidRPr="00A67C76">
              <w:rPr>
                <w:rFonts w:cs="Segoe UI"/>
                <w:b/>
                <w:sz w:val="20"/>
              </w:rPr>
              <w:t>°</w:t>
            </w:r>
            <w:r w:rsidRPr="00A67C76">
              <w:rPr>
                <w:rFonts w:cs="Segoe UI"/>
                <w:sz w:val="20"/>
              </w:rPr>
              <w:t>C)</w:t>
            </w:r>
          </w:p>
        </w:tc>
      </w:tr>
      <w:tr w:rsidR="00F42F0F" w:rsidRPr="00A67C76" w:rsidTr="00932543">
        <w:trPr>
          <w:trHeight w:val="300"/>
        </w:trPr>
        <w:tc>
          <w:tcPr>
            <w:tcW w:w="2988" w:type="dxa"/>
            <w:tcBorders>
              <w:top w:val="nil"/>
              <w:left w:val="nil"/>
              <w:bottom w:val="nil"/>
              <w:right w:val="nil"/>
            </w:tcBorders>
            <w:noWrap/>
            <w:vAlign w:val="center"/>
          </w:tcPr>
          <w:p w:rsidR="00F42F0F" w:rsidRPr="00A67C76" w:rsidRDefault="00F42F0F" w:rsidP="00932543">
            <w:pPr>
              <w:spacing w:line="276" w:lineRule="auto"/>
              <w:contextualSpacing/>
              <w:rPr>
                <w:rFonts w:cs="Segoe UI"/>
                <w:sz w:val="20"/>
              </w:rPr>
            </w:pPr>
            <w:r w:rsidRPr="00A67C76">
              <w:rPr>
                <w:rFonts w:cs="Segoe UI"/>
                <w:sz w:val="20"/>
              </w:rPr>
              <w:t>Humidity</w:t>
            </w:r>
          </w:p>
        </w:tc>
        <w:tc>
          <w:tcPr>
            <w:tcW w:w="6192" w:type="dxa"/>
            <w:tcBorders>
              <w:top w:val="nil"/>
              <w:left w:val="nil"/>
              <w:bottom w:val="nil"/>
              <w:right w:val="nil"/>
            </w:tcBorders>
            <w:noWrap/>
            <w:vAlign w:val="center"/>
          </w:tcPr>
          <w:p w:rsidR="00F42F0F" w:rsidRPr="00A67C76" w:rsidRDefault="00F42F0F" w:rsidP="00932543">
            <w:pPr>
              <w:spacing w:line="276" w:lineRule="auto"/>
              <w:contextualSpacing/>
              <w:rPr>
                <w:rFonts w:cs="Segoe UI"/>
                <w:sz w:val="20"/>
              </w:rPr>
            </w:pPr>
            <w:r w:rsidRPr="00A67C76">
              <w:rPr>
                <w:rFonts w:cs="Segoe UI"/>
                <w:sz w:val="20"/>
              </w:rPr>
              <w:t>Relative air humidity recorded during survey (%)</w:t>
            </w:r>
          </w:p>
        </w:tc>
      </w:tr>
      <w:tr w:rsidR="00F42F0F" w:rsidRPr="00A67C76" w:rsidTr="00932543">
        <w:trPr>
          <w:trHeight w:val="89"/>
        </w:trPr>
        <w:tc>
          <w:tcPr>
            <w:tcW w:w="2988" w:type="dxa"/>
            <w:tcBorders>
              <w:top w:val="nil"/>
              <w:left w:val="nil"/>
              <w:bottom w:val="nil"/>
              <w:right w:val="nil"/>
            </w:tcBorders>
            <w:noWrap/>
            <w:vAlign w:val="center"/>
          </w:tcPr>
          <w:p w:rsidR="00F42F0F" w:rsidRPr="00A67C76" w:rsidRDefault="00F42F0F" w:rsidP="00932543">
            <w:pPr>
              <w:spacing w:line="276" w:lineRule="auto"/>
              <w:contextualSpacing/>
              <w:rPr>
                <w:rFonts w:cs="Segoe UI"/>
                <w:sz w:val="20"/>
              </w:rPr>
            </w:pPr>
            <w:r w:rsidRPr="00A67C76">
              <w:rPr>
                <w:rFonts w:cs="Segoe UI"/>
                <w:sz w:val="20"/>
              </w:rPr>
              <w:t>Emergent vegetation</w:t>
            </w:r>
          </w:p>
        </w:tc>
        <w:tc>
          <w:tcPr>
            <w:tcW w:w="6192" w:type="dxa"/>
            <w:tcBorders>
              <w:top w:val="nil"/>
              <w:left w:val="nil"/>
              <w:bottom w:val="nil"/>
              <w:right w:val="nil"/>
            </w:tcBorders>
            <w:noWrap/>
            <w:vAlign w:val="center"/>
          </w:tcPr>
          <w:p w:rsidR="00F42F0F" w:rsidRPr="00A67C76" w:rsidRDefault="00F42F0F" w:rsidP="00932543">
            <w:pPr>
              <w:spacing w:line="276" w:lineRule="auto"/>
              <w:contextualSpacing/>
              <w:rPr>
                <w:rFonts w:cs="Segoe UI"/>
                <w:sz w:val="20"/>
              </w:rPr>
            </w:pPr>
            <w:r w:rsidRPr="00A67C76">
              <w:rPr>
                <w:rFonts w:cs="Segoe UI"/>
                <w:sz w:val="20"/>
              </w:rPr>
              <w:t>Percent inundated emergent vegetation at frog survey site (%)</w:t>
            </w:r>
          </w:p>
        </w:tc>
      </w:tr>
      <w:tr w:rsidR="00F42F0F" w:rsidRPr="00A67C76" w:rsidTr="00932543">
        <w:trPr>
          <w:trHeight w:val="300"/>
        </w:trPr>
        <w:tc>
          <w:tcPr>
            <w:tcW w:w="2988" w:type="dxa"/>
            <w:tcBorders>
              <w:top w:val="nil"/>
              <w:left w:val="nil"/>
              <w:bottom w:val="single" w:sz="4" w:space="0" w:color="A6A6A6" w:themeColor="background1" w:themeShade="A6"/>
              <w:right w:val="nil"/>
            </w:tcBorders>
            <w:noWrap/>
            <w:vAlign w:val="center"/>
          </w:tcPr>
          <w:p w:rsidR="00F42F0F" w:rsidRPr="00A67C76" w:rsidRDefault="00F42F0F" w:rsidP="00932543">
            <w:pPr>
              <w:spacing w:line="276" w:lineRule="auto"/>
              <w:contextualSpacing/>
              <w:rPr>
                <w:rFonts w:cs="Segoe UI"/>
                <w:sz w:val="20"/>
              </w:rPr>
            </w:pPr>
            <w:r w:rsidRPr="00A67C76">
              <w:rPr>
                <w:rFonts w:cs="Segoe UI"/>
                <w:sz w:val="20"/>
              </w:rPr>
              <w:t>Submergent vegetation</w:t>
            </w:r>
          </w:p>
        </w:tc>
        <w:tc>
          <w:tcPr>
            <w:tcW w:w="6192" w:type="dxa"/>
            <w:tcBorders>
              <w:top w:val="nil"/>
              <w:left w:val="nil"/>
              <w:bottom w:val="single" w:sz="4" w:space="0" w:color="A6A6A6" w:themeColor="background1" w:themeShade="A6"/>
              <w:right w:val="nil"/>
            </w:tcBorders>
            <w:noWrap/>
            <w:vAlign w:val="center"/>
          </w:tcPr>
          <w:p w:rsidR="00F42F0F" w:rsidRPr="00A67C76" w:rsidRDefault="00F42F0F" w:rsidP="00932543">
            <w:pPr>
              <w:spacing w:line="276" w:lineRule="auto"/>
              <w:contextualSpacing/>
              <w:rPr>
                <w:rFonts w:cs="Segoe UI"/>
                <w:sz w:val="20"/>
              </w:rPr>
            </w:pPr>
            <w:r w:rsidRPr="00A67C76">
              <w:rPr>
                <w:rFonts w:cs="Segoe UI"/>
                <w:sz w:val="20"/>
              </w:rPr>
              <w:t>Percent submerged vegetation at frog survey site (%)</w:t>
            </w:r>
          </w:p>
        </w:tc>
      </w:tr>
    </w:tbl>
    <w:p w:rsidR="00F42F0F" w:rsidRPr="00A67C76" w:rsidRDefault="00F42F0F" w:rsidP="00F42F0F">
      <w:pPr>
        <w:rPr>
          <w:rFonts w:cs="Segoe UI"/>
          <w:i/>
          <w:szCs w:val="24"/>
          <w:u w:val="single"/>
        </w:rPr>
      </w:pPr>
      <w:r w:rsidRPr="00A67C76">
        <w:rPr>
          <w:rFonts w:cs="Segoe UI"/>
          <w:i/>
          <w:szCs w:val="24"/>
          <w:u w:val="single"/>
        </w:rPr>
        <w:t>Comparison to previous years</w:t>
      </w:r>
    </w:p>
    <w:p w:rsidR="009C5F10" w:rsidRPr="00A67C76" w:rsidRDefault="009C5F10" w:rsidP="003C5E8D">
      <w:pPr>
        <w:rPr>
          <w:rFonts w:cs="Segoe UI"/>
          <w:szCs w:val="24"/>
        </w:rPr>
      </w:pPr>
      <w:r w:rsidRPr="00A67C76">
        <w:rPr>
          <w:rFonts w:cs="Segoe UI"/>
          <w:szCs w:val="24"/>
        </w:rPr>
        <w:t xml:space="preserve">To compare </w:t>
      </w:r>
      <w:r w:rsidR="00F1011C">
        <w:rPr>
          <w:rFonts w:cs="Segoe UI"/>
          <w:szCs w:val="24"/>
        </w:rPr>
        <w:t>male frog calling</w:t>
      </w:r>
      <w:r w:rsidRPr="00A67C76">
        <w:rPr>
          <w:rFonts w:cs="Segoe UI"/>
          <w:szCs w:val="24"/>
        </w:rPr>
        <w:t xml:space="preserve"> and abundance in summer 2012 (environmental water) with previous years, data from previous frog surveys conducted in the </w:t>
      </w:r>
      <w:r w:rsidR="003626AB" w:rsidRPr="00A67C76">
        <w:rPr>
          <w:rFonts w:cs="Segoe UI"/>
          <w:szCs w:val="24"/>
        </w:rPr>
        <w:t>South Australian</w:t>
      </w:r>
      <w:r w:rsidRPr="00A67C76">
        <w:rPr>
          <w:rFonts w:cs="Segoe UI"/>
          <w:szCs w:val="24"/>
        </w:rPr>
        <w:t xml:space="preserve"> Murray-Darling Basin region in November and December were collated</w:t>
      </w:r>
      <w:r w:rsidR="00F914C8" w:rsidRPr="00A67C76">
        <w:rPr>
          <w:rFonts w:cs="Segoe UI"/>
          <w:szCs w:val="24"/>
        </w:rPr>
        <w:t>.</w:t>
      </w:r>
      <w:r w:rsidRPr="00A67C76">
        <w:rPr>
          <w:rFonts w:cs="Segoe UI"/>
          <w:szCs w:val="24"/>
        </w:rPr>
        <w:t xml:space="preserve"> </w:t>
      </w:r>
      <w:r w:rsidR="00932287">
        <w:rPr>
          <w:rFonts w:cs="Segoe UI"/>
          <w:szCs w:val="24"/>
        </w:rPr>
        <w:t xml:space="preserve">To attempt to reduce variation due to some </w:t>
      </w:r>
      <w:r w:rsidR="00932287" w:rsidRPr="00A67C76">
        <w:rPr>
          <w:rFonts w:cs="Segoe UI"/>
          <w:szCs w:val="24"/>
        </w:rPr>
        <w:t>differen</w:t>
      </w:r>
      <w:r w:rsidR="00932287">
        <w:rPr>
          <w:rFonts w:cs="Segoe UI"/>
          <w:szCs w:val="24"/>
        </w:rPr>
        <w:t>ces in</w:t>
      </w:r>
      <w:r w:rsidR="00932287" w:rsidRPr="00A67C76">
        <w:rPr>
          <w:rFonts w:cs="Segoe UI"/>
          <w:szCs w:val="24"/>
        </w:rPr>
        <w:t xml:space="preserve"> sites sampled </w:t>
      </w:r>
      <w:r w:rsidR="00932287">
        <w:rPr>
          <w:rFonts w:cs="Segoe UI"/>
          <w:szCs w:val="24"/>
        </w:rPr>
        <w:t>across</w:t>
      </w:r>
      <w:r w:rsidR="00932287" w:rsidRPr="00A67C76">
        <w:rPr>
          <w:rFonts w:cs="Segoe UI"/>
          <w:szCs w:val="24"/>
        </w:rPr>
        <w:t xml:space="preserve"> different year</w:t>
      </w:r>
      <w:r w:rsidR="00932287">
        <w:rPr>
          <w:rFonts w:cs="Segoe UI"/>
          <w:szCs w:val="24"/>
        </w:rPr>
        <w:t xml:space="preserve">s, wetlands </w:t>
      </w:r>
      <w:r w:rsidR="00F914C8" w:rsidRPr="00A67C76">
        <w:rPr>
          <w:rFonts w:cs="Segoe UI"/>
          <w:szCs w:val="24"/>
        </w:rPr>
        <w:t>.</w:t>
      </w:r>
      <w:r w:rsidRPr="00A67C76">
        <w:rPr>
          <w:rFonts w:cs="Segoe UI"/>
          <w:szCs w:val="24"/>
        </w:rPr>
        <w:t xml:space="preserve">were </w:t>
      </w:r>
      <w:r w:rsidR="00932287">
        <w:rPr>
          <w:rFonts w:cs="Segoe UI"/>
          <w:szCs w:val="24"/>
        </w:rPr>
        <w:t xml:space="preserve">first </w:t>
      </w:r>
      <w:r w:rsidRPr="00A67C76">
        <w:rPr>
          <w:rFonts w:cs="Segoe UI"/>
          <w:szCs w:val="24"/>
        </w:rPr>
        <w:t xml:space="preserve">allocated to one of three wetland types; </w:t>
      </w:r>
    </w:p>
    <w:p w:rsidR="009C5F10" w:rsidRPr="00A67C76" w:rsidRDefault="009C5F10" w:rsidP="003C5E8D">
      <w:pPr>
        <w:pStyle w:val="ListParagraph"/>
        <w:numPr>
          <w:ilvl w:val="0"/>
          <w:numId w:val="12"/>
        </w:numPr>
        <w:ind w:left="714" w:hanging="357"/>
        <w:contextualSpacing/>
        <w:rPr>
          <w:rFonts w:cs="Segoe UI"/>
          <w:szCs w:val="24"/>
        </w:rPr>
      </w:pPr>
      <w:r w:rsidRPr="00A67C76">
        <w:rPr>
          <w:rFonts w:cs="Segoe UI"/>
          <w:szCs w:val="24"/>
        </w:rPr>
        <w:t xml:space="preserve">permanent (a wetland connected permanently at pool level), </w:t>
      </w:r>
    </w:p>
    <w:p w:rsidR="009C5F10" w:rsidRPr="00A67C76" w:rsidRDefault="009C5F10" w:rsidP="003C5E8D">
      <w:pPr>
        <w:pStyle w:val="ListParagraph"/>
        <w:numPr>
          <w:ilvl w:val="0"/>
          <w:numId w:val="12"/>
        </w:numPr>
        <w:ind w:left="714" w:hanging="357"/>
        <w:contextualSpacing/>
        <w:rPr>
          <w:rFonts w:cs="Segoe UI"/>
          <w:szCs w:val="24"/>
        </w:rPr>
      </w:pPr>
      <w:r w:rsidRPr="00A67C76">
        <w:rPr>
          <w:rFonts w:cs="Segoe UI"/>
          <w:szCs w:val="24"/>
        </w:rPr>
        <w:t xml:space="preserve"> managed (a wetland connected at pool level but managed through a flow-control structure to have wet and dry cycles) or </w:t>
      </w:r>
    </w:p>
    <w:p w:rsidR="009C5F10" w:rsidRPr="00A67C76" w:rsidRDefault="009C5F10" w:rsidP="003C5E8D">
      <w:pPr>
        <w:pStyle w:val="ListParagraph"/>
        <w:numPr>
          <w:ilvl w:val="0"/>
          <w:numId w:val="12"/>
        </w:numPr>
        <w:ind w:left="714" w:hanging="357"/>
        <w:contextualSpacing/>
        <w:rPr>
          <w:rFonts w:cs="Segoe UI"/>
          <w:szCs w:val="24"/>
        </w:rPr>
      </w:pPr>
      <w:proofErr w:type="gramStart"/>
      <w:r w:rsidRPr="00A67C76">
        <w:rPr>
          <w:rFonts w:cs="Segoe UI"/>
          <w:szCs w:val="24"/>
        </w:rPr>
        <w:t>temporary</w:t>
      </w:r>
      <w:proofErr w:type="gramEnd"/>
      <w:r w:rsidRPr="00A67C76">
        <w:rPr>
          <w:rFonts w:cs="Segoe UI"/>
          <w:szCs w:val="24"/>
        </w:rPr>
        <w:t xml:space="preserve"> (a wetland that is inundated when flows are above pool level). </w:t>
      </w:r>
    </w:p>
    <w:p w:rsidR="00932287" w:rsidRPr="00F914C8" w:rsidRDefault="00932287" w:rsidP="00F718DE">
      <w:pPr>
        <w:rPr>
          <w:rFonts w:cs="Segoe UI"/>
          <w:szCs w:val="24"/>
        </w:rPr>
      </w:pPr>
      <w:r w:rsidRPr="00932287">
        <w:rPr>
          <w:rFonts w:cs="Segoe UI"/>
        </w:rPr>
        <w:t>Additionally, surveys conducted when wetlands were being actively managed (e.g. pumped, or closed and drawing down) were also excluded from analysis, as they were not connected and influenced by River flows and water level. Years where there were less than 12 sites sampled of that wetland type were also excluded in the analysis.</w:t>
      </w:r>
      <w:r w:rsidRPr="00F914C8">
        <w:rPr>
          <w:rFonts w:cs="Segoe UI"/>
        </w:rPr>
        <w:t xml:space="preserve"> Lastly, f</w:t>
      </w:r>
      <w:r w:rsidRPr="00F914C8">
        <w:rPr>
          <w:rFonts w:cs="Segoe UI"/>
          <w:szCs w:val="24"/>
        </w:rPr>
        <w:t xml:space="preserve">rog species were only included that spanned all geomorphic regions. </w:t>
      </w:r>
    </w:p>
    <w:p w:rsidR="009C5F10" w:rsidRPr="00A67C76" w:rsidRDefault="00F42F0F" w:rsidP="003C5E8D">
      <w:pPr>
        <w:rPr>
          <w:rFonts w:cs="Segoe UI"/>
          <w:szCs w:val="24"/>
        </w:rPr>
      </w:pPr>
      <w:r w:rsidRPr="00A67C76">
        <w:rPr>
          <w:rFonts w:cs="Segoe UI"/>
          <w:szCs w:val="24"/>
        </w:rPr>
        <w:t>Mean rank frog call abundances were compared using Kruskal-Wallis test as data were non-parametric and sample sizes varied for each year. Post hoc pairwise comparisons were made between different years. All modelling and statistical analysis was conducted using R 3.0.1 (R Core Development Team 2013; package asbio).</w:t>
      </w:r>
      <w:r w:rsidR="003C5E8D" w:rsidRPr="00A67C76">
        <w:rPr>
          <w:rFonts w:cs="Segoe UI"/>
          <w:szCs w:val="24"/>
        </w:rPr>
        <w:t xml:space="preserve"> </w:t>
      </w:r>
      <w:r w:rsidR="009C5F10" w:rsidRPr="00A67C76">
        <w:rPr>
          <w:rFonts w:cs="Segoe UI"/>
          <w:szCs w:val="24"/>
        </w:rPr>
        <w:t xml:space="preserve">For more information on the survey methods please refer to Hoffmann </w:t>
      </w:r>
      <w:r w:rsidR="009C5F10" w:rsidRPr="00A67C76">
        <w:rPr>
          <w:rFonts w:cs="Segoe UI"/>
          <w:i/>
          <w:szCs w:val="24"/>
        </w:rPr>
        <w:t xml:space="preserve">et al. </w:t>
      </w:r>
      <w:r w:rsidR="001676A9" w:rsidRPr="001676A9">
        <w:rPr>
          <w:rFonts w:cs="Segoe UI"/>
          <w:szCs w:val="24"/>
        </w:rPr>
        <w:t>(</w:t>
      </w:r>
      <w:r w:rsidR="00450980" w:rsidRPr="00A67C76">
        <w:rPr>
          <w:rFonts w:cs="Segoe UI"/>
          <w:szCs w:val="24"/>
        </w:rPr>
        <w:t>2014</w:t>
      </w:r>
      <w:r w:rsidR="001676A9">
        <w:rPr>
          <w:rFonts w:cs="Segoe UI"/>
          <w:szCs w:val="24"/>
        </w:rPr>
        <w:t>)</w:t>
      </w:r>
      <w:r w:rsidR="009C5F10" w:rsidRPr="00A67C76">
        <w:rPr>
          <w:rFonts w:cs="Segoe UI"/>
          <w:szCs w:val="24"/>
        </w:rPr>
        <w:t>.</w:t>
      </w:r>
    </w:p>
    <w:p w:rsidR="00DA36A9" w:rsidRPr="00A67C76" w:rsidRDefault="005D1601" w:rsidP="008F0A76">
      <w:pPr>
        <w:pStyle w:val="Heading3"/>
        <w:rPr>
          <w:rStyle w:val="Strong"/>
          <w:b/>
          <w:bCs/>
        </w:rPr>
      </w:pPr>
      <w:bookmarkStart w:id="76" w:name="_Toc387843592"/>
      <w:r w:rsidRPr="00A67C76">
        <w:rPr>
          <w:rStyle w:val="Strong"/>
          <w:b/>
          <w:bCs/>
        </w:rPr>
        <w:t>Coorong (modelling)</w:t>
      </w:r>
      <w:bookmarkEnd w:id="76"/>
    </w:p>
    <w:p w:rsidR="00625D4C" w:rsidRPr="00A67C76" w:rsidRDefault="00625D4C" w:rsidP="00DA36A9">
      <w:pPr>
        <w:rPr>
          <w:b/>
          <w:i/>
        </w:rPr>
      </w:pPr>
      <w:r w:rsidRPr="00A67C76">
        <w:rPr>
          <w:b/>
        </w:rPr>
        <w:t>Hydrodynamic model</w:t>
      </w:r>
    </w:p>
    <w:p w:rsidR="00D12C75" w:rsidRPr="00A67C76" w:rsidRDefault="00625D4C" w:rsidP="003C5E8D">
      <w:pPr>
        <w:jc w:val="both"/>
        <w:rPr>
          <w:rFonts w:eastAsiaTheme="minorHAnsi" w:cstheme="minorBidi"/>
          <w:color w:val="auto"/>
          <w:kern w:val="0"/>
          <w:szCs w:val="22"/>
        </w:rPr>
      </w:pPr>
      <w:r w:rsidRPr="00A67C76">
        <w:rPr>
          <w:rFonts w:eastAsiaTheme="minorHAnsi" w:cstheme="minorBidi"/>
          <w:color w:val="auto"/>
          <w:kern w:val="0"/>
          <w:szCs w:val="22"/>
        </w:rPr>
        <w:t xml:space="preserve">The hydrodynamic model, </w:t>
      </w:r>
      <w:r w:rsidRPr="00A67C76">
        <w:rPr>
          <w:rFonts w:eastAsiaTheme="minorHAnsi" w:cstheme="minorBidi"/>
          <w:i/>
          <w:color w:val="auto"/>
          <w:kern w:val="0"/>
          <w:szCs w:val="22"/>
        </w:rPr>
        <w:t>Coorong Hydrodynamic Model</w:t>
      </w:r>
      <w:r w:rsidRPr="00A67C76">
        <w:rPr>
          <w:rFonts w:eastAsiaTheme="minorHAnsi" w:cstheme="minorBidi"/>
          <w:color w:val="auto"/>
          <w:kern w:val="0"/>
          <w:szCs w:val="22"/>
        </w:rPr>
        <w:t xml:space="preserve"> (CHM) v2.1, developed by CSIRO (</w:t>
      </w:r>
      <w:r w:rsidR="006A2FDC" w:rsidRPr="00A67C76">
        <w:rPr>
          <w:rFonts w:eastAsiaTheme="minorHAnsi" w:cstheme="minorBidi"/>
          <w:noProof/>
          <w:color w:val="auto"/>
          <w:kern w:val="0"/>
          <w:szCs w:val="22"/>
        </w:rPr>
        <w:t xml:space="preserve">Webster 2007; Webster 2013; </w:t>
      </w:r>
      <w:r w:rsidRPr="00A67C76">
        <w:rPr>
          <w:rFonts w:eastAsiaTheme="minorHAnsi" w:cstheme="minorBidi"/>
          <w:color w:val="auto"/>
          <w:kern w:val="0"/>
          <w:szCs w:val="22"/>
        </w:rPr>
        <w:t>Joehnk and Webster 2014)</w:t>
      </w:r>
      <w:r w:rsidR="00771D50" w:rsidRPr="00A67C76">
        <w:rPr>
          <w:rFonts w:eastAsiaTheme="minorHAnsi" w:cstheme="minorBidi"/>
          <w:color w:val="auto"/>
          <w:kern w:val="0"/>
          <w:szCs w:val="22"/>
        </w:rPr>
        <w:t xml:space="preserve"> was used to simulate w</w:t>
      </w:r>
      <w:r w:rsidRPr="00A67C76">
        <w:rPr>
          <w:rFonts w:eastAsiaTheme="minorHAnsi" w:cstheme="minorBidi"/>
          <w:color w:val="auto"/>
          <w:kern w:val="0"/>
          <w:szCs w:val="22"/>
        </w:rPr>
        <w:t>ater level and salinity</w:t>
      </w:r>
      <w:r w:rsidR="002A0D74" w:rsidRPr="00A67C76">
        <w:rPr>
          <w:rFonts w:eastAsiaTheme="minorHAnsi" w:cstheme="minorBidi"/>
          <w:color w:val="auto"/>
          <w:kern w:val="0"/>
          <w:szCs w:val="22"/>
        </w:rPr>
        <w:t xml:space="preserve"> along the Coorong</w:t>
      </w:r>
      <w:r w:rsidR="002E1128" w:rsidRPr="00A67C76">
        <w:rPr>
          <w:rFonts w:eastAsiaTheme="minorHAnsi" w:cstheme="minorBidi"/>
          <w:color w:val="auto"/>
          <w:kern w:val="0"/>
          <w:szCs w:val="22"/>
        </w:rPr>
        <w:t xml:space="preserve"> for 102 km </w:t>
      </w:r>
      <w:r w:rsidR="00B86289">
        <w:rPr>
          <w:rFonts w:eastAsiaTheme="minorHAnsi" w:cstheme="minorBidi"/>
          <w:color w:val="auto"/>
          <w:kern w:val="0"/>
          <w:szCs w:val="22"/>
        </w:rPr>
        <w:t xml:space="preserve">on a numerical grid reaching </w:t>
      </w:r>
      <w:r w:rsidR="002E1128" w:rsidRPr="00A67C76">
        <w:rPr>
          <w:rFonts w:eastAsiaTheme="minorHAnsi" w:cstheme="minorBidi"/>
          <w:color w:val="auto"/>
          <w:kern w:val="0"/>
          <w:szCs w:val="22"/>
        </w:rPr>
        <w:t xml:space="preserve">from the </w:t>
      </w:r>
      <w:r w:rsidR="00B86289">
        <w:rPr>
          <w:rFonts w:eastAsiaTheme="minorHAnsi" w:cstheme="minorBidi"/>
          <w:color w:val="auto"/>
          <w:kern w:val="0"/>
          <w:szCs w:val="22"/>
        </w:rPr>
        <w:t xml:space="preserve">channel leading from the </w:t>
      </w:r>
      <w:r w:rsidR="002E1128" w:rsidRPr="00A67C76">
        <w:rPr>
          <w:rFonts w:eastAsiaTheme="minorHAnsi" w:cstheme="minorBidi"/>
          <w:color w:val="auto"/>
          <w:kern w:val="0"/>
          <w:szCs w:val="22"/>
        </w:rPr>
        <w:t xml:space="preserve">Murray Mouth </w:t>
      </w:r>
      <w:r w:rsidR="00B86289">
        <w:rPr>
          <w:rFonts w:eastAsiaTheme="minorHAnsi" w:cstheme="minorBidi"/>
          <w:color w:val="auto"/>
          <w:kern w:val="0"/>
          <w:szCs w:val="22"/>
        </w:rPr>
        <w:t xml:space="preserve">to the North Lagoon </w:t>
      </w:r>
      <w:r w:rsidR="00F718DE">
        <w:rPr>
          <w:rFonts w:eastAsiaTheme="minorHAnsi" w:cstheme="minorBidi"/>
          <w:color w:val="auto"/>
          <w:kern w:val="0"/>
          <w:szCs w:val="22"/>
        </w:rPr>
        <w:t xml:space="preserve">down </w:t>
      </w:r>
      <w:r w:rsidR="00B86289">
        <w:rPr>
          <w:rFonts w:eastAsiaTheme="minorHAnsi" w:cstheme="minorBidi"/>
          <w:color w:val="auto"/>
          <w:kern w:val="0"/>
          <w:szCs w:val="22"/>
        </w:rPr>
        <w:t xml:space="preserve">to </w:t>
      </w:r>
      <w:r w:rsidR="002E1128" w:rsidRPr="00A67C76">
        <w:rPr>
          <w:rFonts w:eastAsiaTheme="minorHAnsi" w:cstheme="minorBidi"/>
          <w:color w:val="auto"/>
          <w:kern w:val="0"/>
          <w:szCs w:val="22"/>
        </w:rPr>
        <w:t>the southern end of the South Lagoon</w:t>
      </w:r>
      <w:r w:rsidR="00F06EFD">
        <w:rPr>
          <w:rFonts w:eastAsiaTheme="minorHAnsi" w:cstheme="minorBidi"/>
          <w:color w:val="auto"/>
          <w:kern w:val="0"/>
          <w:szCs w:val="22"/>
        </w:rPr>
        <w:t xml:space="preserve"> (e.g. Joehnk and Webster 2014)</w:t>
      </w:r>
      <w:r w:rsidR="002E1128" w:rsidRPr="00A67C76">
        <w:rPr>
          <w:rFonts w:eastAsiaTheme="minorHAnsi" w:cstheme="minorBidi"/>
          <w:color w:val="auto"/>
          <w:kern w:val="0"/>
          <w:szCs w:val="22"/>
        </w:rPr>
        <w:t xml:space="preserve">. </w:t>
      </w:r>
      <w:r w:rsidRPr="00A67C76">
        <w:rPr>
          <w:rFonts w:eastAsiaTheme="minorHAnsi" w:cstheme="minorBidi"/>
          <w:color w:val="auto"/>
          <w:kern w:val="0"/>
          <w:szCs w:val="22"/>
        </w:rPr>
        <w:t xml:space="preserve">The </w:t>
      </w:r>
      <w:r w:rsidR="00771D50" w:rsidRPr="00A67C76">
        <w:rPr>
          <w:rFonts w:eastAsiaTheme="minorHAnsi" w:cstheme="minorBidi"/>
          <w:color w:val="auto"/>
          <w:kern w:val="0"/>
          <w:szCs w:val="22"/>
        </w:rPr>
        <w:t>hydrodynamic model</w:t>
      </w:r>
      <w:r w:rsidR="002A0D74" w:rsidRPr="00A67C76">
        <w:rPr>
          <w:rFonts w:eastAsiaTheme="minorHAnsi" w:cstheme="minorBidi"/>
          <w:color w:val="auto"/>
          <w:kern w:val="0"/>
          <w:szCs w:val="22"/>
        </w:rPr>
        <w:t xml:space="preserve"> </w:t>
      </w:r>
      <w:r w:rsidRPr="00A67C76">
        <w:rPr>
          <w:rFonts w:eastAsiaTheme="minorHAnsi" w:cstheme="minorBidi"/>
          <w:color w:val="auto"/>
          <w:kern w:val="0"/>
          <w:szCs w:val="22"/>
        </w:rPr>
        <w:t>is based on daily barrage flow values from 1963 and updated regularly, currently until 31 Aug</w:t>
      </w:r>
      <w:r w:rsidR="00771D50" w:rsidRPr="00A67C76">
        <w:rPr>
          <w:rFonts w:eastAsiaTheme="minorHAnsi" w:cstheme="minorBidi"/>
          <w:color w:val="auto"/>
          <w:kern w:val="0"/>
          <w:szCs w:val="22"/>
        </w:rPr>
        <w:t>ust 2013 (data provided by MDBA</w:t>
      </w:r>
      <w:r w:rsidRPr="00A67C76">
        <w:rPr>
          <w:rFonts w:eastAsiaTheme="minorHAnsi" w:cstheme="minorBidi"/>
          <w:color w:val="auto"/>
          <w:kern w:val="0"/>
          <w:szCs w:val="22"/>
        </w:rPr>
        <w:t xml:space="preserve">). Salinities </w:t>
      </w:r>
      <w:r w:rsidR="002A0D74" w:rsidRPr="00A67C76">
        <w:rPr>
          <w:rFonts w:eastAsiaTheme="minorHAnsi" w:cstheme="minorBidi"/>
          <w:color w:val="auto"/>
          <w:kern w:val="0"/>
          <w:szCs w:val="22"/>
        </w:rPr>
        <w:t>and</w:t>
      </w:r>
      <w:r w:rsidRPr="00A67C76">
        <w:rPr>
          <w:rFonts w:eastAsiaTheme="minorHAnsi" w:cstheme="minorBidi"/>
          <w:color w:val="auto"/>
          <w:kern w:val="0"/>
          <w:szCs w:val="22"/>
        </w:rPr>
        <w:t xml:space="preserve"> water level along the North an</w:t>
      </w:r>
      <w:r w:rsidR="002A0D74" w:rsidRPr="00A67C76">
        <w:rPr>
          <w:rFonts w:eastAsiaTheme="minorHAnsi" w:cstheme="minorBidi"/>
          <w:color w:val="auto"/>
          <w:kern w:val="0"/>
          <w:szCs w:val="22"/>
        </w:rPr>
        <w:t>d South L</w:t>
      </w:r>
      <w:r w:rsidRPr="00A67C76">
        <w:rPr>
          <w:rFonts w:eastAsiaTheme="minorHAnsi" w:cstheme="minorBidi"/>
          <w:color w:val="auto"/>
          <w:kern w:val="0"/>
          <w:szCs w:val="22"/>
        </w:rPr>
        <w:t xml:space="preserve">agoon were calculated on a daily time step with 1 km resolution driven with hourly and daily datasets describing tidal forcing, wind velocity, evaporation and precipitation. </w:t>
      </w:r>
      <w:r w:rsidR="00D12C75" w:rsidRPr="00A67C76">
        <w:rPr>
          <w:rFonts w:eastAsiaTheme="minorHAnsi" w:cstheme="minorBidi"/>
          <w:color w:val="auto"/>
          <w:kern w:val="0"/>
          <w:szCs w:val="22"/>
        </w:rPr>
        <w:t xml:space="preserve">The modelling was run to simulate the whole period from 1963 to 2013.  </w:t>
      </w:r>
    </w:p>
    <w:p w:rsidR="00625D4C" w:rsidRPr="00A67C76" w:rsidRDefault="00D12C75" w:rsidP="003C5E8D">
      <w:pPr>
        <w:jc w:val="both"/>
        <w:rPr>
          <w:rFonts w:eastAsiaTheme="minorHAnsi" w:cstheme="minorBidi"/>
          <w:color w:val="auto"/>
          <w:kern w:val="0"/>
          <w:szCs w:val="22"/>
        </w:rPr>
      </w:pPr>
      <w:r w:rsidRPr="00A67C76">
        <w:rPr>
          <w:rFonts w:eastAsiaTheme="minorHAnsi" w:cstheme="minorBidi"/>
          <w:color w:val="auto"/>
          <w:kern w:val="0"/>
          <w:szCs w:val="22"/>
        </w:rPr>
        <w:t>Additionally, t</w:t>
      </w:r>
      <w:r w:rsidR="00625D4C" w:rsidRPr="00A67C76">
        <w:rPr>
          <w:rFonts w:eastAsiaTheme="minorHAnsi" w:cstheme="minorBidi"/>
          <w:color w:val="auto"/>
          <w:kern w:val="0"/>
          <w:szCs w:val="22"/>
        </w:rPr>
        <w:t>o evaluate the effect of environmental water</w:t>
      </w:r>
      <w:r w:rsidRPr="00A67C76">
        <w:rPr>
          <w:rFonts w:eastAsiaTheme="minorHAnsi" w:cstheme="minorBidi"/>
          <w:color w:val="auto"/>
          <w:kern w:val="0"/>
          <w:szCs w:val="22"/>
        </w:rPr>
        <w:t>ing</w:t>
      </w:r>
      <w:r w:rsidR="00625D4C" w:rsidRPr="00A67C76">
        <w:rPr>
          <w:rFonts w:eastAsiaTheme="minorHAnsi" w:cstheme="minorBidi"/>
          <w:color w:val="auto"/>
          <w:kern w:val="0"/>
          <w:szCs w:val="22"/>
        </w:rPr>
        <w:t xml:space="preserve"> on ecosystems</w:t>
      </w:r>
      <w:r w:rsidRPr="00A67C76">
        <w:rPr>
          <w:rFonts w:eastAsiaTheme="minorHAnsi" w:cstheme="minorBidi"/>
          <w:color w:val="auto"/>
          <w:kern w:val="0"/>
          <w:szCs w:val="22"/>
        </w:rPr>
        <w:t>,</w:t>
      </w:r>
      <w:r w:rsidR="00625D4C" w:rsidRPr="00A67C76">
        <w:rPr>
          <w:rFonts w:eastAsiaTheme="minorHAnsi" w:cstheme="minorBidi"/>
          <w:color w:val="auto"/>
          <w:kern w:val="0"/>
          <w:szCs w:val="22"/>
        </w:rPr>
        <w:t xml:space="preserve"> three scenarios were </w:t>
      </w:r>
      <w:r w:rsidRPr="00A67C76">
        <w:rPr>
          <w:rFonts w:eastAsiaTheme="minorHAnsi" w:cstheme="minorBidi"/>
          <w:color w:val="auto"/>
          <w:kern w:val="0"/>
          <w:szCs w:val="22"/>
        </w:rPr>
        <w:t xml:space="preserve">calculated </w:t>
      </w:r>
      <w:r w:rsidR="00625D4C" w:rsidRPr="00A67C76">
        <w:rPr>
          <w:rFonts w:eastAsiaTheme="minorHAnsi" w:cstheme="minorBidi"/>
          <w:color w:val="auto"/>
          <w:kern w:val="0"/>
          <w:szCs w:val="22"/>
        </w:rPr>
        <w:t xml:space="preserve">for the </w:t>
      </w:r>
      <w:r w:rsidR="00333041" w:rsidRPr="00A67C76">
        <w:rPr>
          <w:rFonts w:eastAsiaTheme="minorHAnsi" w:cstheme="minorBidi"/>
          <w:color w:val="auto"/>
          <w:kern w:val="0"/>
          <w:szCs w:val="22"/>
        </w:rPr>
        <w:t>2012</w:t>
      </w:r>
      <w:r w:rsidR="00FD328A" w:rsidRPr="00FD328A">
        <w:rPr>
          <w:rFonts w:eastAsiaTheme="minorHAnsi" w:cstheme="minorBidi"/>
          <w:color w:val="auto"/>
          <w:kern w:val="0"/>
          <w:szCs w:val="22"/>
        </w:rPr>
        <w:t>-13</w:t>
      </w:r>
      <w:r w:rsidR="00625D4C" w:rsidRPr="00A67C76">
        <w:rPr>
          <w:rFonts w:eastAsiaTheme="minorHAnsi" w:cstheme="minorBidi"/>
          <w:color w:val="auto"/>
          <w:kern w:val="0"/>
          <w:szCs w:val="22"/>
        </w:rPr>
        <w:t xml:space="preserve"> watering year</w:t>
      </w:r>
      <w:r w:rsidRPr="00A67C76">
        <w:rPr>
          <w:rFonts w:eastAsiaTheme="minorHAnsi" w:cstheme="minorBidi"/>
          <w:color w:val="auto"/>
          <w:kern w:val="0"/>
          <w:szCs w:val="22"/>
        </w:rPr>
        <w:t>:</w:t>
      </w:r>
    </w:p>
    <w:p w:rsidR="00625D4C" w:rsidRPr="00A67C76" w:rsidRDefault="00067352" w:rsidP="00807938">
      <w:pPr>
        <w:numPr>
          <w:ilvl w:val="0"/>
          <w:numId w:val="22"/>
        </w:numPr>
        <w:ind w:left="714" w:hanging="357"/>
        <w:contextualSpacing/>
        <w:rPr>
          <w:rFonts w:eastAsiaTheme="minorHAnsi" w:cstheme="minorBidi"/>
          <w:color w:val="auto"/>
          <w:kern w:val="0"/>
          <w:szCs w:val="22"/>
        </w:rPr>
      </w:pPr>
      <w:r w:rsidRPr="00A67C76">
        <w:rPr>
          <w:rFonts w:eastAsiaTheme="minorHAnsi" w:cstheme="minorBidi"/>
          <w:color w:val="auto"/>
          <w:kern w:val="0"/>
          <w:szCs w:val="22"/>
        </w:rPr>
        <w:t>r</w:t>
      </w:r>
      <w:r w:rsidR="00625D4C" w:rsidRPr="00A67C76">
        <w:rPr>
          <w:rFonts w:eastAsiaTheme="minorHAnsi" w:cstheme="minorBidi"/>
          <w:color w:val="auto"/>
          <w:kern w:val="0"/>
          <w:szCs w:val="22"/>
        </w:rPr>
        <w:t>eference, including all water sources</w:t>
      </w:r>
      <w:r w:rsidRPr="00A67C76">
        <w:rPr>
          <w:rFonts w:eastAsiaTheme="minorHAnsi" w:cstheme="minorBidi"/>
          <w:color w:val="auto"/>
          <w:kern w:val="0"/>
          <w:szCs w:val="22"/>
        </w:rPr>
        <w:t>;</w:t>
      </w:r>
    </w:p>
    <w:p w:rsidR="00625D4C" w:rsidRPr="00A67C76" w:rsidRDefault="00067352" w:rsidP="00807938">
      <w:pPr>
        <w:numPr>
          <w:ilvl w:val="0"/>
          <w:numId w:val="22"/>
        </w:numPr>
        <w:ind w:left="714" w:hanging="357"/>
        <w:contextualSpacing/>
        <w:rPr>
          <w:rFonts w:eastAsiaTheme="minorHAnsi" w:cstheme="minorBidi"/>
          <w:color w:val="auto"/>
          <w:kern w:val="0"/>
          <w:szCs w:val="22"/>
        </w:rPr>
      </w:pPr>
      <w:r w:rsidRPr="00A67C76">
        <w:rPr>
          <w:rFonts w:eastAsiaTheme="minorHAnsi" w:cstheme="minorBidi"/>
          <w:color w:val="auto"/>
          <w:kern w:val="0"/>
          <w:szCs w:val="22"/>
        </w:rPr>
        <w:t>w</w:t>
      </w:r>
      <w:r w:rsidR="00625D4C" w:rsidRPr="00A67C76">
        <w:rPr>
          <w:rFonts w:eastAsiaTheme="minorHAnsi" w:cstheme="minorBidi"/>
          <w:color w:val="auto"/>
          <w:kern w:val="0"/>
          <w:szCs w:val="22"/>
        </w:rPr>
        <w:t>ith Commonwealth environmental water, without TLM water</w:t>
      </w:r>
      <w:r w:rsidRPr="00A67C76">
        <w:rPr>
          <w:rFonts w:eastAsiaTheme="minorHAnsi" w:cstheme="minorBidi"/>
          <w:color w:val="auto"/>
          <w:kern w:val="0"/>
          <w:szCs w:val="22"/>
        </w:rPr>
        <w:t>;</w:t>
      </w:r>
    </w:p>
    <w:p w:rsidR="00625D4C" w:rsidRPr="00A67C76" w:rsidRDefault="00E53EA0" w:rsidP="00807938">
      <w:pPr>
        <w:numPr>
          <w:ilvl w:val="0"/>
          <w:numId w:val="22"/>
        </w:numPr>
        <w:ind w:left="714" w:hanging="357"/>
        <w:contextualSpacing/>
        <w:rPr>
          <w:rFonts w:eastAsiaTheme="minorHAnsi" w:cstheme="minorBidi"/>
          <w:color w:val="auto"/>
          <w:kern w:val="0"/>
          <w:szCs w:val="22"/>
        </w:rPr>
      </w:pPr>
      <w:proofErr w:type="gramStart"/>
      <w:r w:rsidRPr="00A67C76">
        <w:t>without</w:t>
      </w:r>
      <w:proofErr w:type="gramEnd"/>
      <w:r w:rsidRPr="00A67C76">
        <w:t xml:space="preserve"> both commonwealth environmental water and The Living Murray water</w:t>
      </w:r>
      <w:r w:rsidR="001676A9">
        <w:t>.</w:t>
      </w:r>
    </w:p>
    <w:p w:rsidR="00625D4C" w:rsidRPr="00A67C76" w:rsidRDefault="00625D4C" w:rsidP="003C5E8D">
      <w:pPr>
        <w:jc w:val="both"/>
        <w:rPr>
          <w:rFonts w:eastAsiaTheme="minorHAnsi" w:cstheme="minorBidi"/>
          <w:color w:val="auto"/>
          <w:kern w:val="0"/>
          <w:szCs w:val="22"/>
        </w:rPr>
      </w:pPr>
      <w:r w:rsidRPr="00A67C76">
        <w:rPr>
          <w:rFonts w:eastAsiaTheme="minorHAnsi" w:cstheme="minorBidi"/>
          <w:color w:val="auto"/>
          <w:kern w:val="0"/>
          <w:szCs w:val="22"/>
        </w:rPr>
        <w:t xml:space="preserve">The results </w:t>
      </w:r>
      <w:r w:rsidR="009850AB" w:rsidRPr="00A67C76">
        <w:rPr>
          <w:rFonts w:eastAsiaTheme="minorHAnsi" w:cstheme="minorBidi"/>
          <w:color w:val="auto"/>
          <w:kern w:val="0"/>
          <w:szCs w:val="22"/>
        </w:rPr>
        <w:t xml:space="preserve">of </w:t>
      </w:r>
      <w:r w:rsidR="00D12C75" w:rsidRPr="00A67C76">
        <w:rPr>
          <w:rFonts w:eastAsiaTheme="minorHAnsi" w:cstheme="minorBidi"/>
          <w:color w:val="auto"/>
          <w:kern w:val="0"/>
          <w:szCs w:val="22"/>
        </w:rPr>
        <w:t>salinit</w:t>
      </w:r>
      <w:r w:rsidR="009850AB" w:rsidRPr="00A67C76">
        <w:rPr>
          <w:rFonts w:eastAsiaTheme="minorHAnsi" w:cstheme="minorBidi"/>
          <w:color w:val="auto"/>
          <w:kern w:val="0"/>
          <w:szCs w:val="22"/>
        </w:rPr>
        <w:t>ies</w:t>
      </w:r>
      <w:r w:rsidR="00D12C75" w:rsidRPr="00A67C76">
        <w:rPr>
          <w:rFonts w:eastAsiaTheme="minorHAnsi" w:cstheme="minorBidi"/>
          <w:color w:val="auto"/>
          <w:kern w:val="0"/>
          <w:szCs w:val="22"/>
        </w:rPr>
        <w:t xml:space="preserve"> and water level from</w:t>
      </w:r>
      <w:r w:rsidRPr="00A67C76">
        <w:rPr>
          <w:rFonts w:eastAsiaTheme="minorHAnsi" w:cstheme="minorBidi"/>
          <w:color w:val="auto"/>
          <w:kern w:val="0"/>
          <w:szCs w:val="22"/>
        </w:rPr>
        <w:t xml:space="preserve"> scenario</w:t>
      </w:r>
      <w:r w:rsidR="00D12C75" w:rsidRPr="00A67C76">
        <w:rPr>
          <w:rFonts w:eastAsiaTheme="minorHAnsi" w:cstheme="minorBidi"/>
          <w:color w:val="auto"/>
          <w:kern w:val="0"/>
          <w:szCs w:val="22"/>
        </w:rPr>
        <w:t xml:space="preserve"> runs were </w:t>
      </w:r>
      <w:r w:rsidR="009850AB" w:rsidRPr="00A67C76">
        <w:rPr>
          <w:rFonts w:eastAsiaTheme="minorHAnsi" w:cstheme="minorBidi"/>
          <w:color w:val="auto"/>
          <w:kern w:val="0"/>
          <w:szCs w:val="22"/>
        </w:rPr>
        <w:t xml:space="preserve">subsequently </w:t>
      </w:r>
      <w:r w:rsidR="00D12C75" w:rsidRPr="00A67C76">
        <w:rPr>
          <w:rFonts w:eastAsiaTheme="minorHAnsi" w:cstheme="minorBidi"/>
          <w:color w:val="auto"/>
          <w:kern w:val="0"/>
          <w:szCs w:val="22"/>
        </w:rPr>
        <w:t>u</w:t>
      </w:r>
      <w:r w:rsidRPr="00A67C76">
        <w:rPr>
          <w:rFonts w:eastAsiaTheme="minorHAnsi" w:cstheme="minorBidi"/>
          <w:color w:val="auto"/>
          <w:kern w:val="0"/>
          <w:szCs w:val="22"/>
        </w:rPr>
        <w:t xml:space="preserve">sed to simulate habitat characteristics for </w:t>
      </w:r>
      <w:r w:rsidRPr="00A67C76">
        <w:rPr>
          <w:rFonts w:eastAsiaTheme="minorHAnsi" w:cstheme="minorBidi"/>
          <w:i/>
          <w:color w:val="auto"/>
          <w:kern w:val="0"/>
          <w:szCs w:val="22"/>
        </w:rPr>
        <w:t>Ruppia tuberosa</w:t>
      </w:r>
      <w:r w:rsidRPr="00A67C76">
        <w:rPr>
          <w:rFonts w:eastAsiaTheme="minorHAnsi" w:cstheme="minorBidi"/>
          <w:color w:val="auto"/>
          <w:kern w:val="0"/>
          <w:szCs w:val="22"/>
        </w:rPr>
        <w:t xml:space="preserve"> as well as fish species.</w:t>
      </w:r>
    </w:p>
    <w:p w:rsidR="00625D4C" w:rsidRPr="00A67C76" w:rsidRDefault="004360C3" w:rsidP="00C12CB4">
      <w:pPr>
        <w:rPr>
          <w:b/>
          <w:i/>
        </w:rPr>
      </w:pPr>
      <w:r w:rsidRPr="00A67C76">
        <w:rPr>
          <w:b/>
          <w:i/>
        </w:rPr>
        <w:t xml:space="preserve">Ruppia </w:t>
      </w:r>
      <w:r w:rsidR="00122CD9" w:rsidRPr="00A67C76">
        <w:rPr>
          <w:b/>
          <w:i/>
        </w:rPr>
        <w:t>t</w:t>
      </w:r>
      <w:r w:rsidRPr="00A67C76">
        <w:rPr>
          <w:b/>
          <w:i/>
        </w:rPr>
        <w:t>uberosa</w:t>
      </w:r>
    </w:p>
    <w:p w:rsidR="006A2FDC" w:rsidRPr="00A67C76" w:rsidRDefault="006A2FDC" w:rsidP="006A2FDC">
      <w:pPr>
        <w:spacing w:before="0" w:after="60"/>
        <w:jc w:val="both"/>
        <w:rPr>
          <w:rFonts w:eastAsiaTheme="minorHAnsi" w:cstheme="minorBidi"/>
          <w:color w:val="auto"/>
          <w:kern w:val="0"/>
          <w:szCs w:val="22"/>
        </w:rPr>
      </w:pPr>
      <w:r w:rsidRPr="00A67C76">
        <w:rPr>
          <w:rFonts w:eastAsiaTheme="minorHAnsi" w:cstheme="minorBidi"/>
          <w:color w:val="auto"/>
          <w:kern w:val="0"/>
          <w:szCs w:val="22"/>
        </w:rPr>
        <w:t xml:space="preserve">Based on the effect of salinity and water level on the </w:t>
      </w:r>
      <w:r w:rsidR="00EC7B84" w:rsidRPr="00EC7B84">
        <w:rPr>
          <w:rFonts w:eastAsiaTheme="minorHAnsi" w:cstheme="minorBidi"/>
          <w:color w:val="auto"/>
          <w:kern w:val="0"/>
          <w:szCs w:val="22"/>
        </w:rPr>
        <w:t>life-history</w:t>
      </w:r>
      <w:r w:rsidRPr="00A67C76">
        <w:rPr>
          <w:rFonts w:eastAsiaTheme="minorHAnsi" w:cstheme="minorBidi"/>
          <w:color w:val="auto"/>
          <w:kern w:val="0"/>
          <w:szCs w:val="22"/>
        </w:rPr>
        <w:t xml:space="preserve"> of </w:t>
      </w:r>
      <w:r w:rsidRPr="00A67C76">
        <w:rPr>
          <w:rFonts w:eastAsiaTheme="minorHAnsi" w:cstheme="minorBidi"/>
          <w:i/>
          <w:color w:val="auto"/>
          <w:kern w:val="0"/>
          <w:szCs w:val="22"/>
        </w:rPr>
        <w:t>Rup</w:t>
      </w:r>
      <w:r w:rsidR="00657C2E" w:rsidRPr="00A67C76">
        <w:rPr>
          <w:rFonts w:eastAsiaTheme="minorHAnsi" w:cstheme="minorBidi"/>
          <w:i/>
          <w:color w:val="auto"/>
          <w:kern w:val="0"/>
          <w:szCs w:val="22"/>
        </w:rPr>
        <w:t>p</w:t>
      </w:r>
      <w:r w:rsidRPr="00A67C76">
        <w:rPr>
          <w:rFonts w:eastAsiaTheme="minorHAnsi" w:cstheme="minorBidi"/>
          <w:i/>
          <w:color w:val="auto"/>
          <w:kern w:val="0"/>
          <w:szCs w:val="22"/>
        </w:rPr>
        <w:t>ia tuberosa</w:t>
      </w:r>
      <w:r w:rsidRPr="00A67C76">
        <w:rPr>
          <w:rFonts w:eastAsiaTheme="minorHAnsi" w:cstheme="minorBidi"/>
          <w:color w:val="auto"/>
          <w:kern w:val="0"/>
          <w:szCs w:val="22"/>
        </w:rPr>
        <w:t xml:space="preserve">, an ecological response model </w:t>
      </w:r>
      <w:r w:rsidR="006408C7" w:rsidRPr="00A67C76">
        <w:rPr>
          <w:rFonts w:eastAsiaTheme="minorHAnsi" w:cstheme="minorBidi"/>
          <w:color w:val="auto"/>
          <w:kern w:val="0"/>
          <w:szCs w:val="22"/>
        </w:rPr>
        <w:t xml:space="preserve">that </w:t>
      </w:r>
      <w:r w:rsidRPr="00A67C76">
        <w:rPr>
          <w:rFonts w:eastAsiaTheme="minorHAnsi" w:cstheme="minorBidi"/>
          <w:color w:val="auto"/>
          <w:kern w:val="0"/>
          <w:szCs w:val="22"/>
        </w:rPr>
        <w:t>calculated the probability of replenishing the sediment propagule bank based on modeled hydrological conditions</w:t>
      </w:r>
      <w:r w:rsidR="006408C7" w:rsidRPr="00A67C76">
        <w:rPr>
          <w:rFonts w:eastAsiaTheme="minorHAnsi" w:cstheme="minorBidi"/>
          <w:color w:val="auto"/>
          <w:kern w:val="0"/>
          <w:szCs w:val="22"/>
        </w:rPr>
        <w:t xml:space="preserve"> (i.e. output of the CHM)</w:t>
      </w:r>
      <w:r w:rsidRPr="00A67C76">
        <w:rPr>
          <w:rFonts w:eastAsiaTheme="minorHAnsi" w:cstheme="minorBidi"/>
          <w:color w:val="auto"/>
          <w:kern w:val="0"/>
          <w:szCs w:val="22"/>
        </w:rPr>
        <w:t xml:space="preserve"> was developed.  For the purpose of modeling, each </w:t>
      </w:r>
      <w:r w:rsidR="00EC7B84" w:rsidRPr="00EC7B84">
        <w:rPr>
          <w:rFonts w:eastAsiaTheme="minorHAnsi" w:cstheme="minorBidi"/>
          <w:color w:val="auto"/>
          <w:kern w:val="0"/>
          <w:szCs w:val="22"/>
        </w:rPr>
        <w:t>life-history</w:t>
      </w:r>
      <w:r w:rsidRPr="00A67C76">
        <w:rPr>
          <w:rFonts w:eastAsiaTheme="minorHAnsi" w:cstheme="minorBidi"/>
          <w:color w:val="auto"/>
          <w:kern w:val="0"/>
          <w:szCs w:val="22"/>
        </w:rPr>
        <w:t xml:space="preserve"> stage was treated as occurring over a discrete time period (in nature there would be considerable overlap of </w:t>
      </w:r>
      <w:r w:rsidR="00EC7B84" w:rsidRPr="00EC7B84">
        <w:rPr>
          <w:rFonts w:eastAsiaTheme="minorHAnsi" w:cstheme="minorBidi"/>
          <w:color w:val="auto"/>
          <w:kern w:val="0"/>
          <w:szCs w:val="22"/>
        </w:rPr>
        <w:t>life-history</w:t>
      </w:r>
      <w:r w:rsidRPr="00A67C76">
        <w:rPr>
          <w:rFonts w:eastAsiaTheme="minorHAnsi" w:cstheme="minorBidi"/>
          <w:color w:val="auto"/>
          <w:kern w:val="0"/>
          <w:szCs w:val="22"/>
        </w:rPr>
        <w:t xml:space="preserve"> stages) and a survival probability calculated for each time block that was in turn used to calculate the probability of replenishing the sediment propagule bank.</w:t>
      </w:r>
    </w:p>
    <w:p w:rsidR="006A2FDC" w:rsidRPr="00A67C76" w:rsidRDefault="006A2FDC" w:rsidP="00D52C53">
      <w:pPr>
        <w:spacing w:before="0" w:after="60"/>
        <w:jc w:val="both"/>
        <w:rPr>
          <w:rFonts w:eastAsiaTheme="minorHAnsi" w:cstheme="minorBidi"/>
          <w:color w:val="auto"/>
          <w:kern w:val="0"/>
          <w:szCs w:val="22"/>
        </w:rPr>
      </w:pPr>
      <w:r w:rsidRPr="00A67C76">
        <w:rPr>
          <w:rFonts w:eastAsiaTheme="minorHAnsi" w:cstheme="minorBidi"/>
          <w:color w:val="auto"/>
          <w:kern w:val="0"/>
          <w:szCs w:val="22"/>
        </w:rPr>
        <w:t xml:space="preserve">Model processes </w:t>
      </w:r>
      <w:r w:rsidR="006408C7" w:rsidRPr="00A67C76">
        <w:rPr>
          <w:rFonts w:eastAsiaTheme="minorHAnsi" w:cstheme="minorBidi"/>
          <w:color w:val="auto"/>
          <w:kern w:val="0"/>
          <w:szCs w:val="22"/>
        </w:rPr>
        <w:t xml:space="preserve">include </w:t>
      </w:r>
      <w:r w:rsidRPr="00A67C76">
        <w:rPr>
          <w:rFonts w:eastAsiaTheme="minorHAnsi" w:cstheme="minorBidi"/>
          <w:color w:val="auto"/>
          <w:kern w:val="0"/>
          <w:szCs w:val="22"/>
        </w:rPr>
        <w:t xml:space="preserve">seed germination, turion sprouting, </w:t>
      </w:r>
      <w:proofErr w:type="gramStart"/>
      <w:r w:rsidRPr="00A67C76">
        <w:rPr>
          <w:rFonts w:eastAsiaTheme="minorHAnsi" w:cstheme="minorBidi"/>
          <w:color w:val="auto"/>
          <w:kern w:val="0"/>
          <w:szCs w:val="22"/>
        </w:rPr>
        <w:t>seedling</w:t>
      </w:r>
      <w:proofErr w:type="gramEnd"/>
      <w:r w:rsidRPr="00A67C76">
        <w:rPr>
          <w:rFonts w:eastAsiaTheme="minorHAnsi" w:cstheme="minorBidi"/>
          <w:color w:val="auto"/>
          <w:kern w:val="0"/>
          <w:szCs w:val="22"/>
        </w:rPr>
        <w:t xml:space="preserve"> development to juvenile plants, juvenile development to asexual adult plants, and asexual adult development to sexual adult plants</w:t>
      </w:r>
      <w:r w:rsidR="00693B89" w:rsidRPr="00A67C76">
        <w:rPr>
          <w:rFonts w:eastAsiaTheme="minorHAnsi" w:cstheme="minorBidi"/>
          <w:color w:val="auto"/>
          <w:kern w:val="0"/>
          <w:szCs w:val="22"/>
        </w:rPr>
        <w:t>. Detailed modelling descriptions</w:t>
      </w:r>
      <w:r w:rsidRPr="00A67C76">
        <w:rPr>
          <w:rFonts w:eastAsiaTheme="minorHAnsi" w:cstheme="minorBidi"/>
          <w:color w:val="auto"/>
          <w:kern w:val="0"/>
          <w:szCs w:val="22"/>
        </w:rPr>
        <w:t xml:space="preserve"> are </w:t>
      </w:r>
      <w:r w:rsidR="00693B89" w:rsidRPr="00A67C76">
        <w:rPr>
          <w:rFonts w:eastAsiaTheme="minorHAnsi" w:cstheme="minorBidi"/>
          <w:color w:val="auto"/>
          <w:kern w:val="0"/>
          <w:szCs w:val="22"/>
        </w:rPr>
        <w:t xml:space="preserve">provided in Joehnk </w:t>
      </w:r>
      <w:r w:rsidR="00693B89" w:rsidRPr="00A67C76">
        <w:rPr>
          <w:rFonts w:eastAsiaTheme="minorHAnsi" w:cstheme="minorBidi"/>
          <w:i/>
          <w:color w:val="auto"/>
          <w:kern w:val="0"/>
          <w:szCs w:val="22"/>
        </w:rPr>
        <w:t>et al.</w:t>
      </w:r>
      <w:r w:rsidR="00693B89" w:rsidRPr="00A67C76">
        <w:rPr>
          <w:rFonts w:eastAsiaTheme="minorHAnsi" w:cstheme="minorBidi"/>
          <w:color w:val="auto"/>
          <w:kern w:val="0"/>
          <w:szCs w:val="22"/>
        </w:rPr>
        <w:t xml:space="preserve"> </w:t>
      </w:r>
      <w:r w:rsidR="00770D82" w:rsidRPr="00A67C76">
        <w:rPr>
          <w:rFonts w:eastAsiaTheme="minorHAnsi" w:cstheme="minorBidi"/>
          <w:color w:val="auto"/>
          <w:kern w:val="0"/>
          <w:szCs w:val="22"/>
        </w:rPr>
        <w:t>(</w:t>
      </w:r>
      <w:r w:rsidR="00E75DC1" w:rsidRPr="00A67C76">
        <w:rPr>
          <w:rFonts w:eastAsiaTheme="minorHAnsi" w:cstheme="minorBidi"/>
          <w:color w:val="auto"/>
          <w:kern w:val="0"/>
          <w:szCs w:val="22"/>
        </w:rPr>
        <w:t>2014</w:t>
      </w:r>
      <w:r w:rsidR="00770D82" w:rsidRPr="00A67C76">
        <w:rPr>
          <w:rFonts w:eastAsiaTheme="minorHAnsi" w:cstheme="minorBidi"/>
          <w:color w:val="auto"/>
          <w:kern w:val="0"/>
          <w:szCs w:val="22"/>
        </w:rPr>
        <w:t>)</w:t>
      </w:r>
      <w:r w:rsidR="00693B89" w:rsidRPr="00A67C76">
        <w:rPr>
          <w:rFonts w:eastAsiaTheme="minorHAnsi" w:cstheme="minorBidi"/>
          <w:color w:val="auto"/>
          <w:kern w:val="0"/>
          <w:szCs w:val="22"/>
        </w:rPr>
        <w:t xml:space="preserve">. </w:t>
      </w:r>
      <w:r w:rsidRPr="00A67C76">
        <w:rPr>
          <w:rFonts w:eastAsiaTheme="minorHAnsi" w:cstheme="minorBidi"/>
          <w:color w:val="auto"/>
          <w:kern w:val="0"/>
          <w:szCs w:val="22"/>
        </w:rPr>
        <w:t xml:space="preserve">Each process is assigned a survival probability, which in the end results in a combined probability of sediment propagule bank replenishment. </w:t>
      </w:r>
    </w:p>
    <w:p w:rsidR="00E165A1" w:rsidRPr="00A67C76" w:rsidRDefault="00E165A1" w:rsidP="00C12CB4">
      <w:pPr>
        <w:rPr>
          <w:b/>
          <w:szCs w:val="24"/>
        </w:rPr>
      </w:pPr>
      <w:r w:rsidRPr="00A67C76">
        <w:rPr>
          <w:b/>
        </w:rPr>
        <w:t xml:space="preserve">Fish habitat </w:t>
      </w:r>
    </w:p>
    <w:p w:rsidR="00997861" w:rsidRPr="00A67C76" w:rsidRDefault="00997861" w:rsidP="00997861">
      <w:pPr>
        <w:jc w:val="both"/>
        <w:rPr>
          <w:szCs w:val="22"/>
        </w:rPr>
      </w:pPr>
      <w:r w:rsidRPr="00A67C76">
        <w:rPr>
          <w:szCs w:val="22"/>
        </w:rPr>
        <w:t xml:space="preserve">The basic fish model </w:t>
      </w:r>
      <w:r w:rsidR="00727B9F" w:rsidRPr="00A67C76">
        <w:rPr>
          <w:szCs w:val="22"/>
        </w:rPr>
        <w:t>analys</w:t>
      </w:r>
      <w:r w:rsidR="00727B9F">
        <w:rPr>
          <w:szCs w:val="22"/>
        </w:rPr>
        <w:t>ed</w:t>
      </w:r>
      <w:r w:rsidR="00727B9F" w:rsidRPr="00A67C76">
        <w:rPr>
          <w:szCs w:val="22"/>
        </w:rPr>
        <w:t xml:space="preserve"> </w:t>
      </w:r>
      <w:r w:rsidRPr="00A67C76">
        <w:rPr>
          <w:szCs w:val="22"/>
        </w:rPr>
        <w:t>salinity thresholds for juvenile fish</w:t>
      </w:r>
      <w:r w:rsidR="00E83256" w:rsidRPr="00A67C76">
        <w:rPr>
          <w:szCs w:val="22"/>
        </w:rPr>
        <w:t xml:space="preserve"> of key species</w:t>
      </w:r>
      <w:r w:rsidRPr="00A67C76">
        <w:rPr>
          <w:szCs w:val="22"/>
        </w:rPr>
        <w:t xml:space="preserve"> on an annual basis (“habitat suitability”) and on a daily basis. The annual analysis </w:t>
      </w:r>
      <w:r w:rsidR="00727B9F" w:rsidRPr="00A67C76">
        <w:rPr>
          <w:szCs w:val="22"/>
        </w:rPr>
        <w:t>provide</w:t>
      </w:r>
      <w:r w:rsidR="00727B9F">
        <w:rPr>
          <w:szCs w:val="22"/>
        </w:rPr>
        <w:t>d</w:t>
      </w:r>
      <w:r w:rsidR="00727B9F" w:rsidRPr="00A67C76">
        <w:rPr>
          <w:szCs w:val="22"/>
        </w:rPr>
        <w:t xml:space="preserve"> </w:t>
      </w:r>
      <w:r w:rsidRPr="00A67C76">
        <w:rPr>
          <w:szCs w:val="22"/>
        </w:rPr>
        <w:t xml:space="preserve">probabilities of habitat suitability by calculating the annual exceedance probability for a certain salinity threshold. A simpler approach only </w:t>
      </w:r>
      <w:r w:rsidR="00727B9F" w:rsidRPr="00A67C76">
        <w:rPr>
          <w:szCs w:val="22"/>
        </w:rPr>
        <w:t>detect</w:t>
      </w:r>
      <w:r w:rsidR="00727B9F">
        <w:rPr>
          <w:szCs w:val="22"/>
        </w:rPr>
        <w:t>ed</w:t>
      </w:r>
      <w:r w:rsidR="00727B9F" w:rsidRPr="00A67C76">
        <w:rPr>
          <w:szCs w:val="22"/>
        </w:rPr>
        <w:t xml:space="preserve"> </w:t>
      </w:r>
      <w:r w:rsidRPr="00A67C76">
        <w:rPr>
          <w:szCs w:val="22"/>
        </w:rPr>
        <w:t>the extent of a certain salinity threshold on a daily basis (“thr</w:t>
      </w:r>
      <w:r w:rsidR="00F83B0E" w:rsidRPr="00A67C76">
        <w:rPr>
          <w:szCs w:val="22"/>
        </w:rPr>
        <w:t>eshold analysis”) along the Coo</w:t>
      </w:r>
      <w:r w:rsidRPr="00A67C76">
        <w:rPr>
          <w:szCs w:val="22"/>
        </w:rPr>
        <w:t>rong starting at the Murray Mouth. The latter basically gives a simplified picture of the salinity contours along the Coorong over time.</w:t>
      </w:r>
    </w:p>
    <w:p w:rsidR="00997861" w:rsidRPr="00A67C76" w:rsidRDefault="00997861" w:rsidP="00997861">
      <w:pPr>
        <w:jc w:val="both"/>
        <w:rPr>
          <w:i/>
          <w:szCs w:val="22"/>
          <w:u w:val="single"/>
        </w:rPr>
      </w:pPr>
      <w:r w:rsidRPr="00A67C76">
        <w:rPr>
          <w:i/>
          <w:szCs w:val="22"/>
          <w:u w:val="single"/>
        </w:rPr>
        <w:t>Annual habitat suitability</w:t>
      </w:r>
    </w:p>
    <w:p w:rsidR="00E61FBD" w:rsidRPr="00A67C76" w:rsidRDefault="00997861" w:rsidP="00997861">
      <w:pPr>
        <w:jc w:val="both"/>
        <w:rPr>
          <w:szCs w:val="22"/>
        </w:rPr>
      </w:pPr>
      <w:r w:rsidRPr="00A67C76">
        <w:rPr>
          <w:szCs w:val="22"/>
        </w:rPr>
        <w:t xml:space="preserve">The fish model </w:t>
      </w:r>
      <w:r w:rsidR="00767159" w:rsidRPr="00A67C76">
        <w:rPr>
          <w:szCs w:val="22"/>
        </w:rPr>
        <w:t>look</w:t>
      </w:r>
      <w:r w:rsidR="00767159">
        <w:rPr>
          <w:szCs w:val="22"/>
        </w:rPr>
        <w:t>ed</w:t>
      </w:r>
      <w:r w:rsidR="00767159" w:rsidRPr="00A67C76">
        <w:rPr>
          <w:szCs w:val="22"/>
        </w:rPr>
        <w:t xml:space="preserve"> </w:t>
      </w:r>
      <w:r w:rsidRPr="00A67C76">
        <w:rPr>
          <w:szCs w:val="22"/>
        </w:rPr>
        <w:t>for suitable habitats for juveniles o</w:t>
      </w:r>
      <w:r w:rsidR="00E83256" w:rsidRPr="00A67C76">
        <w:rPr>
          <w:szCs w:val="22"/>
        </w:rPr>
        <w:t>f different fish species from Murray Mouth to the end of the So</w:t>
      </w:r>
      <w:r w:rsidRPr="00A67C76">
        <w:rPr>
          <w:szCs w:val="22"/>
        </w:rPr>
        <w:t>uth Lagoon of the Co</w:t>
      </w:r>
      <w:r w:rsidR="00E83256" w:rsidRPr="00A67C76">
        <w:rPr>
          <w:szCs w:val="22"/>
        </w:rPr>
        <w:t>orong, depending on ambient salinity</w:t>
      </w:r>
      <w:r w:rsidRPr="00A67C76">
        <w:rPr>
          <w:szCs w:val="22"/>
        </w:rPr>
        <w:t xml:space="preserve"> levels for a period of one watering year. Each fish species </w:t>
      </w:r>
      <w:r w:rsidR="00767159">
        <w:rPr>
          <w:szCs w:val="22"/>
        </w:rPr>
        <w:t>wa</w:t>
      </w:r>
      <w:r w:rsidR="00767159" w:rsidRPr="00A67C76">
        <w:rPr>
          <w:szCs w:val="22"/>
        </w:rPr>
        <w:t xml:space="preserve">s </w:t>
      </w:r>
      <w:r w:rsidRPr="00A67C76">
        <w:rPr>
          <w:szCs w:val="22"/>
        </w:rPr>
        <w:t>characterised by a certain sal</w:t>
      </w:r>
      <w:r w:rsidR="00E83256" w:rsidRPr="00A67C76">
        <w:rPr>
          <w:szCs w:val="22"/>
        </w:rPr>
        <w:t>inity</w:t>
      </w:r>
      <w:r w:rsidRPr="00A67C76">
        <w:rPr>
          <w:szCs w:val="22"/>
        </w:rPr>
        <w:t xml:space="preserve"> tolerance threshold, which </w:t>
      </w:r>
      <w:r w:rsidR="00767159" w:rsidRPr="00A67C76">
        <w:rPr>
          <w:szCs w:val="22"/>
        </w:rPr>
        <w:t>varie</w:t>
      </w:r>
      <w:r w:rsidR="00767159">
        <w:rPr>
          <w:szCs w:val="22"/>
        </w:rPr>
        <w:t>d</w:t>
      </w:r>
      <w:r w:rsidR="00767159" w:rsidRPr="00A67C76">
        <w:rPr>
          <w:szCs w:val="22"/>
        </w:rPr>
        <w:t xml:space="preserve"> </w:t>
      </w:r>
      <w:r w:rsidRPr="00A67C76">
        <w:rPr>
          <w:szCs w:val="22"/>
        </w:rPr>
        <w:t xml:space="preserve">between </w:t>
      </w:r>
      <w:r w:rsidR="00E83256" w:rsidRPr="00A67C76">
        <w:rPr>
          <w:szCs w:val="22"/>
        </w:rPr>
        <w:t xml:space="preserve">cold and warm </w:t>
      </w:r>
      <w:r w:rsidR="00606176" w:rsidRPr="00A67C76">
        <w:rPr>
          <w:szCs w:val="22"/>
        </w:rPr>
        <w:t>seasons (</w:t>
      </w:r>
      <w:r w:rsidR="002E6077" w:rsidRPr="00A67C76">
        <w:rPr>
          <w:szCs w:val="22"/>
        </w:rPr>
        <w:fldChar w:fldCharType="begin"/>
      </w:r>
      <w:r w:rsidR="00606176" w:rsidRPr="00A67C76">
        <w:rPr>
          <w:szCs w:val="22"/>
        </w:rPr>
        <w:instrText xml:space="preserve"> REF _Ref387832138 \h </w:instrText>
      </w:r>
      <w:r w:rsidR="002E6077" w:rsidRPr="00A67C76">
        <w:rPr>
          <w:szCs w:val="22"/>
        </w:rPr>
      </w:r>
      <w:r w:rsidR="002E6077" w:rsidRPr="00A67C76">
        <w:rPr>
          <w:szCs w:val="22"/>
        </w:rPr>
        <w:fldChar w:fldCharType="separate"/>
      </w:r>
      <w:r w:rsidR="009659F2" w:rsidRPr="00A67C76">
        <w:t xml:space="preserve">Table </w:t>
      </w:r>
      <w:r w:rsidR="009659F2">
        <w:rPr>
          <w:noProof/>
        </w:rPr>
        <w:t>4</w:t>
      </w:r>
      <w:r w:rsidR="002E6077" w:rsidRPr="00A67C76">
        <w:rPr>
          <w:szCs w:val="22"/>
        </w:rPr>
        <w:fldChar w:fldCharType="end"/>
      </w:r>
      <w:r w:rsidR="00606176" w:rsidRPr="00A67C76">
        <w:rPr>
          <w:szCs w:val="22"/>
        </w:rPr>
        <w:t>).</w:t>
      </w:r>
      <w:r w:rsidRPr="00A67C76">
        <w:rPr>
          <w:szCs w:val="22"/>
        </w:rPr>
        <w:t xml:space="preserve"> In our simplified expert model type system, the cold months include</w:t>
      </w:r>
      <w:r w:rsidR="00767159">
        <w:rPr>
          <w:szCs w:val="22"/>
        </w:rPr>
        <w:t>d</w:t>
      </w:r>
      <w:r w:rsidRPr="00A67C76">
        <w:rPr>
          <w:szCs w:val="22"/>
        </w:rPr>
        <w:t xml:space="preserve"> the period from mid April to mid October and warm months include</w:t>
      </w:r>
      <w:r w:rsidR="00767159">
        <w:rPr>
          <w:szCs w:val="22"/>
        </w:rPr>
        <w:t>d</w:t>
      </w:r>
      <w:r w:rsidRPr="00A67C76">
        <w:rPr>
          <w:szCs w:val="22"/>
        </w:rPr>
        <w:t xml:space="preserve"> the period from mid October to mid April. The model effectively </w:t>
      </w:r>
      <w:r w:rsidR="00767159" w:rsidRPr="00A67C76">
        <w:rPr>
          <w:szCs w:val="22"/>
        </w:rPr>
        <w:t>calculat</w:t>
      </w:r>
      <w:r w:rsidR="00767159">
        <w:rPr>
          <w:szCs w:val="22"/>
        </w:rPr>
        <w:t>ed</w:t>
      </w:r>
      <w:r w:rsidR="00767159" w:rsidRPr="00A67C76">
        <w:rPr>
          <w:szCs w:val="22"/>
        </w:rPr>
        <w:t xml:space="preserve"> </w:t>
      </w:r>
      <w:r w:rsidRPr="00A67C76">
        <w:rPr>
          <w:szCs w:val="22"/>
        </w:rPr>
        <w:t>an annual exc</w:t>
      </w:r>
      <w:r w:rsidR="00581352" w:rsidRPr="00A67C76">
        <w:rPr>
          <w:szCs w:val="22"/>
        </w:rPr>
        <w:t>e</w:t>
      </w:r>
      <w:r w:rsidRPr="00A67C76">
        <w:rPr>
          <w:szCs w:val="22"/>
        </w:rPr>
        <w:t>edance pr</w:t>
      </w:r>
      <w:r w:rsidR="00DC1261" w:rsidRPr="00A67C76">
        <w:rPr>
          <w:szCs w:val="22"/>
        </w:rPr>
        <w:t xml:space="preserve">obability for salinity. It </w:t>
      </w:r>
      <w:r w:rsidR="00767159" w:rsidRPr="00A67C76">
        <w:rPr>
          <w:szCs w:val="22"/>
        </w:rPr>
        <w:t>assesse</w:t>
      </w:r>
      <w:r w:rsidR="00767159">
        <w:rPr>
          <w:szCs w:val="22"/>
        </w:rPr>
        <w:t>d</w:t>
      </w:r>
      <w:r w:rsidR="00767159" w:rsidRPr="00A67C76">
        <w:rPr>
          <w:szCs w:val="22"/>
        </w:rPr>
        <w:t xml:space="preserve"> </w:t>
      </w:r>
      <w:r w:rsidRPr="00A67C76">
        <w:rPr>
          <w:szCs w:val="22"/>
        </w:rPr>
        <w:t xml:space="preserve">the </w:t>
      </w:r>
      <w:r w:rsidR="00DC1261" w:rsidRPr="00A67C76">
        <w:rPr>
          <w:szCs w:val="22"/>
        </w:rPr>
        <w:t xml:space="preserve">daily </w:t>
      </w:r>
      <w:r w:rsidRPr="00A67C76">
        <w:rPr>
          <w:szCs w:val="22"/>
        </w:rPr>
        <w:t>salinity outpu</w:t>
      </w:r>
      <w:r w:rsidR="00E83256" w:rsidRPr="00A67C76">
        <w:rPr>
          <w:szCs w:val="22"/>
        </w:rPr>
        <w:t>t of the hydrodynamic model</w:t>
      </w:r>
      <w:r w:rsidR="00DC1261" w:rsidRPr="00A67C76">
        <w:rPr>
          <w:szCs w:val="22"/>
        </w:rPr>
        <w:t xml:space="preserve"> for</w:t>
      </w:r>
      <w:r w:rsidRPr="00A67C76">
        <w:rPr>
          <w:szCs w:val="22"/>
        </w:rPr>
        <w:t xml:space="preserve"> </w:t>
      </w:r>
      <w:r w:rsidR="00DC1261" w:rsidRPr="00A67C76">
        <w:rPr>
          <w:szCs w:val="22"/>
        </w:rPr>
        <w:t>each</w:t>
      </w:r>
      <w:r w:rsidRPr="00A67C76">
        <w:rPr>
          <w:szCs w:val="22"/>
        </w:rPr>
        <w:t xml:space="preserve"> 1 km grid along the </w:t>
      </w:r>
      <w:r w:rsidR="00E83256" w:rsidRPr="00A67C76">
        <w:rPr>
          <w:szCs w:val="22"/>
        </w:rPr>
        <w:t xml:space="preserve">102 km </w:t>
      </w:r>
      <w:r w:rsidRPr="00A67C76">
        <w:rPr>
          <w:szCs w:val="22"/>
        </w:rPr>
        <w:t xml:space="preserve">Coorong, and </w:t>
      </w:r>
      <w:r w:rsidR="00767159" w:rsidRPr="00A67C76">
        <w:rPr>
          <w:szCs w:val="22"/>
        </w:rPr>
        <w:t>count</w:t>
      </w:r>
      <w:r w:rsidR="00767159">
        <w:rPr>
          <w:szCs w:val="22"/>
        </w:rPr>
        <w:t>ed</w:t>
      </w:r>
      <w:r w:rsidR="00767159" w:rsidRPr="00A67C76">
        <w:rPr>
          <w:szCs w:val="22"/>
        </w:rPr>
        <w:t xml:space="preserve"> </w:t>
      </w:r>
      <w:r w:rsidRPr="00A67C76">
        <w:rPr>
          <w:szCs w:val="22"/>
        </w:rPr>
        <w:t xml:space="preserve">the number of days where salinity </w:t>
      </w:r>
      <w:r w:rsidR="00767159">
        <w:rPr>
          <w:szCs w:val="22"/>
        </w:rPr>
        <w:t>wa</w:t>
      </w:r>
      <w:r w:rsidR="00767159" w:rsidRPr="00A67C76">
        <w:rPr>
          <w:szCs w:val="22"/>
        </w:rPr>
        <w:t xml:space="preserve">s </w:t>
      </w:r>
      <w:r w:rsidRPr="00A67C76">
        <w:rPr>
          <w:szCs w:val="22"/>
        </w:rPr>
        <w:t>below the specific threshold of a fish species</w:t>
      </w:r>
      <w:r w:rsidR="00DC1261" w:rsidRPr="00A67C76">
        <w:rPr>
          <w:szCs w:val="22"/>
        </w:rPr>
        <w:t xml:space="preserve"> during the cold or warm period. </w:t>
      </w:r>
      <w:r w:rsidRPr="00A67C76">
        <w:rPr>
          <w:szCs w:val="22"/>
        </w:rPr>
        <w:t xml:space="preserve">The </w:t>
      </w:r>
      <w:r w:rsidR="00DC1261" w:rsidRPr="00A67C76">
        <w:rPr>
          <w:szCs w:val="22"/>
        </w:rPr>
        <w:t xml:space="preserve">annual </w:t>
      </w:r>
      <w:r w:rsidRPr="00A67C76">
        <w:rPr>
          <w:szCs w:val="22"/>
        </w:rPr>
        <w:t xml:space="preserve">probability that a </w:t>
      </w:r>
      <w:r w:rsidR="00E61FBD" w:rsidRPr="00A67C76">
        <w:rPr>
          <w:szCs w:val="22"/>
        </w:rPr>
        <w:t>1 km grid</w:t>
      </w:r>
      <w:r w:rsidRPr="00A67C76">
        <w:rPr>
          <w:szCs w:val="22"/>
        </w:rPr>
        <w:t xml:space="preserve"> </w:t>
      </w:r>
      <w:r w:rsidR="00767159">
        <w:rPr>
          <w:szCs w:val="22"/>
        </w:rPr>
        <w:t>wa</w:t>
      </w:r>
      <w:r w:rsidR="00767159" w:rsidRPr="00A67C76">
        <w:rPr>
          <w:szCs w:val="22"/>
        </w:rPr>
        <w:t xml:space="preserve">s </w:t>
      </w:r>
      <w:r w:rsidRPr="00A67C76">
        <w:rPr>
          <w:szCs w:val="22"/>
        </w:rPr>
        <w:t xml:space="preserve">a suitable habitat </w:t>
      </w:r>
      <w:r w:rsidR="00767159">
        <w:rPr>
          <w:szCs w:val="22"/>
        </w:rPr>
        <w:t>wa</w:t>
      </w:r>
      <w:r w:rsidR="00767159" w:rsidRPr="00A67C76">
        <w:rPr>
          <w:szCs w:val="22"/>
        </w:rPr>
        <w:t xml:space="preserve">s </w:t>
      </w:r>
      <w:r w:rsidRPr="00A67C76">
        <w:rPr>
          <w:szCs w:val="22"/>
        </w:rPr>
        <w:t xml:space="preserve">then </w:t>
      </w:r>
      <w:r w:rsidR="00E61FBD" w:rsidRPr="00A67C76">
        <w:rPr>
          <w:szCs w:val="22"/>
        </w:rPr>
        <w:t>calculated. Details of parameter definition and model progra</w:t>
      </w:r>
      <w:r w:rsidR="00F06EFD">
        <w:rPr>
          <w:szCs w:val="22"/>
        </w:rPr>
        <w:t>m</w:t>
      </w:r>
      <w:r w:rsidR="00E61FBD" w:rsidRPr="00A67C76">
        <w:rPr>
          <w:szCs w:val="22"/>
        </w:rPr>
        <w:t xml:space="preserve">ming are presented in Joehnk </w:t>
      </w:r>
      <w:r w:rsidR="00E61FBD" w:rsidRPr="00A67C76">
        <w:rPr>
          <w:i/>
          <w:szCs w:val="22"/>
        </w:rPr>
        <w:t>et al.</w:t>
      </w:r>
      <w:r w:rsidR="00E61FBD" w:rsidRPr="00A67C76">
        <w:rPr>
          <w:szCs w:val="22"/>
        </w:rPr>
        <w:t xml:space="preserve"> </w:t>
      </w:r>
      <w:r w:rsidR="00770D82" w:rsidRPr="00A67C76">
        <w:rPr>
          <w:szCs w:val="22"/>
        </w:rPr>
        <w:t>(</w:t>
      </w:r>
      <w:r w:rsidR="00E75DC1" w:rsidRPr="00A67C76">
        <w:rPr>
          <w:szCs w:val="22"/>
        </w:rPr>
        <w:t>2014</w:t>
      </w:r>
      <w:r w:rsidR="00770D82" w:rsidRPr="00A67C76">
        <w:rPr>
          <w:szCs w:val="22"/>
        </w:rPr>
        <w:t>)</w:t>
      </w:r>
      <w:r w:rsidR="00E61FBD" w:rsidRPr="00A67C76">
        <w:rPr>
          <w:szCs w:val="22"/>
        </w:rPr>
        <w:t xml:space="preserve">. </w:t>
      </w:r>
    </w:p>
    <w:p w:rsidR="00997861" w:rsidRPr="00A67C76" w:rsidRDefault="00606176" w:rsidP="00606176">
      <w:pPr>
        <w:pStyle w:val="Caption"/>
      </w:pPr>
      <w:bookmarkStart w:id="77" w:name="_Ref387832138"/>
      <w:bookmarkStart w:id="78" w:name="_Ref387832249"/>
      <w:bookmarkStart w:id="79" w:name="_Toc387929706"/>
      <w:proofErr w:type="gramStart"/>
      <w:r w:rsidRPr="00A67C76">
        <w:t xml:space="preserve">Table </w:t>
      </w:r>
      <w:proofErr w:type="gramEnd"/>
      <w:r w:rsidR="002E6077" w:rsidRPr="00A67C76">
        <w:fldChar w:fldCharType="begin"/>
      </w:r>
      <w:r w:rsidR="00621CBB" w:rsidRPr="00A67C76">
        <w:instrText xml:space="preserve"> SEQ Table \* ARABIC </w:instrText>
      </w:r>
      <w:r w:rsidR="002E6077" w:rsidRPr="00A67C76">
        <w:fldChar w:fldCharType="separate"/>
      </w:r>
      <w:r w:rsidR="009659F2">
        <w:rPr>
          <w:noProof/>
        </w:rPr>
        <w:t>4</w:t>
      </w:r>
      <w:r w:rsidR="002E6077" w:rsidRPr="00A67C76">
        <w:rPr>
          <w:noProof/>
        </w:rPr>
        <w:fldChar w:fldCharType="end"/>
      </w:r>
      <w:bookmarkEnd w:id="77"/>
      <w:proofErr w:type="gramStart"/>
      <w:r w:rsidRPr="00A67C76">
        <w:t>.</w:t>
      </w:r>
      <w:proofErr w:type="gramEnd"/>
      <w:r w:rsidRPr="00A67C76">
        <w:t xml:space="preserve"> </w:t>
      </w:r>
      <w:r w:rsidR="00997861" w:rsidRPr="00A67C76">
        <w:t>Period specific salinity thresholds for suitable habitats for seven fish species</w:t>
      </w:r>
      <w:r w:rsidR="001515FF" w:rsidRPr="00A67C76">
        <w:t xml:space="preserve"> (adapted from McNeil </w:t>
      </w:r>
      <w:r w:rsidR="001515FF" w:rsidRPr="00A67C76">
        <w:rPr>
          <w:i/>
        </w:rPr>
        <w:t xml:space="preserve">et al. </w:t>
      </w:r>
      <w:r w:rsidR="001515FF" w:rsidRPr="00A67C76">
        <w:t>2013)</w:t>
      </w:r>
      <w:r w:rsidR="00997861" w:rsidRPr="00A67C76">
        <w:t>.</w:t>
      </w:r>
      <w:bookmarkEnd w:id="78"/>
      <w:bookmarkEnd w:id="79"/>
    </w:p>
    <w:tbl>
      <w:tblPr>
        <w:tblStyle w:val="TableGrid"/>
        <w:tblW w:w="0" w:type="auto"/>
        <w:tblLook w:val="04A0"/>
      </w:tblPr>
      <w:tblGrid>
        <w:gridCol w:w="3078"/>
        <w:gridCol w:w="3079"/>
        <w:gridCol w:w="3079"/>
      </w:tblGrid>
      <w:tr w:rsidR="00997861" w:rsidRPr="00A67C76" w:rsidTr="00110CB9">
        <w:tc>
          <w:tcPr>
            <w:tcW w:w="3080" w:type="dxa"/>
          </w:tcPr>
          <w:p w:rsidR="00997861" w:rsidRPr="00A67C76" w:rsidRDefault="00997861" w:rsidP="00110CB9">
            <w:pPr>
              <w:contextualSpacing/>
              <w:rPr>
                <w:b/>
                <w:szCs w:val="22"/>
              </w:rPr>
            </w:pPr>
            <w:r w:rsidRPr="00A67C76">
              <w:rPr>
                <w:b/>
                <w:szCs w:val="22"/>
              </w:rPr>
              <w:t>Species name</w:t>
            </w:r>
          </w:p>
        </w:tc>
        <w:tc>
          <w:tcPr>
            <w:tcW w:w="3081" w:type="dxa"/>
          </w:tcPr>
          <w:p w:rsidR="00997861" w:rsidRPr="00A67C76" w:rsidRDefault="00997861" w:rsidP="00E61FBD">
            <w:pPr>
              <w:contextualSpacing/>
              <w:jc w:val="center"/>
              <w:rPr>
                <w:b/>
                <w:szCs w:val="22"/>
              </w:rPr>
            </w:pPr>
            <w:r w:rsidRPr="00A67C76">
              <w:rPr>
                <w:b/>
                <w:szCs w:val="22"/>
              </w:rPr>
              <w:t>Threshold cold month</w:t>
            </w:r>
            <w:r w:rsidR="00E61FBD" w:rsidRPr="00A67C76">
              <w:rPr>
                <w:b/>
                <w:szCs w:val="22"/>
              </w:rPr>
              <w:t>s</w:t>
            </w:r>
            <w:r w:rsidRPr="00A67C76">
              <w:rPr>
                <w:b/>
                <w:szCs w:val="22"/>
              </w:rPr>
              <w:t xml:space="preserve"> [g/L]</w:t>
            </w:r>
          </w:p>
        </w:tc>
        <w:tc>
          <w:tcPr>
            <w:tcW w:w="3081" w:type="dxa"/>
          </w:tcPr>
          <w:p w:rsidR="00997861" w:rsidRPr="00A67C76" w:rsidRDefault="00997861" w:rsidP="00E61FBD">
            <w:pPr>
              <w:contextualSpacing/>
              <w:jc w:val="center"/>
              <w:rPr>
                <w:b/>
                <w:szCs w:val="22"/>
              </w:rPr>
            </w:pPr>
            <w:r w:rsidRPr="00A67C76">
              <w:rPr>
                <w:b/>
                <w:szCs w:val="22"/>
              </w:rPr>
              <w:t>Threshold warm month</w:t>
            </w:r>
            <w:r w:rsidR="00E61FBD" w:rsidRPr="00A67C76">
              <w:rPr>
                <w:b/>
                <w:szCs w:val="22"/>
              </w:rPr>
              <w:t>s</w:t>
            </w:r>
            <w:r w:rsidRPr="00A67C76">
              <w:rPr>
                <w:b/>
                <w:szCs w:val="22"/>
              </w:rPr>
              <w:t xml:space="preserve"> [g/L]</w:t>
            </w:r>
          </w:p>
        </w:tc>
      </w:tr>
      <w:tr w:rsidR="00997861" w:rsidRPr="00A67C76" w:rsidTr="00110CB9">
        <w:tc>
          <w:tcPr>
            <w:tcW w:w="3080" w:type="dxa"/>
            <w:vAlign w:val="bottom"/>
          </w:tcPr>
          <w:p w:rsidR="00997861" w:rsidRPr="00A67C76" w:rsidRDefault="00997861" w:rsidP="00110CB9">
            <w:pPr>
              <w:contextualSpacing/>
              <w:rPr>
                <w:szCs w:val="22"/>
              </w:rPr>
            </w:pPr>
            <w:r w:rsidRPr="00A67C76">
              <w:rPr>
                <w:szCs w:val="22"/>
              </w:rPr>
              <w:t>Mulloway</w:t>
            </w:r>
          </w:p>
        </w:tc>
        <w:tc>
          <w:tcPr>
            <w:tcW w:w="3081" w:type="dxa"/>
            <w:vAlign w:val="bottom"/>
          </w:tcPr>
          <w:p w:rsidR="00997861" w:rsidRPr="00A67C76" w:rsidRDefault="00997861" w:rsidP="00110CB9">
            <w:pPr>
              <w:contextualSpacing/>
              <w:jc w:val="right"/>
              <w:rPr>
                <w:szCs w:val="22"/>
              </w:rPr>
            </w:pPr>
            <w:r w:rsidRPr="00A67C76">
              <w:rPr>
                <w:szCs w:val="22"/>
              </w:rPr>
              <w:t>60.3</w:t>
            </w:r>
          </w:p>
        </w:tc>
        <w:tc>
          <w:tcPr>
            <w:tcW w:w="3081" w:type="dxa"/>
            <w:vAlign w:val="bottom"/>
          </w:tcPr>
          <w:p w:rsidR="00997861" w:rsidRPr="00A67C76" w:rsidRDefault="00997861" w:rsidP="00110CB9">
            <w:pPr>
              <w:contextualSpacing/>
              <w:jc w:val="right"/>
              <w:rPr>
                <w:szCs w:val="22"/>
              </w:rPr>
            </w:pPr>
            <w:r w:rsidRPr="00A67C76">
              <w:rPr>
                <w:szCs w:val="22"/>
              </w:rPr>
              <w:t>51.1</w:t>
            </w:r>
          </w:p>
        </w:tc>
      </w:tr>
      <w:tr w:rsidR="00997861" w:rsidRPr="00A67C76" w:rsidTr="00110CB9">
        <w:tc>
          <w:tcPr>
            <w:tcW w:w="3080" w:type="dxa"/>
            <w:vAlign w:val="bottom"/>
          </w:tcPr>
          <w:p w:rsidR="00997861" w:rsidRPr="00A67C76" w:rsidRDefault="00997861" w:rsidP="00110CB9">
            <w:pPr>
              <w:contextualSpacing/>
              <w:rPr>
                <w:szCs w:val="22"/>
              </w:rPr>
            </w:pPr>
            <w:r w:rsidRPr="00A67C76">
              <w:rPr>
                <w:szCs w:val="22"/>
              </w:rPr>
              <w:t>Tamar goby</w:t>
            </w:r>
          </w:p>
        </w:tc>
        <w:tc>
          <w:tcPr>
            <w:tcW w:w="3081" w:type="dxa"/>
            <w:vAlign w:val="bottom"/>
          </w:tcPr>
          <w:p w:rsidR="00997861" w:rsidRPr="00A67C76" w:rsidRDefault="00997861" w:rsidP="00110CB9">
            <w:pPr>
              <w:contextualSpacing/>
              <w:jc w:val="right"/>
              <w:rPr>
                <w:szCs w:val="22"/>
              </w:rPr>
            </w:pPr>
            <w:r w:rsidRPr="00A67C76">
              <w:rPr>
                <w:szCs w:val="22"/>
              </w:rPr>
              <w:t>67.7</w:t>
            </w:r>
          </w:p>
        </w:tc>
        <w:tc>
          <w:tcPr>
            <w:tcW w:w="3081" w:type="dxa"/>
            <w:vAlign w:val="bottom"/>
          </w:tcPr>
          <w:p w:rsidR="00997861" w:rsidRPr="00A67C76" w:rsidRDefault="00997861" w:rsidP="00110CB9">
            <w:pPr>
              <w:contextualSpacing/>
              <w:jc w:val="right"/>
              <w:rPr>
                <w:szCs w:val="22"/>
              </w:rPr>
            </w:pPr>
            <w:r w:rsidRPr="00A67C76">
              <w:rPr>
                <w:szCs w:val="22"/>
              </w:rPr>
              <w:t>66.3</w:t>
            </w:r>
          </w:p>
        </w:tc>
      </w:tr>
      <w:tr w:rsidR="00997861" w:rsidRPr="00A67C76" w:rsidTr="00110CB9">
        <w:tc>
          <w:tcPr>
            <w:tcW w:w="3080" w:type="dxa"/>
            <w:vAlign w:val="bottom"/>
          </w:tcPr>
          <w:p w:rsidR="00997861" w:rsidRPr="00A67C76" w:rsidRDefault="00997861" w:rsidP="00110CB9">
            <w:pPr>
              <w:contextualSpacing/>
              <w:rPr>
                <w:szCs w:val="22"/>
              </w:rPr>
            </w:pPr>
            <w:r w:rsidRPr="00A67C76">
              <w:rPr>
                <w:szCs w:val="22"/>
              </w:rPr>
              <w:t>Black bream</w:t>
            </w:r>
          </w:p>
        </w:tc>
        <w:tc>
          <w:tcPr>
            <w:tcW w:w="3081" w:type="dxa"/>
            <w:vAlign w:val="bottom"/>
          </w:tcPr>
          <w:p w:rsidR="00997861" w:rsidRPr="00A67C76" w:rsidRDefault="00997861" w:rsidP="00110CB9">
            <w:pPr>
              <w:contextualSpacing/>
              <w:jc w:val="right"/>
              <w:rPr>
                <w:szCs w:val="22"/>
              </w:rPr>
            </w:pPr>
            <w:r w:rsidRPr="00A67C76">
              <w:rPr>
                <w:szCs w:val="22"/>
              </w:rPr>
              <w:t>78.6</w:t>
            </w:r>
          </w:p>
        </w:tc>
        <w:tc>
          <w:tcPr>
            <w:tcW w:w="3081" w:type="dxa"/>
            <w:vAlign w:val="bottom"/>
          </w:tcPr>
          <w:p w:rsidR="00997861" w:rsidRPr="00A67C76" w:rsidRDefault="00997861" w:rsidP="00110CB9">
            <w:pPr>
              <w:contextualSpacing/>
              <w:jc w:val="right"/>
              <w:rPr>
                <w:szCs w:val="22"/>
              </w:rPr>
            </w:pPr>
            <w:r w:rsidRPr="00A67C76">
              <w:rPr>
                <w:szCs w:val="22"/>
              </w:rPr>
              <w:t>81.8</w:t>
            </w:r>
          </w:p>
        </w:tc>
      </w:tr>
      <w:tr w:rsidR="00997861" w:rsidRPr="00A67C76" w:rsidTr="00110CB9">
        <w:tc>
          <w:tcPr>
            <w:tcW w:w="3080" w:type="dxa"/>
            <w:vAlign w:val="bottom"/>
          </w:tcPr>
          <w:p w:rsidR="00997861" w:rsidRPr="00A67C76" w:rsidRDefault="00997861" w:rsidP="00110CB9">
            <w:pPr>
              <w:contextualSpacing/>
              <w:rPr>
                <w:szCs w:val="22"/>
              </w:rPr>
            </w:pPr>
            <w:r w:rsidRPr="00A67C76">
              <w:rPr>
                <w:szCs w:val="22"/>
              </w:rPr>
              <w:t>Greenback flounder</w:t>
            </w:r>
          </w:p>
        </w:tc>
        <w:tc>
          <w:tcPr>
            <w:tcW w:w="3081" w:type="dxa"/>
            <w:vAlign w:val="bottom"/>
          </w:tcPr>
          <w:p w:rsidR="00997861" w:rsidRPr="00A67C76" w:rsidRDefault="00997861" w:rsidP="00110CB9">
            <w:pPr>
              <w:contextualSpacing/>
              <w:jc w:val="right"/>
              <w:rPr>
                <w:szCs w:val="22"/>
              </w:rPr>
            </w:pPr>
            <w:r w:rsidRPr="00A67C76">
              <w:rPr>
                <w:szCs w:val="22"/>
              </w:rPr>
              <w:t>81.1</w:t>
            </w:r>
          </w:p>
        </w:tc>
        <w:tc>
          <w:tcPr>
            <w:tcW w:w="3081" w:type="dxa"/>
            <w:vAlign w:val="bottom"/>
          </w:tcPr>
          <w:p w:rsidR="00997861" w:rsidRPr="00A67C76" w:rsidRDefault="00997861" w:rsidP="00110CB9">
            <w:pPr>
              <w:contextualSpacing/>
              <w:jc w:val="right"/>
              <w:rPr>
                <w:szCs w:val="22"/>
              </w:rPr>
            </w:pPr>
            <w:r w:rsidRPr="00A67C76">
              <w:rPr>
                <w:szCs w:val="22"/>
              </w:rPr>
              <w:t>72.9</w:t>
            </w:r>
          </w:p>
        </w:tc>
      </w:tr>
      <w:tr w:rsidR="00997861" w:rsidRPr="00A67C76" w:rsidTr="00110CB9">
        <w:tc>
          <w:tcPr>
            <w:tcW w:w="3080" w:type="dxa"/>
            <w:vAlign w:val="bottom"/>
          </w:tcPr>
          <w:p w:rsidR="00997861" w:rsidRPr="00A67C76" w:rsidRDefault="00997861" w:rsidP="00110CB9">
            <w:pPr>
              <w:contextualSpacing/>
              <w:rPr>
                <w:szCs w:val="22"/>
              </w:rPr>
            </w:pPr>
            <w:r w:rsidRPr="00A67C76">
              <w:rPr>
                <w:szCs w:val="22"/>
              </w:rPr>
              <w:t>Yelloweye mullet</w:t>
            </w:r>
          </w:p>
        </w:tc>
        <w:tc>
          <w:tcPr>
            <w:tcW w:w="3081" w:type="dxa"/>
            <w:vAlign w:val="bottom"/>
          </w:tcPr>
          <w:p w:rsidR="00997861" w:rsidRPr="00A67C76" w:rsidRDefault="00997861" w:rsidP="00110CB9">
            <w:pPr>
              <w:contextualSpacing/>
              <w:jc w:val="right"/>
              <w:rPr>
                <w:szCs w:val="22"/>
              </w:rPr>
            </w:pPr>
            <w:r w:rsidRPr="00A67C76">
              <w:rPr>
                <w:szCs w:val="22"/>
              </w:rPr>
              <w:t>83.8</w:t>
            </w:r>
          </w:p>
        </w:tc>
        <w:tc>
          <w:tcPr>
            <w:tcW w:w="3081" w:type="dxa"/>
            <w:vAlign w:val="bottom"/>
          </w:tcPr>
          <w:p w:rsidR="00997861" w:rsidRPr="00A67C76" w:rsidRDefault="00997861" w:rsidP="00110CB9">
            <w:pPr>
              <w:contextualSpacing/>
              <w:jc w:val="right"/>
              <w:rPr>
                <w:szCs w:val="22"/>
              </w:rPr>
            </w:pPr>
            <w:r w:rsidRPr="00A67C76">
              <w:rPr>
                <w:szCs w:val="22"/>
              </w:rPr>
              <w:t>68.3</w:t>
            </w:r>
          </w:p>
        </w:tc>
      </w:tr>
      <w:tr w:rsidR="00997861" w:rsidRPr="00A67C76" w:rsidTr="00110CB9">
        <w:tc>
          <w:tcPr>
            <w:tcW w:w="3080" w:type="dxa"/>
            <w:vAlign w:val="bottom"/>
          </w:tcPr>
          <w:p w:rsidR="00997861" w:rsidRPr="00A67C76" w:rsidRDefault="00997861" w:rsidP="00110CB9">
            <w:pPr>
              <w:contextualSpacing/>
              <w:rPr>
                <w:szCs w:val="22"/>
              </w:rPr>
            </w:pPr>
            <w:r w:rsidRPr="00A67C76">
              <w:rPr>
                <w:szCs w:val="22"/>
              </w:rPr>
              <w:t>Congolli</w:t>
            </w:r>
          </w:p>
        </w:tc>
        <w:tc>
          <w:tcPr>
            <w:tcW w:w="3081" w:type="dxa"/>
            <w:vAlign w:val="bottom"/>
          </w:tcPr>
          <w:p w:rsidR="00997861" w:rsidRPr="00A67C76" w:rsidRDefault="00997861" w:rsidP="00110CB9">
            <w:pPr>
              <w:contextualSpacing/>
              <w:jc w:val="right"/>
              <w:rPr>
                <w:szCs w:val="22"/>
              </w:rPr>
            </w:pPr>
            <w:r w:rsidRPr="00A67C76">
              <w:rPr>
                <w:szCs w:val="22"/>
              </w:rPr>
              <w:t>89.5</w:t>
            </w:r>
          </w:p>
        </w:tc>
        <w:tc>
          <w:tcPr>
            <w:tcW w:w="3081" w:type="dxa"/>
            <w:vAlign w:val="bottom"/>
          </w:tcPr>
          <w:p w:rsidR="00997861" w:rsidRPr="00A67C76" w:rsidRDefault="00997861" w:rsidP="00110CB9">
            <w:pPr>
              <w:contextualSpacing/>
              <w:jc w:val="right"/>
              <w:rPr>
                <w:szCs w:val="22"/>
              </w:rPr>
            </w:pPr>
            <w:r w:rsidRPr="00A67C76">
              <w:rPr>
                <w:szCs w:val="22"/>
              </w:rPr>
              <w:t>86.9</w:t>
            </w:r>
          </w:p>
        </w:tc>
      </w:tr>
      <w:tr w:rsidR="00997861" w:rsidRPr="00A67C76" w:rsidTr="00110CB9">
        <w:tc>
          <w:tcPr>
            <w:tcW w:w="3080" w:type="dxa"/>
            <w:vAlign w:val="bottom"/>
          </w:tcPr>
          <w:p w:rsidR="00997861" w:rsidRPr="00A67C76" w:rsidRDefault="00997861" w:rsidP="00110CB9">
            <w:pPr>
              <w:contextualSpacing/>
              <w:rPr>
                <w:szCs w:val="22"/>
              </w:rPr>
            </w:pPr>
            <w:r w:rsidRPr="00A67C76">
              <w:rPr>
                <w:szCs w:val="22"/>
              </w:rPr>
              <w:t>Smallmouthed hardyhead</w:t>
            </w:r>
          </w:p>
        </w:tc>
        <w:tc>
          <w:tcPr>
            <w:tcW w:w="3081" w:type="dxa"/>
            <w:vAlign w:val="bottom"/>
          </w:tcPr>
          <w:p w:rsidR="00997861" w:rsidRPr="00A67C76" w:rsidRDefault="00997861" w:rsidP="00110CB9">
            <w:pPr>
              <w:contextualSpacing/>
              <w:jc w:val="right"/>
              <w:rPr>
                <w:szCs w:val="22"/>
              </w:rPr>
            </w:pPr>
            <w:r w:rsidRPr="00A67C76">
              <w:rPr>
                <w:szCs w:val="22"/>
              </w:rPr>
              <w:t>99.5</w:t>
            </w:r>
          </w:p>
        </w:tc>
        <w:tc>
          <w:tcPr>
            <w:tcW w:w="3081" w:type="dxa"/>
            <w:vAlign w:val="bottom"/>
          </w:tcPr>
          <w:p w:rsidR="00997861" w:rsidRPr="00A67C76" w:rsidRDefault="00997861" w:rsidP="00110CB9">
            <w:pPr>
              <w:contextualSpacing/>
              <w:jc w:val="right"/>
              <w:rPr>
                <w:szCs w:val="22"/>
              </w:rPr>
            </w:pPr>
            <w:r w:rsidRPr="00A67C76">
              <w:rPr>
                <w:szCs w:val="22"/>
              </w:rPr>
              <w:t>97.1</w:t>
            </w:r>
          </w:p>
        </w:tc>
      </w:tr>
    </w:tbl>
    <w:p w:rsidR="00997861" w:rsidRPr="00A67C76" w:rsidRDefault="00997861" w:rsidP="00997861">
      <w:pPr>
        <w:jc w:val="both"/>
        <w:rPr>
          <w:i/>
          <w:szCs w:val="22"/>
          <w:u w:val="single"/>
        </w:rPr>
      </w:pPr>
      <w:r w:rsidRPr="00A67C76">
        <w:rPr>
          <w:i/>
          <w:szCs w:val="22"/>
          <w:u w:val="single"/>
        </w:rPr>
        <w:t>Daily fish threshold analysis</w:t>
      </w:r>
    </w:p>
    <w:p w:rsidR="00997861" w:rsidRPr="00A67C76" w:rsidRDefault="00997861" w:rsidP="00997861">
      <w:pPr>
        <w:jc w:val="both"/>
        <w:rPr>
          <w:szCs w:val="22"/>
        </w:rPr>
      </w:pPr>
      <w:r w:rsidRPr="00A67C76">
        <w:rPr>
          <w:szCs w:val="22"/>
        </w:rPr>
        <w:t>To create an overlook over suitable habitats on a daily basis, the distance from the mouth (or the number of 1 km wide cells in the underlying hydrodynamic model) to which a certain threshold of salinity is not surpassed</w:t>
      </w:r>
      <w:r w:rsidR="00E61FBD" w:rsidRPr="00A67C76">
        <w:rPr>
          <w:szCs w:val="22"/>
        </w:rPr>
        <w:t xml:space="preserve"> was also calculated</w:t>
      </w:r>
      <w:r w:rsidRPr="00A67C76">
        <w:rPr>
          <w:szCs w:val="22"/>
        </w:rPr>
        <w:t xml:space="preserve">. This </w:t>
      </w:r>
      <w:r w:rsidR="00767159">
        <w:rPr>
          <w:szCs w:val="22"/>
        </w:rPr>
        <w:t>wa</w:t>
      </w:r>
      <w:r w:rsidR="00767159" w:rsidRPr="00A67C76">
        <w:rPr>
          <w:szCs w:val="22"/>
        </w:rPr>
        <w:t xml:space="preserve">s </w:t>
      </w:r>
      <w:r w:rsidRPr="00A67C76">
        <w:rPr>
          <w:szCs w:val="22"/>
        </w:rPr>
        <w:t>effectively a simplified contour plot depicting regions below and above a certain salin</w:t>
      </w:r>
      <w:r w:rsidR="00E61FBD" w:rsidRPr="00A67C76">
        <w:rPr>
          <w:szCs w:val="22"/>
        </w:rPr>
        <w:t>ity threshold (see e.g.</w:t>
      </w:r>
      <w:r w:rsidR="00581352" w:rsidRPr="00A67C76">
        <w:rPr>
          <w:szCs w:val="22"/>
        </w:rPr>
        <w:t xml:space="preserve"> </w:t>
      </w:r>
      <w:r w:rsidR="002E6077" w:rsidRPr="00A67C76">
        <w:rPr>
          <w:szCs w:val="22"/>
          <w:highlight w:val="yellow"/>
        </w:rPr>
        <w:fldChar w:fldCharType="begin"/>
      </w:r>
      <w:r w:rsidR="00581352" w:rsidRPr="00A67C76">
        <w:rPr>
          <w:szCs w:val="22"/>
        </w:rPr>
        <w:instrText xml:space="preserve"> REF _Ref387831406 \h </w:instrText>
      </w:r>
      <w:r w:rsidR="002E6077" w:rsidRPr="00A67C76">
        <w:rPr>
          <w:szCs w:val="22"/>
          <w:highlight w:val="yellow"/>
        </w:rPr>
      </w:r>
      <w:r w:rsidR="002E6077" w:rsidRPr="00A67C76">
        <w:rPr>
          <w:szCs w:val="22"/>
          <w:highlight w:val="yellow"/>
        </w:rPr>
        <w:fldChar w:fldCharType="separate"/>
      </w:r>
      <w:r w:rsidR="009659F2" w:rsidRPr="00A67C76">
        <w:t xml:space="preserve">Figure </w:t>
      </w:r>
      <w:r w:rsidR="009659F2">
        <w:rPr>
          <w:noProof/>
        </w:rPr>
        <w:t>39</w:t>
      </w:r>
      <w:r w:rsidR="002E6077" w:rsidRPr="00A67C76">
        <w:rPr>
          <w:szCs w:val="22"/>
          <w:highlight w:val="yellow"/>
        </w:rPr>
        <w:fldChar w:fldCharType="end"/>
      </w:r>
      <w:r w:rsidRPr="00A67C76">
        <w:rPr>
          <w:szCs w:val="22"/>
        </w:rPr>
        <w:t xml:space="preserve">). As above, </w:t>
      </w:r>
      <w:r w:rsidR="00E61FBD" w:rsidRPr="00A67C76">
        <w:rPr>
          <w:szCs w:val="22"/>
        </w:rPr>
        <w:t xml:space="preserve">salinity </w:t>
      </w:r>
      <w:r w:rsidRPr="00A67C76">
        <w:rPr>
          <w:szCs w:val="22"/>
        </w:rPr>
        <w:t xml:space="preserve">thresholds can vary between different periods (here warm and cold), and the same threshold values as given in </w:t>
      </w:r>
      <w:r w:rsidR="002E6077" w:rsidRPr="00A67C76">
        <w:rPr>
          <w:szCs w:val="22"/>
        </w:rPr>
        <w:fldChar w:fldCharType="begin"/>
      </w:r>
      <w:r w:rsidR="00581352" w:rsidRPr="00A67C76">
        <w:rPr>
          <w:szCs w:val="22"/>
        </w:rPr>
        <w:instrText xml:space="preserve"> REF _Ref387832138 \h </w:instrText>
      </w:r>
      <w:r w:rsidR="002E6077" w:rsidRPr="00A67C76">
        <w:rPr>
          <w:szCs w:val="22"/>
        </w:rPr>
      </w:r>
      <w:r w:rsidR="002E6077" w:rsidRPr="00A67C76">
        <w:rPr>
          <w:szCs w:val="22"/>
        </w:rPr>
        <w:fldChar w:fldCharType="separate"/>
      </w:r>
      <w:r w:rsidR="009659F2" w:rsidRPr="00A67C76">
        <w:t xml:space="preserve">Table </w:t>
      </w:r>
      <w:r w:rsidR="009659F2">
        <w:rPr>
          <w:noProof/>
        </w:rPr>
        <w:t>4</w:t>
      </w:r>
      <w:r w:rsidR="002E6077" w:rsidRPr="00A67C76">
        <w:rPr>
          <w:szCs w:val="22"/>
        </w:rPr>
        <w:fldChar w:fldCharType="end"/>
      </w:r>
      <w:r w:rsidR="00581352" w:rsidRPr="00A67C76">
        <w:rPr>
          <w:szCs w:val="22"/>
        </w:rPr>
        <w:t xml:space="preserve"> </w:t>
      </w:r>
      <w:r w:rsidRPr="00A67C76">
        <w:rPr>
          <w:szCs w:val="22"/>
        </w:rPr>
        <w:t>also apply here.</w:t>
      </w:r>
    </w:p>
    <w:p w:rsidR="00997861" w:rsidRPr="00A67C76" w:rsidRDefault="00997861" w:rsidP="00997861"/>
    <w:p w:rsidR="009C5F10" w:rsidRPr="00A67C76" w:rsidRDefault="009C5F10">
      <w:pPr>
        <w:spacing w:after="200" w:line="276" w:lineRule="auto"/>
        <w:rPr>
          <w:rFonts w:cs="Segoe UI"/>
          <w:szCs w:val="24"/>
        </w:rPr>
      </w:pPr>
      <w:r w:rsidRPr="00A67C76">
        <w:rPr>
          <w:rFonts w:cs="Segoe UI"/>
          <w:szCs w:val="24"/>
        </w:rPr>
        <w:br w:type="page"/>
      </w:r>
    </w:p>
    <w:p w:rsidR="009C5F10" w:rsidRPr="00A67C76" w:rsidRDefault="009C5F10" w:rsidP="00F41737">
      <w:pPr>
        <w:pStyle w:val="Heading1"/>
      </w:pPr>
      <w:bookmarkStart w:id="80" w:name="_Toc381776104"/>
      <w:bookmarkStart w:id="81" w:name="_Toc387843593"/>
      <w:r w:rsidRPr="00A67C76">
        <w:t>Findings</w:t>
      </w:r>
      <w:bookmarkEnd w:id="80"/>
      <w:bookmarkEnd w:id="81"/>
    </w:p>
    <w:p w:rsidR="00E165A1" w:rsidRPr="00A67C76" w:rsidRDefault="00E165A1" w:rsidP="00F41737">
      <w:pPr>
        <w:pStyle w:val="Heading2"/>
      </w:pPr>
      <w:bookmarkStart w:id="82" w:name="_Toc387843594"/>
      <w:r w:rsidRPr="00A67C76">
        <w:t>Main channel</w:t>
      </w:r>
      <w:bookmarkEnd w:id="82"/>
    </w:p>
    <w:p w:rsidR="00AB254A" w:rsidRPr="00A67C76" w:rsidRDefault="009C5F10" w:rsidP="00026448">
      <w:pPr>
        <w:rPr>
          <w:b/>
        </w:rPr>
      </w:pPr>
      <w:r w:rsidRPr="00A67C76">
        <w:rPr>
          <w:b/>
        </w:rPr>
        <w:t>Larval fish</w:t>
      </w:r>
    </w:p>
    <w:p w:rsidR="009C5F10" w:rsidRPr="00A67C76" w:rsidRDefault="009C5F10" w:rsidP="00265D49">
      <w:r w:rsidRPr="00A67C76">
        <w:t xml:space="preserve">During the </w:t>
      </w:r>
      <w:r w:rsidR="00333041" w:rsidRPr="00A67C76">
        <w:t>2012</w:t>
      </w:r>
      <w:r w:rsidR="00FD328A" w:rsidRPr="00FD328A">
        <w:t>-13</w:t>
      </w:r>
      <w:r w:rsidRPr="00A67C76">
        <w:t xml:space="preserve"> watering year</w:t>
      </w:r>
      <w:r w:rsidR="001676A9">
        <w:t>,</w:t>
      </w:r>
      <w:r w:rsidRPr="00A67C76">
        <w:t xml:space="preserve"> flow-cued spawning species larvae were present from October 2012 to Janua</w:t>
      </w:r>
      <w:r w:rsidR="00772FC7" w:rsidRPr="00A67C76">
        <w:t>ry 2013 in the Gorge r</w:t>
      </w:r>
      <w:r w:rsidR="00D13808" w:rsidRPr="00A67C76">
        <w:t>egion (</w:t>
      </w:r>
      <w:r w:rsidR="00FD328A" w:rsidRPr="00FD328A">
        <w:t>LK-1</w:t>
      </w:r>
      <w:r w:rsidRPr="00A67C76">
        <w:t>) and October 2012 to late December 20</w:t>
      </w:r>
      <w:r w:rsidR="001527EB" w:rsidRPr="00A67C76">
        <w:t>12 in the F</w:t>
      </w:r>
      <w:r w:rsidR="00D13808" w:rsidRPr="00A67C76">
        <w:t xml:space="preserve">loodplain </w:t>
      </w:r>
      <w:r w:rsidR="00772FC7" w:rsidRPr="00A67C76">
        <w:t>r</w:t>
      </w:r>
      <w:r w:rsidR="00D13808" w:rsidRPr="00A67C76">
        <w:t>egion (</w:t>
      </w:r>
      <w:r w:rsidR="00FD328A" w:rsidRPr="00FD328A">
        <w:t>LK-6</w:t>
      </w:r>
      <w:r w:rsidR="00D13808" w:rsidRPr="00A67C76">
        <w:t xml:space="preserve"> &amp; </w:t>
      </w:r>
      <w:r w:rsidR="00FD328A" w:rsidRPr="00FD328A">
        <w:t>LK-6</w:t>
      </w:r>
      <w:r w:rsidRPr="00A67C76">
        <w:t>A) (</w:t>
      </w:r>
      <w:r w:rsidR="002E6077" w:rsidRPr="00A67C76">
        <w:fldChar w:fldCharType="begin"/>
      </w:r>
      <w:r w:rsidR="00854E04" w:rsidRPr="00A67C76">
        <w:instrText xml:space="preserve"> REF _Ref381779504 \h </w:instrText>
      </w:r>
      <w:r w:rsidR="002E6077" w:rsidRPr="00A67C76">
        <w:fldChar w:fldCharType="separate"/>
      </w:r>
      <w:r w:rsidR="009659F2" w:rsidRPr="00A67C76">
        <w:t xml:space="preserve">Figure </w:t>
      </w:r>
      <w:r w:rsidR="009659F2">
        <w:rPr>
          <w:noProof/>
        </w:rPr>
        <w:t>9</w:t>
      </w:r>
      <w:r w:rsidR="002E6077" w:rsidRPr="00A67C76">
        <w:fldChar w:fldCharType="end"/>
      </w:r>
      <w:r w:rsidR="00B1773C" w:rsidRPr="00A67C76">
        <w:t xml:space="preserve"> and </w:t>
      </w:r>
      <w:r w:rsidR="002E6077" w:rsidRPr="00A67C76">
        <w:fldChar w:fldCharType="begin"/>
      </w:r>
      <w:r w:rsidR="00E35C9A" w:rsidRPr="00A67C76">
        <w:instrText xml:space="preserve"> REF _Ref381780387 \h </w:instrText>
      </w:r>
      <w:r w:rsidR="002E6077" w:rsidRPr="00A67C76">
        <w:fldChar w:fldCharType="separate"/>
      </w:r>
      <w:r w:rsidR="009659F2" w:rsidRPr="00F914C8">
        <w:t xml:space="preserve">Figure </w:t>
      </w:r>
      <w:r w:rsidR="009659F2">
        <w:rPr>
          <w:noProof/>
        </w:rPr>
        <w:t>15</w:t>
      </w:r>
      <w:r w:rsidR="002E6077" w:rsidRPr="00A67C76">
        <w:fldChar w:fldCharType="end"/>
      </w:r>
      <w:r w:rsidR="00854E04" w:rsidRPr="00A67C76">
        <w:t>)</w:t>
      </w:r>
      <w:r w:rsidRPr="00A67C76">
        <w:t xml:space="preserve">. Of particular interest is the fact that for a second consecutive year golden perch larvae have extended their presence into late summer, </w:t>
      </w:r>
      <w:r w:rsidR="006652CA">
        <w:t>which</w:t>
      </w:r>
      <w:r w:rsidRPr="00A67C76">
        <w:t xml:space="preserve"> was not observed in the drought (2005-2009). In 2011-12, golden perch larvae were collected until February whilst in </w:t>
      </w:r>
      <w:r w:rsidR="00FD328A">
        <w:t>2012-</w:t>
      </w:r>
      <w:r w:rsidR="00333041" w:rsidRPr="00A67C76">
        <w:t>13</w:t>
      </w:r>
      <w:r w:rsidRPr="00A67C76">
        <w:t xml:space="preserve"> they were collected until late January. All of the golden perch and silver perch larvae found late in January 2013, after the environmental </w:t>
      </w:r>
      <w:r w:rsidR="00ED68FF" w:rsidRPr="00A67C76">
        <w:t xml:space="preserve">flow </w:t>
      </w:r>
      <w:r w:rsidRPr="00A67C76">
        <w:t xml:space="preserve">pulse delivered in December 2012, were </w:t>
      </w:r>
      <w:r w:rsidR="00462046" w:rsidRPr="00A67C76">
        <w:t>pre-flexion</w:t>
      </w:r>
      <w:r w:rsidRPr="00A67C76">
        <w:t xml:space="preserve"> larvae which suggest they were spawned a few days before they were collected. This extended period of reproduction was not detected during the drought years (2005-2009), when </w:t>
      </w:r>
      <w:r w:rsidR="00462046" w:rsidRPr="00A67C76">
        <w:t>pre-flexion</w:t>
      </w:r>
      <w:r w:rsidRPr="00A67C76">
        <w:t xml:space="preserve"> golden perch and silver perch larvae were not collected at all. Whilst during the </w:t>
      </w:r>
      <w:r w:rsidR="00ED68FF" w:rsidRPr="00A67C76">
        <w:t xml:space="preserve">flood </w:t>
      </w:r>
      <w:r w:rsidRPr="00A67C76">
        <w:t xml:space="preserve">year 2010-11 </w:t>
      </w:r>
      <w:r w:rsidR="00462046" w:rsidRPr="00A67C76">
        <w:t>pre-flexion</w:t>
      </w:r>
      <w:r w:rsidRPr="00A67C76">
        <w:t xml:space="preserve"> larvae were only collected in November and December. The pattern of extended reproduction in </w:t>
      </w:r>
      <w:r w:rsidR="00333041" w:rsidRPr="00A67C76">
        <w:t>2012</w:t>
      </w:r>
      <w:r w:rsidR="00FD328A" w:rsidRPr="00FD328A">
        <w:t>-13</w:t>
      </w:r>
      <w:r w:rsidRPr="00A67C76">
        <w:t xml:space="preserve"> was similar to that of 2011-12, albeit the abundance of golden perch larvae was lesser in </w:t>
      </w:r>
      <w:r w:rsidR="00333041" w:rsidRPr="00A67C76">
        <w:t>2012</w:t>
      </w:r>
      <w:r w:rsidR="00FD328A" w:rsidRPr="00FD328A">
        <w:t>-13</w:t>
      </w:r>
      <w:r w:rsidRPr="00A67C76">
        <w:t xml:space="preserve"> (</w:t>
      </w:r>
      <w:r w:rsidR="002E6077" w:rsidRPr="00A67C76">
        <w:fldChar w:fldCharType="begin"/>
      </w:r>
      <w:r w:rsidR="00854E04" w:rsidRPr="00A67C76">
        <w:instrText xml:space="preserve"> REF _Ref381779604 \h </w:instrText>
      </w:r>
      <w:r w:rsidR="002E6077" w:rsidRPr="00A67C76">
        <w:fldChar w:fldCharType="separate"/>
      </w:r>
      <w:r w:rsidR="009659F2" w:rsidRPr="00A67C76">
        <w:t xml:space="preserve">Figure </w:t>
      </w:r>
      <w:r w:rsidR="009659F2">
        <w:rPr>
          <w:noProof/>
        </w:rPr>
        <w:t>10</w:t>
      </w:r>
      <w:r w:rsidR="002E6077" w:rsidRPr="00A67C76">
        <w:fldChar w:fldCharType="end"/>
      </w:r>
      <w:r w:rsidRPr="00A67C76">
        <w:t>).</w:t>
      </w:r>
    </w:p>
    <w:p w:rsidR="00034B51" w:rsidRPr="00A67C76" w:rsidRDefault="00034B51" w:rsidP="00034B51">
      <w:r w:rsidRPr="00A67C76">
        <w:t>The differences in flow conditions (e.g. timing, magnitude and duration) during 2011–12 and 2012</w:t>
      </w:r>
      <w:r w:rsidR="00FD328A" w:rsidRPr="00FD328A">
        <w:t>-13</w:t>
      </w:r>
      <w:r w:rsidRPr="00A67C76">
        <w:t xml:space="preserve"> makes the interpretation of these results complex and no causal link can be directly and solely attributed to the presence of golden perch larvae late in the season. Delivery of environmental water may have promoted the extension of golden perch spawning to later in the season particularly in the Gorge geomorphic region where a large majority of the golden perch larvae collected late in the season were pre-flexion larvae suggesting they were spawned within the South </w:t>
      </w:r>
      <w:r w:rsidR="00F42F0F" w:rsidRPr="00A67C76">
        <w:t>Australian</w:t>
      </w:r>
      <w:r w:rsidRPr="00A67C76">
        <w:t xml:space="preserve"> reaches of the Murray River. It is also possible that the releases of environmental water during summer may have enhanced larval drift from spawning populations upstream.  </w:t>
      </w:r>
    </w:p>
    <w:p w:rsidR="00034B51" w:rsidRPr="00A67C76" w:rsidRDefault="006652CA" w:rsidP="00265D49">
      <w:r w:rsidRPr="00A67C76">
        <w:rPr>
          <w:noProof/>
          <w:szCs w:val="16"/>
          <w:lang w:eastAsia="en-AU"/>
        </w:rPr>
        <w:drawing>
          <wp:anchor distT="0" distB="0" distL="114300" distR="114300" simplePos="0" relativeHeight="251660288" behindDoc="0" locked="0" layoutInCell="1" allowOverlap="1">
            <wp:simplePos x="0" y="0"/>
            <wp:positionH relativeFrom="column">
              <wp:posOffset>227965</wp:posOffset>
            </wp:positionH>
            <wp:positionV relativeFrom="paragraph">
              <wp:posOffset>140335</wp:posOffset>
            </wp:positionV>
            <wp:extent cx="5713730" cy="7200900"/>
            <wp:effectExtent l="0" t="0" r="0" b="0"/>
            <wp:wrapTopAndBottom/>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srcRect/>
                    <a:stretch>
                      <a:fillRect/>
                    </a:stretch>
                  </pic:blipFill>
                  <pic:spPr bwMode="auto">
                    <a:xfrm>
                      <a:off x="0" y="0"/>
                      <a:ext cx="5713730" cy="7200900"/>
                    </a:xfrm>
                    <a:prstGeom prst="rect">
                      <a:avLst/>
                    </a:prstGeom>
                    <a:noFill/>
                    <a:ln w="9525">
                      <a:noFill/>
                      <a:miter lim="800000"/>
                      <a:headEnd/>
                      <a:tailEnd/>
                    </a:ln>
                  </pic:spPr>
                </pic:pic>
              </a:graphicData>
            </a:graphic>
          </wp:anchor>
        </w:drawing>
      </w:r>
    </w:p>
    <w:p w:rsidR="00AB254A" w:rsidRPr="00A67C76" w:rsidRDefault="00854E04" w:rsidP="00854E04">
      <w:pPr>
        <w:pStyle w:val="Caption"/>
        <w:rPr>
          <w:rStyle w:val="CommentReference"/>
          <w:sz w:val="20"/>
        </w:rPr>
      </w:pPr>
      <w:bookmarkStart w:id="83" w:name="_Ref381779504"/>
      <w:bookmarkStart w:id="84" w:name="_Toc387843060"/>
      <w:proofErr w:type="gramStart"/>
      <w:r w:rsidRPr="00A67C76">
        <w:t xml:space="preserve">Figure </w:t>
      </w:r>
      <w:proofErr w:type="gramEnd"/>
      <w:r w:rsidR="002E6077" w:rsidRPr="00A67C76">
        <w:fldChar w:fldCharType="begin"/>
      </w:r>
      <w:r w:rsidRPr="00A67C76">
        <w:instrText xml:space="preserve"> SEQ Figure \* ARABIC </w:instrText>
      </w:r>
      <w:r w:rsidR="002E6077" w:rsidRPr="00A67C76">
        <w:fldChar w:fldCharType="separate"/>
      </w:r>
      <w:r w:rsidR="009659F2">
        <w:rPr>
          <w:noProof/>
        </w:rPr>
        <w:t>9</w:t>
      </w:r>
      <w:r w:rsidR="002E6077" w:rsidRPr="00A67C76">
        <w:fldChar w:fldCharType="end"/>
      </w:r>
      <w:bookmarkEnd w:id="83"/>
      <w:proofErr w:type="gramStart"/>
      <w:r w:rsidRPr="00A67C76">
        <w:t>.</w:t>
      </w:r>
      <w:proofErr w:type="gramEnd"/>
      <w:r w:rsidRPr="00A67C76">
        <w:t xml:space="preserve"> Mean (± S.E.) standardis</w:t>
      </w:r>
      <w:r w:rsidR="00AB254A" w:rsidRPr="00A67C76">
        <w:t xml:space="preserve">ed catch of golden perch larvae between October 2012 and </w:t>
      </w:r>
      <w:r w:rsidR="00A71538">
        <w:t>March</w:t>
      </w:r>
      <w:r w:rsidR="00AB254A" w:rsidRPr="00A67C76">
        <w:t xml:space="preserve"> 2013</w:t>
      </w:r>
      <w:r w:rsidR="003478C7" w:rsidRPr="00A67C76">
        <w:t xml:space="preserve"> at each site: A) Lock 1, B) Lock </w:t>
      </w:r>
      <w:r w:rsidRPr="00A67C76">
        <w:t>6 and</w:t>
      </w:r>
      <w:r w:rsidR="003478C7" w:rsidRPr="00A67C76">
        <w:t xml:space="preserve"> C)</w:t>
      </w:r>
      <w:r w:rsidRPr="00A67C76">
        <w:t xml:space="preserve"> </w:t>
      </w:r>
      <w:r w:rsidR="003478C7" w:rsidRPr="00A67C76">
        <w:t>L</w:t>
      </w:r>
      <w:r w:rsidRPr="00A67C76">
        <w:t>ock 6</w:t>
      </w:r>
      <w:r w:rsidR="003478C7" w:rsidRPr="00A67C76">
        <w:t>A</w:t>
      </w:r>
      <w:r w:rsidR="00EA493F" w:rsidRPr="00A67C76">
        <w:t>.</w:t>
      </w:r>
      <w:bookmarkEnd w:id="84"/>
    </w:p>
    <w:p w:rsidR="009C5F10" w:rsidRPr="00A67C76" w:rsidRDefault="009C5F10" w:rsidP="003478C7">
      <w:r w:rsidRPr="00A67C76">
        <w:t>Generally the larval fish assemblages varied sp</w:t>
      </w:r>
      <w:r w:rsidR="001527EB" w:rsidRPr="00A67C76">
        <w:t>atially and temporally. In the F</w:t>
      </w:r>
      <w:r w:rsidRPr="00A67C76">
        <w:t>loodplain region the larval fish assemblages at the two sampled sites were not different despite one of them being downstream of the exit of a major anabranch system, namely the Chowilla floodplain (</w:t>
      </w:r>
      <w:r w:rsidR="002E6077" w:rsidRPr="00A67C76">
        <w:fldChar w:fldCharType="begin"/>
      </w:r>
      <w:r w:rsidR="00581352" w:rsidRPr="00A67C76">
        <w:instrText xml:space="preserve"> REF _Ref387832477 \h </w:instrText>
      </w:r>
      <w:r w:rsidR="002E6077" w:rsidRPr="00A67C76">
        <w:fldChar w:fldCharType="separate"/>
      </w:r>
      <w:r w:rsidR="009659F2" w:rsidRPr="00A67C76">
        <w:t xml:space="preserve">Table </w:t>
      </w:r>
      <w:r w:rsidR="009659F2">
        <w:rPr>
          <w:noProof/>
        </w:rPr>
        <w:t>5</w:t>
      </w:r>
      <w:r w:rsidR="002E6077" w:rsidRPr="00A67C76">
        <w:fldChar w:fldCharType="end"/>
      </w:r>
      <w:r w:rsidRPr="00A67C76">
        <w:t>). The site in the Gorge reg</w:t>
      </w:r>
      <w:r w:rsidR="001527EB" w:rsidRPr="00A67C76">
        <w:t>ion was different from the two F</w:t>
      </w:r>
      <w:r w:rsidRPr="00A67C76">
        <w:t xml:space="preserve">loodplain sites </w:t>
      </w:r>
      <w:r w:rsidR="00293EFC" w:rsidRPr="00A67C76">
        <w:t>(</w:t>
      </w:r>
      <w:r w:rsidR="002E6077" w:rsidRPr="00A67C76">
        <w:fldChar w:fldCharType="begin"/>
      </w:r>
      <w:r w:rsidR="00293EFC" w:rsidRPr="00A67C76">
        <w:instrText xml:space="preserve"> REF _Ref387841266 \h </w:instrText>
      </w:r>
      <w:r w:rsidR="002E6077" w:rsidRPr="00A67C76">
        <w:fldChar w:fldCharType="separate"/>
      </w:r>
      <w:r w:rsidR="009659F2" w:rsidRPr="00A67C76">
        <w:t xml:space="preserve">Appendix </w:t>
      </w:r>
      <w:r w:rsidR="009659F2">
        <w:rPr>
          <w:noProof/>
        </w:rPr>
        <w:t>II</w:t>
      </w:r>
      <w:r w:rsidR="002E6077" w:rsidRPr="00A67C76">
        <w:fldChar w:fldCharType="end"/>
      </w:r>
      <w:r w:rsidR="00293EFC" w:rsidRPr="00A67C76">
        <w:t xml:space="preserve">) </w:t>
      </w:r>
      <w:r w:rsidRPr="00A67C76">
        <w:t>mainly due to higher abundances of bony herring, carp, carp gudgeon and golden perch larvae in the Gorge region (</w:t>
      </w:r>
      <w:r w:rsidR="002E6077" w:rsidRPr="00A67C76">
        <w:fldChar w:fldCharType="begin"/>
      </w:r>
      <w:r w:rsidR="00581352" w:rsidRPr="00A67C76">
        <w:instrText xml:space="preserve"> REF _Ref387832477 \h </w:instrText>
      </w:r>
      <w:r w:rsidR="002E6077" w:rsidRPr="00A67C76">
        <w:fldChar w:fldCharType="separate"/>
      </w:r>
      <w:r w:rsidR="009659F2" w:rsidRPr="00A67C76">
        <w:t xml:space="preserve">Table </w:t>
      </w:r>
      <w:r w:rsidR="009659F2">
        <w:rPr>
          <w:noProof/>
        </w:rPr>
        <w:t>5</w:t>
      </w:r>
      <w:r w:rsidR="002E6077" w:rsidRPr="00A67C76">
        <w:fldChar w:fldCharType="end"/>
      </w:r>
      <w:r w:rsidRPr="00A67C76">
        <w:t>).</w:t>
      </w:r>
    </w:p>
    <w:p w:rsidR="00E940A3" w:rsidRPr="00A67C76" w:rsidRDefault="009C5F10" w:rsidP="009C5F10">
      <w:pPr>
        <w:rPr>
          <w:rStyle w:val="CommentReference"/>
          <w:color w:val="auto"/>
          <w:kern w:val="0"/>
          <w:lang w:eastAsia="en-AU"/>
        </w:rPr>
      </w:pPr>
      <w:r w:rsidRPr="00A67C76">
        <w:t xml:space="preserve">There was a seasonal change in larval fish assemblages in both </w:t>
      </w:r>
      <w:r w:rsidR="009D0F32" w:rsidRPr="00A67C76">
        <w:t xml:space="preserve">geomorphic </w:t>
      </w:r>
      <w:r w:rsidRPr="00A67C76">
        <w:t>regions, which was related to an increase in temperature and</w:t>
      </w:r>
      <w:r w:rsidR="00E940A3" w:rsidRPr="00A67C76">
        <w:t xml:space="preserve"> </w:t>
      </w:r>
      <w:r w:rsidRPr="00A67C76">
        <w:t>a decrease in flow throughout the sampling period</w:t>
      </w:r>
      <w:r w:rsidR="008E1295" w:rsidRPr="00A67C76">
        <w:t>. This pattern is consistent and repeated throughout previous years sampling (</w:t>
      </w:r>
      <w:r w:rsidR="002E6077" w:rsidRPr="00A67C76">
        <w:fldChar w:fldCharType="begin"/>
      </w:r>
      <w:r w:rsidR="00727B54" w:rsidRPr="00A67C76">
        <w:instrText xml:space="preserve"> REF _Ref381780311 \h </w:instrText>
      </w:r>
      <w:r w:rsidR="002E6077" w:rsidRPr="00A67C76">
        <w:fldChar w:fldCharType="separate"/>
      </w:r>
      <w:r w:rsidR="009659F2" w:rsidRPr="00A67C76">
        <w:t xml:space="preserve">Figure </w:t>
      </w:r>
      <w:r w:rsidR="009659F2">
        <w:rPr>
          <w:noProof/>
        </w:rPr>
        <w:t>11</w:t>
      </w:r>
      <w:r w:rsidR="002E6077" w:rsidRPr="00A67C76">
        <w:fldChar w:fldCharType="end"/>
      </w:r>
      <w:r w:rsidR="008E1295" w:rsidRPr="00A67C76">
        <w:t>)</w:t>
      </w:r>
      <w:r w:rsidRPr="00A67C76">
        <w:t>.</w:t>
      </w:r>
      <w:r w:rsidR="00854E04" w:rsidRPr="00A67C76">
        <w:rPr>
          <w:noProof/>
        </w:rPr>
        <w:t xml:space="preserve"> </w:t>
      </w:r>
    </w:p>
    <w:p w:rsidR="009C5F10" w:rsidRPr="00A67C76" w:rsidRDefault="00854E04" w:rsidP="009C5F10">
      <w:pPr>
        <w:rPr>
          <w:noProof/>
        </w:rPr>
      </w:pPr>
      <w:r w:rsidRPr="00A67C76">
        <w:rPr>
          <w:noProof/>
          <w:lang w:eastAsia="en-AU"/>
        </w:rPr>
        <w:drawing>
          <wp:inline distT="0" distB="0" distL="0" distR="0">
            <wp:extent cx="5278120" cy="4209392"/>
            <wp:effectExtent l="19050" t="0" r="0"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email"/>
                    <a:srcRect/>
                    <a:stretch>
                      <a:fillRect/>
                    </a:stretch>
                  </pic:blipFill>
                  <pic:spPr bwMode="auto">
                    <a:xfrm>
                      <a:off x="0" y="0"/>
                      <a:ext cx="5278120" cy="4209392"/>
                    </a:xfrm>
                    <a:prstGeom prst="rect">
                      <a:avLst/>
                    </a:prstGeom>
                    <a:noFill/>
                    <a:ln w="9525">
                      <a:noFill/>
                      <a:miter lim="800000"/>
                      <a:headEnd/>
                      <a:tailEnd/>
                    </a:ln>
                  </pic:spPr>
                </pic:pic>
              </a:graphicData>
            </a:graphic>
          </wp:inline>
        </w:drawing>
      </w:r>
    </w:p>
    <w:p w:rsidR="009C5F10" w:rsidRPr="00A67C76" w:rsidRDefault="00854E04" w:rsidP="00854E04">
      <w:pPr>
        <w:pStyle w:val="Caption"/>
      </w:pPr>
      <w:bookmarkStart w:id="85" w:name="_Ref381779604"/>
      <w:bookmarkStart w:id="86" w:name="_Toc387843061"/>
      <w:proofErr w:type="gramStart"/>
      <w:r w:rsidRPr="00A67C76">
        <w:t xml:space="preserve">Figure </w:t>
      </w:r>
      <w:proofErr w:type="gramEnd"/>
      <w:r w:rsidR="002E6077" w:rsidRPr="00A67C76">
        <w:fldChar w:fldCharType="begin"/>
      </w:r>
      <w:r w:rsidRPr="00A67C76">
        <w:instrText xml:space="preserve"> SEQ Figure \* ARABIC </w:instrText>
      </w:r>
      <w:r w:rsidR="002E6077" w:rsidRPr="00A67C76">
        <w:fldChar w:fldCharType="separate"/>
      </w:r>
      <w:r w:rsidR="009659F2">
        <w:rPr>
          <w:noProof/>
        </w:rPr>
        <w:t>10</w:t>
      </w:r>
      <w:r w:rsidR="002E6077" w:rsidRPr="00A67C76">
        <w:fldChar w:fldCharType="end"/>
      </w:r>
      <w:bookmarkEnd w:id="85"/>
      <w:proofErr w:type="gramStart"/>
      <w:r w:rsidRPr="00A67C76">
        <w:t>.</w:t>
      </w:r>
      <w:proofErr w:type="gramEnd"/>
      <w:r w:rsidRPr="00A67C76">
        <w:t xml:space="preserve"> Mean (± S.E.) standardis</w:t>
      </w:r>
      <w:r w:rsidR="009C5F10" w:rsidRPr="00A67C76">
        <w:t>ed</w:t>
      </w:r>
      <w:r w:rsidR="00A71538">
        <w:t xml:space="preserve"> (larvae 1000m</w:t>
      </w:r>
      <w:r w:rsidR="00A71538" w:rsidRPr="00A71538">
        <w:rPr>
          <w:vertAlign w:val="superscript"/>
        </w:rPr>
        <w:t>-3</w:t>
      </w:r>
      <w:r w:rsidR="00A71538">
        <w:t xml:space="preserve">) </w:t>
      </w:r>
      <w:r w:rsidR="009C5F10" w:rsidRPr="00A67C76">
        <w:t xml:space="preserve">catch of golden perch larvae throughout drought (2005-06 to 2008-09), flood (2010-11) and flow years (2011-12 and </w:t>
      </w:r>
      <w:r w:rsidR="00333041" w:rsidRPr="00A67C76">
        <w:t>2012</w:t>
      </w:r>
      <w:r w:rsidR="00FD328A" w:rsidRPr="00FD328A">
        <w:t>-13</w:t>
      </w:r>
      <w:r w:rsidR="009C5F10" w:rsidRPr="00A67C76">
        <w:t>). Note there was no sampling during 2009.</w:t>
      </w:r>
      <w:bookmarkEnd w:id="86"/>
      <w:r w:rsidR="009C5F10" w:rsidRPr="00A67C76">
        <w:t xml:space="preserve"> </w:t>
      </w:r>
    </w:p>
    <w:p w:rsidR="008E1295" w:rsidRPr="00A67C76" w:rsidRDefault="008E1295" w:rsidP="00854E04">
      <w:pPr>
        <w:pStyle w:val="Caption"/>
      </w:pPr>
      <w:bookmarkStart w:id="87" w:name="_Ref381779704"/>
    </w:p>
    <w:p w:rsidR="008E1295" w:rsidRPr="00A67C76" w:rsidRDefault="008E1295" w:rsidP="00854E04">
      <w:pPr>
        <w:pStyle w:val="Caption"/>
      </w:pPr>
    </w:p>
    <w:p w:rsidR="009C5F10" w:rsidRPr="00A67C76" w:rsidRDefault="00854E04" w:rsidP="00854E04">
      <w:pPr>
        <w:pStyle w:val="Caption"/>
      </w:pPr>
      <w:bookmarkStart w:id="88" w:name="_Ref387832477"/>
      <w:bookmarkStart w:id="89" w:name="_Toc387929707"/>
      <w:proofErr w:type="gramStart"/>
      <w:r w:rsidRPr="00A67C76">
        <w:t xml:space="preserve">Table </w:t>
      </w:r>
      <w:proofErr w:type="gramEnd"/>
      <w:r w:rsidR="002E6077" w:rsidRPr="00A67C76">
        <w:fldChar w:fldCharType="begin"/>
      </w:r>
      <w:r w:rsidRPr="00A67C76">
        <w:instrText xml:space="preserve"> SEQ Table \* ARABIC </w:instrText>
      </w:r>
      <w:r w:rsidR="002E6077" w:rsidRPr="00A67C76">
        <w:fldChar w:fldCharType="separate"/>
      </w:r>
      <w:r w:rsidR="009659F2">
        <w:rPr>
          <w:noProof/>
        </w:rPr>
        <w:t>5</w:t>
      </w:r>
      <w:r w:rsidR="002E6077" w:rsidRPr="00A67C76">
        <w:fldChar w:fldCharType="end"/>
      </w:r>
      <w:bookmarkEnd w:id="87"/>
      <w:bookmarkEnd w:id="88"/>
      <w:proofErr w:type="gramStart"/>
      <w:r w:rsidRPr="00A67C76">
        <w:t>.</w:t>
      </w:r>
      <w:proofErr w:type="gramEnd"/>
      <w:r w:rsidR="009C5F10" w:rsidRPr="00A67C76">
        <w:t xml:space="preserve"> </w:t>
      </w:r>
      <w:proofErr w:type="gramStart"/>
      <w:r w:rsidR="009C5F10" w:rsidRPr="00A67C76">
        <w:t>Summary of estimated larval abundance (larvae 1000</w:t>
      </w:r>
      <w:r w:rsidR="001E6D44" w:rsidRPr="00A67C76">
        <w:t xml:space="preserve"> </w:t>
      </w:r>
      <w:r w:rsidR="009C5F10" w:rsidRPr="00A67C76">
        <w:t>m</w:t>
      </w:r>
      <w:r w:rsidR="00522ACA" w:rsidRPr="00A67C76">
        <w:rPr>
          <w:vertAlign w:val="superscript"/>
        </w:rPr>
        <w:t>-3</w:t>
      </w:r>
      <w:r w:rsidR="009C5F10" w:rsidRPr="00A67C76">
        <w:t xml:space="preserve">) per site throughout the </w:t>
      </w:r>
      <w:r w:rsidR="00333041" w:rsidRPr="00A67C76">
        <w:t>2012</w:t>
      </w:r>
      <w:r w:rsidR="00FD328A" w:rsidRPr="00FD328A">
        <w:t>-13</w:t>
      </w:r>
      <w:r w:rsidR="009C5F10" w:rsidRPr="00A67C76">
        <w:t xml:space="preserve"> sampling period.</w:t>
      </w:r>
      <w:bookmarkEnd w:id="89"/>
      <w:proofErr w:type="gramEnd"/>
    </w:p>
    <w:tbl>
      <w:tblPr>
        <w:tblW w:w="8067" w:type="dxa"/>
        <w:tblInd w:w="93" w:type="dxa"/>
        <w:tblBorders>
          <w:top w:val="single" w:sz="4" w:space="0" w:color="auto"/>
          <w:bottom w:val="single" w:sz="4" w:space="0" w:color="auto"/>
        </w:tblBorders>
        <w:tblLook w:val="04A0"/>
      </w:tblPr>
      <w:tblGrid>
        <w:gridCol w:w="2567"/>
        <w:gridCol w:w="1720"/>
        <w:gridCol w:w="1260"/>
        <w:gridCol w:w="1260"/>
        <w:gridCol w:w="1260"/>
      </w:tblGrid>
      <w:tr w:rsidR="009C5F10" w:rsidRPr="00A67C76" w:rsidTr="00EA303E">
        <w:trPr>
          <w:trHeight w:val="300"/>
        </w:trPr>
        <w:tc>
          <w:tcPr>
            <w:tcW w:w="2567" w:type="dxa"/>
            <w:tcBorders>
              <w:top w:val="single" w:sz="4" w:space="0" w:color="auto"/>
              <w:bottom w:val="single" w:sz="4" w:space="0" w:color="auto"/>
            </w:tcBorders>
            <w:shd w:val="clear" w:color="auto" w:fill="auto"/>
            <w:noWrap/>
            <w:vAlign w:val="bottom"/>
            <w:hideMark/>
          </w:tcPr>
          <w:p w:rsidR="009C5F10" w:rsidRPr="00A67C76" w:rsidRDefault="009C5F10" w:rsidP="003C5E8D">
            <w:pPr>
              <w:contextualSpacing/>
              <w:rPr>
                <w:rFonts w:cs="Calibri"/>
                <w:b/>
                <w:sz w:val="20"/>
                <w:lang w:eastAsia="en-AU"/>
              </w:rPr>
            </w:pPr>
            <w:r w:rsidRPr="00A67C76">
              <w:rPr>
                <w:rFonts w:cs="Calibri"/>
                <w:b/>
                <w:sz w:val="20"/>
                <w:lang w:eastAsia="en-AU"/>
              </w:rPr>
              <w:t>Site</w:t>
            </w:r>
          </w:p>
        </w:tc>
        <w:tc>
          <w:tcPr>
            <w:tcW w:w="1720" w:type="dxa"/>
            <w:tcBorders>
              <w:top w:val="single" w:sz="4" w:space="0" w:color="auto"/>
              <w:bottom w:val="single" w:sz="4" w:space="0" w:color="auto"/>
            </w:tcBorders>
            <w:shd w:val="clear" w:color="auto" w:fill="auto"/>
            <w:noWrap/>
            <w:vAlign w:val="center"/>
            <w:hideMark/>
          </w:tcPr>
          <w:p w:rsidR="009C5F10" w:rsidRPr="00A67C76" w:rsidRDefault="00FD328A" w:rsidP="003C5E8D">
            <w:pPr>
              <w:contextualSpacing/>
              <w:jc w:val="right"/>
              <w:rPr>
                <w:rFonts w:cs="Calibri"/>
                <w:b/>
                <w:sz w:val="20"/>
                <w:lang w:eastAsia="en-AU"/>
              </w:rPr>
            </w:pPr>
            <w:r w:rsidRPr="00FD328A">
              <w:rPr>
                <w:rFonts w:cs="Calibri"/>
                <w:b/>
                <w:sz w:val="20"/>
                <w:lang w:eastAsia="en-AU"/>
              </w:rPr>
              <w:t>LK-1</w:t>
            </w:r>
          </w:p>
        </w:tc>
        <w:tc>
          <w:tcPr>
            <w:tcW w:w="1260" w:type="dxa"/>
            <w:tcBorders>
              <w:top w:val="single" w:sz="4" w:space="0" w:color="auto"/>
              <w:bottom w:val="single" w:sz="4" w:space="0" w:color="auto"/>
            </w:tcBorders>
            <w:shd w:val="clear" w:color="auto" w:fill="auto"/>
            <w:noWrap/>
            <w:vAlign w:val="center"/>
            <w:hideMark/>
          </w:tcPr>
          <w:p w:rsidR="009C5F10" w:rsidRPr="00A67C76" w:rsidRDefault="00FD328A" w:rsidP="003C5E8D">
            <w:pPr>
              <w:contextualSpacing/>
              <w:jc w:val="right"/>
              <w:rPr>
                <w:rFonts w:cs="Calibri"/>
                <w:b/>
                <w:sz w:val="20"/>
                <w:lang w:eastAsia="en-AU"/>
              </w:rPr>
            </w:pPr>
            <w:r w:rsidRPr="00FD328A">
              <w:rPr>
                <w:rFonts w:cs="Calibri"/>
                <w:b/>
                <w:sz w:val="20"/>
                <w:lang w:eastAsia="en-AU"/>
              </w:rPr>
              <w:t>LK-6</w:t>
            </w:r>
          </w:p>
        </w:tc>
        <w:tc>
          <w:tcPr>
            <w:tcW w:w="1260" w:type="dxa"/>
            <w:tcBorders>
              <w:top w:val="single" w:sz="4" w:space="0" w:color="auto"/>
              <w:bottom w:val="single" w:sz="4" w:space="0" w:color="auto"/>
            </w:tcBorders>
            <w:shd w:val="clear" w:color="auto" w:fill="auto"/>
            <w:noWrap/>
            <w:vAlign w:val="center"/>
            <w:hideMark/>
          </w:tcPr>
          <w:p w:rsidR="009C5F10" w:rsidRPr="00A67C76" w:rsidRDefault="00FD328A" w:rsidP="003C5E8D">
            <w:pPr>
              <w:contextualSpacing/>
              <w:jc w:val="right"/>
              <w:rPr>
                <w:rFonts w:cs="Calibri"/>
                <w:b/>
                <w:sz w:val="20"/>
                <w:lang w:eastAsia="en-AU"/>
              </w:rPr>
            </w:pPr>
            <w:r w:rsidRPr="00FD328A">
              <w:rPr>
                <w:rFonts w:cs="Calibri"/>
                <w:b/>
                <w:sz w:val="20"/>
                <w:lang w:eastAsia="en-AU"/>
              </w:rPr>
              <w:t>LK-6</w:t>
            </w:r>
            <w:r w:rsidR="009C5F10" w:rsidRPr="00A67C76">
              <w:rPr>
                <w:rFonts w:cs="Calibri"/>
                <w:b/>
                <w:sz w:val="20"/>
                <w:lang w:eastAsia="en-AU"/>
              </w:rPr>
              <w:t>A</w:t>
            </w:r>
          </w:p>
        </w:tc>
        <w:tc>
          <w:tcPr>
            <w:tcW w:w="1260" w:type="dxa"/>
            <w:tcBorders>
              <w:top w:val="single" w:sz="4" w:space="0" w:color="auto"/>
              <w:bottom w:val="single" w:sz="4" w:space="0" w:color="auto"/>
            </w:tcBorders>
            <w:shd w:val="clear" w:color="auto" w:fill="auto"/>
            <w:noWrap/>
            <w:vAlign w:val="center"/>
            <w:hideMark/>
          </w:tcPr>
          <w:p w:rsidR="009C5F10" w:rsidRPr="00A67C76" w:rsidRDefault="009C5F10" w:rsidP="003C5E8D">
            <w:pPr>
              <w:contextualSpacing/>
              <w:jc w:val="right"/>
              <w:rPr>
                <w:rFonts w:cs="Calibri"/>
                <w:b/>
                <w:sz w:val="20"/>
                <w:lang w:eastAsia="en-AU"/>
              </w:rPr>
            </w:pPr>
            <w:r w:rsidRPr="00A67C76">
              <w:rPr>
                <w:rFonts w:cs="Calibri"/>
                <w:b/>
                <w:sz w:val="20"/>
                <w:lang w:eastAsia="en-AU"/>
              </w:rPr>
              <w:t>Total</w:t>
            </w:r>
          </w:p>
        </w:tc>
      </w:tr>
      <w:tr w:rsidR="009C5F10" w:rsidRPr="00A67C76" w:rsidTr="00EA303E">
        <w:trPr>
          <w:trHeight w:val="300"/>
        </w:trPr>
        <w:tc>
          <w:tcPr>
            <w:tcW w:w="2567" w:type="dxa"/>
            <w:tcBorders>
              <w:top w:val="single" w:sz="4" w:space="0" w:color="auto"/>
            </w:tcBorders>
            <w:shd w:val="clear" w:color="auto" w:fill="auto"/>
            <w:noWrap/>
            <w:vAlign w:val="center"/>
            <w:hideMark/>
          </w:tcPr>
          <w:p w:rsidR="009C5F10" w:rsidRPr="00A67C76" w:rsidRDefault="009C5F10" w:rsidP="003C5E8D">
            <w:pPr>
              <w:contextualSpacing/>
              <w:rPr>
                <w:rFonts w:cs="Calibri"/>
                <w:sz w:val="20"/>
                <w:lang w:eastAsia="en-AU"/>
              </w:rPr>
            </w:pPr>
            <w:r w:rsidRPr="00A67C76">
              <w:rPr>
                <w:rFonts w:cs="Calibri"/>
                <w:sz w:val="20"/>
                <w:lang w:eastAsia="en-AU"/>
              </w:rPr>
              <w:t>flat-headed gudegeon</w:t>
            </w:r>
          </w:p>
        </w:tc>
        <w:tc>
          <w:tcPr>
            <w:tcW w:w="1720" w:type="dxa"/>
            <w:tcBorders>
              <w:top w:val="single" w:sz="4" w:space="0" w:color="auto"/>
            </w:tcBorders>
            <w:shd w:val="clear" w:color="auto" w:fill="auto"/>
            <w:noWrap/>
            <w:vAlign w:val="center"/>
            <w:hideMark/>
          </w:tcPr>
          <w:p w:rsidR="009C5F10" w:rsidRPr="00A67C76" w:rsidRDefault="009C5F10" w:rsidP="003C5E8D">
            <w:pPr>
              <w:contextualSpacing/>
              <w:jc w:val="right"/>
              <w:rPr>
                <w:rFonts w:cs="Calibri"/>
                <w:sz w:val="20"/>
                <w:lang w:eastAsia="en-AU"/>
              </w:rPr>
            </w:pPr>
            <w:r w:rsidRPr="00A67C76">
              <w:rPr>
                <w:rFonts w:cs="Calibri"/>
                <w:sz w:val="20"/>
                <w:lang w:eastAsia="en-AU"/>
              </w:rPr>
              <w:t>842.</w:t>
            </w:r>
            <w:r w:rsidR="006E74BB" w:rsidRPr="00A67C76">
              <w:rPr>
                <w:rFonts w:cs="Calibri"/>
                <w:sz w:val="20"/>
                <w:lang w:eastAsia="en-AU"/>
              </w:rPr>
              <w:t>5</w:t>
            </w:r>
          </w:p>
        </w:tc>
        <w:tc>
          <w:tcPr>
            <w:tcW w:w="1260" w:type="dxa"/>
            <w:tcBorders>
              <w:top w:val="single" w:sz="4" w:space="0" w:color="auto"/>
            </w:tcBorders>
            <w:shd w:val="clear" w:color="auto" w:fill="auto"/>
            <w:noWrap/>
            <w:vAlign w:val="center"/>
            <w:hideMark/>
          </w:tcPr>
          <w:p w:rsidR="009C5F10" w:rsidRPr="00A67C76" w:rsidRDefault="006E74BB" w:rsidP="003C5E8D">
            <w:pPr>
              <w:contextualSpacing/>
              <w:jc w:val="right"/>
              <w:rPr>
                <w:rFonts w:cs="Calibri"/>
                <w:sz w:val="20"/>
                <w:lang w:eastAsia="en-AU"/>
              </w:rPr>
            </w:pPr>
            <w:r w:rsidRPr="00A67C76">
              <w:rPr>
                <w:rFonts w:cs="Calibri"/>
                <w:sz w:val="20"/>
                <w:lang w:eastAsia="en-AU"/>
              </w:rPr>
              <w:t>1512.5</w:t>
            </w:r>
          </w:p>
        </w:tc>
        <w:tc>
          <w:tcPr>
            <w:tcW w:w="1260" w:type="dxa"/>
            <w:tcBorders>
              <w:top w:val="single" w:sz="4" w:space="0" w:color="auto"/>
            </w:tcBorders>
            <w:shd w:val="clear" w:color="auto" w:fill="auto"/>
            <w:noWrap/>
            <w:vAlign w:val="center"/>
            <w:hideMark/>
          </w:tcPr>
          <w:p w:rsidR="009C5F10" w:rsidRPr="00A67C76" w:rsidRDefault="006E74BB" w:rsidP="003C5E8D">
            <w:pPr>
              <w:contextualSpacing/>
              <w:jc w:val="right"/>
              <w:rPr>
                <w:rFonts w:cs="Calibri"/>
                <w:sz w:val="20"/>
                <w:lang w:eastAsia="en-AU"/>
              </w:rPr>
            </w:pPr>
            <w:r w:rsidRPr="00A67C76">
              <w:rPr>
                <w:rFonts w:cs="Calibri"/>
                <w:sz w:val="20"/>
                <w:lang w:eastAsia="en-AU"/>
              </w:rPr>
              <w:t>1092.5</w:t>
            </w:r>
          </w:p>
        </w:tc>
        <w:tc>
          <w:tcPr>
            <w:tcW w:w="1260" w:type="dxa"/>
            <w:tcBorders>
              <w:top w:val="single" w:sz="4" w:space="0" w:color="auto"/>
            </w:tcBorders>
            <w:shd w:val="clear" w:color="auto" w:fill="auto"/>
            <w:noWrap/>
            <w:vAlign w:val="center"/>
            <w:hideMark/>
          </w:tcPr>
          <w:p w:rsidR="009C5F10" w:rsidRPr="00A67C76" w:rsidRDefault="006E74BB" w:rsidP="003C5E8D">
            <w:pPr>
              <w:contextualSpacing/>
              <w:jc w:val="right"/>
              <w:rPr>
                <w:rFonts w:cs="Calibri"/>
                <w:sz w:val="20"/>
                <w:lang w:eastAsia="en-AU"/>
              </w:rPr>
            </w:pPr>
            <w:r w:rsidRPr="00A67C76">
              <w:rPr>
                <w:rFonts w:cs="Calibri"/>
                <w:sz w:val="20"/>
                <w:lang w:eastAsia="en-AU"/>
              </w:rPr>
              <w:t>3447.5</w:t>
            </w:r>
          </w:p>
        </w:tc>
      </w:tr>
      <w:tr w:rsidR="009C5F10" w:rsidRPr="00A67C76" w:rsidTr="00EA303E">
        <w:trPr>
          <w:trHeight w:val="300"/>
        </w:trPr>
        <w:tc>
          <w:tcPr>
            <w:tcW w:w="2567" w:type="dxa"/>
            <w:shd w:val="clear" w:color="auto" w:fill="auto"/>
            <w:noWrap/>
            <w:vAlign w:val="center"/>
            <w:hideMark/>
          </w:tcPr>
          <w:p w:rsidR="009C5F10" w:rsidRPr="00A67C76" w:rsidRDefault="009C5F10" w:rsidP="003C5E8D">
            <w:pPr>
              <w:contextualSpacing/>
              <w:rPr>
                <w:rFonts w:cs="Calibri"/>
                <w:sz w:val="20"/>
                <w:lang w:eastAsia="en-AU"/>
              </w:rPr>
            </w:pPr>
            <w:r w:rsidRPr="00A67C76">
              <w:rPr>
                <w:rFonts w:cs="Calibri"/>
                <w:sz w:val="20"/>
                <w:lang w:eastAsia="en-AU"/>
              </w:rPr>
              <w:t>carp gudgeon</w:t>
            </w:r>
          </w:p>
        </w:tc>
        <w:tc>
          <w:tcPr>
            <w:tcW w:w="1720" w:type="dxa"/>
            <w:shd w:val="clear" w:color="auto" w:fill="auto"/>
            <w:noWrap/>
            <w:vAlign w:val="center"/>
            <w:hideMark/>
          </w:tcPr>
          <w:p w:rsidR="009C5F10" w:rsidRPr="00A67C76" w:rsidRDefault="009C5F10" w:rsidP="003C5E8D">
            <w:pPr>
              <w:contextualSpacing/>
              <w:jc w:val="right"/>
              <w:rPr>
                <w:rFonts w:cs="Calibri"/>
                <w:sz w:val="20"/>
                <w:lang w:eastAsia="en-AU"/>
              </w:rPr>
            </w:pPr>
            <w:r w:rsidRPr="00A67C76">
              <w:rPr>
                <w:rFonts w:cs="Calibri"/>
                <w:sz w:val="20"/>
                <w:lang w:eastAsia="en-AU"/>
              </w:rPr>
              <w:t>1024.</w:t>
            </w:r>
            <w:r w:rsidR="006E74BB" w:rsidRPr="00A67C76">
              <w:rPr>
                <w:rFonts w:cs="Calibri"/>
                <w:sz w:val="20"/>
                <w:lang w:eastAsia="en-AU"/>
              </w:rPr>
              <w:t>6</w:t>
            </w:r>
          </w:p>
        </w:tc>
        <w:tc>
          <w:tcPr>
            <w:tcW w:w="1260" w:type="dxa"/>
            <w:shd w:val="clear" w:color="auto" w:fill="auto"/>
            <w:noWrap/>
            <w:vAlign w:val="center"/>
            <w:hideMark/>
          </w:tcPr>
          <w:p w:rsidR="009C5F10" w:rsidRPr="00A67C76" w:rsidRDefault="006E74BB" w:rsidP="003C5E8D">
            <w:pPr>
              <w:contextualSpacing/>
              <w:jc w:val="right"/>
              <w:rPr>
                <w:rFonts w:cs="Calibri"/>
                <w:sz w:val="20"/>
                <w:lang w:eastAsia="en-AU"/>
              </w:rPr>
            </w:pPr>
            <w:r w:rsidRPr="00A67C76">
              <w:rPr>
                <w:rFonts w:cs="Calibri"/>
                <w:sz w:val="20"/>
                <w:lang w:eastAsia="en-AU"/>
              </w:rPr>
              <w:t>544.8</w:t>
            </w:r>
          </w:p>
        </w:tc>
        <w:tc>
          <w:tcPr>
            <w:tcW w:w="1260" w:type="dxa"/>
            <w:shd w:val="clear" w:color="auto" w:fill="auto"/>
            <w:noWrap/>
            <w:vAlign w:val="center"/>
            <w:hideMark/>
          </w:tcPr>
          <w:p w:rsidR="009C5F10" w:rsidRPr="00A67C76" w:rsidRDefault="009C5F10" w:rsidP="003C5E8D">
            <w:pPr>
              <w:contextualSpacing/>
              <w:jc w:val="right"/>
              <w:rPr>
                <w:rFonts w:cs="Calibri"/>
                <w:sz w:val="20"/>
                <w:lang w:eastAsia="en-AU"/>
              </w:rPr>
            </w:pPr>
            <w:r w:rsidRPr="00A67C76">
              <w:rPr>
                <w:rFonts w:cs="Calibri"/>
                <w:sz w:val="20"/>
                <w:lang w:eastAsia="en-AU"/>
              </w:rPr>
              <w:t>516.</w:t>
            </w:r>
            <w:r w:rsidR="006E74BB" w:rsidRPr="00A67C76">
              <w:rPr>
                <w:rFonts w:cs="Calibri"/>
                <w:sz w:val="20"/>
                <w:lang w:eastAsia="en-AU"/>
              </w:rPr>
              <w:t>3</w:t>
            </w:r>
          </w:p>
        </w:tc>
        <w:tc>
          <w:tcPr>
            <w:tcW w:w="1260" w:type="dxa"/>
            <w:shd w:val="clear" w:color="auto" w:fill="auto"/>
            <w:noWrap/>
            <w:vAlign w:val="center"/>
            <w:hideMark/>
          </w:tcPr>
          <w:p w:rsidR="009C5F10" w:rsidRPr="00A67C76" w:rsidRDefault="006E74BB" w:rsidP="003C5E8D">
            <w:pPr>
              <w:contextualSpacing/>
              <w:jc w:val="right"/>
              <w:rPr>
                <w:rFonts w:cs="Calibri"/>
                <w:sz w:val="20"/>
                <w:lang w:eastAsia="en-AU"/>
              </w:rPr>
            </w:pPr>
            <w:r w:rsidRPr="00A67C76">
              <w:rPr>
                <w:rFonts w:cs="Calibri"/>
                <w:sz w:val="20"/>
                <w:lang w:eastAsia="en-AU"/>
              </w:rPr>
              <w:t>2085.7</w:t>
            </w:r>
          </w:p>
        </w:tc>
      </w:tr>
      <w:tr w:rsidR="009C5F10" w:rsidRPr="00A67C76" w:rsidTr="00EA303E">
        <w:trPr>
          <w:trHeight w:val="300"/>
        </w:trPr>
        <w:tc>
          <w:tcPr>
            <w:tcW w:w="2567" w:type="dxa"/>
            <w:shd w:val="clear" w:color="auto" w:fill="auto"/>
            <w:noWrap/>
            <w:vAlign w:val="center"/>
            <w:hideMark/>
          </w:tcPr>
          <w:p w:rsidR="009C5F10" w:rsidRPr="00A67C76" w:rsidRDefault="009C5F10" w:rsidP="003C5E8D">
            <w:pPr>
              <w:contextualSpacing/>
              <w:rPr>
                <w:rFonts w:cs="Calibri"/>
                <w:sz w:val="20"/>
                <w:lang w:eastAsia="en-AU"/>
              </w:rPr>
            </w:pPr>
            <w:r w:rsidRPr="00A67C76">
              <w:rPr>
                <w:rFonts w:cs="Calibri"/>
                <w:sz w:val="20"/>
                <w:lang w:eastAsia="en-AU"/>
              </w:rPr>
              <w:t>bony herring</w:t>
            </w:r>
          </w:p>
        </w:tc>
        <w:tc>
          <w:tcPr>
            <w:tcW w:w="1720" w:type="dxa"/>
            <w:shd w:val="clear" w:color="auto" w:fill="auto"/>
            <w:noWrap/>
            <w:vAlign w:val="center"/>
            <w:hideMark/>
          </w:tcPr>
          <w:p w:rsidR="009C5F10" w:rsidRPr="00A67C76" w:rsidRDefault="009C5F10" w:rsidP="003C5E8D">
            <w:pPr>
              <w:contextualSpacing/>
              <w:jc w:val="right"/>
              <w:rPr>
                <w:rFonts w:cs="Calibri"/>
                <w:sz w:val="20"/>
                <w:lang w:eastAsia="en-AU"/>
              </w:rPr>
            </w:pPr>
            <w:r w:rsidRPr="00A67C76">
              <w:rPr>
                <w:rFonts w:cs="Calibri"/>
                <w:sz w:val="20"/>
                <w:lang w:eastAsia="en-AU"/>
              </w:rPr>
              <w:t>780.1</w:t>
            </w:r>
          </w:p>
        </w:tc>
        <w:tc>
          <w:tcPr>
            <w:tcW w:w="1260" w:type="dxa"/>
            <w:shd w:val="clear" w:color="auto" w:fill="auto"/>
            <w:noWrap/>
            <w:vAlign w:val="center"/>
            <w:hideMark/>
          </w:tcPr>
          <w:p w:rsidR="009C5F10" w:rsidRPr="00A67C76" w:rsidRDefault="006E74BB" w:rsidP="003C5E8D">
            <w:pPr>
              <w:contextualSpacing/>
              <w:jc w:val="right"/>
              <w:rPr>
                <w:rFonts w:cs="Calibri"/>
                <w:sz w:val="20"/>
                <w:lang w:eastAsia="en-AU"/>
              </w:rPr>
            </w:pPr>
            <w:r w:rsidRPr="00A67C76">
              <w:rPr>
                <w:rFonts w:cs="Calibri"/>
                <w:sz w:val="20"/>
                <w:lang w:eastAsia="en-AU"/>
              </w:rPr>
              <w:t>110.6</w:t>
            </w:r>
          </w:p>
        </w:tc>
        <w:tc>
          <w:tcPr>
            <w:tcW w:w="1260" w:type="dxa"/>
            <w:shd w:val="clear" w:color="auto" w:fill="auto"/>
            <w:noWrap/>
            <w:vAlign w:val="center"/>
            <w:hideMark/>
          </w:tcPr>
          <w:p w:rsidR="009C5F10" w:rsidRPr="00A67C76" w:rsidRDefault="006E74BB" w:rsidP="003C5E8D">
            <w:pPr>
              <w:contextualSpacing/>
              <w:jc w:val="right"/>
              <w:rPr>
                <w:rFonts w:cs="Calibri"/>
                <w:sz w:val="20"/>
                <w:lang w:eastAsia="en-AU"/>
              </w:rPr>
            </w:pPr>
            <w:r w:rsidRPr="00A67C76">
              <w:rPr>
                <w:rFonts w:cs="Calibri"/>
                <w:sz w:val="20"/>
                <w:lang w:eastAsia="en-AU"/>
              </w:rPr>
              <w:t>82.5</w:t>
            </w:r>
          </w:p>
        </w:tc>
        <w:tc>
          <w:tcPr>
            <w:tcW w:w="1260" w:type="dxa"/>
            <w:shd w:val="clear" w:color="auto" w:fill="auto"/>
            <w:noWrap/>
            <w:vAlign w:val="center"/>
            <w:hideMark/>
          </w:tcPr>
          <w:p w:rsidR="009C5F10" w:rsidRPr="00A67C76" w:rsidRDefault="006E74BB" w:rsidP="003C5E8D">
            <w:pPr>
              <w:contextualSpacing/>
              <w:jc w:val="right"/>
              <w:rPr>
                <w:rFonts w:cs="Calibri"/>
                <w:sz w:val="20"/>
                <w:lang w:eastAsia="en-AU"/>
              </w:rPr>
            </w:pPr>
            <w:r w:rsidRPr="00A67C76">
              <w:rPr>
                <w:rFonts w:cs="Calibri"/>
                <w:sz w:val="20"/>
                <w:lang w:eastAsia="en-AU"/>
              </w:rPr>
              <w:t>973.3</w:t>
            </w:r>
          </w:p>
        </w:tc>
      </w:tr>
      <w:tr w:rsidR="009C5F10" w:rsidRPr="00A67C76" w:rsidTr="00EA303E">
        <w:trPr>
          <w:trHeight w:val="300"/>
        </w:trPr>
        <w:tc>
          <w:tcPr>
            <w:tcW w:w="2567" w:type="dxa"/>
            <w:shd w:val="clear" w:color="auto" w:fill="auto"/>
            <w:noWrap/>
            <w:vAlign w:val="center"/>
            <w:hideMark/>
          </w:tcPr>
          <w:p w:rsidR="009C5F10" w:rsidRPr="00A67C76" w:rsidRDefault="009C5F10" w:rsidP="003C5E8D">
            <w:pPr>
              <w:contextualSpacing/>
              <w:rPr>
                <w:rFonts w:cs="Calibri"/>
                <w:sz w:val="20"/>
                <w:lang w:eastAsia="en-AU"/>
              </w:rPr>
            </w:pPr>
            <w:r w:rsidRPr="00A67C76">
              <w:rPr>
                <w:rFonts w:cs="Calibri"/>
                <w:sz w:val="20"/>
                <w:lang w:eastAsia="en-AU"/>
              </w:rPr>
              <w:t>carp</w:t>
            </w:r>
          </w:p>
        </w:tc>
        <w:tc>
          <w:tcPr>
            <w:tcW w:w="1720" w:type="dxa"/>
            <w:shd w:val="clear" w:color="auto" w:fill="auto"/>
            <w:noWrap/>
            <w:vAlign w:val="center"/>
            <w:hideMark/>
          </w:tcPr>
          <w:p w:rsidR="009C5F10" w:rsidRPr="00A67C76" w:rsidRDefault="009C5F10" w:rsidP="003C5E8D">
            <w:pPr>
              <w:contextualSpacing/>
              <w:jc w:val="right"/>
              <w:rPr>
                <w:rFonts w:cs="Calibri"/>
                <w:sz w:val="20"/>
                <w:lang w:eastAsia="en-AU"/>
              </w:rPr>
            </w:pPr>
            <w:r w:rsidRPr="00A67C76">
              <w:rPr>
                <w:rFonts w:cs="Calibri"/>
                <w:sz w:val="20"/>
                <w:lang w:eastAsia="en-AU"/>
              </w:rPr>
              <w:t>362.1</w:t>
            </w:r>
          </w:p>
        </w:tc>
        <w:tc>
          <w:tcPr>
            <w:tcW w:w="1260" w:type="dxa"/>
            <w:shd w:val="clear" w:color="auto" w:fill="auto"/>
            <w:noWrap/>
            <w:vAlign w:val="center"/>
            <w:hideMark/>
          </w:tcPr>
          <w:p w:rsidR="009C5F10" w:rsidRPr="00A67C76" w:rsidRDefault="006E74BB" w:rsidP="003C5E8D">
            <w:pPr>
              <w:contextualSpacing/>
              <w:jc w:val="right"/>
              <w:rPr>
                <w:rFonts w:cs="Calibri"/>
                <w:sz w:val="20"/>
                <w:lang w:eastAsia="en-AU"/>
              </w:rPr>
            </w:pPr>
            <w:r w:rsidRPr="00A67C76">
              <w:rPr>
                <w:rFonts w:cs="Calibri"/>
                <w:sz w:val="20"/>
                <w:lang w:eastAsia="en-AU"/>
              </w:rPr>
              <w:t>60.3</w:t>
            </w:r>
          </w:p>
        </w:tc>
        <w:tc>
          <w:tcPr>
            <w:tcW w:w="1260" w:type="dxa"/>
            <w:shd w:val="clear" w:color="auto" w:fill="auto"/>
            <w:noWrap/>
            <w:vAlign w:val="center"/>
            <w:hideMark/>
          </w:tcPr>
          <w:p w:rsidR="009C5F10" w:rsidRPr="00A67C76" w:rsidRDefault="006E74BB" w:rsidP="003C5E8D">
            <w:pPr>
              <w:contextualSpacing/>
              <w:jc w:val="right"/>
              <w:rPr>
                <w:rFonts w:cs="Calibri"/>
                <w:sz w:val="20"/>
                <w:lang w:eastAsia="en-AU"/>
              </w:rPr>
            </w:pPr>
            <w:r w:rsidRPr="00A67C76">
              <w:rPr>
                <w:rFonts w:cs="Calibri"/>
                <w:sz w:val="20"/>
                <w:lang w:eastAsia="en-AU"/>
              </w:rPr>
              <w:t>84.9</w:t>
            </w:r>
          </w:p>
        </w:tc>
        <w:tc>
          <w:tcPr>
            <w:tcW w:w="1260" w:type="dxa"/>
            <w:shd w:val="clear" w:color="auto" w:fill="auto"/>
            <w:noWrap/>
            <w:vAlign w:val="center"/>
            <w:hideMark/>
          </w:tcPr>
          <w:p w:rsidR="009C5F10" w:rsidRPr="00A67C76" w:rsidRDefault="006E74BB" w:rsidP="003C5E8D">
            <w:pPr>
              <w:contextualSpacing/>
              <w:jc w:val="right"/>
              <w:rPr>
                <w:rFonts w:cs="Calibri"/>
                <w:sz w:val="20"/>
                <w:lang w:eastAsia="en-AU"/>
              </w:rPr>
            </w:pPr>
            <w:r w:rsidRPr="00A67C76">
              <w:rPr>
                <w:rFonts w:cs="Calibri"/>
                <w:sz w:val="20"/>
                <w:lang w:eastAsia="en-AU"/>
              </w:rPr>
              <w:t>507.3</w:t>
            </w:r>
          </w:p>
        </w:tc>
      </w:tr>
      <w:tr w:rsidR="009C5F10" w:rsidRPr="00A67C76" w:rsidTr="00EA303E">
        <w:trPr>
          <w:trHeight w:val="300"/>
        </w:trPr>
        <w:tc>
          <w:tcPr>
            <w:tcW w:w="2567" w:type="dxa"/>
            <w:shd w:val="clear" w:color="auto" w:fill="auto"/>
            <w:noWrap/>
            <w:vAlign w:val="center"/>
            <w:hideMark/>
          </w:tcPr>
          <w:p w:rsidR="009C5F10" w:rsidRPr="00A67C76" w:rsidRDefault="009C5F10" w:rsidP="003C5E8D">
            <w:pPr>
              <w:contextualSpacing/>
              <w:rPr>
                <w:rFonts w:cs="Calibri"/>
                <w:sz w:val="20"/>
                <w:lang w:eastAsia="en-AU"/>
              </w:rPr>
            </w:pPr>
            <w:r w:rsidRPr="00A67C76">
              <w:rPr>
                <w:rFonts w:cs="Calibri"/>
                <w:sz w:val="20"/>
                <w:lang w:eastAsia="en-AU"/>
              </w:rPr>
              <w:t>Australian smelt</w:t>
            </w:r>
          </w:p>
        </w:tc>
        <w:tc>
          <w:tcPr>
            <w:tcW w:w="1720" w:type="dxa"/>
            <w:shd w:val="clear" w:color="auto" w:fill="auto"/>
            <w:noWrap/>
            <w:vAlign w:val="center"/>
            <w:hideMark/>
          </w:tcPr>
          <w:p w:rsidR="009C5F10" w:rsidRPr="00A67C76" w:rsidRDefault="009C5F10" w:rsidP="003C5E8D">
            <w:pPr>
              <w:contextualSpacing/>
              <w:jc w:val="right"/>
              <w:rPr>
                <w:rFonts w:cs="Calibri"/>
                <w:sz w:val="20"/>
                <w:lang w:eastAsia="en-AU"/>
              </w:rPr>
            </w:pPr>
            <w:r w:rsidRPr="00A67C76">
              <w:rPr>
                <w:rFonts w:cs="Calibri"/>
                <w:sz w:val="20"/>
                <w:lang w:eastAsia="en-AU"/>
              </w:rPr>
              <w:t>192.6</w:t>
            </w:r>
          </w:p>
        </w:tc>
        <w:tc>
          <w:tcPr>
            <w:tcW w:w="1260" w:type="dxa"/>
            <w:shd w:val="clear" w:color="auto" w:fill="auto"/>
            <w:noWrap/>
            <w:vAlign w:val="center"/>
            <w:hideMark/>
          </w:tcPr>
          <w:p w:rsidR="009C5F10" w:rsidRPr="00A67C76" w:rsidRDefault="006E74BB" w:rsidP="003C5E8D">
            <w:pPr>
              <w:contextualSpacing/>
              <w:jc w:val="right"/>
              <w:rPr>
                <w:rFonts w:cs="Calibri"/>
                <w:sz w:val="20"/>
                <w:lang w:eastAsia="en-AU"/>
              </w:rPr>
            </w:pPr>
            <w:r w:rsidRPr="00A67C76">
              <w:rPr>
                <w:rFonts w:cs="Calibri"/>
                <w:sz w:val="20"/>
                <w:lang w:eastAsia="en-AU"/>
              </w:rPr>
              <w:t>5.1</w:t>
            </w:r>
          </w:p>
        </w:tc>
        <w:tc>
          <w:tcPr>
            <w:tcW w:w="1260" w:type="dxa"/>
            <w:shd w:val="clear" w:color="auto" w:fill="auto"/>
            <w:noWrap/>
            <w:vAlign w:val="center"/>
            <w:hideMark/>
          </w:tcPr>
          <w:p w:rsidR="009C5F10" w:rsidRPr="00A67C76" w:rsidRDefault="006E74BB" w:rsidP="003C5E8D">
            <w:pPr>
              <w:contextualSpacing/>
              <w:jc w:val="right"/>
              <w:rPr>
                <w:rFonts w:cs="Calibri"/>
                <w:sz w:val="20"/>
                <w:lang w:eastAsia="en-AU"/>
              </w:rPr>
            </w:pPr>
            <w:r w:rsidRPr="00A67C76">
              <w:rPr>
                <w:rFonts w:cs="Calibri"/>
                <w:sz w:val="20"/>
                <w:lang w:eastAsia="en-AU"/>
              </w:rPr>
              <w:t>34.1</w:t>
            </w:r>
          </w:p>
        </w:tc>
        <w:tc>
          <w:tcPr>
            <w:tcW w:w="1260" w:type="dxa"/>
            <w:shd w:val="clear" w:color="auto" w:fill="auto"/>
            <w:noWrap/>
            <w:vAlign w:val="center"/>
            <w:hideMark/>
          </w:tcPr>
          <w:p w:rsidR="009C5F10" w:rsidRPr="00A67C76" w:rsidRDefault="006E74BB" w:rsidP="003C5E8D">
            <w:pPr>
              <w:contextualSpacing/>
              <w:jc w:val="right"/>
              <w:rPr>
                <w:rFonts w:cs="Calibri"/>
                <w:sz w:val="20"/>
                <w:lang w:eastAsia="en-AU"/>
              </w:rPr>
            </w:pPr>
            <w:r w:rsidRPr="00A67C76">
              <w:rPr>
                <w:rFonts w:cs="Calibri"/>
                <w:sz w:val="20"/>
                <w:lang w:eastAsia="en-AU"/>
              </w:rPr>
              <w:t>231.8</w:t>
            </w:r>
          </w:p>
        </w:tc>
      </w:tr>
      <w:tr w:rsidR="009C5F10" w:rsidRPr="00A67C76" w:rsidTr="00EA303E">
        <w:trPr>
          <w:trHeight w:val="300"/>
        </w:trPr>
        <w:tc>
          <w:tcPr>
            <w:tcW w:w="2567" w:type="dxa"/>
            <w:shd w:val="clear" w:color="auto" w:fill="auto"/>
            <w:noWrap/>
            <w:vAlign w:val="center"/>
            <w:hideMark/>
          </w:tcPr>
          <w:p w:rsidR="009C5F10" w:rsidRPr="00A67C76" w:rsidRDefault="009C5F10" w:rsidP="003C5E8D">
            <w:pPr>
              <w:contextualSpacing/>
              <w:rPr>
                <w:rFonts w:cs="Calibri"/>
                <w:sz w:val="20"/>
                <w:lang w:eastAsia="en-AU"/>
              </w:rPr>
            </w:pPr>
            <w:r w:rsidRPr="00A67C76">
              <w:rPr>
                <w:rFonts w:cs="Calibri"/>
                <w:sz w:val="20"/>
                <w:lang w:eastAsia="en-AU"/>
              </w:rPr>
              <w:t>golden perch</w:t>
            </w:r>
          </w:p>
        </w:tc>
        <w:tc>
          <w:tcPr>
            <w:tcW w:w="1720" w:type="dxa"/>
            <w:shd w:val="clear" w:color="auto" w:fill="auto"/>
            <w:noWrap/>
            <w:vAlign w:val="center"/>
            <w:hideMark/>
          </w:tcPr>
          <w:p w:rsidR="009C5F10" w:rsidRPr="00A67C76" w:rsidRDefault="009C5F10" w:rsidP="003C5E8D">
            <w:pPr>
              <w:contextualSpacing/>
              <w:jc w:val="right"/>
              <w:rPr>
                <w:rFonts w:cs="Calibri"/>
                <w:sz w:val="20"/>
                <w:lang w:eastAsia="en-AU"/>
              </w:rPr>
            </w:pPr>
            <w:r w:rsidRPr="00A67C76">
              <w:rPr>
                <w:rFonts w:cs="Calibri"/>
                <w:sz w:val="20"/>
                <w:lang w:eastAsia="en-AU"/>
              </w:rPr>
              <w:t>84.</w:t>
            </w:r>
            <w:r w:rsidR="006E74BB" w:rsidRPr="00A67C76">
              <w:rPr>
                <w:rFonts w:cs="Calibri"/>
                <w:sz w:val="20"/>
                <w:lang w:eastAsia="en-AU"/>
              </w:rPr>
              <w:t>8</w:t>
            </w:r>
          </w:p>
        </w:tc>
        <w:tc>
          <w:tcPr>
            <w:tcW w:w="1260" w:type="dxa"/>
            <w:shd w:val="clear" w:color="auto" w:fill="auto"/>
            <w:noWrap/>
            <w:vAlign w:val="center"/>
            <w:hideMark/>
          </w:tcPr>
          <w:p w:rsidR="009C5F10" w:rsidRPr="00A67C76" w:rsidRDefault="006E74BB" w:rsidP="003C5E8D">
            <w:pPr>
              <w:contextualSpacing/>
              <w:jc w:val="right"/>
              <w:rPr>
                <w:rFonts w:cs="Calibri"/>
                <w:sz w:val="20"/>
                <w:lang w:eastAsia="en-AU"/>
              </w:rPr>
            </w:pPr>
            <w:r w:rsidRPr="00A67C76">
              <w:rPr>
                <w:rFonts w:cs="Calibri"/>
                <w:sz w:val="20"/>
                <w:lang w:eastAsia="en-AU"/>
              </w:rPr>
              <w:t>38.2</w:t>
            </w:r>
          </w:p>
        </w:tc>
        <w:tc>
          <w:tcPr>
            <w:tcW w:w="1260" w:type="dxa"/>
            <w:shd w:val="clear" w:color="auto" w:fill="auto"/>
            <w:noWrap/>
            <w:vAlign w:val="center"/>
            <w:hideMark/>
          </w:tcPr>
          <w:p w:rsidR="009C5F10" w:rsidRPr="00A67C76" w:rsidRDefault="006E74BB" w:rsidP="003C5E8D">
            <w:pPr>
              <w:contextualSpacing/>
              <w:jc w:val="right"/>
              <w:rPr>
                <w:rFonts w:cs="Calibri"/>
                <w:sz w:val="20"/>
                <w:lang w:eastAsia="en-AU"/>
              </w:rPr>
            </w:pPr>
            <w:r w:rsidRPr="00A67C76">
              <w:rPr>
                <w:rFonts w:cs="Calibri"/>
                <w:sz w:val="20"/>
                <w:lang w:eastAsia="en-AU"/>
              </w:rPr>
              <w:t>23.4</w:t>
            </w:r>
          </w:p>
        </w:tc>
        <w:tc>
          <w:tcPr>
            <w:tcW w:w="1260" w:type="dxa"/>
            <w:shd w:val="clear" w:color="auto" w:fill="auto"/>
            <w:noWrap/>
            <w:vAlign w:val="center"/>
            <w:hideMark/>
          </w:tcPr>
          <w:p w:rsidR="009C5F10" w:rsidRPr="00A67C76" w:rsidRDefault="006E74BB" w:rsidP="003C5E8D">
            <w:pPr>
              <w:contextualSpacing/>
              <w:jc w:val="right"/>
              <w:rPr>
                <w:rFonts w:cs="Calibri"/>
                <w:sz w:val="20"/>
                <w:lang w:eastAsia="en-AU"/>
              </w:rPr>
            </w:pPr>
            <w:r w:rsidRPr="00A67C76">
              <w:rPr>
                <w:rFonts w:cs="Calibri"/>
                <w:sz w:val="20"/>
                <w:lang w:eastAsia="en-AU"/>
              </w:rPr>
              <w:t>146.4</w:t>
            </w:r>
          </w:p>
        </w:tc>
      </w:tr>
      <w:tr w:rsidR="009C5F10" w:rsidRPr="00A67C76" w:rsidTr="00EA303E">
        <w:trPr>
          <w:trHeight w:val="300"/>
        </w:trPr>
        <w:tc>
          <w:tcPr>
            <w:tcW w:w="2567" w:type="dxa"/>
            <w:shd w:val="clear" w:color="auto" w:fill="auto"/>
            <w:noWrap/>
            <w:vAlign w:val="center"/>
            <w:hideMark/>
          </w:tcPr>
          <w:p w:rsidR="009C5F10" w:rsidRPr="00A67C76" w:rsidRDefault="009C5F10" w:rsidP="003C5E8D">
            <w:pPr>
              <w:contextualSpacing/>
              <w:rPr>
                <w:rFonts w:cs="Calibri"/>
                <w:sz w:val="20"/>
                <w:lang w:eastAsia="en-AU"/>
              </w:rPr>
            </w:pPr>
            <w:r w:rsidRPr="00A67C76">
              <w:rPr>
                <w:rFonts w:cs="Calibri"/>
                <w:sz w:val="20"/>
                <w:lang w:eastAsia="en-AU"/>
              </w:rPr>
              <w:t>silver perch</w:t>
            </w:r>
          </w:p>
        </w:tc>
        <w:tc>
          <w:tcPr>
            <w:tcW w:w="1720" w:type="dxa"/>
            <w:shd w:val="clear" w:color="auto" w:fill="auto"/>
            <w:noWrap/>
            <w:vAlign w:val="center"/>
            <w:hideMark/>
          </w:tcPr>
          <w:p w:rsidR="009C5F10" w:rsidRPr="00A67C76" w:rsidRDefault="006E74BB" w:rsidP="003C5E8D">
            <w:pPr>
              <w:contextualSpacing/>
              <w:jc w:val="right"/>
              <w:rPr>
                <w:rFonts w:cs="Calibri"/>
                <w:sz w:val="20"/>
                <w:lang w:eastAsia="en-AU"/>
              </w:rPr>
            </w:pPr>
            <w:r w:rsidRPr="00A67C76">
              <w:rPr>
                <w:rFonts w:cs="Calibri"/>
                <w:sz w:val="20"/>
                <w:lang w:eastAsia="en-AU"/>
              </w:rPr>
              <w:t>37.5</w:t>
            </w:r>
          </w:p>
        </w:tc>
        <w:tc>
          <w:tcPr>
            <w:tcW w:w="1260" w:type="dxa"/>
            <w:shd w:val="clear" w:color="auto" w:fill="auto"/>
            <w:noWrap/>
            <w:vAlign w:val="center"/>
            <w:hideMark/>
          </w:tcPr>
          <w:p w:rsidR="009C5F10" w:rsidRPr="00A67C76" w:rsidRDefault="006E74BB" w:rsidP="003C5E8D">
            <w:pPr>
              <w:contextualSpacing/>
              <w:jc w:val="right"/>
              <w:rPr>
                <w:rFonts w:cs="Calibri"/>
                <w:sz w:val="20"/>
                <w:lang w:eastAsia="en-AU"/>
              </w:rPr>
            </w:pPr>
            <w:r w:rsidRPr="00A67C76">
              <w:rPr>
                <w:rFonts w:cs="Calibri"/>
                <w:sz w:val="20"/>
                <w:lang w:eastAsia="en-AU"/>
              </w:rPr>
              <w:t>3.4</w:t>
            </w:r>
          </w:p>
        </w:tc>
        <w:tc>
          <w:tcPr>
            <w:tcW w:w="1260" w:type="dxa"/>
            <w:shd w:val="clear" w:color="auto" w:fill="auto"/>
            <w:noWrap/>
            <w:vAlign w:val="center"/>
            <w:hideMark/>
          </w:tcPr>
          <w:p w:rsidR="009C5F10" w:rsidRPr="00A67C76" w:rsidRDefault="006E74BB" w:rsidP="003C5E8D">
            <w:pPr>
              <w:contextualSpacing/>
              <w:jc w:val="right"/>
              <w:rPr>
                <w:rFonts w:cs="Calibri"/>
                <w:sz w:val="20"/>
                <w:lang w:eastAsia="en-AU"/>
              </w:rPr>
            </w:pPr>
            <w:r w:rsidRPr="00A67C76">
              <w:rPr>
                <w:rFonts w:cs="Calibri"/>
                <w:sz w:val="20"/>
                <w:lang w:eastAsia="en-AU"/>
              </w:rPr>
              <w:t>5.1</w:t>
            </w:r>
          </w:p>
        </w:tc>
        <w:tc>
          <w:tcPr>
            <w:tcW w:w="1260" w:type="dxa"/>
            <w:shd w:val="clear" w:color="auto" w:fill="auto"/>
            <w:noWrap/>
            <w:vAlign w:val="center"/>
            <w:hideMark/>
          </w:tcPr>
          <w:p w:rsidR="009C5F10" w:rsidRPr="00A67C76" w:rsidRDefault="006E74BB" w:rsidP="003C5E8D">
            <w:pPr>
              <w:contextualSpacing/>
              <w:jc w:val="right"/>
              <w:rPr>
                <w:rFonts w:cs="Calibri"/>
                <w:sz w:val="20"/>
                <w:lang w:eastAsia="en-AU"/>
              </w:rPr>
            </w:pPr>
            <w:r w:rsidRPr="00A67C76">
              <w:rPr>
                <w:rFonts w:cs="Calibri"/>
                <w:sz w:val="20"/>
                <w:lang w:eastAsia="en-AU"/>
              </w:rPr>
              <w:t>46.1</w:t>
            </w:r>
          </w:p>
        </w:tc>
      </w:tr>
      <w:tr w:rsidR="009C5F10" w:rsidRPr="00A67C76" w:rsidTr="00EA303E">
        <w:trPr>
          <w:trHeight w:val="300"/>
        </w:trPr>
        <w:tc>
          <w:tcPr>
            <w:tcW w:w="2567" w:type="dxa"/>
            <w:tcBorders>
              <w:bottom w:val="nil"/>
            </w:tcBorders>
            <w:shd w:val="clear" w:color="auto" w:fill="auto"/>
            <w:noWrap/>
            <w:vAlign w:val="center"/>
            <w:hideMark/>
          </w:tcPr>
          <w:p w:rsidR="009C5F10" w:rsidRPr="00A67C76" w:rsidRDefault="009C5F10" w:rsidP="003C5E8D">
            <w:pPr>
              <w:contextualSpacing/>
              <w:rPr>
                <w:rFonts w:cs="Calibri"/>
                <w:sz w:val="20"/>
                <w:lang w:eastAsia="en-AU"/>
              </w:rPr>
            </w:pPr>
            <w:r w:rsidRPr="00A67C76">
              <w:rPr>
                <w:rFonts w:cs="Calibri"/>
                <w:sz w:val="20"/>
                <w:lang w:eastAsia="en-AU"/>
              </w:rPr>
              <w:t>Murray cod</w:t>
            </w:r>
          </w:p>
        </w:tc>
        <w:tc>
          <w:tcPr>
            <w:tcW w:w="1720" w:type="dxa"/>
            <w:tcBorders>
              <w:bottom w:val="nil"/>
            </w:tcBorders>
            <w:shd w:val="clear" w:color="auto" w:fill="auto"/>
            <w:noWrap/>
            <w:vAlign w:val="center"/>
            <w:hideMark/>
          </w:tcPr>
          <w:p w:rsidR="009C5F10" w:rsidRPr="00A67C76" w:rsidRDefault="009C5F10" w:rsidP="003C5E8D">
            <w:pPr>
              <w:contextualSpacing/>
              <w:jc w:val="right"/>
              <w:rPr>
                <w:rFonts w:cs="Calibri"/>
                <w:sz w:val="20"/>
                <w:lang w:eastAsia="en-AU"/>
              </w:rPr>
            </w:pPr>
            <w:r w:rsidRPr="00A67C76">
              <w:rPr>
                <w:rFonts w:cs="Calibri"/>
                <w:sz w:val="20"/>
                <w:lang w:eastAsia="en-AU"/>
              </w:rPr>
              <w:t>10.</w:t>
            </w:r>
            <w:r w:rsidR="006E74BB" w:rsidRPr="00A67C76">
              <w:rPr>
                <w:rFonts w:cs="Calibri"/>
                <w:sz w:val="20"/>
                <w:lang w:eastAsia="en-AU"/>
              </w:rPr>
              <w:t>6</w:t>
            </w:r>
          </w:p>
        </w:tc>
        <w:tc>
          <w:tcPr>
            <w:tcW w:w="1260" w:type="dxa"/>
            <w:tcBorders>
              <w:bottom w:val="nil"/>
            </w:tcBorders>
            <w:shd w:val="clear" w:color="auto" w:fill="auto"/>
            <w:noWrap/>
            <w:vAlign w:val="center"/>
            <w:hideMark/>
          </w:tcPr>
          <w:p w:rsidR="009C5F10" w:rsidRPr="00A67C76" w:rsidRDefault="006E74BB" w:rsidP="003C5E8D">
            <w:pPr>
              <w:contextualSpacing/>
              <w:jc w:val="right"/>
              <w:rPr>
                <w:rFonts w:cs="Calibri"/>
                <w:sz w:val="20"/>
                <w:lang w:eastAsia="en-AU"/>
              </w:rPr>
            </w:pPr>
            <w:r w:rsidRPr="00A67C76">
              <w:rPr>
                <w:rFonts w:cs="Calibri"/>
                <w:sz w:val="20"/>
                <w:lang w:eastAsia="en-AU"/>
              </w:rPr>
              <w:t>7.1</w:t>
            </w:r>
          </w:p>
        </w:tc>
        <w:tc>
          <w:tcPr>
            <w:tcW w:w="1260" w:type="dxa"/>
            <w:tcBorders>
              <w:bottom w:val="nil"/>
            </w:tcBorders>
            <w:shd w:val="clear" w:color="auto" w:fill="auto"/>
            <w:noWrap/>
            <w:vAlign w:val="center"/>
            <w:hideMark/>
          </w:tcPr>
          <w:p w:rsidR="009C5F10" w:rsidRPr="00A67C76" w:rsidRDefault="006E74BB" w:rsidP="003C5E8D">
            <w:pPr>
              <w:contextualSpacing/>
              <w:jc w:val="right"/>
              <w:rPr>
                <w:rFonts w:cs="Calibri"/>
                <w:sz w:val="20"/>
                <w:lang w:eastAsia="en-AU"/>
              </w:rPr>
            </w:pPr>
            <w:r w:rsidRPr="00A67C76">
              <w:rPr>
                <w:rFonts w:cs="Calibri"/>
                <w:sz w:val="20"/>
                <w:lang w:eastAsia="en-AU"/>
              </w:rPr>
              <w:t>7.2</w:t>
            </w:r>
          </w:p>
        </w:tc>
        <w:tc>
          <w:tcPr>
            <w:tcW w:w="1260" w:type="dxa"/>
            <w:tcBorders>
              <w:bottom w:val="nil"/>
            </w:tcBorders>
            <w:shd w:val="clear" w:color="auto" w:fill="auto"/>
            <w:noWrap/>
            <w:vAlign w:val="center"/>
            <w:hideMark/>
          </w:tcPr>
          <w:p w:rsidR="009C5F10" w:rsidRPr="00A67C76" w:rsidRDefault="006E74BB" w:rsidP="003C5E8D">
            <w:pPr>
              <w:contextualSpacing/>
              <w:jc w:val="right"/>
              <w:rPr>
                <w:rFonts w:cs="Calibri"/>
                <w:sz w:val="20"/>
                <w:lang w:eastAsia="en-AU"/>
              </w:rPr>
            </w:pPr>
            <w:r w:rsidRPr="00A67C76">
              <w:rPr>
                <w:rFonts w:cs="Calibri"/>
                <w:sz w:val="20"/>
                <w:lang w:eastAsia="en-AU"/>
              </w:rPr>
              <w:t>24.9</w:t>
            </w:r>
          </w:p>
        </w:tc>
      </w:tr>
      <w:tr w:rsidR="009C5F10" w:rsidRPr="00A67C76" w:rsidTr="00EA303E">
        <w:trPr>
          <w:trHeight w:val="300"/>
        </w:trPr>
        <w:tc>
          <w:tcPr>
            <w:tcW w:w="2567" w:type="dxa"/>
            <w:tcBorders>
              <w:top w:val="nil"/>
              <w:bottom w:val="single" w:sz="4" w:space="0" w:color="auto"/>
            </w:tcBorders>
            <w:shd w:val="clear" w:color="auto" w:fill="auto"/>
            <w:noWrap/>
            <w:vAlign w:val="center"/>
            <w:hideMark/>
          </w:tcPr>
          <w:p w:rsidR="009C5F10" w:rsidRPr="00A67C76" w:rsidRDefault="009C5F10" w:rsidP="003C5E8D">
            <w:pPr>
              <w:contextualSpacing/>
              <w:rPr>
                <w:rFonts w:cs="Calibri"/>
                <w:sz w:val="20"/>
                <w:lang w:eastAsia="en-AU"/>
              </w:rPr>
            </w:pPr>
            <w:r w:rsidRPr="00A67C76">
              <w:rPr>
                <w:rFonts w:cs="Calibri"/>
                <w:sz w:val="20"/>
                <w:lang w:eastAsia="en-AU"/>
              </w:rPr>
              <w:t>freshwater catfish</w:t>
            </w:r>
          </w:p>
        </w:tc>
        <w:tc>
          <w:tcPr>
            <w:tcW w:w="1720" w:type="dxa"/>
            <w:tcBorders>
              <w:top w:val="nil"/>
              <w:bottom w:val="single" w:sz="4" w:space="0" w:color="auto"/>
            </w:tcBorders>
            <w:shd w:val="clear" w:color="auto" w:fill="auto"/>
            <w:noWrap/>
            <w:vAlign w:val="center"/>
            <w:hideMark/>
          </w:tcPr>
          <w:p w:rsidR="009C5F10" w:rsidRPr="00A67C76" w:rsidRDefault="009C5F10" w:rsidP="003C5E8D">
            <w:pPr>
              <w:contextualSpacing/>
              <w:jc w:val="right"/>
              <w:rPr>
                <w:rFonts w:cs="Calibri"/>
                <w:sz w:val="20"/>
                <w:lang w:eastAsia="en-AU"/>
              </w:rPr>
            </w:pPr>
            <w:r w:rsidRPr="00A67C76">
              <w:rPr>
                <w:rFonts w:cs="Calibri"/>
                <w:sz w:val="20"/>
                <w:lang w:eastAsia="en-AU"/>
              </w:rPr>
              <w:t>8</w:t>
            </w:r>
            <w:r w:rsidR="006E74BB" w:rsidRPr="00A67C76">
              <w:rPr>
                <w:rFonts w:cs="Calibri"/>
                <w:sz w:val="20"/>
                <w:lang w:eastAsia="en-AU"/>
              </w:rPr>
              <w:t>.9</w:t>
            </w:r>
          </w:p>
        </w:tc>
        <w:tc>
          <w:tcPr>
            <w:tcW w:w="1260" w:type="dxa"/>
            <w:tcBorders>
              <w:top w:val="nil"/>
              <w:bottom w:val="single" w:sz="4" w:space="0" w:color="auto"/>
            </w:tcBorders>
            <w:shd w:val="clear" w:color="auto" w:fill="auto"/>
            <w:noWrap/>
            <w:vAlign w:val="center"/>
            <w:hideMark/>
          </w:tcPr>
          <w:p w:rsidR="009C5F10" w:rsidRPr="00A67C76" w:rsidRDefault="009C5F10" w:rsidP="003C5E8D">
            <w:pPr>
              <w:contextualSpacing/>
              <w:jc w:val="right"/>
              <w:rPr>
                <w:rFonts w:cs="Calibri"/>
                <w:sz w:val="20"/>
                <w:lang w:eastAsia="en-AU"/>
              </w:rPr>
            </w:pPr>
            <w:r w:rsidRPr="00A67C76">
              <w:rPr>
                <w:rFonts w:cs="Calibri"/>
                <w:sz w:val="20"/>
                <w:lang w:eastAsia="en-AU"/>
              </w:rPr>
              <w:t>10.9</w:t>
            </w:r>
          </w:p>
        </w:tc>
        <w:tc>
          <w:tcPr>
            <w:tcW w:w="1260" w:type="dxa"/>
            <w:tcBorders>
              <w:top w:val="nil"/>
              <w:bottom w:val="single" w:sz="4" w:space="0" w:color="auto"/>
            </w:tcBorders>
            <w:shd w:val="clear" w:color="auto" w:fill="auto"/>
            <w:noWrap/>
            <w:vAlign w:val="center"/>
            <w:hideMark/>
          </w:tcPr>
          <w:p w:rsidR="009C5F10" w:rsidRPr="00A67C76" w:rsidRDefault="006E74BB" w:rsidP="003C5E8D">
            <w:pPr>
              <w:contextualSpacing/>
              <w:jc w:val="right"/>
              <w:rPr>
                <w:rFonts w:cs="Calibri"/>
                <w:sz w:val="20"/>
                <w:lang w:eastAsia="en-AU"/>
              </w:rPr>
            </w:pPr>
            <w:r w:rsidRPr="00A67C76">
              <w:rPr>
                <w:rFonts w:cs="Calibri"/>
                <w:sz w:val="20"/>
                <w:lang w:eastAsia="en-AU"/>
              </w:rPr>
              <w:t>3.6</w:t>
            </w:r>
          </w:p>
        </w:tc>
        <w:tc>
          <w:tcPr>
            <w:tcW w:w="1260" w:type="dxa"/>
            <w:tcBorders>
              <w:top w:val="nil"/>
              <w:bottom w:val="single" w:sz="4" w:space="0" w:color="auto"/>
            </w:tcBorders>
            <w:shd w:val="clear" w:color="auto" w:fill="auto"/>
            <w:noWrap/>
            <w:vAlign w:val="center"/>
            <w:hideMark/>
          </w:tcPr>
          <w:p w:rsidR="009C5F10" w:rsidRPr="00A67C76" w:rsidRDefault="009C5F10" w:rsidP="003C5E8D">
            <w:pPr>
              <w:contextualSpacing/>
              <w:jc w:val="right"/>
              <w:rPr>
                <w:rFonts w:cs="Calibri"/>
                <w:sz w:val="20"/>
                <w:lang w:eastAsia="en-AU"/>
              </w:rPr>
            </w:pPr>
            <w:r w:rsidRPr="00A67C76">
              <w:rPr>
                <w:rFonts w:cs="Calibri"/>
                <w:sz w:val="20"/>
                <w:lang w:eastAsia="en-AU"/>
              </w:rPr>
              <w:t>23.5</w:t>
            </w:r>
          </w:p>
        </w:tc>
      </w:tr>
      <w:tr w:rsidR="009C5F10" w:rsidRPr="00A67C76" w:rsidTr="00EA303E">
        <w:trPr>
          <w:trHeight w:val="300"/>
        </w:trPr>
        <w:tc>
          <w:tcPr>
            <w:tcW w:w="2567" w:type="dxa"/>
            <w:tcBorders>
              <w:top w:val="single" w:sz="4" w:space="0" w:color="auto"/>
            </w:tcBorders>
            <w:shd w:val="clear" w:color="auto" w:fill="auto"/>
            <w:noWrap/>
            <w:vAlign w:val="bottom"/>
            <w:hideMark/>
          </w:tcPr>
          <w:p w:rsidR="009C5F10" w:rsidRPr="00A67C76" w:rsidRDefault="009C5F10" w:rsidP="003C5E8D">
            <w:pPr>
              <w:contextualSpacing/>
              <w:rPr>
                <w:rFonts w:cs="Calibri"/>
                <w:b/>
                <w:sz w:val="20"/>
                <w:lang w:eastAsia="en-AU"/>
              </w:rPr>
            </w:pPr>
            <w:r w:rsidRPr="00A67C76">
              <w:rPr>
                <w:rFonts w:cs="Calibri"/>
                <w:b/>
                <w:sz w:val="20"/>
                <w:lang w:eastAsia="en-AU"/>
              </w:rPr>
              <w:t>Total</w:t>
            </w:r>
          </w:p>
        </w:tc>
        <w:tc>
          <w:tcPr>
            <w:tcW w:w="1720" w:type="dxa"/>
            <w:tcBorders>
              <w:top w:val="single" w:sz="4" w:space="0" w:color="auto"/>
            </w:tcBorders>
            <w:shd w:val="clear" w:color="auto" w:fill="auto"/>
            <w:noWrap/>
            <w:vAlign w:val="center"/>
            <w:hideMark/>
          </w:tcPr>
          <w:p w:rsidR="009C5F10" w:rsidRPr="00A67C76" w:rsidRDefault="006E74BB" w:rsidP="003C5E8D">
            <w:pPr>
              <w:contextualSpacing/>
              <w:jc w:val="right"/>
              <w:rPr>
                <w:rFonts w:cs="Calibri"/>
                <w:b/>
                <w:sz w:val="20"/>
                <w:lang w:eastAsia="en-AU"/>
              </w:rPr>
            </w:pPr>
            <w:r w:rsidRPr="00A67C76">
              <w:rPr>
                <w:rFonts w:cs="Calibri"/>
                <w:b/>
                <w:sz w:val="20"/>
                <w:lang w:eastAsia="en-AU"/>
              </w:rPr>
              <w:t>3343.7</w:t>
            </w:r>
          </w:p>
        </w:tc>
        <w:tc>
          <w:tcPr>
            <w:tcW w:w="1260" w:type="dxa"/>
            <w:tcBorders>
              <w:top w:val="single" w:sz="4" w:space="0" w:color="auto"/>
            </w:tcBorders>
            <w:shd w:val="clear" w:color="auto" w:fill="auto"/>
            <w:noWrap/>
            <w:vAlign w:val="center"/>
            <w:hideMark/>
          </w:tcPr>
          <w:p w:rsidR="009C5F10" w:rsidRPr="00A67C76" w:rsidRDefault="006E74BB" w:rsidP="003C5E8D">
            <w:pPr>
              <w:contextualSpacing/>
              <w:jc w:val="right"/>
              <w:rPr>
                <w:rFonts w:cs="Calibri"/>
                <w:b/>
                <w:sz w:val="20"/>
                <w:lang w:eastAsia="en-AU"/>
              </w:rPr>
            </w:pPr>
            <w:r w:rsidRPr="00A67C76">
              <w:rPr>
                <w:rFonts w:cs="Calibri"/>
                <w:b/>
                <w:sz w:val="20"/>
                <w:lang w:eastAsia="en-AU"/>
              </w:rPr>
              <w:t>2293.1</w:t>
            </w:r>
          </w:p>
        </w:tc>
        <w:tc>
          <w:tcPr>
            <w:tcW w:w="1260" w:type="dxa"/>
            <w:tcBorders>
              <w:top w:val="single" w:sz="4" w:space="0" w:color="auto"/>
            </w:tcBorders>
            <w:shd w:val="clear" w:color="auto" w:fill="auto"/>
            <w:noWrap/>
            <w:vAlign w:val="center"/>
            <w:hideMark/>
          </w:tcPr>
          <w:p w:rsidR="009C5F10" w:rsidRPr="00A67C76" w:rsidRDefault="006E74BB" w:rsidP="003C5E8D">
            <w:pPr>
              <w:contextualSpacing/>
              <w:jc w:val="right"/>
              <w:rPr>
                <w:rFonts w:cs="Calibri"/>
                <w:b/>
                <w:sz w:val="20"/>
                <w:lang w:eastAsia="en-AU"/>
              </w:rPr>
            </w:pPr>
            <w:r w:rsidRPr="00A67C76">
              <w:rPr>
                <w:rFonts w:cs="Calibri"/>
                <w:b/>
                <w:sz w:val="20"/>
                <w:lang w:eastAsia="en-AU"/>
              </w:rPr>
              <w:t>1849.9</w:t>
            </w:r>
          </w:p>
        </w:tc>
        <w:tc>
          <w:tcPr>
            <w:tcW w:w="1260" w:type="dxa"/>
            <w:tcBorders>
              <w:top w:val="single" w:sz="4" w:space="0" w:color="auto"/>
            </w:tcBorders>
            <w:shd w:val="clear" w:color="auto" w:fill="auto"/>
            <w:noWrap/>
            <w:vAlign w:val="bottom"/>
            <w:hideMark/>
          </w:tcPr>
          <w:p w:rsidR="009C5F10" w:rsidRPr="00A67C76" w:rsidRDefault="009C5F10" w:rsidP="003C5E8D">
            <w:pPr>
              <w:contextualSpacing/>
              <w:jc w:val="right"/>
              <w:rPr>
                <w:rFonts w:cs="Calibri"/>
                <w:sz w:val="20"/>
                <w:lang w:eastAsia="en-AU"/>
              </w:rPr>
            </w:pPr>
          </w:p>
        </w:tc>
      </w:tr>
    </w:tbl>
    <w:p w:rsidR="009C5F10" w:rsidRPr="00A67C76" w:rsidRDefault="00AD6162" w:rsidP="009C5F10">
      <w:r w:rsidRPr="00A67C76">
        <w:t xml:space="preserve">Previous </w:t>
      </w:r>
      <w:r w:rsidR="0093075D" w:rsidRPr="00A67C76">
        <w:t>work</w:t>
      </w:r>
      <w:r w:rsidRPr="00A67C76">
        <w:t xml:space="preserve"> </w:t>
      </w:r>
      <w:r w:rsidR="00CA17F4" w:rsidRPr="00A67C76">
        <w:t xml:space="preserve">on larval fish assemblage </w:t>
      </w:r>
      <w:r w:rsidRPr="00A67C76">
        <w:t xml:space="preserve">by SARDI </w:t>
      </w:r>
      <w:r w:rsidR="0093075D" w:rsidRPr="00A67C76">
        <w:t>allowed a comparison between years of substantially different flow regimes,</w:t>
      </w:r>
      <w:r w:rsidRPr="00A67C76">
        <w:t xml:space="preserve"> </w:t>
      </w:r>
      <w:r w:rsidR="0093075D" w:rsidRPr="00A67C76">
        <w:t>including the millennium drought and the 2010 floods. A</w:t>
      </w:r>
      <w:r w:rsidR="009C5F10" w:rsidRPr="00A67C76">
        <w:t xml:space="preserve"> graphical comparison using distance based linear models illustrates the differences in fish assemblages from 2005 (a low flow year with a small pulse), through the millennium drought 2006-2008 (no sampling occurred in 2009), during the flood year 2010 and the last two years characterised by some flow and environmental watering pulses (</w:t>
      </w:r>
      <w:r w:rsidR="002E6077" w:rsidRPr="00A67C76">
        <w:fldChar w:fldCharType="begin"/>
      </w:r>
      <w:r w:rsidR="00B0090E" w:rsidRPr="00A67C76">
        <w:instrText xml:space="preserve"> REF _Ref381780311 \h </w:instrText>
      </w:r>
      <w:r w:rsidR="002E6077" w:rsidRPr="00A67C76">
        <w:fldChar w:fldCharType="separate"/>
      </w:r>
      <w:r w:rsidR="009659F2" w:rsidRPr="00A67C76">
        <w:t xml:space="preserve">Figure </w:t>
      </w:r>
      <w:r w:rsidR="009659F2">
        <w:rPr>
          <w:noProof/>
        </w:rPr>
        <w:t>11</w:t>
      </w:r>
      <w:r w:rsidR="002E6077" w:rsidRPr="00A67C76">
        <w:fldChar w:fldCharType="end"/>
      </w:r>
      <w:r w:rsidR="009C5F10" w:rsidRPr="00A67C76">
        <w:t xml:space="preserve">). This comparison was only done for trips 1-6 (October to December inclusive), as these trips occurred in all sampled years. The environmental factors that were more closely related to the two main axes were flow and temperature. High flow was positively associated with all samples from 2010 and early trips in 2011 and 2012, whilst 2006, 2007 and 2008 showed a negative association. </w:t>
      </w:r>
    </w:p>
    <w:p w:rsidR="00B0090E" w:rsidRPr="00A67C76" w:rsidRDefault="009C5F10" w:rsidP="00B0090E">
      <w:r w:rsidRPr="00A67C76">
        <w:rPr>
          <w:noProof/>
          <w:lang w:eastAsia="en-AU"/>
        </w:rPr>
        <w:drawing>
          <wp:inline distT="0" distB="0" distL="0" distR="0">
            <wp:extent cx="5943600" cy="3295650"/>
            <wp:effectExtent l="0" t="0" r="0" b="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email"/>
                    <a:srcRect/>
                    <a:stretch>
                      <a:fillRect/>
                    </a:stretch>
                  </pic:blipFill>
                  <pic:spPr bwMode="auto">
                    <a:xfrm>
                      <a:off x="0" y="0"/>
                      <a:ext cx="5943600" cy="3295650"/>
                    </a:xfrm>
                    <a:prstGeom prst="rect">
                      <a:avLst/>
                    </a:prstGeom>
                    <a:noFill/>
                    <a:ln w="9525">
                      <a:noFill/>
                      <a:miter lim="800000"/>
                      <a:headEnd/>
                      <a:tailEnd/>
                    </a:ln>
                  </pic:spPr>
                </pic:pic>
              </a:graphicData>
            </a:graphic>
          </wp:inline>
        </w:drawing>
      </w:r>
    </w:p>
    <w:p w:rsidR="009C5F10" w:rsidRPr="00A67C76" w:rsidRDefault="00B0090E" w:rsidP="00B0090E">
      <w:pPr>
        <w:pStyle w:val="Caption"/>
      </w:pPr>
      <w:bookmarkStart w:id="90" w:name="_Ref381780311"/>
      <w:bookmarkStart w:id="91" w:name="_Toc387843062"/>
      <w:proofErr w:type="gramStart"/>
      <w:r w:rsidRPr="00A67C76">
        <w:t xml:space="preserve">Figure </w:t>
      </w:r>
      <w:proofErr w:type="gramEnd"/>
      <w:r w:rsidR="002E6077" w:rsidRPr="00A67C76">
        <w:fldChar w:fldCharType="begin"/>
      </w:r>
      <w:r w:rsidRPr="00A67C76">
        <w:instrText xml:space="preserve"> SEQ Figure \* ARABIC </w:instrText>
      </w:r>
      <w:r w:rsidR="002E6077" w:rsidRPr="00A67C76">
        <w:fldChar w:fldCharType="separate"/>
      </w:r>
      <w:r w:rsidR="009659F2">
        <w:rPr>
          <w:noProof/>
        </w:rPr>
        <w:t>11</w:t>
      </w:r>
      <w:r w:rsidR="002E6077" w:rsidRPr="00A67C76">
        <w:fldChar w:fldCharType="end"/>
      </w:r>
      <w:bookmarkEnd w:id="90"/>
      <w:proofErr w:type="gramStart"/>
      <w:r w:rsidRPr="00A67C76">
        <w:t>.</w:t>
      </w:r>
      <w:proofErr w:type="gramEnd"/>
      <w:r w:rsidR="009C5F10" w:rsidRPr="00A67C76">
        <w:t xml:space="preserve"> </w:t>
      </w:r>
      <w:proofErr w:type="gramStart"/>
      <w:r w:rsidR="009C5F10" w:rsidRPr="00A67C76">
        <w:t>Distl M analysis of larval fish assemblages throughout th</w:t>
      </w:r>
      <w:r w:rsidR="00D13808" w:rsidRPr="00A67C76">
        <w:t xml:space="preserve">e sampled years across sites </w:t>
      </w:r>
      <w:r w:rsidR="00FD328A" w:rsidRPr="00FD328A">
        <w:t>LK-1</w:t>
      </w:r>
      <w:r w:rsidR="00D13808" w:rsidRPr="00A67C76">
        <w:t xml:space="preserve"> and </w:t>
      </w:r>
      <w:r w:rsidR="00FD328A" w:rsidRPr="00FD328A">
        <w:t>LK-6</w:t>
      </w:r>
      <w:r w:rsidR="009C5F10" w:rsidRPr="00A67C76">
        <w:t>.</w:t>
      </w:r>
      <w:proofErr w:type="gramEnd"/>
      <w:r w:rsidR="009C5F10" w:rsidRPr="00A67C76">
        <w:t xml:space="preserve"> Vectors represent environmental variables that were significantly correlated to axes. Black numbers above symbols represent trip number.</w:t>
      </w:r>
      <w:bookmarkEnd w:id="91"/>
    </w:p>
    <w:p w:rsidR="009C5F10" w:rsidRPr="00A67C76" w:rsidRDefault="009C5F10" w:rsidP="009C5F10">
      <w:pPr>
        <w:spacing w:before="120"/>
      </w:pPr>
      <w:r w:rsidRPr="00A67C76">
        <w:t>Temperature explained the vertical distribution showing the seasonality exhibited in all years. What stands out from this comparison is that 2010 and 2006-08 are the extremes where assemblages are very dissimilar, whilst 2005, 2011 and 2012, particularly after trip 1 are very similar. When hydrographs for 2005, 2011 and 2012 are compared, it is clear that there was substantially more flow leading up to spring in 2011 and 2012 than in 2005, but the flow during spring were similar. This suggests that it is likely that larval fish assemblages during spring (the key reproductive season for many native fish) is driven by the flow occurring at the time regardless of previous flow history. This emphasises the need for delivery of environmental water during this critical reproductive period (spring and early summer) in order to obtain the most effective results for native fish reproduction in the Lower Murray</w:t>
      </w:r>
      <w:r w:rsidR="00974BD3" w:rsidRPr="00A67C76">
        <w:t xml:space="preserve"> River</w:t>
      </w:r>
      <w:r w:rsidRPr="00A67C76">
        <w:t xml:space="preserve">.      </w:t>
      </w:r>
    </w:p>
    <w:p w:rsidR="005A4666" w:rsidRPr="00A5455A" w:rsidRDefault="009C5F10" w:rsidP="00C12CB4">
      <w:pPr>
        <w:rPr>
          <w:i/>
        </w:rPr>
      </w:pPr>
      <w:r w:rsidRPr="00A5455A">
        <w:rPr>
          <w:i/>
        </w:rPr>
        <w:t>Zooplankton assemblage</w:t>
      </w:r>
    </w:p>
    <w:p w:rsidR="009C5F10" w:rsidRPr="00A67C76" w:rsidRDefault="009C5F10" w:rsidP="00A5455A">
      <w:r w:rsidRPr="00A67C76">
        <w:t>The analysis of abundanc</w:t>
      </w:r>
      <w:r w:rsidR="006466EE" w:rsidRPr="00A67C76">
        <w:t>e and composition of zooplank</w:t>
      </w:r>
      <w:r w:rsidRPr="00A67C76">
        <w:t>ters showed differences at spatial and temporal scales (</w:t>
      </w:r>
      <w:fldSimple w:instr=" REF _Ref387841296 \h  \* MERGEFORMAT ">
        <w:r w:rsidR="009659F2" w:rsidRPr="00A67C76">
          <w:t xml:space="preserve">Appendix </w:t>
        </w:r>
        <w:r w:rsidR="009659F2">
          <w:rPr>
            <w:noProof/>
          </w:rPr>
          <w:t>III</w:t>
        </w:r>
      </w:fldSimple>
      <w:r w:rsidRPr="00A67C76">
        <w:t>). Total abundances of zooplankters followed similar trends throughout the sampled period at all sites (</w:t>
      </w:r>
      <w:r w:rsidR="00A5455A">
        <w:t>Figure 12)</w:t>
      </w:r>
      <w:r w:rsidR="00A5455A">
        <w:rPr>
          <w:rStyle w:val="CommentReference"/>
          <w:b/>
          <w:bCs/>
          <w:lang w:eastAsia="en-AU"/>
        </w:rPr>
        <w:t>.</w:t>
      </w:r>
      <w:r w:rsidRPr="00A67C76">
        <w:t xml:space="preserve"> However the species composition and abundances varied at both </w:t>
      </w:r>
      <w:r w:rsidR="001676A9">
        <w:t xml:space="preserve">the </w:t>
      </w:r>
      <w:r w:rsidRPr="00A67C76">
        <w:t>temporal and spatial scale (</w:t>
      </w:r>
      <w:fldSimple w:instr=" REF _Ref381780340 \h  \* MERGEFORMAT ">
        <w:r w:rsidR="009659F2" w:rsidRPr="00A67C76">
          <w:t xml:space="preserve">Figure </w:t>
        </w:r>
        <w:r w:rsidR="009659F2">
          <w:rPr>
            <w:noProof/>
          </w:rPr>
          <w:t>13</w:t>
        </w:r>
      </w:fldSimple>
      <w:r w:rsidRPr="00A67C76">
        <w:t>,</w:t>
      </w:r>
      <w:r w:rsidR="00697DAE">
        <w:t xml:space="preserve"> </w:t>
      </w:r>
      <w:fldSimple w:instr=" REF _Ref387841296 \h  \* MERGEFORMAT ">
        <w:r w:rsidR="009659F2" w:rsidRPr="00A67C76">
          <w:t xml:space="preserve">Appendix </w:t>
        </w:r>
        <w:r w:rsidR="009659F2">
          <w:rPr>
            <w:noProof/>
          </w:rPr>
          <w:t>III</w:t>
        </w:r>
      </w:fldSimple>
      <w:r w:rsidRPr="00A67C76">
        <w:t xml:space="preserve">). The temporal variation can be attributed to an expected seasonal change as water temperature rose throughout spring to reach maximums in summer. This seemed to drive changes in species composition, with warm water species (e.g. </w:t>
      </w:r>
      <w:r w:rsidRPr="00A67C76">
        <w:rPr>
          <w:i/>
        </w:rPr>
        <w:t>Filina pejleri, Hexarta intermedia</w:t>
      </w:r>
      <w:r w:rsidRPr="00A67C76">
        <w:t xml:space="preserve"> and </w:t>
      </w:r>
      <w:r w:rsidRPr="00A67C76">
        <w:rPr>
          <w:i/>
        </w:rPr>
        <w:t>Synchaeta oblonga</w:t>
      </w:r>
      <w:r w:rsidRPr="00A67C76">
        <w:t>) being more prevalent than in previous trips (</w:t>
      </w:r>
      <w:r w:rsidR="00A5455A">
        <w:t>Figure 12</w:t>
      </w:r>
      <w:r w:rsidRPr="00A67C76">
        <w:t xml:space="preserve">).  At the spatial scale there was a clear separation in zooplankton assemblages between the </w:t>
      </w:r>
      <w:r w:rsidR="00D13808" w:rsidRPr="00A67C76">
        <w:t>two geomorphic regions, namely Gorge (</w:t>
      </w:r>
      <w:r w:rsidR="00FD328A" w:rsidRPr="00FD328A">
        <w:t>LK-1</w:t>
      </w:r>
      <w:r w:rsidR="00D13808" w:rsidRPr="00A67C76">
        <w:t>) and Floodplain (</w:t>
      </w:r>
      <w:r w:rsidR="00FD328A" w:rsidRPr="00FD328A">
        <w:t>LK-6</w:t>
      </w:r>
      <w:r w:rsidRPr="00A67C76">
        <w:t xml:space="preserve"> and </w:t>
      </w:r>
      <w:r w:rsidR="00FD328A" w:rsidRPr="00FD328A">
        <w:t>LK-6</w:t>
      </w:r>
      <w:r w:rsidRPr="00A67C76">
        <w:t>A) regions. Pairwise comparison of zooplankton assemblages by sites showed sig</w:t>
      </w:r>
      <w:r w:rsidR="00D13808" w:rsidRPr="00A67C76">
        <w:t xml:space="preserve">nificant differences between </w:t>
      </w:r>
      <w:r w:rsidR="00FD328A" w:rsidRPr="00FD328A">
        <w:t>LK-1</w:t>
      </w:r>
      <w:r w:rsidRPr="00A67C76">
        <w:t xml:space="preserve"> </w:t>
      </w:r>
      <w:r w:rsidR="00D13808" w:rsidRPr="00A67C76">
        <w:t xml:space="preserve">and both </w:t>
      </w:r>
      <w:r w:rsidR="00FD328A" w:rsidRPr="00FD328A">
        <w:t>LK-6</w:t>
      </w:r>
      <w:r w:rsidR="00D13808" w:rsidRPr="00A67C76">
        <w:t xml:space="preserve"> and </w:t>
      </w:r>
      <w:r w:rsidR="00FD328A" w:rsidRPr="00FD328A">
        <w:t>LK-6</w:t>
      </w:r>
      <w:r w:rsidRPr="00A67C76">
        <w:t>A assemblages for every trip</w:t>
      </w:r>
      <w:r w:rsidR="00D13808" w:rsidRPr="00A67C76">
        <w:t xml:space="preserve">, whilst differences between </w:t>
      </w:r>
      <w:r w:rsidR="00FD328A" w:rsidRPr="00FD328A">
        <w:t>LK-6</w:t>
      </w:r>
      <w:r w:rsidR="00D13808" w:rsidRPr="00A67C76">
        <w:t xml:space="preserve"> and </w:t>
      </w:r>
      <w:r w:rsidR="00FD328A" w:rsidRPr="00FD328A">
        <w:t>LK-6</w:t>
      </w:r>
      <w:r w:rsidRPr="00A67C76">
        <w:t>A assemblages were only detected for trips 1, 5, 9 and 10</w:t>
      </w:r>
      <w:r w:rsidR="00E3197F" w:rsidRPr="00A67C76">
        <w:t> </w:t>
      </w:r>
      <w:r w:rsidRPr="00A67C76">
        <w:t>(</w:t>
      </w:r>
      <w:r w:rsidR="002E6077" w:rsidRPr="00A67C76">
        <w:fldChar w:fldCharType="begin"/>
      </w:r>
      <w:r w:rsidR="00293EFC" w:rsidRPr="00A67C76">
        <w:instrText xml:space="preserve"> REF _Ref387841332 \h </w:instrText>
      </w:r>
      <w:r w:rsidR="002E6077" w:rsidRPr="00A67C76">
        <w:fldChar w:fldCharType="separate"/>
      </w:r>
      <w:r w:rsidR="009659F2" w:rsidRPr="00A67C76">
        <w:t xml:space="preserve">Appendix </w:t>
      </w:r>
      <w:r w:rsidR="009659F2">
        <w:rPr>
          <w:noProof/>
        </w:rPr>
        <w:t>IV</w:t>
      </w:r>
      <w:r w:rsidR="002E6077" w:rsidRPr="00A67C76">
        <w:fldChar w:fldCharType="end"/>
      </w:r>
      <w:r w:rsidR="00D13808" w:rsidRPr="00A67C76">
        <w:t xml:space="preserve">). The differences between </w:t>
      </w:r>
      <w:r w:rsidR="00FD328A" w:rsidRPr="00FD328A">
        <w:t>LK-6</w:t>
      </w:r>
      <w:r w:rsidR="00D13808" w:rsidRPr="00A67C76">
        <w:t xml:space="preserve"> and </w:t>
      </w:r>
      <w:r w:rsidR="00FD328A" w:rsidRPr="00FD328A">
        <w:t>LK-6</w:t>
      </w:r>
      <w:r w:rsidRPr="00A67C76">
        <w:t xml:space="preserve">A during these trips were mainly driven by higher abundances of warm water species (e.g. </w:t>
      </w:r>
      <w:r w:rsidRPr="00A67C76">
        <w:rPr>
          <w:i/>
        </w:rPr>
        <w:t>Synchaeta oblonga, Hexarthra intermedia, Filina pejleri, Brachionus diversicornis</w:t>
      </w:r>
      <w:r w:rsidRPr="00A67C76">
        <w:t xml:space="preserve"> and </w:t>
      </w:r>
      <w:r w:rsidRPr="00A67C76">
        <w:rPr>
          <w:i/>
        </w:rPr>
        <w:t>Keratella tropica</w:t>
      </w:r>
      <w:r w:rsidR="00D13808" w:rsidRPr="00A67C76">
        <w:t xml:space="preserve">) in </w:t>
      </w:r>
      <w:r w:rsidR="00FD328A" w:rsidRPr="00FD328A">
        <w:t>LK-6</w:t>
      </w:r>
      <w:r w:rsidRPr="00A67C76">
        <w:t>A samples.</w:t>
      </w:r>
    </w:p>
    <w:p w:rsidR="009C5F10" w:rsidRPr="00A67C76" w:rsidRDefault="009C5F10" w:rsidP="000549C3">
      <w:pPr>
        <w:rPr>
          <w:rFonts w:eastAsia="MS Mincho" w:cs="Arial"/>
          <w:b/>
          <w:bCs/>
          <w:sz w:val="20"/>
        </w:rPr>
      </w:pPr>
      <w:r w:rsidRPr="00A67C76">
        <w:t>Principal coordinates analysis of the zooplankton assemblage at each site showed a distinct composition for trips 5 and 6 which occurred during the environmental water pulse delivered in December 2012 (</w:t>
      </w:r>
      <w:fldSimple w:instr=" REF _Ref381780340 \h  \* MERGEFORMAT ">
        <w:r w:rsidR="009659F2" w:rsidRPr="00A67C76">
          <w:t xml:space="preserve">Figure </w:t>
        </w:r>
        <w:r w:rsidR="009659F2">
          <w:rPr>
            <w:noProof/>
          </w:rPr>
          <w:t>13</w:t>
        </w:r>
      </w:fldSimple>
      <w:r w:rsidRPr="00A67C76">
        <w:t xml:space="preserve">). SIMPER analysis (similarity analysis) indicated that the species that contributed to more than 50% of the similarity in zooplankton assemblages during these trips were </w:t>
      </w:r>
      <w:r w:rsidRPr="00A67C76">
        <w:rPr>
          <w:i/>
        </w:rPr>
        <w:t>Bosmina meridionalis, Stenosemella lacustris</w:t>
      </w:r>
      <w:r w:rsidRPr="00A67C76">
        <w:t xml:space="preserve"> and </w:t>
      </w:r>
      <w:r w:rsidRPr="00A67C76">
        <w:rPr>
          <w:i/>
        </w:rPr>
        <w:t>Difflugia gramen</w:t>
      </w:r>
      <w:r w:rsidRPr="00A67C76">
        <w:t xml:space="preserve"> which are all cosmopolitan species. Differences with the two </w:t>
      </w:r>
      <w:r w:rsidR="00D13808" w:rsidRPr="00A67C76">
        <w:t xml:space="preserve">previous trips (i.e. 3&amp;4) at </w:t>
      </w:r>
      <w:r w:rsidR="00FD328A" w:rsidRPr="00FD328A">
        <w:t>LK-1</w:t>
      </w:r>
      <w:r w:rsidRPr="00A67C76">
        <w:t xml:space="preserve"> were driven by decreases in </w:t>
      </w:r>
      <w:r w:rsidRPr="00A67C76">
        <w:rPr>
          <w:i/>
        </w:rPr>
        <w:t>Trichocerca similis</w:t>
      </w:r>
      <w:r w:rsidRPr="00A67C76">
        <w:t xml:space="preserve"> and </w:t>
      </w:r>
      <w:r w:rsidRPr="00A67C76">
        <w:rPr>
          <w:i/>
        </w:rPr>
        <w:t>T. pusilla</w:t>
      </w:r>
      <w:r w:rsidRPr="00A67C76">
        <w:t xml:space="preserve"> abundances, and an increase in the warm water species </w:t>
      </w:r>
      <w:r w:rsidRPr="00A67C76">
        <w:rPr>
          <w:i/>
        </w:rPr>
        <w:t>Filina pejleri</w:t>
      </w:r>
      <w:r w:rsidRPr="00A67C76">
        <w:t>. Whilst differences with th</w:t>
      </w:r>
      <w:r w:rsidR="00D13808" w:rsidRPr="00A67C76">
        <w:t xml:space="preserve">e two previous trips at both </w:t>
      </w:r>
      <w:r w:rsidR="00FD328A" w:rsidRPr="00FD328A">
        <w:t>LK-6</w:t>
      </w:r>
      <w:r w:rsidR="00D13808" w:rsidRPr="00A67C76">
        <w:t xml:space="preserve"> and </w:t>
      </w:r>
      <w:r w:rsidR="00FD328A" w:rsidRPr="00FD328A">
        <w:t>LK-6</w:t>
      </w:r>
      <w:r w:rsidRPr="00A67C76">
        <w:t xml:space="preserve">A were driven mainly by the presence and increase of the warm water species </w:t>
      </w:r>
      <w:r w:rsidRPr="00A67C76">
        <w:rPr>
          <w:i/>
        </w:rPr>
        <w:t>Hexarthra intermedia</w:t>
      </w:r>
      <w:r w:rsidRPr="00A67C76">
        <w:t xml:space="preserve"> and </w:t>
      </w:r>
      <w:r w:rsidRPr="00A67C76">
        <w:rPr>
          <w:i/>
        </w:rPr>
        <w:t>Proalides tentaculatus</w:t>
      </w:r>
      <w:r w:rsidRPr="00A67C76">
        <w:t xml:space="preserve">, respectively; and the decrease in abundance of </w:t>
      </w:r>
      <w:r w:rsidRPr="00A67C76">
        <w:rPr>
          <w:i/>
        </w:rPr>
        <w:t>T. pusilla</w:t>
      </w:r>
      <w:r w:rsidRPr="00A67C76">
        <w:t>.</w:t>
      </w:r>
    </w:p>
    <w:p w:rsidR="003C5E8D" w:rsidRPr="00A67C76" w:rsidRDefault="00993081" w:rsidP="00F914C8">
      <w:pPr>
        <w:pStyle w:val="Captions"/>
      </w:pPr>
      <w:bookmarkStart w:id="92" w:name="_Ref381780324"/>
      <w:r w:rsidRPr="00993081">
        <w:rPr>
          <w:noProof/>
          <w:lang w:val="en-AU" w:eastAsia="en-AU"/>
        </w:rPr>
        <w:drawing>
          <wp:anchor distT="0" distB="0" distL="114300" distR="114300" simplePos="0" relativeHeight="251668480" behindDoc="0" locked="0" layoutInCell="1" allowOverlap="1">
            <wp:simplePos x="0" y="0"/>
            <wp:positionH relativeFrom="margin">
              <wp:align>center</wp:align>
            </wp:positionH>
            <wp:positionV relativeFrom="paragraph">
              <wp:posOffset>-635</wp:posOffset>
            </wp:positionV>
            <wp:extent cx="4175760" cy="7872730"/>
            <wp:effectExtent l="1905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email"/>
                    <a:srcRect/>
                    <a:stretch>
                      <a:fillRect/>
                    </a:stretch>
                  </pic:blipFill>
                  <pic:spPr bwMode="auto">
                    <a:xfrm>
                      <a:off x="0" y="0"/>
                      <a:ext cx="4175760" cy="7872730"/>
                    </a:xfrm>
                    <a:prstGeom prst="rect">
                      <a:avLst/>
                    </a:prstGeom>
                    <a:noFill/>
                    <a:ln w="9525">
                      <a:noFill/>
                      <a:miter lim="800000"/>
                      <a:headEnd/>
                      <a:tailEnd/>
                    </a:ln>
                  </pic:spPr>
                </pic:pic>
              </a:graphicData>
            </a:graphic>
          </wp:anchor>
        </w:drawing>
      </w:r>
    </w:p>
    <w:p w:rsidR="009C5F10" w:rsidRPr="00A67C76" w:rsidRDefault="00B0090E" w:rsidP="00537BBD">
      <w:pPr>
        <w:pStyle w:val="Captions"/>
      </w:pPr>
      <w:bookmarkStart w:id="93" w:name="_Toc387843063"/>
      <w:proofErr w:type="gramStart"/>
      <w:r w:rsidRPr="00A67C76">
        <w:t xml:space="preserve">Figure </w:t>
      </w:r>
      <w:proofErr w:type="gramEnd"/>
      <w:r w:rsidR="002E6077" w:rsidRPr="00A67C76">
        <w:fldChar w:fldCharType="begin"/>
      </w:r>
      <w:r w:rsidRPr="00A67C76">
        <w:instrText xml:space="preserve"> SEQ Figure \* ARABIC </w:instrText>
      </w:r>
      <w:r w:rsidR="002E6077" w:rsidRPr="00A67C76">
        <w:fldChar w:fldCharType="separate"/>
      </w:r>
      <w:r w:rsidR="009659F2">
        <w:rPr>
          <w:noProof/>
        </w:rPr>
        <w:t>12</w:t>
      </w:r>
      <w:r w:rsidR="002E6077" w:rsidRPr="00A67C76">
        <w:fldChar w:fldCharType="end"/>
      </w:r>
      <w:bookmarkEnd w:id="92"/>
      <w:proofErr w:type="gramStart"/>
      <w:r w:rsidRPr="00A67C76">
        <w:t>.</w:t>
      </w:r>
      <w:proofErr w:type="gramEnd"/>
      <w:r w:rsidR="009C5F10" w:rsidRPr="00A67C76">
        <w:t xml:space="preserve"> </w:t>
      </w:r>
      <w:proofErr w:type="gramStart"/>
      <w:r w:rsidR="009C5F10" w:rsidRPr="00A67C76">
        <w:t>Total abundance of zooplankters (individuals L</w:t>
      </w:r>
      <w:r w:rsidR="009C5F10" w:rsidRPr="00A67C76">
        <w:rPr>
          <w:vertAlign w:val="superscript"/>
        </w:rPr>
        <w:t>-1</w:t>
      </w:r>
      <w:r w:rsidR="009C5F10" w:rsidRPr="00A67C76">
        <w:t xml:space="preserve">) per trip at each sampling site for </w:t>
      </w:r>
      <w:r w:rsidR="00333041" w:rsidRPr="00A67C76">
        <w:t>2012</w:t>
      </w:r>
      <w:r w:rsidR="00FD328A" w:rsidRPr="00FD328A">
        <w:t>-13</w:t>
      </w:r>
      <w:r w:rsidR="009C5F10" w:rsidRPr="00A67C76">
        <w:t>.</w:t>
      </w:r>
      <w:bookmarkEnd w:id="93"/>
      <w:proofErr w:type="gramEnd"/>
    </w:p>
    <w:p w:rsidR="00B0090E" w:rsidRPr="00A67C76" w:rsidRDefault="00AE1991" w:rsidP="005009CE">
      <w:pPr>
        <w:jc w:val="center"/>
      </w:pPr>
      <w:r w:rsidRPr="00AE1991">
        <w:rPr>
          <w:noProof/>
          <w:lang w:eastAsia="en-AU"/>
        </w:rPr>
        <w:drawing>
          <wp:inline distT="0" distB="0" distL="0" distR="0">
            <wp:extent cx="4252104" cy="8136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2104" cy="8136000"/>
                    </a:xfrm>
                    <a:prstGeom prst="rect">
                      <a:avLst/>
                    </a:prstGeom>
                    <a:noFill/>
                    <a:ln>
                      <a:noFill/>
                    </a:ln>
                  </pic:spPr>
                </pic:pic>
              </a:graphicData>
            </a:graphic>
          </wp:inline>
        </w:drawing>
      </w:r>
    </w:p>
    <w:p w:rsidR="009C5F10" w:rsidRPr="00A67C76" w:rsidRDefault="00B0090E" w:rsidP="00F914C8">
      <w:pPr>
        <w:pStyle w:val="Captions"/>
      </w:pPr>
      <w:bookmarkStart w:id="94" w:name="_Ref381780340"/>
      <w:bookmarkStart w:id="95" w:name="_Toc387843064"/>
      <w:proofErr w:type="gramStart"/>
      <w:r w:rsidRPr="00A67C76">
        <w:t xml:space="preserve">Figure </w:t>
      </w:r>
      <w:proofErr w:type="gramEnd"/>
      <w:r w:rsidR="002E6077" w:rsidRPr="00A67C76">
        <w:fldChar w:fldCharType="begin"/>
      </w:r>
      <w:r w:rsidRPr="00A67C76">
        <w:instrText xml:space="preserve"> SEQ Figure \* ARABIC </w:instrText>
      </w:r>
      <w:r w:rsidR="002E6077" w:rsidRPr="00A67C76">
        <w:fldChar w:fldCharType="separate"/>
      </w:r>
      <w:r w:rsidR="009659F2">
        <w:rPr>
          <w:noProof/>
        </w:rPr>
        <w:t>13</w:t>
      </w:r>
      <w:r w:rsidR="002E6077" w:rsidRPr="00A67C76">
        <w:fldChar w:fldCharType="end"/>
      </w:r>
      <w:bookmarkEnd w:id="94"/>
      <w:proofErr w:type="gramStart"/>
      <w:r w:rsidRPr="00A67C76">
        <w:t>.</w:t>
      </w:r>
      <w:proofErr w:type="gramEnd"/>
      <w:r w:rsidR="009C5F10" w:rsidRPr="00A67C76">
        <w:t xml:space="preserve"> </w:t>
      </w:r>
      <w:proofErr w:type="gramStart"/>
      <w:r w:rsidR="009C5F10" w:rsidRPr="00A67C76">
        <w:t>PC ordination of z</w:t>
      </w:r>
      <w:r w:rsidR="00D13808" w:rsidRPr="00A67C76">
        <w:t xml:space="preserve">ooplankton assemblages at </w:t>
      </w:r>
      <w:r w:rsidR="00FD328A" w:rsidRPr="00FD328A">
        <w:t>LK-1</w:t>
      </w:r>
      <w:r w:rsidR="00D13808" w:rsidRPr="00A67C76">
        <w:t>,</w:t>
      </w:r>
      <w:r w:rsidR="008117F2" w:rsidRPr="00A67C76">
        <w:t xml:space="preserve"> </w:t>
      </w:r>
      <w:r w:rsidR="00FD328A" w:rsidRPr="00FD328A">
        <w:t>LK-6</w:t>
      </w:r>
      <w:r w:rsidR="00D13808" w:rsidRPr="00A67C76">
        <w:t xml:space="preserve"> and </w:t>
      </w:r>
      <w:r w:rsidR="00FD328A" w:rsidRPr="00FD328A">
        <w:t>LK-6</w:t>
      </w:r>
      <w:r w:rsidR="009C5F10" w:rsidRPr="00A67C76">
        <w:t>A.</w:t>
      </w:r>
      <w:bookmarkEnd w:id="95"/>
      <w:proofErr w:type="gramEnd"/>
    </w:p>
    <w:p w:rsidR="009C5F10" w:rsidRPr="00A67C76" w:rsidRDefault="009C5F10" w:rsidP="009C5F10">
      <w:pPr>
        <w:rPr>
          <w:rFonts w:cs="Arial"/>
        </w:rPr>
      </w:pPr>
      <w:r w:rsidRPr="00A67C76">
        <w:rPr>
          <w:rFonts w:cs="Arial"/>
        </w:rPr>
        <w:t xml:space="preserve">There is generally little information on the role of fatty acids in the development and growth of wild freshwater fish. Most of the information available comes from rearing experiments in aquaculture which focus on fast growth rates and low mortalities. However, most of the literature seems to agree that fatty acids play an important role in the development of the nervous system and that a lack of essential fatty acids leads to poor survival rates of early life stages (Coutteau </w:t>
      </w:r>
      <w:r w:rsidRPr="00A67C76">
        <w:rPr>
          <w:rFonts w:cs="Arial"/>
          <w:i/>
        </w:rPr>
        <w:t>et al</w:t>
      </w:r>
      <w:r w:rsidRPr="00A67C76">
        <w:rPr>
          <w:rFonts w:cs="Arial"/>
        </w:rPr>
        <w:t>. 1997</w:t>
      </w:r>
      <w:r w:rsidR="002447EE">
        <w:rPr>
          <w:rFonts w:cs="Arial"/>
        </w:rPr>
        <w:t>;</w:t>
      </w:r>
      <w:r w:rsidRPr="00A67C76">
        <w:rPr>
          <w:rFonts w:cs="Arial"/>
        </w:rPr>
        <w:t xml:space="preserve"> Tocher </w:t>
      </w:r>
      <w:r w:rsidRPr="00A67C76">
        <w:rPr>
          <w:rFonts w:cs="Arial"/>
          <w:i/>
        </w:rPr>
        <w:t>et al</w:t>
      </w:r>
      <w:r w:rsidR="002447EE">
        <w:rPr>
          <w:rFonts w:cs="Arial"/>
        </w:rPr>
        <w:t>. 2008;</w:t>
      </w:r>
      <w:r w:rsidRPr="00A67C76">
        <w:rPr>
          <w:rFonts w:cs="Arial"/>
        </w:rPr>
        <w:t xml:space="preserve"> Tocher 2010). </w:t>
      </w:r>
      <w:r w:rsidRPr="00A67C76">
        <w:t>Analysis of detected fatty acids extracted from the zooplankton assemblage from trips 2-10 showed a distinct temporal pattern. Principal coordinates analysis grouped samples in four distinct groups and the two axes explained 99.3% of the total variation (</w:t>
      </w:r>
      <w:fldSimple w:instr=" REF _Ref381780372 \h  \* MERGEFORMAT ">
        <w:r w:rsidR="009659F2" w:rsidRPr="00A67C76">
          <w:t xml:space="preserve">Figure </w:t>
        </w:r>
        <w:r w:rsidR="009659F2">
          <w:rPr>
            <w:noProof/>
          </w:rPr>
          <w:t>14</w:t>
        </w:r>
      </w:fldSimple>
      <w:r w:rsidRPr="00A67C76">
        <w:t>). The group formed by samples from trips 4-6 were associa</w:t>
      </w:r>
      <w:r w:rsidR="002447EE">
        <w:t>ted with p</w:t>
      </w:r>
      <w:r w:rsidRPr="00A67C76">
        <w:t xml:space="preserve">almitic acid (C16:1), </w:t>
      </w:r>
      <w:r w:rsidR="002447EE">
        <w:t>m</w:t>
      </w:r>
      <w:r w:rsidRPr="00A67C76">
        <w:t xml:space="preserve">yristic acid (C14:0) and </w:t>
      </w:r>
      <w:r w:rsidR="002447EE">
        <w:t>e</w:t>
      </w:r>
      <w:r w:rsidRPr="00A67C76">
        <w:t xml:space="preserve">icosapentaenoic acid (EPA, C20:5). Whilst the group formed by samples from trips 7-9 which were associated with vectors for Linoleic acid (LA, C18:2) and </w:t>
      </w:r>
      <w:r w:rsidRPr="00A67C76">
        <w:rPr>
          <w:rFonts w:ascii="Arial" w:hAnsi="Arial" w:cs="Arial"/>
        </w:rPr>
        <w:t>α</w:t>
      </w:r>
      <w:r w:rsidRPr="00A67C76">
        <w:rPr>
          <w:rFonts w:cs="Arial"/>
        </w:rPr>
        <w:t>-Linoleic acid (ALA, C18:3). EPA, LA and ALA are fatty acids known to be important for the development of early life stages and juvenile freshwater fish (for review see Tocher 2010). It is worth noting that the trips (4-9) to which these fatty acids are related to coincide with the rise in abundance of the native fish larvae, particularly bony herring and golden perch (</w:t>
      </w:r>
      <w:r w:rsidR="002E6077" w:rsidRPr="00A67C76">
        <w:rPr>
          <w:rFonts w:cs="Arial"/>
        </w:rPr>
        <w:fldChar w:fldCharType="begin"/>
      </w:r>
      <w:r w:rsidR="00B0090E" w:rsidRPr="00A67C76">
        <w:rPr>
          <w:rFonts w:cs="Arial"/>
        </w:rPr>
        <w:instrText xml:space="preserve"> REF _Ref381780387 \h </w:instrText>
      </w:r>
      <w:r w:rsidR="002E6077" w:rsidRPr="00A67C76">
        <w:rPr>
          <w:rFonts w:cs="Arial"/>
        </w:rPr>
      </w:r>
      <w:r w:rsidR="002E6077" w:rsidRPr="00A67C76">
        <w:rPr>
          <w:rFonts w:cs="Arial"/>
        </w:rPr>
        <w:fldChar w:fldCharType="separate"/>
      </w:r>
      <w:r w:rsidR="009659F2" w:rsidRPr="00F914C8">
        <w:t xml:space="preserve">Figure </w:t>
      </w:r>
      <w:r w:rsidR="009659F2">
        <w:rPr>
          <w:noProof/>
        </w:rPr>
        <w:t>15</w:t>
      </w:r>
      <w:r w:rsidR="002E6077" w:rsidRPr="00A67C76">
        <w:rPr>
          <w:rFonts w:cs="Arial"/>
        </w:rPr>
        <w:fldChar w:fldCharType="end"/>
      </w:r>
      <w:r w:rsidRPr="00A67C76">
        <w:rPr>
          <w:rFonts w:cs="Arial"/>
        </w:rPr>
        <w:t xml:space="preserve">). Diet analysis of native fish larvae would provide necessary information to determine what components of the zooplankton assemblage </w:t>
      </w:r>
      <w:proofErr w:type="gramStart"/>
      <w:r w:rsidRPr="00A67C76">
        <w:rPr>
          <w:rFonts w:cs="Arial"/>
        </w:rPr>
        <w:t>are</w:t>
      </w:r>
      <w:proofErr w:type="gramEnd"/>
      <w:r w:rsidRPr="00A67C76">
        <w:rPr>
          <w:rFonts w:cs="Arial"/>
        </w:rPr>
        <w:t xml:space="preserve"> selected (if any) by each species. Knowledge on the identity of the food source would provide the possibility of a targeted study to identify the nutritional needs of the native species. </w:t>
      </w:r>
    </w:p>
    <w:p w:rsidR="00B0090E" w:rsidRPr="00A67C76" w:rsidRDefault="009C5F10" w:rsidP="005009CE">
      <w:pPr>
        <w:jc w:val="center"/>
      </w:pPr>
      <w:r w:rsidRPr="00A67C76">
        <w:rPr>
          <w:noProof/>
          <w:lang w:eastAsia="en-AU"/>
        </w:rPr>
        <w:drawing>
          <wp:inline distT="0" distB="0" distL="0" distR="0">
            <wp:extent cx="4083119" cy="3852000"/>
            <wp:effectExtent l="1905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email"/>
                    <a:srcRect/>
                    <a:stretch>
                      <a:fillRect/>
                    </a:stretch>
                  </pic:blipFill>
                  <pic:spPr bwMode="auto">
                    <a:xfrm>
                      <a:off x="0" y="0"/>
                      <a:ext cx="4083119" cy="3852000"/>
                    </a:xfrm>
                    <a:prstGeom prst="rect">
                      <a:avLst/>
                    </a:prstGeom>
                    <a:noFill/>
                    <a:ln w="9525">
                      <a:noFill/>
                      <a:miter lim="800000"/>
                      <a:headEnd/>
                      <a:tailEnd/>
                    </a:ln>
                  </pic:spPr>
                </pic:pic>
              </a:graphicData>
            </a:graphic>
          </wp:inline>
        </w:drawing>
      </w:r>
    </w:p>
    <w:p w:rsidR="009C5F10" w:rsidRPr="00A67C76" w:rsidRDefault="00B0090E" w:rsidP="00B0090E">
      <w:pPr>
        <w:pStyle w:val="Caption"/>
      </w:pPr>
      <w:bookmarkStart w:id="96" w:name="_Ref381780372"/>
      <w:bookmarkStart w:id="97" w:name="_Toc387843065"/>
      <w:proofErr w:type="gramStart"/>
      <w:r w:rsidRPr="00A67C76">
        <w:t xml:space="preserve">Figure </w:t>
      </w:r>
      <w:proofErr w:type="gramEnd"/>
      <w:r w:rsidR="002E6077" w:rsidRPr="00A67C76">
        <w:fldChar w:fldCharType="begin"/>
      </w:r>
      <w:r w:rsidRPr="00A67C76">
        <w:instrText xml:space="preserve"> SEQ Figure \* ARABIC </w:instrText>
      </w:r>
      <w:r w:rsidR="002E6077" w:rsidRPr="00A67C76">
        <w:fldChar w:fldCharType="separate"/>
      </w:r>
      <w:r w:rsidR="009659F2">
        <w:rPr>
          <w:noProof/>
        </w:rPr>
        <w:t>14</w:t>
      </w:r>
      <w:r w:rsidR="002E6077" w:rsidRPr="00A67C76">
        <w:fldChar w:fldCharType="end"/>
      </w:r>
      <w:bookmarkEnd w:id="96"/>
      <w:proofErr w:type="gramStart"/>
      <w:r w:rsidRPr="00A67C76">
        <w:t>.</w:t>
      </w:r>
      <w:proofErr w:type="gramEnd"/>
      <w:r w:rsidRPr="00A67C76">
        <w:t xml:space="preserve"> </w:t>
      </w:r>
      <w:r w:rsidR="009C5F10" w:rsidRPr="00A67C76">
        <w:t>PC ordination of fatty acid relative abundance in zooplankton samples per trip. Black numbers above symbols indicate site.</w:t>
      </w:r>
      <w:bookmarkEnd w:id="97"/>
    </w:p>
    <w:p w:rsidR="00B0090E" w:rsidRPr="00A67C76" w:rsidRDefault="00ED4BA5" w:rsidP="005009CE">
      <w:pPr>
        <w:jc w:val="center"/>
      </w:pPr>
      <w:r w:rsidRPr="00ED4BA5">
        <w:rPr>
          <w:noProof/>
          <w:lang w:eastAsia="en-AU"/>
        </w:rPr>
        <w:drawing>
          <wp:inline distT="0" distB="0" distL="0" distR="0">
            <wp:extent cx="4412232" cy="3564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2232" cy="3564000"/>
                    </a:xfrm>
                    <a:prstGeom prst="rect">
                      <a:avLst/>
                    </a:prstGeom>
                    <a:noFill/>
                    <a:ln>
                      <a:noFill/>
                    </a:ln>
                  </pic:spPr>
                </pic:pic>
              </a:graphicData>
            </a:graphic>
          </wp:inline>
        </w:drawing>
      </w:r>
    </w:p>
    <w:p w:rsidR="009C5F10" w:rsidRPr="00F914C8" w:rsidRDefault="00B0090E" w:rsidP="00F914C8">
      <w:pPr>
        <w:pStyle w:val="Captions"/>
      </w:pPr>
      <w:bookmarkStart w:id="98" w:name="_Ref381780387"/>
      <w:bookmarkStart w:id="99" w:name="_Toc387843066"/>
      <w:proofErr w:type="gramStart"/>
      <w:r w:rsidRPr="00F914C8">
        <w:t xml:space="preserve">Figure </w:t>
      </w:r>
      <w:proofErr w:type="gramEnd"/>
      <w:r w:rsidR="002E6077" w:rsidRPr="00F1011C">
        <w:fldChar w:fldCharType="begin"/>
      </w:r>
      <w:r w:rsidRPr="00F914C8">
        <w:instrText xml:space="preserve"> SEQ Figure \* ARABIC </w:instrText>
      </w:r>
      <w:r w:rsidR="002E6077" w:rsidRPr="00F1011C">
        <w:fldChar w:fldCharType="separate"/>
      </w:r>
      <w:r w:rsidR="009659F2">
        <w:rPr>
          <w:noProof/>
        </w:rPr>
        <w:t>15</w:t>
      </w:r>
      <w:r w:rsidR="002E6077" w:rsidRPr="00F1011C">
        <w:fldChar w:fldCharType="end"/>
      </w:r>
      <w:bookmarkEnd w:id="98"/>
      <w:proofErr w:type="gramStart"/>
      <w:r w:rsidRPr="00F914C8">
        <w:t>.</w:t>
      </w:r>
      <w:proofErr w:type="gramEnd"/>
      <w:r w:rsidRPr="00F914C8">
        <w:t xml:space="preserve"> </w:t>
      </w:r>
      <w:r w:rsidR="009C5F10" w:rsidRPr="00F914C8">
        <w:t>Abundance of larvae per trip (sites pooled) of three native species.</w:t>
      </w:r>
      <w:bookmarkEnd w:id="99"/>
    </w:p>
    <w:p w:rsidR="009C5F10" w:rsidRPr="00A67C76" w:rsidRDefault="009C5F10" w:rsidP="009C5F10">
      <w:r w:rsidRPr="00A67C76">
        <w:t>In this project a pilot study to establish diet of larval native fish (i.e. golden perch and Murray cod) through direct identification of gut content was conducted. Eight golden perch and six Murray cod larvae were dissected and gut content analysed through traditional taxonomic methods. Whilst the replication was very low, the results obtained are promising as golden perch collected at different sites and trips seemed to show preference for only a few species of zooplankton (</w:t>
      </w:r>
      <w:r w:rsidR="002E6077" w:rsidRPr="00A67C76">
        <w:fldChar w:fldCharType="begin"/>
      </w:r>
      <w:r w:rsidR="00854E04" w:rsidRPr="00A67C76">
        <w:instrText xml:space="preserve"> REF _Ref381779882 \h </w:instrText>
      </w:r>
      <w:r w:rsidR="002E6077" w:rsidRPr="00A67C76">
        <w:fldChar w:fldCharType="separate"/>
      </w:r>
      <w:r w:rsidR="009659F2" w:rsidRPr="00A67C76">
        <w:t xml:space="preserve">Table </w:t>
      </w:r>
      <w:r w:rsidR="009659F2">
        <w:rPr>
          <w:noProof/>
        </w:rPr>
        <w:t>6</w:t>
      </w:r>
      <w:r w:rsidR="002E6077" w:rsidRPr="00A67C76">
        <w:fldChar w:fldCharType="end"/>
      </w:r>
      <w:r w:rsidRPr="00A67C76">
        <w:t xml:space="preserve">). It was surprising to find that 7 of 8 golden perch had their stomach and gut filled with </w:t>
      </w:r>
      <w:r w:rsidRPr="00A67C76">
        <w:rPr>
          <w:i/>
        </w:rPr>
        <w:t>Boeckella triarticulata</w:t>
      </w:r>
      <w:r w:rsidRPr="00A67C76">
        <w:t>, which was</w:t>
      </w:r>
      <w:r w:rsidR="00FB5CB0" w:rsidRPr="00A67C76">
        <w:t xml:space="preserve"> a species that was</w:t>
      </w:r>
      <w:r w:rsidRPr="00A67C76">
        <w:t xml:space="preserve"> only present in 10% of all </w:t>
      </w:r>
      <w:r w:rsidR="00FB5CB0" w:rsidRPr="00A67C76">
        <w:t xml:space="preserve">zooplankton </w:t>
      </w:r>
      <w:r w:rsidRPr="00A67C76">
        <w:t xml:space="preserve">samples. Furthermore, when present it represented </w:t>
      </w:r>
      <w:r w:rsidR="006E2A7B">
        <w:t>&lt;</w:t>
      </w:r>
      <w:r w:rsidRPr="00A67C76">
        <w:t>2% of the total zooplankton abundance in any sample with an averag</w:t>
      </w:r>
      <w:r w:rsidR="006E2A7B">
        <w:t xml:space="preserve">e abundance of 5.13 individuals </w:t>
      </w:r>
      <w:r w:rsidRPr="00A67C76">
        <w:t>L</w:t>
      </w:r>
      <w:r w:rsidR="006E2A7B" w:rsidRPr="006E2A7B">
        <w:rPr>
          <w:vertAlign w:val="superscript"/>
        </w:rPr>
        <w:t>-1</w:t>
      </w:r>
      <w:r w:rsidR="006E2A7B">
        <w:t xml:space="preserve"> (range: 3.11-9.78 individuals </w:t>
      </w:r>
      <w:r w:rsidRPr="00A67C76">
        <w:t>L</w:t>
      </w:r>
      <w:r w:rsidR="006E2A7B" w:rsidRPr="006E2A7B">
        <w:rPr>
          <w:vertAlign w:val="superscript"/>
        </w:rPr>
        <w:t>-1</w:t>
      </w:r>
      <w:r w:rsidRPr="00A67C76">
        <w:t>).</w:t>
      </w:r>
      <w:r w:rsidR="00FB5CB0" w:rsidRPr="00A67C76">
        <w:t xml:space="preserve"> Murray cod consumed three different species of zooplankton including </w:t>
      </w:r>
      <w:r w:rsidR="00FB5CB0" w:rsidRPr="00A67C76">
        <w:rPr>
          <w:i/>
        </w:rPr>
        <w:t>B. triarticulata</w:t>
      </w:r>
      <w:r w:rsidR="00FB5CB0" w:rsidRPr="00A67C76">
        <w:t>, however the small samples size does not allow for an interpretation of this data.</w:t>
      </w:r>
      <w:r w:rsidRPr="00A67C76">
        <w:t xml:space="preserve"> Further research is needed to establish whether the trends observed are ubiquitous.</w:t>
      </w:r>
    </w:p>
    <w:p w:rsidR="009C5F10" w:rsidRPr="00A67C76" w:rsidRDefault="00854E04" w:rsidP="00854E04">
      <w:pPr>
        <w:pStyle w:val="Caption"/>
      </w:pPr>
      <w:bookmarkStart w:id="100" w:name="_Ref381779882"/>
      <w:bookmarkStart w:id="101" w:name="_Toc387929708"/>
      <w:proofErr w:type="gramStart"/>
      <w:r w:rsidRPr="00A67C76">
        <w:t xml:space="preserve">Table </w:t>
      </w:r>
      <w:proofErr w:type="gramEnd"/>
      <w:r w:rsidR="002E6077" w:rsidRPr="00A67C76">
        <w:fldChar w:fldCharType="begin"/>
      </w:r>
      <w:r w:rsidRPr="00A67C76">
        <w:instrText xml:space="preserve"> SEQ Table \* ARABIC </w:instrText>
      </w:r>
      <w:r w:rsidR="002E6077" w:rsidRPr="00A67C76">
        <w:fldChar w:fldCharType="separate"/>
      </w:r>
      <w:r w:rsidR="009659F2">
        <w:rPr>
          <w:noProof/>
        </w:rPr>
        <w:t>6</w:t>
      </w:r>
      <w:r w:rsidR="002E6077" w:rsidRPr="00A67C76">
        <w:fldChar w:fldCharType="end"/>
      </w:r>
      <w:bookmarkEnd w:id="100"/>
      <w:proofErr w:type="gramStart"/>
      <w:r w:rsidRPr="00A67C76">
        <w:t>.</w:t>
      </w:r>
      <w:proofErr w:type="gramEnd"/>
      <w:r w:rsidR="009C5F10" w:rsidRPr="00A67C76">
        <w:t xml:space="preserve"> Summary of gut content analysis of golden perch (n</w:t>
      </w:r>
      <w:r w:rsidR="001E6D44" w:rsidRPr="00A67C76">
        <w:t xml:space="preserve"> </w:t>
      </w:r>
      <w:r w:rsidR="009C5F10" w:rsidRPr="00A67C76">
        <w:t>=</w:t>
      </w:r>
      <w:r w:rsidR="001E6D44" w:rsidRPr="00A67C76">
        <w:t xml:space="preserve"> </w:t>
      </w:r>
      <w:r w:rsidR="009C5F10" w:rsidRPr="00A67C76">
        <w:t>8; TL: mean</w:t>
      </w:r>
      <w:r w:rsidR="006E2A7B">
        <w:t xml:space="preserve"> </w:t>
      </w:r>
      <w:r w:rsidR="009C5F10" w:rsidRPr="00A67C76">
        <w:t>=</w:t>
      </w:r>
      <w:r w:rsidR="006E2A7B">
        <w:t xml:space="preserve"> </w:t>
      </w:r>
      <w:r w:rsidR="009C5F10" w:rsidRPr="00A67C76">
        <w:t>9.46</w:t>
      </w:r>
      <w:r w:rsidR="006466EE" w:rsidRPr="00A67C76">
        <w:t xml:space="preserve"> </w:t>
      </w:r>
      <w:r w:rsidR="009C5F10" w:rsidRPr="00A67C76">
        <w:t>mm, range</w:t>
      </w:r>
      <w:r w:rsidR="006E2A7B">
        <w:t>: </w:t>
      </w:r>
      <w:r w:rsidR="009C5F10" w:rsidRPr="00A67C76">
        <w:t>6.6-11.5</w:t>
      </w:r>
      <w:r w:rsidR="006466EE" w:rsidRPr="00A67C76">
        <w:t xml:space="preserve"> </w:t>
      </w:r>
      <w:r w:rsidR="009C5F10" w:rsidRPr="00A67C76">
        <w:t>mm) and Murray cod larvae</w:t>
      </w:r>
      <w:r w:rsidR="006466EE" w:rsidRPr="00A67C76">
        <w:t xml:space="preserve"> </w:t>
      </w:r>
      <w:r w:rsidR="009C5F10" w:rsidRPr="00A67C76">
        <w:t>(n</w:t>
      </w:r>
      <w:r w:rsidR="001E6D44" w:rsidRPr="00A67C76">
        <w:t xml:space="preserve"> </w:t>
      </w:r>
      <w:r w:rsidR="009C5F10" w:rsidRPr="00A67C76">
        <w:t>=</w:t>
      </w:r>
      <w:r w:rsidR="001E6D44" w:rsidRPr="00A67C76">
        <w:t xml:space="preserve"> </w:t>
      </w:r>
      <w:r w:rsidR="009C5F10" w:rsidRPr="00A67C76">
        <w:t>6; TL: mean</w:t>
      </w:r>
      <w:r w:rsidR="001E6D44" w:rsidRPr="00A67C76">
        <w:t xml:space="preserve"> </w:t>
      </w:r>
      <w:r w:rsidR="009C5F10" w:rsidRPr="00A67C76">
        <w:t>=</w:t>
      </w:r>
      <w:r w:rsidR="001E6D44" w:rsidRPr="00A67C76">
        <w:t xml:space="preserve"> </w:t>
      </w:r>
      <w:r w:rsidR="009C5F10" w:rsidRPr="00A67C76">
        <w:t>11.17</w:t>
      </w:r>
      <w:r w:rsidR="006466EE" w:rsidRPr="00A67C76">
        <w:t xml:space="preserve"> </w:t>
      </w:r>
      <w:r w:rsidR="009C5F10" w:rsidRPr="00A67C76">
        <w:t>mm, range:</w:t>
      </w:r>
      <w:r w:rsidR="006E2A7B">
        <w:t xml:space="preserve"> </w:t>
      </w:r>
      <w:r w:rsidR="009C5F10" w:rsidRPr="00A67C76">
        <w:t>10.2-12.3</w:t>
      </w:r>
      <w:r w:rsidR="006466EE" w:rsidRPr="00A67C76">
        <w:t> </w:t>
      </w:r>
      <w:r w:rsidR="009C5F10" w:rsidRPr="00A67C76">
        <w:t>mm).</w:t>
      </w:r>
      <w:bookmarkEnd w:id="101"/>
    </w:p>
    <w:tbl>
      <w:tblPr>
        <w:tblW w:w="5000" w:type="pct"/>
        <w:tblLayout w:type="fixed"/>
        <w:tblLook w:val="04A0"/>
      </w:tblPr>
      <w:tblGrid>
        <w:gridCol w:w="2304"/>
        <w:gridCol w:w="1103"/>
        <w:gridCol w:w="272"/>
        <w:gridCol w:w="1816"/>
        <w:gridCol w:w="964"/>
        <w:gridCol w:w="1103"/>
        <w:gridCol w:w="272"/>
        <w:gridCol w:w="1402"/>
      </w:tblGrid>
      <w:tr w:rsidR="009C5F10" w:rsidRPr="00A67C76" w:rsidTr="00807D59">
        <w:trPr>
          <w:trHeight w:val="315"/>
        </w:trPr>
        <w:tc>
          <w:tcPr>
            <w:tcW w:w="1247" w:type="pct"/>
            <w:tcBorders>
              <w:top w:val="single" w:sz="4" w:space="0" w:color="auto"/>
              <w:left w:val="nil"/>
              <w:bottom w:val="nil"/>
              <w:right w:val="nil"/>
            </w:tcBorders>
            <w:shd w:val="clear" w:color="auto" w:fill="auto"/>
            <w:noWrap/>
            <w:vAlign w:val="bottom"/>
            <w:hideMark/>
          </w:tcPr>
          <w:p w:rsidR="009C5F10" w:rsidRPr="00A67C76" w:rsidRDefault="009C5F10" w:rsidP="003C5E8D">
            <w:pPr>
              <w:contextualSpacing/>
              <w:rPr>
                <w:rFonts w:cs="Calibri"/>
                <w:sz w:val="20"/>
                <w:lang w:eastAsia="en-AU"/>
              </w:rPr>
            </w:pPr>
            <w:r w:rsidRPr="00A67C76">
              <w:rPr>
                <w:rFonts w:cs="Calibri"/>
                <w:sz w:val="20"/>
                <w:lang w:eastAsia="en-AU"/>
              </w:rPr>
              <w:t> </w:t>
            </w:r>
          </w:p>
        </w:tc>
        <w:tc>
          <w:tcPr>
            <w:tcW w:w="1727" w:type="pct"/>
            <w:gridSpan w:val="3"/>
            <w:tcBorders>
              <w:top w:val="single" w:sz="4" w:space="0" w:color="auto"/>
              <w:left w:val="nil"/>
              <w:bottom w:val="single" w:sz="8" w:space="0" w:color="auto"/>
              <w:right w:val="nil"/>
            </w:tcBorders>
            <w:shd w:val="clear" w:color="auto" w:fill="auto"/>
            <w:noWrap/>
            <w:vAlign w:val="bottom"/>
            <w:hideMark/>
          </w:tcPr>
          <w:p w:rsidR="009C5F10" w:rsidRPr="00A67C76" w:rsidRDefault="009C5F10" w:rsidP="003C5E8D">
            <w:pPr>
              <w:contextualSpacing/>
              <w:jc w:val="center"/>
              <w:rPr>
                <w:rFonts w:cs="Calibri"/>
                <w:b/>
                <w:bCs/>
                <w:sz w:val="20"/>
                <w:lang w:eastAsia="en-AU"/>
              </w:rPr>
            </w:pPr>
            <w:r w:rsidRPr="00A67C76">
              <w:rPr>
                <w:rFonts w:cs="Calibri"/>
                <w:b/>
                <w:bCs/>
                <w:sz w:val="20"/>
                <w:lang w:eastAsia="en-AU"/>
              </w:rPr>
              <w:t>Golden perch</w:t>
            </w:r>
          </w:p>
        </w:tc>
        <w:tc>
          <w:tcPr>
            <w:tcW w:w="522" w:type="pct"/>
            <w:tcBorders>
              <w:top w:val="nil"/>
              <w:left w:val="nil"/>
              <w:bottom w:val="nil"/>
              <w:right w:val="nil"/>
            </w:tcBorders>
            <w:shd w:val="clear" w:color="auto" w:fill="auto"/>
            <w:noWrap/>
            <w:vAlign w:val="bottom"/>
            <w:hideMark/>
          </w:tcPr>
          <w:p w:rsidR="009C5F10" w:rsidRPr="00A67C76" w:rsidRDefault="009C5F10" w:rsidP="003C5E8D">
            <w:pPr>
              <w:contextualSpacing/>
              <w:jc w:val="center"/>
              <w:rPr>
                <w:rFonts w:cs="Calibri"/>
                <w:sz w:val="20"/>
                <w:lang w:eastAsia="en-AU"/>
              </w:rPr>
            </w:pPr>
          </w:p>
        </w:tc>
        <w:tc>
          <w:tcPr>
            <w:tcW w:w="1503" w:type="pct"/>
            <w:gridSpan w:val="3"/>
            <w:tcBorders>
              <w:top w:val="single" w:sz="4" w:space="0" w:color="auto"/>
              <w:left w:val="nil"/>
              <w:bottom w:val="single" w:sz="8" w:space="0" w:color="auto"/>
              <w:right w:val="nil"/>
            </w:tcBorders>
            <w:shd w:val="clear" w:color="auto" w:fill="auto"/>
            <w:noWrap/>
            <w:vAlign w:val="bottom"/>
            <w:hideMark/>
          </w:tcPr>
          <w:p w:rsidR="009C5F10" w:rsidRPr="00A67C76" w:rsidRDefault="009C5F10" w:rsidP="003C5E8D">
            <w:pPr>
              <w:contextualSpacing/>
              <w:jc w:val="center"/>
              <w:rPr>
                <w:rFonts w:cs="Calibri"/>
                <w:sz w:val="20"/>
                <w:lang w:eastAsia="en-AU"/>
              </w:rPr>
            </w:pPr>
            <w:r w:rsidRPr="00A67C76">
              <w:rPr>
                <w:rFonts w:cs="Calibri"/>
                <w:b/>
                <w:bCs/>
                <w:sz w:val="20"/>
                <w:lang w:eastAsia="en-AU"/>
              </w:rPr>
              <w:t>Murray cod</w:t>
            </w:r>
          </w:p>
        </w:tc>
      </w:tr>
      <w:tr w:rsidR="009C5F10" w:rsidRPr="00A67C76" w:rsidTr="00807D59">
        <w:trPr>
          <w:trHeight w:val="454"/>
        </w:trPr>
        <w:tc>
          <w:tcPr>
            <w:tcW w:w="1247" w:type="pct"/>
            <w:tcBorders>
              <w:top w:val="nil"/>
              <w:left w:val="nil"/>
              <w:bottom w:val="nil"/>
              <w:right w:val="nil"/>
            </w:tcBorders>
            <w:shd w:val="clear" w:color="auto" w:fill="auto"/>
            <w:noWrap/>
            <w:vAlign w:val="bottom"/>
            <w:hideMark/>
          </w:tcPr>
          <w:p w:rsidR="009C5F10" w:rsidRPr="00A67C76" w:rsidRDefault="009C5F10" w:rsidP="003C5E8D">
            <w:pPr>
              <w:contextualSpacing/>
              <w:jc w:val="center"/>
              <w:rPr>
                <w:rFonts w:cs="Calibri"/>
                <w:sz w:val="20"/>
                <w:lang w:eastAsia="en-AU"/>
              </w:rPr>
            </w:pPr>
          </w:p>
        </w:tc>
        <w:tc>
          <w:tcPr>
            <w:tcW w:w="597" w:type="pct"/>
            <w:tcBorders>
              <w:top w:val="single" w:sz="4" w:space="0" w:color="auto"/>
              <w:left w:val="nil"/>
              <w:bottom w:val="single" w:sz="4" w:space="0" w:color="auto"/>
              <w:right w:val="nil"/>
            </w:tcBorders>
            <w:shd w:val="clear" w:color="auto" w:fill="auto"/>
            <w:noWrap/>
            <w:vAlign w:val="bottom"/>
            <w:hideMark/>
          </w:tcPr>
          <w:p w:rsidR="009C5F10" w:rsidRPr="00A67C76" w:rsidRDefault="009C5F10" w:rsidP="003C5E8D">
            <w:pPr>
              <w:contextualSpacing/>
              <w:jc w:val="center"/>
              <w:rPr>
                <w:rFonts w:cs="Calibri"/>
                <w:sz w:val="20"/>
                <w:lang w:eastAsia="en-AU"/>
              </w:rPr>
            </w:pPr>
            <w:r w:rsidRPr="00A67C76">
              <w:rPr>
                <w:rFonts w:cs="Calibri"/>
                <w:sz w:val="20"/>
                <w:lang w:eastAsia="en-AU"/>
              </w:rPr>
              <w:t>Presence</w:t>
            </w:r>
          </w:p>
        </w:tc>
        <w:tc>
          <w:tcPr>
            <w:tcW w:w="147" w:type="pct"/>
            <w:tcBorders>
              <w:top w:val="single" w:sz="4" w:space="0" w:color="auto"/>
              <w:left w:val="nil"/>
              <w:bottom w:val="nil"/>
              <w:right w:val="nil"/>
            </w:tcBorders>
            <w:shd w:val="clear" w:color="auto" w:fill="auto"/>
            <w:noWrap/>
            <w:vAlign w:val="bottom"/>
            <w:hideMark/>
          </w:tcPr>
          <w:p w:rsidR="009C5F10" w:rsidRPr="00A67C76" w:rsidRDefault="009C5F10" w:rsidP="003C5E8D">
            <w:pPr>
              <w:contextualSpacing/>
              <w:jc w:val="center"/>
              <w:rPr>
                <w:rFonts w:cs="Calibri"/>
                <w:sz w:val="20"/>
                <w:lang w:eastAsia="en-AU"/>
              </w:rPr>
            </w:pPr>
          </w:p>
        </w:tc>
        <w:tc>
          <w:tcPr>
            <w:tcW w:w="983" w:type="pct"/>
            <w:tcBorders>
              <w:top w:val="single" w:sz="4" w:space="0" w:color="auto"/>
              <w:left w:val="nil"/>
              <w:bottom w:val="single" w:sz="4" w:space="0" w:color="auto"/>
              <w:right w:val="nil"/>
            </w:tcBorders>
            <w:shd w:val="clear" w:color="auto" w:fill="auto"/>
            <w:noWrap/>
            <w:vAlign w:val="bottom"/>
            <w:hideMark/>
          </w:tcPr>
          <w:p w:rsidR="009C5F10" w:rsidRPr="00A67C76" w:rsidRDefault="00807D59" w:rsidP="003C5E8D">
            <w:pPr>
              <w:contextualSpacing/>
              <w:jc w:val="center"/>
              <w:rPr>
                <w:rFonts w:cs="Calibri"/>
                <w:sz w:val="20"/>
                <w:lang w:eastAsia="en-AU"/>
              </w:rPr>
            </w:pPr>
            <w:r>
              <w:rPr>
                <w:rFonts w:cs="Calibri"/>
                <w:sz w:val="20"/>
                <w:lang w:eastAsia="en-AU"/>
              </w:rPr>
              <w:t xml:space="preserve">         </w:t>
            </w:r>
            <w:r w:rsidR="009C5F10" w:rsidRPr="00A67C76">
              <w:rPr>
                <w:rFonts w:cs="Calibri"/>
                <w:sz w:val="20"/>
                <w:lang w:eastAsia="en-AU"/>
              </w:rPr>
              <w:t>Size range</w:t>
            </w:r>
          </w:p>
        </w:tc>
        <w:tc>
          <w:tcPr>
            <w:tcW w:w="522" w:type="pct"/>
            <w:tcBorders>
              <w:top w:val="nil"/>
              <w:left w:val="nil"/>
              <w:bottom w:val="nil"/>
              <w:right w:val="nil"/>
            </w:tcBorders>
            <w:shd w:val="clear" w:color="auto" w:fill="auto"/>
            <w:noWrap/>
            <w:vAlign w:val="bottom"/>
            <w:hideMark/>
          </w:tcPr>
          <w:p w:rsidR="009C5F10" w:rsidRPr="00A67C76" w:rsidRDefault="009C5F10" w:rsidP="003C5E8D">
            <w:pPr>
              <w:contextualSpacing/>
              <w:jc w:val="center"/>
              <w:rPr>
                <w:rFonts w:cs="Calibri"/>
                <w:sz w:val="20"/>
                <w:lang w:eastAsia="en-AU"/>
              </w:rPr>
            </w:pPr>
          </w:p>
        </w:tc>
        <w:tc>
          <w:tcPr>
            <w:tcW w:w="597" w:type="pct"/>
            <w:tcBorders>
              <w:top w:val="single" w:sz="4" w:space="0" w:color="auto"/>
              <w:left w:val="nil"/>
              <w:bottom w:val="single" w:sz="4" w:space="0" w:color="auto"/>
              <w:right w:val="nil"/>
            </w:tcBorders>
            <w:shd w:val="clear" w:color="auto" w:fill="auto"/>
            <w:noWrap/>
            <w:vAlign w:val="bottom"/>
            <w:hideMark/>
          </w:tcPr>
          <w:p w:rsidR="009C5F10" w:rsidRPr="00A67C76" w:rsidRDefault="009C5F10" w:rsidP="003C5E8D">
            <w:pPr>
              <w:contextualSpacing/>
              <w:jc w:val="center"/>
              <w:rPr>
                <w:rFonts w:cs="Calibri"/>
                <w:sz w:val="20"/>
                <w:lang w:eastAsia="en-AU"/>
              </w:rPr>
            </w:pPr>
            <w:r w:rsidRPr="00A67C76">
              <w:rPr>
                <w:rFonts w:cs="Calibri"/>
                <w:sz w:val="20"/>
                <w:lang w:eastAsia="en-AU"/>
              </w:rPr>
              <w:t>Presence</w:t>
            </w:r>
          </w:p>
        </w:tc>
        <w:tc>
          <w:tcPr>
            <w:tcW w:w="147" w:type="pct"/>
            <w:tcBorders>
              <w:top w:val="single" w:sz="4" w:space="0" w:color="auto"/>
              <w:left w:val="nil"/>
              <w:bottom w:val="nil"/>
              <w:right w:val="nil"/>
            </w:tcBorders>
            <w:shd w:val="clear" w:color="auto" w:fill="auto"/>
            <w:noWrap/>
            <w:vAlign w:val="bottom"/>
            <w:hideMark/>
          </w:tcPr>
          <w:p w:rsidR="009C5F10" w:rsidRPr="00A67C76" w:rsidRDefault="009C5F10" w:rsidP="003C5E8D">
            <w:pPr>
              <w:contextualSpacing/>
              <w:jc w:val="center"/>
              <w:rPr>
                <w:rFonts w:cs="Calibri"/>
                <w:sz w:val="20"/>
                <w:lang w:eastAsia="en-AU"/>
              </w:rPr>
            </w:pPr>
          </w:p>
        </w:tc>
        <w:tc>
          <w:tcPr>
            <w:tcW w:w="759" w:type="pct"/>
            <w:tcBorders>
              <w:top w:val="single" w:sz="4" w:space="0" w:color="auto"/>
              <w:left w:val="nil"/>
              <w:bottom w:val="single" w:sz="4" w:space="0" w:color="auto"/>
              <w:right w:val="nil"/>
            </w:tcBorders>
            <w:shd w:val="clear" w:color="auto" w:fill="auto"/>
            <w:noWrap/>
            <w:vAlign w:val="bottom"/>
            <w:hideMark/>
          </w:tcPr>
          <w:p w:rsidR="009C5F10" w:rsidRPr="00A67C76" w:rsidRDefault="009C5F10" w:rsidP="003C5E8D">
            <w:pPr>
              <w:contextualSpacing/>
              <w:jc w:val="center"/>
              <w:rPr>
                <w:rFonts w:cs="Calibri"/>
                <w:sz w:val="20"/>
                <w:lang w:eastAsia="en-AU"/>
              </w:rPr>
            </w:pPr>
            <w:r w:rsidRPr="00A67C76">
              <w:rPr>
                <w:rFonts w:cs="Calibri"/>
                <w:sz w:val="20"/>
                <w:lang w:eastAsia="en-AU"/>
              </w:rPr>
              <w:t>Size range</w:t>
            </w:r>
          </w:p>
        </w:tc>
      </w:tr>
      <w:tr w:rsidR="009C5F10" w:rsidRPr="00A67C76" w:rsidTr="00807D59">
        <w:trPr>
          <w:trHeight w:val="300"/>
        </w:trPr>
        <w:tc>
          <w:tcPr>
            <w:tcW w:w="1247" w:type="pct"/>
            <w:tcBorders>
              <w:top w:val="nil"/>
              <w:left w:val="nil"/>
              <w:bottom w:val="nil"/>
              <w:right w:val="nil"/>
            </w:tcBorders>
            <w:shd w:val="clear" w:color="auto" w:fill="auto"/>
            <w:noWrap/>
            <w:vAlign w:val="bottom"/>
            <w:hideMark/>
          </w:tcPr>
          <w:p w:rsidR="009C5F10" w:rsidRPr="00A67C76" w:rsidRDefault="009C5F10" w:rsidP="003C5E8D">
            <w:pPr>
              <w:contextualSpacing/>
              <w:rPr>
                <w:rFonts w:cs="Calibri"/>
                <w:b/>
                <w:bCs/>
                <w:sz w:val="20"/>
                <w:lang w:eastAsia="en-AU"/>
              </w:rPr>
            </w:pPr>
            <w:r w:rsidRPr="00A67C76">
              <w:rPr>
                <w:rFonts w:cs="Calibri"/>
                <w:b/>
                <w:bCs/>
                <w:sz w:val="20"/>
                <w:lang w:eastAsia="en-AU"/>
              </w:rPr>
              <w:t>Copepoda</w:t>
            </w:r>
          </w:p>
        </w:tc>
        <w:tc>
          <w:tcPr>
            <w:tcW w:w="597" w:type="pct"/>
            <w:tcBorders>
              <w:top w:val="nil"/>
              <w:left w:val="nil"/>
              <w:bottom w:val="nil"/>
              <w:right w:val="nil"/>
            </w:tcBorders>
            <w:shd w:val="clear" w:color="auto" w:fill="auto"/>
            <w:noWrap/>
            <w:vAlign w:val="center"/>
            <w:hideMark/>
          </w:tcPr>
          <w:p w:rsidR="009C5F10" w:rsidRPr="00A67C76" w:rsidRDefault="009C5F10" w:rsidP="003C5E8D">
            <w:pPr>
              <w:contextualSpacing/>
              <w:jc w:val="center"/>
              <w:rPr>
                <w:rFonts w:cs="Calibri"/>
                <w:sz w:val="20"/>
                <w:lang w:eastAsia="en-AU"/>
              </w:rPr>
            </w:pPr>
          </w:p>
        </w:tc>
        <w:tc>
          <w:tcPr>
            <w:tcW w:w="147" w:type="pct"/>
            <w:tcBorders>
              <w:top w:val="nil"/>
              <w:left w:val="nil"/>
              <w:bottom w:val="nil"/>
              <w:right w:val="nil"/>
            </w:tcBorders>
            <w:shd w:val="clear" w:color="auto" w:fill="auto"/>
            <w:noWrap/>
            <w:vAlign w:val="bottom"/>
            <w:hideMark/>
          </w:tcPr>
          <w:p w:rsidR="009C5F10" w:rsidRPr="00A67C76" w:rsidRDefault="009C5F10" w:rsidP="003C5E8D">
            <w:pPr>
              <w:contextualSpacing/>
              <w:rPr>
                <w:rFonts w:cs="Calibri"/>
                <w:sz w:val="20"/>
                <w:lang w:eastAsia="en-AU"/>
              </w:rPr>
            </w:pPr>
          </w:p>
        </w:tc>
        <w:tc>
          <w:tcPr>
            <w:tcW w:w="983" w:type="pct"/>
            <w:tcBorders>
              <w:top w:val="nil"/>
              <w:left w:val="nil"/>
              <w:bottom w:val="nil"/>
              <w:right w:val="nil"/>
            </w:tcBorders>
            <w:shd w:val="clear" w:color="auto" w:fill="auto"/>
            <w:noWrap/>
            <w:vAlign w:val="center"/>
            <w:hideMark/>
          </w:tcPr>
          <w:p w:rsidR="009C5F10" w:rsidRPr="00A67C76" w:rsidRDefault="009C5F10" w:rsidP="003C5E8D">
            <w:pPr>
              <w:contextualSpacing/>
              <w:jc w:val="center"/>
              <w:rPr>
                <w:rFonts w:cs="Calibri"/>
                <w:sz w:val="20"/>
                <w:lang w:eastAsia="en-AU"/>
              </w:rPr>
            </w:pPr>
          </w:p>
        </w:tc>
        <w:tc>
          <w:tcPr>
            <w:tcW w:w="522" w:type="pct"/>
            <w:tcBorders>
              <w:top w:val="nil"/>
              <w:left w:val="nil"/>
              <w:bottom w:val="nil"/>
              <w:right w:val="nil"/>
            </w:tcBorders>
            <w:shd w:val="clear" w:color="auto" w:fill="auto"/>
            <w:noWrap/>
            <w:vAlign w:val="center"/>
            <w:hideMark/>
          </w:tcPr>
          <w:p w:rsidR="009C5F10" w:rsidRPr="00A67C76" w:rsidRDefault="009C5F10" w:rsidP="003C5E8D">
            <w:pPr>
              <w:contextualSpacing/>
              <w:jc w:val="center"/>
              <w:rPr>
                <w:rFonts w:cs="Calibri"/>
                <w:sz w:val="20"/>
                <w:lang w:eastAsia="en-AU"/>
              </w:rPr>
            </w:pPr>
          </w:p>
        </w:tc>
        <w:tc>
          <w:tcPr>
            <w:tcW w:w="597" w:type="pct"/>
            <w:tcBorders>
              <w:top w:val="nil"/>
              <w:left w:val="nil"/>
              <w:bottom w:val="nil"/>
              <w:right w:val="nil"/>
            </w:tcBorders>
            <w:shd w:val="clear" w:color="auto" w:fill="auto"/>
            <w:noWrap/>
            <w:vAlign w:val="center"/>
            <w:hideMark/>
          </w:tcPr>
          <w:p w:rsidR="009C5F10" w:rsidRPr="00A67C76" w:rsidRDefault="009C5F10" w:rsidP="003C5E8D">
            <w:pPr>
              <w:contextualSpacing/>
              <w:jc w:val="center"/>
              <w:rPr>
                <w:rFonts w:cs="Calibri"/>
                <w:sz w:val="20"/>
                <w:lang w:eastAsia="en-AU"/>
              </w:rPr>
            </w:pPr>
          </w:p>
        </w:tc>
        <w:tc>
          <w:tcPr>
            <w:tcW w:w="147" w:type="pct"/>
            <w:tcBorders>
              <w:top w:val="nil"/>
              <w:left w:val="nil"/>
              <w:bottom w:val="nil"/>
              <w:right w:val="nil"/>
            </w:tcBorders>
            <w:shd w:val="clear" w:color="auto" w:fill="auto"/>
            <w:noWrap/>
            <w:vAlign w:val="center"/>
            <w:hideMark/>
          </w:tcPr>
          <w:p w:rsidR="009C5F10" w:rsidRPr="00A67C76" w:rsidRDefault="009C5F10" w:rsidP="003C5E8D">
            <w:pPr>
              <w:contextualSpacing/>
              <w:jc w:val="center"/>
              <w:rPr>
                <w:rFonts w:cs="Calibri"/>
                <w:sz w:val="20"/>
                <w:lang w:eastAsia="en-AU"/>
              </w:rPr>
            </w:pPr>
          </w:p>
        </w:tc>
        <w:tc>
          <w:tcPr>
            <w:tcW w:w="759" w:type="pct"/>
            <w:tcBorders>
              <w:top w:val="nil"/>
              <w:left w:val="nil"/>
              <w:bottom w:val="nil"/>
              <w:right w:val="nil"/>
            </w:tcBorders>
            <w:shd w:val="clear" w:color="auto" w:fill="auto"/>
            <w:noWrap/>
            <w:vAlign w:val="center"/>
            <w:hideMark/>
          </w:tcPr>
          <w:p w:rsidR="009C5F10" w:rsidRPr="00A67C76" w:rsidRDefault="009C5F10" w:rsidP="003C5E8D">
            <w:pPr>
              <w:contextualSpacing/>
              <w:jc w:val="center"/>
              <w:rPr>
                <w:rFonts w:cs="Calibri"/>
                <w:sz w:val="20"/>
                <w:lang w:eastAsia="en-AU"/>
              </w:rPr>
            </w:pPr>
          </w:p>
        </w:tc>
      </w:tr>
      <w:tr w:rsidR="009C5F10" w:rsidRPr="00A67C76" w:rsidTr="00807D59">
        <w:trPr>
          <w:trHeight w:val="397"/>
        </w:trPr>
        <w:tc>
          <w:tcPr>
            <w:tcW w:w="1247"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r w:rsidRPr="00A67C76">
              <w:rPr>
                <w:rFonts w:cs="Calibri"/>
                <w:sz w:val="20"/>
                <w:lang w:eastAsia="en-AU"/>
              </w:rPr>
              <w:t>Calanoida</w:t>
            </w:r>
          </w:p>
        </w:tc>
        <w:tc>
          <w:tcPr>
            <w:tcW w:w="597"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c>
          <w:tcPr>
            <w:tcW w:w="147"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c>
          <w:tcPr>
            <w:tcW w:w="983"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c>
          <w:tcPr>
            <w:tcW w:w="522"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c>
          <w:tcPr>
            <w:tcW w:w="597"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c>
          <w:tcPr>
            <w:tcW w:w="147"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c>
          <w:tcPr>
            <w:tcW w:w="759"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r>
      <w:tr w:rsidR="009C5F10" w:rsidRPr="00A67C76" w:rsidTr="00807D59">
        <w:trPr>
          <w:trHeight w:val="397"/>
        </w:trPr>
        <w:tc>
          <w:tcPr>
            <w:tcW w:w="1247"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i/>
                <w:iCs/>
                <w:sz w:val="20"/>
                <w:lang w:eastAsia="en-AU"/>
              </w:rPr>
            </w:pPr>
            <w:r w:rsidRPr="00A67C76">
              <w:rPr>
                <w:rFonts w:cs="Calibri"/>
                <w:i/>
                <w:iCs/>
                <w:sz w:val="20"/>
                <w:lang w:eastAsia="en-AU"/>
              </w:rPr>
              <w:t>Boeckella triarticulata</w:t>
            </w:r>
          </w:p>
        </w:tc>
        <w:tc>
          <w:tcPr>
            <w:tcW w:w="597"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r w:rsidRPr="00A67C76">
              <w:rPr>
                <w:rFonts w:cs="Calibri"/>
                <w:sz w:val="20"/>
                <w:lang w:eastAsia="en-AU"/>
              </w:rPr>
              <w:t>7/8</w:t>
            </w:r>
          </w:p>
        </w:tc>
        <w:tc>
          <w:tcPr>
            <w:tcW w:w="147"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c>
          <w:tcPr>
            <w:tcW w:w="983" w:type="pct"/>
            <w:tcBorders>
              <w:top w:val="nil"/>
              <w:left w:val="nil"/>
              <w:bottom w:val="nil"/>
              <w:right w:val="nil"/>
            </w:tcBorders>
            <w:shd w:val="clear" w:color="auto" w:fill="auto"/>
            <w:noWrap/>
            <w:vAlign w:val="center"/>
            <w:hideMark/>
          </w:tcPr>
          <w:p w:rsidR="009C5F10" w:rsidRPr="00A67C76" w:rsidRDefault="009C5F10" w:rsidP="003C5E8D">
            <w:pPr>
              <w:contextualSpacing/>
              <w:jc w:val="right"/>
              <w:rPr>
                <w:rFonts w:cs="Calibri"/>
                <w:sz w:val="20"/>
                <w:lang w:eastAsia="en-AU"/>
              </w:rPr>
            </w:pPr>
            <w:r w:rsidRPr="00A67C76">
              <w:rPr>
                <w:rFonts w:cs="Calibri"/>
                <w:sz w:val="20"/>
                <w:lang w:eastAsia="en-AU"/>
              </w:rPr>
              <w:t>1100-1480 µm</w:t>
            </w:r>
          </w:p>
        </w:tc>
        <w:tc>
          <w:tcPr>
            <w:tcW w:w="522"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c>
          <w:tcPr>
            <w:tcW w:w="597"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r w:rsidRPr="00A67C76">
              <w:rPr>
                <w:rFonts w:cs="Calibri"/>
                <w:sz w:val="20"/>
                <w:lang w:eastAsia="en-AU"/>
              </w:rPr>
              <w:t>2/6</w:t>
            </w:r>
          </w:p>
        </w:tc>
        <w:tc>
          <w:tcPr>
            <w:tcW w:w="147"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c>
          <w:tcPr>
            <w:tcW w:w="759" w:type="pct"/>
            <w:tcBorders>
              <w:top w:val="nil"/>
              <w:left w:val="nil"/>
              <w:bottom w:val="nil"/>
              <w:right w:val="nil"/>
            </w:tcBorders>
            <w:shd w:val="clear" w:color="auto" w:fill="auto"/>
            <w:noWrap/>
            <w:vAlign w:val="center"/>
            <w:hideMark/>
          </w:tcPr>
          <w:p w:rsidR="009C5F10" w:rsidRPr="00A67C76" w:rsidRDefault="009C5F10" w:rsidP="003C5E8D">
            <w:pPr>
              <w:contextualSpacing/>
              <w:jc w:val="right"/>
              <w:rPr>
                <w:rFonts w:cs="Calibri"/>
                <w:sz w:val="20"/>
                <w:lang w:eastAsia="en-AU"/>
              </w:rPr>
            </w:pPr>
            <w:r w:rsidRPr="00A67C76">
              <w:rPr>
                <w:rFonts w:cs="Calibri"/>
                <w:sz w:val="20"/>
                <w:lang w:eastAsia="en-AU"/>
              </w:rPr>
              <w:t>880-1560 µm</w:t>
            </w:r>
          </w:p>
        </w:tc>
      </w:tr>
      <w:tr w:rsidR="009C5F10" w:rsidRPr="00A67C76" w:rsidTr="00807D59">
        <w:trPr>
          <w:trHeight w:val="397"/>
        </w:trPr>
        <w:tc>
          <w:tcPr>
            <w:tcW w:w="1247"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r w:rsidRPr="00A67C76">
              <w:rPr>
                <w:rFonts w:cs="Calibri"/>
                <w:sz w:val="20"/>
                <w:lang w:eastAsia="en-AU"/>
              </w:rPr>
              <w:t>eggs</w:t>
            </w:r>
            <w:r w:rsidR="002A4737">
              <w:rPr>
                <w:rFonts w:cs="Calibri"/>
                <w:sz w:val="20"/>
                <w:lang w:eastAsia="en-AU"/>
              </w:rPr>
              <w:t>*</w:t>
            </w:r>
          </w:p>
        </w:tc>
        <w:tc>
          <w:tcPr>
            <w:tcW w:w="597"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r w:rsidRPr="00A67C76">
              <w:rPr>
                <w:rFonts w:cs="Calibri"/>
                <w:sz w:val="20"/>
                <w:lang w:eastAsia="en-AU"/>
              </w:rPr>
              <w:t>7/8</w:t>
            </w:r>
          </w:p>
        </w:tc>
        <w:tc>
          <w:tcPr>
            <w:tcW w:w="147"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c>
          <w:tcPr>
            <w:tcW w:w="983"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c>
          <w:tcPr>
            <w:tcW w:w="522"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c>
          <w:tcPr>
            <w:tcW w:w="597"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r w:rsidRPr="00A67C76">
              <w:rPr>
                <w:rFonts w:cs="Calibri"/>
                <w:sz w:val="20"/>
                <w:lang w:eastAsia="en-AU"/>
              </w:rPr>
              <w:t>1/6</w:t>
            </w:r>
          </w:p>
        </w:tc>
        <w:tc>
          <w:tcPr>
            <w:tcW w:w="147"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c>
          <w:tcPr>
            <w:tcW w:w="759"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r>
      <w:tr w:rsidR="009C5F10" w:rsidRPr="00A67C76" w:rsidTr="00807D59">
        <w:trPr>
          <w:trHeight w:val="397"/>
        </w:trPr>
        <w:tc>
          <w:tcPr>
            <w:tcW w:w="1247"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r w:rsidRPr="00A67C76">
              <w:rPr>
                <w:rFonts w:cs="Calibri"/>
                <w:i/>
                <w:iCs/>
                <w:sz w:val="20"/>
                <w:lang w:eastAsia="en-AU"/>
              </w:rPr>
              <w:t>Gladioferens</w:t>
            </w:r>
            <w:r w:rsidRPr="00A67C76">
              <w:rPr>
                <w:rFonts w:cs="Calibri"/>
                <w:sz w:val="20"/>
                <w:lang w:eastAsia="en-AU"/>
              </w:rPr>
              <w:t xml:space="preserve"> sp.</w:t>
            </w:r>
          </w:p>
        </w:tc>
        <w:tc>
          <w:tcPr>
            <w:tcW w:w="597"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r w:rsidRPr="00A67C76">
              <w:rPr>
                <w:rFonts w:cs="Calibri"/>
                <w:sz w:val="20"/>
                <w:lang w:eastAsia="en-AU"/>
              </w:rPr>
              <w:t>1/8</w:t>
            </w:r>
          </w:p>
        </w:tc>
        <w:tc>
          <w:tcPr>
            <w:tcW w:w="147"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c>
          <w:tcPr>
            <w:tcW w:w="983"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c>
          <w:tcPr>
            <w:tcW w:w="522"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c>
          <w:tcPr>
            <w:tcW w:w="597"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c>
          <w:tcPr>
            <w:tcW w:w="147"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c>
          <w:tcPr>
            <w:tcW w:w="759"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r>
      <w:tr w:rsidR="009C5F10" w:rsidRPr="00A67C76" w:rsidTr="00807D59">
        <w:trPr>
          <w:trHeight w:val="397"/>
        </w:trPr>
        <w:tc>
          <w:tcPr>
            <w:tcW w:w="1247"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r w:rsidRPr="00A67C76">
              <w:rPr>
                <w:rFonts w:cs="Calibri"/>
                <w:sz w:val="20"/>
                <w:lang w:eastAsia="en-AU"/>
              </w:rPr>
              <w:t>Cyclopoida</w:t>
            </w:r>
          </w:p>
        </w:tc>
        <w:tc>
          <w:tcPr>
            <w:tcW w:w="597"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c>
          <w:tcPr>
            <w:tcW w:w="147"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c>
          <w:tcPr>
            <w:tcW w:w="983"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c>
          <w:tcPr>
            <w:tcW w:w="522"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c>
          <w:tcPr>
            <w:tcW w:w="597"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c>
          <w:tcPr>
            <w:tcW w:w="147"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c>
          <w:tcPr>
            <w:tcW w:w="759"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r>
      <w:tr w:rsidR="009C5F10" w:rsidRPr="00A67C76" w:rsidTr="00807D59">
        <w:trPr>
          <w:trHeight w:val="397"/>
        </w:trPr>
        <w:tc>
          <w:tcPr>
            <w:tcW w:w="1247"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i/>
                <w:iCs/>
                <w:sz w:val="20"/>
                <w:lang w:eastAsia="en-AU"/>
              </w:rPr>
            </w:pPr>
            <w:r w:rsidRPr="00A67C76">
              <w:rPr>
                <w:rFonts w:cs="Calibri"/>
                <w:i/>
                <w:iCs/>
                <w:sz w:val="20"/>
                <w:lang w:eastAsia="en-AU"/>
              </w:rPr>
              <w:t xml:space="preserve">Mesocyclops </w:t>
            </w:r>
            <w:r w:rsidRPr="00A67C76">
              <w:rPr>
                <w:rFonts w:cs="Calibri"/>
                <w:sz w:val="20"/>
                <w:lang w:eastAsia="en-AU"/>
              </w:rPr>
              <w:t>sp.</w:t>
            </w:r>
          </w:p>
        </w:tc>
        <w:tc>
          <w:tcPr>
            <w:tcW w:w="597"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c>
          <w:tcPr>
            <w:tcW w:w="147"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c>
          <w:tcPr>
            <w:tcW w:w="983"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c>
          <w:tcPr>
            <w:tcW w:w="522"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c>
          <w:tcPr>
            <w:tcW w:w="597"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r w:rsidRPr="00A67C76">
              <w:rPr>
                <w:rFonts w:cs="Calibri"/>
                <w:sz w:val="20"/>
                <w:lang w:eastAsia="en-AU"/>
              </w:rPr>
              <w:t>1/6</w:t>
            </w:r>
          </w:p>
        </w:tc>
        <w:tc>
          <w:tcPr>
            <w:tcW w:w="147"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c>
          <w:tcPr>
            <w:tcW w:w="759" w:type="pct"/>
            <w:tcBorders>
              <w:top w:val="nil"/>
              <w:left w:val="nil"/>
              <w:bottom w:val="nil"/>
              <w:right w:val="nil"/>
            </w:tcBorders>
            <w:shd w:val="clear" w:color="auto" w:fill="auto"/>
            <w:noWrap/>
            <w:vAlign w:val="center"/>
            <w:hideMark/>
          </w:tcPr>
          <w:p w:rsidR="009C5F10" w:rsidRPr="00A67C76" w:rsidRDefault="009C5F10" w:rsidP="003C5E8D">
            <w:pPr>
              <w:contextualSpacing/>
              <w:rPr>
                <w:rFonts w:cs="Calibri"/>
                <w:sz w:val="20"/>
                <w:lang w:eastAsia="en-AU"/>
              </w:rPr>
            </w:pPr>
          </w:p>
        </w:tc>
      </w:tr>
      <w:tr w:rsidR="009C5F10" w:rsidRPr="00A67C76" w:rsidTr="00807D59">
        <w:trPr>
          <w:trHeight w:val="300"/>
        </w:trPr>
        <w:tc>
          <w:tcPr>
            <w:tcW w:w="1247" w:type="pct"/>
            <w:tcBorders>
              <w:top w:val="nil"/>
              <w:left w:val="nil"/>
              <w:bottom w:val="nil"/>
              <w:right w:val="nil"/>
            </w:tcBorders>
            <w:shd w:val="clear" w:color="auto" w:fill="auto"/>
            <w:noWrap/>
            <w:vAlign w:val="bottom"/>
            <w:hideMark/>
          </w:tcPr>
          <w:p w:rsidR="009C5F10" w:rsidRPr="00A67C76" w:rsidRDefault="009C5F10" w:rsidP="003C5E8D">
            <w:pPr>
              <w:contextualSpacing/>
              <w:rPr>
                <w:rFonts w:cs="Calibri"/>
                <w:b/>
                <w:bCs/>
                <w:sz w:val="20"/>
                <w:lang w:eastAsia="en-AU"/>
              </w:rPr>
            </w:pPr>
            <w:r w:rsidRPr="00A67C76">
              <w:rPr>
                <w:rFonts w:cs="Calibri"/>
                <w:b/>
                <w:bCs/>
                <w:sz w:val="20"/>
                <w:lang w:eastAsia="en-AU"/>
              </w:rPr>
              <w:t>Cladocera</w:t>
            </w:r>
          </w:p>
        </w:tc>
        <w:tc>
          <w:tcPr>
            <w:tcW w:w="597" w:type="pct"/>
            <w:tcBorders>
              <w:top w:val="nil"/>
              <w:left w:val="nil"/>
              <w:bottom w:val="nil"/>
              <w:right w:val="nil"/>
            </w:tcBorders>
            <w:shd w:val="clear" w:color="auto" w:fill="auto"/>
            <w:noWrap/>
            <w:vAlign w:val="center"/>
            <w:hideMark/>
          </w:tcPr>
          <w:p w:rsidR="009C5F10" w:rsidRPr="00A67C76" w:rsidRDefault="009C5F10" w:rsidP="003C5E8D">
            <w:pPr>
              <w:contextualSpacing/>
              <w:jc w:val="center"/>
              <w:rPr>
                <w:rFonts w:cs="Calibri"/>
                <w:sz w:val="20"/>
                <w:lang w:eastAsia="en-AU"/>
              </w:rPr>
            </w:pPr>
          </w:p>
        </w:tc>
        <w:tc>
          <w:tcPr>
            <w:tcW w:w="147" w:type="pct"/>
            <w:tcBorders>
              <w:top w:val="nil"/>
              <w:left w:val="nil"/>
              <w:bottom w:val="nil"/>
              <w:right w:val="nil"/>
            </w:tcBorders>
            <w:shd w:val="clear" w:color="auto" w:fill="auto"/>
            <w:noWrap/>
            <w:vAlign w:val="bottom"/>
            <w:hideMark/>
          </w:tcPr>
          <w:p w:rsidR="009C5F10" w:rsidRPr="00A67C76" w:rsidRDefault="009C5F10" w:rsidP="003C5E8D">
            <w:pPr>
              <w:contextualSpacing/>
              <w:rPr>
                <w:rFonts w:cs="Calibri"/>
                <w:sz w:val="20"/>
                <w:lang w:eastAsia="en-AU"/>
              </w:rPr>
            </w:pPr>
          </w:p>
        </w:tc>
        <w:tc>
          <w:tcPr>
            <w:tcW w:w="983" w:type="pct"/>
            <w:tcBorders>
              <w:top w:val="nil"/>
              <w:left w:val="nil"/>
              <w:bottom w:val="nil"/>
              <w:right w:val="nil"/>
            </w:tcBorders>
            <w:shd w:val="clear" w:color="auto" w:fill="auto"/>
            <w:noWrap/>
            <w:vAlign w:val="center"/>
            <w:hideMark/>
          </w:tcPr>
          <w:p w:rsidR="009C5F10" w:rsidRPr="00A67C76" w:rsidRDefault="009C5F10" w:rsidP="003C5E8D">
            <w:pPr>
              <w:contextualSpacing/>
              <w:jc w:val="center"/>
              <w:rPr>
                <w:rFonts w:cs="Calibri"/>
                <w:sz w:val="20"/>
                <w:lang w:eastAsia="en-AU"/>
              </w:rPr>
            </w:pPr>
          </w:p>
        </w:tc>
        <w:tc>
          <w:tcPr>
            <w:tcW w:w="522" w:type="pct"/>
            <w:tcBorders>
              <w:top w:val="nil"/>
              <w:left w:val="nil"/>
              <w:bottom w:val="nil"/>
              <w:right w:val="nil"/>
            </w:tcBorders>
            <w:shd w:val="clear" w:color="auto" w:fill="auto"/>
            <w:noWrap/>
            <w:vAlign w:val="center"/>
            <w:hideMark/>
          </w:tcPr>
          <w:p w:rsidR="009C5F10" w:rsidRPr="00A67C76" w:rsidRDefault="009C5F10" w:rsidP="003C5E8D">
            <w:pPr>
              <w:contextualSpacing/>
              <w:jc w:val="center"/>
              <w:rPr>
                <w:rFonts w:cs="Calibri"/>
                <w:sz w:val="20"/>
                <w:lang w:eastAsia="en-AU"/>
              </w:rPr>
            </w:pPr>
          </w:p>
        </w:tc>
        <w:tc>
          <w:tcPr>
            <w:tcW w:w="597" w:type="pct"/>
            <w:tcBorders>
              <w:top w:val="nil"/>
              <w:left w:val="nil"/>
              <w:bottom w:val="nil"/>
              <w:right w:val="nil"/>
            </w:tcBorders>
            <w:shd w:val="clear" w:color="auto" w:fill="auto"/>
            <w:noWrap/>
            <w:vAlign w:val="center"/>
            <w:hideMark/>
          </w:tcPr>
          <w:p w:rsidR="009C5F10" w:rsidRPr="00A67C76" w:rsidRDefault="009C5F10" w:rsidP="003C5E8D">
            <w:pPr>
              <w:contextualSpacing/>
              <w:jc w:val="center"/>
              <w:rPr>
                <w:rFonts w:cs="Calibri"/>
                <w:sz w:val="20"/>
                <w:lang w:eastAsia="en-AU"/>
              </w:rPr>
            </w:pPr>
          </w:p>
        </w:tc>
        <w:tc>
          <w:tcPr>
            <w:tcW w:w="147" w:type="pct"/>
            <w:tcBorders>
              <w:top w:val="nil"/>
              <w:left w:val="nil"/>
              <w:bottom w:val="nil"/>
              <w:right w:val="nil"/>
            </w:tcBorders>
            <w:shd w:val="clear" w:color="auto" w:fill="auto"/>
            <w:noWrap/>
            <w:vAlign w:val="center"/>
            <w:hideMark/>
          </w:tcPr>
          <w:p w:rsidR="009C5F10" w:rsidRPr="00A67C76" w:rsidRDefault="009C5F10" w:rsidP="003C5E8D">
            <w:pPr>
              <w:contextualSpacing/>
              <w:jc w:val="center"/>
              <w:rPr>
                <w:rFonts w:cs="Calibri"/>
                <w:sz w:val="20"/>
                <w:lang w:eastAsia="en-AU"/>
              </w:rPr>
            </w:pPr>
          </w:p>
        </w:tc>
        <w:tc>
          <w:tcPr>
            <w:tcW w:w="759" w:type="pct"/>
            <w:tcBorders>
              <w:top w:val="nil"/>
              <w:left w:val="nil"/>
              <w:bottom w:val="nil"/>
              <w:right w:val="nil"/>
            </w:tcBorders>
            <w:shd w:val="clear" w:color="auto" w:fill="auto"/>
            <w:noWrap/>
            <w:vAlign w:val="center"/>
            <w:hideMark/>
          </w:tcPr>
          <w:p w:rsidR="009C5F10" w:rsidRPr="00A67C76" w:rsidRDefault="009C5F10" w:rsidP="003C5E8D">
            <w:pPr>
              <w:contextualSpacing/>
              <w:jc w:val="center"/>
              <w:rPr>
                <w:rFonts w:cs="Calibri"/>
                <w:sz w:val="20"/>
                <w:lang w:eastAsia="en-AU"/>
              </w:rPr>
            </w:pPr>
          </w:p>
        </w:tc>
      </w:tr>
      <w:tr w:rsidR="009C5F10" w:rsidRPr="00A67C76" w:rsidTr="00807D59">
        <w:trPr>
          <w:trHeight w:val="300"/>
        </w:trPr>
        <w:tc>
          <w:tcPr>
            <w:tcW w:w="1247" w:type="pct"/>
            <w:tcBorders>
              <w:top w:val="nil"/>
              <w:left w:val="nil"/>
              <w:bottom w:val="single" w:sz="4" w:space="0" w:color="auto"/>
              <w:right w:val="nil"/>
            </w:tcBorders>
            <w:shd w:val="clear" w:color="auto" w:fill="auto"/>
            <w:noWrap/>
            <w:vAlign w:val="bottom"/>
            <w:hideMark/>
          </w:tcPr>
          <w:p w:rsidR="009C5F10" w:rsidRPr="00A67C76" w:rsidRDefault="009C5F10" w:rsidP="003C5E8D">
            <w:pPr>
              <w:contextualSpacing/>
              <w:rPr>
                <w:rFonts w:cs="Calibri"/>
                <w:i/>
                <w:iCs/>
                <w:sz w:val="20"/>
                <w:lang w:eastAsia="en-AU"/>
              </w:rPr>
            </w:pPr>
            <w:r w:rsidRPr="00A67C76">
              <w:rPr>
                <w:rFonts w:cs="Calibri"/>
                <w:i/>
                <w:iCs/>
                <w:sz w:val="20"/>
                <w:lang w:eastAsia="en-AU"/>
              </w:rPr>
              <w:t>Bosmina meridionalis</w:t>
            </w:r>
          </w:p>
        </w:tc>
        <w:tc>
          <w:tcPr>
            <w:tcW w:w="597" w:type="pct"/>
            <w:tcBorders>
              <w:top w:val="nil"/>
              <w:left w:val="nil"/>
              <w:bottom w:val="single" w:sz="4" w:space="0" w:color="auto"/>
              <w:right w:val="nil"/>
            </w:tcBorders>
            <w:shd w:val="clear" w:color="auto" w:fill="auto"/>
            <w:noWrap/>
            <w:vAlign w:val="bottom"/>
            <w:hideMark/>
          </w:tcPr>
          <w:p w:rsidR="009C5F10" w:rsidRPr="00A67C76" w:rsidRDefault="009C5F10" w:rsidP="003C5E8D">
            <w:pPr>
              <w:contextualSpacing/>
              <w:rPr>
                <w:rFonts w:cs="Calibri"/>
                <w:sz w:val="20"/>
                <w:lang w:eastAsia="en-AU"/>
              </w:rPr>
            </w:pPr>
            <w:r w:rsidRPr="00A67C76">
              <w:rPr>
                <w:rFonts w:cs="Calibri"/>
                <w:sz w:val="20"/>
                <w:lang w:eastAsia="en-AU"/>
              </w:rPr>
              <w:t>2/8</w:t>
            </w:r>
          </w:p>
        </w:tc>
        <w:tc>
          <w:tcPr>
            <w:tcW w:w="147" w:type="pct"/>
            <w:tcBorders>
              <w:top w:val="nil"/>
              <w:left w:val="nil"/>
              <w:bottom w:val="single" w:sz="4" w:space="0" w:color="auto"/>
              <w:right w:val="nil"/>
            </w:tcBorders>
            <w:shd w:val="clear" w:color="auto" w:fill="auto"/>
            <w:noWrap/>
            <w:vAlign w:val="bottom"/>
            <w:hideMark/>
          </w:tcPr>
          <w:p w:rsidR="009C5F10" w:rsidRPr="00A67C76" w:rsidRDefault="009C5F10" w:rsidP="003C5E8D">
            <w:pPr>
              <w:contextualSpacing/>
              <w:rPr>
                <w:rFonts w:cs="Calibri"/>
                <w:sz w:val="20"/>
                <w:lang w:eastAsia="en-AU"/>
              </w:rPr>
            </w:pPr>
            <w:r w:rsidRPr="00A67C76">
              <w:rPr>
                <w:rFonts w:cs="Calibri"/>
                <w:sz w:val="20"/>
                <w:lang w:eastAsia="en-AU"/>
              </w:rPr>
              <w:t> </w:t>
            </w:r>
          </w:p>
        </w:tc>
        <w:tc>
          <w:tcPr>
            <w:tcW w:w="983" w:type="pct"/>
            <w:tcBorders>
              <w:top w:val="nil"/>
              <w:left w:val="nil"/>
              <w:bottom w:val="single" w:sz="4" w:space="0" w:color="auto"/>
              <w:right w:val="nil"/>
            </w:tcBorders>
            <w:shd w:val="clear" w:color="auto" w:fill="auto"/>
            <w:noWrap/>
            <w:vAlign w:val="bottom"/>
            <w:hideMark/>
          </w:tcPr>
          <w:p w:rsidR="009C5F10" w:rsidRPr="00A67C76" w:rsidRDefault="009C5F10" w:rsidP="003C5E8D">
            <w:pPr>
              <w:contextualSpacing/>
              <w:rPr>
                <w:rFonts w:cs="Calibri"/>
                <w:sz w:val="20"/>
                <w:lang w:eastAsia="en-AU"/>
              </w:rPr>
            </w:pPr>
            <w:r w:rsidRPr="00A67C76">
              <w:rPr>
                <w:rFonts w:cs="Calibri"/>
                <w:sz w:val="20"/>
                <w:lang w:eastAsia="en-AU"/>
              </w:rPr>
              <w:t> </w:t>
            </w:r>
          </w:p>
        </w:tc>
        <w:tc>
          <w:tcPr>
            <w:tcW w:w="522" w:type="pct"/>
            <w:tcBorders>
              <w:top w:val="nil"/>
              <w:left w:val="nil"/>
              <w:bottom w:val="single" w:sz="4" w:space="0" w:color="auto"/>
              <w:right w:val="nil"/>
            </w:tcBorders>
            <w:shd w:val="clear" w:color="auto" w:fill="auto"/>
            <w:noWrap/>
            <w:vAlign w:val="bottom"/>
            <w:hideMark/>
          </w:tcPr>
          <w:p w:rsidR="009C5F10" w:rsidRPr="00A67C76" w:rsidRDefault="009C5F10" w:rsidP="003C5E8D">
            <w:pPr>
              <w:contextualSpacing/>
              <w:rPr>
                <w:rFonts w:cs="Calibri"/>
                <w:sz w:val="20"/>
                <w:lang w:eastAsia="en-AU"/>
              </w:rPr>
            </w:pPr>
            <w:r w:rsidRPr="00A67C76">
              <w:rPr>
                <w:rFonts w:cs="Calibri"/>
                <w:sz w:val="20"/>
                <w:lang w:eastAsia="en-AU"/>
              </w:rPr>
              <w:t> </w:t>
            </w:r>
          </w:p>
        </w:tc>
        <w:tc>
          <w:tcPr>
            <w:tcW w:w="597" w:type="pct"/>
            <w:tcBorders>
              <w:top w:val="nil"/>
              <w:left w:val="nil"/>
              <w:bottom w:val="single" w:sz="4" w:space="0" w:color="auto"/>
              <w:right w:val="nil"/>
            </w:tcBorders>
            <w:shd w:val="clear" w:color="auto" w:fill="auto"/>
            <w:noWrap/>
            <w:vAlign w:val="bottom"/>
            <w:hideMark/>
          </w:tcPr>
          <w:p w:rsidR="009C5F10" w:rsidRPr="00A67C76" w:rsidRDefault="009C5F10" w:rsidP="003C5E8D">
            <w:pPr>
              <w:contextualSpacing/>
              <w:rPr>
                <w:rFonts w:cs="Calibri"/>
                <w:sz w:val="20"/>
                <w:lang w:eastAsia="en-AU"/>
              </w:rPr>
            </w:pPr>
            <w:r w:rsidRPr="00A67C76">
              <w:rPr>
                <w:rFonts w:cs="Calibri"/>
                <w:sz w:val="20"/>
                <w:lang w:eastAsia="en-AU"/>
              </w:rPr>
              <w:t>1/6</w:t>
            </w:r>
          </w:p>
        </w:tc>
        <w:tc>
          <w:tcPr>
            <w:tcW w:w="147" w:type="pct"/>
            <w:tcBorders>
              <w:top w:val="nil"/>
              <w:left w:val="nil"/>
              <w:bottom w:val="single" w:sz="4" w:space="0" w:color="auto"/>
              <w:right w:val="nil"/>
            </w:tcBorders>
            <w:shd w:val="clear" w:color="auto" w:fill="auto"/>
            <w:noWrap/>
            <w:vAlign w:val="bottom"/>
            <w:hideMark/>
          </w:tcPr>
          <w:p w:rsidR="009C5F10" w:rsidRPr="00A67C76" w:rsidRDefault="009C5F10" w:rsidP="003C5E8D">
            <w:pPr>
              <w:contextualSpacing/>
              <w:rPr>
                <w:rFonts w:cs="Calibri"/>
                <w:sz w:val="20"/>
                <w:lang w:eastAsia="en-AU"/>
              </w:rPr>
            </w:pPr>
            <w:r w:rsidRPr="00A67C76">
              <w:rPr>
                <w:rFonts w:cs="Calibri"/>
                <w:sz w:val="20"/>
                <w:lang w:eastAsia="en-AU"/>
              </w:rPr>
              <w:t> </w:t>
            </w:r>
          </w:p>
        </w:tc>
        <w:tc>
          <w:tcPr>
            <w:tcW w:w="759" w:type="pct"/>
            <w:tcBorders>
              <w:top w:val="nil"/>
              <w:left w:val="nil"/>
              <w:bottom w:val="single" w:sz="4" w:space="0" w:color="auto"/>
              <w:right w:val="nil"/>
            </w:tcBorders>
            <w:shd w:val="clear" w:color="auto" w:fill="auto"/>
            <w:noWrap/>
            <w:vAlign w:val="bottom"/>
            <w:hideMark/>
          </w:tcPr>
          <w:p w:rsidR="009C5F10" w:rsidRPr="00A67C76" w:rsidRDefault="009C5F10" w:rsidP="003C5E8D">
            <w:pPr>
              <w:contextualSpacing/>
              <w:rPr>
                <w:rFonts w:cs="Calibri"/>
                <w:sz w:val="20"/>
                <w:lang w:eastAsia="en-AU"/>
              </w:rPr>
            </w:pPr>
            <w:r w:rsidRPr="00A67C76">
              <w:rPr>
                <w:rFonts w:cs="Calibri"/>
                <w:sz w:val="20"/>
                <w:lang w:eastAsia="en-AU"/>
              </w:rPr>
              <w:t> </w:t>
            </w:r>
          </w:p>
        </w:tc>
      </w:tr>
    </w:tbl>
    <w:p w:rsidR="003C5E8D" w:rsidRPr="006652CA" w:rsidRDefault="000B01BD" w:rsidP="00F914C8">
      <w:pPr>
        <w:pStyle w:val="Captions"/>
      </w:pPr>
      <w:r w:rsidRPr="006652CA">
        <w:t xml:space="preserve">*likely to be </w:t>
      </w:r>
      <w:r w:rsidRPr="006652CA">
        <w:rPr>
          <w:i/>
        </w:rPr>
        <w:t>B. triarticulata</w:t>
      </w:r>
      <w:r w:rsidRPr="006652CA">
        <w:t xml:space="preserve"> eggs, as they occurred concurrently with adult </w:t>
      </w:r>
      <w:r w:rsidRPr="006652CA">
        <w:rPr>
          <w:i/>
        </w:rPr>
        <w:t>B. triarticulata</w:t>
      </w:r>
      <w:r w:rsidRPr="006652CA">
        <w:t xml:space="preserve"> and all</w:t>
      </w:r>
      <w:r w:rsidR="006652CA">
        <w:t xml:space="preserve"> </w:t>
      </w:r>
      <w:r w:rsidR="00C71DB1">
        <w:t xml:space="preserve">adult individuals </w:t>
      </w:r>
      <w:r w:rsidRPr="006652CA">
        <w:t>found in the gut content were bearing eggs.</w:t>
      </w:r>
    </w:p>
    <w:p w:rsidR="003C5E8D" w:rsidRPr="00A67C76" w:rsidRDefault="003C5E8D">
      <w:pPr>
        <w:spacing w:before="0" w:after="200" w:line="276" w:lineRule="auto"/>
        <w:rPr>
          <w:b/>
        </w:rPr>
      </w:pPr>
      <w:r w:rsidRPr="00A67C76">
        <w:rPr>
          <w:b/>
        </w:rPr>
        <w:br w:type="page"/>
      </w:r>
    </w:p>
    <w:p w:rsidR="00F642ED" w:rsidRPr="00A67C76" w:rsidRDefault="009C5F10" w:rsidP="00A3579A">
      <w:pPr>
        <w:rPr>
          <w:b/>
        </w:rPr>
      </w:pPr>
      <w:r w:rsidRPr="00A67C76">
        <w:rPr>
          <w:b/>
        </w:rPr>
        <w:t>Food resources for larval fish</w:t>
      </w:r>
    </w:p>
    <w:p w:rsidR="009C5F10" w:rsidRPr="00A67C76" w:rsidRDefault="009C5F10" w:rsidP="009C5F10">
      <w:r w:rsidRPr="00A67C76">
        <w:t xml:space="preserve">Molecular analyses of the water samples resulted in 1,213 – 1,252 unique sequences </w:t>
      </w:r>
      <w:r w:rsidR="00C12CB4" w:rsidRPr="00A67C76">
        <w:t xml:space="preserve">or Operational Taxonomic Unit </w:t>
      </w:r>
      <w:r w:rsidRPr="00A67C76">
        <w:t>(OTUs) per site from which 99 genera</w:t>
      </w:r>
      <w:r w:rsidR="006466EE" w:rsidRPr="00A67C76">
        <w:t xml:space="preserve"> </w:t>
      </w:r>
      <w:r w:rsidR="0093075D" w:rsidRPr="00A67C76">
        <w:t>of microeukaryotes</w:t>
      </w:r>
      <w:r w:rsidRPr="00A67C76">
        <w:t xml:space="preserve"> were identified, with a small amount of variation between sites (</w:t>
      </w:r>
      <w:fldSimple w:instr=" REF _Ref381780620 \h  \* MERGEFORMAT ">
        <w:r w:rsidR="009659F2" w:rsidRPr="00A67C76">
          <w:t xml:space="preserve">Table </w:t>
        </w:r>
        <w:r w:rsidR="009659F2">
          <w:t>7</w:t>
        </w:r>
      </w:fldSimple>
      <w:r w:rsidRPr="00A67C76">
        <w:t>). Almost 29% of the total data</w:t>
      </w:r>
      <w:r w:rsidR="00E013CD" w:rsidRPr="00A67C76">
        <w:t xml:space="preserve"> </w:t>
      </w:r>
      <w:proofErr w:type="gramStart"/>
      <w:r w:rsidRPr="00A67C76">
        <w:t>set,</w:t>
      </w:r>
      <w:proofErr w:type="gramEnd"/>
      <w:r w:rsidRPr="00A67C76">
        <w:t xml:space="preserve"> had no close match to a reference sequence reflecting the large amount of undescribed and unsequenced diversity present in the river water. Sequences that could not be taxonomically matched were identified by their OTU number and grouped as unknown microeukaryotes.</w:t>
      </w:r>
    </w:p>
    <w:p w:rsidR="00E4049C" w:rsidRPr="00A67C76" w:rsidRDefault="00E4049C" w:rsidP="00F914C8">
      <w:pPr>
        <w:pStyle w:val="Captions"/>
      </w:pPr>
      <w:bookmarkStart w:id="102" w:name="_Ref381780620"/>
      <w:bookmarkStart w:id="103" w:name="_Toc387929709"/>
      <w:proofErr w:type="gramStart"/>
      <w:r w:rsidRPr="00A67C76">
        <w:t xml:space="preserve">Table </w:t>
      </w:r>
      <w:proofErr w:type="gramEnd"/>
      <w:r w:rsidR="002E6077" w:rsidRPr="00A67C76">
        <w:fldChar w:fldCharType="begin"/>
      </w:r>
      <w:r w:rsidR="00E07034" w:rsidRPr="00A67C76">
        <w:instrText xml:space="preserve"> SEQ Table \* ARABIC </w:instrText>
      </w:r>
      <w:r w:rsidR="002E6077" w:rsidRPr="00A67C76">
        <w:fldChar w:fldCharType="separate"/>
      </w:r>
      <w:r w:rsidR="009659F2">
        <w:rPr>
          <w:noProof/>
        </w:rPr>
        <w:t>7</w:t>
      </w:r>
      <w:r w:rsidR="002E6077" w:rsidRPr="00A67C76">
        <w:fldChar w:fldCharType="end"/>
      </w:r>
      <w:bookmarkEnd w:id="102"/>
      <w:proofErr w:type="gramStart"/>
      <w:r w:rsidRPr="00A67C76">
        <w:t>.</w:t>
      </w:r>
      <w:proofErr w:type="gramEnd"/>
      <w:r w:rsidRPr="00A67C76">
        <w:t xml:space="preserve"> Summary of the DNA results obtained in the three different sites (</w:t>
      </w:r>
      <w:r w:rsidR="00FD328A" w:rsidRPr="00FD328A">
        <w:t>LK-6</w:t>
      </w:r>
      <w:r w:rsidRPr="00A67C76">
        <w:t xml:space="preserve">, </w:t>
      </w:r>
      <w:r w:rsidR="00FD328A" w:rsidRPr="00FD328A">
        <w:t>LK-6</w:t>
      </w:r>
      <w:r w:rsidR="001527EB" w:rsidRPr="00A67C76">
        <w:t>A</w:t>
      </w:r>
      <w:r w:rsidRPr="00A67C76">
        <w:t xml:space="preserve">, </w:t>
      </w:r>
      <w:r w:rsidR="00FD328A" w:rsidRPr="00FD328A">
        <w:t>LK-1</w:t>
      </w:r>
      <w:r w:rsidRPr="00A67C76">
        <w:t>)</w:t>
      </w:r>
      <w:bookmarkEnd w:id="103"/>
    </w:p>
    <w:tbl>
      <w:tblPr>
        <w:tblStyle w:val="TableGrid"/>
        <w:tblW w:w="8330" w:type="dxa"/>
        <w:tblLayout w:type="fixed"/>
        <w:tblLook w:val="04A0"/>
      </w:tblPr>
      <w:tblGrid>
        <w:gridCol w:w="817"/>
        <w:gridCol w:w="1134"/>
        <w:gridCol w:w="1842"/>
        <w:gridCol w:w="2836"/>
        <w:gridCol w:w="1701"/>
      </w:tblGrid>
      <w:tr w:rsidR="00E4049C" w:rsidRPr="00A67C76" w:rsidTr="003175A6">
        <w:tc>
          <w:tcPr>
            <w:tcW w:w="817" w:type="dxa"/>
            <w:tcBorders>
              <w:top w:val="single" w:sz="4" w:space="0" w:color="auto"/>
              <w:left w:val="nil"/>
              <w:bottom w:val="single" w:sz="4" w:space="0" w:color="auto"/>
              <w:right w:val="nil"/>
            </w:tcBorders>
          </w:tcPr>
          <w:p w:rsidR="00E4049C" w:rsidRPr="00A67C76" w:rsidRDefault="003175A6" w:rsidP="00792535">
            <w:pPr>
              <w:pStyle w:val="TOC1"/>
              <w:rPr>
                <w:rFonts w:ascii="Century Gothic" w:hAnsi="Century Gothic"/>
              </w:rPr>
            </w:pPr>
            <w:r w:rsidRPr="00A67C76">
              <w:rPr>
                <w:rFonts w:ascii="Century Gothic" w:hAnsi="Century Gothic"/>
                <w:caps w:val="0"/>
              </w:rPr>
              <w:t>Sites</w:t>
            </w:r>
          </w:p>
        </w:tc>
        <w:tc>
          <w:tcPr>
            <w:tcW w:w="1134" w:type="dxa"/>
            <w:tcBorders>
              <w:top w:val="single" w:sz="4" w:space="0" w:color="auto"/>
              <w:left w:val="nil"/>
              <w:bottom w:val="single" w:sz="4" w:space="0" w:color="auto"/>
              <w:right w:val="nil"/>
            </w:tcBorders>
            <w:hideMark/>
          </w:tcPr>
          <w:p w:rsidR="00E4049C" w:rsidRPr="00A67C76" w:rsidRDefault="003175A6" w:rsidP="003175A6">
            <w:pPr>
              <w:pStyle w:val="TOC1"/>
              <w:rPr>
                <w:rFonts w:ascii="Century Gothic" w:hAnsi="Century Gothic"/>
              </w:rPr>
            </w:pPr>
            <w:r w:rsidRPr="00A67C76">
              <w:rPr>
                <w:rFonts w:ascii="Century Gothic" w:hAnsi="Century Gothic"/>
                <w:caps w:val="0"/>
              </w:rPr>
              <w:t>No. of samples</w:t>
            </w:r>
          </w:p>
        </w:tc>
        <w:tc>
          <w:tcPr>
            <w:tcW w:w="1842" w:type="dxa"/>
            <w:tcBorders>
              <w:top w:val="single" w:sz="4" w:space="0" w:color="auto"/>
              <w:left w:val="nil"/>
              <w:bottom w:val="single" w:sz="4" w:space="0" w:color="auto"/>
              <w:right w:val="nil"/>
            </w:tcBorders>
            <w:hideMark/>
          </w:tcPr>
          <w:p w:rsidR="00E4049C" w:rsidRPr="00A67C76" w:rsidRDefault="003175A6" w:rsidP="00792535">
            <w:pPr>
              <w:pStyle w:val="TOC1"/>
              <w:rPr>
                <w:rFonts w:ascii="Century Gothic" w:hAnsi="Century Gothic"/>
              </w:rPr>
            </w:pPr>
            <w:r w:rsidRPr="00A67C76">
              <w:rPr>
                <w:rFonts w:ascii="Century Gothic" w:hAnsi="Century Gothic"/>
                <w:caps w:val="0"/>
              </w:rPr>
              <w:t>No. of sequence reads analysed</w:t>
            </w:r>
          </w:p>
        </w:tc>
        <w:tc>
          <w:tcPr>
            <w:tcW w:w="2836" w:type="dxa"/>
            <w:tcBorders>
              <w:top w:val="single" w:sz="4" w:space="0" w:color="auto"/>
              <w:left w:val="nil"/>
              <w:bottom w:val="single" w:sz="4" w:space="0" w:color="auto"/>
              <w:right w:val="nil"/>
            </w:tcBorders>
          </w:tcPr>
          <w:p w:rsidR="00E4049C" w:rsidRPr="00A67C76" w:rsidRDefault="003175A6" w:rsidP="00792535">
            <w:pPr>
              <w:pStyle w:val="TOC1"/>
              <w:rPr>
                <w:rFonts w:ascii="Century Gothic" w:hAnsi="Century Gothic"/>
              </w:rPr>
            </w:pPr>
            <w:r w:rsidRPr="00A67C76">
              <w:rPr>
                <w:rFonts w:ascii="Century Gothic" w:hAnsi="Century Gothic"/>
                <w:caps w:val="0"/>
              </w:rPr>
              <w:t>No. of operational taxonomic units identified</w:t>
            </w:r>
          </w:p>
        </w:tc>
        <w:tc>
          <w:tcPr>
            <w:tcW w:w="1701" w:type="dxa"/>
            <w:tcBorders>
              <w:top w:val="single" w:sz="4" w:space="0" w:color="auto"/>
              <w:left w:val="nil"/>
              <w:bottom w:val="single" w:sz="4" w:space="0" w:color="auto"/>
              <w:right w:val="nil"/>
            </w:tcBorders>
            <w:hideMark/>
          </w:tcPr>
          <w:p w:rsidR="00E4049C" w:rsidRPr="00A67C76" w:rsidRDefault="003175A6" w:rsidP="00792535">
            <w:pPr>
              <w:pStyle w:val="TOC1"/>
              <w:rPr>
                <w:rFonts w:ascii="Century Gothic" w:hAnsi="Century Gothic"/>
              </w:rPr>
            </w:pPr>
            <w:r w:rsidRPr="00A67C76">
              <w:rPr>
                <w:rFonts w:ascii="Century Gothic" w:hAnsi="Century Gothic"/>
                <w:caps w:val="0"/>
              </w:rPr>
              <w:t>No. of genera identified</w:t>
            </w:r>
          </w:p>
        </w:tc>
      </w:tr>
      <w:tr w:rsidR="00E4049C" w:rsidRPr="00A67C76" w:rsidTr="00581352">
        <w:tc>
          <w:tcPr>
            <w:tcW w:w="817" w:type="dxa"/>
            <w:tcBorders>
              <w:top w:val="single" w:sz="4" w:space="0" w:color="auto"/>
              <w:left w:val="nil"/>
              <w:bottom w:val="nil"/>
              <w:right w:val="nil"/>
            </w:tcBorders>
            <w:vAlign w:val="center"/>
            <w:hideMark/>
          </w:tcPr>
          <w:p w:rsidR="00E4049C" w:rsidRPr="00A67C76" w:rsidRDefault="00FD328A" w:rsidP="00581352">
            <w:pPr>
              <w:pStyle w:val="TOC1"/>
              <w:spacing w:before="120" w:after="120" w:line="240" w:lineRule="auto"/>
              <w:rPr>
                <w:rFonts w:ascii="Century Gothic" w:hAnsi="Century Gothic"/>
                <w:b w:val="0"/>
              </w:rPr>
            </w:pPr>
            <w:r w:rsidRPr="00FD328A">
              <w:rPr>
                <w:rFonts w:ascii="Century Gothic" w:hAnsi="Century Gothic"/>
                <w:b w:val="0"/>
                <w:caps w:val="0"/>
              </w:rPr>
              <w:t>LK-6</w:t>
            </w:r>
          </w:p>
        </w:tc>
        <w:tc>
          <w:tcPr>
            <w:tcW w:w="1134" w:type="dxa"/>
            <w:tcBorders>
              <w:top w:val="single" w:sz="4" w:space="0" w:color="auto"/>
              <w:left w:val="nil"/>
              <w:bottom w:val="nil"/>
              <w:right w:val="nil"/>
            </w:tcBorders>
            <w:vAlign w:val="center"/>
            <w:hideMark/>
          </w:tcPr>
          <w:p w:rsidR="00E4049C" w:rsidRPr="00A67C76" w:rsidRDefault="00E4049C" w:rsidP="00581352">
            <w:pPr>
              <w:pStyle w:val="TOC1"/>
              <w:spacing w:before="120" w:after="120" w:line="240" w:lineRule="auto"/>
              <w:jc w:val="center"/>
              <w:rPr>
                <w:rFonts w:ascii="Century Gothic" w:hAnsi="Century Gothic"/>
                <w:b w:val="0"/>
              </w:rPr>
            </w:pPr>
            <w:r w:rsidRPr="00A67C76">
              <w:rPr>
                <w:rFonts w:ascii="Century Gothic" w:hAnsi="Century Gothic"/>
                <w:b w:val="0"/>
              </w:rPr>
              <w:t>40</w:t>
            </w:r>
          </w:p>
        </w:tc>
        <w:tc>
          <w:tcPr>
            <w:tcW w:w="1842" w:type="dxa"/>
            <w:tcBorders>
              <w:top w:val="single" w:sz="4" w:space="0" w:color="auto"/>
              <w:left w:val="nil"/>
              <w:bottom w:val="nil"/>
              <w:right w:val="nil"/>
            </w:tcBorders>
            <w:vAlign w:val="center"/>
            <w:hideMark/>
          </w:tcPr>
          <w:p w:rsidR="00E4049C" w:rsidRPr="00A67C76" w:rsidRDefault="00E4049C" w:rsidP="00581352">
            <w:pPr>
              <w:pStyle w:val="TOC1"/>
              <w:spacing w:before="120" w:after="120" w:line="240" w:lineRule="auto"/>
              <w:jc w:val="center"/>
              <w:rPr>
                <w:rFonts w:ascii="Century Gothic" w:hAnsi="Century Gothic"/>
                <w:b w:val="0"/>
              </w:rPr>
            </w:pPr>
            <w:r w:rsidRPr="00A67C76">
              <w:rPr>
                <w:rFonts w:ascii="Century Gothic" w:hAnsi="Century Gothic"/>
                <w:b w:val="0"/>
              </w:rPr>
              <w:t>243,229</w:t>
            </w:r>
          </w:p>
        </w:tc>
        <w:tc>
          <w:tcPr>
            <w:tcW w:w="2836" w:type="dxa"/>
            <w:tcBorders>
              <w:top w:val="single" w:sz="4" w:space="0" w:color="auto"/>
              <w:left w:val="nil"/>
              <w:bottom w:val="nil"/>
              <w:right w:val="nil"/>
            </w:tcBorders>
            <w:vAlign w:val="center"/>
          </w:tcPr>
          <w:p w:rsidR="00E4049C" w:rsidRPr="00A67C76" w:rsidRDefault="00E4049C" w:rsidP="00581352">
            <w:pPr>
              <w:pStyle w:val="TOC1"/>
              <w:spacing w:before="120" w:after="120" w:line="240" w:lineRule="auto"/>
              <w:jc w:val="center"/>
              <w:rPr>
                <w:rFonts w:ascii="Century Gothic" w:hAnsi="Century Gothic"/>
                <w:b w:val="0"/>
              </w:rPr>
            </w:pPr>
            <w:r w:rsidRPr="00A67C76">
              <w:rPr>
                <w:rFonts w:ascii="Century Gothic" w:hAnsi="Century Gothic"/>
                <w:b w:val="0"/>
              </w:rPr>
              <w:t>1,252</w:t>
            </w:r>
          </w:p>
        </w:tc>
        <w:tc>
          <w:tcPr>
            <w:tcW w:w="1701" w:type="dxa"/>
            <w:tcBorders>
              <w:top w:val="single" w:sz="4" w:space="0" w:color="auto"/>
              <w:left w:val="nil"/>
              <w:bottom w:val="nil"/>
              <w:right w:val="nil"/>
            </w:tcBorders>
            <w:vAlign w:val="center"/>
            <w:hideMark/>
          </w:tcPr>
          <w:p w:rsidR="00E4049C" w:rsidRPr="00A67C76" w:rsidRDefault="00E4049C" w:rsidP="00581352">
            <w:pPr>
              <w:pStyle w:val="TOC1"/>
              <w:spacing w:before="120" w:after="120" w:line="240" w:lineRule="auto"/>
              <w:jc w:val="center"/>
              <w:rPr>
                <w:rFonts w:ascii="Century Gothic" w:hAnsi="Century Gothic"/>
                <w:b w:val="0"/>
              </w:rPr>
            </w:pPr>
            <w:r w:rsidRPr="00A67C76">
              <w:rPr>
                <w:rFonts w:ascii="Century Gothic" w:hAnsi="Century Gothic"/>
                <w:b w:val="0"/>
              </w:rPr>
              <w:t>89</w:t>
            </w:r>
          </w:p>
        </w:tc>
      </w:tr>
      <w:tr w:rsidR="00E4049C" w:rsidRPr="00A67C76" w:rsidTr="00581352">
        <w:tc>
          <w:tcPr>
            <w:tcW w:w="817" w:type="dxa"/>
            <w:tcBorders>
              <w:top w:val="nil"/>
              <w:left w:val="nil"/>
              <w:bottom w:val="nil"/>
              <w:right w:val="nil"/>
            </w:tcBorders>
            <w:vAlign w:val="center"/>
            <w:hideMark/>
          </w:tcPr>
          <w:p w:rsidR="00E4049C" w:rsidRPr="00A67C76" w:rsidRDefault="00FD328A" w:rsidP="00581352">
            <w:pPr>
              <w:pStyle w:val="TOC1"/>
              <w:spacing w:before="120" w:after="120" w:line="240" w:lineRule="auto"/>
              <w:rPr>
                <w:rFonts w:ascii="Century Gothic" w:hAnsi="Century Gothic"/>
                <w:b w:val="0"/>
              </w:rPr>
            </w:pPr>
            <w:r w:rsidRPr="00FD328A">
              <w:rPr>
                <w:rFonts w:ascii="Century Gothic" w:hAnsi="Century Gothic"/>
                <w:b w:val="0"/>
                <w:caps w:val="0"/>
              </w:rPr>
              <w:t>LK-6</w:t>
            </w:r>
            <w:r w:rsidR="00E4049C" w:rsidRPr="00A67C76">
              <w:rPr>
                <w:rFonts w:ascii="Century Gothic" w:hAnsi="Century Gothic"/>
                <w:b w:val="0"/>
              </w:rPr>
              <w:t>a</w:t>
            </w:r>
          </w:p>
        </w:tc>
        <w:tc>
          <w:tcPr>
            <w:tcW w:w="1134" w:type="dxa"/>
            <w:tcBorders>
              <w:top w:val="nil"/>
              <w:left w:val="nil"/>
              <w:bottom w:val="nil"/>
              <w:right w:val="nil"/>
            </w:tcBorders>
            <w:vAlign w:val="center"/>
            <w:hideMark/>
          </w:tcPr>
          <w:p w:rsidR="00E4049C" w:rsidRPr="00A67C76" w:rsidRDefault="00E4049C" w:rsidP="00581352">
            <w:pPr>
              <w:pStyle w:val="TOC1"/>
              <w:spacing w:before="120" w:after="120" w:line="240" w:lineRule="auto"/>
              <w:jc w:val="center"/>
              <w:rPr>
                <w:rFonts w:ascii="Century Gothic" w:hAnsi="Century Gothic"/>
                <w:b w:val="0"/>
              </w:rPr>
            </w:pPr>
            <w:r w:rsidRPr="00A67C76">
              <w:rPr>
                <w:rFonts w:ascii="Century Gothic" w:hAnsi="Century Gothic"/>
                <w:b w:val="0"/>
              </w:rPr>
              <w:t>40</w:t>
            </w:r>
          </w:p>
        </w:tc>
        <w:tc>
          <w:tcPr>
            <w:tcW w:w="1842" w:type="dxa"/>
            <w:tcBorders>
              <w:top w:val="nil"/>
              <w:left w:val="nil"/>
              <w:bottom w:val="nil"/>
              <w:right w:val="nil"/>
            </w:tcBorders>
            <w:vAlign w:val="center"/>
            <w:hideMark/>
          </w:tcPr>
          <w:p w:rsidR="00E4049C" w:rsidRPr="00A67C76" w:rsidRDefault="00E4049C" w:rsidP="00581352">
            <w:pPr>
              <w:pStyle w:val="TOC1"/>
              <w:spacing w:before="120" w:after="120" w:line="240" w:lineRule="auto"/>
              <w:jc w:val="center"/>
              <w:rPr>
                <w:rFonts w:ascii="Century Gothic" w:hAnsi="Century Gothic"/>
                <w:b w:val="0"/>
              </w:rPr>
            </w:pPr>
            <w:r w:rsidRPr="00A67C76">
              <w:rPr>
                <w:rFonts w:ascii="Century Gothic" w:hAnsi="Century Gothic"/>
                <w:b w:val="0"/>
              </w:rPr>
              <w:t>226,943</w:t>
            </w:r>
          </w:p>
        </w:tc>
        <w:tc>
          <w:tcPr>
            <w:tcW w:w="2836" w:type="dxa"/>
            <w:tcBorders>
              <w:top w:val="nil"/>
              <w:left w:val="nil"/>
              <w:bottom w:val="nil"/>
              <w:right w:val="nil"/>
            </w:tcBorders>
            <w:vAlign w:val="center"/>
          </w:tcPr>
          <w:p w:rsidR="00E4049C" w:rsidRPr="00A67C76" w:rsidRDefault="00E4049C" w:rsidP="00581352">
            <w:pPr>
              <w:pStyle w:val="TOC1"/>
              <w:spacing w:before="120" w:after="120" w:line="240" w:lineRule="auto"/>
              <w:jc w:val="center"/>
              <w:rPr>
                <w:rFonts w:ascii="Century Gothic" w:hAnsi="Century Gothic"/>
                <w:b w:val="0"/>
              </w:rPr>
            </w:pPr>
            <w:r w:rsidRPr="00A67C76">
              <w:rPr>
                <w:rFonts w:ascii="Century Gothic" w:hAnsi="Century Gothic"/>
                <w:b w:val="0"/>
              </w:rPr>
              <w:t>1,265</w:t>
            </w:r>
          </w:p>
        </w:tc>
        <w:tc>
          <w:tcPr>
            <w:tcW w:w="1701" w:type="dxa"/>
            <w:tcBorders>
              <w:top w:val="nil"/>
              <w:left w:val="nil"/>
              <w:bottom w:val="nil"/>
              <w:right w:val="nil"/>
            </w:tcBorders>
            <w:vAlign w:val="center"/>
            <w:hideMark/>
          </w:tcPr>
          <w:p w:rsidR="00E4049C" w:rsidRPr="00A67C76" w:rsidRDefault="00E4049C" w:rsidP="00581352">
            <w:pPr>
              <w:pStyle w:val="TOC1"/>
              <w:spacing w:before="120" w:after="120" w:line="240" w:lineRule="auto"/>
              <w:jc w:val="center"/>
              <w:rPr>
                <w:rFonts w:ascii="Century Gothic" w:hAnsi="Century Gothic"/>
                <w:b w:val="0"/>
              </w:rPr>
            </w:pPr>
            <w:r w:rsidRPr="00A67C76">
              <w:rPr>
                <w:rFonts w:ascii="Century Gothic" w:hAnsi="Century Gothic"/>
                <w:b w:val="0"/>
              </w:rPr>
              <w:t>94</w:t>
            </w:r>
          </w:p>
        </w:tc>
      </w:tr>
      <w:tr w:rsidR="00E4049C" w:rsidRPr="00A67C76" w:rsidTr="00581352">
        <w:tc>
          <w:tcPr>
            <w:tcW w:w="817" w:type="dxa"/>
            <w:tcBorders>
              <w:top w:val="nil"/>
              <w:left w:val="nil"/>
              <w:bottom w:val="single" w:sz="4" w:space="0" w:color="auto"/>
              <w:right w:val="nil"/>
            </w:tcBorders>
            <w:vAlign w:val="center"/>
            <w:hideMark/>
          </w:tcPr>
          <w:p w:rsidR="00E4049C" w:rsidRPr="00A67C76" w:rsidRDefault="00FD328A" w:rsidP="00581352">
            <w:pPr>
              <w:pStyle w:val="TOC1"/>
              <w:spacing w:before="120" w:after="120" w:line="240" w:lineRule="auto"/>
              <w:rPr>
                <w:rFonts w:ascii="Century Gothic" w:hAnsi="Century Gothic"/>
                <w:b w:val="0"/>
              </w:rPr>
            </w:pPr>
            <w:r w:rsidRPr="00FD328A">
              <w:rPr>
                <w:rFonts w:ascii="Century Gothic" w:hAnsi="Century Gothic"/>
                <w:b w:val="0"/>
                <w:caps w:val="0"/>
              </w:rPr>
              <w:t>LK-1</w:t>
            </w:r>
          </w:p>
        </w:tc>
        <w:tc>
          <w:tcPr>
            <w:tcW w:w="1134" w:type="dxa"/>
            <w:tcBorders>
              <w:top w:val="nil"/>
              <w:left w:val="nil"/>
              <w:bottom w:val="single" w:sz="4" w:space="0" w:color="auto"/>
              <w:right w:val="nil"/>
            </w:tcBorders>
            <w:vAlign w:val="center"/>
            <w:hideMark/>
          </w:tcPr>
          <w:p w:rsidR="00E4049C" w:rsidRPr="00A67C76" w:rsidRDefault="00E4049C" w:rsidP="00581352">
            <w:pPr>
              <w:pStyle w:val="TOC1"/>
              <w:spacing w:before="120" w:after="120" w:line="240" w:lineRule="auto"/>
              <w:jc w:val="center"/>
              <w:rPr>
                <w:rFonts w:ascii="Century Gothic" w:hAnsi="Century Gothic"/>
                <w:b w:val="0"/>
              </w:rPr>
            </w:pPr>
            <w:r w:rsidRPr="00A67C76">
              <w:rPr>
                <w:rFonts w:ascii="Century Gothic" w:hAnsi="Century Gothic"/>
                <w:b w:val="0"/>
              </w:rPr>
              <w:t>40</w:t>
            </w:r>
          </w:p>
        </w:tc>
        <w:tc>
          <w:tcPr>
            <w:tcW w:w="1842" w:type="dxa"/>
            <w:tcBorders>
              <w:top w:val="nil"/>
              <w:left w:val="nil"/>
              <w:bottom w:val="single" w:sz="4" w:space="0" w:color="auto"/>
              <w:right w:val="nil"/>
            </w:tcBorders>
            <w:vAlign w:val="center"/>
            <w:hideMark/>
          </w:tcPr>
          <w:p w:rsidR="00E4049C" w:rsidRPr="00A67C76" w:rsidRDefault="00E4049C" w:rsidP="00581352">
            <w:pPr>
              <w:pStyle w:val="TOC1"/>
              <w:spacing w:before="120" w:after="120" w:line="240" w:lineRule="auto"/>
              <w:jc w:val="center"/>
              <w:rPr>
                <w:rFonts w:ascii="Century Gothic" w:hAnsi="Century Gothic"/>
                <w:b w:val="0"/>
              </w:rPr>
            </w:pPr>
            <w:r w:rsidRPr="00A67C76">
              <w:rPr>
                <w:rFonts w:ascii="Century Gothic" w:hAnsi="Century Gothic"/>
                <w:b w:val="0"/>
              </w:rPr>
              <w:t>235,876</w:t>
            </w:r>
          </w:p>
        </w:tc>
        <w:tc>
          <w:tcPr>
            <w:tcW w:w="2836" w:type="dxa"/>
            <w:tcBorders>
              <w:top w:val="nil"/>
              <w:left w:val="nil"/>
              <w:bottom w:val="single" w:sz="4" w:space="0" w:color="auto"/>
              <w:right w:val="nil"/>
            </w:tcBorders>
            <w:vAlign w:val="center"/>
          </w:tcPr>
          <w:p w:rsidR="00E4049C" w:rsidRPr="00A67C76" w:rsidRDefault="00E4049C" w:rsidP="00581352">
            <w:pPr>
              <w:pStyle w:val="TOC1"/>
              <w:spacing w:before="120" w:after="120" w:line="240" w:lineRule="auto"/>
              <w:jc w:val="center"/>
              <w:rPr>
                <w:rFonts w:ascii="Century Gothic" w:hAnsi="Century Gothic"/>
                <w:b w:val="0"/>
              </w:rPr>
            </w:pPr>
            <w:r w:rsidRPr="00A67C76">
              <w:rPr>
                <w:rFonts w:ascii="Century Gothic" w:hAnsi="Century Gothic"/>
                <w:b w:val="0"/>
              </w:rPr>
              <w:t>1,213</w:t>
            </w:r>
          </w:p>
        </w:tc>
        <w:tc>
          <w:tcPr>
            <w:tcW w:w="1701" w:type="dxa"/>
            <w:tcBorders>
              <w:top w:val="nil"/>
              <w:left w:val="nil"/>
              <w:bottom w:val="single" w:sz="4" w:space="0" w:color="auto"/>
              <w:right w:val="nil"/>
            </w:tcBorders>
            <w:vAlign w:val="center"/>
            <w:hideMark/>
          </w:tcPr>
          <w:p w:rsidR="00E4049C" w:rsidRPr="00A67C76" w:rsidRDefault="00E4049C" w:rsidP="00581352">
            <w:pPr>
              <w:pStyle w:val="TOC1"/>
              <w:spacing w:before="120" w:after="120" w:line="240" w:lineRule="auto"/>
              <w:jc w:val="center"/>
              <w:rPr>
                <w:rFonts w:ascii="Century Gothic" w:hAnsi="Century Gothic"/>
                <w:b w:val="0"/>
              </w:rPr>
            </w:pPr>
            <w:r w:rsidRPr="00A67C76">
              <w:rPr>
                <w:rFonts w:ascii="Century Gothic" w:hAnsi="Century Gothic"/>
                <w:b w:val="0"/>
              </w:rPr>
              <w:t>89</w:t>
            </w:r>
          </w:p>
        </w:tc>
      </w:tr>
    </w:tbl>
    <w:p w:rsidR="00E4049C" w:rsidRPr="00A67C76" w:rsidRDefault="009C5F10" w:rsidP="00E4049C">
      <w:r w:rsidRPr="00A67C76">
        <w:t>The number of different OTUs in each taxonomic grouping was used as a measure of diversity. At the level of Phyla</w:t>
      </w:r>
      <w:r w:rsidR="006466EE" w:rsidRPr="00A67C76">
        <w:t>,</w:t>
      </w:r>
      <w:r w:rsidRPr="00A67C76">
        <w:t xml:space="preserve"> diversity was similar across sites, with the highest diversity seen in the Chlorophyta (green algae), Ciliophora (ciliates), Arthropoda (invertebrates), Rotifera (rotifers) and Bacillariophyta (diatoms). Based on the molecular analyses of water samples</w:t>
      </w:r>
      <w:r w:rsidR="00E013CD" w:rsidRPr="00A67C76">
        <w:t xml:space="preserve"> the diversity at</w:t>
      </w:r>
      <w:r w:rsidRPr="00A67C76">
        <w:t xml:space="preserve"> </w:t>
      </w:r>
      <w:r w:rsidR="00FD328A" w:rsidRPr="00FD328A">
        <w:t>LK-6</w:t>
      </w:r>
      <w:r w:rsidRPr="00A67C76">
        <w:t xml:space="preserve"> and </w:t>
      </w:r>
      <w:r w:rsidR="00FD328A" w:rsidRPr="00FD328A">
        <w:t>LK-6</w:t>
      </w:r>
      <w:r w:rsidR="009F53C2" w:rsidRPr="00A67C76">
        <w:t xml:space="preserve">A </w:t>
      </w:r>
      <w:r w:rsidRPr="00A67C76">
        <w:t>were st</w:t>
      </w:r>
      <w:r w:rsidR="001527EB" w:rsidRPr="00A67C76">
        <w:t xml:space="preserve">atistically different from </w:t>
      </w:r>
      <w:r w:rsidR="00FD328A" w:rsidRPr="00FD328A">
        <w:t>LK-1</w:t>
      </w:r>
      <w:r w:rsidRPr="00A67C76">
        <w:t xml:space="preserve"> (t = 2.8497 and 2.6307 respectively; P–value = 0.0001), but not from each other (t = 1.1176; P–value = 0.2123).</w:t>
      </w:r>
      <w:r w:rsidR="006E1BDD">
        <w:t xml:space="preserve"> </w:t>
      </w:r>
      <w:r w:rsidRPr="00A67C76">
        <w:t xml:space="preserve">Despite </w:t>
      </w:r>
      <w:r w:rsidR="00E013CD" w:rsidRPr="00A67C76">
        <w:t xml:space="preserve">general </w:t>
      </w:r>
      <w:r w:rsidRPr="00A67C76">
        <w:t>similarities in overall diversity, the microeukaryotic community composition in the water changed sequentially over successive sampling trips producing a time series with significant differences at the 1% level between all trips except 9 and 10 (</w:t>
      </w:r>
      <w:r w:rsidR="002E6077" w:rsidRPr="00A67C76">
        <w:fldChar w:fldCharType="begin"/>
      </w:r>
      <w:r w:rsidR="00566174" w:rsidRPr="00A67C76">
        <w:instrText xml:space="preserve"> REF _Ref387832666 \h </w:instrText>
      </w:r>
      <w:r w:rsidR="002E6077" w:rsidRPr="00A67C76">
        <w:fldChar w:fldCharType="separate"/>
      </w:r>
      <w:r w:rsidR="009659F2" w:rsidRPr="00A67C76">
        <w:t xml:space="preserve">Figure </w:t>
      </w:r>
      <w:r w:rsidR="009659F2">
        <w:rPr>
          <w:noProof/>
        </w:rPr>
        <w:t>16</w:t>
      </w:r>
      <w:r w:rsidR="002E6077" w:rsidRPr="00A67C76">
        <w:fldChar w:fldCharType="end"/>
      </w:r>
      <w:r w:rsidRPr="00A67C76">
        <w:t>).</w:t>
      </w:r>
      <w:r w:rsidR="00E4049C" w:rsidRPr="00A67C76">
        <w:t xml:space="preserve"> </w:t>
      </w:r>
    </w:p>
    <w:p w:rsidR="00E4049C" w:rsidRPr="00A67C76" w:rsidRDefault="00E4049C" w:rsidP="00E4049C">
      <w:r w:rsidRPr="00A67C76">
        <w:t>Changes in community composition of phytoplankton and zooplankton were assessed from direct counts</w:t>
      </w:r>
      <w:r w:rsidR="002447EE">
        <w:t>,</w:t>
      </w:r>
      <w:r w:rsidRPr="00A67C76">
        <w:t xml:space="preserve"> </w:t>
      </w:r>
      <w:r w:rsidR="00E013CD" w:rsidRPr="00A67C76">
        <w:t>as well as</w:t>
      </w:r>
      <w:r w:rsidRPr="00A67C76">
        <w:t xml:space="preserve"> from analyses of subsets of the molecular OTUs identified as taxonomically belonging to these groups. Similar serial patterns of change were seen in the zooplankton and phytoplankton data over the sampling period in both the molecular and count data.</w:t>
      </w:r>
    </w:p>
    <w:p w:rsidR="00E013CD" w:rsidRPr="00A67C76" w:rsidRDefault="00E013CD" w:rsidP="00E013CD">
      <w:r w:rsidRPr="00A67C76">
        <w:rPr>
          <w:noProof/>
          <w:lang w:eastAsia="en-AU"/>
        </w:rPr>
        <w:drawing>
          <wp:inline distT="0" distB="0" distL="0" distR="0">
            <wp:extent cx="4848225" cy="2809875"/>
            <wp:effectExtent l="1905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email"/>
                    <a:srcRect/>
                    <a:stretch>
                      <a:fillRect/>
                    </a:stretch>
                  </pic:blipFill>
                  <pic:spPr bwMode="auto">
                    <a:xfrm>
                      <a:off x="0" y="0"/>
                      <a:ext cx="4848225" cy="2809875"/>
                    </a:xfrm>
                    <a:prstGeom prst="rect">
                      <a:avLst/>
                    </a:prstGeom>
                    <a:noFill/>
                  </pic:spPr>
                </pic:pic>
              </a:graphicData>
            </a:graphic>
          </wp:inline>
        </w:drawing>
      </w:r>
      <w:bookmarkStart w:id="104" w:name="_Ref381780670"/>
    </w:p>
    <w:p w:rsidR="00E4049C" w:rsidRPr="00A67C76" w:rsidRDefault="00E4049C" w:rsidP="00F914C8">
      <w:pPr>
        <w:pStyle w:val="Captions"/>
      </w:pPr>
      <w:bookmarkStart w:id="105" w:name="_Ref387832666"/>
      <w:bookmarkStart w:id="106" w:name="_Ref387832660"/>
      <w:bookmarkStart w:id="107" w:name="_Toc387843067"/>
      <w:proofErr w:type="gramStart"/>
      <w:r w:rsidRPr="00A67C76">
        <w:t xml:space="preserve">Figure </w:t>
      </w:r>
      <w:proofErr w:type="gramEnd"/>
      <w:r w:rsidR="002E6077" w:rsidRPr="00A67C76">
        <w:fldChar w:fldCharType="begin"/>
      </w:r>
      <w:r w:rsidR="00110CB9" w:rsidRPr="00A67C76">
        <w:instrText xml:space="preserve"> SEQ Figure \* ARABIC </w:instrText>
      </w:r>
      <w:r w:rsidR="002E6077" w:rsidRPr="00A67C76">
        <w:fldChar w:fldCharType="separate"/>
      </w:r>
      <w:r w:rsidR="009659F2">
        <w:rPr>
          <w:noProof/>
        </w:rPr>
        <w:t>16</w:t>
      </w:r>
      <w:r w:rsidR="002E6077" w:rsidRPr="00A67C76">
        <w:rPr>
          <w:noProof/>
        </w:rPr>
        <w:fldChar w:fldCharType="end"/>
      </w:r>
      <w:bookmarkEnd w:id="104"/>
      <w:bookmarkEnd w:id="105"/>
      <w:proofErr w:type="gramStart"/>
      <w:r w:rsidRPr="00A67C76">
        <w:t>.</w:t>
      </w:r>
      <w:proofErr w:type="gramEnd"/>
      <w:r w:rsidRPr="00A67C76">
        <w:t xml:space="preserve"> Multivariate ordination of water samples based on presence or absence of molecular operational taxonomic units summed for the three different sites and Bray-Curtis similarities between microbiotic sample data and a trajectory of the sampling trips.</w:t>
      </w:r>
      <w:bookmarkEnd w:id="106"/>
      <w:bookmarkEnd w:id="107"/>
    </w:p>
    <w:p w:rsidR="003C5E8D" w:rsidRPr="00A67C76" w:rsidRDefault="009C5F10" w:rsidP="009C5F10">
      <w:r w:rsidRPr="00A67C76">
        <w:t>Shifts in community composition were apparent in the zooplankton molecular data and the algae count data associated with the environmental water (</w:t>
      </w:r>
      <w:r w:rsidR="002E6077" w:rsidRPr="00A67C76">
        <w:fldChar w:fldCharType="begin"/>
      </w:r>
      <w:r w:rsidR="009B160A" w:rsidRPr="00A67C76">
        <w:instrText xml:space="preserve"> REF _Ref381780687 \h </w:instrText>
      </w:r>
      <w:r w:rsidR="002E6077" w:rsidRPr="00A67C76">
        <w:fldChar w:fldCharType="separate"/>
      </w:r>
      <w:r w:rsidR="009659F2" w:rsidRPr="00A67C76">
        <w:t xml:space="preserve">Figure </w:t>
      </w:r>
      <w:r w:rsidR="009659F2">
        <w:rPr>
          <w:noProof/>
        </w:rPr>
        <w:t>17</w:t>
      </w:r>
      <w:r w:rsidR="002E6077" w:rsidRPr="00A67C76">
        <w:fldChar w:fldCharType="end"/>
      </w:r>
      <w:r w:rsidRPr="00A67C76">
        <w:t>). The zooplan</w:t>
      </w:r>
      <w:r w:rsidR="002447EE">
        <w:t>kton community changed between t</w:t>
      </w:r>
      <w:r w:rsidRPr="00A67C76">
        <w:t>rips 3 and 4, prior to the environmental water, with a further shift associated with its arrival (</w:t>
      </w:r>
      <w:r w:rsidR="002E6077" w:rsidRPr="00A67C76">
        <w:fldChar w:fldCharType="begin"/>
      </w:r>
      <w:r w:rsidR="009B160A" w:rsidRPr="00A67C76">
        <w:instrText xml:space="preserve"> REF _Ref381780687 \h </w:instrText>
      </w:r>
      <w:r w:rsidR="002E6077" w:rsidRPr="00A67C76">
        <w:fldChar w:fldCharType="separate"/>
      </w:r>
      <w:r w:rsidR="009659F2" w:rsidRPr="00A67C76">
        <w:t xml:space="preserve">Figure </w:t>
      </w:r>
      <w:r w:rsidR="009659F2">
        <w:rPr>
          <w:noProof/>
        </w:rPr>
        <w:t>17</w:t>
      </w:r>
      <w:r w:rsidR="002E6077" w:rsidRPr="00A67C76">
        <w:fldChar w:fldCharType="end"/>
      </w:r>
      <w:r w:rsidRPr="00A67C76">
        <w:t>A). Communities associated with the environmental water (trips 5 and 6) were different from those of trips 1-4 and trips 7-10. The phytoplankton counts indicated a major shift in community composition associated with the arrival of the environmental water between trips 4 and 5 (</w:t>
      </w:r>
      <w:r w:rsidR="002E6077" w:rsidRPr="00A67C76">
        <w:fldChar w:fldCharType="begin"/>
      </w:r>
      <w:r w:rsidR="009B160A" w:rsidRPr="00A67C76">
        <w:instrText xml:space="preserve"> REF _Ref381780687 \h </w:instrText>
      </w:r>
      <w:r w:rsidR="002E6077" w:rsidRPr="00A67C76">
        <w:fldChar w:fldCharType="separate"/>
      </w:r>
      <w:r w:rsidR="009659F2" w:rsidRPr="00A67C76">
        <w:t xml:space="preserve">Figure </w:t>
      </w:r>
      <w:r w:rsidR="009659F2">
        <w:rPr>
          <w:noProof/>
        </w:rPr>
        <w:t>17</w:t>
      </w:r>
      <w:r w:rsidR="002E6077" w:rsidRPr="00A67C76">
        <w:fldChar w:fldCharType="end"/>
      </w:r>
      <w:r w:rsidRPr="00A67C76">
        <w:t>B).</w:t>
      </w:r>
    </w:p>
    <w:p w:rsidR="003C5E8D" w:rsidRPr="00A67C76" w:rsidRDefault="003C5E8D">
      <w:pPr>
        <w:spacing w:before="0" w:after="200" w:line="276" w:lineRule="auto"/>
      </w:pPr>
      <w:r w:rsidRPr="00A67C76">
        <w:br w:type="page"/>
      </w:r>
    </w:p>
    <w:p w:rsidR="009C5F10" w:rsidRPr="00A67C76" w:rsidRDefault="009C5F10" w:rsidP="009C5F10"/>
    <w:p w:rsidR="00E4049C" w:rsidRPr="00A67C76" w:rsidRDefault="00E013CD" w:rsidP="00E4049C">
      <w:r w:rsidRPr="00A67C76">
        <w:rPr>
          <w:noProof/>
          <w:lang w:eastAsia="en-AU"/>
        </w:rPr>
        <w:drawing>
          <wp:inline distT="0" distB="0" distL="0" distR="0">
            <wp:extent cx="5727700" cy="1866900"/>
            <wp:effectExtent l="19050" t="0" r="635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email"/>
                    <a:srcRect/>
                    <a:stretch>
                      <a:fillRect/>
                    </a:stretch>
                  </pic:blipFill>
                  <pic:spPr bwMode="auto">
                    <a:xfrm>
                      <a:off x="0" y="0"/>
                      <a:ext cx="5727700" cy="1866900"/>
                    </a:xfrm>
                    <a:prstGeom prst="rect">
                      <a:avLst/>
                    </a:prstGeom>
                    <a:noFill/>
                  </pic:spPr>
                </pic:pic>
              </a:graphicData>
            </a:graphic>
          </wp:inline>
        </w:drawing>
      </w:r>
    </w:p>
    <w:p w:rsidR="00E4049C" w:rsidRPr="00A67C76" w:rsidRDefault="00E4049C" w:rsidP="00E4049C">
      <w:pPr>
        <w:pStyle w:val="Caption"/>
      </w:pPr>
      <w:bookmarkStart w:id="108" w:name="_Ref381780687"/>
      <w:bookmarkStart w:id="109" w:name="_Toc387843068"/>
      <w:proofErr w:type="gramStart"/>
      <w:r w:rsidRPr="00A67C76">
        <w:t xml:space="preserve">Figure </w:t>
      </w:r>
      <w:proofErr w:type="gramEnd"/>
      <w:r w:rsidR="002E6077" w:rsidRPr="00A67C76">
        <w:fldChar w:fldCharType="begin"/>
      </w:r>
      <w:r w:rsidR="00110CB9" w:rsidRPr="00A67C76">
        <w:instrText xml:space="preserve"> SEQ Figure \* ARABIC </w:instrText>
      </w:r>
      <w:r w:rsidR="002E6077" w:rsidRPr="00A67C76">
        <w:fldChar w:fldCharType="separate"/>
      </w:r>
      <w:r w:rsidR="009659F2">
        <w:rPr>
          <w:noProof/>
        </w:rPr>
        <w:t>17</w:t>
      </w:r>
      <w:r w:rsidR="002E6077" w:rsidRPr="00A67C76">
        <w:rPr>
          <w:noProof/>
        </w:rPr>
        <w:fldChar w:fldCharType="end"/>
      </w:r>
      <w:bookmarkEnd w:id="108"/>
      <w:proofErr w:type="gramStart"/>
      <w:r w:rsidRPr="00A67C76">
        <w:t>.</w:t>
      </w:r>
      <w:proofErr w:type="gramEnd"/>
      <w:r w:rsidRPr="00A67C76">
        <w:t xml:space="preserve"> Multivariate ordination of zooplankton and algal samples by nMDS based on Bray-Curtis similarities between A) zooplankton samples (presence or absence of molecular operational taxonomic units), B) algal count samples (square root transformed species counts), </w:t>
      </w:r>
      <w:proofErr w:type="gramStart"/>
      <w:r w:rsidRPr="00A67C76">
        <w:t>Sampling</w:t>
      </w:r>
      <w:proofErr w:type="gramEnd"/>
      <w:r w:rsidRPr="00A67C76">
        <w:t xml:space="preserve"> trips 1-10 are marked.</w:t>
      </w:r>
      <w:bookmarkEnd w:id="109"/>
    </w:p>
    <w:p w:rsidR="009C5F10" w:rsidRPr="00A67C76" w:rsidRDefault="009C5F10" w:rsidP="003C5E8D">
      <w:r w:rsidRPr="00A67C76">
        <w:t>Molecular taxa (OTUs) that could be identified to genus, and the algae and zooplankton count data were assessed against these changing biotic</w:t>
      </w:r>
      <w:r w:rsidR="00E013CD" w:rsidRPr="00A67C76">
        <w:t xml:space="preserve"> diveristy</w:t>
      </w:r>
      <w:r w:rsidRPr="00A67C76">
        <w:t xml:space="preserve"> patterns. Taxa with a Spearman correlation ≥ 0.5 were considered to be associated with changes in community composition. These analyses identified a range of genera important before, during and after the environmental flow period. For example, different genera of green algae were important before (</w:t>
      </w:r>
      <w:r w:rsidRPr="00A67C76">
        <w:rPr>
          <w:i/>
        </w:rPr>
        <w:t xml:space="preserve">Pyramimonas, Chlorhormidium, Crucigenia, Actinastrum, Tetracystis, </w:t>
      </w:r>
      <w:proofErr w:type="gramStart"/>
      <w:r w:rsidRPr="00A67C76">
        <w:rPr>
          <w:i/>
        </w:rPr>
        <w:t>Planctonema</w:t>
      </w:r>
      <w:proofErr w:type="gramEnd"/>
      <w:r w:rsidRPr="00A67C76">
        <w:t>) and after the environmental flow (</w:t>
      </w:r>
      <w:r w:rsidRPr="00A67C76">
        <w:rPr>
          <w:i/>
        </w:rPr>
        <w:t>Polytoma, Golenkinia, Choricystis, Botryococcus, Parachlorella</w:t>
      </w:r>
      <w:r w:rsidRPr="00A67C76">
        <w:t>). Similarly changes were observed in diatoms and fungi. A cladoceran (</w:t>
      </w:r>
      <w:r w:rsidRPr="00A67C76">
        <w:rPr>
          <w:i/>
        </w:rPr>
        <w:t xml:space="preserve">Bosmina), </w:t>
      </w:r>
      <w:r w:rsidRPr="00A67C76">
        <w:t>amoeba</w:t>
      </w:r>
      <w:r w:rsidRPr="00A67C76">
        <w:rPr>
          <w:i/>
        </w:rPr>
        <w:t xml:space="preserve"> (Difflugia grameni), </w:t>
      </w:r>
      <w:r w:rsidRPr="00A67C76">
        <w:t>ciliate</w:t>
      </w:r>
      <w:r w:rsidRPr="00A67C76">
        <w:rPr>
          <w:i/>
        </w:rPr>
        <w:t xml:space="preserve"> (Stenosemella lacustris)</w:t>
      </w:r>
      <w:r w:rsidRPr="00A67C76">
        <w:t xml:space="preserve"> and mollusc (</w:t>
      </w:r>
      <w:r w:rsidRPr="00A67C76">
        <w:rPr>
          <w:i/>
        </w:rPr>
        <w:t>Elliptio)</w:t>
      </w:r>
      <w:r w:rsidRPr="00A67C76">
        <w:t xml:space="preserve"> were associated with the period before the environmental flows, while rotifers (</w:t>
      </w:r>
      <w:r w:rsidRPr="00A67C76">
        <w:rPr>
          <w:i/>
        </w:rPr>
        <w:t>Collotheca, Proales</w:t>
      </w:r>
      <w:r w:rsidRPr="00A67C76">
        <w:t>), ciliates (</w:t>
      </w:r>
      <w:r w:rsidRPr="00A67C76">
        <w:rPr>
          <w:i/>
        </w:rPr>
        <w:t>Cyclidium, Dileptus</w:t>
      </w:r>
      <w:r w:rsidRPr="00A67C76">
        <w:t>), heliozoans</w:t>
      </w:r>
      <w:r w:rsidR="005A606B" w:rsidRPr="00A67C76">
        <w:t xml:space="preserve"> </w:t>
      </w:r>
      <w:r w:rsidRPr="00A67C76">
        <w:t>(</w:t>
      </w:r>
      <w:r w:rsidRPr="00A67C76">
        <w:rPr>
          <w:i/>
        </w:rPr>
        <w:t>Sphearastrum, Choanocystis</w:t>
      </w:r>
      <w:r w:rsidRPr="00A67C76">
        <w:t>), a protozoan (</w:t>
      </w:r>
      <w:r w:rsidRPr="00A67C76">
        <w:rPr>
          <w:i/>
        </w:rPr>
        <w:t>Cyrtoiophosis</w:t>
      </w:r>
      <w:r w:rsidRPr="00A67C76">
        <w:t>), a streptophyte (</w:t>
      </w:r>
      <w:r w:rsidRPr="00A67C76">
        <w:rPr>
          <w:i/>
        </w:rPr>
        <w:t>Mesostigma</w:t>
      </w:r>
      <w:r w:rsidRPr="00A67C76">
        <w:t>) and a cercozoan (</w:t>
      </w:r>
      <w:r w:rsidRPr="00A67C76">
        <w:rPr>
          <w:i/>
        </w:rPr>
        <w:t>Thecofilosea</w:t>
      </w:r>
      <w:r w:rsidRPr="00A67C76">
        <w:t>) were associated with trips during and following the environmental flow. Cyanobacteria (</w:t>
      </w:r>
      <w:r w:rsidRPr="00A67C76">
        <w:rPr>
          <w:i/>
        </w:rPr>
        <w:t xml:space="preserve">Aphanocaspa, Cuspidothrix, </w:t>
      </w:r>
      <w:proofErr w:type="gramStart"/>
      <w:r w:rsidRPr="00A67C76">
        <w:rPr>
          <w:i/>
        </w:rPr>
        <w:t>Anabaenopsis</w:t>
      </w:r>
      <w:proofErr w:type="gramEnd"/>
      <w:r w:rsidRPr="00A67C76">
        <w:t>) and a dinoflagellate (</w:t>
      </w:r>
      <w:r w:rsidRPr="00A67C76">
        <w:rPr>
          <w:i/>
        </w:rPr>
        <w:t>Peridiniopsis</w:t>
      </w:r>
      <w:r w:rsidRPr="00A67C76">
        <w:t xml:space="preserve">) were also correlated with the post environmental flow trips. The diatoms </w:t>
      </w:r>
      <w:r w:rsidRPr="00A67C76">
        <w:rPr>
          <w:i/>
        </w:rPr>
        <w:t>Actinocyclus</w:t>
      </w:r>
      <w:r w:rsidRPr="00A67C76">
        <w:t xml:space="preserve"> and </w:t>
      </w:r>
      <w:r w:rsidRPr="00A67C76">
        <w:rPr>
          <w:i/>
        </w:rPr>
        <w:t>Cyclotella</w:t>
      </w:r>
      <w:r w:rsidRPr="00A67C76">
        <w:t xml:space="preserve"> were associated with the environmental water as were 25 other operational taxonomic units.</w:t>
      </w:r>
    </w:p>
    <w:p w:rsidR="003C5E8D" w:rsidRPr="00A67C76" w:rsidRDefault="009C5F10" w:rsidP="003C5E8D">
      <w:r w:rsidRPr="00A67C76">
        <w:t xml:space="preserve">Larval fish gut content: Larvae of golden perch, silver perch, </w:t>
      </w:r>
      <w:r w:rsidR="00C71DB1">
        <w:t xml:space="preserve">freshwater </w:t>
      </w:r>
      <w:r w:rsidRPr="00A67C76">
        <w:t>catfish and Murray cod were collected, but only golden perch and silver perch had samples extending through the period of the environmental flow (</w:t>
      </w:r>
      <w:r w:rsidR="002E6077">
        <w:fldChar w:fldCharType="begin"/>
      </w:r>
      <w:r w:rsidR="00BA6389">
        <w:instrText xml:space="preserve"> REF _Ref403376060 \h </w:instrText>
      </w:r>
      <w:r w:rsidR="002E6077">
        <w:fldChar w:fldCharType="separate"/>
      </w:r>
      <w:r w:rsidR="009659F2" w:rsidRPr="00A67C76">
        <w:t xml:space="preserve">Table </w:t>
      </w:r>
      <w:r w:rsidR="009659F2">
        <w:rPr>
          <w:noProof/>
        </w:rPr>
        <w:t>8</w:t>
      </w:r>
      <w:r w:rsidR="002E6077">
        <w:fldChar w:fldCharType="end"/>
      </w:r>
      <w:r w:rsidRPr="00A67C76">
        <w:t xml:space="preserve">). Larvae of </w:t>
      </w:r>
      <w:r w:rsidR="00C71DB1">
        <w:t xml:space="preserve">freshwater </w:t>
      </w:r>
      <w:r w:rsidRPr="00A67C76">
        <w:t xml:space="preserve">catfish and Murray cod were </w:t>
      </w:r>
      <w:r w:rsidR="00FB5CB0" w:rsidRPr="00A67C76">
        <w:t xml:space="preserve">only </w:t>
      </w:r>
      <w:r w:rsidRPr="00A67C76">
        <w:t xml:space="preserve">collected </w:t>
      </w:r>
      <w:r w:rsidR="00FB5CB0" w:rsidRPr="00A67C76">
        <w:t xml:space="preserve">during or </w:t>
      </w:r>
      <w:r w:rsidRPr="00A67C76">
        <w:t xml:space="preserve">prior to the environmental watering respectively, so that changes in </w:t>
      </w:r>
      <w:r w:rsidR="003F2446" w:rsidRPr="00A67C76">
        <w:t xml:space="preserve">gut content </w:t>
      </w:r>
      <w:r w:rsidRPr="00A67C76">
        <w:t xml:space="preserve">could not be assessed. The </w:t>
      </w:r>
      <w:r w:rsidR="00C71DB1">
        <w:t xml:space="preserve">freshwater </w:t>
      </w:r>
      <w:r w:rsidRPr="00A67C76">
        <w:t>catfish and Murray cod larvae were large at between 10 to 15 mm while silver perch were small, &lt;7 mm. Golden perch larvae were found in two size classes representing pre-flexion (&lt;7 mm) and flexion stages (&gt;10 mm). Numbers of larval fish with detectable gut content varied between species ranging from a total of 48 for golden perch and 6 for Murray cod, but all were in low numbers on each sampling occasion.</w:t>
      </w:r>
      <w:bookmarkStart w:id="110" w:name="_Ref381780634"/>
    </w:p>
    <w:p w:rsidR="00E4049C" w:rsidRPr="00A67C76" w:rsidRDefault="00E4049C" w:rsidP="00F914C8">
      <w:pPr>
        <w:pStyle w:val="Captions"/>
      </w:pPr>
      <w:bookmarkStart w:id="111" w:name="_Ref403376060"/>
      <w:bookmarkStart w:id="112" w:name="_Toc387929710"/>
      <w:proofErr w:type="gramStart"/>
      <w:r w:rsidRPr="00A67C76">
        <w:t xml:space="preserve">Table </w:t>
      </w:r>
      <w:proofErr w:type="gramEnd"/>
      <w:r w:rsidR="002E6077" w:rsidRPr="00A67C76">
        <w:fldChar w:fldCharType="begin"/>
      </w:r>
      <w:r w:rsidR="00110CB9" w:rsidRPr="00A67C76">
        <w:instrText xml:space="preserve"> SEQ Table \* ARABIC </w:instrText>
      </w:r>
      <w:r w:rsidR="002E6077" w:rsidRPr="00A67C76">
        <w:fldChar w:fldCharType="separate"/>
      </w:r>
      <w:r w:rsidR="009659F2">
        <w:rPr>
          <w:noProof/>
        </w:rPr>
        <w:t>8</w:t>
      </w:r>
      <w:r w:rsidR="002E6077" w:rsidRPr="00A67C76">
        <w:rPr>
          <w:noProof/>
        </w:rPr>
        <w:fldChar w:fldCharType="end"/>
      </w:r>
      <w:bookmarkEnd w:id="110"/>
      <w:bookmarkEnd w:id="111"/>
      <w:proofErr w:type="gramStart"/>
      <w:r w:rsidRPr="00A67C76">
        <w:t>.</w:t>
      </w:r>
      <w:proofErr w:type="gramEnd"/>
      <w:r w:rsidRPr="00A67C76">
        <w:t xml:space="preserve"> </w:t>
      </w:r>
      <w:proofErr w:type="gramStart"/>
      <w:r w:rsidRPr="00A67C76">
        <w:t>Larval fish with diet detected by pyrosequencing.</w:t>
      </w:r>
      <w:proofErr w:type="gramEnd"/>
      <w:r w:rsidRPr="00A67C76">
        <w:t xml:space="preserve"> Number of OTUs is included as a measure of taxonomic diversity</w:t>
      </w:r>
      <w:bookmarkEnd w:id="1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6"/>
        <w:gridCol w:w="1271"/>
        <w:gridCol w:w="1000"/>
        <w:gridCol w:w="931"/>
        <w:gridCol w:w="1417"/>
        <w:gridCol w:w="1067"/>
        <w:gridCol w:w="1037"/>
      </w:tblGrid>
      <w:tr w:rsidR="00E4049C" w:rsidRPr="00A67C76" w:rsidTr="00B30B92">
        <w:tc>
          <w:tcPr>
            <w:tcW w:w="1726" w:type="dxa"/>
            <w:tcBorders>
              <w:top w:val="single" w:sz="4" w:space="0" w:color="auto"/>
              <w:bottom w:val="single" w:sz="4" w:space="0" w:color="auto"/>
            </w:tcBorders>
          </w:tcPr>
          <w:p w:rsidR="00E4049C" w:rsidRPr="00A67C76" w:rsidRDefault="00E4049C" w:rsidP="00792535">
            <w:pPr>
              <w:contextualSpacing/>
              <w:rPr>
                <w:b/>
                <w:bCs/>
                <w:noProof/>
                <w:sz w:val="20"/>
              </w:rPr>
            </w:pPr>
            <w:r w:rsidRPr="00A67C76">
              <w:rPr>
                <w:b/>
                <w:bCs/>
                <w:noProof/>
                <w:sz w:val="20"/>
              </w:rPr>
              <w:t>Species</w:t>
            </w:r>
          </w:p>
        </w:tc>
        <w:tc>
          <w:tcPr>
            <w:tcW w:w="1271" w:type="dxa"/>
            <w:tcBorders>
              <w:top w:val="single" w:sz="4" w:space="0" w:color="auto"/>
              <w:bottom w:val="single" w:sz="4" w:space="0" w:color="auto"/>
            </w:tcBorders>
          </w:tcPr>
          <w:p w:rsidR="00E4049C" w:rsidRPr="00A67C76" w:rsidRDefault="00E4049C" w:rsidP="00792535">
            <w:pPr>
              <w:contextualSpacing/>
              <w:rPr>
                <w:b/>
                <w:bCs/>
                <w:noProof/>
                <w:sz w:val="20"/>
              </w:rPr>
            </w:pPr>
            <w:r w:rsidRPr="00A67C76">
              <w:rPr>
                <w:b/>
                <w:bCs/>
                <w:noProof/>
                <w:sz w:val="20"/>
              </w:rPr>
              <w:t>Common name</w:t>
            </w:r>
          </w:p>
        </w:tc>
        <w:tc>
          <w:tcPr>
            <w:tcW w:w="1000" w:type="dxa"/>
            <w:tcBorders>
              <w:top w:val="single" w:sz="4" w:space="0" w:color="auto"/>
              <w:bottom w:val="single" w:sz="4" w:space="0" w:color="auto"/>
            </w:tcBorders>
          </w:tcPr>
          <w:p w:rsidR="00E4049C" w:rsidRPr="00A67C76" w:rsidRDefault="00B30B92" w:rsidP="00B30B92">
            <w:pPr>
              <w:contextualSpacing/>
              <w:rPr>
                <w:b/>
                <w:bCs/>
                <w:noProof/>
                <w:sz w:val="20"/>
              </w:rPr>
            </w:pPr>
            <w:r w:rsidRPr="00A67C76">
              <w:rPr>
                <w:b/>
                <w:bCs/>
                <w:noProof/>
                <w:sz w:val="20"/>
              </w:rPr>
              <w:t>No.</w:t>
            </w:r>
            <w:r w:rsidR="00E4049C" w:rsidRPr="00A67C76">
              <w:rPr>
                <w:b/>
                <w:bCs/>
                <w:noProof/>
                <w:sz w:val="20"/>
              </w:rPr>
              <w:t xml:space="preserve"> of larvae</w:t>
            </w:r>
          </w:p>
        </w:tc>
        <w:tc>
          <w:tcPr>
            <w:tcW w:w="931" w:type="dxa"/>
            <w:tcBorders>
              <w:top w:val="single" w:sz="4" w:space="0" w:color="auto"/>
              <w:bottom w:val="single" w:sz="4" w:space="0" w:color="auto"/>
            </w:tcBorders>
          </w:tcPr>
          <w:p w:rsidR="00E4049C" w:rsidRPr="00A67C76" w:rsidRDefault="00E4049C" w:rsidP="00792535">
            <w:pPr>
              <w:contextualSpacing/>
              <w:rPr>
                <w:b/>
                <w:bCs/>
                <w:noProof/>
                <w:sz w:val="20"/>
              </w:rPr>
            </w:pPr>
            <w:r w:rsidRPr="00A67C76">
              <w:rPr>
                <w:b/>
                <w:bCs/>
                <w:noProof/>
                <w:sz w:val="20"/>
              </w:rPr>
              <w:t>Sites</w:t>
            </w:r>
          </w:p>
        </w:tc>
        <w:tc>
          <w:tcPr>
            <w:tcW w:w="1417" w:type="dxa"/>
            <w:tcBorders>
              <w:top w:val="single" w:sz="4" w:space="0" w:color="auto"/>
              <w:bottom w:val="single" w:sz="4" w:space="0" w:color="auto"/>
            </w:tcBorders>
          </w:tcPr>
          <w:p w:rsidR="00E4049C" w:rsidRPr="00A67C76" w:rsidRDefault="00E4049C" w:rsidP="00792535">
            <w:pPr>
              <w:contextualSpacing/>
              <w:rPr>
                <w:b/>
                <w:bCs/>
                <w:noProof/>
                <w:sz w:val="20"/>
              </w:rPr>
            </w:pPr>
            <w:r w:rsidRPr="00A67C76">
              <w:rPr>
                <w:b/>
                <w:bCs/>
                <w:noProof/>
                <w:sz w:val="20"/>
              </w:rPr>
              <w:t>Trips</w:t>
            </w:r>
          </w:p>
        </w:tc>
        <w:tc>
          <w:tcPr>
            <w:tcW w:w="1067" w:type="dxa"/>
            <w:tcBorders>
              <w:top w:val="single" w:sz="4" w:space="0" w:color="auto"/>
              <w:bottom w:val="single" w:sz="4" w:space="0" w:color="auto"/>
            </w:tcBorders>
          </w:tcPr>
          <w:p w:rsidR="00E4049C" w:rsidRPr="00A67C76" w:rsidRDefault="00E4049C" w:rsidP="00B30B92">
            <w:pPr>
              <w:contextualSpacing/>
              <w:rPr>
                <w:b/>
                <w:bCs/>
                <w:noProof/>
                <w:sz w:val="20"/>
              </w:rPr>
            </w:pPr>
            <w:r w:rsidRPr="00A67C76">
              <w:rPr>
                <w:b/>
                <w:bCs/>
                <w:noProof/>
                <w:sz w:val="20"/>
              </w:rPr>
              <w:t>N</w:t>
            </w:r>
            <w:r w:rsidR="00B30B92" w:rsidRPr="00A67C76">
              <w:rPr>
                <w:b/>
                <w:bCs/>
                <w:noProof/>
                <w:sz w:val="20"/>
              </w:rPr>
              <w:t xml:space="preserve">o. </w:t>
            </w:r>
            <w:r w:rsidRPr="00A67C76">
              <w:rPr>
                <w:b/>
                <w:bCs/>
                <w:noProof/>
                <w:sz w:val="20"/>
              </w:rPr>
              <w:t>of OTUs</w:t>
            </w:r>
          </w:p>
        </w:tc>
        <w:tc>
          <w:tcPr>
            <w:tcW w:w="1037" w:type="dxa"/>
            <w:tcBorders>
              <w:top w:val="single" w:sz="4" w:space="0" w:color="auto"/>
              <w:bottom w:val="single" w:sz="4" w:space="0" w:color="auto"/>
            </w:tcBorders>
          </w:tcPr>
          <w:p w:rsidR="00E4049C" w:rsidRPr="00A67C76" w:rsidRDefault="00E4049C" w:rsidP="00792535">
            <w:pPr>
              <w:contextualSpacing/>
              <w:rPr>
                <w:b/>
                <w:bCs/>
                <w:noProof/>
                <w:sz w:val="20"/>
              </w:rPr>
            </w:pPr>
            <w:r w:rsidRPr="00A67C76">
              <w:rPr>
                <w:b/>
                <w:bCs/>
                <w:noProof/>
                <w:sz w:val="20"/>
              </w:rPr>
              <w:t>Genera</w:t>
            </w:r>
          </w:p>
        </w:tc>
      </w:tr>
      <w:tr w:rsidR="00E4049C" w:rsidRPr="00A67C76" w:rsidTr="00B30B92">
        <w:tc>
          <w:tcPr>
            <w:tcW w:w="1726" w:type="dxa"/>
            <w:tcBorders>
              <w:top w:val="single" w:sz="4" w:space="0" w:color="auto"/>
            </w:tcBorders>
          </w:tcPr>
          <w:p w:rsidR="00E4049C" w:rsidRPr="00A67C76" w:rsidRDefault="00E4049C" w:rsidP="00792535">
            <w:pPr>
              <w:contextualSpacing/>
              <w:rPr>
                <w:bCs/>
                <w:i/>
                <w:noProof/>
                <w:sz w:val="20"/>
              </w:rPr>
            </w:pPr>
            <w:r w:rsidRPr="00A67C76">
              <w:rPr>
                <w:bCs/>
                <w:i/>
                <w:noProof/>
                <w:sz w:val="20"/>
              </w:rPr>
              <w:t>Macquaria ambigua</w:t>
            </w:r>
          </w:p>
        </w:tc>
        <w:tc>
          <w:tcPr>
            <w:tcW w:w="1271" w:type="dxa"/>
            <w:tcBorders>
              <w:top w:val="single" w:sz="4" w:space="0" w:color="auto"/>
            </w:tcBorders>
          </w:tcPr>
          <w:p w:rsidR="00E4049C" w:rsidRPr="00A67C76" w:rsidRDefault="00E4049C" w:rsidP="00792535">
            <w:pPr>
              <w:contextualSpacing/>
              <w:rPr>
                <w:bCs/>
                <w:noProof/>
                <w:sz w:val="20"/>
              </w:rPr>
            </w:pPr>
            <w:r w:rsidRPr="00A67C76">
              <w:rPr>
                <w:bCs/>
                <w:noProof/>
                <w:sz w:val="20"/>
              </w:rPr>
              <w:t>Golden Perch</w:t>
            </w:r>
          </w:p>
        </w:tc>
        <w:tc>
          <w:tcPr>
            <w:tcW w:w="1000" w:type="dxa"/>
            <w:tcBorders>
              <w:top w:val="single" w:sz="4" w:space="0" w:color="auto"/>
            </w:tcBorders>
          </w:tcPr>
          <w:p w:rsidR="00E4049C" w:rsidRPr="00A67C76" w:rsidRDefault="00E4049C" w:rsidP="00792535">
            <w:pPr>
              <w:contextualSpacing/>
              <w:rPr>
                <w:bCs/>
                <w:noProof/>
                <w:sz w:val="20"/>
              </w:rPr>
            </w:pPr>
            <w:r w:rsidRPr="00A67C76">
              <w:rPr>
                <w:bCs/>
                <w:noProof/>
                <w:sz w:val="20"/>
              </w:rPr>
              <w:t>48</w:t>
            </w:r>
          </w:p>
        </w:tc>
        <w:tc>
          <w:tcPr>
            <w:tcW w:w="931" w:type="dxa"/>
            <w:tcBorders>
              <w:top w:val="single" w:sz="4" w:space="0" w:color="auto"/>
            </w:tcBorders>
          </w:tcPr>
          <w:p w:rsidR="00E4049C" w:rsidRPr="00A67C76" w:rsidRDefault="001527EB" w:rsidP="00792535">
            <w:pPr>
              <w:contextualSpacing/>
              <w:rPr>
                <w:bCs/>
                <w:noProof/>
                <w:sz w:val="20"/>
              </w:rPr>
            </w:pPr>
            <w:r w:rsidRPr="00A67C76">
              <w:rPr>
                <w:bCs/>
                <w:noProof/>
                <w:sz w:val="20"/>
              </w:rPr>
              <w:t>LK</w:t>
            </w:r>
            <w:r w:rsidR="00E4049C" w:rsidRPr="00A67C76">
              <w:rPr>
                <w:bCs/>
                <w:noProof/>
                <w:sz w:val="20"/>
              </w:rPr>
              <w:t xml:space="preserve"> 6, 6a, 1</w:t>
            </w:r>
          </w:p>
        </w:tc>
        <w:tc>
          <w:tcPr>
            <w:tcW w:w="1417" w:type="dxa"/>
            <w:tcBorders>
              <w:top w:val="single" w:sz="4" w:space="0" w:color="auto"/>
            </w:tcBorders>
          </w:tcPr>
          <w:p w:rsidR="00E4049C" w:rsidRPr="00A67C76" w:rsidRDefault="00E4049C" w:rsidP="00792535">
            <w:pPr>
              <w:contextualSpacing/>
              <w:rPr>
                <w:bCs/>
                <w:noProof/>
                <w:sz w:val="20"/>
              </w:rPr>
            </w:pPr>
            <w:r w:rsidRPr="00A67C76">
              <w:rPr>
                <w:bCs/>
                <w:noProof/>
                <w:sz w:val="20"/>
              </w:rPr>
              <w:t>2, 3, 4, 5, 6, 7, 8</w:t>
            </w:r>
          </w:p>
        </w:tc>
        <w:tc>
          <w:tcPr>
            <w:tcW w:w="1067" w:type="dxa"/>
            <w:tcBorders>
              <w:top w:val="single" w:sz="4" w:space="0" w:color="auto"/>
            </w:tcBorders>
          </w:tcPr>
          <w:p w:rsidR="00E4049C" w:rsidRPr="00A67C76" w:rsidRDefault="00E4049C" w:rsidP="00792535">
            <w:pPr>
              <w:contextualSpacing/>
              <w:rPr>
                <w:bCs/>
                <w:noProof/>
                <w:sz w:val="20"/>
              </w:rPr>
            </w:pPr>
            <w:r w:rsidRPr="00A67C76">
              <w:rPr>
                <w:bCs/>
                <w:noProof/>
                <w:sz w:val="20"/>
              </w:rPr>
              <w:t>285</w:t>
            </w:r>
          </w:p>
        </w:tc>
        <w:tc>
          <w:tcPr>
            <w:tcW w:w="1037" w:type="dxa"/>
            <w:tcBorders>
              <w:top w:val="single" w:sz="4" w:space="0" w:color="auto"/>
            </w:tcBorders>
          </w:tcPr>
          <w:p w:rsidR="00E4049C" w:rsidRPr="00A67C76" w:rsidRDefault="00E4049C" w:rsidP="00792535">
            <w:pPr>
              <w:contextualSpacing/>
              <w:rPr>
                <w:bCs/>
                <w:noProof/>
                <w:sz w:val="20"/>
              </w:rPr>
            </w:pPr>
            <w:r w:rsidRPr="00A67C76">
              <w:rPr>
                <w:bCs/>
                <w:noProof/>
                <w:sz w:val="20"/>
              </w:rPr>
              <w:t>37</w:t>
            </w:r>
          </w:p>
        </w:tc>
      </w:tr>
      <w:tr w:rsidR="00E4049C" w:rsidRPr="00A67C76" w:rsidTr="00B30B92">
        <w:tc>
          <w:tcPr>
            <w:tcW w:w="1726" w:type="dxa"/>
          </w:tcPr>
          <w:p w:rsidR="00E4049C" w:rsidRPr="00A67C76" w:rsidRDefault="00E4049C" w:rsidP="00792535">
            <w:pPr>
              <w:contextualSpacing/>
              <w:rPr>
                <w:bCs/>
                <w:i/>
                <w:noProof/>
                <w:sz w:val="20"/>
              </w:rPr>
            </w:pPr>
            <w:r w:rsidRPr="00A67C76">
              <w:rPr>
                <w:bCs/>
                <w:i/>
                <w:noProof/>
                <w:sz w:val="20"/>
              </w:rPr>
              <w:t>Bidyanus bidyanus</w:t>
            </w:r>
          </w:p>
        </w:tc>
        <w:tc>
          <w:tcPr>
            <w:tcW w:w="1271" w:type="dxa"/>
          </w:tcPr>
          <w:p w:rsidR="00E4049C" w:rsidRPr="00A67C76" w:rsidRDefault="00E4049C" w:rsidP="00792535">
            <w:pPr>
              <w:contextualSpacing/>
              <w:rPr>
                <w:bCs/>
                <w:noProof/>
                <w:sz w:val="20"/>
              </w:rPr>
            </w:pPr>
            <w:r w:rsidRPr="00A67C76">
              <w:rPr>
                <w:bCs/>
                <w:noProof/>
                <w:sz w:val="20"/>
              </w:rPr>
              <w:t>Silver Perch</w:t>
            </w:r>
          </w:p>
        </w:tc>
        <w:tc>
          <w:tcPr>
            <w:tcW w:w="1000" w:type="dxa"/>
          </w:tcPr>
          <w:p w:rsidR="00E4049C" w:rsidRPr="00A67C76" w:rsidRDefault="00E4049C" w:rsidP="00792535">
            <w:pPr>
              <w:contextualSpacing/>
              <w:rPr>
                <w:bCs/>
                <w:noProof/>
                <w:sz w:val="20"/>
              </w:rPr>
            </w:pPr>
            <w:r w:rsidRPr="00A67C76">
              <w:rPr>
                <w:bCs/>
                <w:noProof/>
                <w:sz w:val="20"/>
              </w:rPr>
              <w:t>19</w:t>
            </w:r>
          </w:p>
        </w:tc>
        <w:tc>
          <w:tcPr>
            <w:tcW w:w="931" w:type="dxa"/>
          </w:tcPr>
          <w:p w:rsidR="00E4049C" w:rsidRPr="00A67C76" w:rsidRDefault="001527EB" w:rsidP="00792535">
            <w:pPr>
              <w:contextualSpacing/>
              <w:rPr>
                <w:bCs/>
                <w:noProof/>
                <w:sz w:val="20"/>
              </w:rPr>
            </w:pPr>
            <w:r w:rsidRPr="00A67C76">
              <w:rPr>
                <w:bCs/>
                <w:noProof/>
                <w:sz w:val="20"/>
              </w:rPr>
              <w:t>LK</w:t>
            </w:r>
            <w:r w:rsidR="00E4049C" w:rsidRPr="00A67C76">
              <w:rPr>
                <w:bCs/>
                <w:noProof/>
                <w:sz w:val="20"/>
              </w:rPr>
              <w:t xml:space="preserve"> 6, 6a, 1</w:t>
            </w:r>
          </w:p>
        </w:tc>
        <w:tc>
          <w:tcPr>
            <w:tcW w:w="1417" w:type="dxa"/>
          </w:tcPr>
          <w:p w:rsidR="00E4049C" w:rsidRPr="00A67C76" w:rsidRDefault="00E4049C" w:rsidP="00792535">
            <w:pPr>
              <w:contextualSpacing/>
              <w:rPr>
                <w:bCs/>
                <w:noProof/>
                <w:sz w:val="20"/>
              </w:rPr>
            </w:pPr>
            <w:r w:rsidRPr="00A67C76">
              <w:rPr>
                <w:bCs/>
                <w:noProof/>
                <w:sz w:val="20"/>
              </w:rPr>
              <w:t>1, 2, 3,5 ,6 ,7</w:t>
            </w:r>
          </w:p>
        </w:tc>
        <w:tc>
          <w:tcPr>
            <w:tcW w:w="1067" w:type="dxa"/>
          </w:tcPr>
          <w:p w:rsidR="00E4049C" w:rsidRPr="00A67C76" w:rsidRDefault="00E4049C" w:rsidP="00792535">
            <w:pPr>
              <w:contextualSpacing/>
              <w:rPr>
                <w:bCs/>
                <w:noProof/>
                <w:sz w:val="20"/>
              </w:rPr>
            </w:pPr>
            <w:r w:rsidRPr="00A67C76">
              <w:rPr>
                <w:bCs/>
                <w:noProof/>
                <w:sz w:val="20"/>
              </w:rPr>
              <w:t>178</w:t>
            </w:r>
          </w:p>
        </w:tc>
        <w:tc>
          <w:tcPr>
            <w:tcW w:w="1037" w:type="dxa"/>
          </w:tcPr>
          <w:p w:rsidR="00E4049C" w:rsidRPr="00A67C76" w:rsidRDefault="00E4049C" w:rsidP="00792535">
            <w:pPr>
              <w:contextualSpacing/>
              <w:rPr>
                <w:bCs/>
                <w:noProof/>
                <w:sz w:val="20"/>
              </w:rPr>
            </w:pPr>
            <w:r w:rsidRPr="00A67C76">
              <w:rPr>
                <w:bCs/>
                <w:noProof/>
                <w:sz w:val="20"/>
              </w:rPr>
              <w:t>25</w:t>
            </w:r>
          </w:p>
        </w:tc>
      </w:tr>
      <w:tr w:rsidR="00E4049C" w:rsidRPr="00A67C76" w:rsidTr="00B30B92">
        <w:tc>
          <w:tcPr>
            <w:tcW w:w="1726" w:type="dxa"/>
          </w:tcPr>
          <w:p w:rsidR="00E4049C" w:rsidRPr="00A67C76" w:rsidRDefault="00E4049C" w:rsidP="00792535">
            <w:pPr>
              <w:contextualSpacing/>
              <w:rPr>
                <w:bCs/>
                <w:i/>
                <w:noProof/>
                <w:sz w:val="20"/>
              </w:rPr>
            </w:pPr>
            <w:r w:rsidRPr="00A67C76">
              <w:rPr>
                <w:bCs/>
                <w:i/>
                <w:noProof/>
                <w:sz w:val="20"/>
              </w:rPr>
              <w:t>Tandanus tandanus</w:t>
            </w:r>
          </w:p>
        </w:tc>
        <w:tc>
          <w:tcPr>
            <w:tcW w:w="1271" w:type="dxa"/>
          </w:tcPr>
          <w:p w:rsidR="00E4049C" w:rsidRPr="00A67C76" w:rsidRDefault="00E4049C" w:rsidP="00792535">
            <w:pPr>
              <w:contextualSpacing/>
              <w:rPr>
                <w:bCs/>
                <w:noProof/>
                <w:sz w:val="20"/>
              </w:rPr>
            </w:pPr>
            <w:r w:rsidRPr="00A67C76">
              <w:rPr>
                <w:bCs/>
                <w:noProof/>
                <w:sz w:val="20"/>
              </w:rPr>
              <w:t>Catfish</w:t>
            </w:r>
          </w:p>
        </w:tc>
        <w:tc>
          <w:tcPr>
            <w:tcW w:w="1000" w:type="dxa"/>
          </w:tcPr>
          <w:p w:rsidR="00E4049C" w:rsidRPr="00A67C76" w:rsidRDefault="00E4049C" w:rsidP="00792535">
            <w:pPr>
              <w:contextualSpacing/>
              <w:rPr>
                <w:bCs/>
                <w:noProof/>
                <w:sz w:val="20"/>
              </w:rPr>
            </w:pPr>
            <w:r w:rsidRPr="00A67C76">
              <w:rPr>
                <w:bCs/>
                <w:noProof/>
                <w:sz w:val="20"/>
              </w:rPr>
              <w:t>12</w:t>
            </w:r>
          </w:p>
        </w:tc>
        <w:tc>
          <w:tcPr>
            <w:tcW w:w="931" w:type="dxa"/>
          </w:tcPr>
          <w:p w:rsidR="00E4049C" w:rsidRPr="00A67C76" w:rsidRDefault="001527EB" w:rsidP="00792535">
            <w:pPr>
              <w:contextualSpacing/>
              <w:rPr>
                <w:bCs/>
                <w:noProof/>
                <w:sz w:val="20"/>
              </w:rPr>
            </w:pPr>
            <w:r w:rsidRPr="00A67C76">
              <w:rPr>
                <w:bCs/>
                <w:noProof/>
                <w:sz w:val="20"/>
              </w:rPr>
              <w:t>LK</w:t>
            </w:r>
            <w:r w:rsidR="00E4049C" w:rsidRPr="00A67C76">
              <w:rPr>
                <w:bCs/>
                <w:noProof/>
                <w:sz w:val="20"/>
              </w:rPr>
              <w:t xml:space="preserve"> 6, 6a, 1</w:t>
            </w:r>
          </w:p>
        </w:tc>
        <w:tc>
          <w:tcPr>
            <w:tcW w:w="1417" w:type="dxa"/>
          </w:tcPr>
          <w:p w:rsidR="00E4049C" w:rsidRPr="00A67C76" w:rsidRDefault="00E4049C" w:rsidP="00792535">
            <w:pPr>
              <w:contextualSpacing/>
              <w:rPr>
                <w:bCs/>
                <w:noProof/>
                <w:sz w:val="20"/>
              </w:rPr>
            </w:pPr>
            <w:r w:rsidRPr="00A67C76">
              <w:rPr>
                <w:bCs/>
                <w:noProof/>
                <w:sz w:val="20"/>
              </w:rPr>
              <w:t>5, 6, 7</w:t>
            </w:r>
          </w:p>
        </w:tc>
        <w:tc>
          <w:tcPr>
            <w:tcW w:w="1067" w:type="dxa"/>
          </w:tcPr>
          <w:p w:rsidR="00E4049C" w:rsidRPr="00A67C76" w:rsidRDefault="00E4049C" w:rsidP="00792535">
            <w:pPr>
              <w:contextualSpacing/>
              <w:rPr>
                <w:bCs/>
                <w:noProof/>
                <w:sz w:val="20"/>
              </w:rPr>
            </w:pPr>
            <w:r w:rsidRPr="00A67C76">
              <w:rPr>
                <w:bCs/>
                <w:noProof/>
                <w:sz w:val="20"/>
              </w:rPr>
              <w:t>158</w:t>
            </w:r>
          </w:p>
        </w:tc>
        <w:tc>
          <w:tcPr>
            <w:tcW w:w="1037" w:type="dxa"/>
          </w:tcPr>
          <w:p w:rsidR="00E4049C" w:rsidRPr="00A67C76" w:rsidRDefault="00E4049C" w:rsidP="00792535">
            <w:pPr>
              <w:contextualSpacing/>
              <w:rPr>
                <w:bCs/>
                <w:noProof/>
                <w:sz w:val="20"/>
              </w:rPr>
            </w:pPr>
            <w:r w:rsidRPr="00A67C76">
              <w:rPr>
                <w:bCs/>
                <w:noProof/>
                <w:sz w:val="20"/>
              </w:rPr>
              <w:t>19</w:t>
            </w:r>
          </w:p>
        </w:tc>
      </w:tr>
      <w:tr w:rsidR="00E4049C" w:rsidRPr="00A67C76" w:rsidTr="00B30B92">
        <w:tc>
          <w:tcPr>
            <w:tcW w:w="1726" w:type="dxa"/>
            <w:tcBorders>
              <w:bottom w:val="single" w:sz="4" w:space="0" w:color="auto"/>
            </w:tcBorders>
          </w:tcPr>
          <w:p w:rsidR="00E4049C" w:rsidRPr="00A67C76" w:rsidRDefault="00E4049C" w:rsidP="00792535">
            <w:pPr>
              <w:contextualSpacing/>
              <w:rPr>
                <w:bCs/>
                <w:i/>
                <w:noProof/>
                <w:sz w:val="20"/>
              </w:rPr>
            </w:pPr>
            <w:r w:rsidRPr="00A67C76">
              <w:rPr>
                <w:bCs/>
                <w:i/>
                <w:noProof/>
                <w:sz w:val="20"/>
              </w:rPr>
              <w:t>Maccullochella peelii</w:t>
            </w:r>
          </w:p>
        </w:tc>
        <w:tc>
          <w:tcPr>
            <w:tcW w:w="1271" w:type="dxa"/>
            <w:tcBorders>
              <w:bottom w:val="single" w:sz="4" w:space="0" w:color="auto"/>
            </w:tcBorders>
          </w:tcPr>
          <w:p w:rsidR="00E4049C" w:rsidRPr="00A67C76" w:rsidRDefault="00E4049C" w:rsidP="00792535">
            <w:pPr>
              <w:contextualSpacing/>
              <w:rPr>
                <w:bCs/>
                <w:noProof/>
                <w:sz w:val="20"/>
              </w:rPr>
            </w:pPr>
            <w:r w:rsidRPr="00A67C76">
              <w:rPr>
                <w:bCs/>
                <w:noProof/>
                <w:sz w:val="20"/>
              </w:rPr>
              <w:t>Murray cod</w:t>
            </w:r>
          </w:p>
        </w:tc>
        <w:tc>
          <w:tcPr>
            <w:tcW w:w="1000" w:type="dxa"/>
            <w:tcBorders>
              <w:bottom w:val="single" w:sz="4" w:space="0" w:color="auto"/>
            </w:tcBorders>
          </w:tcPr>
          <w:p w:rsidR="00E4049C" w:rsidRPr="00A67C76" w:rsidRDefault="00E4049C" w:rsidP="00792535">
            <w:pPr>
              <w:contextualSpacing/>
              <w:rPr>
                <w:bCs/>
                <w:noProof/>
                <w:sz w:val="20"/>
              </w:rPr>
            </w:pPr>
            <w:r w:rsidRPr="00A67C76">
              <w:rPr>
                <w:bCs/>
                <w:noProof/>
                <w:sz w:val="20"/>
              </w:rPr>
              <w:t>6</w:t>
            </w:r>
          </w:p>
        </w:tc>
        <w:tc>
          <w:tcPr>
            <w:tcW w:w="931" w:type="dxa"/>
            <w:tcBorders>
              <w:bottom w:val="single" w:sz="4" w:space="0" w:color="auto"/>
            </w:tcBorders>
          </w:tcPr>
          <w:p w:rsidR="00E4049C" w:rsidRPr="00A67C76" w:rsidRDefault="001527EB" w:rsidP="00792535">
            <w:pPr>
              <w:contextualSpacing/>
              <w:rPr>
                <w:bCs/>
                <w:noProof/>
                <w:sz w:val="20"/>
              </w:rPr>
            </w:pPr>
            <w:r w:rsidRPr="00A67C76">
              <w:rPr>
                <w:bCs/>
                <w:noProof/>
                <w:sz w:val="20"/>
              </w:rPr>
              <w:t>LK</w:t>
            </w:r>
            <w:r w:rsidR="00E4049C" w:rsidRPr="00A67C76">
              <w:rPr>
                <w:bCs/>
                <w:noProof/>
                <w:sz w:val="20"/>
              </w:rPr>
              <w:t xml:space="preserve"> 6a, 1</w:t>
            </w:r>
          </w:p>
        </w:tc>
        <w:tc>
          <w:tcPr>
            <w:tcW w:w="1417" w:type="dxa"/>
            <w:tcBorders>
              <w:bottom w:val="single" w:sz="4" w:space="0" w:color="auto"/>
            </w:tcBorders>
          </w:tcPr>
          <w:p w:rsidR="00E4049C" w:rsidRPr="00A67C76" w:rsidRDefault="00E4049C" w:rsidP="00792535">
            <w:pPr>
              <w:contextualSpacing/>
              <w:rPr>
                <w:bCs/>
                <w:noProof/>
                <w:sz w:val="20"/>
              </w:rPr>
            </w:pPr>
            <w:r w:rsidRPr="00A67C76">
              <w:rPr>
                <w:bCs/>
                <w:noProof/>
                <w:sz w:val="20"/>
              </w:rPr>
              <w:t>3, 4, 5</w:t>
            </w:r>
          </w:p>
        </w:tc>
        <w:tc>
          <w:tcPr>
            <w:tcW w:w="1067" w:type="dxa"/>
            <w:tcBorders>
              <w:bottom w:val="single" w:sz="4" w:space="0" w:color="auto"/>
            </w:tcBorders>
          </w:tcPr>
          <w:p w:rsidR="00E4049C" w:rsidRPr="00A67C76" w:rsidRDefault="00E4049C" w:rsidP="00792535">
            <w:pPr>
              <w:contextualSpacing/>
              <w:rPr>
                <w:bCs/>
                <w:noProof/>
                <w:sz w:val="20"/>
              </w:rPr>
            </w:pPr>
            <w:r w:rsidRPr="00A67C76">
              <w:rPr>
                <w:bCs/>
                <w:noProof/>
                <w:sz w:val="20"/>
              </w:rPr>
              <w:t>69</w:t>
            </w:r>
          </w:p>
        </w:tc>
        <w:tc>
          <w:tcPr>
            <w:tcW w:w="1037" w:type="dxa"/>
            <w:tcBorders>
              <w:bottom w:val="single" w:sz="4" w:space="0" w:color="auto"/>
            </w:tcBorders>
          </w:tcPr>
          <w:p w:rsidR="00E4049C" w:rsidRPr="00A67C76" w:rsidRDefault="00E4049C" w:rsidP="00792535">
            <w:pPr>
              <w:contextualSpacing/>
              <w:rPr>
                <w:bCs/>
                <w:noProof/>
                <w:sz w:val="20"/>
              </w:rPr>
            </w:pPr>
            <w:r w:rsidRPr="00A67C76">
              <w:rPr>
                <w:bCs/>
                <w:noProof/>
                <w:sz w:val="20"/>
              </w:rPr>
              <w:t>12</w:t>
            </w:r>
          </w:p>
        </w:tc>
      </w:tr>
    </w:tbl>
    <w:p w:rsidR="009C5F10" w:rsidRPr="00A67C76" w:rsidRDefault="009C5F10" w:rsidP="009C5F10">
      <w:r w:rsidRPr="00A67C76">
        <w:t xml:space="preserve">In total 356 unique OTUs were identified from the </w:t>
      </w:r>
      <w:r w:rsidR="003F2446" w:rsidRPr="00A67C76">
        <w:t xml:space="preserve">larval </w:t>
      </w:r>
      <w:r w:rsidRPr="00A67C76">
        <w:t xml:space="preserve">fish gut DNA analyses. The number of OTUs detected for each species was related to the number of larvae analysed suggesting that larger sample numbers are required for a comprehensive analysis of </w:t>
      </w:r>
      <w:r w:rsidR="003F2446" w:rsidRPr="00A67C76">
        <w:t>gut content</w:t>
      </w:r>
      <w:r w:rsidRPr="00A67C76">
        <w:t xml:space="preserve">. Of the OTUs detected, 15 were found in multiple specimens of each fish species with considerable overlap between species. Insects (Coleoptera), copepods (Calanoida) and hydroids (Hydrozoa) were common items for multiple </w:t>
      </w:r>
      <w:r w:rsidR="003F2446" w:rsidRPr="00A67C76">
        <w:t xml:space="preserve">fish </w:t>
      </w:r>
      <w:r w:rsidRPr="00A67C76">
        <w:t xml:space="preserve">species. In contrast, sponges (Demospongiae) were found in the gut of pre-flexion </w:t>
      </w:r>
      <w:r w:rsidR="000B01BD" w:rsidRPr="000B01BD">
        <w:t>golden perch</w:t>
      </w:r>
      <w:r w:rsidRPr="00A67C76">
        <w:t xml:space="preserve"> and </w:t>
      </w:r>
      <w:r w:rsidR="00C71DB1">
        <w:t xml:space="preserve">freshwater </w:t>
      </w:r>
      <w:r w:rsidR="000B01BD" w:rsidRPr="000B01BD">
        <w:t>catfish</w:t>
      </w:r>
      <w:r w:rsidRPr="00A67C76">
        <w:t xml:space="preserve">, nematodes (Chromandorea) in the flexion stage of </w:t>
      </w:r>
      <w:r w:rsidR="001D2521" w:rsidRPr="001D2521">
        <w:t>golden perch</w:t>
      </w:r>
      <w:r w:rsidR="00B30B92" w:rsidRPr="00A67C76">
        <w:t>,</w:t>
      </w:r>
      <w:r w:rsidRPr="00A67C76">
        <w:t xml:space="preserve"> and fungi (Ascomycota and Chytridiomycota) in all groups except the flexion stage of </w:t>
      </w:r>
      <w:r w:rsidR="001D2521" w:rsidRPr="001D2521">
        <w:t>golden perch</w:t>
      </w:r>
      <w:r w:rsidRPr="00A67C76">
        <w:t>.</w:t>
      </w:r>
      <w:r w:rsidRPr="001D2521">
        <w:t xml:space="preserve"> </w:t>
      </w:r>
      <w:r w:rsidR="001D2521" w:rsidRPr="001D2521">
        <w:t>Silver perch</w:t>
      </w:r>
      <w:r w:rsidRPr="00A67C76">
        <w:t xml:space="preserve"> was the only species to have multiple beetle taxa in the gut content. </w:t>
      </w:r>
      <w:r w:rsidR="00E013CD" w:rsidRPr="00A67C76">
        <w:t>Consequently l</w:t>
      </w:r>
      <w:r w:rsidR="00F41737" w:rsidRPr="00A67C76">
        <w:t>arval fish species showed significant differences in gut content</w:t>
      </w:r>
      <w:r w:rsidRPr="00A67C76">
        <w:t xml:space="preserve"> and they could be separated based on the taxa in their gut, including pre-flexion and flexion larvae of </w:t>
      </w:r>
      <w:r w:rsidR="001D2521">
        <w:t>golden perch</w:t>
      </w:r>
      <w:r w:rsidRPr="00A67C76">
        <w:t xml:space="preserve"> which had separate </w:t>
      </w:r>
      <w:r w:rsidR="00F41737" w:rsidRPr="00A67C76">
        <w:t xml:space="preserve">contents </w:t>
      </w:r>
      <w:r w:rsidRPr="00A67C76">
        <w:t>(</w:t>
      </w:r>
      <w:r w:rsidR="002E6077" w:rsidRPr="00A67C76">
        <w:fldChar w:fldCharType="begin"/>
      </w:r>
      <w:r w:rsidR="009B160A" w:rsidRPr="00A67C76">
        <w:instrText xml:space="preserve"> REF _Ref381780750 \h </w:instrText>
      </w:r>
      <w:r w:rsidR="002E6077" w:rsidRPr="00A67C76">
        <w:fldChar w:fldCharType="separate"/>
      </w:r>
      <w:r w:rsidR="009659F2" w:rsidRPr="00A67C76">
        <w:t xml:space="preserve">Figure </w:t>
      </w:r>
      <w:r w:rsidR="009659F2">
        <w:rPr>
          <w:noProof/>
        </w:rPr>
        <w:t>18</w:t>
      </w:r>
      <w:r w:rsidR="002E6077" w:rsidRPr="00A67C76">
        <w:fldChar w:fldCharType="end"/>
      </w:r>
      <w:r w:rsidRPr="00A67C76">
        <w:t>).</w:t>
      </w:r>
    </w:p>
    <w:p w:rsidR="00E4049C" w:rsidRPr="00A67C76" w:rsidRDefault="00830D65" w:rsidP="00830D65">
      <w:pPr>
        <w:jc w:val="center"/>
      </w:pPr>
      <w:r w:rsidRPr="00830D65">
        <w:rPr>
          <w:noProof/>
          <w:lang w:eastAsia="en-AU"/>
        </w:rPr>
        <w:drawing>
          <wp:inline distT="0" distB="0" distL="0" distR="0">
            <wp:extent cx="4853082" cy="324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3082" cy="3240000"/>
                    </a:xfrm>
                    <a:prstGeom prst="rect">
                      <a:avLst/>
                    </a:prstGeom>
                    <a:noFill/>
                    <a:ln>
                      <a:noFill/>
                    </a:ln>
                  </pic:spPr>
                </pic:pic>
              </a:graphicData>
            </a:graphic>
          </wp:inline>
        </w:drawing>
      </w:r>
    </w:p>
    <w:p w:rsidR="00E4049C" w:rsidRPr="00A67C76" w:rsidRDefault="00E4049C" w:rsidP="00E4049C">
      <w:pPr>
        <w:pStyle w:val="Caption"/>
      </w:pPr>
      <w:bookmarkStart w:id="113" w:name="_Ref381780750"/>
      <w:bookmarkStart w:id="114" w:name="_Toc387843069"/>
      <w:proofErr w:type="gramStart"/>
      <w:r w:rsidRPr="00A67C76">
        <w:t xml:space="preserve">Figure </w:t>
      </w:r>
      <w:proofErr w:type="gramEnd"/>
      <w:r w:rsidR="002E6077" w:rsidRPr="00A67C76">
        <w:fldChar w:fldCharType="begin"/>
      </w:r>
      <w:r w:rsidR="00110CB9" w:rsidRPr="00A67C76">
        <w:instrText xml:space="preserve"> SEQ Figure \* ARABIC </w:instrText>
      </w:r>
      <w:r w:rsidR="002E6077" w:rsidRPr="00A67C76">
        <w:fldChar w:fldCharType="separate"/>
      </w:r>
      <w:r w:rsidR="009659F2">
        <w:rPr>
          <w:noProof/>
        </w:rPr>
        <w:t>18</w:t>
      </w:r>
      <w:r w:rsidR="002E6077" w:rsidRPr="00A67C76">
        <w:rPr>
          <w:noProof/>
        </w:rPr>
        <w:fldChar w:fldCharType="end"/>
      </w:r>
      <w:bookmarkEnd w:id="113"/>
      <w:proofErr w:type="gramStart"/>
      <w:r w:rsidRPr="00A67C76">
        <w:t>.</w:t>
      </w:r>
      <w:proofErr w:type="gramEnd"/>
      <w:r w:rsidRPr="00A67C76">
        <w:t xml:space="preserve"> Multivariate ordination by nMDS of larval fish gut content summed for each species and then transformed to presence or absence of OTUs. </w:t>
      </w:r>
      <w:r w:rsidR="001D2521">
        <w:t>Golden perch</w:t>
      </w:r>
      <w:r w:rsidRPr="00A67C76">
        <w:t xml:space="preserve"> was divided into flexion and pre-flexion groups. Non-metric multidimension scaling ordination was carried out on the resemblance matrix of Bray-Curtis similarities between the larval fish groups.</w:t>
      </w:r>
      <w:bookmarkEnd w:id="114"/>
    </w:p>
    <w:p w:rsidR="009C5F10" w:rsidRPr="00A67C76" w:rsidRDefault="009C5F10" w:rsidP="009C5F10">
      <w:r w:rsidRPr="00A67C76">
        <w:t xml:space="preserve">Only for the pre-flexion larvae of </w:t>
      </w:r>
      <w:r w:rsidR="001D2521">
        <w:t>golden perch</w:t>
      </w:r>
      <w:r w:rsidR="00B30B92" w:rsidRPr="00A67C76">
        <w:t>,</w:t>
      </w:r>
      <w:r w:rsidRPr="00A67C76">
        <w:t xml:space="preserve"> were there enough samples with detectable gut content to examine site and trip differences. Tests of differences between trips found that sampling trip 4 could be separated from trip 8, but there were no differences between sites.</w:t>
      </w:r>
    </w:p>
    <w:p w:rsidR="009C5F10" w:rsidRPr="00A67C76" w:rsidRDefault="009C5F10" w:rsidP="00247B6C">
      <w:r w:rsidRPr="00A67C76">
        <w:t xml:space="preserve">Comparisons between community composition and larval fish gut content linked available food resources to larval fish. The cladoceran </w:t>
      </w:r>
      <w:r w:rsidRPr="00A67C76">
        <w:rPr>
          <w:i/>
        </w:rPr>
        <w:t>Bosmina</w:t>
      </w:r>
      <w:r w:rsidRPr="00A67C76">
        <w:t xml:space="preserve">, which was found in </w:t>
      </w:r>
      <w:r w:rsidR="001D2521" w:rsidRPr="001D2521">
        <w:t>golden perch</w:t>
      </w:r>
      <w:r w:rsidRPr="00A67C76">
        <w:t xml:space="preserve">, </w:t>
      </w:r>
      <w:r w:rsidR="001D2521" w:rsidRPr="001D2521">
        <w:t>catfish</w:t>
      </w:r>
      <w:r w:rsidR="001D2521">
        <w:t xml:space="preserve"> </w:t>
      </w:r>
      <w:r w:rsidRPr="00A67C76">
        <w:t xml:space="preserve">and </w:t>
      </w:r>
      <w:r w:rsidR="001D2521" w:rsidRPr="001D2521">
        <w:t>silver perch</w:t>
      </w:r>
      <w:r w:rsidRPr="00A67C76">
        <w:t xml:space="preserve">, and the mollusc </w:t>
      </w:r>
      <w:r w:rsidRPr="00A67C76">
        <w:rPr>
          <w:i/>
        </w:rPr>
        <w:t>Elliptio</w:t>
      </w:r>
      <w:r w:rsidRPr="00A67C76">
        <w:t xml:space="preserve">, which was found in the gut of </w:t>
      </w:r>
      <w:r w:rsidR="001D2521" w:rsidRPr="001D2521">
        <w:t>Murray cod</w:t>
      </w:r>
      <w:r w:rsidRPr="00A67C76">
        <w:t xml:space="preserve">, were both correlated with the trips prior to the environmental flow. OTUs that were correlated with the environmental water (&gt;0.4) and found in the fish gut contents included a number of Copepoda, Fungi and Chlorophyta. The diatoms </w:t>
      </w:r>
      <w:r w:rsidRPr="00A67C76">
        <w:rPr>
          <w:i/>
        </w:rPr>
        <w:t>Actinocyclus</w:t>
      </w:r>
      <w:r w:rsidRPr="00A67C76">
        <w:t xml:space="preserve"> and </w:t>
      </w:r>
      <w:r w:rsidRPr="00A67C76">
        <w:rPr>
          <w:i/>
        </w:rPr>
        <w:t>Cyclotella</w:t>
      </w:r>
      <w:r w:rsidRPr="00A67C76">
        <w:t xml:space="preserve"> which were associated with the environmental water were not found in the gut of the larval fish. Taxa that were correlated with the sampling trips during and following the environmental flow were the rotifer </w:t>
      </w:r>
      <w:r w:rsidRPr="00A67C76">
        <w:rPr>
          <w:i/>
        </w:rPr>
        <w:t>Colotheca</w:t>
      </w:r>
      <w:r w:rsidRPr="00A67C76">
        <w:t xml:space="preserve">, which was found in the gut of </w:t>
      </w:r>
      <w:r w:rsidR="001D2521" w:rsidRPr="001D2521">
        <w:t>silver perch</w:t>
      </w:r>
      <w:r w:rsidRPr="00A67C76">
        <w:t xml:space="preserve">; the chlorophyte </w:t>
      </w:r>
      <w:r w:rsidRPr="00A67C76">
        <w:rPr>
          <w:i/>
        </w:rPr>
        <w:t>Choricystis</w:t>
      </w:r>
      <w:r w:rsidRPr="00A67C76">
        <w:t xml:space="preserve"> which was found in </w:t>
      </w:r>
      <w:r w:rsidR="001D2521" w:rsidRPr="001D2521">
        <w:t>golden perch</w:t>
      </w:r>
      <w:r w:rsidRPr="00A67C76">
        <w:t xml:space="preserve">; the diatom </w:t>
      </w:r>
      <w:r w:rsidRPr="00A67C76">
        <w:rPr>
          <w:i/>
        </w:rPr>
        <w:t>Thalassiosira</w:t>
      </w:r>
      <w:r w:rsidRPr="00A67C76">
        <w:t xml:space="preserve"> which was found in </w:t>
      </w:r>
      <w:r w:rsidR="001D2521" w:rsidRPr="001D2521">
        <w:t>golden perch</w:t>
      </w:r>
      <w:r w:rsidRPr="001D2521">
        <w:t>,</w:t>
      </w:r>
      <w:r w:rsidR="001D2521" w:rsidRPr="001D2521">
        <w:t xml:space="preserve"> catfish</w:t>
      </w:r>
      <w:r w:rsidRPr="001D2521">
        <w:t xml:space="preserve"> and </w:t>
      </w:r>
      <w:r w:rsidR="001D2521" w:rsidRPr="001D2521">
        <w:t>silver perch</w:t>
      </w:r>
      <w:r w:rsidRPr="00A67C76">
        <w:t xml:space="preserve">; and the fungi </w:t>
      </w:r>
      <w:r w:rsidRPr="00A67C76">
        <w:rPr>
          <w:i/>
        </w:rPr>
        <w:t>Catenophlyctis</w:t>
      </w:r>
      <w:r w:rsidRPr="00A67C76">
        <w:t xml:space="preserve"> and </w:t>
      </w:r>
      <w:r w:rsidRPr="00A67C76">
        <w:rPr>
          <w:i/>
        </w:rPr>
        <w:t>Malassizia</w:t>
      </w:r>
      <w:r w:rsidRPr="00A67C76">
        <w:t xml:space="preserve"> which were found in all the larval fish species.</w:t>
      </w:r>
    </w:p>
    <w:p w:rsidR="00D53E8C" w:rsidRPr="00A67C76" w:rsidRDefault="00871864" w:rsidP="00A3579A">
      <w:pPr>
        <w:rPr>
          <w:b/>
        </w:rPr>
      </w:pPr>
      <w:bookmarkStart w:id="115" w:name="_Toc381776108"/>
      <w:r w:rsidRPr="00A67C76">
        <w:rPr>
          <w:b/>
        </w:rPr>
        <w:t>Dissolved and particulate material</w:t>
      </w:r>
      <w:r w:rsidR="00D53E8C" w:rsidRPr="00A67C76">
        <w:rPr>
          <w:b/>
        </w:rPr>
        <w:t xml:space="preserve"> transport</w:t>
      </w:r>
    </w:p>
    <w:p w:rsidR="001438D5" w:rsidRPr="00A67C76" w:rsidRDefault="001438D5" w:rsidP="001438D5">
      <w:r w:rsidRPr="00A67C76">
        <w:t>The modelling suggests that in the Lower</w:t>
      </w:r>
      <w:r w:rsidR="001C2224" w:rsidRPr="00A67C76">
        <w:t xml:space="preserve"> </w:t>
      </w:r>
      <w:r w:rsidRPr="00A67C76">
        <w:t>Murray River environmental water</w:t>
      </w:r>
      <w:r w:rsidR="00120452" w:rsidRPr="00A67C76">
        <w:t>ing</w:t>
      </w:r>
      <w:r w:rsidRPr="00A67C76">
        <w:t xml:space="preserve"> altered the timing of salinity peaks, but had little effect on salinity levels (</w:t>
      </w:r>
      <w:fldSimple w:instr=" REF _Ref382209401 \h  \* MERGEFORMAT ">
        <w:r w:rsidR="009659F2" w:rsidRPr="00A67C76">
          <w:t xml:space="preserve">Figure </w:t>
        </w:r>
        <w:r w:rsidR="009659F2">
          <w:rPr>
            <w:noProof/>
          </w:rPr>
          <w:t>19</w:t>
        </w:r>
      </w:fldSimple>
      <w:r w:rsidRPr="00A67C76">
        <w:t>). However, within the Lower Lakes and Coorong</w:t>
      </w:r>
      <w:r w:rsidR="003012FC" w:rsidRPr="00A67C76">
        <w:t>,</w:t>
      </w:r>
      <w:r w:rsidRPr="00A67C76">
        <w:t xml:space="preserve"> salinity was reduced as a result of environmental water</w:t>
      </w:r>
      <w:r w:rsidR="00120452" w:rsidRPr="00A67C76">
        <w:t xml:space="preserve"> delivery</w:t>
      </w:r>
      <w:r w:rsidRPr="00A67C76">
        <w:t xml:space="preserve">, </w:t>
      </w:r>
      <w:r w:rsidR="003012FC" w:rsidRPr="00A67C76">
        <w:t>particularly</w:t>
      </w:r>
      <w:r w:rsidRPr="00A67C76">
        <w:t xml:space="preserve"> C</w:t>
      </w:r>
      <w:r w:rsidR="00120452" w:rsidRPr="00A67C76">
        <w:t>ommonwealth environmental watering</w:t>
      </w:r>
      <w:r w:rsidRPr="00A67C76">
        <w:t xml:space="preserve"> (</w:t>
      </w:r>
      <w:fldSimple w:instr=" REF _Ref382209401 \h  \* MERGEFORMAT ">
        <w:r w:rsidR="009659F2" w:rsidRPr="00A67C76">
          <w:t xml:space="preserve">Figure </w:t>
        </w:r>
        <w:r w:rsidR="009659F2">
          <w:rPr>
            <w:noProof/>
          </w:rPr>
          <w:t>19</w:t>
        </w:r>
      </w:fldSimple>
      <w:r w:rsidRPr="00A67C76">
        <w:t xml:space="preserve">). Within the Lower Lakes this became most evident towards the end of the study period, with electrical conductivity </w:t>
      </w:r>
      <w:proofErr w:type="gramStart"/>
      <w:r w:rsidRPr="00A67C76">
        <w:t>up</w:t>
      </w:r>
      <w:r w:rsidR="003012FC" w:rsidRPr="00A67C76">
        <w:t xml:space="preserve"> </w:t>
      </w:r>
      <w:r w:rsidRPr="00A67C76">
        <w:t>to 4</w:t>
      </w:r>
      <w:r w:rsidR="00120452" w:rsidRPr="00A67C76">
        <w:t>,</w:t>
      </w:r>
      <w:r w:rsidRPr="00A67C76">
        <w:t xml:space="preserve">000 </w:t>
      </w:r>
      <w:r w:rsidRPr="00A67C76">
        <w:rPr>
          <w:rFonts w:ascii="Calibri" w:hAnsi="Calibri"/>
        </w:rPr>
        <w:t>μ</w:t>
      </w:r>
      <w:r w:rsidRPr="00A67C76">
        <w:t>S/cm</w:t>
      </w:r>
      <w:proofErr w:type="gramEnd"/>
      <w:r w:rsidRPr="00A67C76">
        <w:t xml:space="preserve"> lower with both C</w:t>
      </w:r>
      <w:r w:rsidR="00120452" w:rsidRPr="00A67C76">
        <w:t>ommonwealth environmental water</w:t>
      </w:r>
      <w:r w:rsidRPr="00A67C76">
        <w:t xml:space="preserve"> and TLM</w:t>
      </w:r>
      <w:r w:rsidR="00120452" w:rsidRPr="00A67C76">
        <w:t xml:space="preserve"> water</w:t>
      </w:r>
      <w:r w:rsidRPr="00A67C76">
        <w:t xml:space="preserve"> in comparison to without any environmental water. </w:t>
      </w:r>
      <w:r w:rsidR="003012FC" w:rsidRPr="00A67C76">
        <w:t>Furthermore</w:t>
      </w:r>
      <w:r w:rsidRPr="00A67C76">
        <w:t xml:space="preserve">, at the Murray Mouth electrical conductivity was </w:t>
      </w:r>
      <w:proofErr w:type="gramStart"/>
      <w:r w:rsidRPr="00A67C76">
        <w:t xml:space="preserve">up to 20,000 </w:t>
      </w:r>
      <w:r w:rsidRPr="00A67C76">
        <w:rPr>
          <w:rFonts w:ascii="Calibri" w:hAnsi="Calibri"/>
        </w:rPr>
        <w:t>μ</w:t>
      </w:r>
      <w:r w:rsidRPr="00A67C76">
        <w:t>S/cm</w:t>
      </w:r>
      <w:proofErr w:type="gramEnd"/>
      <w:r w:rsidRPr="00A67C76">
        <w:t xml:space="preserve"> lower with environmental water</w:t>
      </w:r>
      <w:r w:rsidR="00120452" w:rsidRPr="00A67C76">
        <w:t xml:space="preserve"> delivery</w:t>
      </w:r>
      <w:r w:rsidRPr="00A67C76">
        <w:t xml:space="preserve"> at times (equivalent to a reduction of up to approximately 50%). This appeared to be a result of increased inflows of lower salinity into the Northern </w:t>
      </w:r>
      <w:r w:rsidR="00255918" w:rsidRPr="00A67C76">
        <w:t>Coorong and</w:t>
      </w:r>
      <w:r w:rsidRPr="00A67C76">
        <w:t xml:space="preserve"> a </w:t>
      </w:r>
      <w:r w:rsidR="003012FC" w:rsidRPr="00A67C76">
        <w:t>subsequent</w:t>
      </w:r>
      <w:r w:rsidRPr="00A67C76">
        <w:t xml:space="preserve"> reduction in seawater incursions through the Murray Mouth. </w:t>
      </w:r>
    </w:p>
    <w:p w:rsidR="001438D5" w:rsidRPr="00A67C76" w:rsidRDefault="001438D5" w:rsidP="001438D5">
      <w:r w:rsidRPr="00A67C76">
        <w:t>Based on the modell</w:t>
      </w:r>
      <w:r w:rsidR="00120452" w:rsidRPr="00A67C76">
        <w:t>ing outputs environmental watering</w:t>
      </w:r>
      <w:r w:rsidRPr="00A67C76">
        <w:t xml:space="preserve"> increased salt exports from the Lower</w:t>
      </w:r>
      <w:r w:rsidR="001C2224" w:rsidRPr="00A67C76">
        <w:t xml:space="preserve"> </w:t>
      </w:r>
      <w:r w:rsidRPr="00A67C76">
        <w:t>Murray River and Lower Lakes and resulted in net salt export from the Murray Mouth rather than a net import (</w:t>
      </w:r>
      <w:fldSimple w:instr=" REF _Ref382209479 \h  \* MERGEFORMAT ">
        <w:r w:rsidR="009659F2" w:rsidRPr="00A67C76">
          <w:t xml:space="preserve">Figure </w:t>
        </w:r>
        <w:r w:rsidR="009659F2">
          <w:rPr>
            <w:noProof/>
          </w:rPr>
          <w:t>20</w:t>
        </w:r>
      </w:fldSimple>
      <w:r w:rsidRPr="00A67C76">
        <w:t xml:space="preserve">). For the Lower Murray River exports increased steadily, with a total modelled export of approximately 400,000 tonnes to the Lower Lakes during the study period, of which environmental water </w:t>
      </w:r>
      <w:r w:rsidR="00E016EE" w:rsidRPr="00A67C76">
        <w:t xml:space="preserve">use </w:t>
      </w:r>
      <w:r w:rsidRPr="00A67C76">
        <w:t xml:space="preserve">contributed approximately 40%. Environmental </w:t>
      </w:r>
      <w:r w:rsidR="00120452" w:rsidRPr="00A67C76">
        <w:t>watering</w:t>
      </w:r>
      <w:r w:rsidRPr="00A67C76">
        <w:t xml:space="preserve"> also increased exports from the Lower Lakes, although to a lesser extent due to the lower salinity concentrations within the Lower Lakes that r</w:t>
      </w:r>
      <w:r w:rsidR="00120452" w:rsidRPr="00A67C76">
        <w:t>esulted from environmental flows</w:t>
      </w:r>
      <w:r w:rsidRPr="00A67C76">
        <w:t xml:space="preserve">. The modelling suggests that at the Murray Mouth, the </w:t>
      </w:r>
      <w:r w:rsidR="00120452" w:rsidRPr="00A67C76">
        <w:t>delivery</w:t>
      </w:r>
      <w:r w:rsidRPr="00A67C76">
        <w:t xml:space="preserve"> of both sources of environmental water resulted in a net export of approximately 600,000 tonnes of salt over the study period, whilst for all other scenarios there was a net import of approximately 300,000 tonnes.</w:t>
      </w:r>
    </w:p>
    <w:p w:rsidR="001438D5" w:rsidRPr="00A67C76" w:rsidRDefault="00FD0E3D" w:rsidP="00E940A3">
      <w:pPr>
        <w:jc w:val="center"/>
      </w:pPr>
      <w:r w:rsidRPr="00FD0E3D">
        <w:rPr>
          <w:noProof/>
          <w:lang w:eastAsia="en-AU"/>
        </w:rPr>
        <w:drawing>
          <wp:inline distT="0" distB="0" distL="0" distR="0">
            <wp:extent cx="5523447" cy="7704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email"/>
                    <a:stretch>
                      <a:fillRect/>
                    </a:stretch>
                  </pic:blipFill>
                  <pic:spPr>
                    <a:xfrm>
                      <a:off x="0" y="0"/>
                      <a:ext cx="5523447" cy="7704000"/>
                    </a:xfrm>
                    <a:prstGeom prst="rect">
                      <a:avLst/>
                    </a:prstGeom>
                  </pic:spPr>
                </pic:pic>
              </a:graphicData>
            </a:graphic>
          </wp:inline>
        </w:drawing>
      </w:r>
      <w:r w:rsidRPr="00FD0E3D">
        <w:rPr>
          <w:rStyle w:val="CommentReference"/>
          <w:sz w:val="22"/>
          <w:szCs w:val="20"/>
        </w:rPr>
        <w:t xml:space="preserve"> </w:t>
      </w:r>
    </w:p>
    <w:p w:rsidR="001438D5" w:rsidRPr="00A67C76" w:rsidRDefault="00E940A3" w:rsidP="00E940A3">
      <w:pPr>
        <w:pStyle w:val="Caption"/>
      </w:pPr>
      <w:bookmarkStart w:id="116" w:name="_Ref382209401"/>
      <w:bookmarkStart w:id="117" w:name="_Toc387843070"/>
      <w:proofErr w:type="gramStart"/>
      <w:r w:rsidRPr="00A67C76">
        <w:t xml:space="preserve">Figure </w:t>
      </w:r>
      <w:proofErr w:type="gramEnd"/>
      <w:r w:rsidR="002E6077" w:rsidRPr="00A67C76">
        <w:fldChar w:fldCharType="begin"/>
      </w:r>
      <w:r w:rsidR="00110CB9" w:rsidRPr="00A67C76">
        <w:instrText xml:space="preserve"> SEQ Figure \* ARABIC </w:instrText>
      </w:r>
      <w:r w:rsidR="002E6077" w:rsidRPr="00A67C76">
        <w:fldChar w:fldCharType="separate"/>
      </w:r>
      <w:r w:rsidR="009659F2">
        <w:rPr>
          <w:noProof/>
        </w:rPr>
        <w:t>19</w:t>
      </w:r>
      <w:r w:rsidR="002E6077" w:rsidRPr="00A67C76">
        <w:rPr>
          <w:noProof/>
        </w:rPr>
        <w:fldChar w:fldCharType="end"/>
      </w:r>
      <w:bookmarkEnd w:id="116"/>
      <w:proofErr w:type="gramStart"/>
      <w:r w:rsidRPr="00A67C76">
        <w:t>.</w:t>
      </w:r>
      <w:proofErr w:type="gramEnd"/>
      <w:r w:rsidR="001438D5" w:rsidRPr="00A67C76">
        <w:t xml:space="preserve"> Observed and modelled electrical conductivity at selected sites. Scenarios include with and without both commonwealth environmental water (CEW) and The Living Murray water (TLMW).</w:t>
      </w:r>
      <w:bookmarkEnd w:id="117"/>
    </w:p>
    <w:p w:rsidR="001438D5" w:rsidRPr="00A67C76" w:rsidRDefault="001438D5" w:rsidP="001438D5">
      <w:pPr>
        <w:jc w:val="center"/>
      </w:pPr>
      <w:r w:rsidRPr="00A67C76">
        <w:rPr>
          <w:noProof/>
          <w:lang w:eastAsia="en-AU"/>
        </w:rPr>
        <w:drawing>
          <wp:inline distT="0" distB="0" distL="0" distR="0">
            <wp:extent cx="4197600" cy="6120000"/>
            <wp:effectExtent l="0" t="0" r="0" b="0"/>
            <wp:docPr id="176" name="Picture 15" descr="U:\Projects\Current projects\CEWH SA Murray monitoring 2012-2013\Reporting\Feb Report Images\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rojects\Current projects\CEWH SA Murray monitoring 2012-2013\Reporting\Feb Report Images\Fig2.png"/>
                    <pic:cNvPicPr>
                      <a:picLocks noChangeAspect="1" noChangeArrowheads="1"/>
                    </pic:cNvPicPr>
                  </pic:nvPicPr>
                  <pic:blipFill>
                    <a:blip r:embed="rId5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7600" cy="6120000"/>
                    </a:xfrm>
                    <a:prstGeom prst="rect">
                      <a:avLst/>
                    </a:prstGeom>
                    <a:noFill/>
                    <a:ln>
                      <a:noFill/>
                    </a:ln>
                  </pic:spPr>
                </pic:pic>
              </a:graphicData>
            </a:graphic>
          </wp:inline>
        </w:drawing>
      </w:r>
    </w:p>
    <w:p w:rsidR="001438D5" w:rsidRPr="00A67C76" w:rsidRDefault="00E940A3" w:rsidP="00E940A3">
      <w:pPr>
        <w:pStyle w:val="Caption"/>
      </w:pPr>
      <w:bookmarkStart w:id="118" w:name="_Ref382209479"/>
      <w:bookmarkStart w:id="119" w:name="_Toc387843071"/>
      <w:proofErr w:type="gramStart"/>
      <w:r w:rsidRPr="00A67C76">
        <w:t xml:space="preserve">Figure </w:t>
      </w:r>
      <w:proofErr w:type="gramEnd"/>
      <w:r w:rsidR="002E6077" w:rsidRPr="00A67C76">
        <w:fldChar w:fldCharType="begin"/>
      </w:r>
      <w:r w:rsidR="00110CB9" w:rsidRPr="00A67C76">
        <w:instrText xml:space="preserve"> SEQ Figure \* ARABIC </w:instrText>
      </w:r>
      <w:r w:rsidR="002E6077" w:rsidRPr="00A67C76">
        <w:fldChar w:fldCharType="separate"/>
      </w:r>
      <w:r w:rsidR="009659F2">
        <w:rPr>
          <w:noProof/>
        </w:rPr>
        <w:t>20</w:t>
      </w:r>
      <w:r w:rsidR="002E6077" w:rsidRPr="00A67C76">
        <w:rPr>
          <w:noProof/>
        </w:rPr>
        <w:fldChar w:fldCharType="end"/>
      </w:r>
      <w:bookmarkEnd w:id="118"/>
      <w:proofErr w:type="gramStart"/>
      <w:r w:rsidRPr="00A67C76">
        <w:t>.</w:t>
      </w:r>
      <w:proofErr w:type="gramEnd"/>
      <w:r w:rsidR="001438D5" w:rsidRPr="00A67C76">
        <w:t xml:space="preserve"> Modelled salt exports with and without environmental flow</w:t>
      </w:r>
      <w:r w:rsidR="00A16EEF" w:rsidRPr="00A67C76">
        <w:t>s</w:t>
      </w:r>
      <w:r w:rsidR="001438D5" w:rsidRPr="00A67C76">
        <w:t>. Scenarios include with and without both commonwealth environmental water (CEW) and The Living Murray water (TLMW).</w:t>
      </w:r>
      <w:bookmarkEnd w:id="119"/>
    </w:p>
    <w:p w:rsidR="001438D5" w:rsidRPr="00A67C76" w:rsidRDefault="001438D5" w:rsidP="001438D5">
      <w:pPr>
        <w:rPr>
          <w:noProof/>
        </w:rPr>
      </w:pPr>
      <w:r w:rsidRPr="00A67C76">
        <w:t>There were only small differences in the modelled dissolved nutrient concentrations with and without environmental water, particularly given uncertainties associated with the modelled outputs (</w:t>
      </w:r>
      <w:fldSimple w:instr=" REF _Ref382209525 \h  \* MERGEFORMAT ">
        <w:r w:rsidR="009659F2" w:rsidRPr="00FD0E3D">
          <w:t xml:space="preserve">Figure </w:t>
        </w:r>
        <w:r w:rsidR="009659F2">
          <w:rPr>
            <w:noProof/>
          </w:rPr>
          <w:t>21</w:t>
        </w:r>
      </w:fldSimple>
      <w:r w:rsidR="00EC7B84">
        <w:t>and</w:t>
      </w:r>
      <w:r w:rsidR="00433A94" w:rsidRPr="00A67C76">
        <w:t xml:space="preserve"> </w:t>
      </w:r>
      <w:fldSimple w:instr=" REF _Ref382209527 \h  \* MERGEFORMAT ">
        <w:r w:rsidR="009659F2" w:rsidRPr="00A67C76">
          <w:t xml:space="preserve">Figure </w:t>
        </w:r>
        <w:r w:rsidR="009659F2">
          <w:rPr>
            <w:noProof/>
          </w:rPr>
          <w:t>22</w:t>
        </w:r>
      </w:fldSimple>
      <w:r w:rsidRPr="00A67C76">
        <w:t>). As a result, differences in modelled exports between the scenarios were largely a result of differences in discharge. There was a</w:t>
      </w:r>
      <w:r w:rsidR="00C507B1" w:rsidRPr="00A67C76">
        <w:t>n</w:t>
      </w:r>
      <w:r w:rsidRPr="00A67C76">
        <w:t xml:space="preserve"> increase in the cumulative loads through the study period with greatest export from the Lower Murray River, followed by the Lower Lakes and Murray Mouth, suggesting a retention or transformation of dissolved nutrients within the system (</w:t>
      </w:r>
      <w:r w:rsidR="00697DAE">
        <w:t>Figure 23</w:t>
      </w:r>
      <w:r w:rsidRPr="00A67C76">
        <w:t xml:space="preserve">). At all sites, environmental flow </w:t>
      </w:r>
      <w:r w:rsidR="00C507B1" w:rsidRPr="00A67C76">
        <w:t>delivery</w:t>
      </w:r>
      <w:r w:rsidRPr="00A67C76">
        <w:t xml:space="preserve"> increased the export of dissolved nutrients. At the Murray Mouth, exports were only apparent when both C</w:t>
      </w:r>
      <w:r w:rsidR="00C507B1" w:rsidRPr="00A67C76">
        <w:t>ommonwealth environmental water</w:t>
      </w:r>
      <w:r w:rsidRPr="00A67C76">
        <w:t xml:space="preserve"> and TLM</w:t>
      </w:r>
      <w:r w:rsidR="00C507B1" w:rsidRPr="00A67C76">
        <w:t xml:space="preserve"> water</w:t>
      </w:r>
      <w:r w:rsidRPr="00A67C76">
        <w:t xml:space="preserve"> were provided. </w:t>
      </w:r>
    </w:p>
    <w:p w:rsidR="001438D5" w:rsidRPr="00A67C76" w:rsidRDefault="001438D5" w:rsidP="001438D5">
      <w:r w:rsidRPr="00A67C76">
        <w:t xml:space="preserve">Within the Lower </w:t>
      </w:r>
      <w:r w:rsidR="00A16EEF" w:rsidRPr="00A67C76">
        <w:t xml:space="preserve">Murray River </w:t>
      </w:r>
      <w:r w:rsidRPr="00A67C76">
        <w:t xml:space="preserve">particulate organic nitrogen and phosphorus </w:t>
      </w:r>
      <w:r w:rsidR="00A16EEF" w:rsidRPr="00A67C76">
        <w:t xml:space="preserve">exports </w:t>
      </w:r>
      <w:r w:rsidRPr="00A67C76">
        <w:t xml:space="preserve">were also </w:t>
      </w:r>
      <w:r w:rsidR="00C507B1" w:rsidRPr="00A67C76">
        <w:t>higher with environmental watering</w:t>
      </w:r>
      <w:r w:rsidRPr="00A67C76">
        <w:t xml:space="preserve"> and increased proportionally with discharge (</w:t>
      </w:r>
      <w:fldSimple w:instr=" REF _Ref382209593 \h  \* MERGEFORMAT ">
        <w:r w:rsidR="009659F2" w:rsidRPr="00A67C76">
          <w:t xml:space="preserve">Figure </w:t>
        </w:r>
        <w:r w:rsidR="009659F2">
          <w:rPr>
            <w:noProof/>
          </w:rPr>
          <w:t>24</w:t>
        </w:r>
      </w:fldSimple>
      <w:r w:rsidRPr="00A67C76">
        <w:t>). However, in both the Lower Lakes and Murray Mouth, additional exports were only apparent when both environmental water sources were provided. As for dissolved nutrients, the export of particulate nutrients decreased from the Lower Murray River to the Murray Mouth (</w:t>
      </w:r>
      <w:fldSimple w:instr=" REF _Ref382209593 \h  \* MERGEFORMAT ">
        <w:r w:rsidR="009659F2" w:rsidRPr="00A67C76">
          <w:t xml:space="preserve">Figure </w:t>
        </w:r>
        <w:r w:rsidR="009659F2">
          <w:rPr>
            <w:noProof/>
          </w:rPr>
          <w:t>24</w:t>
        </w:r>
      </w:fldSimple>
      <w:r w:rsidRPr="00A67C76">
        <w:t>). Over the study period, the environmental water</w:t>
      </w:r>
      <w:r w:rsidR="00C507B1" w:rsidRPr="00A67C76">
        <w:t>ing</w:t>
      </w:r>
      <w:r w:rsidRPr="00A67C76">
        <w:t xml:space="preserve"> accounted for approximately 40%, 10% and 20% of exports of particulate nutrients from the Murray River, Lower Lakes and Murray Mouth, respectively. </w:t>
      </w:r>
    </w:p>
    <w:p w:rsidR="006C50D1" w:rsidRPr="00A67C76" w:rsidRDefault="006C50D1" w:rsidP="001438D5">
      <w:pPr>
        <w:sectPr w:rsidR="006C50D1" w:rsidRPr="00A67C76" w:rsidSect="00A62C74">
          <w:footerReference w:type="default" r:id="rId57"/>
          <w:pgSz w:w="11900" w:h="16840" w:code="9"/>
          <w:pgMar w:top="1440" w:right="1440" w:bottom="1440" w:left="1440" w:header="709" w:footer="709" w:gutter="0"/>
          <w:cols w:space="708"/>
          <w:docGrid w:linePitch="360"/>
        </w:sectPr>
      </w:pPr>
    </w:p>
    <w:p w:rsidR="001438D5" w:rsidRPr="00A67C76" w:rsidRDefault="00FD0E3D" w:rsidP="00FD0E3D">
      <w:pPr>
        <w:jc w:val="center"/>
      </w:pPr>
      <w:r w:rsidRPr="00FD0E3D">
        <w:rPr>
          <w:noProof/>
          <w:lang w:eastAsia="en-AU"/>
        </w:rPr>
        <w:drawing>
          <wp:inline distT="0" distB="0" distL="0" distR="0">
            <wp:extent cx="8957741" cy="4320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email"/>
                    <a:stretch>
                      <a:fillRect/>
                    </a:stretch>
                  </pic:blipFill>
                  <pic:spPr>
                    <a:xfrm>
                      <a:off x="0" y="0"/>
                      <a:ext cx="8957741" cy="4320000"/>
                    </a:xfrm>
                    <a:prstGeom prst="rect">
                      <a:avLst/>
                    </a:prstGeom>
                  </pic:spPr>
                </pic:pic>
              </a:graphicData>
            </a:graphic>
          </wp:inline>
        </w:drawing>
      </w:r>
    </w:p>
    <w:p w:rsidR="006C50D1" w:rsidRPr="00FD0E3D" w:rsidRDefault="006C50D1" w:rsidP="00FD0E3D">
      <w:pPr>
        <w:pStyle w:val="Caption"/>
      </w:pPr>
      <w:bookmarkStart w:id="120" w:name="_Ref382209525"/>
      <w:bookmarkStart w:id="121" w:name="_Toc387843072"/>
      <w:proofErr w:type="gramStart"/>
      <w:r w:rsidRPr="00FD0E3D">
        <w:t xml:space="preserve">Figure </w:t>
      </w:r>
      <w:proofErr w:type="gramEnd"/>
      <w:r w:rsidR="002E6077" w:rsidRPr="00FD0E3D">
        <w:fldChar w:fldCharType="begin"/>
      </w:r>
      <w:r w:rsidR="006B4D99" w:rsidRPr="00FD0E3D">
        <w:instrText xml:space="preserve"> SEQ Figure \* ARABIC </w:instrText>
      </w:r>
      <w:r w:rsidR="002E6077" w:rsidRPr="00FD0E3D">
        <w:fldChar w:fldCharType="separate"/>
      </w:r>
      <w:r w:rsidR="009659F2">
        <w:rPr>
          <w:noProof/>
        </w:rPr>
        <w:t>21</w:t>
      </w:r>
      <w:r w:rsidR="002E6077" w:rsidRPr="00FD0E3D">
        <w:fldChar w:fldCharType="end"/>
      </w:r>
      <w:bookmarkEnd w:id="120"/>
      <w:proofErr w:type="gramStart"/>
      <w:r w:rsidRPr="00FD0E3D">
        <w:t>.</w:t>
      </w:r>
      <w:proofErr w:type="gramEnd"/>
      <w:r w:rsidRPr="00FD0E3D">
        <w:t xml:space="preserve"> Observed and modelled ammonium (NH4), phosphate (PO4) and silica (SiO2) concentrations at selected sites. Scenarios include with and without both commonwealth environmental water (CEW) and The Living Murray water (TLMW).</w:t>
      </w:r>
      <w:bookmarkEnd w:id="121"/>
    </w:p>
    <w:p w:rsidR="006C50D1" w:rsidRPr="00A67C76" w:rsidRDefault="006C50D1" w:rsidP="001438D5">
      <w:pPr>
        <w:sectPr w:rsidR="006C50D1" w:rsidRPr="00A67C76" w:rsidSect="006C50D1">
          <w:footerReference w:type="default" r:id="rId59"/>
          <w:pgSz w:w="16840" w:h="11900" w:orient="landscape" w:code="9"/>
          <w:pgMar w:top="1440" w:right="1440" w:bottom="1440" w:left="1440" w:header="709" w:footer="709" w:gutter="0"/>
          <w:cols w:space="708"/>
          <w:docGrid w:linePitch="360"/>
        </w:sectPr>
      </w:pPr>
    </w:p>
    <w:p w:rsidR="001438D5" w:rsidRPr="00A67C76" w:rsidRDefault="00FD0E3D" w:rsidP="00433A94">
      <w:pPr>
        <w:jc w:val="center"/>
      </w:pPr>
      <w:bookmarkStart w:id="122" w:name="_Ref378329261"/>
      <w:r w:rsidRPr="00FD0E3D">
        <w:rPr>
          <w:noProof/>
          <w:lang w:eastAsia="en-AU"/>
        </w:rPr>
        <w:drawing>
          <wp:inline distT="0" distB="0" distL="0" distR="0">
            <wp:extent cx="6927221" cy="5040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email"/>
                    <a:stretch>
                      <a:fillRect/>
                    </a:stretch>
                  </pic:blipFill>
                  <pic:spPr>
                    <a:xfrm>
                      <a:off x="0" y="0"/>
                      <a:ext cx="6927221" cy="5040000"/>
                    </a:xfrm>
                    <a:prstGeom prst="rect">
                      <a:avLst/>
                    </a:prstGeom>
                  </pic:spPr>
                </pic:pic>
              </a:graphicData>
            </a:graphic>
          </wp:inline>
        </w:drawing>
      </w:r>
    </w:p>
    <w:p w:rsidR="006C50D1" w:rsidRPr="00A67C76" w:rsidRDefault="003012FC" w:rsidP="003012FC">
      <w:pPr>
        <w:pStyle w:val="Caption"/>
      </w:pPr>
      <w:bookmarkStart w:id="123" w:name="_Ref382209527"/>
      <w:bookmarkStart w:id="124" w:name="_Toc387843073"/>
      <w:bookmarkEnd w:id="122"/>
      <w:proofErr w:type="gramStart"/>
      <w:r w:rsidRPr="00A67C76">
        <w:t xml:space="preserve">Figure </w:t>
      </w:r>
      <w:proofErr w:type="gramEnd"/>
      <w:r w:rsidR="002E6077" w:rsidRPr="00A67C76">
        <w:fldChar w:fldCharType="begin"/>
      </w:r>
      <w:r w:rsidR="00110CB9" w:rsidRPr="00A67C76">
        <w:instrText xml:space="preserve"> SEQ Figure \* ARABIC </w:instrText>
      </w:r>
      <w:r w:rsidR="002E6077" w:rsidRPr="00A67C76">
        <w:fldChar w:fldCharType="separate"/>
      </w:r>
      <w:r w:rsidR="009659F2">
        <w:rPr>
          <w:noProof/>
        </w:rPr>
        <w:t>22</w:t>
      </w:r>
      <w:r w:rsidR="002E6077" w:rsidRPr="00A67C76">
        <w:rPr>
          <w:noProof/>
        </w:rPr>
        <w:fldChar w:fldCharType="end"/>
      </w:r>
      <w:bookmarkEnd w:id="123"/>
      <w:proofErr w:type="gramStart"/>
      <w:r w:rsidRPr="00A67C76">
        <w:t>.</w:t>
      </w:r>
      <w:proofErr w:type="gramEnd"/>
      <w:r w:rsidR="001438D5" w:rsidRPr="00A67C76">
        <w:t xml:space="preserve"> Observed and modelled particulate organic nitrogen and phosphorus concentrations at selected sites. Scenarios include with and without both commonwealth environmental water (CEW) and The Living Murray water (TLMW).</w:t>
      </w:r>
      <w:bookmarkEnd w:id="124"/>
    </w:p>
    <w:p w:rsidR="00A43213" w:rsidRDefault="00FD0E3D" w:rsidP="00A43213">
      <w:pPr>
        <w:rPr>
          <w:rStyle w:val="CaptionChar"/>
          <w:rFonts w:eastAsia="MS Mincho"/>
          <w:b w:val="0"/>
        </w:rPr>
      </w:pPr>
      <w:r w:rsidRPr="00FD0E3D">
        <w:rPr>
          <w:noProof/>
          <w:lang w:eastAsia="en-AU"/>
        </w:rPr>
        <w:drawing>
          <wp:inline distT="0" distB="0" distL="0" distR="0">
            <wp:extent cx="8927012" cy="4536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email"/>
                    <a:stretch>
                      <a:fillRect/>
                    </a:stretch>
                  </pic:blipFill>
                  <pic:spPr>
                    <a:xfrm>
                      <a:off x="0" y="0"/>
                      <a:ext cx="8927012" cy="4536000"/>
                    </a:xfrm>
                    <a:prstGeom prst="rect">
                      <a:avLst/>
                    </a:prstGeom>
                  </pic:spPr>
                </pic:pic>
              </a:graphicData>
            </a:graphic>
          </wp:inline>
        </w:drawing>
      </w:r>
      <w:bookmarkStart w:id="125" w:name="_Ref382209568"/>
      <w:bookmarkStart w:id="126" w:name="_Toc387843074"/>
    </w:p>
    <w:p w:rsidR="006C50D1" w:rsidRPr="00FD0E3D" w:rsidRDefault="006C50D1" w:rsidP="00F914C8">
      <w:pPr>
        <w:pStyle w:val="Captions"/>
      </w:pPr>
      <w:proofErr w:type="gramStart"/>
      <w:r w:rsidRPr="00F914C8">
        <w:rPr>
          <w:rStyle w:val="CaptionChar"/>
          <w:rFonts w:eastAsia="MS Mincho"/>
          <w:b/>
        </w:rPr>
        <w:t xml:space="preserve">Figure </w:t>
      </w:r>
      <w:proofErr w:type="gramEnd"/>
      <w:r w:rsidR="002E6077" w:rsidRPr="00BA6389">
        <w:rPr>
          <w:rStyle w:val="CaptionChar"/>
          <w:rFonts w:eastAsia="MS Mincho"/>
          <w:b/>
        </w:rPr>
        <w:fldChar w:fldCharType="begin"/>
      </w:r>
      <w:r w:rsidR="006B4D99" w:rsidRPr="00BA6389">
        <w:rPr>
          <w:rStyle w:val="CaptionChar"/>
          <w:rFonts w:eastAsia="MS Mincho"/>
          <w:b/>
        </w:rPr>
        <w:instrText xml:space="preserve"> SEQ Figure \* ARABIC </w:instrText>
      </w:r>
      <w:r w:rsidR="002E6077" w:rsidRPr="00BA6389">
        <w:rPr>
          <w:rStyle w:val="CaptionChar"/>
          <w:rFonts w:eastAsia="MS Mincho"/>
          <w:b/>
        </w:rPr>
        <w:fldChar w:fldCharType="separate"/>
      </w:r>
      <w:r w:rsidR="009659F2">
        <w:rPr>
          <w:rStyle w:val="CaptionChar"/>
          <w:rFonts w:eastAsia="MS Mincho"/>
          <w:b/>
          <w:noProof/>
        </w:rPr>
        <w:t>23</w:t>
      </w:r>
      <w:r w:rsidR="002E6077" w:rsidRPr="00BA6389">
        <w:rPr>
          <w:rStyle w:val="CaptionChar"/>
          <w:rFonts w:eastAsia="MS Mincho"/>
          <w:b/>
        </w:rPr>
        <w:fldChar w:fldCharType="end"/>
      </w:r>
      <w:bookmarkEnd w:id="125"/>
      <w:proofErr w:type="gramStart"/>
      <w:r w:rsidRPr="00BA6389">
        <w:rPr>
          <w:rStyle w:val="CaptionChar"/>
          <w:rFonts w:eastAsia="MS Mincho"/>
          <w:b/>
        </w:rPr>
        <w:t>.</w:t>
      </w:r>
      <w:proofErr w:type="gramEnd"/>
      <w:r w:rsidRPr="00BA6389">
        <w:rPr>
          <w:rStyle w:val="CaptionChar"/>
          <w:rFonts w:eastAsia="MS Mincho"/>
          <w:b/>
        </w:rPr>
        <w:t xml:space="preserve"> Modelled ammonium (NH4), phosphate (PO4) and silica (SiO2) exports with and without environmental flow</w:t>
      </w:r>
      <w:r w:rsidR="00A16EEF" w:rsidRPr="00BA6389">
        <w:rPr>
          <w:rStyle w:val="CaptionChar"/>
          <w:rFonts w:eastAsia="MS Mincho"/>
          <w:b/>
        </w:rPr>
        <w:t>s</w:t>
      </w:r>
      <w:r w:rsidRPr="00BA6389">
        <w:rPr>
          <w:rStyle w:val="CaptionChar"/>
          <w:rFonts w:eastAsia="MS Mincho"/>
          <w:b/>
        </w:rPr>
        <w:t>. Scenarios include with and without both commonwealth environmental water (CEW) and The Living Murray water (TLMW).</w:t>
      </w:r>
      <w:bookmarkEnd w:id="126"/>
      <w:r w:rsidRPr="00A67C76">
        <w:rPr>
          <w:vanish/>
        </w:rPr>
        <w:t>Positive loads are exports passed a designated boundary, including Wellington (from the Murray River to Lake Alexandrina); Barrage Total (from Lower Lakes to Coorong); Murray Mouth (from the Murray Mouth to the Southern Ocean)</w:t>
      </w:r>
    </w:p>
    <w:p w:rsidR="006C50D1" w:rsidRPr="00A67C76" w:rsidRDefault="006C50D1">
      <w:pPr>
        <w:spacing w:before="0" w:after="200" w:line="276" w:lineRule="auto"/>
        <w:rPr>
          <w:rFonts w:eastAsia="MS Mincho" w:cs="Arial"/>
          <w:b/>
          <w:bCs/>
          <w:vanish/>
          <w:color w:val="auto"/>
          <w:kern w:val="0"/>
          <w:sz w:val="20"/>
        </w:rPr>
      </w:pPr>
      <w:r w:rsidRPr="00A67C76">
        <w:rPr>
          <w:vanish/>
        </w:rPr>
        <w:br w:type="page"/>
      </w:r>
    </w:p>
    <w:p w:rsidR="006C50D1" w:rsidRPr="00A67C76" w:rsidRDefault="00FD0E3D" w:rsidP="00B07D23">
      <w:pPr>
        <w:jc w:val="center"/>
      </w:pPr>
      <w:r w:rsidRPr="00FD0E3D">
        <w:rPr>
          <w:noProof/>
          <w:lang w:eastAsia="en-AU"/>
        </w:rPr>
        <w:drawing>
          <wp:inline distT="0" distB="0" distL="0" distR="0">
            <wp:extent cx="6812560" cy="5148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email"/>
                    <a:stretch>
                      <a:fillRect/>
                    </a:stretch>
                  </pic:blipFill>
                  <pic:spPr>
                    <a:xfrm>
                      <a:off x="0" y="0"/>
                      <a:ext cx="6812560" cy="5148000"/>
                    </a:xfrm>
                    <a:prstGeom prst="rect">
                      <a:avLst/>
                    </a:prstGeom>
                  </pic:spPr>
                </pic:pic>
              </a:graphicData>
            </a:graphic>
          </wp:inline>
        </w:drawing>
      </w:r>
    </w:p>
    <w:p w:rsidR="006C50D1" w:rsidRPr="00A67C76" w:rsidRDefault="006C50D1" w:rsidP="00FD0E3D">
      <w:pPr>
        <w:pStyle w:val="Caption"/>
        <w:sectPr w:rsidR="006C50D1" w:rsidRPr="00A67C76" w:rsidSect="003C5E8D">
          <w:footerReference w:type="default" r:id="rId63"/>
          <w:pgSz w:w="16840" w:h="11900" w:orient="landscape" w:code="9"/>
          <w:pgMar w:top="1440" w:right="1440" w:bottom="1440" w:left="1440" w:header="709" w:footer="0" w:gutter="0"/>
          <w:cols w:space="708"/>
          <w:docGrid w:linePitch="360"/>
        </w:sectPr>
      </w:pPr>
      <w:bookmarkStart w:id="127" w:name="_Ref382209593"/>
      <w:bookmarkStart w:id="128" w:name="_Toc387843075"/>
      <w:proofErr w:type="gramStart"/>
      <w:r w:rsidRPr="00A67C76">
        <w:t xml:space="preserve">Figure </w:t>
      </w:r>
      <w:proofErr w:type="gramEnd"/>
      <w:r w:rsidR="002E6077" w:rsidRPr="00A67C76">
        <w:fldChar w:fldCharType="begin"/>
      </w:r>
      <w:r w:rsidR="006B4D99" w:rsidRPr="00A67C76">
        <w:instrText xml:space="preserve"> SEQ Figure \* ARABIC </w:instrText>
      </w:r>
      <w:r w:rsidR="002E6077" w:rsidRPr="00A67C76">
        <w:fldChar w:fldCharType="separate"/>
      </w:r>
      <w:r w:rsidR="009659F2">
        <w:rPr>
          <w:noProof/>
        </w:rPr>
        <w:t>24</w:t>
      </w:r>
      <w:r w:rsidR="002E6077" w:rsidRPr="00A67C76">
        <w:fldChar w:fldCharType="end"/>
      </w:r>
      <w:bookmarkEnd w:id="127"/>
      <w:proofErr w:type="gramStart"/>
      <w:r w:rsidRPr="00A67C76">
        <w:t>.</w:t>
      </w:r>
      <w:proofErr w:type="gramEnd"/>
      <w:r w:rsidRPr="00A67C76">
        <w:t xml:space="preserve"> </w:t>
      </w:r>
      <w:proofErr w:type="gramStart"/>
      <w:r w:rsidRPr="00A67C76">
        <w:t>Modelled particulate organic phosphorus (POPL) and nitrogen (PONL) exports with and without environmental flow</w:t>
      </w:r>
      <w:r w:rsidR="00A16EEF" w:rsidRPr="00A67C76">
        <w:t>s</w:t>
      </w:r>
      <w:r w:rsidRPr="00A67C76">
        <w:t>.</w:t>
      </w:r>
      <w:proofErr w:type="gramEnd"/>
      <w:r w:rsidRPr="00A67C76">
        <w:t xml:space="preserve"> Scenarios include with and without both commonwealth environmental water (CEW) and The Living Murray water (TLMW).</w:t>
      </w:r>
      <w:bookmarkStart w:id="129" w:name="_Ref378333128"/>
      <w:bookmarkEnd w:id="128"/>
    </w:p>
    <w:bookmarkEnd w:id="129"/>
    <w:p w:rsidR="001438D5" w:rsidRPr="00A67C76" w:rsidRDefault="001438D5" w:rsidP="001438D5">
      <w:r w:rsidRPr="00A67C76">
        <w:t xml:space="preserve">Given uncertainty in the modelled outputs of chlorophyll </w:t>
      </w:r>
      <w:r w:rsidRPr="00A67C76">
        <w:rPr>
          <w:i/>
        </w:rPr>
        <w:t>a</w:t>
      </w:r>
      <w:r w:rsidRPr="00A67C76">
        <w:t xml:space="preserve"> concentrations, there was no apparent influence of environmental water</w:t>
      </w:r>
      <w:r w:rsidR="000E08D5" w:rsidRPr="00A67C76">
        <w:t>ing</w:t>
      </w:r>
      <w:r w:rsidRPr="00A67C76">
        <w:t xml:space="preserve"> on chlorophyll </w:t>
      </w:r>
      <w:r w:rsidRPr="00A67C76">
        <w:rPr>
          <w:i/>
        </w:rPr>
        <w:t>a</w:t>
      </w:r>
      <w:r w:rsidRPr="00A67C76">
        <w:t xml:space="preserve"> concentrations (</w:t>
      </w:r>
      <w:r w:rsidR="002E6077" w:rsidRPr="00A67C76">
        <w:fldChar w:fldCharType="begin"/>
      </w:r>
      <w:r w:rsidR="00727B54" w:rsidRPr="00A67C76">
        <w:instrText xml:space="preserve"> REF _Ref387831244 \h </w:instrText>
      </w:r>
      <w:r w:rsidR="002E6077" w:rsidRPr="00A67C76">
        <w:fldChar w:fldCharType="separate"/>
      </w:r>
      <w:r w:rsidR="009659F2" w:rsidRPr="00A67C76">
        <w:t xml:space="preserve">Figure </w:t>
      </w:r>
      <w:r w:rsidR="009659F2">
        <w:rPr>
          <w:noProof/>
        </w:rPr>
        <w:t>25</w:t>
      </w:r>
      <w:r w:rsidR="002E6077" w:rsidRPr="00A67C76">
        <w:fldChar w:fldCharType="end"/>
      </w:r>
      <w:r w:rsidRPr="00A67C76">
        <w:t xml:space="preserve">). As a result, differences in modelled exports between the scenarios were largely a result of differences in discharge. The modelling suggests there was a steady increase in the exports of chlorophyll </w:t>
      </w:r>
      <w:r w:rsidRPr="00A67C76">
        <w:rPr>
          <w:i/>
        </w:rPr>
        <w:t>a</w:t>
      </w:r>
      <w:r w:rsidRPr="00A67C76">
        <w:t xml:space="preserve"> from the Murray River and Lower Lakes, with environmental water contributing to approximately 40% of the total exports</w:t>
      </w:r>
      <w:r w:rsidR="00157D3B">
        <w:t xml:space="preserve"> (Figure 26)</w:t>
      </w:r>
      <w:r w:rsidRPr="00A67C76">
        <w:t>. Environmental water</w:t>
      </w:r>
      <w:r w:rsidR="00E016EE" w:rsidRPr="00A67C76">
        <w:t xml:space="preserve">ing </w:t>
      </w:r>
      <w:r w:rsidRPr="00A67C76">
        <w:t xml:space="preserve">also contributed significantly to export of chlorophyll </w:t>
      </w:r>
      <w:r w:rsidRPr="00A67C76">
        <w:rPr>
          <w:i/>
        </w:rPr>
        <w:t>a</w:t>
      </w:r>
      <w:r w:rsidRPr="00A67C76">
        <w:t xml:space="preserve"> from the Murray Mouth, which appeared to be a result of the combined effect of the two water sources of environmental water. The export from the Murray Mouth was lower than that of the Lower Lakes, suggesting retention of chlorophyll </w:t>
      </w:r>
      <w:r w:rsidRPr="00A67C76">
        <w:rPr>
          <w:i/>
        </w:rPr>
        <w:t>a</w:t>
      </w:r>
      <w:r w:rsidRPr="00A67C76">
        <w:t xml:space="preserve"> within the system. Exports of total suspended solids followed a similar pattern as </w:t>
      </w:r>
      <w:r w:rsidR="003012FC" w:rsidRPr="00A67C76">
        <w:t>chlorophyll</w:t>
      </w:r>
      <w:r w:rsidRPr="00A67C76">
        <w:t xml:space="preserve"> </w:t>
      </w:r>
      <w:r w:rsidRPr="00A67C76">
        <w:rPr>
          <w:i/>
        </w:rPr>
        <w:t>a</w:t>
      </w:r>
      <w:r w:rsidRPr="00A67C76">
        <w:t>, with environmental water</w:t>
      </w:r>
      <w:r w:rsidR="000E08D5" w:rsidRPr="00A67C76">
        <w:t>ing</w:t>
      </w:r>
      <w:r w:rsidRPr="00A67C76">
        <w:t xml:space="preserve"> increasing exports</w:t>
      </w:r>
      <w:r w:rsidR="00157D3B">
        <w:t xml:space="preserve"> (Figure 26)</w:t>
      </w:r>
      <w:r w:rsidRPr="00A67C76">
        <w:t>. Within the Lower Murray River, the magnitude of expo</w:t>
      </w:r>
      <w:r w:rsidR="003012FC" w:rsidRPr="00A67C76">
        <w:t>rts was proportional to the</w:t>
      </w:r>
      <w:r w:rsidRPr="00A67C76">
        <w:t xml:space="preserve"> total discharge, although additional exports from the Lower Lakes and Murray Mouth only occurred when both sources of environmental water were provided.</w:t>
      </w:r>
    </w:p>
    <w:p w:rsidR="001438D5" w:rsidRPr="00A67C76" w:rsidRDefault="001438D5" w:rsidP="001438D5"/>
    <w:p w:rsidR="001438D5" w:rsidRPr="00A67C76" w:rsidRDefault="001438D5" w:rsidP="001438D5">
      <w:pPr>
        <w:sectPr w:rsidR="001438D5" w:rsidRPr="00A67C76" w:rsidSect="00A62C74">
          <w:footerReference w:type="default" r:id="rId64"/>
          <w:pgSz w:w="11900" w:h="16840" w:code="9"/>
          <w:pgMar w:top="1440" w:right="1440" w:bottom="1440" w:left="1440" w:header="709" w:footer="709" w:gutter="0"/>
          <w:cols w:space="708"/>
          <w:docGrid w:linePitch="360"/>
        </w:sectPr>
      </w:pPr>
    </w:p>
    <w:p w:rsidR="0002598C" w:rsidRPr="00A67C76" w:rsidRDefault="00FD0E3D" w:rsidP="00B07D23">
      <w:pPr>
        <w:jc w:val="center"/>
        <w:rPr>
          <w:b/>
          <w:bCs/>
        </w:rPr>
      </w:pPr>
      <w:r w:rsidRPr="00FD0E3D">
        <w:rPr>
          <w:noProof/>
          <w:lang w:eastAsia="en-AU"/>
        </w:rPr>
        <w:drawing>
          <wp:inline distT="0" distB="0" distL="0" distR="0">
            <wp:extent cx="6967121" cy="5040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email"/>
                    <a:stretch>
                      <a:fillRect/>
                    </a:stretch>
                  </pic:blipFill>
                  <pic:spPr>
                    <a:xfrm>
                      <a:off x="0" y="0"/>
                      <a:ext cx="6967121" cy="5040000"/>
                    </a:xfrm>
                    <a:prstGeom prst="rect">
                      <a:avLst/>
                    </a:prstGeom>
                  </pic:spPr>
                </pic:pic>
              </a:graphicData>
            </a:graphic>
          </wp:inline>
        </w:drawing>
      </w:r>
      <w:r w:rsidRPr="00FD0E3D">
        <w:rPr>
          <w:rStyle w:val="CommentReference"/>
          <w:sz w:val="22"/>
          <w:szCs w:val="20"/>
        </w:rPr>
        <w:t xml:space="preserve"> </w:t>
      </w:r>
      <w:bookmarkStart w:id="130" w:name="_Ref382209680"/>
    </w:p>
    <w:p w:rsidR="001438D5" w:rsidRPr="00A67C76" w:rsidRDefault="0002598C" w:rsidP="00FD0E3D">
      <w:pPr>
        <w:pStyle w:val="Caption"/>
      </w:pPr>
      <w:bookmarkStart w:id="131" w:name="_Ref387831244"/>
      <w:bookmarkStart w:id="132" w:name="_Toc387843076"/>
      <w:proofErr w:type="gramStart"/>
      <w:r w:rsidRPr="00A67C76">
        <w:t xml:space="preserve">Figure </w:t>
      </w:r>
      <w:proofErr w:type="gramEnd"/>
      <w:r w:rsidR="002E6077" w:rsidRPr="00A67C76">
        <w:fldChar w:fldCharType="begin"/>
      </w:r>
      <w:r w:rsidR="006B4D99" w:rsidRPr="00A67C76">
        <w:instrText xml:space="preserve"> SEQ Figure \* ARABIC </w:instrText>
      </w:r>
      <w:r w:rsidR="002E6077" w:rsidRPr="00A67C76">
        <w:fldChar w:fldCharType="separate"/>
      </w:r>
      <w:r w:rsidR="009659F2">
        <w:rPr>
          <w:noProof/>
        </w:rPr>
        <w:t>25</w:t>
      </w:r>
      <w:r w:rsidR="002E6077" w:rsidRPr="00A67C76">
        <w:fldChar w:fldCharType="end"/>
      </w:r>
      <w:bookmarkEnd w:id="130"/>
      <w:bookmarkEnd w:id="131"/>
      <w:proofErr w:type="gramStart"/>
      <w:r w:rsidRPr="00A67C76">
        <w:t>.</w:t>
      </w:r>
      <w:proofErr w:type="gramEnd"/>
      <w:r w:rsidRPr="00A67C76">
        <w:t xml:space="preserve"> Observed and modelled (with and without environmental water</w:t>
      </w:r>
      <w:r w:rsidR="000E08D5" w:rsidRPr="00A67C76">
        <w:t>ing</w:t>
      </w:r>
      <w:r w:rsidRPr="00A67C76">
        <w:t xml:space="preserve">) chlorophyll </w:t>
      </w:r>
      <w:r w:rsidRPr="00A67C76">
        <w:rPr>
          <w:i/>
        </w:rPr>
        <w:t>a</w:t>
      </w:r>
      <w:r w:rsidRPr="00A67C76">
        <w:t xml:space="preserve"> concentrations and turbidity with and without environmental flow</w:t>
      </w:r>
      <w:r w:rsidR="000E08D5" w:rsidRPr="00A67C76">
        <w:t>s</w:t>
      </w:r>
      <w:r w:rsidRPr="00A67C76">
        <w:t>. Scenarios include with and without both commonwealth environmental water (CEW) and The Living Murray water (TLMW).</w:t>
      </w:r>
      <w:bookmarkEnd w:id="132"/>
    </w:p>
    <w:p w:rsidR="00FD0E3D" w:rsidRDefault="00FD0E3D" w:rsidP="00FD0E3D">
      <w:pPr>
        <w:pStyle w:val="Caption"/>
        <w:jc w:val="center"/>
      </w:pPr>
      <w:bookmarkStart w:id="133" w:name="_Ref382209686"/>
      <w:bookmarkStart w:id="134" w:name="_Toc387843077"/>
      <w:r w:rsidRPr="00FD0E3D">
        <w:rPr>
          <w:noProof/>
          <w:lang w:eastAsia="en-AU"/>
        </w:rPr>
        <w:drawing>
          <wp:inline distT="0" distB="0" distL="0" distR="0">
            <wp:extent cx="6897113" cy="5220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email"/>
                    <a:stretch>
                      <a:fillRect/>
                    </a:stretch>
                  </pic:blipFill>
                  <pic:spPr>
                    <a:xfrm>
                      <a:off x="0" y="0"/>
                      <a:ext cx="6897113" cy="5220000"/>
                    </a:xfrm>
                    <a:prstGeom prst="rect">
                      <a:avLst/>
                    </a:prstGeom>
                  </pic:spPr>
                </pic:pic>
              </a:graphicData>
            </a:graphic>
          </wp:inline>
        </w:drawing>
      </w:r>
    </w:p>
    <w:p w:rsidR="001438D5" w:rsidRPr="00A67C76" w:rsidRDefault="003012FC" w:rsidP="003012FC">
      <w:pPr>
        <w:pStyle w:val="Caption"/>
        <w:sectPr w:rsidR="001438D5" w:rsidRPr="00A67C76" w:rsidSect="00B96890">
          <w:footerReference w:type="default" r:id="rId67"/>
          <w:pgSz w:w="16840" w:h="11900" w:orient="landscape" w:code="9"/>
          <w:pgMar w:top="1276" w:right="1440" w:bottom="1440" w:left="1440" w:header="709" w:footer="0" w:gutter="0"/>
          <w:cols w:space="708"/>
          <w:docGrid w:linePitch="360"/>
        </w:sectPr>
      </w:pPr>
      <w:proofErr w:type="gramStart"/>
      <w:r w:rsidRPr="00A67C76">
        <w:t xml:space="preserve">Figure </w:t>
      </w:r>
      <w:proofErr w:type="gramEnd"/>
      <w:r w:rsidR="002E6077" w:rsidRPr="00A67C76">
        <w:fldChar w:fldCharType="begin"/>
      </w:r>
      <w:r w:rsidR="00110CB9" w:rsidRPr="00A67C76">
        <w:instrText xml:space="preserve"> SEQ Figure \* ARABIC </w:instrText>
      </w:r>
      <w:r w:rsidR="002E6077" w:rsidRPr="00A67C76">
        <w:fldChar w:fldCharType="separate"/>
      </w:r>
      <w:r w:rsidR="009659F2">
        <w:rPr>
          <w:noProof/>
        </w:rPr>
        <w:t>26</w:t>
      </w:r>
      <w:r w:rsidR="002E6077" w:rsidRPr="00A67C76">
        <w:rPr>
          <w:noProof/>
        </w:rPr>
        <w:fldChar w:fldCharType="end"/>
      </w:r>
      <w:bookmarkEnd w:id="133"/>
      <w:proofErr w:type="gramStart"/>
      <w:r w:rsidRPr="00A67C76">
        <w:t>.</w:t>
      </w:r>
      <w:proofErr w:type="gramEnd"/>
      <w:r w:rsidR="001438D5" w:rsidRPr="00A67C76">
        <w:t xml:space="preserve"> Modelled chlorophyll </w:t>
      </w:r>
      <w:r w:rsidR="001438D5" w:rsidRPr="00A67C76">
        <w:rPr>
          <w:i/>
        </w:rPr>
        <w:t>a</w:t>
      </w:r>
      <w:r w:rsidR="001438D5" w:rsidRPr="00A67C76">
        <w:t xml:space="preserve"> (TCHLA) and total suspended solid (TSS) exports with and without environmental flow</w:t>
      </w:r>
      <w:r w:rsidR="000E08D5" w:rsidRPr="00A67C76">
        <w:t>s</w:t>
      </w:r>
      <w:r w:rsidR="001438D5" w:rsidRPr="00A67C76">
        <w:t>. Scenarios include with and without both commonwealth environmental water (CEW) and The Living Murray water (TLMW).</w:t>
      </w:r>
      <w:bookmarkEnd w:id="134"/>
    </w:p>
    <w:p w:rsidR="00DB21D5" w:rsidRPr="00A67C76" w:rsidRDefault="00DB21D5" w:rsidP="00F41737">
      <w:pPr>
        <w:pStyle w:val="Heading2"/>
      </w:pPr>
      <w:bookmarkStart w:id="135" w:name="_Toc381776106"/>
      <w:bookmarkStart w:id="136" w:name="_Toc387843595"/>
      <w:r w:rsidRPr="00A67C76">
        <w:t>Wetlands</w:t>
      </w:r>
      <w:bookmarkEnd w:id="135"/>
      <w:bookmarkEnd w:id="136"/>
    </w:p>
    <w:p w:rsidR="00DB21D5" w:rsidRPr="00A67C76" w:rsidRDefault="00DB21D5" w:rsidP="0089330F">
      <w:pPr>
        <w:rPr>
          <w:b/>
        </w:rPr>
      </w:pPr>
      <w:r w:rsidRPr="00A67C76">
        <w:rPr>
          <w:b/>
        </w:rPr>
        <w:t>Lateral movements of fish</w:t>
      </w:r>
    </w:p>
    <w:p w:rsidR="00DB21D5" w:rsidRPr="00A67C76" w:rsidRDefault="00DB21D5" w:rsidP="0089330F">
      <w:pPr>
        <w:rPr>
          <w:i/>
          <w:u w:val="single"/>
        </w:rPr>
      </w:pPr>
      <w:bookmarkStart w:id="137" w:name="_Toc371795311"/>
      <w:r w:rsidRPr="00A67C76">
        <w:rPr>
          <w:i/>
          <w:u w:val="single"/>
        </w:rPr>
        <w:t>Catch summary, species richness and abundance</w:t>
      </w:r>
      <w:bookmarkEnd w:id="137"/>
    </w:p>
    <w:p w:rsidR="00DB21D5" w:rsidRPr="00A67C76" w:rsidRDefault="00DB21D5" w:rsidP="00DB21D5">
      <w:r w:rsidRPr="00A67C76">
        <w:t xml:space="preserve">Overall, a total of 57,612 fish from 16 species (eleven native and five invasive) were sampled in the river-wetland connection passage across all four wetlands of the Lower Murray River in </w:t>
      </w:r>
      <w:r w:rsidR="00333041" w:rsidRPr="00A67C76">
        <w:t>2012</w:t>
      </w:r>
      <w:r w:rsidR="00FD328A" w:rsidRPr="00FD328A">
        <w:t>-13</w:t>
      </w:r>
      <w:r w:rsidRPr="00A67C76">
        <w:t>. The foraging generalist carp gudgeon was the most abundant species and contributed to 36% of the total catch. Invasive common carp and Eastern gambusia were the second and third most abundant species sampled, respectively, and each accounted for ~16% of the total catch. Several other foraging generalist species including flat-headed gudgeon (14%), bony herring (10%) and unspecked hardyhead (5%) were also sampled in relatively high numbers. The remaining ten species, which included flow dependent specialists golden perch and silver perc</w:t>
      </w:r>
      <w:r w:rsidR="000E08D5" w:rsidRPr="00A67C76">
        <w:t>h, foraging generalists Murray r</w:t>
      </w:r>
      <w:r w:rsidRPr="00A67C76">
        <w:t>ainbowfish and Australian smelt and the diadromous congolli, collectively accounted for only 3.6% of the total number of fish sampled.</w:t>
      </w:r>
    </w:p>
    <w:p w:rsidR="00DB21D5" w:rsidRPr="00A67C76" w:rsidRDefault="00DB21D5" w:rsidP="0089330F">
      <w:pPr>
        <w:rPr>
          <w:i/>
          <w:u w:val="single"/>
        </w:rPr>
      </w:pPr>
      <w:r w:rsidRPr="00A67C76">
        <w:rPr>
          <w:i/>
          <w:u w:val="single"/>
        </w:rPr>
        <w:t>Lateral movements of fish</w:t>
      </w:r>
    </w:p>
    <w:p w:rsidR="00DB21D5" w:rsidRPr="00A67C76" w:rsidRDefault="00DB21D5" w:rsidP="00DB21D5">
      <w:r w:rsidRPr="00A67C76">
        <w:t>Patterns of fish movement between the main river channel and wetlands in the Lower Murray River were complex and highly variable among flow phases at each wetland, and such differences were not consistent among wetlands. As such, fish movement patterns for each wetland were analysed and presented separately.</w:t>
      </w:r>
    </w:p>
    <w:p w:rsidR="00DB21D5" w:rsidRPr="00A67C76" w:rsidRDefault="00DB21D5" w:rsidP="0089330F">
      <w:pPr>
        <w:rPr>
          <w:i/>
        </w:rPr>
      </w:pPr>
      <w:r w:rsidRPr="00A67C76">
        <w:rPr>
          <w:i/>
        </w:rPr>
        <w:t>Overland Corner (Floodplain region)</w:t>
      </w:r>
    </w:p>
    <w:p w:rsidR="00A4077A" w:rsidRDefault="00DB21D5" w:rsidP="00A4077A">
      <w:r w:rsidRPr="00A67C76">
        <w:t>For Overland Corner, a total of 12,152 fish from 14 species (nine native and five invasive) were observed moving between the wetland and main river channel (</w:t>
      </w:r>
      <w:r w:rsidR="002E6077" w:rsidRPr="00A67C76">
        <w:fldChar w:fldCharType="begin"/>
      </w:r>
      <w:r w:rsidRPr="00A67C76">
        <w:instrText xml:space="preserve"> REF _Ref381781306 \h </w:instrText>
      </w:r>
      <w:r w:rsidR="002E6077" w:rsidRPr="00A67C76">
        <w:fldChar w:fldCharType="separate"/>
      </w:r>
      <w:r w:rsidR="009659F2" w:rsidRPr="00A67C76">
        <w:t xml:space="preserve">Table </w:t>
      </w:r>
      <w:r w:rsidR="009659F2">
        <w:rPr>
          <w:noProof/>
        </w:rPr>
        <w:t>9</w:t>
      </w:r>
      <w:r w:rsidR="002E6077" w:rsidRPr="00A67C76">
        <w:fldChar w:fldCharType="end"/>
      </w:r>
      <w:r w:rsidRPr="00A67C76">
        <w:t>). During the unregulated High flow phase, abundances were low with only 50 and 103 fish sampled moving in and out of the wetland, respectively.  During Receding flows, abundances increased substantially with a total of 4,923 fish sampled, of which 70% were invasive juvenile common carp and 20% were native foraging generalists including carp gudgeons (</w:t>
      </w:r>
      <w:r w:rsidR="002E6077" w:rsidRPr="00A67C76">
        <w:fldChar w:fldCharType="begin"/>
      </w:r>
      <w:r w:rsidRPr="00A67C76">
        <w:instrText xml:space="preserve"> REF _Ref381781306 \h </w:instrText>
      </w:r>
      <w:r w:rsidR="002E6077" w:rsidRPr="00A67C76">
        <w:fldChar w:fldCharType="separate"/>
      </w:r>
      <w:r w:rsidR="009659F2" w:rsidRPr="00A67C76">
        <w:t xml:space="preserve">Table </w:t>
      </w:r>
      <w:r w:rsidR="009659F2">
        <w:rPr>
          <w:noProof/>
        </w:rPr>
        <w:t>9</w:t>
      </w:r>
      <w:r w:rsidR="002E6077" w:rsidRPr="00A67C76">
        <w:fldChar w:fldCharType="end"/>
      </w:r>
      <w:r w:rsidRPr="00A67C76">
        <w:t>). During the delivery of the EW flow pulse, assemblages were dominated by native foraging generalists and number</w:t>
      </w:r>
      <w:r w:rsidR="00697DAE">
        <w:t>s of flow dependent specialist g</w:t>
      </w:r>
      <w:r w:rsidRPr="00A67C76">
        <w:t>olden perch were slightly higher.</w:t>
      </w:r>
    </w:p>
    <w:p w:rsidR="00DB21D5" w:rsidRPr="00A67C76" w:rsidRDefault="00DB21D5" w:rsidP="00A4077A">
      <w:r w:rsidRPr="00A67C76">
        <w:t>Principal component analysis identified two broad groupings of fish assemblages by flow phase. One grouping consisted of assemblages sampled during the High flow phase and the other group comprised assemblages sampled during all other flow phases (</w:t>
      </w:r>
      <w:r w:rsidR="00A4077A">
        <w:t>Figure 27</w:t>
      </w:r>
      <w:r w:rsidRPr="00A67C76">
        <w:t xml:space="preserve">). However, groupings of assemblages according to the direction they were moving during each flow phase were less distinct. The total variation in fish assemblages was well captured by PCO1 and PCO2 (70.6%). </w:t>
      </w:r>
    </w:p>
    <w:p w:rsidR="000348BA" w:rsidRDefault="000348BA" w:rsidP="000348BA">
      <w:pPr>
        <w:pStyle w:val="Caption"/>
      </w:pPr>
      <w:bookmarkStart w:id="138" w:name="_Ref381781073"/>
      <w:bookmarkStart w:id="139" w:name="_Toc387843078"/>
      <w:r w:rsidRPr="00800B27">
        <w:rPr>
          <w:noProof/>
          <w:lang w:eastAsia="en-AU"/>
        </w:rPr>
        <w:drawing>
          <wp:inline distT="0" distB="0" distL="0" distR="0">
            <wp:extent cx="4828720" cy="3780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71" r="22982" b="1376"/>
                    <a:stretch/>
                  </pic:blipFill>
                  <pic:spPr bwMode="auto">
                    <a:xfrm>
                      <a:off x="0" y="0"/>
                      <a:ext cx="4828720" cy="378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348BA" w:rsidRPr="00A67C76" w:rsidRDefault="000348BA" w:rsidP="000348BA">
      <w:pPr>
        <w:pStyle w:val="Caption"/>
      </w:pPr>
      <w:proofErr w:type="gramStart"/>
      <w:r w:rsidRPr="00A67C76">
        <w:t xml:space="preserve">Figure </w:t>
      </w:r>
      <w:proofErr w:type="gramEnd"/>
      <w:r w:rsidR="002E6077">
        <w:fldChar w:fldCharType="begin"/>
      </w:r>
      <w:r w:rsidR="009D1F5A">
        <w:instrText xml:space="preserve"> SEQ Figure \* ARABIC </w:instrText>
      </w:r>
      <w:r w:rsidR="002E6077">
        <w:fldChar w:fldCharType="separate"/>
      </w:r>
      <w:r w:rsidR="009659F2">
        <w:rPr>
          <w:noProof/>
        </w:rPr>
        <w:t>27</w:t>
      </w:r>
      <w:r w:rsidR="002E6077">
        <w:rPr>
          <w:noProof/>
        </w:rPr>
        <w:fldChar w:fldCharType="end"/>
      </w:r>
      <w:bookmarkEnd w:id="138"/>
      <w:proofErr w:type="gramStart"/>
      <w:r w:rsidRPr="00A67C76">
        <w:t>.</w:t>
      </w:r>
      <w:proofErr w:type="gramEnd"/>
      <w:r w:rsidRPr="00A67C76">
        <w:t xml:space="preserve"> Principal component analysis of fish assemblages moving ‘IN’ (open symbols) and ‘OUT’ (closed symbols) of the wetland at Overland Corner during six flow phases in the Lower Murray River in 2012</w:t>
      </w:r>
      <w:r w:rsidRPr="00FD328A">
        <w:t>-13</w:t>
      </w:r>
      <w:r w:rsidRPr="00A67C76">
        <w:t xml:space="preserve"> (Low flow phase: X = IN; + = out).</w:t>
      </w:r>
      <w:bookmarkEnd w:id="139"/>
      <w:r>
        <w:t xml:space="preserve"> EW: environmental water event. (*): invasive species.</w:t>
      </w:r>
    </w:p>
    <w:p w:rsidR="00DB21D5" w:rsidRPr="00A67C76" w:rsidRDefault="00DB21D5" w:rsidP="00DB21D5">
      <w:pPr>
        <w:pStyle w:val="Caption"/>
        <w:sectPr w:rsidR="00DB21D5" w:rsidRPr="00A67C76" w:rsidSect="00EA303E">
          <w:footerReference w:type="default" r:id="rId69"/>
          <w:pgSz w:w="11906" w:h="16838" w:code="9"/>
          <w:pgMar w:top="1440" w:right="1797" w:bottom="1077" w:left="1797" w:header="709" w:footer="709" w:gutter="0"/>
          <w:cols w:space="708"/>
          <w:docGrid w:linePitch="360"/>
        </w:sectPr>
      </w:pPr>
      <w:r w:rsidRPr="00A67C76">
        <w:br w:type="page"/>
      </w:r>
    </w:p>
    <w:p w:rsidR="00DB21D5" w:rsidRPr="00A67C76" w:rsidRDefault="00DB21D5" w:rsidP="00DB21D5">
      <w:pPr>
        <w:pStyle w:val="Caption"/>
      </w:pPr>
      <w:bookmarkStart w:id="140" w:name="_Ref381781306"/>
      <w:bookmarkStart w:id="141" w:name="_Toc387929711"/>
      <w:proofErr w:type="gramStart"/>
      <w:r w:rsidRPr="00A67C76">
        <w:t xml:space="preserve">Table </w:t>
      </w:r>
      <w:proofErr w:type="gramEnd"/>
      <w:r w:rsidR="002E6077" w:rsidRPr="00A67C76">
        <w:fldChar w:fldCharType="begin"/>
      </w:r>
      <w:r w:rsidR="00110CB9" w:rsidRPr="00A67C76">
        <w:instrText xml:space="preserve"> SEQ Table \* ARABIC </w:instrText>
      </w:r>
      <w:r w:rsidR="002E6077" w:rsidRPr="00A67C76">
        <w:fldChar w:fldCharType="separate"/>
      </w:r>
      <w:r w:rsidR="009659F2">
        <w:rPr>
          <w:noProof/>
        </w:rPr>
        <w:t>9</w:t>
      </w:r>
      <w:r w:rsidR="002E6077" w:rsidRPr="00A67C76">
        <w:rPr>
          <w:noProof/>
        </w:rPr>
        <w:fldChar w:fldCharType="end"/>
      </w:r>
      <w:bookmarkEnd w:id="140"/>
      <w:proofErr w:type="gramStart"/>
      <w:r w:rsidRPr="00A67C76">
        <w:t>.</w:t>
      </w:r>
      <w:proofErr w:type="gramEnd"/>
      <w:r w:rsidRPr="00A67C76">
        <w:t xml:space="preserve"> Species and total number (standardised – 24 hour soak time) of fish captured using directional fyke nets and drum nets moving in and out of the wetland at Overland Corner over a 3-day period during each of the six phases of flow delivery. Functional groups: FD = flow dependent specialists, FG = foraging generalists, D = diadromous species, I = Invasive species (Abbreviation: </w:t>
      </w:r>
      <w:r w:rsidRPr="00A67C76">
        <w:rPr>
          <w:i/>
        </w:rPr>
        <w:t>Craterocephalus stercus</w:t>
      </w:r>
      <w:r w:rsidRPr="00A67C76">
        <w:t xml:space="preserve">. = </w:t>
      </w:r>
      <w:r w:rsidRPr="00A67C76">
        <w:rPr>
          <w:i/>
        </w:rPr>
        <w:t>Craterocephalus stercusmuscarum fulvus</w:t>
      </w:r>
      <w:r w:rsidRPr="00A67C76">
        <w:t>).</w:t>
      </w:r>
      <w:bookmarkEnd w:id="141"/>
      <w:r w:rsidR="009731C5">
        <w:t xml:space="preserve"> EW: environmental water event.</w:t>
      </w:r>
    </w:p>
    <w:tbl>
      <w:tblPr>
        <w:tblStyle w:val="TableGrid"/>
        <w:tblW w:w="15452" w:type="dxa"/>
        <w:tblInd w:w="-318" w:type="dxa"/>
        <w:tblBorders>
          <w:left w:val="none" w:sz="0" w:space="0" w:color="auto"/>
          <w:bottom w:val="none" w:sz="0" w:space="0" w:color="auto"/>
          <w:right w:val="none" w:sz="0" w:space="0" w:color="auto"/>
          <w:insideV w:val="none" w:sz="0" w:space="0" w:color="auto"/>
        </w:tblBorders>
        <w:tblLayout w:type="fixed"/>
        <w:tblLook w:val="04A0"/>
      </w:tblPr>
      <w:tblGrid>
        <w:gridCol w:w="2836"/>
        <w:gridCol w:w="1701"/>
        <w:gridCol w:w="1134"/>
        <w:gridCol w:w="1322"/>
        <w:gridCol w:w="662"/>
        <w:gridCol w:w="709"/>
        <w:gridCol w:w="709"/>
        <w:gridCol w:w="709"/>
        <w:gridCol w:w="708"/>
        <w:gridCol w:w="709"/>
        <w:gridCol w:w="709"/>
        <w:gridCol w:w="709"/>
        <w:gridCol w:w="708"/>
        <w:gridCol w:w="709"/>
        <w:gridCol w:w="709"/>
        <w:gridCol w:w="709"/>
      </w:tblGrid>
      <w:tr w:rsidR="00DB21D5" w:rsidRPr="00A67C76" w:rsidTr="00DB21D5">
        <w:trPr>
          <w:trHeight w:val="346"/>
        </w:trPr>
        <w:tc>
          <w:tcPr>
            <w:tcW w:w="2836" w:type="dxa"/>
            <w:vMerge w:val="restart"/>
            <w:shd w:val="clear" w:color="auto" w:fill="auto"/>
          </w:tcPr>
          <w:p w:rsidR="00DB21D5" w:rsidRPr="00A67C76" w:rsidRDefault="00DB21D5" w:rsidP="00DB21D5">
            <w:pPr>
              <w:spacing w:before="60" w:after="60" w:line="240" w:lineRule="auto"/>
              <w:rPr>
                <w:b/>
                <w:sz w:val="20"/>
              </w:rPr>
            </w:pPr>
            <w:r w:rsidRPr="00A67C76">
              <w:rPr>
                <w:b/>
                <w:sz w:val="20"/>
              </w:rPr>
              <w:t>Species</w:t>
            </w:r>
          </w:p>
          <w:p w:rsidR="00DB21D5" w:rsidRPr="00A67C76" w:rsidRDefault="00DB21D5" w:rsidP="00DB21D5">
            <w:pPr>
              <w:spacing w:before="60" w:after="60" w:line="240" w:lineRule="auto"/>
              <w:rPr>
                <w:b/>
                <w:sz w:val="20"/>
              </w:rPr>
            </w:pPr>
          </w:p>
          <w:p w:rsidR="00DB21D5" w:rsidRPr="00A67C76" w:rsidRDefault="00DB21D5" w:rsidP="00DB21D5">
            <w:pPr>
              <w:spacing w:before="60" w:after="60" w:line="240" w:lineRule="auto"/>
              <w:rPr>
                <w:b/>
                <w:sz w:val="20"/>
              </w:rPr>
            </w:pPr>
            <w:r w:rsidRPr="00A67C76">
              <w:rPr>
                <w:b/>
                <w:sz w:val="20"/>
              </w:rPr>
              <w:t>Common name</w:t>
            </w:r>
          </w:p>
        </w:tc>
        <w:tc>
          <w:tcPr>
            <w:tcW w:w="2835" w:type="dxa"/>
            <w:gridSpan w:val="2"/>
            <w:vMerge w:val="restart"/>
            <w:shd w:val="clear" w:color="auto" w:fill="auto"/>
          </w:tcPr>
          <w:p w:rsidR="00DB21D5" w:rsidRPr="00A67C76" w:rsidRDefault="00DB21D5" w:rsidP="00DB21D5">
            <w:pPr>
              <w:spacing w:before="60" w:after="60" w:line="240" w:lineRule="auto"/>
              <w:rPr>
                <w:b/>
                <w:sz w:val="20"/>
              </w:rPr>
            </w:pPr>
          </w:p>
          <w:p w:rsidR="00DB21D5" w:rsidRPr="00A67C76" w:rsidRDefault="00DB21D5" w:rsidP="00DB21D5">
            <w:pPr>
              <w:spacing w:before="60" w:after="60" w:line="240" w:lineRule="auto"/>
              <w:rPr>
                <w:b/>
                <w:sz w:val="20"/>
              </w:rPr>
            </w:pPr>
          </w:p>
          <w:p w:rsidR="00DB21D5" w:rsidRPr="00A67C76" w:rsidRDefault="00DB21D5" w:rsidP="00DB21D5">
            <w:pPr>
              <w:spacing w:before="60" w:after="60" w:line="240" w:lineRule="auto"/>
              <w:rPr>
                <w:b/>
                <w:sz w:val="20"/>
              </w:rPr>
            </w:pPr>
            <w:r w:rsidRPr="00A67C76">
              <w:rPr>
                <w:b/>
                <w:sz w:val="20"/>
              </w:rPr>
              <w:t>Scientific name</w:t>
            </w:r>
          </w:p>
        </w:tc>
        <w:tc>
          <w:tcPr>
            <w:tcW w:w="1322" w:type="dxa"/>
            <w:vMerge w:val="restart"/>
            <w:shd w:val="clear" w:color="auto" w:fill="auto"/>
          </w:tcPr>
          <w:p w:rsidR="00DB21D5" w:rsidRPr="00A67C76" w:rsidRDefault="00DB21D5" w:rsidP="00DB21D5">
            <w:pPr>
              <w:spacing w:before="60" w:after="60" w:line="240" w:lineRule="auto"/>
              <w:jc w:val="center"/>
              <w:rPr>
                <w:b/>
                <w:sz w:val="20"/>
              </w:rPr>
            </w:pPr>
          </w:p>
          <w:p w:rsidR="00DB21D5" w:rsidRPr="00A67C76" w:rsidRDefault="00DB21D5" w:rsidP="00DB21D5">
            <w:pPr>
              <w:spacing w:before="60" w:after="60" w:line="240" w:lineRule="auto"/>
              <w:jc w:val="center"/>
              <w:rPr>
                <w:b/>
                <w:sz w:val="20"/>
              </w:rPr>
            </w:pPr>
            <w:r w:rsidRPr="00A67C76">
              <w:rPr>
                <w:b/>
                <w:sz w:val="20"/>
              </w:rPr>
              <w:t>Functional group</w:t>
            </w:r>
          </w:p>
        </w:tc>
        <w:tc>
          <w:tcPr>
            <w:tcW w:w="1371" w:type="dxa"/>
            <w:gridSpan w:val="2"/>
            <w:shd w:val="clear" w:color="auto" w:fill="auto"/>
          </w:tcPr>
          <w:p w:rsidR="00DB21D5" w:rsidRPr="00A67C76" w:rsidRDefault="00DB21D5" w:rsidP="00DB21D5">
            <w:pPr>
              <w:spacing w:before="60" w:after="60" w:line="240" w:lineRule="auto"/>
              <w:jc w:val="center"/>
              <w:rPr>
                <w:b/>
                <w:sz w:val="20"/>
              </w:rPr>
            </w:pPr>
          </w:p>
          <w:p w:rsidR="00DB21D5" w:rsidRPr="00A67C76" w:rsidRDefault="00DB21D5" w:rsidP="00DB21D5">
            <w:pPr>
              <w:spacing w:before="60" w:after="60" w:line="240" w:lineRule="auto"/>
              <w:jc w:val="center"/>
              <w:rPr>
                <w:b/>
                <w:sz w:val="20"/>
              </w:rPr>
            </w:pPr>
            <w:r w:rsidRPr="00A67C76">
              <w:rPr>
                <w:b/>
                <w:sz w:val="20"/>
              </w:rPr>
              <w:t>High</w:t>
            </w:r>
          </w:p>
        </w:tc>
        <w:tc>
          <w:tcPr>
            <w:tcW w:w="1418" w:type="dxa"/>
            <w:gridSpan w:val="2"/>
            <w:shd w:val="clear" w:color="auto" w:fill="auto"/>
          </w:tcPr>
          <w:p w:rsidR="00DB21D5" w:rsidRPr="00A67C76" w:rsidRDefault="00DB21D5" w:rsidP="00DB21D5">
            <w:pPr>
              <w:spacing w:before="60" w:after="60" w:line="240" w:lineRule="auto"/>
              <w:jc w:val="center"/>
              <w:rPr>
                <w:b/>
                <w:sz w:val="20"/>
              </w:rPr>
            </w:pPr>
          </w:p>
          <w:p w:rsidR="00DB21D5" w:rsidRPr="00A67C76" w:rsidRDefault="00DB21D5" w:rsidP="00DB21D5">
            <w:pPr>
              <w:spacing w:before="60" w:after="60" w:line="240" w:lineRule="auto"/>
              <w:jc w:val="center"/>
              <w:rPr>
                <w:b/>
                <w:sz w:val="20"/>
              </w:rPr>
            </w:pPr>
            <w:r w:rsidRPr="00A67C76">
              <w:rPr>
                <w:b/>
                <w:sz w:val="20"/>
              </w:rPr>
              <w:t>Receding</w:t>
            </w:r>
          </w:p>
        </w:tc>
        <w:tc>
          <w:tcPr>
            <w:tcW w:w="1417" w:type="dxa"/>
            <w:gridSpan w:val="2"/>
            <w:shd w:val="clear" w:color="auto" w:fill="auto"/>
          </w:tcPr>
          <w:p w:rsidR="00DB21D5" w:rsidRPr="00A67C76" w:rsidRDefault="00DB21D5" w:rsidP="00DB21D5">
            <w:pPr>
              <w:spacing w:before="60" w:after="60" w:line="240" w:lineRule="auto"/>
              <w:jc w:val="center"/>
              <w:rPr>
                <w:b/>
                <w:sz w:val="20"/>
              </w:rPr>
            </w:pPr>
          </w:p>
          <w:p w:rsidR="00DB21D5" w:rsidRPr="00A67C76" w:rsidRDefault="00DB21D5" w:rsidP="00DB21D5">
            <w:pPr>
              <w:spacing w:before="60" w:after="60" w:line="240" w:lineRule="auto"/>
              <w:jc w:val="center"/>
              <w:rPr>
                <w:b/>
                <w:sz w:val="20"/>
              </w:rPr>
            </w:pPr>
            <w:r w:rsidRPr="00A67C76">
              <w:rPr>
                <w:b/>
                <w:sz w:val="20"/>
              </w:rPr>
              <w:t>Rising EW</w:t>
            </w:r>
          </w:p>
        </w:tc>
        <w:tc>
          <w:tcPr>
            <w:tcW w:w="1418" w:type="dxa"/>
            <w:gridSpan w:val="2"/>
            <w:shd w:val="clear" w:color="auto" w:fill="auto"/>
          </w:tcPr>
          <w:p w:rsidR="00DB21D5" w:rsidRPr="00A67C76" w:rsidRDefault="00DB21D5" w:rsidP="00DB21D5">
            <w:pPr>
              <w:spacing w:before="60" w:after="60" w:line="240" w:lineRule="auto"/>
              <w:jc w:val="center"/>
              <w:rPr>
                <w:b/>
                <w:sz w:val="20"/>
              </w:rPr>
            </w:pPr>
          </w:p>
          <w:p w:rsidR="00DB21D5" w:rsidRPr="00A67C76" w:rsidRDefault="009731C5" w:rsidP="00DB21D5">
            <w:pPr>
              <w:spacing w:before="60" w:after="60" w:line="240" w:lineRule="auto"/>
              <w:jc w:val="center"/>
              <w:rPr>
                <w:b/>
                <w:sz w:val="20"/>
              </w:rPr>
            </w:pPr>
            <w:r>
              <w:rPr>
                <w:b/>
                <w:sz w:val="20"/>
              </w:rPr>
              <w:t xml:space="preserve">High </w:t>
            </w:r>
            <w:r w:rsidR="00DB21D5" w:rsidRPr="00A67C76">
              <w:rPr>
                <w:b/>
                <w:sz w:val="20"/>
              </w:rPr>
              <w:t>EW</w:t>
            </w:r>
          </w:p>
        </w:tc>
        <w:tc>
          <w:tcPr>
            <w:tcW w:w="1417" w:type="dxa"/>
            <w:gridSpan w:val="2"/>
            <w:shd w:val="clear" w:color="auto" w:fill="auto"/>
          </w:tcPr>
          <w:p w:rsidR="00DB21D5" w:rsidRPr="00A67C76" w:rsidRDefault="009731C5" w:rsidP="00DB21D5">
            <w:pPr>
              <w:spacing w:before="60" w:after="60" w:line="240" w:lineRule="auto"/>
              <w:jc w:val="center"/>
              <w:rPr>
                <w:b/>
                <w:sz w:val="20"/>
              </w:rPr>
            </w:pPr>
            <w:r>
              <w:rPr>
                <w:b/>
                <w:sz w:val="20"/>
              </w:rPr>
              <w:t xml:space="preserve">Receding </w:t>
            </w:r>
            <w:r w:rsidR="00DB21D5" w:rsidRPr="00A67C76">
              <w:rPr>
                <w:b/>
                <w:sz w:val="20"/>
              </w:rPr>
              <w:t>EW</w:t>
            </w:r>
          </w:p>
        </w:tc>
        <w:tc>
          <w:tcPr>
            <w:tcW w:w="1418" w:type="dxa"/>
            <w:gridSpan w:val="2"/>
            <w:shd w:val="clear" w:color="auto" w:fill="auto"/>
          </w:tcPr>
          <w:p w:rsidR="00DB21D5" w:rsidRPr="00A67C76" w:rsidRDefault="00DB21D5" w:rsidP="00DB21D5">
            <w:pPr>
              <w:spacing w:before="60" w:after="60" w:line="240" w:lineRule="auto"/>
              <w:jc w:val="center"/>
              <w:rPr>
                <w:b/>
                <w:sz w:val="20"/>
              </w:rPr>
            </w:pPr>
          </w:p>
          <w:p w:rsidR="00DB21D5" w:rsidRPr="00A67C76" w:rsidRDefault="00DB21D5" w:rsidP="00DB21D5">
            <w:pPr>
              <w:spacing w:before="60" w:after="60" w:line="240" w:lineRule="auto"/>
              <w:jc w:val="center"/>
              <w:rPr>
                <w:b/>
                <w:sz w:val="20"/>
              </w:rPr>
            </w:pPr>
            <w:r w:rsidRPr="00A67C76">
              <w:rPr>
                <w:b/>
                <w:sz w:val="20"/>
              </w:rPr>
              <w:t>Low</w:t>
            </w:r>
          </w:p>
        </w:tc>
      </w:tr>
      <w:tr w:rsidR="00DB21D5" w:rsidRPr="00A67C76" w:rsidTr="00DB21D5">
        <w:trPr>
          <w:trHeight w:val="345"/>
        </w:trPr>
        <w:tc>
          <w:tcPr>
            <w:tcW w:w="2836" w:type="dxa"/>
            <w:vMerge/>
            <w:shd w:val="clear" w:color="auto" w:fill="auto"/>
          </w:tcPr>
          <w:p w:rsidR="00DB21D5" w:rsidRPr="00A67C76" w:rsidRDefault="00DB21D5" w:rsidP="00DB21D5">
            <w:pPr>
              <w:spacing w:before="60" w:after="60" w:line="240" w:lineRule="auto"/>
              <w:rPr>
                <w:b/>
                <w:sz w:val="20"/>
              </w:rPr>
            </w:pPr>
          </w:p>
        </w:tc>
        <w:tc>
          <w:tcPr>
            <w:tcW w:w="2835" w:type="dxa"/>
            <w:gridSpan w:val="2"/>
            <w:vMerge/>
            <w:shd w:val="clear" w:color="auto" w:fill="auto"/>
          </w:tcPr>
          <w:p w:rsidR="00DB21D5" w:rsidRPr="00A67C76" w:rsidRDefault="00DB21D5" w:rsidP="00DB21D5">
            <w:pPr>
              <w:spacing w:before="60" w:after="60" w:line="240" w:lineRule="auto"/>
              <w:rPr>
                <w:b/>
                <w:sz w:val="20"/>
              </w:rPr>
            </w:pPr>
          </w:p>
        </w:tc>
        <w:tc>
          <w:tcPr>
            <w:tcW w:w="1322" w:type="dxa"/>
            <w:vMerge/>
            <w:shd w:val="clear" w:color="auto" w:fill="auto"/>
          </w:tcPr>
          <w:p w:rsidR="00DB21D5" w:rsidRPr="00A67C76" w:rsidRDefault="00DB21D5" w:rsidP="00DB21D5">
            <w:pPr>
              <w:spacing w:before="60" w:after="60" w:line="240" w:lineRule="auto"/>
              <w:jc w:val="center"/>
              <w:rPr>
                <w:b/>
                <w:sz w:val="20"/>
              </w:rPr>
            </w:pPr>
          </w:p>
        </w:tc>
        <w:tc>
          <w:tcPr>
            <w:tcW w:w="662" w:type="dxa"/>
            <w:shd w:val="clear" w:color="auto" w:fill="auto"/>
          </w:tcPr>
          <w:p w:rsidR="00DB21D5" w:rsidRPr="00A67C76" w:rsidRDefault="00DB21D5" w:rsidP="00DB21D5">
            <w:pPr>
              <w:spacing w:before="60" w:after="60" w:line="240" w:lineRule="auto"/>
              <w:jc w:val="center"/>
              <w:rPr>
                <w:b/>
                <w:sz w:val="20"/>
              </w:rPr>
            </w:pPr>
            <w:r w:rsidRPr="00A67C76">
              <w:rPr>
                <w:b/>
                <w:sz w:val="20"/>
              </w:rPr>
              <w:t>in</w:t>
            </w:r>
          </w:p>
        </w:tc>
        <w:tc>
          <w:tcPr>
            <w:tcW w:w="709" w:type="dxa"/>
            <w:shd w:val="clear" w:color="auto" w:fill="auto"/>
          </w:tcPr>
          <w:p w:rsidR="00DB21D5" w:rsidRPr="00A67C76" w:rsidRDefault="00DB21D5" w:rsidP="00DB21D5">
            <w:pPr>
              <w:spacing w:before="60" w:after="60" w:line="240" w:lineRule="auto"/>
              <w:jc w:val="center"/>
              <w:rPr>
                <w:b/>
                <w:sz w:val="20"/>
              </w:rPr>
            </w:pPr>
            <w:r w:rsidRPr="00A67C76">
              <w:rPr>
                <w:b/>
                <w:sz w:val="20"/>
              </w:rPr>
              <w:t>out</w:t>
            </w:r>
          </w:p>
        </w:tc>
        <w:tc>
          <w:tcPr>
            <w:tcW w:w="709" w:type="dxa"/>
            <w:shd w:val="clear" w:color="auto" w:fill="auto"/>
          </w:tcPr>
          <w:p w:rsidR="00DB21D5" w:rsidRPr="00A67C76" w:rsidRDefault="00DB21D5" w:rsidP="00DB21D5">
            <w:pPr>
              <w:spacing w:before="60" w:after="60" w:line="240" w:lineRule="auto"/>
              <w:jc w:val="center"/>
              <w:rPr>
                <w:b/>
                <w:sz w:val="20"/>
              </w:rPr>
            </w:pPr>
            <w:r w:rsidRPr="00A67C76">
              <w:rPr>
                <w:b/>
                <w:sz w:val="20"/>
              </w:rPr>
              <w:t>in</w:t>
            </w:r>
          </w:p>
        </w:tc>
        <w:tc>
          <w:tcPr>
            <w:tcW w:w="709" w:type="dxa"/>
            <w:shd w:val="clear" w:color="auto" w:fill="auto"/>
          </w:tcPr>
          <w:p w:rsidR="00DB21D5" w:rsidRPr="00A67C76" w:rsidRDefault="00DB21D5" w:rsidP="00DB21D5">
            <w:pPr>
              <w:spacing w:before="60" w:after="60" w:line="240" w:lineRule="auto"/>
              <w:jc w:val="center"/>
              <w:rPr>
                <w:b/>
                <w:sz w:val="20"/>
              </w:rPr>
            </w:pPr>
            <w:r w:rsidRPr="00A67C76">
              <w:rPr>
                <w:b/>
                <w:sz w:val="20"/>
              </w:rPr>
              <w:t>out</w:t>
            </w:r>
          </w:p>
        </w:tc>
        <w:tc>
          <w:tcPr>
            <w:tcW w:w="708" w:type="dxa"/>
            <w:shd w:val="clear" w:color="auto" w:fill="auto"/>
          </w:tcPr>
          <w:p w:rsidR="00DB21D5" w:rsidRPr="00A67C76" w:rsidRDefault="00DB21D5" w:rsidP="00DB21D5">
            <w:pPr>
              <w:spacing w:before="60" w:after="60" w:line="240" w:lineRule="auto"/>
              <w:jc w:val="center"/>
              <w:rPr>
                <w:b/>
                <w:sz w:val="20"/>
              </w:rPr>
            </w:pPr>
            <w:r w:rsidRPr="00A67C76">
              <w:rPr>
                <w:b/>
                <w:sz w:val="20"/>
              </w:rPr>
              <w:t>in</w:t>
            </w:r>
          </w:p>
        </w:tc>
        <w:tc>
          <w:tcPr>
            <w:tcW w:w="709" w:type="dxa"/>
            <w:shd w:val="clear" w:color="auto" w:fill="auto"/>
          </w:tcPr>
          <w:p w:rsidR="00DB21D5" w:rsidRPr="00A67C76" w:rsidRDefault="00DB21D5" w:rsidP="00DB21D5">
            <w:pPr>
              <w:spacing w:before="60" w:after="60" w:line="240" w:lineRule="auto"/>
              <w:jc w:val="center"/>
              <w:rPr>
                <w:b/>
                <w:sz w:val="20"/>
              </w:rPr>
            </w:pPr>
            <w:r w:rsidRPr="00A67C76">
              <w:rPr>
                <w:b/>
                <w:sz w:val="20"/>
              </w:rPr>
              <w:t>out</w:t>
            </w:r>
          </w:p>
        </w:tc>
        <w:tc>
          <w:tcPr>
            <w:tcW w:w="709" w:type="dxa"/>
            <w:shd w:val="clear" w:color="auto" w:fill="auto"/>
          </w:tcPr>
          <w:p w:rsidR="00DB21D5" w:rsidRPr="00A67C76" w:rsidRDefault="00DB21D5" w:rsidP="00DB21D5">
            <w:pPr>
              <w:spacing w:before="60" w:after="60" w:line="240" w:lineRule="auto"/>
              <w:jc w:val="center"/>
              <w:rPr>
                <w:b/>
                <w:sz w:val="20"/>
              </w:rPr>
            </w:pPr>
            <w:r w:rsidRPr="00A67C76">
              <w:rPr>
                <w:b/>
                <w:sz w:val="20"/>
              </w:rPr>
              <w:t>in</w:t>
            </w:r>
          </w:p>
        </w:tc>
        <w:tc>
          <w:tcPr>
            <w:tcW w:w="709" w:type="dxa"/>
            <w:shd w:val="clear" w:color="auto" w:fill="auto"/>
          </w:tcPr>
          <w:p w:rsidR="00DB21D5" w:rsidRPr="00A67C76" w:rsidRDefault="00DB21D5" w:rsidP="00DB21D5">
            <w:pPr>
              <w:spacing w:before="60" w:after="60" w:line="240" w:lineRule="auto"/>
              <w:jc w:val="center"/>
              <w:rPr>
                <w:b/>
                <w:sz w:val="20"/>
              </w:rPr>
            </w:pPr>
            <w:r w:rsidRPr="00A67C76">
              <w:rPr>
                <w:b/>
                <w:sz w:val="20"/>
              </w:rPr>
              <w:t>out</w:t>
            </w:r>
          </w:p>
        </w:tc>
        <w:tc>
          <w:tcPr>
            <w:tcW w:w="708" w:type="dxa"/>
            <w:shd w:val="clear" w:color="auto" w:fill="auto"/>
          </w:tcPr>
          <w:p w:rsidR="00DB21D5" w:rsidRPr="00A67C76" w:rsidRDefault="00DB21D5" w:rsidP="00DB21D5">
            <w:pPr>
              <w:spacing w:before="60" w:after="60" w:line="240" w:lineRule="auto"/>
              <w:jc w:val="center"/>
              <w:rPr>
                <w:b/>
                <w:sz w:val="20"/>
              </w:rPr>
            </w:pPr>
            <w:r w:rsidRPr="00A67C76">
              <w:rPr>
                <w:b/>
                <w:sz w:val="20"/>
              </w:rPr>
              <w:t>in</w:t>
            </w:r>
          </w:p>
        </w:tc>
        <w:tc>
          <w:tcPr>
            <w:tcW w:w="709" w:type="dxa"/>
            <w:shd w:val="clear" w:color="auto" w:fill="auto"/>
          </w:tcPr>
          <w:p w:rsidR="00DB21D5" w:rsidRPr="00A67C76" w:rsidRDefault="00DB21D5" w:rsidP="00DB21D5">
            <w:pPr>
              <w:spacing w:before="60" w:after="60" w:line="240" w:lineRule="auto"/>
              <w:jc w:val="center"/>
              <w:rPr>
                <w:b/>
                <w:sz w:val="20"/>
              </w:rPr>
            </w:pPr>
            <w:r w:rsidRPr="00A67C76">
              <w:rPr>
                <w:b/>
                <w:sz w:val="20"/>
              </w:rPr>
              <w:t>out</w:t>
            </w:r>
          </w:p>
        </w:tc>
        <w:tc>
          <w:tcPr>
            <w:tcW w:w="709" w:type="dxa"/>
            <w:shd w:val="clear" w:color="auto" w:fill="auto"/>
          </w:tcPr>
          <w:p w:rsidR="00DB21D5" w:rsidRPr="00A67C76" w:rsidRDefault="00DB21D5" w:rsidP="00DB21D5">
            <w:pPr>
              <w:spacing w:before="60" w:after="60" w:line="240" w:lineRule="auto"/>
              <w:jc w:val="center"/>
              <w:rPr>
                <w:b/>
                <w:sz w:val="20"/>
              </w:rPr>
            </w:pPr>
            <w:r w:rsidRPr="00A67C76">
              <w:rPr>
                <w:b/>
                <w:sz w:val="20"/>
              </w:rPr>
              <w:t>in</w:t>
            </w:r>
          </w:p>
        </w:tc>
        <w:tc>
          <w:tcPr>
            <w:tcW w:w="709" w:type="dxa"/>
            <w:shd w:val="clear" w:color="auto" w:fill="auto"/>
          </w:tcPr>
          <w:p w:rsidR="00DB21D5" w:rsidRPr="00A67C76" w:rsidRDefault="00DB21D5" w:rsidP="00DB21D5">
            <w:pPr>
              <w:spacing w:before="60" w:after="60" w:line="240" w:lineRule="auto"/>
              <w:jc w:val="center"/>
              <w:rPr>
                <w:b/>
                <w:sz w:val="20"/>
              </w:rPr>
            </w:pPr>
            <w:r w:rsidRPr="00A67C76">
              <w:rPr>
                <w:b/>
                <w:sz w:val="20"/>
              </w:rPr>
              <w:t>out</w:t>
            </w:r>
          </w:p>
        </w:tc>
      </w:tr>
      <w:tr w:rsidR="00DB21D5" w:rsidRPr="00A67C76" w:rsidTr="00DB21D5">
        <w:tc>
          <w:tcPr>
            <w:tcW w:w="2836" w:type="dxa"/>
            <w:shd w:val="clear" w:color="auto" w:fill="auto"/>
          </w:tcPr>
          <w:p w:rsidR="00DB21D5" w:rsidRPr="00A67C76" w:rsidRDefault="00DB21D5" w:rsidP="00DB21D5">
            <w:pPr>
              <w:spacing w:before="60" w:after="60" w:line="240" w:lineRule="auto"/>
              <w:rPr>
                <w:sz w:val="20"/>
              </w:rPr>
            </w:pPr>
            <w:r w:rsidRPr="00A67C76">
              <w:rPr>
                <w:sz w:val="20"/>
              </w:rPr>
              <w:t>Golden perch</w:t>
            </w:r>
          </w:p>
          <w:p w:rsidR="00DB21D5" w:rsidRPr="00A67C76" w:rsidRDefault="00DB21D5" w:rsidP="00DB21D5">
            <w:pPr>
              <w:spacing w:before="60" w:after="60" w:line="240" w:lineRule="auto"/>
              <w:rPr>
                <w:sz w:val="20"/>
              </w:rPr>
            </w:pPr>
            <w:r w:rsidRPr="00A67C76">
              <w:rPr>
                <w:sz w:val="20"/>
              </w:rPr>
              <w:t>Silver perch</w:t>
            </w:r>
          </w:p>
          <w:p w:rsidR="00DB21D5" w:rsidRPr="00A67C76" w:rsidRDefault="00DB21D5" w:rsidP="00DB21D5">
            <w:pPr>
              <w:spacing w:before="60" w:after="60" w:line="240" w:lineRule="auto"/>
              <w:rPr>
                <w:sz w:val="20"/>
              </w:rPr>
            </w:pPr>
            <w:r w:rsidRPr="00A67C76">
              <w:rPr>
                <w:sz w:val="20"/>
              </w:rPr>
              <w:t>Unspecked hardyhead</w:t>
            </w:r>
          </w:p>
          <w:p w:rsidR="00DB21D5" w:rsidRPr="00A67C76" w:rsidRDefault="00DB21D5" w:rsidP="00DB21D5">
            <w:pPr>
              <w:spacing w:before="60" w:after="60" w:line="240" w:lineRule="auto"/>
              <w:rPr>
                <w:sz w:val="20"/>
              </w:rPr>
            </w:pPr>
            <w:r w:rsidRPr="00A67C76">
              <w:rPr>
                <w:sz w:val="20"/>
              </w:rPr>
              <w:t>Carp gudgeon</w:t>
            </w:r>
          </w:p>
          <w:p w:rsidR="00DB21D5" w:rsidRPr="00A67C76" w:rsidRDefault="00CF4851" w:rsidP="00DB21D5">
            <w:pPr>
              <w:spacing w:before="60" w:after="60" w:line="240" w:lineRule="auto"/>
              <w:rPr>
                <w:sz w:val="20"/>
              </w:rPr>
            </w:pPr>
            <w:r w:rsidRPr="00A67C76">
              <w:rPr>
                <w:sz w:val="20"/>
              </w:rPr>
              <w:t>Murray r</w:t>
            </w:r>
            <w:r w:rsidR="00DB21D5" w:rsidRPr="00A67C76">
              <w:rPr>
                <w:sz w:val="20"/>
              </w:rPr>
              <w:t>ainbowfish</w:t>
            </w:r>
          </w:p>
          <w:p w:rsidR="00DB21D5" w:rsidRPr="00A67C76" w:rsidRDefault="00DB21D5" w:rsidP="00DB21D5">
            <w:pPr>
              <w:spacing w:before="60" w:after="60" w:line="240" w:lineRule="auto"/>
              <w:rPr>
                <w:sz w:val="20"/>
              </w:rPr>
            </w:pPr>
            <w:r w:rsidRPr="00A67C76">
              <w:rPr>
                <w:sz w:val="20"/>
              </w:rPr>
              <w:t>Bony herring</w:t>
            </w:r>
          </w:p>
          <w:p w:rsidR="00DB21D5" w:rsidRPr="00A67C76" w:rsidRDefault="00DB21D5" w:rsidP="00DB21D5">
            <w:pPr>
              <w:spacing w:before="60" w:after="60" w:line="240" w:lineRule="auto"/>
              <w:rPr>
                <w:sz w:val="20"/>
              </w:rPr>
            </w:pPr>
            <w:r w:rsidRPr="00A67C76">
              <w:rPr>
                <w:sz w:val="20"/>
              </w:rPr>
              <w:t>Flat-headed gudgeon</w:t>
            </w:r>
          </w:p>
          <w:p w:rsidR="00DB21D5" w:rsidRPr="00A67C76" w:rsidRDefault="00DB21D5" w:rsidP="00DB21D5">
            <w:pPr>
              <w:spacing w:before="60" w:after="60" w:line="240" w:lineRule="auto"/>
              <w:rPr>
                <w:sz w:val="20"/>
              </w:rPr>
            </w:pPr>
            <w:r w:rsidRPr="00A67C76">
              <w:rPr>
                <w:sz w:val="20"/>
              </w:rPr>
              <w:t>Dwf flat-headed gudgeon</w:t>
            </w:r>
          </w:p>
          <w:p w:rsidR="00DB21D5" w:rsidRPr="00A67C76" w:rsidRDefault="00DB21D5" w:rsidP="00DB21D5">
            <w:pPr>
              <w:spacing w:before="60" w:after="60" w:line="240" w:lineRule="auto"/>
              <w:rPr>
                <w:sz w:val="20"/>
              </w:rPr>
            </w:pPr>
            <w:r w:rsidRPr="00A67C76">
              <w:rPr>
                <w:sz w:val="20"/>
              </w:rPr>
              <w:t xml:space="preserve">Australian smelt </w:t>
            </w:r>
          </w:p>
          <w:p w:rsidR="00DB21D5" w:rsidRPr="00A67C76" w:rsidRDefault="00DB21D5" w:rsidP="00DB21D5">
            <w:pPr>
              <w:spacing w:before="60" w:after="60" w:line="240" w:lineRule="auto"/>
              <w:rPr>
                <w:sz w:val="20"/>
              </w:rPr>
            </w:pPr>
            <w:r w:rsidRPr="00A67C76">
              <w:rPr>
                <w:sz w:val="20"/>
              </w:rPr>
              <w:t>Common carp</w:t>
            </w:r>
          </w:p>
          <w:p w:rsidR="00DB21D5" w:rsidRPr="00A67C76" w:rsidRDefault="00DB21D5" w:rsidP="00DB21D5">
            <w:pPr>
              <w:spacing w:before="60" w:after="60" w:line="240" w:lineRule="auto"/>
              <w:rPr>
                <w:sz w:val="20"/>
              </w:rPr>
            </w:pPr>
            <w:r w:rsidRPr="00A67C76">
              <w:rPr>
                <w:sz w:val="20"/>
              </w:rPr>
              <w:t>Goldfish</w:t>
            </w:r>
          </w:p>
          <w:p w:rsidR="00DB21D5" w:rsidRPr="00A67C76" w:rsidRDefault="00DB21D5" w:rsidP="00DB21D5">
            <w:pPr>
              <w:spacing w:before="60" w:after="60" w:line="240" w:lineRule="auto"/>
              <w:rPr>
                <w:sz w:val="20"/>
              </w:rPr>
            </w:pPr>
            <w:r w:rsidRPr="00A67C76">
              <w:rPr>
                <w:sz w:val="20"/>
              </w:rPr>
              <w:t>Eastern gambusia</w:t>
            </w:r>
          </w:p>
          <w:p w:rsidR="00DB21D5" w:rsidRPr="00A67C76" w:rsidRDefault="00DB21D5" w:rsidP="00DB21D5">
            <w:pPr>
              <w:spacing w:before="60" w:after="60" w:line="240" w:lineRule="auto"/>
              <w:rPr>
                <w:sz w:val="20"/>
              </w:rPr>
            </w:pPr>
            <w:r w:rsidRPr="00A67C76">
              <w:rPr>
                <w:sz w:val="20"/>
              </w:rPr>
              <w:t>Redfin perch</w:t>
            </w:r>
          </w:p>
          <w:p w:rsidR="00DB21D5" w:rsidRPr="00A67C76" w:rsidRDefault="00DB21D5" w:rsidP="00DB21D5">
            <w:pPr>
              <w:spacing w:before="60" w:after="60" w:line="240" w:lineRule="auto"/>
              <w:rPr>
                <w:sz w:val="20"/>
              </w:rPr>
            </w:pPr>
            <w:r w:rsidRPr="00A67C76">
              <w:rPr>
                <w:sz w:val="20"/>
              </w:rPr>
              <w:t>Oriental weatherloach</w:t>
            </w:r>
          </w:p>
        </w:tc>
        <w:tc>
          <w:tcPr>
            <w:tcW w:w="2835" w:type="dxa"/>
            <w:gridSpan w:val="2"/>
            <w:shd w:val="clear" w:color="auto" w:fill="auto"/>
          </w:tcPr>
          <w:p w:rsidR="00DB21D5" w:rsidRPr="00A67C76" w:rsidRDefault="00DB21D5" w:rsidP="00DB21D5">
            <w:pPr>
              <w:spacing w:before="60" w:after="60" w:line="240" w:lineRule="auto"/>
              <w:rPr>
                <w:rFonts w:cs="Arial"/>
                <w:bCs/>
                <w:i/>
                <w:color w:val="222222"/>
                <w:sz w:val="20"/>
              </w:rPr>
            </w:pPr>
            <w:r w:rsidRPr="00A67C76">
              <w:rPr>
                <w:rFonts w:cs="Arial"/>
                <w:bCs/>
                <w:i/>
                <w:color w:val="222222"/>
                <w:sz w:val="20"/>
              </w:rPr>
              <w:t>Macquaria ambigua</w:t>
            </w:r>
          </w:p>
          <w:p w:rsidR="00DB21D5" w:rsidRPr="00A67C76" w:rsidRDefault="00DB21D5" w:rsidP="00DB21D5">
            <w:pPr>
              <w:spacing w:before="60" w:after="60" w:line="240" w:lineRule="auto"/>
              <w:rPr>
                <w:rFonts w:cs="Arial"/>
                <w:bCs/>
                <w:i/>
                <w:color w:val="222222"/>
                <w:sz w:val="20"/>
              </w:rPr>
            </w:pPr>
            <w:r w:rsidRPr="00A67C76">
              <w:rPr>
                <w:rFonts w:cs="Arial"/>
                <w:bCs/>
                <w:i/>
                <w:color w:val="222222"/>
                <w:sz w:val="20"/>
              </w:rPr>
              <w:t>Bidyanus bidyanus</w:t>
            </w:r>
          </w:p>
          <w:p w:rsidR="00DB21D5" w:rsidRPr="00A67C76" w:rsidRDefault="00DB21D5" w:rsidP="00DB21D5">
            <w:pPr>
              <w:spacing w:before="60" w:after="60" w:line="240" w:lineRule="auto"/>
              <w:rPr>
                <w:rStyle w:val="st"/>
                <w:rFonts w:cs="Arial"/>
                <w:i/>
                <w:color w:val="222222"/>
                <w:sz w:val="20"/>
              </w:rPr>
            </w:pPr>
            <w:r w:rsidRPr="00A67C76">
              <w:rPr>
                <w:rStyle w:val="st"/>
                <w:rFonts w:cs="Arial"/>
                <w:i/>
                <w:color w:val="222222"/>
                <w:sz w:val="20"/>
              </w:rPr>
              <w:t>Craterocephalus stercus.</w:t>
            </w:r>
          </w:p>
          <w:p w:rsidR="00DB21D5" w:rsidRPr="00A67C76" w:rsidRDefault="00DB21D5" w:rsidP="00DB21D5">
            <w:pPr>
              <w:spacing w:before="60" w:after="60" w:line="240" w:lineRule="auto"/>
              <w:rPr>
                <w:rStyle w:val="st"/>
                <w:rFonts w:cs="Arial"/>
                <w:color w:val="222222"/>
                <w:sz w:val="20"/>
              </w:rPr>
            </w:pPr>
            <w:r w:rsidRPr="00A67C76">
              <w:rPr>
                <w:rStyle w:val="st"/>
                <w:rFonts w:cs="Arial"/>
                <w:i/>
                <w:color w:val="222222"/>
                <w:sz w:val="20"/>
              </w:rPr>
              <w:t xml:space="preserve">Hypseleotris </w:t>
            </w:r>
            <w:r w:rsidRPr="00A67C76">
              <w:rPr>
                <w:rStyle w:val="st"/>
                <w:rFonts w:cs="Arial"/>
                <w:color w:val="222222"/>
                <w:sz w:val="20"/>
              </w:rPr>
              <w:t>spp.</w:t>
            </w:r>
          </w:p>
          <w:p w:rsidR="00DB21D5" w:rsidRPr="000B7E74" w:rsidRDefault="00DB21D5" w:rsidP="00DB21D5">
            <w:pPr>
              <w:spacing w:before="60" w:after="60" w:line="240" w:lineRule="auto"/>
              <w:rPr>
                <w:rStyle w:val="st"/>
                <w:rFonts w:cs="Arial"/>
                <w:i/>
                <w:color w:val="222222"/>
                <w:sz w:val="20"/>
                <w:lang w:val="es-AR"/>
              </w:rPr>
            </w:pPr>
            <w:r w:rsidRPr="000B7E74">
              <w:rPr>
                <w:rStyle w:val="st"/>
                <w:rFonts w:cs="Arial"/>
                <w:i/>
                <w:color w:val="222222"/>
                <w:sz w:val="20"/>
                <w:lang w:val="es-AR"/>
              </w:rPr>
              <w:t>Melanotaenia fluviatilis</w:t>
            </w:r>
          </w:p>
          <w:p w:rsidR="00DB21D5" w:rsidRPr="000B7E74" w:rsidRDefault="00DB21D5" w:rsidP="00DB21D5">
            <w:pPr>
              <w:spacing w:before="60" w:after="60" w:line="240" w:lineRule="auto"/>
              <w:rPr>
                <w:rStyle w:val="st"/>
                <w:rFonts w:cs="Arial"/>
                <w:i/>
                <w:color w:val="222222"/>
                <w:sz w:val="20"/>
                <w:lang w:val="es-AR"/>
              </w:rPr>
            </w:pPr>
            <w:r w:rsidRPr="000B7E74">
              <w:rPr>
                <w:rStyle w:val="st"/>
                <w:rFonts w:cs="Arial"/>
                <w:i/>
                <w:color w:val="222222"/>
                <w:sz w:val="20"/>
                <w:lang w:val="es-AR"/>
              </w:rPr>
              <w:t>Nematalosa erebi</w:t>
            </w:r>
          </w:p>
          <w:p w:rsidR="00DB21D5" w:rsidRPr="000B7E74" w:rsidRDefault="00DB21D5" w:rsidP="00DB21D5">
            <w:pPr>
              <w:spacing w:before="60" w:after="60" w:line="240" w:lineRule="auto"/>
              <w:rPr>
                <w:rStyle w:val="st"/>
                <w:rFonts w:cs="Arial"/>
                <w:i/>
                <w:color w:val="222222"/>
                <w:sz w:val="20"/>
                <w:lang w:val="es-AR"/>
              </w:rPr>
            </w:pPr>
            <w:r w:rsidRPr="000B7E74">
              <w:rPr>
                <w:rStyle w:val="st"/>
                <w:rFonts w:cs="Arial"/>
                <w:i/>
                <w:color w:val="222222"/>
                <w:sz w:val="20"/>
                <w:lang w:val="es-AR"/>
              </w:rPr>
              <w:t>Philypnodon grandiceps</w:t>
            </w:r>
          </w:p>
          <w:p w:rsidR="00DB21D5" w:rsidRPr="00A67C76" w:rsidRDefault="00DB21D5" w:rsidP="00DB21D5">
            <w:pPr>
              <w:spacing w:before="60" w:after="60" w:line="240" w:lineRule="auto"/>
              <w:rPr>
                <w:rStyle w:val="st"/>
                <w:rFonts w:cs="Arial"/>
                <w:i/>
                <w:color w:val="222222"/>
                <w:sz w:val="20"/>
              </w:rPr>
            </w:pPr>
            <w:r w:rsidRPr="00A67C76">
              <w:rPr>
                <w:rStyle w:val="st"/>
                <w:rFonts w:cs="Arial"/>
                <w:i/>
                <w:color w:val="222222"/>
                <w:sz w:val="20"/>
              </w:rPr>
              <w:t>Philynodon macrostomus</w:t>
            </w:r>
          </w:p>
          <w:p w:rsidR="00DB21D5" w:rsidRPr="00A67C76" w:rsidRDefault="00DB21D5" w:rsidP="00DB21D5">
            <w:pPr>
              <w:spacing w:before="60" w:after="60" w:line="240" w:lineRule="auto"/>
              <w:rPr>
                <w:rStyle w:val="st"/>
                <w:rFonts w:cs="Arial"/>
                <w:i/>
                <w:color w:val="222222"/>
                <w:sz w:val="20"/>
              </w:rPr>
            </w:pPr>
            <w:r w:rsidRPr="00A67C76">
              <w:rPr>
                <w:rStyle w:val="st"/>
                <w:rFonts w:cs="Arial"/>
                <w:i/>
                <w:color w:val="222222"/>
                <w:sz w:val="20"/>
              </w:rPr>
              <w:t>Retropinna semoni</w:t>
            </w:r>
          </w:p>
          <w:p w:rsidR="00DB21D5" w:rsidRPr="00A67C76" w:rsidRDefault="00DB21D5" w:rsidP="00DB21D5">
            <w:pPr>
              <w:spacing w:before="60" w:after="60" w:line="240" w:lineRule="auto"/>
              <w:rPr>
                <w:i/>
                <w:sz w:val="20"/>
              </w:rPr>
            </w:pPr>
            <w:r w:rsidRPr="00A67C76">
              <w:rPr>
                <w:i/>
                <w:sz w:val="20"/>
              </w:rPr>
              <w:t>Cyprinus carpio</w:t>
            </w:r>
          </w:p>
          <w:p w:rsidR="00DB21D5" w:rsidRPr="00A67C76" w:rsidRDefault="00DB21D5" w:rsidP="00DB21D5">
            <w:pPr>
              <w:spacing w:before="60" w:after="60" w:line="240" w:lineRule="auto"/>
              <w:rPr>
                <w:i/>
                <w:sz w:val="20"/>
              </w:rPr>
            </w:pPr>
            <w:r w:rsidRPr="00A67C76">
              <w:rPr>
                <w:i/>
                <w:sz w:val="20"/>
              </w:rPr>
              <w:t>Carrasius auratus</w:t>
            </w:r>
          </w:p>
          <w:p w:rsidR="00DB21D5" w:rsidRPr="00A67C76" w:rsidRDefault="00DB21D5" w:rsidP="00DB21D5">
            <w:pPr>
              <w:spacing w:before="60" w:after="60" w:line="240" w:lineRule="auto"/>
              <w:rPr>
                <w:i/>
                <w:sz w:val="20"/>
              </w:rPr>
            </w:pPr>
            <w:r w:rsidRPr="00A67C76">
              <w:rPr>
                <w:i/>
                <w:sz w:val="20"/>
              </w:rPr>
              <w:t>Gambusia holbrooki</w:t>
            </w:r>
          </w:p>
          <w:p w:rsidR="00DB21D5" w:rsidRPr="00A67C76" w:rsidRDefault="00DB21D5" w:rsidP="00DB21D5">
            <w:pPr>
              <w:spacing w:before="60" w:after="60" w:line="240" w:lineRule="auto"/>
              <w:rPr>
                <w:i/>
                <w:sz w:val="20"/>
              </w:rPr>
            </w:pPr>
            <w:r w:rsidRPr="00A67C76">
              <w:rPr>
                <w:i/>
                <w:sz w:val="20"/>
              </w:rPr>
              <w:t>Perca fluviatilis</w:t>
            </w:r>
          </w:p>
          <w:p w:rsidR="00DB21D5" w:rsidRPr="00A67C76" w:rsidRDefault="00DB21D5" w:rsidP="00DB21D5">
            <w:pPr>
              <w:spacing w:before="60" w:after="60" w:line="240" w:lineRule="auto"/>
              <w:rPr>
                <w:sz w:val="20"/>
              </w:rPr>
            </w:pPr>
            <w:r w:rsidRPr="00A67C76">
              <w:rPr>
                <w:rStyle w:val="st"/>
                <w:rFonts w:cs="Arial"/>
                <w:i/>
                <w:color w:val="222222"/>
                <w:sz w:val="20"/>
              </w:rPr>
              <w:t>Misgurnus anguillicaudatus</w:t>
            </w:r>
          </w:p>
        </w:tc>
        <w:tc>
          <w:tcPr>
            <w:tcW w:w="1322" w:type="dxa"/>
            <w:shd w:val="clear" w:color="auto" w:fill="auto"/>
          </w:tcPr>
          <w:p w:rsidR="00DB21D5" w:rsidRPr="00A67C76" w:rsidRDefault="00DB21D5" w:rsidP="00DB21D5">
            <w:pPr>
              <w:spacing w:before="60" w:after="60" w:line="240" w:lineRule="auto"/>
              <w:jc w:val="center"/>
              <w:rPr>
                <w:sz w:val="20"/>
              </w:rPr>
            </w:pPr>
            <w:r w:rsidRPr="00A67C76">
              <w:rPr>
                <w:sz w:val="20"/>
              </w:rPr>
              <w:t>FD</w:t>
            </w:r>
          </w:p>
          <w:p w:rsidR="00DB21D5" w:rsidRPr="00A67C76" w:rsidRDefault="00DB21D5" w:rsidP="00DB21D5">
            <w:pPr>
              <w:spacing w:before="60" w:after="60" w:line="240" w:lineRule="auto"/>
              <w:jc w:val="center"/>
              <w:rPr>
                <w:sz w:val="20"/>
              </w:rPr>
            </w:pPr>
            <w:r w:rsidRPr="00A67C76">
              <w:rPr>
                <w:sz w:val="20"/>
              </w:rPr>
              <w:t>FD</w:t>
            </w:r>
          </w:p>
          <w:p w:rsidR="00DB21D5" w:rsidRPr="00A67C76" w:rsidRDefault="00DB21D5" w:rsidP="00DB21D5">
            <w:pPr>
              <w:spacing w:before="60" w:after="60" w:line="240" w:lineRule="auto"/>
              <w:jc w:val="center"/>
              <w:rPr>
                <w:sz w:val="20"/>
              </w:rPr>
            </w:pPr>
            <w:r w:rsidRPr="00A67C76">
              <w:rPr>
                <w:sz w:val="20"/>
              </w:rPr>
              <w:t>FG</w:t>
            </w:r>
          </w:p>
          <w:p w:rsidR="00DB21D5" w:rsidRPr="00A67C76" w:rsidRDefault="00DB21D5" w:rsidP="00DB21D5">
            <w:pPr>
              <w:spacing w:before="60" w:after="60" w:line="240" w:lineRule="auto"/>
              <w:jc w:val="center"/>
              <w:rPr>
                <w:sz w:val="20"/>
              </w:rPr>
            </w:pPr>
            <w:r w:rsidRPr="00A67C76">
              <w:rPr>
                <w:sz w:val="20"/>
              </w:rPr>
              <w:t>FG</w:t>
            </w:r>
          </w:p>
          <w:p w:rsidR="00DB21D5" w:rsidRPr="00A67C76" w:rsidRDefault="00DB21D5" w:rsidP="00DB21D5">
            <w:pPr>
              <w:spacing w:before="60" w:after="60" w:line="240" w:lineRule="auto"/>
              <w:jc w:val="center"/>
              <w:rPr>
                <w:sz w:val="20"/>
              </w:rPr>
            </w:pPr>
            <w:r w:rsidRPr="00A67C76">
              <w:rPr>
                <w:sz w:val="20"/>
              </w:rPr>
              <w:t>FG</w:t>
            </w:r>
          </w:p>
          <w:p w:rsidR="00DB21D5" w:rsidRPr="00A67C76" w:rsidRDefault="00DB21D5" w:rsidP="00DB21D5">
            <w:pPr>
              <w:spacing w:before="60" w:after="60" w:line="240" w:lineRule="auto"/>
              <w:jc w:val="center"/>
              <w:rPr>
                <w:sz w:val="20"/>
              </w:rPr>
            </w:pPr>
            <w:r w:rsidRPr="00A67C76">
              <w:rPr>
                <w:sz w:val="20"/>
              </w:rPr>
              <w:t>FG</w:t>
            </w:r>
          </w:p>
          <w:p w:rsidR="00DB21D5" w:rsidRPr="00A67C76" w:rsidRDefault="00DB21D5" w:rsidP="00DB21D5">
            <w:pPr>
              <w:spacing w:before="60" w:after="60" w:line="240" w:lineRule="auto"/>
              <w:jc w:val="center"/>
              <w:rPr>
                <w:sz w:val="20"/>
              </w:rPr>
            </w:pPr>
            <w:r w:rsidRPr="00A67C76">
              <w:rPr>
                <w:sz w:val="20"/>
              </w:rPr>
              <w:t>FG</w:t>
            </w:r>
          </w:p>
          <w:p w:rsidR="00DB21D5" w:rsidRPr="00A67C76" w:rsidRDefault="00DB21D5" w:rsidP="00DB21D5">
            <w:pPr>
              <w:spacing w:before="60" w:after="60" w:line="240" w:lineRule="auto"/>
              <w:jc w:val="center"/>
              <w:rPr>
                <w:sz w:val="20"/>
              </w:rPr>
            </w:pPr>
            <w:r w:rsidRPr="00A67C76">
              <w:rPr>
                <w:sz w:val="20"/>
              </w:rPr>
              <w:t>FG</w:t>
            </w:r>
          </w:p>
          <w:p w:rsidR="00DB21D5" w:rsidRPr="00A67C76" w:rsidRDefault="00DB21D5" w:rsidP="00DB21D5">
            <w:pPr>
              <w:spacing w:before="60" w:after="60" w:line="240" w:lineRule="auto"/>
              <w:jc w:val="center"/>
              <w:rPr>
                <w:sz w:val="20"/>
              </w:rPr>
            </w:pPr>
            <w:r w:rsidRPr="00A67C76">
              <w:rPr>
                <w:sz w:val="20"/>
              </w:rPr>
              <w:t>FG</w:t>
            </w:r>
          </w:p>
          <w:p w:rsidR="00DB21D5" w:rsidRPr="00A67C76" w:rsidRDefault="00DB21D5" w:rsidP="00DB21D5">
            <w:pPr>
              <w:spacing w:before="60" w:after="60" w:line="240" w:lineRule="auto"/>
              <w:jc w:val="center"/>
              <w:rPr>
                <w:sz w:val="20"/>
              </w:rPr>
            </w:pPr>
            <w:r w:rsidRPr="00A67C76">
              <w:rPr>
                <w:sz w:val="20"/>
              </w:rPr>
              <w:t>I</w:t>
            </w:r>
          </w:p>
          <w:p w:rsidR="00DB21D5" w:rsidRPr="00A67C76" w:rsidRDefault="00DB21D5" w:rsidP="00DB21D5">
            <w:pPr>
              <w:spacing w:before="60" w:after="60" w:line="240" w:lineRule="auto"/>
              <w:jc w:val="center"/>
              <w:rPr>
                <w:sz w:val="20"/>
              </w:rPr>
            </w:pPr>
            <w:r w:rsidRPr="00A67C76">
              <w:rPr>
                <w:sz w:val="20"/>
              </w:rPr>
              <w:t>I</w:t>
            </w:r>
          </w:p>
          <w:p w:rsidR="00DB21D5" w:rsidRPr="00A67C76" w:rsidRDefault="00DB21D5" w:rsidP="00DB21D5">
            <w:pPr>
              <w:spacing w:before="60" w:after="60" w:line="240" w:lineRule="auto"/>
              <w:jc w:val="center"/>
              <w:rPr>
                <w:sz w:val="20"/>
              </w:rPr>
            </w:pPr>
            <w:r w:rsidRPr="00A67C76">
              <w:rPr>
                <w:sz w:val="20"/>
              </w:rPr>
              <w:t>I</w:t>
            </w:r>
          </w:p>
          <w:p w:rsidR="00DB21D5" w:rsidRPr="00A67C76" w:rsidRDefault="00DB21D5" w:rsidP="00DB21D5">
            <w:pPr>
              <w:spacing w:before="60" w:after="60" w:line="240" w:lineRule="auto"/>
              <w:jc w:val="center"/>
              <w:rPr>
                <w:sz w:val="20"/>
              </w:rPr>
            </w:pPr>
            <w:r w:rsidRPr="00A67C76">
              <w:rPr>
                <w:sz w:val="20"/>
              </w:rPr>
              <w:t>I</w:t>
            </w:r>
          </w:p>
          <w:p w:rsidR="00DB21D5" w:rsidRPr="00A67C76" w:rsidRDefault="00DB21D5" w:rsidP="00DB21D5">
            <w:pPr>
              <w:spacing w:before="60" w:after="60" w:line="240" w:lineRule="auto"/>
              <w:jc w:val="center"/>
              <w:rPr>
                <w:sz w:val="20"/>
              </w:rPr>
            </w:pPr>
            <w:r w:rsidRPr="00A67C76">
              <w:rPr>
                <w:sz w:val="20"/>
              </w:rPr>
              <w:t>I</w:t>
            </w:r>
          </w:p>
        </w:tc>
        <w:tc>
          <w:tcPr>
            <w:tcW w:w="662" w:type="dxa"/>
            <w:shd w:val="clear" w:color="auto" w:fill="auto"/>
          </w:tcPr>
          <w:p w:rsidR="00DB21D5" w:rsidRPr="00A67C76" w:rsidRDefault="00DB21D5" w:rsidP="00DB21D5">
            <w:pPr>
              <w:spacing w:before="60" w:after="60" w:line="240" w:lineRule="auto"/>
              <w:jc w:val="center"/>
              <w:rPr>
                <w:sz w:val="20"/>
              </w:rPr>
            </w:pPr>
            <w:r w:rsidRPr="00A67C76">
              <w:rPr>
                <w:sz w:val="20"/>
              </w:rPr>
              <w:t>4</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4</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11</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11</w:t>
            </w:r>
          </w:p>
          <w:p w:rsidR="00DB21D5" w:rsidRPr="00A67C76" w:rsidRDefault="00DB21D5" w:rsidP="00DB21D5">
            <w:pPr>
              <w:spacing w:before="60" w:after="60" w:line="240" w:lineRule="auto"/>
              <w:jc w:val="center"/>
              <w:rPr>
                <w:sz w:val="20"/>
              </w:rPr>
            </w:pPr>
            <w:r w:rsidRPr="00A67C76">
              <w:rPr>
                <w:sz w:val="20"/>
              </w:rPr>
              <w:t>18</w:t>
            </w:r>
          </w:p>
          <w:p w:rsidR="00DB21D5" w:rsidRPr="00A67C76" w:rsidRDefault="00DB21D5" w:rsidP="00DB21D5">
            <w:pPr>
              <w:spacing w:before="60" w:after="60" w:line="240" w:lineRule="auto"/>
              <w:jc w:val="center"/>
              <w:rPr>
                <w:sz w:val="20"/>
              </w:rPr>
            </w:pPr>
            <w:r w:rsidRPr="00A67C76">
              <w:rPr>
                <w:sz w:val="20"/>
              </w:rPr>
              <w:t>2</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p>
        </w:tc>
        <w:tc>
          <w:tcPr>
            <w:tcW w:w="709" w:type="dxa"/>
            <w:shd w:val="clear" w:color="auto" w:fill="auto"/>
          </w:tcPr>
          <w:p w:rsidR="00DB21D5" w:rsidRPr="00A67C76" w:rsidRDefault="00DB21D5" w:rsidP="00DB21D5">
            <w:pPr>
              <w:spacing w:before="60" w:after="60" w:line="240" w:lineRule="auto"/>
              <w:jc w:val="center"/>
              <w:rPr>
                <w:sz w:val="20"/>
              </w:rPr>
            </w:pPr>
            <w:r w:rsidRPr="00A67C76">
              <w:rPr>
                <w:sz w:val="20"/>
              </w:rPr>
              <w:t>1</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2</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85</w:t>
            </w:r>
          </w:p>
          <w:p w:rsidR="00DB21D5" w:rsidRPr="00A67C76" w:rsidRDefault="00DB21D5" w:rsidP="00DB21D5">
            <w:pPr>
              <w:spacing w:before="60" w:after="60" w:line="240" w:lineRule="auto"/>
              <w:jc w:val="center"/>
              <w:rPr>
                <w:sz w:val="20"/>
              </w:rPr>
            </w:pPr>
            <w:r w:rsidRPr="00A67C76">
              <w:rPr>
                <w:sz w:val="20"/>
              </w:rPr>
              <w:t>15</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p>
        </w:tc>
        <w:tc>
          <w:tcPr>
            <w:tcW w:w="709" w:type="dxa"/>
            <w:shd w:val="clear" w:color="auto" w:fill="auto"/>
          </w:tcPr>
          <w:p w:rsidR="00DB21D5" w:rsidRPr="00A67C76" w:rsidRDefault="00DB21D5" w:rsidP="00DB21D5">
            <w:pPr>
              <w:spacing w:before="60" w:after="60" w:line="240" w:lineRule="auto"/>
              <w:jc w:val="center"/>
              <w:rPr>
                <w:sz w:val="20"/>
              </w:rPr>
            </w:pPr>
            <w:r w:rsidRPr="00A67C76">
              <w:rPr>
                <w:sz w:val="20"/>
              </w:rPr>
              <w:t>2</w:t>
            </w:r>
          </w:p>
          <w:p w:rsidR="00DB21D5" w:rsidRPr="00A67C76" w:rsidRDefault="00DB21D5" w:rsidP="00DB21D5">
            <w:pPr>
              <w:spacing w:before="60" w:after="60" w:line="240" w:lineRule="auto"/>
              <w:jc w:val="center"/>
              <w:rPr>
                <w:sz w:val="20"/>
              </w:rPr>
            </w:pPr>
            <w:r w:rsidRPr="00A67C76">
              <w:rPr>
                <w:sz w:val="20"/>
              </w:rPr>
              <w:t>1</w:t>
            </w:r>
          </w:p>
          <w:p w:rsidR="00DB21D5" w:rsidRPr="00A67C76" w:rsidRDefault="00DB21D5" w:rsidP="00DB21D5">
            <w:pPr>
              <w:spacing w:before="60" w:after="60" w:line="240" w:lineRule="auto"/>
              <w:jc w:val="center"/>
              <w:rPr>
                <w:sz w:val="20"/>
              </w:rPr>
            </w:pPr>
            <w:r w:rsidRPr="00A67C76">
              <w:rPr>
                <w:sz w:val="20"/>
              </w:rPr>
              <w:t>37</w:t>
            </w:r>
          </w:p>
          <w:p w:rsidR="00DB21D5" w:rsidRPr="00A67C76" w:rsidRDefault="00DB21D5" w:rsidP="00DB21D5">
            <w:pPr>
              <w:spacing w:before="60" w:after="60" w:line="240" w:lineRule="auto"/>
              <w:jc w:val="center"/>
              <w:rPr>
                <w:sz w:val="20"/>
              </w:rPr>
            </w:pPr>
            <w:r w:rsidRPr="00A67C76">
              <w:rPr>
                <w:sz w:val="20"/>
              </w:rPr>
              <w:t>770</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32</w:t>
            </w:r>
          </w:p>
          <w:p w:rsidR="00DB21D5" w:rsidRPr="00A67C76" w:rsidRDefault="00DB21D5" w:rsidP="00DB21D5">
            <w:pPr>
              <w:spacing w:before="60" w:after="60" w:line="240" w:lineRule="auto"/>
              <w:jc w:val="center"/>
              <w:rPr>
                <w:sz w:val="20"/>
              </w:rPr>
            </w:pPr>
            <w:r w:rsidRPr="00A67C76">
              <w:rPr>
                <w:sz w:val="20"/>
              </w:rPr>
              <w:t>41</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107</w:t>
            </w:r>
          </w:p>
          <w:p w:rsidR="00DB21D5" w:rsidRPr="00A67C76" w:rsidRDefault="00DB21D5" w:rsidP="00DB21D5">
            <w:pPr>
              <w:spacing w:before="60" w:after="60" w:line="240" w:lineRule="auto"/>
              <w:jc w:val="center"/>
              <w:rPr>
                <w:sz w:val="20"/>
              </w:rPr>
            </w:pPr>
            <w:r w:rsidRPr="00A67C76">
              <w:rPr>
                <w:sz w:val="20"/>
              </w:rPr>
              <w:t>1514</w:t>
            </w:r>
          </w:p>
          <w:p w:rsidR="00DB21D5" w:rsidRPr="00A67C76" w:rsidRDefault="00DB21D5" w:rsidP="00DB21D5">
            <w:pPr>
              <w:spacing w:before="60" w:after="60" w:line="240" w:lineRule="auto"/>
              <w:jc w:val="center"/>
              <w:rPr>
                <w:sz w:val="20"/>
              </w:rPr>
            </w:pPr>
            <w:r w:rsidRPr="00A67C76">
              <w:rPr>
                <w:sz w:val="20"/>
              </w:rPr>
              <w:t>5</w:t>
            </w:r>
          </w:p>
          <w:p w:rsidR="00DB21D5" w:rsidRPr="00A67C76" w:rsidRDefault="00DB21D5" w:rsidP="00DB21D5">
            <w:pPr>
              <w:spacing w:before="60" w:after="60" w:line="240" w:lineRule="auto"/>
              <w:jc w:val="center"/>
              <w:rPr>
                <w:sz w:val="20"/>
              </w:rPr>
            </w:pPr>
            <w:r w:rsidRPr="00A67C76">
              <w:rPr>
                <w:sz w:val="20"/>
              </w:rPr>
              <w:t>5</w:t>
            </w:r>
          </w:p>
          <w:p w:rsidR="00DB21D5" w:rsidRPr="00A67C76" w:rsidRDefault="00DB21D5" w:rsidP="00DB21D5">
            <w:pPr>
              <w:spacing w:before="60" w:after="60" w:line="240" w:lineRule="auto"/>
              <w:jc w:val="center"/>
              <w:rPr>
                <w:sz w:val="20"/>
              </w:rPr>
            </w:pPr>
            <w:r w:rsidRPr="00A67C76">
              <w:rPr>
                <w:sz w:val="20"/>
              </w:rPr>
              <w:t>20</w:t>
            </w:r>
          </w:p>
          <w:p w:rsidR="00DB21D5" w:rsidRPr="00A67C76" w:rsidRDefault="00DB21D5" w:rsidP="00DB21D5">
            <w:pPr>
              <w:spacing w:before="60" w:after="60" w:line="240" w:lineRule="auto"/>
              <w:jc w:val="center"/>
              <w:rPr>
                <w:sz w:val="20"/>
              </w:rPr>
            </w:pPr>
          </w:p>
        </w:tc>
        <w:tc>
          <w:tcPr>
            <w:tcW w:w="709" w:type="dxa"/>
            <w:shd w:val="clear" w:color="auto" w:fill="auto"/>
          </w:tcPr>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39</w:t>
            </w:r>
          </w:p>
          <w:p w:rsidR="00DB21D5" w:rsidRPr="00A67C76" w:rsidRDefault="00DB21D5" w:rsidP="00DB21D5">
            <w:pPr>
              <w:spacing w:before="60" w:after="60" w:line="240" w:lineRule="auto"/>
              <w:jc w:val="center"/>
              <w:rPr>
                <w:sz w:val="20"/>
              </w:rPr>
            </w:pPr>
            <w:r w:rsidRPr="00A67C76">
              <w:rPr>
                <w:sz w:val="20"/>
              </w:rPr>
              <w:t>237</w:t>
            </w:r>
          </w:p>
          <w:p w:rsidR="00DB21D5" w:rsidRPr="00A67C76" w:rsidRDefault="00DB21D5" w:rsidP="00DB21D5">
            <w:pPr>
              <w:spacing w:before="60" w:after="60" w:line="240" w:lineRule="auto"/>
              <w:jc w:val="center"/>
              <w:rPr>
                <w:sz w:val="20"/>
              </w:rPr>
            </w:pPr>
            <w:r w:rsidRPr="00A67C76">
              <w:rPr>
                <w:sz w:val="20"/>
              </w:rPr>
              <w:t>1</w:t>
            </w:r>
          </w:p>
          <w:p w:rsidR="00DB21D5" w:rsidRPr="00A67C76" w:rsidRDefault="00DB21D5" w:rsidP="00DB21D5">
            <w:pPr>
              <w:spacing w:before="60" w:after="60" w:line="240" w:lineRule="auto"/>
              <w:jc w:val="center"/>
              <w:rPr>
                <w:sz w:val="20"/>
              </w:rPr>
            </w:pPr>
            <w:r w:rsidRPr="00A67C76">
              <w:rPr>
                <w:sz w:val="20"/>
              </w:rPr>
              <w:t>3</w:t>
            </w:r>
          </w:p>
          <w:p w:rsidR="00DB21D5" w:rsidRPr="00A67C76" w:rsidRDefault="00DB21D5" w:rsidP="00DB21D5">
            <w:pPr>
              <w:spacing w:before="60" w:after="60" w:line="240" w:lineRule="auto"/>
              <w:jc w:val="center"/>
              <w:rPr>
                <w:sz w:val="20"/>
              </w:rPr>
            </w:pPr>
            <w:r w:rsidRPr="00A67C76">
              <w:rPr>
                <w:sz w:val="20"/>
              </w:rPr>
              <w:t>25</w:t>
            </w:r>
          </w:p>
          <w:p w:rsidR="00DB21D5" w:rsidRPr="00A67C76" w:rsidRDefault="00DB21D5" w:rsidP="00DB21D5">
            <w:pPr>
              <w:spacing w:before="60" w:after="60" w:line="240" w:lineRule="auto"/>
              <w:jc w:val="center"/>
              <w:rPr>
                <w:sz w:val="20"/>
              </w:rPr>
            </w:pPr>
            <w:r w:rsidRPr="00A67C76">
              <w:rPr>
                <w:sz w:val="20"/>
              </w:rPr>
              <w:t>1</w:t>
            </w:r>
          </w:p>
          <w:p w:rsidR="00DB21D5" w:rsidRPr="00A67C76" w:rsidRDefault="00DB21D5" w:rsidP="00DB21D5">
            <w:pPr>
              <w:spacing w:before="60" w:after="60" w:line="240" w:lineRule="auto"/>
              <w:jc w:val="center"/>
              <w:rPr>
                <w:sz w:val="20"/>
              </w:rPr>
            </w:pPr>
            <w:r w:rsidRPr="00A67C76">
              <w:rPr>
                <w:sz w:val="20"/>
              </w:rPr>
              <w:t>113</w:t>
            </w:r>
          </w:p>
          <w:p w:rsidR="00DB21D5" w:rsidRPr="00A67C76" w:rsidRDefault="00DB21D5" w:rsidP="00DB21D5">
            <w:pPr>
              <w:spacing w:before="60" w:after="60" w:line="240" w:lineRule="auto"/>
              <w:jc w:val="center"/>
              <w:rPr>
                <w:sz w:val="20"/>
              </w:rPr>
            </w:pPr>
            <w:r w:rsidRPr="00A67C76">
              <w:rPr>
                <w:sz w:val="20"/>
              </w:rPr>
              <w:t>1949</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16</w:t>
            </w:r>
          </w:p>
          <w:p w:rsidR="00DB21D5" w:rsidRPr="00A67C76" w:rsidRDefault="00DB21D5" w:rsidP="00DB21D5">
            <w:pPr>
              <w:spacing w:before="60" w:after="60" w:line="240" w:lineRule="auto"/>
              <w:jc w:val="center"/>
              <w:rPr>
                <w:sz w:val="20"/>
              </w:rPr>
            </w:pPr>
            <w:r w:rsidRPr="00A67C76">
              <w:rPr>
                <w:sz w:val="20"/>
              </w:rPr>
              <w:t>3</w:t>
            </w:r>
          </w:p>
          <w:p w:rsidR="00DB21D5" w:rsidRPr="00A67C76" w:rsidRDefault="00DB21D5" w:rsidP="00DB21D5">
            <w:pPr>
              <w:spacing w:before="60" w:after="60" w:line="240" w:lineRule="auto"/>
              <w:jc w:val="center"/>
              <w:rPr>
                <w:sz w:val="20"/>
              </w:rPr>
            </w:pPr>
          </w:p>
        </w:tc>
        <w:tc>
          <w:tcPr>
            <w:tcW w:w="708" w:type="dxa"/>
            <w:shd w:val="clear" w:color="auto" w:fill="auto"/>
          </w:tcPr>
          <w:p w:rsidR="00DB21D5" w:rsidRPr="00A67C76" w:rsidRDefault="00DB21D5" w:rsidP="00DB21D5">
            <w:pPr>
              <w:spacing w:before="60" w:after="60" w:line="240" w:lineRule="auto"/>
              <w:jc w:val="center"/>
              <w:rPr>
                <w:sz w:val="20"/>
              </w:rPr>
            </w:pPr>
            <w:r w:rsidRPr="00A67C76">
              <w:rPr>
                <w:sz w:val="20"/>
              </w:rPr>
              <w:t>2</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9</w:t>
            </w:r>
          </w:p>
          <w:p w:rsidR="00DB21D5" w:rsidRPr="00A67C76" w:rsidRDefault="00DB21D5" w:rsidP="00DB21D5">
            <w:pPr>
              <w:spacing w:before="60" w:after="60" w:line="240" w:lineRule="auto"/>
              <w:jc w:val="center"/>
              <w:rPr>
                <w:sz w:val="20"/>
              </w:rPr>
            </w:pPr>
            <w:r w:rsidRPr="00A67C76">
              <w:rPr>
                <w:sz w:val="20"/>
              </w:rPr>
              <w:t>72</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45</w:t>
            </w:r>
          </w:p>
          <w:p w:rsidR="00DB21D5" w:rsidRPr="00A67C76" w:rsidRDefault="00DB21D5" w:rsidP="00DB21D5">
            <w:pPr>
              <w:spacing w:before="60" w:after="60" w:line="240" w:lineRule="auto"/>
              <w:jc w:val="center"/>
              <w:rPr>
                <w:sz w:val="20"/>
              </w:rPr>
            </w:pPr>
            <w:r w:rsidRPr="00A67C76">
              <w:rPr>
                <w:sz w:val="20"/>
              </w:rPr>
              <w:t>7</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4</w:t>
            </w:r>
          </w:p>
          <w:p w:rsidR="00DB21D5" w:rsidRPr="00A67C76" w:rsidRDefault="00DB21D5" w:rsidP="00DB21D5">
            <w:pPr>
              <w:spacing w:before="60" w:after="60" w:line="240" w:lineRule="auto"/>
              <w:jc w:val="center"/>
              <w:rPr>
                <w:sz w:val="20"/>
              </w:rPr>
            </w:pPr>
            <w:r w:rsidRPr="00A67C76">
              <w:rPr>
                <w:sz w:val="20"/>
              </w:rPr>
              <w:t>70</w:t>
            </w:r>
          </w:p>
          <w:p w:rsidR="00DB21D5" w:rsidRPr="00A67C76" w:rsidRDefault="00DB21D5" w:rsidP="00DB21D5">
            <w:pPr>
              <w:spacing w:before="60" w:after="60" w:line="240" w:lineRule="auto"/>
              <w:jc w:val="center"/>
              <w:rPr>
                <w:sz w:val="20"/>
              </w:rPr>
            </w:pPr>
            <w:r w:rsidRPr="00A67C76">
              <w:rPr>
                <w:sz w:val="20"/>
              </w:rPr>
              <w:t>2</w:t>
            </w:r>
          </w:p>
          <w:p w:rsidR="00DB21D5" w:rsidRPr="00A67C76" w:rsidRDefault="00DB21D5" w:rsidP="00DB21D5">
            <w:pPr>
              <w:spacing w:before="60" w:after="60" w:line="240" w:lineRule="auto"/>
              <w:jc w:val="center"/>
              <w:rPr>
                <w:sz w:val="20"/>
              </w:rPr>
            </w:pPr>
            <w:r w:rsidRPr="00A67C76">
              <w:rPr>
                <w:sz w:val="20"/>
              </w:rPr>
              <w:t>4</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p>
        </w:tc>
        <w:tc>
          <w:tcPr>
            <w:tcW w:w="709" w:type="dxa"/>
            <w:shd w:val="clear" w:color="auto" w:fill="auto"/>
          </w:tcPr>
          <w:p w:rsidR="00DB21D5" w:rsidRPr="00A67C76" w:rsidRDefault="00DB21D5" w:rsidP="00DB21D5">
            <w:pPr>
              <w:spacing w:before="60" w:after="60" w:line="240" w:lineRule="auto"/>
              <w:jc w:val="center"/>
              <w:rPr>
                <w:sz w:val="20"/>
              </w:rPr>
            </w:pPr>
            <w:r w:rsidRPr="00A67C76">
              <w:rPr>
                <w:sz w:val="20"/>
              </w:rPr>
              <w:t>3</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94</w:t>
            </w:r>
          </w:p>
          <w:p w:rsidR="00DB21D5" w:rsidRPr="00A67C76" w:rsidRDefault="00DB21D5" w:rsidP="00DB21D5">
            <w:pPr>
              <w:spacing w:before="60" w:after="60" w:line="240" w:lineRule="auto"/>
              <w:jc w:val="center"/>
              <w:rPr>
                <w:sz w:val="20"/>
              </w:rPr>
            </w:pPr>
            <w:r w:rsidRPr="00A67C76">
              <w:rPr>
                <w:sz w:val="20"/>
              </w:rPr>
              <w:t>270</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25</w:t>
            </w:r>
          </w:p>
          <w:p w:rsidR="00DB21D5" w:rsidRPr="00A67C76" w:rsidRDefault="00DB21D5" w:rsidP="00DB21D5">
            <w:pPr>
              <w:spacing w:before="60" w:after="60" w:line="240" w:lineRule="auto"/>
              <w:jc w:val="center"/>
              <w:rPr>
                <w:sz w:val="20"/>
              </w:rPr>
            </w:pPr>
            <w:r w:rsidRPr="00A67C76">
              <w:rPr>
                <w:sz w:val="20"/>
              </w:rPr>
              <w:t>23</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3</w:t>
            </w:r>
          </w:p>
          <w:p w:rsidR="00DB21D5" w:rsidRPr="00A67C76" w:rsidRDefault="00DB21D5" w:rsidP="00DB21D5">
            <w:pPr>
              <w:spacing w:before="60" w:after="60" w:line="240" w:lineRule="auto"/>
              <w:jc w:val="center"/>
              <w:rPr>
                <w:sz w:val="20"/>
              </w:rPr>
            </w:pPr>
            <w:r w:rsidRPr="00A67C76">
              <w:rPr>
                <w:sz w:val="20"/>
              </w:rPr>
              <w:t>45</w:t>
            </w:r>
          </w:p>
          <w:p w:rsidR="00DB21D5" w:rsidRPr="00A67C76" w:rsidRDefault="00DB21D5" w:rsidP="00DB21D5">
            <w:pPr>
              <w:spacing w:before="60" w:after="60" w:line="240" w:lineRule="auto"/>
              <w:jc w:val="center"/>
              <w:rPr>
                <w:sz w:val="20"/>
              </w:rPr>
            </w:pPr>
            <w:r w:rsidRPr="00A67C76">
              <w:rPr>
                <w:sz w:val="20"/>
              </w:rPr>
              <w:t>4</w:t>
            </w:r>
          </w:p>
          <w:p w:rsidR="00DB21D5" w:rsidRPr="00A67C76" w:rsidRDefault="00DB21D5" w:rsidP="00DB21D5">
            <w:pPr>
              <w:spacing w:before="60" w:after="60" w:line="240" w:lineRule="auto"/>
              <w:jc w:val="center"/>
              <w:rPr>
                <w:sz w:val="20"/>
              </w:rPr>
            </w:pPr>
            <w:r w:rsidRPr="00A67C76">
              <w:rPr>
                <w:sz w:val="20"/>
              </w:rPr>
              <w:t>4</w:t>
            </w:r>
          </w:p>
          <w:p w:rsidR="00DB21D5" w:rsidRPr="00A67C76" w:rsidRDefault="00DB21D5" w:rsidP="00DB21D5">
            <w:pPr>
              <w:spacing w:before="60" w:after="60" w:line="240" w:lineRule="auto"/>
              <w:jc w:val="center"/>
              <w:rPr>
                <w:sz w:val="20"/>
              </w:rPr>
            </w:pPr>
            <w:r w:rsidRPr="00A67C76">
              <w:rPr>
                <w:sz w:val="20"/>
              </w:rPr>
              <w:t>4</w:t>
            </w:r>
          </w:p>
          <w:p w:rsidR="00DB21D5" w:rsidRPr="00A67C76" w:rsidRDefault="00DB21D5" w:rsidP="00DB21D5">
            <w:pPr>
              <w:spacing w:before="60" w:after="60" w:line="240" w:lineRule="auto"/>
              <w:jc w:val="center"/>
              <w:rPr>
                <w:sz w:val="20"/>
              </w:rPr>
            </w:pPr>
          </w:p>
        </w:tc>
        <w:tc>
          <w:tcPr>
            <w:tcW w:w="709" w:type="dxa"/>
            <w:shd w:val="clear" w:color="auto" w:fill="auto"/>
          </w:tcPr>
          <w:p w:rsidR="00DB21D5" w:rsidRPr="00A67C76" w:rsidRDefault="00DB21D5" w:rsidP="00DB21D5">
            <w:pPr>
              <w:spacing w:before="60" w:after="60" w:line="240" w:lineRule="auto"/>
              <w:jc w:val="center"/>
              <w:rPr>
                <w:sz w:val="20"/>
              </w:rPr>
            </w:pPr>
            <w:r w:rsidRPr="00A67C76">
              <w:rPr>
                <w:sz w:val="20"/>
              </w:rPr>
              <w:t>4</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21</w:t>
            </w:r>
          </w:p>
          <w:p w:rsidR="00DB21D5" w:rsidRPr="00A67C76" w:rsidRDefault="00DB21D5" w:rsidP="00DB21D5">
            <w:pPr>
              <w:spacing w:before="60" w:after="60" w:line="240" w:lineRule="auto"/>
              <w:jc w:val="center"/>
              <w:rPr>
                <w:sz w:val="20"/>
              </w:rPr>
            </w:pPr>
            <w:r w:rsidRPr="00A67C76">
              <w:rPr>
                <w:sz w:val="20"/>
              </w:rPr>
              <w:t>188</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291</w:t>
            </w:r>
          </w:p>
          <w:p w:rsidR="00DB21D5" w:rsidRPr="00A67C76" w:rsidRDefault="00DB21D5" w:rsidP="00DB21D5">
            <w:pPr>
              <w:spacing w:before="60" w:after="60" w:line="240" w:lineRule="auto"/>
              <w:jc w:val="center"/>
              <w:rPr>
                <w:sz w:val="20"/>
              </w:rPr>
            </w:pPr>
            <w:r w:rsidRPr="00A67C76">
              <w:rPr>
                <w:sz w:val="20"/>
              </w:rPr>
              <w:t>101</w:t>
            </w:r>
          </w:p>
          <w:p w:rsidR="00DB21D5" w:rsidRPr="00A67C76" w:rsidRDefault="00DB21D5" w:rsidP="00DB21D5">
            <w:pPr>
              <w:spacing w:before="60" w:after="60" w:line="240" w:lineRule="auto"/>
              <w:jc w:val="center"/>
              <w:rPr>
                <w:sz w:val="20"/>
              </w:rPr>
            </w:pPr>
            <w:r w:rsidRPr="00A67C76">
              <w:rPr>
                <w:sz w:val="20"/>
              </w:rPr>
              <w:t>2</w:t>
            </w:r>
          </w:p>
          <w:p w:rsidR="00DB21D5" w:rsidRPr="00A67C76" w:rsidRDefault="00DB21D5" w:rsidP="00DB21D5">
            <w:pPr>
              <w:spacing w:before="60" w:after="60" w:line="240" w:lineRule="auto"/>
              <w:jc w:val="center"/>
              <w:rPr>
                <w:sz w:val="20"/>
              </w:rPr>
            </w:pPr>
            <w:r w:rsidRPr="00A67C76">
              <w:rPr>
                <w:sz w:val="20"/>
              </w:rPr>
              <w:t>6</w:t>
            </w:r>
          </w:p>
          <w:p w:rsidR="00DB21D5" w:rsidRPr="00A67C76" w:rsidRDefault="00DB21D5" w:rsidP="00DB21D5">
            <w:pPr>
              <w:spacing w:before="60" w:after="60" w:line="240" w:lineRule="auto"/>
              <w:jc w:val="center"/>
              <w:rPr>
                <w:sz w:val="20"/>
              </w:rPr>
            </w:pPr>
            <w:r w:rsidRPr="00A67C76">
              <w:rPr>
                <w:sz w:val="20"/>
              </w:rPr>
              <w:t>137</w:t>
            </w:r>
          </w:p>
          <w:p w:rsidR="00DB21D5" w:rsidRPr="00A67C76" w:rsidRDefault="00DB21D5" w:rsidP="00DB21D5">
            <w:pPr>
              <w:spacing w:before="60" w:after="60" w:line="240" w:lineRule="auto"/>
              <w:jc w:val="center"/>
              <w:rPr>
                <w:sz w:val="20"/>
              </w:rPr>
            </w:pPr>
            <w:r w:rsidRPr="00A67C76">
              <w:rPr>
                <w:sz w:val="20"/>
              </w:rPr>
              <w:t>2</w:t>
            </w:r>
          </w:p>
          <w:p w:rsidR="00DB21D5" w:rsidRPr="00A67C76" w:rsidRDefault="00DB21D5" w:rsidP="00DB21D5">
            <w:pPr>
              <w:spacing w:before="60" w:after="60" w:line="240" w:lineRule="auto"/>
              <w:jc w:val="center"/>
              <w:rPr>
                <w:sz w:val="20"/>
              </w:rPr>
            </w:pPr>
            <w:r w:rsidRPr="00A67C76">
              <w:rPr>
                <w:sz w:val="20"/>
              </w:rPr>
              <w:t>10</w:t>
            </w:r>
          </w:p>
          <w:p w:rsidR="00DB21D5" w:rsidRPr="00A67C76" w:rsidRDefault="00DB21D5" w:rsidP="00DB21D5">
            <w:pPr>
              <w:spacing w:before="60" w:after="60" w:line="240" w:lineRule="auto"/>
              <w:jc w:val="center"/>
              <w:rPr>
                <w:sz w:val="20"/>
              </w:rPr>
            </w:pPr>
            <w:r w:rsidRPr="00A67C76">
              <w:rPr>
                <w:sz w:val="20"/>
              </w:rPr>
              <w:t>1</w:t>
            </w:r>
          </w:p>
          <w:p w:rsidR="00DB21D5" w:rsidRPr="00A67C76" w:rsidRDefault="00DB21D5" w:rsidP="00DB21D5">
            <w:pPr>
              <w:spacing w:before="60" w:after="60" w:line="240" w:lineRule="auto"/>
              <w:jc w:val="center"/>
              <w:rPr>
                <w:sz w:val="20"/>
              </w:rPr>
            </w:pPr>
          </w:p>
        </w:tc>
        <w:tc>
          <w:tcPr>
            <w:tcW w:w="709" w:type="dxa"/>
            <w:shd w:val="clear" w:color="auto" w:fill="auto"/>
          </w:tcPr>
          <w:p w:rsidR="00DB21D5" w:rsidRPr="00A67C76" w:rsidRDefault="00DB21D5" w:rsidP="00DB21D5">
            <w:pPr>
              <w:spacing w:before="60" w:after="60" w:line="240" w:lineRule="auto"/>
              <w:jc w:val="center"/>
              <w:rPr>
                <w:sz w:val="20"/>
              </w:rPr>
            </w:pPr>
            <w:r w:rsidRPr="00A67C76">
              <w:rPr>
                <w:sz w:val="20"/>
              </w:rPr>
              <w:t>8</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103</w:t>
            </w:r>
          </w:p>
          <w:p w:rsidR="00DB21D5" w:rsidRPr="00A67C76" w:rsidRDefault="00DB21D5" w:rsidP="00DB21D5">
            <w:pPr>
              <w:spacing w:before="60" w:after="60" w:line="240" w:lineRule="auto"/>
              <w:jc w:val="center"/>
              <w:rPr>
                <w:sz w:val="20"/>
              </w:rPr>
            </w:pPr>
            <w:r w:rsidRPr="00A67C76">
              <w:rPr>
                <w:sz w:val="20"/>
              </w:rPr>
              <w:t>453</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894</w:t>
            </w:r>
          </w:p>
          <w:p w:rsidR="00DB21D5" w:rsidRPr="00A67C76" w:rsidRDefault="00DB21D5" w:rsidP="00DB21D5">
            <w:pPr>
              <w:spacing w:before="60" w:after="60" w:line="240" w:lineRule="auto"/>
              <w:jc w:val="center"/>
              <w:rPr>
                <w:sz w:val="20"/>
              </w:rPr>
            </w:pPr>
            <w:r w:rsidRPr="00A67C76">
              <w:rPr>
                <w:sz w:val="20"/>
              </w:rPr>
              <w:t>372</w:t>
            </w:r>
          </w:p>
          <w:p w:rsidR="00DB21D5" w:rsidRPr="00A67C76" w:rsidRDefault="00DB21D5" w:rsidP="00DB21D5">
            <w:pPr>
              <w:spacing w:before="60" w:after="60" w:line="240" w:lineRule="auto"/>
              <w:jc w:val="center"/>
              <w:rPr>
                <w:sz w:val="20"/>
              </w:rPr>
            </w:pPr>
            <w:r w:rsidRPr="00A67C76">
              <w:rPr>
                <w:sz w:val="20"/>
              </w:rPr>
              <w:t>3</w:t>
            </w:r>
          </w:p>
          <w:p w:rsidR="00DB21D5" w:rsidRPr="00A67C76" w:rsidRDefault="00DB21D5" w:rsidP="00DB21D5">
            <w:pPr>
              <w:spacing w:before="60" w:after="60" w:line="240" w:lineRule="auto"/>
              <w:jc w:val="center"/>
              <w:rPr>
                <w:sz w:val="20"/>
              </w:rPr>
            </w:pPr>
            <w:r w:rsidRPr="00A67C76">
              <w:rPr>
                <w:sz w:val="20"/>
              </w:rPr>
              <w:t>37</w:t>
            </w:r>
          </w:p>
          <w:p w:rsidR="00DB21D5" w:rsidRPr="00A67C76" w:rsidRDefault="00DB21D5" w:rsidP="00DB21D5">
            <w:pPr>
              <w:spacing w:before="60" w:after="60" w:line="240" w:lineRule="auto"/>
              <w:jc w:val="center"/>
              <w:rPr>
                <w:sz w:val="20"/>
              </w:rPr>
            </w:pPr>
            <w:r w:rsidRPr="00A67C76">
              <w:rPr>
                <w:sz w:val="20"/>
              </w:rPr>
              <w:t>75</w:t>
            </w:r>
          </w:p>
          <w:p w:rsidR="00DB21D5" w:rsidRPr="00A67C76" w:rsidRDefault="00DB21D5" w:rsidP="00DB21D5">
            <w:pPr>
              <w:spacing w:before="60" w:after="60" w:line="240" w:lineRule="auto"/>
              <w:jc w:val="center"/>
              <w:rPr>
                <w:sz w:val="20"/>
              </w:rPr>
            </w:pPr>
            <w:r w:rsidRPr="00A67C76">
              <w:rPr>
                <w:sz w:val="20"/>
              </w:rPr>
              <w:t>1</w:t>
            </w:r>
          </w:p>
          <w:p w:rsidR="00DB21D5" w:rsidRPr="00A67C76" w:rsidRDefault="00DB21D5" w:rsidP="00DB21D5">
            <w:pPr>
              <w:spacing w:before="60" w:after="60" w:line="240" w:lineRule="auto"/>
              <w:jc w:val="center"/>
              <w:rPr>
                <w:sz w:val="20"/>
              </w:rPr>
            </w:pPr>
            <w:r w:rsidRPr="00A67C76">
              <w:rPr>
                <w:sz w:val="20"/>
              </w:rPr>
              <w:t>9</w:t>
            </w:r>
          </w:p>
          <w:p w:rsidR="00DB21D5" w:rsidRPr="00A67C76" w:rsidRDefault="00DB21D5" w:rsidP="00DB21D5">
            <w:pPr>
              <w:spacing w:before="60" w:after="60" w:line="240" w:lineRule="auto"/>
              <w:jc w:val="center"/>
              <w:rPr>
                <w:sz w:val="20"/>
              </w:rPr>
            </w:pPr>
            <w:r w:rsidRPr="00A67C76">
              <w:rPr>
                <w:sz w:val="20"/>
              </w:rPr>
              <w:t>1</w:t>
            </w:r>
          </w:p>
          <w:p w:rsidR="00DB21D5" w:rsidRPr="00A67C76" w:rsidRDefault="00DB21D5" w:rsidP="00DB21D5">
            <w:pPr>
              <w:spacing w:before="60" w:after="60" w:line="240" w:lineRule="auto"/>
              <w:jc w:val="center"/>
              <w:rPr>
                <w:sz w:val="20"/>
              </w:rPr>
            </w:pPr>
          </w:p>
        </w:tc>
        <w:tc>
          <w:tcPr>
            <w:tcW w:w="708" w:type="dxa"/>
            <w:shd w:val="clear" w:color="auto" w:fill="auto"/>
          </w:tcPr>
          <w:p w:rsidR="00DB21D5" w:rsidRPr="00A67C76" w:rsidRDefault="00DB21D5" w:rsidP="00DB21D5">
            <w:pPr>
              <w:spacing w:before="60" w:after="60" w:line="240" w:lineRule="auto"/>
              <w:jc w:val="center"/>
              <w:rPr>
                <w:sz w:val="20"/>
              </w:rPr>
            </w:pPr>
            <w:r w:rsidRPr="00A67C76">
              <w:rPr>
                <w:sz w:val="20"/>
              </w:rPr>
              <w:t>1</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48</w:t>
            </w:r>
          </w:p>
          <w:p w:rsidR="00DB21D5" w:rsidRPr="00A67C76" w:rsidRDefault="00DB21D5" w:rsidP="00DB21D5">
            <w:pPr>
              <w:spacing w:before="60" w:after="60" w:line="240" w:lineRule="auto"/>
              <w:jc w:val="center"/>
              <w:rPr>
                <w:sz w:val="20"/>
              </w:rPr>
            </w:pPr>
            <w:r w:rsidRPr="00A67C76">
              <w:rPr>
                <w:sz w:val="20"/>
              </w:rPr>
              <w:t>1695</w:t>
            </w:r>
          </w:p>
          <w:p w:rsidR="00DB21D5" w:rsidRPr="00A67C76" w:rsidRDefault="00DB21D5" w:rsidP="00DB21D5">
            <w:pPr>
              <w:spacing w:before="60" w:after="60" w:line="240" w:lineRule="auto"/>
              <w:jc w:val="center"/>
              <w:rPr>
                <w:sz w:val="20"/>
              </w:rPr>
            </w:pPr>
            <w:r w:rsidRPr="00A67C76">
              <w:rPr>
                <w:sz w:val="20"/>
              </w:rPr>
              <w:t>3</w:t>
            </w:r>
          </w:p>
          <w:p w:rsidR="00DB21D5" w:rsidRPr="00A67C76" w:rsidRDefault="00DB21D5" w:rsidP="00DB21D5">
            <w:pPr>
              <w:spacing w:before="60" w:after="60" w:line="240" w:lineRule="auto"/>
              <w:jc w:val="center"/>
              <w:rPr>
                <w:sz w:val="20"/>
              </w:rPr>
            </w:pPr>
            <w:r w:rsidRPr="00A67C76">
              <w:rPr>
                <w:sz w:val="20"/>
              </w:rPr>
              <w:t>12</w:t>
            </w:r>
          </w:p>
          <w:p w:rsidR="00DB21D5" w:rsidRPr="00A67C76" w:rsidRDefault="00DB21D5" w:rsidP="00DB21D5">
            <w:pPr>
              <w:spacing w:before="60" w:after="60" w:line="240" w:lineRule="auto"/>
              <w:jc w:val="center"/>
              <w:rPr>
                <w:sz w:val="20"/>
              </w:rPr>
            </w:pPr>
            <w:r w:rsidRPr="00A67C76">
              <w:rPr>
                <w:sz w:val="20"/>
              </w:rPr>
              <w:t>61</w:t>
            </w:r>
          </w:p>
          <w:p w:rsidR="00DB21D5" w:rsidRPr="00A67C76" w:rsidRDefault="00DB21D5" w:rsidP="00DB21D5">
            <w:pPr>
              <w:spacing w:before="60" w:after="60" w:line="240" w:lineRule="auto"/>
              <w:jc w:val="center"/>
              <w:rPr>
                <w:sz w:val="20"/>
              </w:rPr>
            </w:pPr>
            <w:r w:rsidRPr="00A67C76">
              <w:rPr>
                <w:sz w:val="20"/>
              </w:rPr>
              <w:t>3</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56</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52</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p>
        </w:tc>
        <w:tc>
          <w:tcPr>
            <w:tcW w:w="709" w:type="dxa"/>
            <w:shd w:val="clear" w:color="auto" w:fill="auto"/>
          </w:tcPr>
          <w:p w:rsidR="00DB21D5" w:rsidRPr="00A67C76" w:rsidRDefault="00DB21D5" w:rsidP="00DB21D5">
            <w:pPr>
              <w:spacing w:before="60" w:after="60" w:line="240" w:lineRule="auto"/>
              <w:jc w:val="center"/>
              <w:rPr>
                <w:sz w:val="20"/>
              </w:rPr>
            </w:pPr>
            <w:r w:rsidRPr="00A67C76">
              <w:rPr>
                <w:sz w:val="20"/>
              </w:rPr>
              <w:t>5</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73</w:t>
            </w:r>
          </w:p>
          <w:p w:rsidR="00DB21D5" w:rsidRPr="00A67C76" w:rsidRDefault="00DB21D5" w:rsidP="00DB21D5">
            <w:pPr>
              <w:spacing w:before="60" w:after="60" w:line="240" w:lineRule="auto"/>
              <w:jc w:val="center"/>
              <w:rPr>
                <w:sz w:val="20"/>
              </w:rPr>
            </w:pPr>
            <w:r w:rsidRPr="00A67C76">
              <w:rPr>
                <w:sz w:val="20"/>
              </w:rPr>
              <w:t>353</w:t>
            </w:r>
          </w:p>
          <w:p w:rsidR="00DB21D5" w:rsidRPr="00A67C76" w:rsidRDefault="00DB21D5" w:rsidP="00DB21D5">
            <w:pPr>
              <w:spacing w:before="60" w:after="60" w:line="240" w:lineRule="auto"/>
              <w:jc w:val="center"/>
              <w:rPr>
                <w:sz w:val="20"/>
              </w:rPr>
            </w:pPr>
            <w:r w:rsidRPr="00A67C76">
              <w:rPr>
                <w:sz w:val="20"/>
              </w:rPr>
              <w:t>5</w:t>
            </w:r>
          </w:p>
          <w:p w:rsidR="00DB21D5" w:rsidRPr="00A67C76" w:rsidRDefault="00DB21D5" w:rsidP="00DB21D5">
            <w:pPr>
              <w:spacing w:before="60" w:after="60" w:line="240" w:lineRule="auto"/>
              <w:jc w:val="center"/>
              <w:rPr>
                <w:sz w:val="20"/>
              </w:rPr>
            </w:pPr>
            <w:r w:rsidRPr="00A67C76">
              <w:rPr>
                <w:sz w:val="20"/>
              </w:rPr>
              <w:t>6</w:t>
            </w:r>
          </w:p>
          <w:p w:rsidR="00DB21D5" w:rsidRPr="00A67C76" w:rsidRDefault="00DB21D5" w:rsidP="00DB21D5">
            <w:pPr>
              <w:spacing w:before="60" w:after="60" w:line="240" w:lineRule="auto"/>
              <w:jc w:val="center"/>
              <w:rPr>
                <w:sz w:val="20"/>
              </w:rPr>
            </w:pPr>
            <w:r w:rsidRPr="00A67C76">
              <w:rPr>
                <w:sz w:val="20"/>
              </w:rPr>
              <w:t>45</w:t>
            </w:r>
          </w:p>
          <w:p w:rsidR="00DB21D5" w:rsidRPr="00A67C76" w:rsidRDefault="00DB21D5" w:rsidP="00DB21D5">
            <w:pPr>
              <w:spacing w:before="60" w:after="60" w:line="240" w:lineRule="auto"/>
              <w:jc w:val="center"/>
              <w:rPr>
                <w:sz w:val="20"/>
              </w:rPr>
            </w:pPr>
            <w:r w:rsidRPr="00A67C76">
              <w:rPr>
                <w:sz w:val="20"/>
              </w:rPr>
              <w:t>21</w:t>
            </w:r>
          </w:p>
          <w:p w:rsidR="00DB21D5" w:rsidRPr="00A67C76" w:rsidRDefault="00DB21D5" w:rsidP="00DB21D5">
            <w:pPr>
              <w:spacing w:before="60" w:after="60" w:line="240" w:lineRule="auto"/>
              <w:jc w:val="center"/>
              <w:rPr>
                <w:sz w:val="20"/>
              </w:rPr>
            </w:pPr>
            <w:r w:rsidRPr="00A67C76">
              <w:rPr>
                <w:sz w:val="20"/>
              </w:rPr>
              <w:t>1</w:t>
            </w:r>
          </w:p>
          <w:p w:rsidR="00DB21D5" w:rsidRPr="00A67C76" w:rsidRDefault="00DB21D5" w:rsidP="00DB21D5">
            <w:pPr>
              <w:spacing w:before="60" w:after="60" w:line="240" w:lineRule="auto"/>
              <w:jc w:val="center"/>
              <w:rPr>
                <w:sz w:val="20"/>
              </w:rPr>
            </w:pPr>
            <w:r w:rsidRPr="00A67C76">
              <w:rPr>
                <w:sz w:val="20"/>
              </w:rPr>
              <w:t>12</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21</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1</w:t>
            </w:r>
          </w:p>
        </w:tc>
        <w:tc>
          <w:tcPr>
            <w:tcW w:w="709" w:type="dxa"/>
            <w:shd w:val="clear" w:color="auto" w:fill="auto"/>
          </w:tcPr>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24</w:t>
            </w:r>
          </w:p>
          <w:p w:rsidR="00DB21D5" w:rsidRPr="00A67C76" w:rsidRDefault="00DB21D5" w:rsidP="00DB21D5">
            <w:pPr>
              <w:spacing w:before="60" w:after="60" w:line="240" w:lineRule="auto"/>
              <w:jc w:val="center"/>
              <w:rPr>
                <w:sz w:val="20"/>
              </w:rPr>
            </w:pPr>
            <w:r w:rsidRPr="00A67C76">
              <w:rPr>
                <w:sz w:val="20"/>
              </w:rPr>
              <w:t>340</w:t>
            </w:r>
          </w:p>
          <w:p w:rsidR="00DB21D5" w:rsidRPr="00A67C76" w:rsidRDefault="00DB21D5" w:rsidP="00DB21D5">
            <w:pPr>
              <w:spacing w:before="60" w:after="60" w:line="240" w:lineRule="auto"/>
              <w:jc w:val="center"/>
              <w:rPr>
                <w:sz w:val="20"/>
              </w:rPr>
            </w:pPr>
            <w:r w:rsidRPr="00A67C76">
              <w:rPr>
                <w:sz w:val="20"/>
              </w:rPr>
              <w:t>2</w:t>
            </w:r>
          </w:p>
          <w:p w:rsidR="00DB21D5" w:rsidRPr="00A67C76" w:rsidRDefault="00DB21D5" w:rsidP="00DB21D5">
            <w:pPr>
              <w:spacing w:before="60" w:after="60" w:line="240" w:lineRule="auto"/>
              <w:jc w:val="center"/>
              <w:rPr>
                <w:sz w:val="20"/>
              </w:rPr>
            </w:pPr>
            <w:r w:rsidRPr="00A67C76">
              <w:rPr>
                <w:sz w:val="20"/>
              </w:rPr>
              <w:t>101</w:t>
            </w:r>
          </w:p>
          <w:p w:rsidR="00DB21D5" w:rsidRPr="00A67C76" w:rsidRDefault="00DB21D5" w:rsidP="00DB21D5">
            <w:pPr>
              <w:spacing w:before="60" w:after="60" w:line="240" w:lineRule="auto"/>
              <w:jc w:val="center"/>
              <w:rPr>
                <w:sz w:val="20"/>
              </w:rPr>
            </w:pPr>
            <w:r w:rsidRPr="00A67C76">
              <w:rPr>
                <w:sz w:val="20"/>
              </w:rPr>
              <w:t>9</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1</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3</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p>
        </w:tc>
        <w:tc>
          <w:tcPr>
            <w:tcW w:w="709" w:type="dxa"/>
            <w:shd w:val="clear" w:color="auto" w:fill="auto"/>
          </w:tcPr>
          <w:p w:rsidR="00DB21D5" w:rsidRPr="00A67C76" w:rsidRDefault="00DB21D5" w:rsidP="00DB21D5">
            <w:pPr>
              <w:spacing w:before="60" w:after="60" w:line="240" w:lineRule="auto"/>
              <w:jc w:val="center"/>
              <w:rPr>
                <w:sz w:val="20"/>
              </w:rPr>
            </w:pPr>
            <w:r w:rsidRPr="00A67C76">
              <w:rPr>
                <w:sz w:val="20"/>
              </w:rPr>
              <w:t>3</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113</w:t>
            </w:r>
          </w:p>
          <w:p w:rsidR="00DB21D5" w:rsidRPr="00A67C76" w:rsidRDefault="00DB21D5" w:rsidP="00DB21D5">
            <w:pPr>
              <w:spacing w:before="60" w:after="60" w:line="240" w:lineRule="auto"/>
              <w:jc w:val="center"/>
              <w:rPr>
                <w:sz w:val="20"/>
              </w:rPr>
            </w:pPr>
            <w:r w:rsidRPr="00A67C76">
              <w:rPr>
                <w:sz w:val="20"/>
              </w:rPr>
              <w:t>443</w:t>
            </w:r>
          </w:p>
          <w:p w:rsidR="00DB21D5" w:rsidRPr="00A67C76" w:rsidRDefault="00DB21D5" w:rsidP="00DB21D5">
            <w:pPr>
              <w:spacing w:before="60" w:after="60" w:line="240" w:lineRule="auto"/>
              <w:jc w:val="center"/>
              <w:rPr>
                <w:sz w:val="20"/>
              </w:rPr>
            </w:pPr>
            <w:r w:rsidRPr="00A67C76">
              <w:rPr>
                <w:sz w:val="20"/>
              </w:rPr>
              <w:t>13</w:t>
            </w:r>
          </w:p>
          <w:p w:rsidR="00DB21D5" w:rsidRPr="00A67C76" w:rsidRDefault="00DB21D5" w:rsidP="00DB21D5">
            <w:pPr>
              <w:spacing w:before="60" w:after="60" w:line="240" w:lineRule="auto"/>
              <w:jc w:val="center"/>
              <w:rPr>
                <w:sz w:val="20"/>
              </w:rPr>
            </w:pPr>
            <w:r w:rsidRPr="00A67C76">
              <w:rPr>
                <w:sz w:val="20"/>
              </w:rPr>
              <w:t>102</w:t>
            </w:r>
          </w:p>
          <w:p w:rsidR="00DB21D5" w:rsidRPr="00A67C76" w:rsidRDefault="00DB21D5" w:rsidP="00DB21D5">
            <w:pPr>
              <w:spacing w:before="60" w:after="60" w:line="240" w:lineRule="auto"/>
              <w:jc w:val="center"/>
              <w:rPr>
                <w:sz w:val="20"/>
              </w:rPr>
            </w:pPr>
            <w:r w:rsidRPr="00A67C76">
              <w:rPr>
                <w:sz w:val="20"/>
              </w:rPr>
              <w:t>15</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2</w:t>
            </w:r>
          </w:p>
          <w:p w:rsidR="00DB21D5" w:rsidRPr="00A67C76" w:rsidRDefault="00DB21D5" w:rsidP="00DB21D5">
            <w:pPr>
              <w:spacing w:before="60" w:after="60" w:line="240" w:lineRule="auto"/>
              <w:jc w:val="center"/>
              <w:rPr>
                <w:sz w:val="20"/>
              </w:rPr>
            </w:pPr>
            <w:r w:rsidRPr="00A67C76">
              <w:rPr>
                <w:sz w:val="20"/>
              </w:rPr>
              <w:t>6</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14</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p>
        </w:tc>
      </w:tr>
      <w:tr w:rsidR="00DB21D5" w:rsidRPr="00A67C76" w:rsidTr="00DB21D5">
        <w:trPr>
          <w:trHeight w:val="888"/>
        </w:trPr>
        <w:tc>
          <w:tcPr>
            <w:tcW w:w="4537" w:type="dxa"/>
            <w:gridSpan w:val="2"/>
            <w:shd w:val="clear" w:color="auto" w:fill="auto"/>
          </w:tcPr>
          <w:p w:rsidR="00DB21D5" w:rsidRPr="00A67C76" w:rsidRDefault="00DB21D5" w:rsidP="00DB21D5">
            <w:pPr>
              <w:spacing w:before="60" w:after="60" w:line="240" w:lineRule="auto"/>
              <w:jc w:val="right"/>
              <w:rPr>
                <w:b/>
                <w:sz w:val="20"/>
              </w:rPr>
            </w:pPr>
          </w:p>
        </w:tc>
        <w:tc>
          <w:tcPr>
            <w:tcW w:w="2456" w:type="dxa"/>
            <w:gridSpan w:val="2"/>
            <w:tcBorders>
              <w:bottom w:val="single" w:sz="4" w:space="0" w:color="auto"/>
            </w:tcBorders>
            <w:shd w:val="clear" w:color="auto" w:fill="auto"/>
          </w:tcPr>
          <w:p w:rsidR="00DB21D5" w:rsidRPr="00A67C76" w:rsidRDefault="00DB21D5" w:rsidP="00DB21D5">
            <w:pPr>
              <w:spacing w:before="60" w:after="60" w:line="240" w:lineRule="auto"/>
              <w:rPr>
                <w:b/>
                <w:sz w:val="20"/>
              </w:rPr>
            </w:pPr>
            <w:r w:rsidRPr="00A67C76">
              <w:rPr>
                <w:b/>
                <w:sz w:val="20"/>
              </w:rPr>
              <w:t>Total</w:t>
            </w:r>
          </w:p>
          <w:p w:rsidR="00DB21D5" w:rsidRPr="00A67C76" w:rsidRDefault="00DB21D5" w:rsidP="00DB21D5">
            <w:pPr>
              <w:spacing w:before="60" w:after="60" w:line="240" w:lineRule="auto"/>
              <w:rPr>
                <w:b/>
                <w:sz w:val="20"/>
              </w:rPr>
            </w:pPr>
            <w:r w:rsidRPr="00A67C76">
              <w:rPr>
                <w:b/>
                <w:sz w:val="20"/>
              </w:rPr>
              <w:t>No. of species</w:t>
            </w:r>
          </w:p>
          <w:p w:rsidR="00DB21D5" w:rsidRPr="00A67C76" w:rsidRDefault="00DB21D5" w:rsidP="00DB21D5">
            <w:pPr>
              <w:spacing w:before="60" w:after="60" w:line="240" w:lineRule="auto"/>
              <w:rPr>
                <w:b/>
                <w:sz w:val="20"/>
              </w:rPr>
            </w:pPr>
            <w:r w:rsidRPr="00A67C76">
              <w:rPr>
                <w:b/>
                <w:sz w:val="20"/>
              </w:rPr>
              <w:t>No. of native species</w:t>
            </w:r>
          </w:p>
        </w:tc>
        <w:tc>
          <w:tcPr>
            <w:tcW w:w="662" w:type="dxa"/>
            <w:tcBorders>
              <w:bottom w:val="single" w:sz="4" w:space="0" w:color="auto"/>
            </w:tcBorders>
            <w:shd w:val="clear" w:color="auto" w:fill="auto"/>
          </w:tcPr>
          <w:p w:rsidR="00DB21D5" w:rsidRPr="00A67C76" w:rsidRDefault="00DB21D5" w:rsidP="00DB21D5">
            <w:pPr>
              <w:spacing w:before="60" w:after="60" w:line="240" w:lineRule="auto"/>
              <w:jc w:val="center"/>
              <w:rPr>
                <w:sz w:val="20"/>
              </w:rPr>
            </w:pPr>
            <w:r w:rsidRPr="00A67C76">
              <w:rPr>
                <w:sz w:val="20"/>
              </w:rPr>
              <w:t>50</w:t>
            </w:r>
          </w:p>
          <w:p w:rsidR="00DB21D5" w:rsidRPr="00A67C76" w:rsidRDefault="00DB21D5" w:rsidP="00DB21D5">
            <w:pPr>
              <w:spacing w:before="60" w:after="60" w:line="240" w:lineRule="auto"/>
              <w:jc w:val="center"/>
              <w:rPr>
                <w:sz w:val="20"/>
              </w:rPr>
            </w:pPr>
            <w:r w:rsidRPr="00A67C76">
              <w:rPr>
                <w:sz w:val="20"/>
              </w:rPr>
              <w:t>6</w:t>
            </w:r>
          </w:p>
          <w:p w:rsidR="00DB21D5" w:rsidRPr="00A67C76" w:rsidRDefault="00DB21D5" w:rsidP="00DB21D5">
            <w:pPr>
              <w:spacing w:before="60" w:after="60" w:line="240" w:lineRule="auto"/>
              <w:jc w:val="center"/>
              <w:rPr>
                <w:sz w:val="20"/>
              </w:rPr>
            </w:pPr>
            <w:r w:rsidRPr="00A67C76">
              <w:rPr>
                <w:sz w:val="20"/>
              </w:rPr>
              <w:t>4</w:t>
            </w:r>
          </w:p>
        </w:tc>
        <w:tc>
          <w:tcPr>
            <w:tcW w:w="709" w:type="dxa"/>
            <w:tcBorders>
              <w:bottom w:val="single" w:sz="4" w:space="0" w:color="auto"/>
            </w:tcBorders>
            <w:shd w:val="clear" w:color="auto" w:fill="auto"/>
          </w:tcPr>
          <w:p w:rsidR="00DB21D5" w:rsidRPr="00A67C76" w:rsidRDefault="00DB21D5" w:rsidP="00DB21D5">
            <w:pPr>
              <w:spacing w:before="60" w:after="60" w:line="240" w:lineRule="auto"/>
              <w:jc w:val="center"/>
              <w:rPr>
                <w:sz w:val="20"/>
              </w:rPr>
            </w:pPr>
            <w:r w:rsidRPr="00A67C76">
              <w:rPr>
                <w:sz w:val="20"/>
              </w:rPr>
              <w:t>103</w:t>
            </w:r>
          </w:p>
          <w:p w:rsidR="00DB21D5" w:rsidRPr="00A67C76" w:rsidRDefault="00DB21D5" w:rsidP="00DB21D5">
            <w:pPr>
              <w:spacing w:before="60" w:after="60" w:line="240" w:lineRule="auto"/>
              <w:jc w:val="center"/>
              <w:rPr>
                <w:sz w:val="20"/>
              </w:rPr>
            </w:pPr>
            <w:r w:rsidRPr="00A67C76">
              <w:rPr>
                <w:sz w:val="20"/>
              </w:rPr>
              <w:t>4</w:t>
            </w:r>
          </w:p>
          <w:p w:rsidR="00DB21D5" w:rsidRPr="00A67C76" w:rsidRDefault="00DB21D5" w:rsidP="00DB21D5">
            <w:pPr>
              <w:spacing w:before="60" w:after="60" w:line="240" w:lineRule="auto"/>
              <w:jc w:val="center"/>
              <w:rPr>
                <w:sz w:val="20"/>
              </w:rPr>
            </w:pPr>
            <w:r w:rsidRPr="00A67C76">
              <w:rPr>
                <w:sz w:val="20"/>
              </w:rPr>
              <w:t>2</w:t>
            </w:r>
          </w:p>
        </w:tc>
        <w:tc>
          <w:tcPr>
            <w:tcW w:w="709" w:type="dxa"/>
            <w:tcBorders>
              <w:bottom w:val="single" w:sz="4" w:space="0" w:color="auto"/>
            </w:tcBorders>
            <w:shd w:val="clear" w:color="auto" w:fill="auto"/>
          </w:tcPr>
          <w:p w:rsidR="00DB21D5" w:rsidRPr="00A67C76" w:rsidRDefault="00DB21D5" w:rsidP="00DB21D5">
            <w:pPr>
              <w:spacing w:before="60" w:after="60" w:line="240" w:lineRule="auto"/>
              <w:jc w:val="center"/>
              <w:rPr>
                <w:sz w:val="20"/>
              </w:rPr>
            </w:pPr>
            <w:r w:rsidRPr="00A67C76">
              <w:rPr>
                <w:sz w:val="20"/>
              </w:rPr>
              <w:t>2536</w:t>
            </w:r>
          </w:p>
          <w:p w:rsidR="00DB21D5" w:rsidRPr="00A67C76" w:rsidRDefault="00DB21D5" w:rsidP="00DB21D5">
            <w:pPr>
              <w:spacing w:before="60" w:after="60" w:line="240" w:lineRule="auto"/>
              <w:jc w:val="center"/>
              <w:rPr>
                <w:sz w:val="20"/>
              </w:rPr>
            </w:pPr>
            <w:r w:rsidRPr="00A67C76">
              <w:rPr>
                <w:sz w:val="20"/>
              </w:rPr>
              <w:t>11</w:t>
            </w:r>
          </w:p>
          <w:p w:rsidR="00DB21D5" w:rsidRPr="00A67C76" w:rsidRDefault="00DB21D5" w:rsidP="00DB21D5">
            <w:pPr>
              <w:spacing w:before="60" w:after="60" w:line="240" w:lineRule="auto"/>
              <w:jc w:val="center"/>
              <w:rPr>
                <w:sz w:val="20"/>
              </w:rPr>
            </w:pPr>
            <w:r w:rsidRPr="00A67C76">
              <w:rPr>
                <w:sz w:val="20"/>
              </w:rPr>
              <w:t>7</w:t>
            </w:r>
          </w:p>
        </w:tc>
        <w:tc>
          <w:tcPr>
            <w:tcW w:w="709" w:type="dxa"/>
            <w:tcBorders>
              <w:bottom w:val="single" w:sz="4" w:space="0" w:color="auto"/>
            </w:tcBorders>
            <w:shd w:val="clear" w:color="auto" w:fill="auto"/>
          </w:tcPr>
          <w:p w:rsidR="00DB21D5" w:rsidRPr="00A67C76" w:rsidRDefault="00DB21D5" w:rsidP="00DB21D5">
            <w:pPr>
              <w:spacing w:before="60" w:after="60" w:line="240" w:lineRule="auto"/>
              <w:jc w:val="center"/>
              <w:rPr>
                <w:sz w:val="20"/>
              </w:rPr>
            </w:pPr>
            <w:r w:rsidRPr="00A67C76">
              <w:rPr>
                <w:sz w:val="20"/>
              </w:rPr>
              <w:t>2387</w:t>
            </w:r>
          </w:p>
          <w:p w:rsidR="00DB21D5" w:rsidRPr="00A67C76" w:rsidRDefault="00DB21D5" w:rsidP="00DB21D5">
            <w:pPr>
              <w:spacing w:before="60" w:after="60" w:line="240" w:lineRule="auto"/>
              <w:jc w:val="center"/>
              <w:rPr>
                <w:sz w:val="20"/>
              </w:rPr>
            </w:pPr>
            <w:r w:rsidRPr="00A67C76">
              <w:rPr>
                <w:sz w:val="20"/>
              </w:rPr>
              <w:t>10</w:t>
            </w:r>
          </w:p>
          <w:p w:rsidR="00DB21D5" w:rsidRPr="00A67C76" w:rsidRDefault="00DB21D5" w:rsidP="00DB21D5">
            <w:pPr>
              <w:spacing w:before="60" w:after="60" w:line="240" w:lineRule="auto"/>
              <w:jc w:val="center"/>
              <w:rPr>
                <w:sz w:val="20"/>
              </w:rPr>
            </w:pPr>
            <w:r w:rsidRPr="00A67C76">
              <w:rPr>
                <w:sz w:val="20"/>
              </w:rPr>
              <w:t>7</w:t>
            </w:r>
          </w:p>
        </w:tc>
        <w:tc>
          <w:tcPr>
            <w:tcW w:w="708" w:type="dxa"/>
            <w:tcBorders>
              <w:bottom w:val="single" w:sz="4" w:space="0" w:color="auto"/>
            </w:tcBorders>
            <w:shd w:val="clear" w:color="auto" w:fill="auto"/>
          </w:tcPr>
          <w:p w:rsidR="00DB21D5" w:rsidRPr="00A67C76" w:rsidRDefault="00DB21D5" w:rsidP="00DB21D5">
            <w:pPr>
              <w:spacing w:before="60" w:after="60" w:line="240" w:lineRule="auto"/>
              <w:jc w:val="center"/>
              <w:rPr>
                <w:sz w:val="20"/>
              </w:rPr>
            </w:pPr>
            <w:r w:rsidRPr="00A67C76">
              <w:rPr>
                <w:sz w:val="20"/>
              </w:rPr>
              <w:t>214</w:t>
            </w:r>
          </w:p>
          <w:p w:rsidR="00DB21D5" w:rsidRPr="00A67C76" w:rsidRDefault="00DB21D5" w:rsidP="00DB21D5">
            <w:pPr>
              <w:spacing w:before="60" w:after="60" w:line="240" w:lineRule="auto"/>
              <w:jc w:val="center"/>
              <w:rPr>
                <w:sz w:val="20"/>
              </w:rPr>
            </w:pPr>
            <w:r w:rsidRPr="00A67C76">
              <w:rPr>
                <w:sz w:val="20"/>
              </w:rPr>
              <w:t>9</w:t>
            </w:r>
          </w:p>
          <w:p w:rsidR="00DB21D5" w:rsidRPr="00A67C76" w:rsidRDefault="00DB21D5" w:rsidP="00DB21D5">
            <w:pPr>
              <w:spacing w:before="60" w:after="60" w:line="240" w:lineRule="auto"/>
              <w:jc w:val="center"/>
              <w:rPr>
                <w:sz w:val="20"/>
              </w:rPr>
            </w:pPr>
            <w:r w:rsidRPr="00A67C76">
              <w:rPr>
                <w:sz w:val="20"/>
              </w:rPr>
              <w:t>6</w:t>
            </w:r>
          </w:p>
        </w:tc>
        <w:tc>
          <w:tcPr>
            <w:tcW w:w="709" w:type="dxa"/>
            <w:tcBorders>
              <w:bottom w:val="single" w:sz="4" w:space="0" w:color="auto"/>
            </w:tcBorders>
            <w:shd w:val="clear" w:color="auto" w:fill="auto"/>
          </w:tcPr>
          <w:p w:rsidR="00DB21D5" w:rsidRPr="00A67C76" w:rsidRDefault="00DB21D5" w:rsidP="00DB21D5">
            <w:pPr>
              <w:spacing w:before="60" w:after="60" w:line="240" w:lineRule="auto"/>
              <w:jc w:val="center"/>
              <w:rPr>
                <w:sz w:val="20"/>
              </w:rPr>
            </w:pPr>
            <w:r w:rsidRPr="00A67C76">
              <w:rPr>
                <w:sz w:val="20"/>
              </w:rPr>
              <w:t>475</w:t>
            </w:r>
          </w:p>
          <w:p w:rsidR="00DB21D5" w:rsidRPr="00A67C76" w:rsidRDefault="00DB21D5" w:rsidP="00DB21D5">
            <w:pPr>
              <w:spacing w:before="60" w:after="60" w:line="240" w:lineRule="auto"/>
              <w:jc w:val="center"/>
              <w:rPr>
                <w:sz w:val="20"/>
              </w:rPr>
            </w:pPr>
            <w:r w:rsidRPr="00A67C76">
              <w:rPr>
                <w:sz w:val="20"/>
              </w:rPr>
              <w:t>10</w:t>
            </w:r>
          </w:p>
          <w:p w:rsidR="00DB21D5" w:rsidRPr="00A67C76" w:rsidRDefault="00DB21D5" w:rsidP="00DB21D5">
            <w:pPr>
              <w:spacing w:before="60" w:after="60" w:line="240" w:lineRule="auto"/>
              <w:jc w:val="center"/>
              <w:rPr>
                <w:sz w:val="20"/>
              </w:rPr>
            </w:pPr>
            <w:r w:rsidRPr="00A67C76">
              <w:rPr>
                <w:sz w:val="20"/>
              </w:rPr>
              <w:t>6</w:t>
            </w:r>
          </w:p>
        </w:tc>
        <w:tc>
          <w:tcPr>
            <w:tcW w:w="709" w:type="dxa"/>
            <w:tcBorders>
              <w:bottom w:val="single" w:sz="4" w:space="0" w:color="auto"/>
            </w:tcBorders>
            <w:shd w:val="clear" w:color="auto" w:fill="auto"/>
          </w:tcPr>
          <w:p w:rsidR="00DB21D5" w:rsidRPr="00A67C76" w:rsidRDefault="00DB21D5" w:rsidP="00DB21D5">
            <w:pPr>
              <w:spacing w:before="60" w:after="60" w:line="240" w:lineRule="auto"/>
              <w:jc w:val="center"/>
              <w:rPr>
                <w:sz w:val="20"/>
              </w:rPr>
            </w:pPr>
            <w:r w:rsidRPr="00A67C76">
              <w:rPr>
                <w:sz w:val="20"/>
              </w:rPr>
              <w:t>764</w:t>
            </w:r>
          </w:p>
          <w:p w:rsidR="00DB21D5" w:rsidRPr="00A67C76" w:rsidRDefault="00DB21D5" w:rsidP="00DB21D5">
            <w:pPr>
              <w:spacing w:before="60" w:after="60" w:line="240" w:lineRule="auto"/>
              <w:jc w:val="center"/>
              <w:rPr>
                <w:sz w:val="20"/>
              </w:rPr>
            </w:pPr>
            <w:r w:rsidRPr="00A67C76">
              <w:rPr>
                <w:sz w:val="20"/>
              </w:rPr>
              <w:t>12</w:t>
            </w:r>
          </w:p>
          <w:p w:rsidR="00DB21D5" w:rsidRPr="00A67C76" w:rsidRDefault="00DB21D5" w:rsidP="00DB21D5">
            <w:pPr>
              <w:spacing w:before="60" w:after="60" w:line="240" w:lineRule="auto"/>
              <w:jc w:val="center"/>
              <w:rPr>
                <w:sz w:val="20"/>
              </w:rPr>
            </w:pPr>
            <w:r w:rsidRPr="00A67C76">
              <w:rPr>
                <w:sz w:val="20"/>
              </w:rPr>
              <w:t>9</w:t>
            </w:r>
          </w:p>
        </w:tc>
        <w:tc>
          <w:tcPr>
            <w:tcW w:w="709" w:type="dxa"/>
            <w:tcBorders>
              <w:bottom w:val="single" w:sz="4" w:space="0" w:color="auto"/>
            </w:tcBorders>
            <w:shd w:val="clear" w:color="auto" w:fill="auto"/>
          </w:tcPr>
          <w:p w:rsidR="00DB21D5" w:rsidRPr="00A67C76" w:rsidRDefault="00DB21D5" w:rsidP="00DB21D5">
            <w:pPr>
              <w:spacing w:before="60" w:after="60" w:line="240" w:lineRule="auto"/>
              <w:jc w:val="center"/>
              <w:rPr>
                <w:sz w:val="20"/>
              </w:rPr>
            </w:pPr>
            <w:r w:rsidRPr="00A67C76">
              <w:rPr>
                <w:sz w:val="20"/>
              </w:rPr>
              <w:t>1956</w:t>
            </w:r>
          </w:p>
          <w:p w:rsidR="00DB21D5" w:rsidRPr="00A67C76" w:rsidRDefault="00DB21D5" w:rsidP="00DB21D5">
            <w:pPr>
              <w:spacing w:before="60" w:after="60" w:line="240" w:lineRule="auto"/>
              <w:jc w:val="center"/>
              <w:rPr>
                <w:sz w:val="20"/>
              </w:rPr>
            </w:pPr>
            <w:r w:rsidRPr="00A67C76">
              <w:rPr>
                <w:sz w:val="20"/>
              </w:rPr>
              <w:t>11</w:t>
            </w:r>
          </w:p>
          <w:p w:rsidR="00DB21D5" w:rsidRPr="00A67C76" w:rsidRDefault="00DB21D5" w:rsidP="00DB21D5">
            <w:pPr>
              <w:spacing w:before="60" w:after="60" w:line="240" w:lineRule="auto"/>
              <w:jc w:val="center"/>
              <w:rPr>
                <w:sz w:val="20"/>
              </w:rPr>
            </w:pPr>
            <w:r w:rsidRPr="00A67C76">
              <w:rPr>
                <w:sz w:val="20"/>
              </w:rPr>
              <w:t>7</w:t>
            </w:r>
          </w:p>
        </w:tc>
        <w:tc>
          <w:tcPr>
            <w:tcW w:w="708" w:type="dxa"/>
            <w:tcBorders>
              <w:bottom w:val="single" w:sz="4" w:space="0" w:color="auto"/>
            </w:tcBorders>
            <w:shd w:val="clear" w:color="auto" w:fill="auto"/>
          </w:tcPr>
          <w:p w:rsidR="00DB21D5" w:rsidRPr="00A67C76" w:rsidRDefault="00DB21D5" w:rsidP="00DB21D5">
            <w:pPr>
              <w:spacing w:before="60" w:after="60" w:line="240" w:lineRule="auto"/>
              <w:jc w:val="center"/>
              <w:rPr>
                <w:sz w:val="20"/>
              </w:rPr>
            </w:pPr>
            <w:r w:rsidRPr="00A67C76">
              <w:rPr>
                <w:sz w:val="20"/>
              </w:rPr>
              <w:t>1931</w:t>
            </w:r>
          </w:p>
          <w:p w:rsidR="00DB21D5" w:rsidRPr="00A67C76" w:rsidRDefault="00DB21D5" w:rsidP="00DB21D5">
            <w:pPr>
              <w:spacing w:before="60" w:after="60" w:line="240" w:lineRule="auto"/>
              <w:jc w:val="center"/>
              <w:rPr>
                <w:sz w:val="20"/>
              </w:rPr>
            </w:pPr>
            <w:r w:rsidRPr="00A67C76">
              <w:rPr>
                <w:sz w:val="20"/>
              </w:rPr>
              <w:t>9</w:t>
            </w:r>
          </w:p>
          <w:p w:rsidR="00DB21D5" w:rsidRPr="00A67C76" w:rsidRDefault="00DB21D5" w:rsidP="00DB21D5">
            <w:pPr>
              <w:spacing w:before="60" w:after="60" w:line="240" w:lineRule="auto"/>
              <w:jc w:val="center"/>
              <w:rPr>
                <w:sz w:val="20"/>
              </w:rPr>
            </w:pPr>
            <w:r w:rsidRPr="00A67C76">
              <w:rPr>
                <w:sz w:val="20"/>
              </w:rPr>
              <w:t>7</w:t>
            </w:r>
          </w:p>
        </w:tc>
        <w:tc>
          <w:tcPr>
            <w:tcW w:w="709" w:type="dxa"/>
            <w:tcBorders>
              <w:bottom w:val="single" w:sz="4" w:space="0" w:color="auto"/>
            </w:tcBorders>
            <w:shd w:val="clear" w:color="auto" w:fill="auto"/>
          </w:tcPr>
          <w:p w:rsidR="00DB21D5" w:rsidRPr="00A67C76" w:rsidRDefault="00DB21D5" w:rsidP="00DB21D5">
            <w:pPr>
              <w:spacing w:before="60" w:after="60" w:line="240" w:lineRule="auto"/>
              <w:jc w:val="center"/>
              <w:rPr>
                <w:sz w:val="20"/>
              </w:rPr>
            </w:pPr>
            <w:r w:rsidRPr="00A67C76">
              <w:rPr>
                <w:sz w:val="20"/>
              </w:rPr>
              <w:t>543</w:t>
            </w:r>
          </w:p>
          <w:p w:rsidR="00DB21D5" w:rsidRPr="00A67C76" w:rsidRDefault="00DB21D5" w:rsidP="00DB21D5">
            <w:pPr>
              <w:spacing w:before="60" w:after="60" w:line="240" w:lineRule="auto"/>
              <w:jc w:val="center"/>
              <w:rPr>
                <w:sz w:val="20"/>
              </w:rPr>
            </w:pPr>
            <w:r w:rsidRPr="00A67C76">
              <w:rPr>
                <w:sz w:val="20"/>
              </w:rPr>
              <w:t>11</w:t>
            </w:r>
          </w:p>
          <w:p w:rsidR="00DB21D5" w:rsidRPr="00A67C76" w:rsidRDefault="00DB21D5" w:rsidP="00DB21D5">
            <w:pPr>
              <w:spacing w:before="60" w:after="60" w:line="240" w:lineRule="auto"/>
              <w:jc w:val="center"/>
              <w:rPr>
                <w:sz w:val="20"/>
              </w:rPr>
            </w:pPr>
            <w:r w:rsidRPr="00A67C76">
              <w:rPr>
                <w:sz w:val="20"/>
              </w:rPr>
              <w:t>8</w:t>
            </w:r>
          </w:p>
        </w:tc>
        <w:tc>
          <w:tcPr>
            <w:tcW w:w="709" w:type="dxa"/>
            <w:tcBorders>
              <w:bottom w:val="single" w:sz="4" w:space="0" w:color="auto"/>
            </w:tcBorders>
            <w:shd w:val="clear" w:color="auto" w:fill="auto"/>
          </w:tcPr>
          <w:p w:rsidR="00DB21D5" w:rsidRPr="00A67C76" w:rsidRDefault="00DB21D5" w:rsidP="00DB21D5">
            <w:pPr>
              <w:spacing w:before="60" w:after="60" w:line="240" w:lineRule="auto"/>
              <w:jc w:val="center"/>
              <w:rPr>
                <w:sz w:val="20"/>
              </w:rPr>
            </w:pPr>
            <w:r w:rsidRPr="00A67C76">
              <w:rPr>
                <w:sz w:val="20"/>
              </w:rPr>
              <w:t>481</w:t>
            </w:r>
          </w:p>
          <w:p w:rsidR="00DB21D5" w:rsidRPr="00A67C76" w:rsidRDefault="00DB21D5" w:rsidP="00DB21D5">
            <w:pPr>
              <w:spacing w:before="60" w:after="60" w:line="240" w:lineRule="auto"/>
              <w:jc w:val="center"/>
              <w:rPr>
                <w:sz w:val="20"/>
              </w:rPr>
            </w:pPr>
            <w:r w:rsidRPr="00A67C76">
              <w:rPr>
                <w:sz w:val="20"/>
              </w:rPr>
              <w:t>7</w:t>
            </w:r>
          </w:p>
          <w:p w:rsidR="00DB21D5" w:rsidRPr="00A67C76" w:rsidRDefault="00DB21D5" w:rsidP="00DB21D5">
            <w:pPr>
              <w:spacing w:before="60" w:after="60" w:line="240" w:lineRule="auto"/>
              <w:jc w:val="center"/>
              <w:rPr>
                <w:sz w:val="20"/>
              </w:rPr>
            </w:pPr>
            <w:r w:rsidRPr="00A67C76">
              <w:rPr>
                <w:sz w:val="20"/>
              </w:rPr>
              <w:t>6</w:t>
            </w:r>
          </w:p>
        </w:tc>
        <w:tc>
          <w:tcPr>
            <w:tcW w:w="709" w:type="dxa"/>
            <w:tcBorders>
              <w:bottom w:val="single" w:sz="4" w:space="0" w:color="auto"/>
            </w:tcBorders>
            <w:shd w:val="clear" w:color="auto" w:fill="auto"/>
          </w:tcPr>
          <w:p w:rsidR="00DB21D5" w:rsidRPr="00A67C76" w:rsidRDefault="00DB21D5" w:rsidP="00DB21D5">
            <w:pPr>
              <w:spacing w:before="60" w:after="60" w:line="240" w:lineRule="auto"/>
              <w:jc w:val="center"/>
              <w:rPr>
                <w:sz w:val="20"/>
              </w:rPr>
            </w:pPr>
            <w:r w:rsidRPr="00A67C76">
              <w:rPr>
                <w:sz w:val="20"/>
              </w:rPr>
              <w:t>711</w:t>
            </w:r>
          </w:p>
          <w:p w:rsidR="00DB21D5" w:rsidRPr="00A67C76" w:rsidRDefault="00DB21D5" w:rsidP="00DB21D5">
            <w:pPr>
              <w:spacing w:before="60" w:after="60" w:line="240" w:lineRule="auto"/>
              <w:jc w:val="center"/>
              <w:rPr>
                <w:sz w:val="20"/>
              </w:rPr>
            </w:pPr>
            <w:r w:rsidRPr="00A67C76">
              <w:rPr>
                <w:sz w:val="20"/>
              </w:rPr>
              <w:t>9</w:t>
            </w:r>
          </w:p>
          <w:p w:rsidR="00DB21D5" w:rsidRPr="00A67C76" w:rsidRDefault="00DB21D5" w:rsidP="00DB21D5">
            <w:pPr>
              <w:spacing w:before="60" w:after="60" w:line="240" w:lineRule="auto"/>
              <w:jc w:val="center"/>
              <w:rPr>
                <w:sz w:val="20"/>
              </w:rPr>
            </w:pPr>
            <w:r w:rsidRPr="00A67C76">
              <w:rPr>
                <w:sz w:val="20"/>
              </w:rPr>
              <w:t>7</w:t>
            </w:r>
          </w:p>
        </w:tc>
      </w:tr>
    </w:tbl>
    <w:p w:rsidR="00DB21D5" w:rsidRPr="00A67C76" w:rsidRDefault="00DB21D5">
      <w:pPr>
        <w:pStyle w:val="Captions"/>
        <w:sectPr w:rsidR="00DB21D5" w:rsidRPr="00A67C76" w:rsidSect="00EA303E">
          <w:footerReference w:type="default" r:id="rId70"/>
          <w:pgSz w:w="16838" w:h="11906" w:orient="landscape" w:code="9"/>
          <w:pgMar w:top="1797" w:right="1440" w:bottom="1797" w:left="1077" w:header="709" w:footer="709" w:gutter="0"/>
          <w:cols w:space="708"/>
          <w:docGrid w:linePitch="360"/>
        </w:sectPr>
      </w:pPr>
    </w:p>
    <w:p w:rsidR="00DB21D5" w:rsidRPr="00A67C76" w:rsidRDefault="00DB21D5" w:rsidP="00A4077A">
      <w:r w:rsidRPr="00A67C76">
        <w:t>The native foraging generalist Australian smelt characterised fish assemblages during the high flow phase; whereas the invasive common carp were strongly correlated to assemblages sampled during the Receding flow phase (</w:t>
      </w:r>
      <w:r w:rsidR="00A4077A">
        <w:t xml:space="preserve">Figure 27; </w:t>
      </w:r>
      <w:fldSimple w:instr=" REF _Ref381781306 \h  \* MERGEFORMAT ">
        <w:r w:rsidR="009659F2" w:rsidRPr="00A67C76">
          <w:t xml:space="preserve">Table </w:t>
        </w:r>
        <w:r w:rsidR="009659F2">
          <w:t>9</w:t>
        </w:r>
      </w:fldSimple>
      <w:r w:rsidRPr="00A67C76">
        <w:t xml:space="preserve">). The grouping of assemblages sampled during the delivery of environmental water and Low flow phase were characterised mostly by several foraging generalists (flat-headed gudgeon, carp gudgeon, unspecked hardyhead), the small-bodied invasive Eastern gambusia, and to a lesser extent the foraging generalist bony herring. </w:t>
      </w:r>
    </w:p>
    <w:p w:rsidR="00DB21D5" w:rsidRPr="00062ECB" w:rsidRDefault="00DB21D5" w:rsidP="000E15E2">
      <w:r w:rsidRPr="00A67C76">
        <w:t>PERMANOVA was used to statistically compare the structure of assemblages moving in and out of the wetland and to determine if these directional movement patterns were consistent among flow phases. The interaction between flow phase and direction was not significant; however the effects of flow phase and direction on assemblage structure were significant (</w:t>
      </w:r>
      <w:r w:rsidR="003A097B">
        <w:t>Appendix V</w:t>
      </w:r>
      <w:r w:rsidRPr="00A67C76">
        <w:t xml:space="preserve">). This suggests that the effects of flow phase on assemblage structure were the same for both directions, and effects of direction on assemblage structure were the same for all six flow phases. </w:t>
      </w:r>
    </w:p>
    <w:p w:rsidR="00DB21D5" w:rsidRPr="00A67C76" w:rsidRDefault="00DB21D5" w:rsidP="001D2521">
      <w:r w:rsidRPr="00A67C76">
        <w:t xml:space="preserve">For assemblages moving into the wetland, pairwise comparisons revealed significant difference in assemblage structure between the unregulated High flow phase and the Rising </w:t>
      </w:r>
      <w:r w:rsidRPr="00A67C76">
        <w:rPr>
          <w:noProof/>
        </w:rPr>
        <w:t>(EW)</w:t>
      </w:r>
      <w:r w:rsidRPr="00A67C76">
        <w:t xml:space="preserve"> and Low flow phases. There were also significant differences between the Receding and Rising </w:t>
      </w:r>
      <w:r w:rsidRPr="00A67C76">
        <w:rPr>
          <w:noProof/>
        </w:rPr>
        <w:t>(EW)</w:t>
      </w:r>
      <w:r w:rsidRPr="00A67C76">
        <w:t xml:space="preserve"> flow phases. For assemblages moving out of the wetland, pairwise tests revealed significant differences between the unregulated High flow phase and all other flow phases, and between the Receding </w:t>
      </w:r>
      <w:r w:rsidRPr="00A67C76">
        <w:rPr>
          <w:noProof/>
        </w:rPr>
        <w:t>(EW)</w:t>
      </w:r>
      <w:r w:rsidRPr="00A67C76">
        <w:t xml:space="preserve"> and Low flow phases (see Earl and Ye (</w:t>
      </w:r>
      <w:r w:rsidR="008F2924">
        <w:t>In P</w:t>
      </w:r>
      <w:r w:rsidR="00030FC1">
        <w:t>rep</w:t>
      </w:r>
      <w:r w:rsidRPr="00A67C76">
        <w:t>) for test results and for details on which species contributed most to the dissimilarity between flow phases).</w:t>
      </w:r>
    </w:p>
    <w:p w:rsidR="00DB21D5" w:rsidRPr="00A67C76" w:rsidRDefault="00DB21D5" w:rsidP="001D2521">
      <w:r w:rsidRPr="00A67C76">
        <w:t>Two of the five key species (common carp and bony herring) showed differences in size distributions relative to the direction of movement (</w:t>
      </w:r>
      <w:r w:rsidR="00BD1DE5">
        <w:t>Appendix VI</w:t>
      </w:r>
      <w:r w:rsidRPr="00A67C76">
        <w:t xml:space="preserve">). For both bony herring and common carp, individuals attempting to enter the wetland were significantly larger than those leaving the wetland. However, size distributions for each species comprised almost entirely small juveniles. No differences in size distribution related to the direction of movement were detected for golden perch, carp gudgeon or flat-headed gudgeon. </w:t>
      </w:r>
    </w:p>
    <w:p w:rsidR="00DB21D5" w:rsidRPr="00A67C76" w:rsidRDefault="00DB21D5" w:rsidP="0089330F">
      <w:pPr>
        <w:rPr>
          <w:i/>
        </w:rPr>
      </w:pPr>
      <w:r w:rsidRPr="00A67C76">
        <w:rPr>
          <w:i/>
        </w:rPr>
        <w:t>Kroehns (Gorge region)</w:t>
      </w:r>
    </w:p>
    <w:p w:rsidR="00DB21D5" w:rsidRPr="00A67C76" w:rsidRDefault="00DB21D5" w:rsidP="00DB21D5">
      <w:r w:rsidRPr="00A67C76">
        <w:t>For Kroehns, a total of 22,563 fish from 14 species (ten native</w:t>
      </w:r>
      <w:r w:rsidR="0022032A">
        <w:t>;</w:t>
      </w:r>
      <w:r w:rsidRPr="00A67C76">
        <w:t xml:space="preserve"> four invasive) were observed moving between the wetland and </w:t>
      </w:r>
      <w:proofErr w:type="gramStart"/>
      <w:r w:rsidRPr="00A67C76">
        <w:t>main river</w:t>
      </w:r>
      <w:r w:rsidR="00F35178" w:rsidRPr="00A67C76">
        <w:t xml:space="preserve"> </w:t>
      </w:r>
      <w:r w:rsidRPr="00A67C76">
        <w:t>(</w:t>
      </w:r>
      <w:r w:rsidR="002E6077" w:rsidRPr="00A67C76">
        <w:fldChar w:fldCharType="begin"/>
      </w:r>
      <w:r w:rsidRPr="00A67C76">
        <w:instrText xml:space="preserve"> REF _Ref381781344 \h </w:instrText>
      </w:r>
      <w:r w:rsidR="002E6077" w:rsidRPr="00A67C76">
        <w:fldChar w:fldCharType="separate"/>
      </w:r>
      <w:r w:rsidR="009659F2" w:rsidRPr="00A67C76">
        <w:t xml:space="preserve">Table </w:t>
      </w:r>
      <w:r w:rsidR="009659F2">
        <w:rPr>
          <w:noProof/>
        </w:rPr>
        <w:t>10</w:t>
      </w:r>
      <w:r w:rsidR="002E6077" w:rsidRPr="00A67C76">
        <w:fldChar w:fldCharType="end"/>
      </w:r>
      <w:proofErr w:type="gramEnd"/>
      <w:r w:rsidRPr="00A67C76">
        <w:t xml:space="preserve">). Prior to the delivery of the EW flow pulse, abundances were low and assemblages comprised mostly foraging generalists including carp gudgeon, unspecked hardyhead and Australian smelt. During the environmental flow pulse, abundances of the flow dependent specialist golden perch were relatively high; the foraging </w:t>
      </w:r>
      <w:proofErr w:type="gramStart"/>
      <w:r w:rsidRPr="00A67C76">
        <w:t>generalists</w:t>
      </w:r>
      <w:proofErr w:type="gramEnd"/>
      <w:r w:rsidRPr="00A67C76">
        <w:t xml:space="preserve"> flat-headed gudgeon and carp gudgeon were highly abundant; and the diadromous congolli were present in low numbers. Abundance of the invasive common carp remained relatively low throughout the six phases of flow. Invasive Eastern gambusia was most abundant during the Receding </w:t>
      </w:r>
      <w:r w:rsidRPr="00A67C76">
        <w:rPr>
          <w:noProof/>
        </w:rPr>
        <w:t>(EW)</w:t>
      </w:r>
      <w:r w:rsidRPr="00A67C76">
        <w:t xml:space="preserve"> and Low flow phases (</w:t>
      </w:r>
      <w:r w:rsidR="002E6077" w:rsidRPr="00A67C76">
        <w:fldChar w:fldCharType="begin"/>
      </w:r>
      <w:r w:rsidRPr="00A67C76">
        <w:instrText xml:space="preserve"> REF _Ref381781344 \h </w:instrText>
      </w:r>
      <w:r w:rsidR="002E6077" w:rsidRPr="00A67C76">
        <w:fldChar w:fldCharType="separate"/>
      </w:r>
      <w:r w:rsidR="009659F2" w:rsidRPr="00A67C76">
        <w:t xml:space="preserve">Table </w:t>
      </w:r>
      <w:r w:rsidR="009659F2">
        <w:rPr>
          <w:noProof/>
        </w:rPr>
        <w:t>10</w:t>
      </w:r>
      <w:r w:rsidR="002E6077" w:rsidRPr="00A67C76">
        <w:fldChar w:fldCharType="end"/>
      </w:r>
      <w:r w:rsidRPr="00A67C76">
        <w:t xml:space="preserve">). </w:t>
      </w:r>
    </w:p>
    <w:p w:rsidR="00DB21D5" w:rsidRPr="00A67C76" w:rsidRDefault="00DB21D5" w:rsidP="00DB21D5">
      <w:r w:rsidRPr="00A67C76">
        <w:t>Principal component analysis identified four broad groupings of assemblages across the six phases of flow (</w:t>
      </w:r>
      <w:r w:rsidR="002E6077" w:rsidRPr="00A67C76">
        <w:fldChar w:fldCharType="begin"/>
      </w:r>
      <w:r w:rsidRPr="00A67C76">
        <w:instrText xml:space="preserve"> REF _Ref381781093 \h </w:instrText>
      </w:r>
      <w:r w:rsidR="002E6077" w:rsidRPr="00A67C76">
        <w:fldChar w:fldCharType="separate"/>
      </w:r>
      <w:r w:rsidR="009659F2" w:rsidRPr="00A67C76">
        <w:t xml:space="preserve">Figure </w:t>
      </w:r>
      <w:r w:rsidR="009659F2">
        <w:rPr>
          <w:noProof/>
        </w:rPr>
        <w:t>28</w:t>
      </w:r>
      <w:r w:rsidR="002E6077" w:rsidRPr="00A67C76">
        <w:fldChar w:fldCharType="end"/>
      </w:r>
      <w:r w:rsidRPr="00A67C76">
        <w:t xml:space="preserve">). Greatest separation occurred between High flows and all other flow phases. Receding flows were also relatively distinct from all other flow phases. Furthermore, Rising </w:t>
      </w:r>
      <w:r w:rsidRPr="00A67C76">
        <w:rPr>
          <w:noProof/>
        </w:rPr>
        <w:t>(EW)</w:t>
      </w:r>
      <w:r w:rsidRPr="00A67C76">
        <w:t xml:space="preserve"> and High </w:t>
      </w:r>
      <w:r w:rsidRPr="00A67C76">
        <w:rPr>
          <w:noProof/>
        </w:rPr>
        <w:t>(EW)</w:t>
      </w:r>
      <w:r w:rsidRPr="00A67C76">
        <w:t xml:space="preserve"> were relatively separate from Receding </w:t>
      </w:r>
      <w:r w:rsidRPr="00A67C76">
        <w:rPr>
          <w:noProof/>
        </w:rPr>
        <w:t>(EW)</w:t>
      </w:r>
      <w:r w:rsidRPr="00A67C76">
        <w:t xml:space="preserve"> and Low flows. Groupings of assemblages according to the direction they were moving during each flow phase showed considerable overlap. The total variation in fish assemblages was well captured by PCO1 and PCO2 (74.7%). </w:t>
      </w:r>
    </w:p>
    <w:p w:rsidR="0022032A" w:rsidRDefault="00DB21D5" w:rsidP="00DB21D5">
      <w:r w:rsidRPr="00A67C76">
        <w:t>The foraging generalist Australian smelt strongly characterised the assemblages sampled during the High flow phase (</w:t>
      </w:r>
      <w:r w:rsidR="002E6077" w:rsidRPr="00A67C76">
        <w:fldChar w:fldCharType="begin"/>
      </w:r>
      <w:r w:rsidRPr="00A67C76">
        <w:instrText xml:space="preserve"> REF _Ref381781093 \h </w:instrText>
      </w:r>
      <w:r w:rsidR="002E6077" w:rsidRPr="00A67C76">
        <w:fldChar w:fldCharType="separate"/>
      </w:r>
      <w:r w:rsidR="009659F2" w:rsidRPr="00A67C76">
        <w:t xml:space="preserve">Figure </w:t>
      </w:r>
      <w:r w:rsidR="009659F2">
        <w:rPr>
          <w:noProof/>
        </w:rPr>
        <w:t>28</w:t>
      </w:r>
      <w:r w:rsidR="002E6077" w:rsidRPr="00A67C76">
        <w:fldChar w:fldCharType="end"/>
      </w:r>
      <w:r w:rsidRPr="00A67C76">
        <w:t xml:space="preserve">). The foraging generalist flat-headed gudgeon was the best indicator of assemblages sampled during the Rising </w:t>
      </w:r>
      <w:r w:rsidRPr="00A67C76">
        <w:rPr>
          <w:noProof/>
        </w:rPr>
        <w:t>(EW)</w:t>
      </w:r>
      <w:r w:rsidRPr="00A67C76">
        <w:t xml:space="preserve"> and High </w:t>
      </w:r>
      <w:r w:rsidRPr="00A67C76">
        <w:rPr>
          <w:noProof/>
        </w:rPr>
        <w:t>(EW)</w:t>
      </w:r>
      <w:r w:rsidRPr="00A67C76">
        <w:t xml:space="preserve"> flow phases; whereas several foraging generalists’ including carp gudgeon, dwarf flat-headed gudgeon, </w:t>
      </w:r>
      <w:r w:rsidR="00CF4851" w:rsidRPr="00A67C76">
        <w:t>unspecked hardyhead and Murray r</w:t>
      </w:r>
      <w:r w:rsidRPr="00A67C76">
        <w:t xml:space="preserve">ainbowfish were strongly correlated to assemblages sampled during the Receding </w:t>
      </w:r>
      <w:r w:rsidRPr="00A67C76">
        <w:rPr>
          <w:noProof/>
        </w:rPr>
        <w:t>(EW)</w:t>
      </w:r>
      <w:r w:rsidRPr="00A67C76">
        <w:t xml:space="preserve"> and Low flows.</w:t>
      </w:r>
    </w:p>
    <w:p w:rsidR="00DB21D5" w:rsidRPr="00A67C76" w:rsidRDefault="00DB21D5" w:rsidP="00DB21D5">
      <w:r w:rsidRPr="00A67C76">
        <w:t xml:space="preserve"> </w:t>
      </w:r>
    </w:p>
    <w:p w:rsidR="00DB21D5" w:rsidRPr="00A67C76" w:rsidRDefault="0094778C" w:rsidP="00DB21D5">
      <w:pPr>
        <w:jc w:val="center"/>
        <w:rPr>
          <w:b/>
        </w:rPr>
      </w:pPr>
      <w:r w:rsidRPr="0094778C">
        <w:rPr>
          <w:noProof/>
          <w:lang w:eastAsia="en-AU"/>
        </w:rPr>
        <w:drawing>
          <wp:inline distT="0" distB="0" distL="0" distR="0">
            <wp:extent cx="4980178" cy="378000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06" r="23316" b="1417"/>
                    <a:stretch/>
                  </pic:blipFill>
                  <pic:spPr bwMode="auto">
                    <a:xfrm>
                      <a:off x="0" y="0"/>
                      <a:ext cx="4980178" cy="378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B21D5" w:rsidRPr="00A67C76" w:rsidRDefault="00DB21D5" w:rsidP="00DB21D5">
      <w:pPr>
        <w:pStyle w:val="Caption"/>
      </w:pPr>
      <w:bookmarkStart w:id="142" w:name="_Ref381781093"/>
      <w:bookmarkStart w:id="143" w:name="_Toc387843079"/>
      <w:proofErr w:type="gramStart"/>
      <w:r w:rsidRPr="00A67C76">
        <w:t xml:space="preserve">Figure </w:t>
      </w:r>
      <w:proofErr w:type="gramEnd"/>
      <w:r w:rsidR="002E6077" w:rsidRPr="00A67C76">
        <w:fldChar w:fldCharType="begin"/>
      </w:r>
      <w:r w:rsidR="00110CB9" w:rsidRPr="00A67C76">
        <w:instrText xml:space="preserve"> SEQ Figure \* ARABIC </w:instrText>
      </w:r>
      <w:r w:rsidR="002E6077" w:rsidRPr="00A67C76">
        <w:fldChar w:fldCharType="separate"/>
      </w:r>
      <w:r w:rsidR="009659F2">
        <w:rPr>
          <w:noProof/>
        </w:rPr>
        <w:t>28</w:t>
      </w:r>
      <w:r w:rsidR="002E6077" w:rsidRPr="00A67C76">
        <w:rPr>
          <w:noProof/>
        </w:rPr>
        <w:fldChar w:fldCharType="end"/>
      </w:r>
      <w:bookmarkEnd w:id="142"/>
      <w:proofErr w:type="gramStart"/>
      <w:r w:rsidRPr="00A67C76">
        <w:t>.</w:t>
      </w:r>
      <w:proofErr w:type="gramEnd"/>
      <w:r w:rsidRPr="00A67C76">
        <w:t xml:space="preserve"> </w:t>
      </w:r>
      <w:proofErr w:type="gramStart"/>
      <w:r w:rsidRPr="00A67C76">
        <w:t xml:space="preserve">Principal component analysis of fish assemblages moving ‘IN’ (open symbols) and ‘OUT’ (closed symbols) of the wetland at Kroehns during six flow phases in the Lower Murray River in </w:t>
      </w:r>
      <w:r w:rsidR="00333041" w:rsidRPr="00A67C76">
        <w:t>2012</w:t>
      </w:r>
      <w:r w:rsidR="00FD328A" w:rsidRPr="00FD328A">
        <w:t>-13</w:t>
      </w:r>
      <w:r w:rsidRPr="00A67C76">
        <w:t>.</w:t>
      </w:r>
      <w:bookmarkEnd w:id="143"/>
      <w:proofErr w:type="gramEnd"/>
      <w:r w:rsidR="009731C5">
        <w:t xml:space="preserve"> </w:t>
      </w:r>
      <w:r w:rsidR="009731C5" w:rsidRPr="009731C5">
        <w:t>EW: environmental water event</w:t>
      </w:r>
      <w:r w:rsidR="0022032A">
        <w:t>.</w:t>
      </w:r>
    </w:p>
    <w:p w:rsidR="000348BA" w:rsidRPr="0038010C" w:rsidRDefault="00DB21D5" w:rsidP="0038010C">
      <w:r w:rsidRPr="00A67C76">
        <w:t>PERMANOVA was used to statistically compare the structure of assemblages moving in and out of the wetland and to determine if these directional movement patterns were consistent among flow phases. The interaction between flow phase and direction was not significant, nor was the effects of direction. However, there was a significant difference in assemblage structure between flow phases (</w:t>
      </w:r>
      <w:r w:rsidR="00584408">
        <w:t>Appendix V</w:t>
      </w:r>
      <w:r w:rsidRPr="00A67C76">
        <w:t>). As such, assemblages moving ‘In’ and ‘</w:t>
      </w:r>
      <w:proofErr w:type="gramStart"/>
      <w:r w:rsidRPr="00A67C76">
        <w:t>Out</w:t>
      </w:r>
      <w:proofErr w:type="gramEnd"/>
      <w:r w:rsidRPr="00A67C76">
        <w:t xml:space="preserve">’ were pooled, as they were not significantly different, to assess how assemblages changed between flow phases. </w:t>
      </w:r>
    </w:p>
    <w:p w:rsidR="000348BA" w:rsidRPr="00A67C76" w:rsidRDefault="000348BA" w:rsidP="000348BA">
      <w:r w:rsidRPr="00A67C76">
        <w:t xml:space="preserve">Pairwise comparisons revealed significant differences in assemblage structure between all combinations of flow phases, except for between Rising </w:t>
      </w:r>
      <w:r w:rsidRPr="00A67C76">
        <w:rPr>
          <w:noProof/>
        </w:rPr>
        <w:t>(EW)</w:t>
      </w:r>
      <w:r w:rsidRPr="00A67C76">
        <w:t xml:space="preserve"> and High </w:t>
      </w:r>
      <w:r w:rsidRPr="00A67C76">
        <w:rPr>
          <w:noProof/>
        </w:rPr>
        <w:t>(EW)</w:t>
      </w:r>
      <w:r w:rsidRPr="00A67C76">
        <w:t xml:space="preserve"> (see Earl and Ye (</w:t>
      </w:r>
      <w:r w:rsidR="008F2924">
        <w:t>In P</w:t>
      </w:r>
      <w:r w:rsidR="00030FC1">
        <w:t>rep</w:t>
      </w:r>
      <w:r w:rsidRPr="00A67C76">
        <w:t>) for test results and for details on which species contributed most to the dissimilarity between flow phases).</w:t>
      </w:r>
    </w:p>
    <w:p w:rsidR="00DB21D5" w:rsidRPr="00A67C76" w:rsidRDefault="00DB21D5" w:rsidP="00DB21D5">
      <w:pPr>
        <w:sectPr w:rsidR="00DB21D5" w:rsidRPr="00A67C76" w:rsidSect="0022032A">
          <w:footerReference w:type="default" r:id="rId72"/>
          <w:pgSz w:w="11906" w:h="16838" w:code="9"/>
          <w:pgMar w:top="1276" w:right="1797" w:bottom="1077" w:left="1797" w:header="709" w:footer="709" w:gutter="0"/>
          <w:cols w:space="708"/>
          <w:docGrid w:linePitch="360"/>
        </w:sectPr>
      </w:pPr>
    </w:p>
    <w:p w:rsidR="00DB21D5" w:rsidRPr="00A67C76" w:rsidRDefault="00DB21D5" w:rsidP="00DB21D5">
      <w:pPr>
        <w:pStyle w:val="Caption"/>
        <w:rPr>
          <w:rStyle w:val="st"/>
        </w:rPr>
      </w:pPr>
      <w:bookmarkStart w:id="144" w:name="_Ref381781344"/>
      <w:bookmarkStart w:id="145" w:name="_Toc387929712"/>
      <w:proofErr w:type="gramStart"/>
      <w:r w:rsidRPr="00A67C76">
        <w:t xml:space="preserve">Table </w:t>
      </w:r>
      <w:proofErr w:type="gramEnd"/>
      <w:r w:rsidR="002E6077" w:rsidRPr="00A67C76">
        <w:fldChar w:fldCharType="begin"/>
      </w:r>
      <w:r w:rsidR="00110CB9" w:rsidRPr="00A67C76">
        <w:instrText xml:space="preserve"> SEQ Table \* ARABIC </w:instrText>
      </w:r>
      <w:r w:rsidR="002E6077" w:rsidRPr="00A67C76">
        <w:fldChar w:fldCharType="separate"/>
      </w:r>
      <w:r w:rsidR="009659F2">
        <w:rPr>
          <w:noProof/>
        </w:rPr>
        <w:t>10</w:t>
      </w:r>
      <w:r w:rsidR="002E6077" w:rsidRPr="00A67C76">
        <w:rPr>
          <w:noProof/>
        </w:rPr>
        <w:fldChar w:fldCharType="end"/>
      </w:r>
      <w:bookmarkEnd w:id="144"/>
      <w:proofErr w:type="gramStart"/>
      <w:r w:rsidRPr="00A67C76">
        <w:t>.</w:t>
      </w:r>
      <w:proofErr w:type="gramEnd"/>
      <w:r w:rsidRPr="00A67C76">
        <w:t xml:space="preserve"> Species and total number (standardised – 24 hour soak time) of fish captured using directional fyke nets and drum nets moving in and out of the wetland at Kroehns over a 3-day period during each of the six phases of flow delivery. Functional groups: FD = flow dependent specialists, FG</w:t>
      </w:r>
      <w:r w:rsidR="006044AC" w:rsidRPr="00A67C76">
        <w:t> </w:t>
      </w:r>
      <w:r w:rsidRPr="00A67C76">
        <w:t xml:space="preserve">= foraging generalists, D = diadromous species, I = Invasive species (Abbreviation: </w:t>
      </w:r>
      <w:r w:rsidRPr="00A67C76">
        <w:rPr>
          <w:i/>
        </w:rPr>
        <w:t>Craterocephalus stercus</w:t>
      </w:r>
      <w:r w:rsidRPr="00A67C76">
        <w:t xml:space="preserve"> = </w:t>
      </w:r>
      <w:r w:rsidRPr="00A67C76">
        <w:rPr>
          <w:rStyle w:val="st"/>
          <w:i/>
        </w:rPr>
        <w:t>Craterocephalus stercusmuscarum fulvus</w:t>
      </w:r>
      <w:r w:rsidRPr="00A67C76">
        <w:rPr>
          <w:rStyle w:val="st"/>
        </w:rPr>
        <w:t>).</w:t>
      </w:r>
      <w:bookmarkEnd w:id="145"/>
      <w:r w:rsidR="00831919">
        <w:rPr>
          <w:rStyle w:val="st"/>
        </w:rPr>
        <w:t xml:space="preserve"> EW = environmental water pulse</w:t>
      </w:r>
    </w:p>
    <w:tbl>
      <w:tblPr>
        <w:tblStyle w:val="TableGrid"/>
        <w:tblW w:w="15452" w:type="dxa"/>
        <w:tblInd w:w="-318" w:type="dxa"/>
        <w:tblBorders>
          <w:left w:val="none" w:sz="0" w:space="0" w:color="auto"/>
          <w:bottom w:val="none" w:sz="0" w:space="0" w:color="auto"/>
          <w:right w:val="none" w:sz="0" w:space="0" w:color="auto"/>
          <w:insideV w:val="none" w:sz="0" w:space="0" w:color="auto"/>
        </w:tblBorders>
        <w:tblLayout w:type="fixed"/>
        <w:tblLook w:val="04A0"/>
      </w:tblPr>
      <w:tblGrid>
        <w:gridCol w:w="2978"/>
        <w:gridCol w:w="1560"/>
        <w:gridCol w:w="1133"/>
        <w:gridCol w:w="1322"/>
        <w:gridCol w:w="662"/>
        <w:gridCol w:w="709"/>
        <w:gridCol w:w="709"/>
        <w:gridCol w:w="709"/>
        <w:gridCol w:w="708"/>
        <w:gridCol w:w="709"/>
        <w:gridCol w:w="709"/>
        <w:gridCol w:w="709"/>
        <w:gridCol w:w="708"/>
        <w:gridCol w:w="709"/>
        <w:gridCol w:w="709"/>
        <w:gridCol w:w="709"/>
      </w:tblGrid>
      <w:tr w:rsidR="00DB21D5" w:rsidRPr="00A67C76" w:rsidTr="00DB21D5">
        <w:trPr>
          <w:trHeight w:val="20"/>
        </w:trPr>
        <w:tc>
          <w:tcPr>
            <w:tcW w:w="2978" w:type="dxa"/>
            <w:vMerge w:val="restart"/>
            <w:shd w:val="clear" w:color="auto" w:fill="auto"/>
          </w:tcPr>
          <w:p w:rsidR="00DB21D5" w:rsidRPr="00A67C76" w:rsidRDefault="00DB21D5" w:rsidP="00DB21D5">
            <w:pPr>
              <w:spacing w:before="60" w:after="60" w:line="240" w:lineRule="auto"/>
              <w:rPr>
                <w:b/>
                <w:sz w:val="20"/>
              </w:rPr>
            </w:pPr>
            <w:r w:rsidRPr="00A67C76">
              <w:rPr>
                <w:b/>
                <w:sz w:val="20"/>
              </w:rPr>
              <w:t>Species</w:t>
            </w:r>
          </w:p>
          <w:p w:rsidR="00DB21D5" w:rsidRPr="00A67C76" w:rsidRDefault="00DB21D5" w:rsidP="00DB21D5">
            <w:pPr>
              <w:spacing w:before="60" w:after="60" w:line="240" w:lineRule="auto"/>
              <w:rPr>
                <w:b/>
                <w:sz w:val="20"/>
              </w:rPr>
            </w:pPr>
            <w:r w:rsidRPr="00A67C76">
              <w:rPr>
                <w:b/>
                <w:sz w:val="20"/>
              </w:rPr>
              <w:t>Common name</w:t>
            </w:r>
          </w:p>
        </w:tc>
        <w:tc>
          <w:tcPr>
            <w:tcW w:w="2693" w:type="dxa"/>
            <w:gridSpan w:val="2"/>
            <w:vMerge w:val="restart"/>
            <w:shd w:val="clear" w:color="auto" w:fill="auto"/>
          </w:tcPr>
          <w:p w:rsidR="00DB21D5" w:rsidRPr="00A67C76" w:rsidRDefault="00DB21D5" w:rsidP="00DB21D5">
            <w:pPr>
              <w:spacing w:before="60" w:after="60" w:line="240" w:lineRule="auto"/>
              <w:rPr>
                <w:b/>
                <w:sz w:val="20"/>
              </w:rPr>
            </w:pPr>
          </w:p>
          <w:p w:rsidR="00DB21D5" w:rsidRPr="00A67C76" w:rsidRDefault="00DB21D5" w:rsidP="00DB21D5">
            <w:pPr>
              <w:spacing w:before="60" w:after="60" w:line="240" w:lineRule="auto"/>
              <w:rPr>
                <w:b/>
                <w:sz w:val="20"/>
              </w:rPr>
            </w:pPr>
            <w:r w:rsidRPr="00A67C76">
              <w:rPr>
                <w:b/>
                <w:sz w:val="20"/>
              </w:rPr>
              <w:t>Scientific name</w:t>
            </w:r>
          </w:p>
        </w:tc>
        <w:tc>
          <w:tcPr>
            <w:tcW w:w="1322" w:type="dxa"/>
            <w:vMerge w:val="restart"/>
            <w:shd w:val="clear" w:color="auto" w:fill="auto"/>
          </w:tcPr>
          <w:p w:rsidR="00DB21D5" w:rsidRPr="00A67C76" w:rsidRDefault="00DB21D5" w:rsidP="00DB21D5">
            <w:pPr>
              <w:spacing w:before="60" w:after="60" w:line="240" w:lineRule="auto"/>
              <w:jc w:val="center"/>
              <w:rPr>
                <w:b/>
                <w:sz w:val="20"/>
              </w:rPr>
            </w:pPr>
            <w:r w:rsidRPr="00A67C76">
              <w:rPr>
                <w:b/>
                <w:sz w:val="20"/>
              </w:rPr>
              <w:t>Functional group</w:t>
            </w:r>
          </w:p>
        </w:tc>
        <w:tc>
          <w:tcPr>
            <w:tcW w:w="1371" w:type="dxa"/>
            <w:gridSpan w:val="2"/>
            <w:shd w:val="clear" w:color="auto" w:fill="auto"/>
          </w:tcPr>
          <w:p w:rsidR="00DB21D5" w:rsidRPr="00A67C76" w:rsidRDefault="00DB21D5" w:rsidP="00DB21D5">
            <w:pPr>
              <w:spacing w:before="60" w:after="60" w:line="240" w:lineRule="auto"/>
              <w:jc w:val="center"/>
              <w:rPr>
                <w:b/>
                <w:sz w:val="20"/>
              </w:rPr>
            </w:pPr>
            <w:r w:rsidRPr="00A67C76">
              <w:rPr>
                <w:b/>
                <w:sz w:val="20"/>
              </w:rPr>
              <w:t>High</w:t>
            </w:r>
          </w:p>
        </w:tc>
        <w:tc>
          <w:tcPr>
            <w:tcW w:w="1418" w:type="dxa"/>
            <w:gridSpan w:val="2"/>
            <w:shd w:val="clear" w:color="auto" w:fill="auto"/>
          </w:tcPr>
          <w:p w:rsidR="00DB21D5" w:rsidRPr="00A67C76" w:rsidRDefault="00DB21D5" w:rsidP="00DB21D5">
            <w:pPr>
              <w:spacing w:before="60" w:after="60" w:line="240" w:lineRule="auto"/>
              <w:jc w:val="center"/>
              <w:rPr>
                <w:b/>
                <w:sz w:val="20"/>
              </w:rPr>
            </w:pPr>
            <w:r w:rsidRPr="00A67C76">
              <w:rPr>
                <w:b/>
                <w:sz w:val="20"/>
              </w:rPr>
              <w:t>Receding</w:t>
            </w:r>
          </w:p>
        </w:tc>
        <w:tc>
          <w:tcPr>
            <w:tcW w:w="1417" w:type="dxa"/>
            <w:gridSpan w:val="2"/>
            <w:shd w:val="clear" w:color="auto" w:fill="auto"/>
          </w:tcPr>
          <w:p w:rsidR="00DB21D5" w:rsidRPr="00A67C76" w:rsidRDefault="00DB21D5" w:rsidP="00DB21D5">
            <w:pPr>
              <w:spacing w:before="60" w:after="60" w:line="240" w:lineRule="auto"/>
              <w:jc w:val="center"/>
              <w:rPr>
                <w:b/>
                <w:sz w:val="20"/>
              </w:rPr>
            </w:pPr>
            <w:r w:rsidRPr="00A67C76">
              <w:rPr>
                <w:b/>
                <w:sz w:val="20"/>
              </w:rPr>
              <w:t>Rising EW</w:t>
            </w:r>
          </w:p>
        </w:tc>
        <w:tc>
          <w:tcPr>
            <w:tcW w:w="1418" w:type="dxa"/>
            <w:gridSpan w:val="2"/>
            <w:shd w:val="clear" w:color="auto" w:fill="auto"/>
          </w:tcPr>
          <w:p w:rsidR="00DB21D5" w:rsidRPr="00A67C76" w:rsidRDefault="00DB21D5" w:rsidP="00DB21D5">
            <w:pPr>
              <w:spacing w:before="60" w:after="60" w:line="240" w:lineRule="auto"/>
              <w:jc w:val="center"/>
              <w:rPr>
                <w:b/>
                <w:sz w:val="20"/>
              </w:rPr>
            </w:pPr>
            <w:r w:rsidRPr="00A67C76">
              <w:rPr>
                <w:b/>
                <w:sz w:val="20"/>
              </w:rPr>
              <w:t>High EW</w:t>
            </w:r>
          </w:p>
        </w:tc>
        <w:tc>
          <w:tcPr>
            <w:tcW w:w="1417" w:type="dxa"/>
            <w:gridSpan w:val="2"/>
            <w:shd w:val="clear" w:color="auto" w:fill="auto"/>
          </w:tcPr>
          <w:p w:rsidR="00DB21D5" w:rsidRPr="00A67C76" w:rsidRDefault="00DB21D5" w:rsidP="00DB21D5">
            <w:pPr>
              <w:spacing w:before="60" w:after="60" w:line="240" w:lineRule="auto"/>
              <w:jc w:val="center"/>
              <w:rPr>
                <w:b/>
                <w:sz w:val="20"/>
              </w:rPr>
            </w:pPr>
            <w:r w:rsidRPr="00A67C76">
              <w:rPr>
                <w:b/>
                <w:sz w:val="20"/>
              </w:rPr>
              <w:t>Receding EW</w:t>
            </w:r>
          </w:p>
        </w:tc>
        <w:tc>
          <w:tcPr>
            <w:tcW w:w="1418" w:type="dxa"/>
            <w:gridSpan w:val="2"/>
            <w:shd w:val="clear" w:color="auto" w:fill="auto"/>
          </w:tcPr>
          <w:p w:rsidR="00DB21D5" w:rsidRPr="00A67C76" w:rsidRDefault="00DB21D5" w:rsidP="00DB21D5">
            <w:pPr>
              <w:spacing w:before="60" w:after="60" w:line="240" w:lineRule="auto"/>
              <w:jc w:val="center"/>
              <w:rPr>
                <w:b/>
                <w:sz w:val="20"/>
              </w:rPr>
            </w:pPr>
            <w:r w:rsidRPr="00A67C76">
              <w:rPr>
                <w:b/>
                <w:sz w:val="20"/>
              </w:rPr>
              <w:t>Low</w:t>
            </w:r>
          </w:p>
        </w:tc>
      </w:tr>
      <w:tr w:rsidR="00DB21D5" w:rsidRPr="00A67C76" w:rsidTr="00DB21D5">
        <w:trPr>
          <w:trHeight w:val="20"/>
        </w:trPr>
        <w:tc>
          <w:tcPr>
            <w:tcW w:w="2978" w:type="dxa"/>
            <w:vMerge/>
            <w:shd w:val="clear" w:color="auto" w:fill="auto"/>
          </w:tcPr>
          <w:p w:rsidR="00DB21D5" w:rsidRPr="00A67C76" w:rsidRDefault="00DB21D5" w:rsidP="00DB21D5">
            <w:pPr>
              <w:spacing w:before="60" w:after="60" w:line="240" w:lineRule="auto"/>
              <w:rPr>
                <w:b/>
                <w:sz w:val="20"/>
              </w:rPr>
            </w:pPr>
          </w:p>
        </w:tc>
        <w:tc>
          <w:tcPr>
            <w:tcW w:w="2693" w:type="dxa"/>
            <w:gridSpan w:val="2"/>
            <w:vMerge/>
            <w:shd w:val="clear" w:color="auto" w:fill="auto"/>
          </w:tcPr>
          <w:p w:rsidR="00DB21D5" w:rsidRPr="00A67C76" w:rsidRDefault="00DB21D5" w:rsidP="00DB21D5">
            <w:pPr>
              <w:spacing w:before="60" w:after="60" w:line="240" w:lineRule="auto"/>
              <w:rPr>
                <w:b/>
                <w:sz w:val="20"/>
              </w:rPr>
            </w:pPr>
          </w:p>
        </w:tc>
        <w:tc>
          <w:tcPr>
            <w:tcW w:w="1322" w:type="dxa"/>
            <w:vMerge/>
            <w:shd w:val="clear" w:color="auto" w:fill="auto"/>
          </w:tcPr>
          <w:p w:rsidR="00DB21D5" w:rsidRPr="00A67C76" w:rsidRDefault="00DB21D5" w:rsidP="00DB21D5">
            <w:pPr>
              <w:spacing w:before="60" w:after="60" w:line="240" w:lineRule="auto"/>
              <w:jc w:val="center"/>
              <w:rPr>
                <w:b/>
                <w:sz w:val="20"/>
              </w:rPr>
            </w:pPr>
          </w:p>
        </w:tc>
        <w:tc>
          <w:tcPr>
            <w:tcW w:w="662" w:type="dxa"/>
            <w:shd w:val="clear" w:color="auto" w:fill="auto"/>
          </w:tcPr>
          <w:p w:rsidR="00DB21D5" w:rsidRPr="00A67C76" w:rsidRDefault="00DB21D5" w:rsidP="00DB21D5">
            <w:pPr>
              <w:spacing w:before="60" w:after="60" w:line="240" w:lineRule="auto"/>
              <w:jc w:val="center"/>
              <w:rPr>
                <w:b/>
                <w:sz w:val="20"/>
              </w:rPr>
            </w:pPr>
            <w:r w:rsidRPr="00A67C76">
              <w:rPr>
                <w:b/>
                <w:sz w:val="20"/>
              </w:rPr>
              <w:t>in</w:t>
            </w:r>
          </w:p>
        </w:tc>
        <w:tc>
          <w:tcPr>
            <w:tcW w:w="709" w:type="dxa"/>
            <w:shd w:val="clear" w:color="auto" w:fill="auto"/>
          </w:tcPr>
          <w:p w:rsidR="00DB21D5" w:rsidRPr="00A67C76" w:rsidRDefault="00DB21D5" w:rsidP="00DB21D5">
            <w:pPr>
              <w:spacing w:before="60" w:after="60" w:line="240" w:lineRule="auto"/>
              <w:jc w:val="center"/>
              <w:rPr>
                <w:b/>
                <w:sz w:val="20"/>
              </w:rPr>
            </w:pPr>
            <w:r w:rsidRPr="00A67C76">
              <w:rPr>
                <w:b/>
                <w:sz w:val="20"/>
              </w:rPr>
              <w:t>out</w:t>
            </w:r>
          </w:p>
        </w:tc>
        <w:tc>
          <w:tcPr>
            <w:tcW w:w="709" w:type="dxa"/>
            <w:shd w:val="clear" w:color="auto" w:fill="auto"/>
          </w:tcPr>
          <w:p w:rsidR="00DB21D5" w:rsidRPr="00A67C76" w:rsidRDefault="00DB21D5" w:rsidP="00DB21D5">
            <w:pPr>
              <w:spacing w:before="60" w:after="60" w:line="240" w:lineRule="auto"/>
              <w:jc w:val="center"/>
              <w:rPr>
                <w:b/>
                <w:sz w:val="20"/>
              </w:rPr>
            </w:pPr>
            <w:r w:rsidRPr="00A67C76">
              <w:rPr>
                <w:b/>
                <w:sz w:val="20"/>
              </w:rPr>
              <w:t>in</w:t>
            </w:r>
          </w:p>
        </w:tc>
        <w:tc>
          <w:tcPr>
            <w:tcW w:w="709" w:type="dxa"/>
            <w:shd w:val="clear" w:color="auto" w:fill="auto"/>
          </w:tcPr>
          <w:p w:rsidR="00DB21D5" w:rsidRPr="00A67C76" w:rsidRDefault="00DB21D5" w:rsidP="00DB21D5">
            <w:pPr>
              <w:spacing w:before="60" w:after="60" w:line="240" w:lineRule="auto"/>
              <w:jc w:val="center"/>
              <w:rPr>
                <w:b/>
                <w:sz w:val="20"/>
              </w:rPr>
            </w:pPr>
            <w:r w:rsidRPr="00A67C76">
              <w:rPr>
                <w:b/>
                <w:sz w:val="20"/>
              </w:rPr>
              <w:t>out</w:t>
            </w:r>
          </w:p>
        </w:tc>
        <w:tc>
          <w:tcPr>
            <w:tcW w:w="708" w:type="dxa"/>
            <w:shd w:val="clear" w:color="auto" w:fill="auto"/>
          </w:tcPr>
          <w:p w:rsidR="00DB21D5" w:rsidRPr="00A67C76" w:rsidRDefault="00DB21D5" w:rsidP="00DB21D5">
            <w:pPr>
              <w:spacing w:before="60" w:after="60" w:line="240" w:lineRule="auto"/>
              <w:jc w:val="center"/>
              <w:rPr>
                <w:b/>
                <w:sz w:val="20"/>
              </w:rPr>
            </w:pPr>
            <w:r w:rsidRPr="00A67C76">
              <w:rPr>
                <w:b/>
                <w:sz w:val="20"/>
              </w:rPr>
              <w:t>in</w:t>
            </w:r>
          </w:p>
        </w:tc>
        <w:tc>
          <w:tcPr>
            <w:tcW w:w="709" w:type="dxa"/>
            <w:shd w:val="clear" w:color="auto" w:fill="auto"/>
          </w:tcPr>
          <w:p w:rsidR="00DB21D5" w:rsidRPr="00A67C76" w:rsidRDefault="00DB21D5" w:rsidP="00DB21D5">
            <w:pPr>
              <w:spacing w:before="60" w:after="60" w:line="240" w:lineRule="auto"/>
              <w:jc w:val="center"/>
              <w:rPr>
                <w:b/>
                <w:sz w:val="20"/>
              </w:rPr>
            </w:pPr>
            <w:r w:rsidRPr="00A67C76">
              <w:rPr>
                <w:b/>
                <w:sz w:val="20"/>
              </w:rPr>
              <w:t>out</w:t>
            </w:r>
          </w:p>
        </w:tc>
        <w:tc>
          <w:tcPr>
            <w:tcW w:w="709" w:type="dxa"/>
            <w:shd w:val="clear" w:color="auto" w:fill="auto"/>
          </w:tcPr>
          <w:p w:rsidR="00DB21D5" w:rsidRPr="00A67C76" w:rsidRDefault="00DB21D5" w:rsidP="00DB21D5">
            <w:pPr>
              <w:spacing w:before="60" w:after="60" w:line="240" w:lineRule="auto"/>
              <w:jc w:val="center"/>
              <w:rPr>
                <w:b/>
                <w:sz w:val="20"/>
              </w:rPr>
            </w:pPr>
            <w:r w:rsidRPr="00A67C76">
              <w:rPr>
                <w:b/>
                <w:sz w:val="20"/>
              </w:rPr>
              <w:t>in</w:t>
            </w:r>
          </w:p>
        </w:tc>
        <w:tc>
          <w:tcPr>
            <w:tcW w:w="709" w:type="dxa"/>
            <w:shd w:val="clear" w:color="auto" w:fill="auto"/>
          </w:tcPr>
          <w:p w:rsidR="00DB21D5" w:rsidRPr="00A67C76" w:rsidRDefault="00DB21D5" w:rsidP="00DB21D5">
            <w:pPr>
              <w:spacing w:before="60" w:after="60" w:line="240" w:lineRule="auto"/>
              <w:jc w:val="center"/>
              <w:rPr>
                <w:b/>
                <w:sz w:val="20"/>
              </w:rPr>
            </w:pPr>
            <w:r w:rsidRPr="00A67C76">
              <w:rPr>
                <w:b/>
                <w:sz w:val="20"/>
              </w:rPr>
              <w:t>out</w:t>
            </w:r>
          </w:p>
        </w:tc>
        <w:tc>
          <w:tcPr>
            <w:tcW w:w="708" w:type="dxa"/>
            <w:shd w:val="clear" w:color="auto" w:fill="auto"/>
          </w:tcPr>
          <w:p w:rsidR="00DB21D5" w:rsidRPr="00A67C76" w:rsidRDefault="00DB21D5" w:rsidP="00DB21D5">
            <w:pPr>
              <w:spacing w:before="60" w:after="60" w:line="240" w:lineRule="auto"/>
              <w:jc w:val="center"/>
              <w:rPr>
                <w:b/>
                <w:sz w:val="20"/>
              </w:rPr>
            </w:pPr>
            <w:r w:rsidRPr="00A67C76">
              <w:rPr>
                <w:b/>
                <w:sz w:val="20"/>
              </w:rPr>
              <w:t>in</w:t>
            </w:r>
          </w:p>
        </w:tc>
        <w:tc>
          <w:tcPr>
            <w:tcW w:w="709" w:type="dxa"/>
            <w:shd w:val="clear" w:color="auto" w:fill="auto"/>
          </w:tcPr>
          <w:p w:rsidR="00DB21D5" w:rsidRPr="00A67C76" w:rsidRDefault="00DB21D5" w:rsidP="00DB21D5">
            <w:pPr>
              <w:spacing w:before="60" w:after="60" w:line="240" w:lineRule="auto"/>
              <w:jc w:val="center"/>
              <w:rPr>
                <w:b/>
                <w:sz w:val="20"/>
              </w:rPr>
            </w:pPr>
            <w:r w:rsidRPr="00A67C76">
              <w:rPr>
                <w:b/>
                <w:sz w:val="20"/>
              </w:rPr>
              <w:t>out</w:t>
            </w:r>
          </w:p>
        </w:tc>
        <w:tc>
          <w:tcPr>
            <w:tcW w:w="709" w:type="dxa"/>
            <w:shd w:val="clear" w:color="auto" w:fill="auto"/>
          </w:tcPr>
          <w:p w:rsidR="00DB21D5" w:rsidRPr="00A67C76" w:rsidRDefault="00DB21D5" w:rsidP="00DB21D5">
            <w:pPr>
              <w:spacing w:before="60" w:after="60" w:line="240" w:lineRule="auto"/>
              <w:jc w:val="center"/>
              <w:rPr>
                <w:b/>
                <w:sz w:val="20"/>
              </w:rPr>
            </w:pPr>
            <w:r w:rsidRPr="00A67C76">
              <w:rPr>
                <w:b/>
                <w:sz w:val="20"/>
              </w:rPr>
              <w:t>in</w:t>
            </w:r>
          </w:p>
        </w:tc>
        <w:tc>
          <w:tcPr>
            <w:tcW w:w="709" w:type="dxa"/>
            <w:shd w:val="clear" w:color="auto" w:fill="auto"/>
          </w:tcPr>
          <w:p w:rsidR="00DB21D5" w:rsidRPr="00A67C76" w:rsidRDefault="00DB21D5" w:rsidP="00DB21D5">
            <w:pPr>
              <w:spacing w:before="60" w:after="60" w:line="240" w:lineRule="auto"/>
              <w:jc w:val="center"/>
              <w:rPr>
                <w:b/>
                <w:sz w:val="20"/>
              </w:rPr>
            </w:pPr>
            <w:r w:rsidRPr="00A67C76">
              <w:rPr>
                <w:b/>
                <w:sz w:val="20"/>
              </w:rPr>
              <w:t>out</w:t>
            </w:r>
          </w:p>
        </w:tc>
      </w:tr>
      <w:tr w:rsidR="00DB21D5" w:rsidRPr="00A67C76" w:rsidTr="00DB21D5">
        <w:trPr>
          <w:trHeight w:val="20"/>
        </w:trPr>
        <w:tc>
          <w:tcPr>
            <w:tcW w:w="2978" w:type="dxa"/>
            <w:shd w:val="clear" w:color="auto" w:fill="auto"/>
          </w:tcPr>
          <w:p w:rsidR="00DB21D5" w:rsidRPr="00A67C76" w:rsidRDefault="00DB21D5" w:rsidP="00DB21D5">
            <w:pPr>
              <w:spacing w:before="60" w:after="60" w:line="240" w:lineRule="auto"/>
              <w:rPr>
                <w:sz w:val="20"/>
              </w:rPr>
            </w:pPr>
            <w:r w:rsidRPr="00A67C76">
              <w:rPr>
                <w:sz w:val="20"/>
              </w:rPr>
              <w:t>Golden perch</w:t>
            </w:r>
          </w:p>
          <w:p w:rsidR="00DB21D5" w:rsidRPr="00A67C76" w:rsidRDefault="00DB21D5" w:rsidP="00DB21D5">
            <w:pPr>
              <w:spacing w:before="60" w:after="60" w:line="240" w:lineRule="auto"/>
              <w:rPr>
                <w:sz w:val="20"/>
              </w:rPr>
            </w:pPr>
            <w:r w:rsidRPr="00A67C76">
              <w:rPr>
                <w:sz w:val="20"/>
              </w:rPr>
              <w:t>Silver perch</w:t>
            </w:r>
          </w:p>
          <w:p w:rsidR="00DB21D5" w:rsidRPr="00A67C76" w:rsidRDefault="00DB21D5" w:rsidP="00DB21D5">
            <w:pPr>
              <w:spacing w:before="60" w:after="60" w:line="240" w:lineRule="auto"/>
              <w:rPr>
                <w:sz w:val="20"/>
              </w:rPr>
            </w:pPr>
            <w:r w:rsidRPr="00A67C76">
              <w:rPr>
                <w:sz w:val="20"/>
              </w:rPr>
              <w:t>Unspecked hardyhead</w:t>
            </w:r>
          </w:p>
          <w:p w:rsidR="00DB21D5" w:rsidRPr="00A67C76" w:rsidRDefault="00DB21D5" w:rsidP="00DB21D5">
            <w:pPr>
              <w:spacing w:before="60" w:after="60" w:line="240" w:lineRule="auto"/>
              <w:rPr>
                <w:sz w:val="20"/>
              </w:rPr>
            </w:pPr>
            <w:r w:rsidRPr="00A67C76">
              <w:rPr>
                <w:sz w:val="20"/>
              </w:rPr>
              <w:t>Carp gudgeon</w:t>
            </w:r>
          </w:p>
          <w:p w:rsidR="00DB21D5" w:rsidRPr="00A67C76" w:rsidRDefault="00CF4851" w:rsidP="00DB21D5">
            <w:pPr>
              <w:spacing w:before="60" w:after="60" w:line="240" w:lineRule="auto"/>
              <w:rPr>
                <w:sz w:val="20"/>
              </w:rPr>
            </w:pPr>
            <w:r w:rsidRPr="00A67C76">
              <w:rPr>
                <w:sz w:val="20"/>
              </w:rPr>
              <w:t>Murray r</w:t>
            </w:r>
            <w:r w:rsidR="00DB21D5" w:rsidRPr="00A67C76">
              <w:rPr>
                <w:sz w:val="20"/>
              </w:rPr>
              <w:t>ainbowfish</w:t>
            </w:r>
          </w:p>
          <w:p w:rsidR="00DB21D5" w:rsidRPr="00A67C76" w:rsidRDefault="00DB21D5" w:rsidP="00DB21D5">
            <w:pPr>
              <w:spacing w:before="60" w:after="60" w:line="240" w:lineRule="auto"/>
              <w:rPr>
                <w:sz w:val="20"/>
              </w:rPr>
            </w:pPr>
            <w:r w:rsidRPr="00A67C76">
              <w:rPr>
                <w:sz w:val="20"/>
              </w:rPr>
              <w:t>Bony herring</w:t>
            </w:r>
          </w:p>
          <w:p w:rsidR="00DB21D5" w:rsidRPr="00A67C76" w:rsidRDefault="00DB21D5" w:rsidP="00DB21D5">
            <w:pPr>
              <w:spacing w:before="60" w:after="60" w:line="240" w:lineRule="auto"/>
              <w:rPr>
                <w:sz w:val="20"/>
              </w:rPr>
            </w:pPr>
            <w:r w:rsidRPr="00A67C76">
              <w:rPr>
                <w:sz w:val="20"/>
              </w:rPr>
              <w:t>Flat-headed gudgeon</w:t>
            </w:r>
          </w:p>
          <w:p w:rsidR="00DB21D5" w:rsidRPr="00A67C76" w:rsidRDefault="00DB21D5" w:rsidP="00DB21D5">
            <w:pPr>
              <w:spacing w:before="60" w:after="60" w:line="240" w:lineRule="auto"/>
              <w:rPr>
                <w:sz w:val="20"/>
              </w:rPr>
            </w:pPr>
            <w:r w:rsidRPr="00A67C76">
              <w:rPr>
                <w:sz w:val="20"/>
              </w:rPr>
              <w:t>Dwf flat-headed gudgeon</w:t>
            </w:r>
          </w:p>
          <w:p w:rsidR="00DB21D5" w:rsidRPr="00A67C76" w:rsidRDefault="00DB21D5" w:rsidP="00DB21D5">
            <w:pPr>
              <w:spacing w:before="60" w:after="60" w:line="240" w:lineRule="auto"/>
              <w:rPr>
                <w:sz w:val="20"/>
              </w:rPr>
            </w:pPr>
            <w:r w:rsidRPr="00A67C76">
              <w:rPr>
                <w:sz w:val="20"/>
              </w:rPr>
              <w:t xml:space="preserve">Australian smelt </w:t>
            </w:r>
          </w:p>
          <w:p w:rsidR="00DB21D5" w:rsidRPr="00A67C76" w:rsidRDefault="00DB21D5" w:rsidP="00DB21D5">
            <w:pPr>
              <w:spacing w:before="60" w:after="60" w:line="240" w:lineRule="auto"/>
              <w:rPr>
                <w:sz w:val="20"/>
              </w:rPr>
            </w:pPr>
            <w:r w:rsidRPr="00A67C76">
              <w:rPr>
                <w:sz w:val="20"/>
              </w:rPr>
              <w:t>Congolli</w:t>
            </w:r>
          </w:p>
          <w:p w:rsidR="00DB21D5" w:rsidRPr="00A67C76" w:rsidRDefault="00DB21D5" w:rsidP="00DB21D5">
            <w:pPr>
              <w:spacing w:before="60" w:after="60" w:line="240" w:lineRule="auto"/>
              <w:rPr>
                <w:sz w:val="20"/>
              </w:rPr>
            </w:pPr>
            <w:r w:rsidRPr="00A67C76">
              <w:rPr>
                <w:sz w:val="20"/>
              </w:rPr>
              <w:t>Common carp</w:t>
            </w:r>
          </w:p>
          <w:p w:rsidR="00DB21D5" w:rsidRPr="00A67C76" w:rsidRDefault="00DB21D5" w:rsidP="00DB21D5">
            <w:pPr>
              <w:spacing w:before="60" w:after="60" w:line="240" w:lineRule="auto"/>
              <w:rPr>
                <w:sz w:val="20"/>
              </w:rPr>
            </w:pPr>
            <w:r w:rsidRPr="00A67C76">
              <w:rPr>
                <w:sz w:val="20"/>
              </w:rPr>
              <w:t>Goldfish</w:t>
            </w:r>
          </w:p>
          <w:p w:rsidR="00DB21D5" w:rsidRPr="00A67C76" w:rsidRDefault="00DB21D5" w:rsidP="00DB21D5">
            <w:pPr>
              <w:spacing w:before="60" w:after="60" w:line="240" w:lineRule="auto"/>
              <w:rPr>
                <w:sz w:val="20"/>
              </w:rPr>
            </w:pPr>
            <w:r w:rsidRPr="00A67C76">
              <w:rPr>
                <w:sz w:val="20"/>
              </w:rPr>
              <w:t>Eastern gambusia</w:t>
            </w:r>
          </w:p>
          <w:p w:rsidR="00DB21D5" w:rsidRPr="00A67C76" w:rsidRDefault="00DB21D5" w:rsidP="00DB21D5">
            <w:pPr>
              <w:spacing w:before="60" w:after="60" w:line="240" w:lineRule="auto"/>
              <w:rPr>
                <w:sz w:val="20"/>
              </w:rPr>
            </w:pPr>
            <w:r w:rsidRPr="00A67C76">
              <w:rPr>
                <w:sz w:val="20"/>
              </w:rPr>
              <w:t>Redfin perch</w:t>
            </w:r>
          </w:p>
        </w:tc>
        <w:tc>
          <w:tcPr>
            <w:tcW w:w="2693" w:type="dxa"/>
            <w:gridSpan w:val="2"/>
            <w:shd w:val="clear" w:color="auto" w:fill="auto"/>
          </w:tcPr>
          <w:p w:rsidR="00DB21D5" w:rsidRPr="00A67C76" w:rsidRDefault="00DB21D5" w:rsidP="00DB21D5">
            <w:pPr>
              <w:spacing w:before="60" w:after="60" w:line="240" w:lineRule="auto"/>
              <w:rPr>
                <w:rFonts w:cs="Arial"/>
                <w:bCs/>
                <w:i/>
                <w:color w:val="222222"/>
                <w:sz w:val="20"/>
              </w:rPr>
            </w:pPr>
            <w:r w:rsidRPr="00A67C76">
              <w:rPr>
                <w:rFonts w:cs="Arial"/>
                <w:bCs/>
                <w:i/>
                <w:color w:val="222222"/>
                <w:sz w:val="20"/>
              </w:rPr>
              <w:t>Macquaria ambigua</w:t>
            </w:r>
          </w:p>
          <w:p w:rsidR="00DB21D5" w:rsidRPr="00A67C76" w:rsidRDefault="00DB21D5" w:rsidP="00DB21D5">
            <w:pPr>
              <w:spacing w:before="60" w:after="60" w:line="240" w:lineRule="auto"/>
              <w:rPr>
                <w:rFonts w:cs="Arial"/>
                <w:bCs/>
                <w:i/>
                <w:color w:val="222222"/>
                <w:sz w:val="20"/>
              </w:rPr>
            </w:pPr>
            <w:r w:rsidRPr="00A67C76">
              <w:rPr>
                <w:rFonts w:cs="Arial"/>
                <w:bCs/>
                <w:i/>
                <w:color w:val="222222"/>
                <w:sz w:val="20"/>
              </w:rPr>
              <w:t>Bidyanus bidyanus</w:t>
            </w:r>
          </w:p>
          <w:p w:rsidR="00DB21D5" w:rsidRPr="00A67C76" w:rsidRDefault="00DB21D5" w:rsidP="00DB21D5">
            <w:pPr>
              <w:spacing w:before="60" w:after="60" w:line="240" w:lineRule="auto"/>
              <w:rPr>
                <w:rStyle w:val="st"/>
                <w:rFonts w:cs="Arial"/>
                <w:i/>
                <w:color w:val="222222"/>
                <w:sz w:val="20"/>
              </w:rPr>
            </w:pPr>
            <w:r w:rsidRPr="00A67C76">
              <w:rPr>
                <w:rStyle w:val="st"/>
                <w:rFonts w:cs="Arial"/>
                <w:i/>
                <w:color w:val="222222"/>
                <w:sz w:val="20"/>
              </w:rPr>
              <w:t>Craterocephalus stercus.</w:t>
            </w:r>
          </w:p>
          <w:p w:rsidR="00DB21D5" w:rsidRPr="00A67C76" w:rsidRDefault="00DB21D5" w:rsidP="00DB21D5">
            <w:pPr>
              <w:spacing w:before="60" w:after="60" w:line="240" w:lineRule="auto"/>
              <w:rPr>
                <w:rStyle w:val="st"/>
                <w:rFonts w:cs="Arial"/>
                <w:i/>
                <w:color w:val="222222"/>
                <w:sz w:val="20"/>
              </w:rPr>
            </w:pPr>
            <w:r w:rsidRPr="00A67C76">
              <w:rPr>
                <w:rStyle w:val="st"/>
                <w:rFonts w:cs="Arial"/>
                <w:i/>
                <w:color w:val="222222"/>
                <w:sz w:val="20"/>
              </w:rPr>
              <w:t>Hypseleotris spp.</w:t>
            </w:r>
          </w:p>
          <w:p w:rsidR="00DB21D5" w:rsidRPr="000B7E74" w:rsidRDefault="00DB21D5" w:rsidP="00DB21D5">
            <w:pPr>
              <w:spacing w:before="60" w:after="60" w:line="240" w:lineRule="auto"/>
              <w:rPr>
                <w:rStyle w:val="st"/>
                <w:rFonts w:cs="Arial"/>
                <w:i/>
                <w:color w:val="222222"/>
                <w:sz w:val="20"/>
                <w:lang w:val="es-AR"/>
              </w:rPr>
            </w:pPr>
            <w:r w:rsidRPr="000B7E74">
              <w:rPr>
                <w:rStyle w:val="st"/>
                <w:rFonts w:cs="Arial"/>
                <w:i/>
                <w:color w:val="222222"/>
                <w:sz w:val="20"/>
                <w:lang w:val="es-AR"/>
              </w:rPr>
              <w:t>Melanotaenia fluviatilis</w:t>
            </w:r>
          </w:p>
          <w:p w:rsidR="00DB21D5" w:rsidRPr="000B7E74" w:rsidRDefault="00DB21D5" w:rsidP="00DB21D5">
            <w:pPr>
              <w:spacing w:before="60" w:after="60" w:line="240" w:lineRule="auto"/>
              <w:rPr>
                <w:rStyle w:val="st"/>
                <w:rFonts w:cs="Arial"/>
                <w:i/>
                <w:color w:val="222222"/>
                <w:sz w:val="20"/>
                <w:lang w:val="es-AR"/>
              </w:rPr>
            </w:pPr>
            <w:r w:rsidRPr="000B7E74">
              <w:rPr>
                <w:rStyle w:val="st"/>
                <w:rFonts w:cs="Arial"/>
                <w:i/>
                <w:color w:val="222222"/>
                <w:sz w:val="20"/>
                <w:lang w:val="es-AR"/>
              </w:rPr>
              <w:t>Nematalosa erebi</w:t>
            </w:r>
          </w:p>
          <w:p w:rsidR="00DB21D5" w:rsidRPr="000B7E74" w:rsidRDefault="00DB21D5" w:rsidP="00DB21D5">
            <w:pPr>
              <w:spacing w:before="60" w:after="60" w:line="240" w:lineRule="auto"/>
              <w:rPr>
                <w:rStyle w:val="st"/>
                <w:rFonts w:cs="Arial"/>
                <w:i/>
                <w:color w:val="222222"/>
                <w:sz w:val="20"/>
                <w:lang w:val="es-AR"/>
              </w:rPr>
            </w:pPr>
            <w:r w:rsidRPr="000B7E74">
              <w:rPr>
                <w:rStyle w:val="st"/>
                <w:rFonts w:cs="Arial"/>
                <w:i/>
                <w:color w:val="222222"/>
                <w:sz w:val="20"/>
                <w:lang w:val="es-AR"/>
              </w:rPr>
              <w:t>Philypnodon grandiceps</w:t>
            </w:r>
          </w:p>
          <w:p w:rsidR="00DB21D5" w:rsidRPr="00A67C76" w:rsidRDefault="00DB21D5" w:rsidP="00DB21D5">
            <w:pPr>
              <w:spacing w:before="60" w:after="60" w:line="240" w:lineRule="auto"/>
              <w:rPr>
                <w:rStyle w:val="st"/>
                <w:rFonts w:cs="Arial"/>
                <w:i/>
                <w:color w:val="222222"/>
                <w:sz w:val="20"/>
              </w:rPr>
            </w:pPr>
            <w:r w:rsidRPr="00A67C76">
              <w:rPr>
                <w:rStyle w:val="st"/>
                <w:rFonts w:cs="Arial"/>
                <w:i/>
                <w:color w:val="222222"/>
                <w:sz w:val="20"/>
              </w:rPr>
              <w:t>Philynodon macrostomus</w:t>
            </w:r>
          </w:p>
          <w:p w:rsidR="00DB21D5" w:rsidRPr="00A67C76" w:rsidRDefault="00DB21D5" w:rsidP="00DB21D5">
            <w:pPr>
              <w:spacing w:before="60" w:after="60" w:line="240" w:lineRule="auto"/>
              <w:rPr>
                <w:rStyle w:val="st"/>
                <w:rFonts w:cs="Arial"/>
                <w:i/>
                <w:color w:val="222222"/>
                <w:sz w:val="20"/>
              </w:rPr>
            </w:pPr>
            <w:r w:rsidRPr="00A67C76">
              <w:rPr>
                <w:rStyle w:val="st"/>
                <w:rFonts w:cs="Arial"/>
                <w:i/>
                <w:color w:val="222222"/>
                <w:sz w:val="20"/>
              </w:rPr>
              <w:t>Retropinna semoni</w:t>
            </w:r>
          </w:p>
          <w:p w:rsidR="00DB21D5" w:rsidRPr="00A67C76" w:rsidRDefault="00DB21D5" w:rsidP="00DB21D5">
            <w:pPr>
              <w:spacing w:before="60" w:after="60" w:line="240" w:lineRule="auto"/>
              <w:rPr>
                <w:rStyle w:val="st"/>
                <w:rFonts w:cs="Arial"/>
                <w:i/>
                <w:color w:val="222222"/>
                <w:sz w:val="20"/>
              </w:rPr>
            </w:pPr>
            <w:r w:rsidRPr="00A67C76">
              <w:rPr>
                <w:rStyle w:val="st"/>
                <w:rFonts w:cs="Arial"/>
                <w:i/>
                <w:color w:val="222222"/>
                <w:sz w:val="20"/>
              </w:rPr>
              <w:t>Pseudaphritis urvillii</w:t>
            </w:r>
          </w:p>
          <w:p w:rsidR="00DB21D5" w:rsidRPr="00A67C76" w:rsidRDefault="00DB21D5" w:rsidP="00DB21D5">
            <w:pPr>
              <w:spacing w:before="60" w:after="60" w:line="240" w:lineRule="auto"/>
              <w:rPr>
                <w:i/>
                <w:sz w:val="20"/>
              </w:rPr>
            </w:pPr>
            <w:r w:rsidRPr="00A67C76">
              <w:rPr>
                <w:i/>
                <w:sz w:val="20"/>
              </w:rPr>
              <w:t>Cyprinus carpio</w:t>
            </w:r>
          </w:p>
          <w:p w:rsidR="00DB21D5" w:rsidRPr="00A67C76" w:rsidRDefault="00DB21D5" w:rsidP="00DB21D5">
            <w:pPr>
              <w:spacing w:before="60" w:after="60" w:line="240" w:lineRule="auto"/>
              <w:rPr>
                <w:i/>
                <w:sz w:val="20"/>
              </w:rPr>
            </w:pPr>
            <w:r w:rsidRPr="00A67C76">
              <w:rPr>
                <w:i/>
                <w:sz w:val="20"/>
              </w:rPr>
              <w:t>Carrasius auratus</w:t>
            </w:r>
          </w:p>
          <w:p w:rsidR="00DB21D5" w:rsidRPr="00A67C76" w:rsidRDefault="00DB21D5" w:rsidP="00DB21D5">
            <w:pPr>
              <w:spacing w:before="60" w:after="60" w:line="240" w:lineRule="auto"/>
              <w:rPr>
                <w:i/>
                <w:sz w:val="20"/>
              </w:rPr>
            </w:pPr>
            <w:r w:rsidRPr="00A67C76">
              <w:rPr>
                <w:i/>
                <w:sz w:val="20"/>
              </w:rPr>
              <w:t>Gambusia holbrooki</w:t>
            </w:r>
          </w:p>
          <w:p w:rsidR="00DB21D5" w:rsidRPr="00A67C76" w:rsidRDefault="00DB21D5" w:rsidP="00DB21D5">
            <w:pPr>
              <w:spacing w:before="60" w:after="60" w:line="240" w:lineRule="auto"/>
              <w:rPr>
                <w:sz w:val="20"/>
              </w:rPr>
            </w:pPr>
            <w:r w:rsidRPr="00A67C76">
              <w:rPr>
                <w:i/>
                <w:sz w:val="20"/>
              </w:rPr>
              <w:t>Perca fluviatilis</w:t>
            </w:r>
          </w:p>
        </w:tc>
        <w:tc>
          <w:tcPr>
            <w:tcW w:w="1322" w:type="dxa"/>
            <w:shd w:val="clear" w:color="auto" w:fill="auto"/>
          </w:tcPr>
          <w:p w:rsidR="00DB21D5" w:rsidRPr="00A67C76" w:rsidRDefault="00DB21D5" w:rsidP="00DB21D5">
            <w:pPr>
              <w:spacing w:before="60" w:after="60" w:line="240" w:lineRule="auto"/>
              <w:jc w:val="center"/>
              <w:rPr>
                <w:sz w:val="20"/>
              </w:rPr>
            </w:pPr>
            <w:r w:rsidRPr="00A67C76">
              <w:rPr>
                <w:sz w:val="20"/>
              </w:rPr>
              <w:t>FD</w:t>
            </w:r>
          </w:p>
          <w:p w:rsidR="00DB21D5" w:rsidRPr="00A67C76" w:rsidRDefault="00DB21D5" w:rsidP="00DB21D5">
            <w:pPr>
              <w:spacing w:before="60" w:after="60" w:line="240" w:lineRule="auto"/>
              <w:jc w:val="center"/>
              <w:rPr>
                <w:sz w:val="20"/>
              </w:rPr>
            </w:pPr>
            <w:r w:rsidRPr="00A67C76">
              <w:rPr>
                <w:sz w:val="20"/>
              </w:rPr>
              <w:t>FD</w:t>
            </w:r>
          </w:p>
          <w:p w:rsidR="00DB21D5" w:rsidRPr="00A67C76" w:rsidRDefault="00DB21D5" w:rsidP="00DB21D5">
            <w:pPr>
              <w:spacing w:before="60" w:after="60" w:line="240" w:lineRule="auto"/>
              <w:jc w:val="center"/>
              <w:rPr>
                <w:sz w:val="20"/>
              </w:rPr>
            </w:pPr>
            <w:r w:rsidRPr="00A67C76">
              <w:rPr>
                <w:sz w:val="20"/>
              </w:rPr>
              <w:t>FG</w:t>
            </w:r>
          </w:p>
          <w:p w:rsidR="00DB21D5" w:rsidRPr="00A67C76" w:rsidRDefault="00DB21D5" w:rsidP="00DB21D5">
            <w:pPr>
              <w:spacing w:before="60" w:after="60" w:line="240" w:lineRule="auto"/>
              <w:jc w:val="center"/>
              <w:rPr>
                <w:sz w:val="20"/>
              </w:rPr>
            </w:pPr>
            <w:r w:rsidRPr="00A67C76">
              <w:rPr>
                <w:sz w:val="20"/>
              </w:rPr>
              <w:t>FG</w:t>
            </w:r>
          </w:p>
          <w:p w:rsidR="00DB21D5" w:rsidRPr="00A67C76" w:rsidRDefault="00DB21D5" w:rsidP="00DB21D5">
            <w:pPr>
              <w:spacing w:before="60" w:after="60" w:line="240" w:lineRule="auto"/>
              <w:jc w:val="center"/>
              <w:rPr>
                <w:sz w:val="20"/>
              </w:rPr>
            </w:pPr>
            <w:r w:rsidRPr="00A67C76">
              <w:rPr>
                <w:sz w:val="20"/>
              </w:rPr>
              <w:t>FG</w:t>
            </w:r>
          </w:p>
          <w:p w:rsidR="00DB21D5" w:rsidRPr="00A67C76" w:rsidRDefault="00DB21D5" w:rsidP="00DB21D5">
            <w:pPr>
              <w:spacing w:before="60" w:after="60" w:line="240" w:lineRule="auto"/>
              <w:jc w:val="center"/>
              <w:rPr>
                <w:sz w:val="20"/>
              </w:rPr>
            </w:pPr>
            <w:r w:rsidRPr="00A67C76">
              <w:rPr>
                <w:sz w:val="20"/>
              </w:rPr>
              <w:t>FG</w:t>
            </w:r>
          </w:p>
          <w:p w:rsidR="00DB21D5" w:rsidRPr="00A67C76" w:rsidRDefault="00DB21D5" w:rsidP="00DB21D5">
            <w:pPr>
              <w:spacing w:before="60" w:after="60" w:line="240" w:lineRule="auto"/>
              <w:jc w:val="center"/>
              <w:rPr>
                <w:sz w:val="20"/>
              </w:rPr>
            </w:pPr>
            <w:r w:rsidRPr="00A67C76">
              <w:rPr>
                <w:sz w:val="20"/>
              </w:rPr>
              <w:t>FG</w:t>
            </w:r>
          </w:p>
          <w:p w:rsidR="00DB21D5" w:rsidRPr="00A67C76" w:rsidRDefault="00DB21D5" w:rsidP="00DB21D5">
            <w:pPr>
              <w:spacing w:before="60" w:after="60" w:line="240" w:lineRule="auto"/>
              <w:jc w:val="center"/>
              <w:rPr>
                <w:sz w:val="20"/>
              </w:rPr>
            </w:pPr>
            <w:r w:rsidRPr="00A67C76">
              <w:rPr>
                <w:sz w:val="20"/>
              </w:rPr>
              <w:t>FG</w:t>
            </w:r>
          </w:p>
          <w:p w:rsidR="00DB21D5" w:rsidRPr="00A67C76" w:rsidRDefault="00DB21D5" w:rsidP="00DB21D5">
            <w:pPr>
              <w:spacing w:before="60" w:after="60" w:line="240" w:lineRule="auto"/>
              <w:jc w:val="center"/>
              <w:rPr>
                <w:sz w:val="20"/>
              </w:rPr>
            </w:pPr>
            <w:r w:rsidRPr="00A67C76">
              <w:rPr>
                <w:sz w:val="20"/>
              </w:rPr>
              <w:t>FG</w:t>
            </w:r>
          </w:p>
          <w:p w:rsidR="00DB21D5" w:rsidRPr="00A67C76" w:rsidRDefault="00DB21D5" w:rsidP="00DB21D5">
            <w:pPr>
              <w:spacing w:before="60" w:after="60" w:line="240" w:lineRule="auto"/>
              <w:jc w:val="center"/>
              <w:rPr>
                <w:sz w:val="20"/>
              </w:rPr>
            </w:pPr>
            <w:r w:rsidRPr="00A67C76">
              <w:rPr>
                <w:sz w:val="20"/>
              </w:rPr>
              <w:t>D</w:t>
            </w:r>
          </w:p>
          <w:p w:rsidR="00DB21D5" w:rsidRPr="00A67C76" w:rsidRDefault="00DB21D5" w:rsidP="00DB21D5">
            <w:pPr>
              <w:spacing w:before="60" w:after="60" w:line="240" w:lineRule="auto"/>
              <w:jc w:val="center"/>
              <w:rPr>
                <w:sz w:val="20"/>
              </w:rPr>
            </w:pPr>
            <w:r w:rsidRPr="00A67C76">
              <w:rPr>
                <w:sz w:val="20"/>
              </w:rPr>
              <w:t>I</w:t>
            </w:r>
          </w:p>
          <w:p w:rsidR="00DB21D5" w:rsidRPr="00A67C76" w:rsidRDefault="00DB21D5" w:rsidP="00DB21D5">
            <w:pPr>
              <w:spacing w:before="60" w:after="60" w:line="240" w:lineRule="auto"/>
              <w:jc w:val="center"/>
              <w:rPr>
                <w:sz w:val="20"/>
              </w:rPr>
            </w:pPr>
            <w:r w:rsidRPr="00A67C76">
              <w:rPr>
                <w:sz w:val="20"/>
              </w:rPr>
              <w:t>I</w:t>
            </w:r>
          </w:p>
          <w:p w:rsidR="00DB21D5" w:rsidRPr="00A67C76" w:rsidRDefault="00DB21D5" w:rsidP="00DB21D5">
            <w:pPr>
              <w:spacing w:before="60" w:after="60" w:line="240" w:lineRule="auto"/>
              <w:jc w:val="center"/>
              <w:rPr>
                <w:sz w:val="20"/>
              </w:rPr>
            </w:pPr>
            <w:r w:rsidRPr="00A67C76">
              <w:rPr>
                <w:sz w:val="20"/>
              </w:rPr>
              <w:t>I</w:t>
            </w:r>
          </w:p>
          <w:p w:rsidR="00DB21D5" w:rsidRPr="00A67C76" w:rsidRDefault="00DB21D5" w:rsidP="00DB21D5">
            <w:pPr>
              <w:spacing w:before="60" w:after="60" w:line="240" w:lineRule="auto"/>
              <w:jc w:val="center"/>
              <w:rPr>
                <w:sz w:val="20"/>
              </w:rPr>
            </w:pPr>
            <w:r w:rsidRPr="00A67C76">
              <w:rPr>
                <w:sz w:val="20"/>
              </w:rPr>
              <w:t>I</w:t>
            </w:r>
          </w:p>
        </w:tc>
        <w:tc>
          <w:tcPr>
            <w:tcW w:w="662" w:type="dxa"/>
            <w:shd w:val="clear" w:color="auto" w:fill="auto"/>
          </w:tcPr>
          <w:p w:rsidR="00DB21D5" w:rsidRPr="00A67C76" w:rsidRDefault="00DB21D5" w:rsidP="00DB21D5">
            <w:pPr>
              <w:spacing w:before="60" w:after="60" w:line="240" w:lineRule="auto"/>
              <w:jc w:val="center"/>
              <w:rPr>
                <w:sz w:val="20"/>
              </w:rPr>
            </w:pPr>
            <w:r w:rsidRPr="00A67C76">
              <w:rPr>
                <w:sz w:val="20"/>
              </w:rPr>
              <w:t>4</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1</w:t>
            </w:r>
          </w:p>
          <w:p w:rsidR="00DB21D5" w:rsidRPr="00A67C76" w:rsidRDefault="00DB21D5" w:rsidP="00DB21D5">
            <w:pPr>
              <w:spacing w:before="60" w:after="60" w:line="240" w:lineRule="auto"/>
              <w:jc w:val="center"/>
              <w:rPr>
                <w:sz w:val="20"/>
              </w:rPr>
            </w:pPr>
            <w:r w:rsidRPr="00A67C76">
              <w:rPr>
                <w:sz w:val="20"/>
              </w:rPr>
              <w:t>20</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1</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2</w:t>
            </w:r>
          </w:p>
          <w:p w:rsidR="00DB21D5" w:rsidRPr="00A67C76" w:rsidRDefault="00DB21D5" w:rsidP="00DB21D5">
            <w:pPr>
              <w:spacing w:before="60" w:after="60" w:line="240" w:lineRule="auto"/>
              <w:jc w:val="center"/>
              <w:rPr>
                <w:sz w:val="20"/>
              </w:rPr>
            </w:pPr>
            <w:r w:rsidRPr="00A67C76">
              <w:rPr>
                <w:sz w:val="20"/>
              </w:rPr>
              <w:t>68</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94</w:t>
            </w:r>
          </w:p>
          <w:p w:rsidR="00DB21D5" w:rsidRPr="00A67C76" w:rsidRDefault="00DB21D5" w:rsidP="00DB21D5">
            <w:pPr>
              <w:spacing w:before="60" w:after="60" w:line="240" w:lineRule="auto"/>
              <w:jc w:val="center"/>
              <w:rPr>
                <w:sz w:val="20"/>
              </w:rPr>
            </w:pPr>
            <w:r w:rsidRPr="00A67C76">
              <w:rPr>
                <w:sz w:val="20"/>
              </w:rPr>
              <w:t>2</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p>
        </w:tc>
        <w:tc>
          <w:tcPr>
            <w:tcW w:w="709" w:type="dxa"/>
            <w:shd w:val="clear" w:color="auto" w:fill="auto"/>
          </w:tcPr>
          <w:p w:rsidR="00DB21D5" w:rsidRPr="00A67C76" w:rsidRDefault="00DB21D5" w:rsidP="00DB21D5">
            <w:pPr>
              <w:spacing w:before="60" w:after="60" w:line="240" w:lineRule="auto"/>
              <w:jc w:val="center"/>
              <w:rPr>
                <w:sz w:val="20"/>
              </w:rPr>
            </w:pPr>
            <w:r w:rsidRPr="00A67C76">
              <w:rPr>
                <w:sz w:val="20"/>
              </w:rPr>
              <w:t>9</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38</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2</w:t>
            </w:r>
          </w:p>
          <w:p w:rsidR="00DB21D5" w:rsidRPr="00A67C76" w:rsidRDefault="00DB21D5" w:rsidP="00DB21D5">
            <w:pPr>
              <w:spacing w:before="60" w:after="60" w:line="240" w:lineRule="auto"/>
              <w:jc w:val="center"/>
              <w:rPr>
                <w:sz w:val="20"/>
              </w:rPr>
            </w:pPr>
            <w:r w:rsidRPr="00A67C76">
              <w:rPr>
                <w:sz w:val="20"/>
              </w:rPr>
              <w:t>2</w:t>
            </w:r>
          </w:p>
          <w:p w:rsidR="00DB21D5" w:rsidRPr="00A67C76" w:rsidRDefault="00DB21D5" w:rsidP="00DB21D5">
            <w:pPr>
              <w:spacing w:before="60" w:after="60" w:line="240" w:lineRule="auto"/>
              <w:jc w:val="center"/>
              <w:rPr>
                <w:sz w:val="20"/>
              </w:rPr>
            </w:pPr>
            <w:r w:rsidRPr="00A67C76">
              <w:rPr>
                <w:sz w:val="20"/>
              </w:rPr>
              <w:t>2</w:t>
            </w:r>
          </w:p>
          <w:p w:rsidR="00DB21D5" w:rsidRPr="00A67C76" w:rsidRDefault="00DB21D5" w:rsidP="00DB21D5">
            <w:pPr>
              <w:spacing w:before="60" w:after="60" w:line="240" w:lineRule="auto"/>
              <w:jc w:val="center"/>
              <w:rPr>
                <w:sz w:val="20"/>
              </w:rPr>
            </w:pPr>
            <w:r w:rsidRPr="00A67C76">
              <w:rPr>
                <w:sz w:val="20"/>
              </w:rPr>
              <w:t>57</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158</w:t>
            </w:r>
          </w:p>
          <w:p w:rsidR="00DB21D5" w:rsidRPr="00A67C76" w:rsidRDefault="00DB21D5" w:rsidP="00DB21D5">
            <w:pPr>
              <w:spacing w:before="60" w:after="60" w:line="240" w:lineRule="auto"/>
              <w:jc w:val="center"/>
              <w:rPr>
                <w:sz w:val="20"/>
              </w:rPr>
            </w:pPr>
            <w:r w:rsidRPr="00A67C76">
              <w:rPr>
                <w:sz w:val="20"/>
              </w:rPr>
              <w:t>1</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p>
        </w:tc>
        <w:tc>
          <w:tcPr>
            <w:tcW w:w="709" w:type="dxa"/>
            <w:shd w:val="clear" w:color="auto" w:fill="auto"/>
          </w:tcPr>
          <w:p w:rsidR="00DB21D5" w:rsidRPr="00A67C76" w:rsidRDefault="00DB21D5" w:rsidP="00DB21D5">
            <w:pPr>
              <w:spacing w:before="60" w:after="60" w:line="240" w:lineRule="auto"/>
              <w:jc w:val="center"/>
              <w:rPr>
                <w:sz w:val="20"/>
              </w:rPr>
            </w:pPr>
            <w:r w:rsidRPr="00A67C76">
              <w:rPr>
                <w:sz w:val="20"/>
              </w:rPr>
              <w:t>2</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152</w:t>
            </w:r>
          </w:p>
          <w:p w:rsidR="00DB21D5" w:rsidRPr="00A67C76" w:rsidRDefault="00DB21D5" w:rsidP="00DB21D5">
            <w:pPr>
              <w:spacing w:before="60" w:after="60" w:line="240" w:lineRule="auto"/>
              <w:jc w:val="center"/>
              <w:rPr>
                <w:sz w:val="20"/>
              </w:rPr>
            </w:pPr>
            <w:r w:rsidRPr="00A67C76">
              <w:rPr>
                <w:sz w:val="20"/>
              </w:rPr>
              <w:t>360</w:t>
            </w:r>
          </w:p>
          <w:p w:rsidR="00DB21D5" w:rsidRPr="00A67C76" w:rsidRDefault="00DB21D5" w:rsidP="00DB21D5">
            <w:pPr>
              <w:spacing w:before="60" w:after="60" w:line="240" w:lineRule="auto"/>
              <w:jc w:val="center"/>
              <w:rPr>
                <w:sz w:val="20"/>
              </w:rPr>
            </w:pPr>
            <w:r w:rsidRPr="00A67C76">
              <w:rPr>
                <w:sz w:val="20"/>
              </w:rPr>
              <w:t>4</w:t>
            </w:r>
          </w:p>
          <w:p w:rsidR="00DB21D5" w:rsidRPr="00A67C76" w:rsidRDefault="00DB21D5" w:rsidP="00DB21D5">
            <w:pPr>
              <w:spacing w:before="60" w:after="60" w:line="240" w:lineRule="auto"/>
              <w:jc w:val="center"/>
              <w:rPr>
                <w:sz w:val="20"/>
              </w:rPr>
            </w:pPr>
            <w:r w:rsidRPr="00A67C76">
              <w:rPr>
                <w:sz w:val="20"/>
              </w:rPr>
              <w:t>1</w:t>
            </w:r>
          </w:p>
          <w:p w:rsidR="00DB21D5" w:rsidRPr="00A67C76" w:rsidRDefault="00DB21D5" w:rsidP="00DB21D5">
            <w:pPr>
              <w:spacing w:before="60" w:after="60" w:line="240" w:lineRule="auto"/>
              <w:jc w:val="center"/>
              <w:rPr>
                <w:sz w:val="20"/>
              </w:rPr>
            </w:pPr>
            <w:r w:rsidRPr="00A67C76">
              <w:rPr>
                <w:sz w:val="20"/>
              </w:rPr>
              <w:t>17</w:t>
            </w:r>
          </w:p>
          <w:p w:rsidR="00DB21D5" w:rsidRPr="00A67C76" w:rsidRDefault="00DB21D5" w:rsidP="00DB21D5">
            <w:pPr>
              <w:spacing w:before="60" w:after="60" w:line="240" w:lineRule="auto"/>
              <w:jc w:val="center"/>
              <w:rPr>
                <w:sz w:val="20"/>
              </w:rPr>
            </w:pPr>
            <w:r w:rsidRPr="00A67C76">
              <w:rPr>
                <w:sz w:val="20"/>
              </w:rPr>
              <w:t>5</w:t>
            </w:r>
          </w:p>
          <w:p w:rsidR="00DB21D5" w:rsidRPr="00A67C76" w:rsidRDefault="00DB21D5" w:rsidP="00DB21D5">
            <w:pPr>
              <w:spacing w:before="60" w:after="60" w:line="240" w:lineRule="auto"/>
              <w:jc w:val="center"/>
              <w:rPr>
                <w:sz w:val="20"/>
              </w:rPr>
            </w:pPr>
            <w:r w:rsidRPr="00A67C76">
              <w:rPr>
                <w:sz w:val="20"/>
              </w:rPr>
              <w:t>83</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91</w:t>
            </w:r>
          </w:p>
          <w:p w:rsidR="00DB21D5" w:rsidRPr="00A67C76" w:rsidRDefault="00DB21D5" w:rsidP="00DB21D5">
            <w:pPr>
              <w:spacing w:before="60" w:after="60" w:line="240" w:lineRule="auto"/>
              <w:jc w:val="center"/>
              <w:rPr>
                <w:sz w:val="20"/>
              </w:rPr>
            </w:pPr>
            <w:r w:rsidRPr="00A67C76">
              <w:rPr>
                <w:sz w:val="20"/>
              </w:rPr>
              <w:t>3</w:t>
            </w:r>
          </w:p>
          <w:p w:rsidR="00DB21D5" w:rsidRPr="00A67C76" w:rsidRDefault="00DB21D5" w:rsidP="00DB21D5">
            <w:pPr>
              <w:spacing w:before="60" w:after="60" w:line="240" w:lineRule="auto"/>
              <w:jc w:val="center"/>
              <w:rPr>
                <w:sz w:val="20"/>
              </w:rPr>
            </w:pPr>
            <w:r w:rsidRPr="00A67C76">
              <w:rPr>
                <w:sz w:val="20"/>
              </w:rPr>
              <w:t>4</w:t>
            </w:r>
          </w:p>
          <w:p w:rsidR="00DB21D5" w:rsidRPr="00A67C76" w:rsidRDefault="00DB21D5" w:rsidP="00DB21D5">
            <w:pPr>
              <w:spacing w:before="60" w:after="60" w:line="240" w:lineRule="auto"/>
              <w:jc w:val="center"/>
              <w:rPr>
                <w:sz w:val="20"/>
              </w:rPr>
            </w:pPr>
            <w:r w:rsidRPr="00A67C76">
              <w:rPr>
                <w:sz w:val="20"/>
              </w:rPr>
              <w:t>65</w:t>
            </w:r>
          </w:p>
        </w:tc>
        <w:tc>
          <w:tcPr>
            <w:tcW w:w="709" w:type="dxa"/>
            <w:shd w:val="clear" w:color="auto" w:fill="auto"/>
          </w:tcPr>
          <w:p w:rsidR="00DB21D5" w:rsidRPr="00A67C76" w:rsidRDefault="00DB21D5" w:rsidP="00DB21D5">
            <w:pPr>
              <w:spacing w:before="60" w:after="60" w:line="240" w:lineRule="auto"/>
              <w:jc w:val="center"/>
              <w:rPr>
                <w:sz w:val="20"/>
              </w:rPr>
            </w:pPr>
            <w:r w:rsidRPr="00A67C76">
              <w:rPr>
                <w:sz w:val="20"/>
              </w:rPr>
              <w:t>9</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47</w:t>
            </w:r>
          </w:p>
          <w:p w:rsidR="00DB21D5" w:rsidRPr="00A67C76" w:rsidRDefault="00DB21D5" w:rsidP="00DB21D5">
            <w:pPr>
              <w:spacing w:before="60" w:after="60" w:line="240" w:lineRule="auto"/>
              <w:jc w:val="center"/>
              <w:rPr>
                <w:sz w:val="20"/>
              </w:rPr>
            </w:pPr>
            <w:r w:rsidRPr="00A67C76">
              <w:rPr>
                <w:sz w:val="20"/>
              </w:rPr>
              <w:t>195</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13</w:t>
            </w:r>
          </w:p>
          <w:p w:rsidR="00DB21D5" w:rsidRPr="00A67C76" w:rsidRDefault="00DB21D5" w:rsidP="00DB21D5">
            <w:pPr>
              <w:spacing w:before="60" w:after="60" w:line="240" w:lineRule="auto"/>
              <w:jc w:val="center"/>
              <w:rPr>
                <w:sz w:val="20"/>
              </w:rPr>
            </w:pPr>
            <w:r w:rsidRPr="00A67C76">
              <w:rPr>
                <w:sz w:val="20"/>
              </w:rPr>
              <w:t>12</w:t>
            </w:r>
          </w:p>
          <w:p w:rsidR="00DB21D5" w:rsidRPr="00A67C76" w:rsidRDefault="00DB21D5" w:rsidP="00DB21D5">
            <w:pPr>
              <w:spacing w:before="60" w:after="60" w:line="240" w:lineRule="auto"/>
              <w:jc w:val="center"/>
              <w:rPr>
                <w:sz w:val="20"/>
              </w:rPr>
            </w:pPr>
            <w:r w:rsidRPr="00A67C76">
              <w:rPr>
                <w:sz w:val="20"/>
              </w:rPr>
              <w:t>7</w:t>
            </w:r>
          </w:p>
          <w:p w:rsidR="00DB21D5" w:rsidRPr="00A67C76" w:rsidRDefault="00DB21D5" w:rsidP="00DB21D5">
            <w:pPr>
              <w:spacing w:before="60" w:after="60" w:line="240" w:lineRule="auto"/>
              <w:jc w:val="center"/>
              <w:rPr>
                <w:sz w:val="20"/>
              </w:rPr>
            </w:pPr>
            <w:r w:rsidRPr="00A67C76">
              <w:rPr>
                <w:sz w:val="20"/>
              </w:rPr>
              <w:t>274</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95</w:t>
            </w:r>
          </w:p>
          <w:p w:rsidR="00DB21D5" w:rsidRPr="00A67C76" w:rsidRDefault="00DB21D5" w:rsidP="00DB21D5">
            <w:pPr>
              <w:spacing w:before="60" w:after="60" w:line="240" w:lineRule="auto"/>
              <w:jc w:val="center"/>
              <w:rPr>
                <w:sz w:val="20"/>
              </w:rPr>
            </w:pPr>
            <w:r w:rsidRPr="00A67C76">
              <w:rPr>
                <w:sz w:val="20"/>
              </w:rPr>
              <w:t>8</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8</w:t>
            </w:r>
          </w:p>
        </w:tc>
        <w:tc>
          <w:tcPr>
            <w:tcW w:w="708" w:type="dxa"/>
            <w:shd w:val="clear" w:color="auto" w:fill="auto"/>
          </w:tcPr>
          <w:p w:rsidR="00DB21D5" w:rsidRPr="00A67C76" w:rsidRDefault="00DB21D5" w:rsidP="00DB21D5">
            <w:pPr>
              <w:spacing w:before="60" w:after="60" w:line="240" w:lineRule="auto"/>
              <w:jc w:val="center"/>
              <w:rPr>
                <w:sz w:val="20"/>
              </w:rPr>
            </w:pPr>
            <w:r w:rsidRPr="00A67C76">
              <w:rPr>
                <w:sz w:val="20"/>
              </w:rPr>
              <w:t>35</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77</w:t>
            </w:r>
          </w:p>
          <w:p w:rsidR="00DB21D5" w:rsidRPr="00A67C76" w:rsidRDefault="00DB21D5" w:rsidP="00DB21D5">
            <w:pPr>
              <w:spacing w:before="60" w:after="60" w:line="240" w:lineRule="auto"/>
              <w:jc w:val="center"/>
              <w:rPr>
                <w:sz w:val="20"/>
              </w:rPr>
            </w:pPr>
            <w:r w:rsidRPr="00A67C76">
              <w:rPr>
                <w:sz w:val="20"/>
              </w:rPr>
              <w:t>219</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45</w:t>
            </w:r>
          </w:p>
          <w:p w:rsidR="00DB21D5" w:rsidRPr="00A67C76" w:rsidRDefault="00DB21D5" w:rsidP="00DB21D5">
            <w:pPr>
              <w:spacing w:before="60" w:after="60" w:line="240" w:lineRule="auto"/>
              <w:jc w:val="center"/>
              <w:rPr>
                <w:sz w:val="20"/>
              </w:rPr>
            </w:pPr>
            <w:r w:rsidRPr="00A67C76">
              <w:rPr>
                <w:sz w:val="20"/>
              </w:rPr>
              <w:t>760</w:t>
            </w:r>
          </w:p>
          <w:p w:rsidR="00DB21D5" w:rsidRPr="00A67C76" w:rsidRDefault="00DB21D5" w:rsidP="00DB21D5">
            <w:pPr>
              <w:spacing w:before="60" w:after="60" w:line="240" w:lineRule="auto"/>
              <w:jc w:val="center"/>
              <w:rPr>
                <w:sz w:val="20"/>
              </w:rPr>
            </w:pPr>
            <w:r w:rsidRPr="00A67C76">
              <w:rPr>
                <w:sz w:val="20"/>
              </w:rPr>
              <w:t>1</w:t>
            </w:r>
          </w:p>
          <w:p w:rsidR="00DB21D5" w:rsidRPr="00A67C76" w:rsidRDefault="00DB21D5" w:rsidP="00DB21D5">
            <w:pPr>
              <w:spacing w:before="60" w:after="60" w:line="240" w:lineRule="auto"/>
              <w:jc w:val="center"/>
              <w:rPr>
                <w:sz w:val="20"/>
              </w:rPr>
            </w:pPr>
            <w:r w:rsidRPr="00A67C76">
              <w:rPr>
                <w:sz w:val="20"/>
              </w:rPr>
              <w:t>3</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217</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1</w:t>
            </w:r>
          </w:p>
          <w:p w:rsidR="00DB21D5" w:rsidRPr="00A67C76" w:rsidRDefault="00DB21D5" w:rsidP="00DB21D5">
            <w:pPr>
              <w:spacing w:before="60" w:after="60" w:line="240" w:lineRule="auto"/>
              <w:jc w:val="center"/>
              <w:rPr>
                <w:sz w:val="20"/>
              </w:rPr>
            </w:pPr>
            <w:r w:rsidRPr="00A67C76">
              <w:rPr>
                <w:sz w:val="20"/>
              </w:rPr>
              <w:t>15</w:t>
            </w:r>
          </w:p>
        </w:tc>
        <w:tc>
          <w:tcPr>
            <w:tcW w:w="709" w:type="dxa"/>
            <w:shd w:val="clear" w:color="auto" w:fill="auto"/>
          </w:tcPr>
          <w:p w:rsidR="00DB21D5" w:rsidRPr="00A67C76" w:rsidRDefault="00DB21D5" w:rsidP="00DB21D5">
            <w:pPr>
              <w:spacing w:before="60" w:after="60" w:line="240" w:lineRule="auto"/>
              <w:jc w:val="center"/>
              <w:rPr>
                <w:sz w:val="20"/>
              </w:rPr>
            </w:pPr>
            <w:r w:rsidRPr="00A67C76">
              <w:rPr>
                <w:sz w:val="20"/>
              </w:rPr>
              <w:t>5</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19</w:t>
            </w:r>
          </w:p>
          <w:p w:rsidR="00DB21D5" w:rsidRPr="00A67C76" w:rsidRDefault="00DB21D5" w:rsidP="00DB21D5">
            <w:pPr>
              <w:spacing w:before="60" w:after="60" w:line="240" w:lineRule="auto"/>
              <w:jc w:val="center"/>
              <w:rPr>
                <w:sz w:val="20"/>
              </w:rPr>
            </w:pPr>
            <w:r w:rsidRPr="00A67C76">
              <w:rPr>
                <w:sz w:val="20"/>
              </w:rPr>
              <w:t>195</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43</w:t>
            </w:r>
          </w:p>
          <w:p w:rsidR="00DB21D5" w:rsidRPr="00A67C76" w:rsidRDefault="00DB21D5" w:rsidP="00DB21D5">
            <w:pPr>
              <w:spacing w:before="60" w:after="60" w:line="240" w:lineRule="auto"/>
              <w:jc w:val="center"/>
              <w:rPr>
                <w:sz w:val="20"/>
              </w:rPr>
            </w:pPr>
            <w:r w:rsidRPr="00A67C76">
              <w:rPr>
                <w:sz w:val="20"/>
              </w:rPr>
              <w:t>1320</w:t>
            </w:r>
          </w:p>
          <w:p w:rsidR="00DB21D5" w:rsidRPr="00A67C76" w:rsidRDefault="00DB21D5" w:rsidP="00DB21D5">
            <w:pPr>
              <w:spacing w:before="60" w:after="60" w:line="240" w:lineRule="auto"/>
              <w:jc w:val="center"/>
              <w:rPr>
                <w:sz w:val="20"/>
              </w:rPr>
            </w:pPr>
            <w:r w:rsidRPr="00A67C76">
              <w:rPr>
                <w:sz w:val="20"/>
              </w:rPr>
              <w:t>1</w:t>
            </w:r>
          </w:p>
          <w:p w:rsidR="00DB21D5" w:rsidRPr="00A67C76" w:rsidRDefault="00DB21D5" w:rsidP="00DB21D5">
            <w:pPr>
              <w:spacing w:before="60" w:after="60" w:line="240" w:lineRule="auto"/>
              <w:jc w:val="center"/>
              <w:rPr>
                <w:sz w:val="20"/>
              </w:rPr>
            </w:pPr>
            <w:r w:rsidRPr="00A67C76">
              <w:rPr>
                <w:sz w:val="20"/>
              </w:rPr>
              <w:t>2</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67</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1</w:t>
            </w:r>
          </w:p>
          <w:p w:rsidR="00DB21D5" w:rsidRPr="00A67C76" w:rsidRDefault="00DB21D5" w:rsidP="00DB21D5">
            <w:pPr>
              <w:spacing w:before="60" w:after="60" w:line="240" w:lineRule="auto"/>
              <w:jc w:val="center"/>
              <w:rPr>
                <w:sz w:val="20"/>
              </w:rPr>
            </w:pPr>
            <w:r w:rsidRPr="00A67C76">
              <w:rPr>
                <w:sz w:val="20"/>
              </w:rPr>
              <w:t>7</w:t>
            </w:r>
          </w:p>
        </w:tc>
        <w:tc>
          <w:tcPr>
            <w:tcW w:w="709" w:type="dxa"/>
            <w:shd w:val="clear" w:color="auto" w:fill="auto"/>
          </w:tcPr>
          <w:p w:rsidR="00DB21D5" w:rsidRPr="00A67C76" w:rsidRDefault="00DB21D5" w:rsidP="00DB21D5">
            <w:pPr>
              <w:spacing w:before="60" w:after="60" w:line="240" w:lineRule="auto"/>
              <w:jc w:val="center"/>
              <w:rPr>
                <w:sz w:val="20"/>
              </w:rPr>
            </w:pPr>
            <w:r w:rsidRPr="00A67C76">
              <w:rPr>
                <w:sz w:val="20"/>
              </w:rPr>
              <w:t>7</w:t>
            </w:r>
          </w:p>
          <w:p w:rsidR="00DB21D5" w:rsidRPr="00A67C76" w:rsidRDefault="00DB21D5" w:rsidP="00DB21D5">
            <w:pPr>
              <w:spacing w:before="60" w:after="60" w:line="240" w:lineRule="auto"/>
              <w:jc w:val="center"/>
              <w:rPr>
                <w:sz w:val="20"/>
              </w:rPr>
            </w:pPr>
            <w:r w:rsidRPr="00A67C76">
              <w:rPr>
                <w:sz w:val="20"/>
              </w:rPr>
              <w:t>1</w:t>
            </w:r>
          </w:p>
          <w:p w:rsidR="00DB21D5" w:rsidRPr="00A67C76" w:rsidRDefault="00DB21D5" w:rsidP="00DB21D5">
            <w:pPr>
              <w:spacing w:before="60" w:after="60" w:line="240" w:lineRule="auto"/>
              <w:jc w:val="center"/>
              <w:rPr>
                <w:sz w:val="20"/>
              </w:rPr>
            </w:pPr>
            <w:r w:rsidRPr="00A67C76">
              <w:rPr>
                <w:sz w:val="20"/>
              </w:rPr>
              <w:t>26</w:t>
            </w:r>
          </w:p>
          <w:p w:rsidR="00DB21D5" w:rsidRPr="00A67C76" w:rsidRDefault="00DB21D5" w:rsidP="00DB21D5">
            <w:pPr>
              <w:spacing w:before="60" w:after="60" w:line="240" w:lineRule="auto"/>
              <w:jc w:val="center"/>
              <w:rPr>
                <w:sz w:val="20"/>
              </w:rPr>
            </w:pPr>
            <w:r w:rsidRPr="00A67C76">
              <w:rPr>
                <w:sz w:val="20"/>
              </w:rPr>
              <w:t>134</w:t>
            </w:r>
          </w:p>
          <w:p w:rsidR="00DB21D5" w:rsidRPr="00A67C76" w:rsidRDefault="00DB21D5" w:rsidP="00DB21D5">
            <w:pPr>
              <w:spacing w:before="60" w:after="60" w:line="240" w:lineRule="auto"/>
              <w:jc w:val="center"/>
              <w:rPr>
                <w:sz w:val="20"/>
              </w:rPr>
            </w:pPr>
            <w:r w:rsidRPr="00A67C76">
              <w:rPr>
                <w:sz w:val="20"/>
              </w:rPr>
              <w:t>1</w:t>
            </w:r>
          </w:p>
          <w:p w:rsidR="00DB21D5" w:rsidRPr="00A67C76" w:rsidRDefault="00DB21D5" w:rsidP="00DB21D5">
            <w:pPr>
              <w:spacing w:before="60" w:after="60" w:line="240" w:lineRule="auto"/>
              <w:jc w:val="center"/>
              <w:rPr>
                <w:sz w:val="20"/>
              </w:rPr>
            </w:pPr>
            <w:r w:rsidRPr="00A67C76">
              <w:rPr>
                <w:sz w:val="20"/>
              </w:rPr>
              <w:t>36</w:t>
            </w:r>
          </w:p>
          <w:p w:rsidR="00DB21D5" w:rsidRPr="00A67C76" w:rsidRDefault="00DB21D5" w:rsidP="00DB21D5">
            <w:pPr>
              <w:spacing w:before="60" w:after="60" w:line="240" w:lineRule="auto"/>
              <w:jc w:val="center"/>
              <w:rPr>
                <w:sz w:val="20"/>
              </w:rPr>
            </w:pPr>
            <w:r w:rsidRPr="00A67C76">
              <w:rPr>
                <w:sz w:val="20"/>
              </w:rPr>
              <w:t>796</w:t>
            </w:r>
          </w:p>
          <w:p w:rsidR="00DB21D5" w:rsidRPr="00A67C76" w:rsidRDefault="00DB21D5" w:rsidP="00DB21D5">
            <w:pPr>
              <w:spacing w:before="60" w:after="60" w:line="240" w:lineRule="auto"/>
              <w:jc w:val="center"/>
              <w:rPr>
                <w:sz w:val="20"/>
              </w:rPr>
            </w:pPr>
            <w:r w:rsidRPr="00A67C76">
              <w:rPr>
                <w:sz w:val="20"/>
              </w:rPr>
              <w:t>3</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1</w:t>
            </w:r>
          </w:p>
          <w:p w:rsidR="00DB21D5" w:rsidRPr="00A67C76" w:rsidRDefault="00DB21D5" w:rsidP="00DB21D5">
            <w:pPr>
              <w:spacing w:before="60" w:after="60" w:line="240" w:lineRule="auto"/>
              <w:jc w:val="center"/>
              <w:rPr>
                <w:sz w:val="20"/>
              </w:rPr>
            </w:pPr>
            <w:r w:rsidRPr="00A67C76">
              <w:rPr>
                <w:sz w:val="20"/>
              </w:rPr>
              <w:t>73</w:t>
            </w:r>
          </w:p>
          <w:p w:rsidR="00DB21D5" w:rsidRPr="00A67C76" w:rsidRDefault="00DB21D5" w:rsidP="00DB21D5">
            <w:pPr>
              <w:spacing w:before="60" w:after="60" w:line="240" w:lineRule="auto"/>
              <w:jc w:val="center"/>
              <w:rPr>
                <w:sz w:val="20"/>
              </w:rPr>
            </w:pPr>
            <w:r w:rsidRPr="00A67C76">
              <w:rPr>
                <w:sz w:val="20"/>
              </w:rPr>
              <w:t>1</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3</w:t>
            </w:r>
          </w:p>
        </w:tc>
        <w:tc>
          <w:tcPr>
            <w:tcW w:w="709" w:type="dxa"/>
            <w:shd w:val="clear" w:color="auto" w:fill="auto"/>
          </w:tcPr>
          <w:p w:rsidR="00DB21D5" w:rsidRPr="00A67C76" w:rsidRDefault="00DB21D5" w:rsidP="00DB21D5">
            <w:pPr>
              <w:spacing w:before="60" w:after="60" w:line="240" w:lineRule="auto"/>
              <w:jc w:val="center"/>
              <w:rPr>
                <w:sz w:val="20"/>
              </w:rPr>
            </w:pPr>
            <w:r w:rsidRPr="00A67C76">
              <w:rPr>
                <w:sz w:val="20"/>
              </w:rPr>
              <w:t>2</w:t>
            </w:r>
          </w:p>
          <w:p w:rsidR="00DB21D5" w:rsidRPr="00A67C76" w:rsidRDefault="00DB21D5" w:rsidP="00DB21D5">
            <w:pPr>
              <w:spacing w:before="60" w:after="60" w:line="240" w:lineRule="auto"/>
              <w:jc w:val="center"/>
              <w:rPr>
                <w:sz w:val="20"/>
              </w:rPr>
            </w:pPr>
            <w:r w:rsidRPr="00A67C76">
              <w:rPr>
                <w:sz w:val="20"/>
              </w:rPr>
              <w:t>1</w:t>
            </w:r>
          </w:p>
          <w:p w:rsidR="00DB21D5" w:rsidRPr="00A67C76" w:rsidRDefault="00DB21D5" w:rsidP="00DB21D5">
            <w:pPr>
              <w:spacing w:before="60" w:after="60" w:line="240" w:lineRule="auto"/>
              <w:jc w:val="center"/>
              <w:rPr>
                <w:sz w:val="20"/>
              </w:rPr>
            </w:pPr>
            <w:r w:rsidRPr="00A67C76">
              <w:rPr>
                <w:sz w:val="20"/>
              </w:rPr>
              <w:t>67</w:t>
            </w:r>
          </w:p>
          <w:p w:rsidR="00DB21D5" w:rsidRPr="00A67C76" w:rsidRDefault="00DB21D5" w:rsidP="00DB21D5">
            <w:pPr>
              <w:spacing w:before="60" w:after="60" w:line="240" w:lineRule="auto"/>
              <w:jc w:val="center"/>
              <w:rPr>
                <w:sz w:val="20"/>
              </w:rPr>
            </w:pPr>
            <w:r w:rsidRPr="00A67C76">
              <w:rPr>
                <w:sz w:val="20"/>
              </w:rPr>
              <w:t>393</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71</w:t>
            </w:r>
          </w:p>
          <w:p w:rsidR="00DB21D5" w:rsidRPr="00A67C76" w:rsidRDefault="00DB21D5" w:rsidP="00DB21D5">
            <w:pPr>
              <w:spacing w:before="60" w:after="60" w:line="240" w:lineRule="auto"/>
              <w:jc w:val="center"/>
              <w:rPr>
                <w:sz w:val="20"/>
              </w:rPr>
            </w:pPr>
            <w:r w:rsidRPr="00A67C76">
              <w:rPr>
                <w:sz w:val="20"/>
              </w:rPr>
              <w:t>2914</w:t>
            </w:r>
          </w:p>
          <w:p w:rsidR="00DB21D5" w:rsidRPr="00A67C76" w:rsidRDefault="00DB21D5" w:rsidP="00DB21D5">
            <w:pPr>
              <w:spacing w:before="60" w:after="60" w:line="240" w:lineRule="auto"/>
              <w:jc w:val="center"/>
              <w:rPr>
                <w:sz w:val="20"/>
              </w:rPr>
            </w:pPr>
            <w:r w:rsidRPr="00A67C76">
              <w:rPr>
                <w:sz w:val="20"/>
              </w:rPr>
              <w:t>3</w:t>
            </w:r>
          </w:p>
          <w:p w:rsidR="00DB21D5" w:rsidRPr="00A67C76" w:rsidRDefault="00DB21D5" w:rsidP="00DB21D5">
            <w:pPr>
              <w:spacing w:before="60" w:after="60" w:line="240" w:lineRule="auto"/>
              <w:jc w:val="center"/>
              <w:rPr>
                <w:sz w:val="20"/>
              </w:rPr>
            </w:pPr>
            <w:r w:rsidRPr="00A67C76">
              <w:rPr>
                <w:sz w:val="20"/>
              </w:rPr>
              <w:t>10</w:t>
            </w:r>
          </w:p>
          <w:p w:rsidR="00DB21D5" w:rsidRPr="00A67C76" w:rsidRDefault="00DB21D5" w:rsidP="00DB21D5">
            <w:pPr>
              <w:spacing w:before="60" w:after="60" w:line="240" w:lineRule="auto"/>
              <w:jc w:val="center"/>
              <w:rPr>
                <w:sz w:val="20"/>
              </w:rPr>
            </w:pPr>
            <w:r w:rsidRPr="00A67C76">
              <w:rPr>
                <w:sz w:val="20"/>
              </w:rPr>
              <w:t>2</w:t>
            </w:r>
          </w:p>
          <w:p w:rsidR="00DB21D5" w:rsidRPr="00A67C76" w:rsidRDefault="00DB21D5" w:rsidP="00DB21D5">
            <w:pPr>
              <w:spacing w:before="60" w:after="60" w:line="240" w:lineRule="auto"/>
              <w:jc w:val="center"/>
              <w:rPr>
                <w:sz w:val="20"/>
              </w:rPr>
            </w:pPr>
            <w:r w:rsidRPr="00A67C76">
              <w:rPr>
                <w:sz w:val="20"/>
              </w:rPr>
              <w:t>154</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5</w:t>
            </w:r>
          </w:p>
          <w:p w:rsidR="00DB21D5" w:rsidRPr="00A67C76" w:rsidRDefault="00DB21D5" w:rsidP="00DB21D5">
            <w:pPr>
              <w:spacing w:before="60" w:after="60" w:line="240" w:lineRule="auto"/>
              <w:jc w:val="center"/>
              <w:rPr>
                <w:sz w:val="20"/>
              </w:rPr>
            </w:pPr>
            <w:r w:rsidRPr="00A67C76">
              <w:rPr>
                <w:sz w:val="20"/>
              </w:rPr>
              <w:t>15</w:t>
            </w:r>
          </w:p>
        </w:tc>
        <w:tc>
          <w:tcPr>
            <w:tcW w:w="708" w:type="dxa"/>
            <w:shd w:val="clear" w:color="auto" w:fill="auto"/>
          </w:tcPr>
          <w:p w:rsidR="00DB21D5" w:rsidRPr="00A67C76" w:rsidRDefault="00DB21D5" w:rsidP="00DB21D5">
            <w:pPr>
              <w:spacing w:before="60" w:after="60" w:line="240" w:lineRule="auto"/>
              <w:jc w:val="center"/>
              <w:rPr>
                <w:sz w:val="20"/>
              </w:rPr>
            </w:pPr>
            <w:r w:rsidRPr="00A67C76">
              <w:rPr>
                <w:sz w:val="20"/>
              </w:rPr>
              <w:t>17</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133</w:t>
            </w:r>
          </w:p>
          <w:p w:rsidR="00DB21D5" w:rsidRPr="00A67C76" w:rsidRDefault="00DB21D5" w:rsidP="00DB21D5">
            <w:pPr>
              <w:spacing w:before="60" w:after="60" w:line="240" w:lineRule="auto"/>
              <w:jc w:val="center"/>
              <w:rPr>
                <w:sz w:val="20"/>
              </w:rPr>
            </w:pPr>
            <w:r w:rsidRPr="00A67C76">
              <w:rPr>
                <w:sz w:val="20"/>
              </w:rPr>
              <w:t>1218</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171</w:t>
            </w:r>
          </w:p>
          <w:p w:rsidR="00DB21D5" w:rsidRPr="00A67C76" w:rsidRDefault="00DB21D5" w:rsidP="00DB21D5">
            <w:pPr>
              <w:spacing w:before="60" w:after="60" w:line="240" w:lineRule="auto"/>
              <w:jc w:val="center"/>
              <w:rPr>
                <w:sz w:val="20"/>
              </w:rPr>
            </w:pPr>
            <w:r w:rsidRPr="00A67C76">
              <w:rPr>
                <w:sz w:val="20"/>
              </w:rPr>
              <w:t>184</w:t>
            </w:r>
          </w:p>
          <w:p w:rsidR="00DB21D5" w:rsidRPr="00A67C76" w:rsidRDefault="00DB21D5" w:rsidP="00DB21D5">
            <w:pPr>
              <w:spacing w:before="60" w:after="60" w:line="240" w:lineRule="auto"/>
              <w:jc w:val="center"/>
              <w:rPr>
                <w:sz w:val="20"/>
              </w:rPr>
            </w:pPr>
            <w:r w:rsidRPr="00A67C76">
              <w:rPr>
                <w:sz w:val="20"/>
              </w:rPr>
              <w:t>107</w:t>
            </w:r>
          </w:p>
          <w:p w:rsidR="00DB21D5" w:rsidRPr="00A67C76" w:rsidRDefault="00DB21D5" w:rsidP="00DB21D5">
            <w:pPr>
              <w:spacing w:before="60" w:after="60" w:line="240" w:lineRule="auto"/>
              <w:jc w:val="center"/>
              <w:rPr>
                <w:sz w:val="20"/>
              </w:rPr>
            </w:pPr>
            <w:r w:rsidRPr="00A67C76">
              <w:rPr>
                <w:sz w:val="20"/>
              </w:rPr>
              <w:t>2</w:t>
            </w:r>
          </w:p>
          <w:p w:rsidR="00DB21D5" w:rsidRPr="00A67C76" w:rsidRDefault="00DB21D5" w:rsidP="00DB21D5">
            <w:pPr>
              <w:spacing w:before="60" w:after="60" w:line="240" w:lineRule="auto"/>
              <w:jc w:val="center"/>
              <w:rPr>
                <w:sz w:val="20"/>
              </w:rPr>
            </w:pPr>
            <w:r w:rsidRPr="00A67C76">
              <w:rPr>
                <w:sz w:val="20"/>
              </w:rPr>
              <w:t>1</w:t>
            </w:r>
          </w:p>
          <w:p w:rsidR="00DB21D5" w:rsidRPr="00A67C76" w:rsidRDefault="00DB21D5" w:rsidP="00DB21D5">
            <w:pPr>
              <w:spacing w:before="60" w:after="60" w:line="240" w:lineRule="auto"/>
              <w:jc w:val="center"/>
              <w:rPr>
                <w:sz w:val="20"/>
              </w:rPr>
            </w:pPr>
            <w:r w:rsidRPr="00A67C76">
              <w:rPr>
                <w:sz w:val="20"/>
              </w:rPr>
              <w:t>272</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721</w:t>
            </w:r>
          </w:p>
          <w:p w:rsidR="00DB21D5" w:rsidRPr="00A67C76" w:rsidRDefault="00DB21D5" w:rsidP="00DB21D5">
            <w:pPr>
              <w:spacing w:before="60" w:after="60" w:line="240" w:lineRule="auto"/>
              <w:jc w:val="center"/>
              <w:rPr>
                <w:sz w:val="20"/>
              </w:rPr>
            </w:pPr>
            <w:r w:rsidRPr="00A67C76">
              <w:rPr>
                <w:sz w:val="20"/>
              </w:rPr>
              <w:t>10</w:t>
            </w:r>
          </w:p>
        </w:tc>
        <w:tc>
          <w:tcPr>
            <w:tcW w:w="709" w:type="dxa"/>
            <w:shd w:val="clear" w:color="auto" w:fill="auto"/>
          </w:tcPr>
          <w:p w:rsidR="00DB21D5" w:rsidRPr="00A67C76" w:rsidRDefault="00DB21D5" w:rsidP="00DB21D5">
            <w:pPr>
              <w:spacing w:before="60" w:after="60" w:line="240" w:lineRule="auto"/>
              <w:jc w:val="center"/>
              <w:rPr>
                <w:sz w:val="20"/>
              </w:rPr>
            </w:pPr>
            <w:r w:rsidRPr="00A67C76">
              <w:rPr>
                <w:sz w:val="20"/>
              </w:rPr>
              <w:t>24</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163</w:t>
            </w:r>
          </w:p>
          <w:p w:rsidR="00DB21D5" w:rsidRPr="00A67C76" w:rsidRDefault="00DB21D5" w:rsidP="00DB21D5">
            <w:pPr>
              <w:spacing w:before="60" w:after="60" w:line="240" w:lineRule="auto"/>
              <w:jc w:val="center"/>
              <w:rPr>
                <w:sz w:val="20"/>
              </w:rPr>
            </w:pPr>
            <w:r w:rsidRPr="00A67C76">
              <w:rPr>
                <w:sz w:val="20"/>
              </w:rPr>
              <w:t>1302</w:t>
            </w:r>
          </w:p>
          <w:p w:rsidR="00DB21D5" w:rsidRPr="00A67C76" w:rsidRDefault="00DB21D5" w:rsidP="00DB21D5">
            <w:pPr>
              <w:spacing w:before="60" w:after="60" w:line="240" w:lineRule="auto"/>
              <w:jc w:val="center"/>
              <w:rPr>
                <w:sz w:val="20"/>
              </w:rPr>
            </w:pPr>
            <w:r w:rsidRPr="00A67C76">
              <w:rPr>
                <w:sz w:val="20"/>
              </w:rPr>
              <w:t>2</w:t>
            </w:r>
          </w:p>
          <w:p w:rsidR="00DB21D5" w:rsidRPr="00A67C76" w:rsidRDefault="00DB21D5" w:rsidP="00DB21D5">
            <w:pPr>
              <w:spacing w:before="60" w:after="60" w:line="240" w:lineRule="auto"/>
              <w:jc w:val="center"/>
              <w:rPr>
                <w:sz w:val="20"/>
              </w:rPr>
            </w:pPr>
            <w:r w:rsidRPr="00A67C76">
              <w:rPr>
                <w:sz w:val="20"/>
              </w:rPr>
              <w:t>182</w:t>
            </w:r>
          </w:p>
          <w:p w:rsidR="00DB21D5" w:rsidRPr="00A67C76" w:rsidRDefault="00DB21D5" w:rsidP="00DB21D5">
            <w:pPr>
              <w:spacing w:before="60" w:after="60" w:line="240" w:lineRule="auto"/>
              <w:jc w:val="center"/>
              <w:rPr>
                <w:sz w:val="20"/>
              </w:rPr>
            </w:pPr>
            <w:r w:rsidRPr="00A67C76">
              <w:rPr>
                <w:sz w:val="20"/>
              </w:rPr>
              <w:t>389</w:t>
            </w:r>
          </w:p>
          <w:p w:rsidR="00DB21D5" w:rsidRPr="00A67C76" w:rsidRDefault="00DB21D5" w:rsidP="00DB21D5">
            <w:pPr>
              <w:spacing w:before="60" w:after="60" w:line="240" w:lineRule="auto"/>
              <w:jc w:val="center"/>
              <w:rPr>
                <w:sz w:val="20"/>
              </w:rPr>
            </w:pPr>
            <w:r w:rsidRPr="00A67C76">
              <w:rPr>
                <w:sz w:val="20"/>
              </w:rPr>
              <w:t>124</w:t>
            </w:r>
          </w:p>
          <w:p w:rsidR="00DB21D5" w:rsidRPr="00A67C76" w:rsidRDefault="00DB21D5" w:rsidP="00DB21D5">
            <w:pPr>
              <w:spacing w:before="60" w:after="60" w:line="240" w:lineRule="auto"/>
              <w:jc w:val="center"/>
              <w:rPr>
                <w:sz w:val="20"/>
              </w:rPr>
            </w:pPr>
            <w:r w:rsidRPr="00A67C76">
              <w:rPr>
                <w:sz w:val="20"/>
              </w:rPr>
              <w:t>11</w:t>
            </w:r>
          </w:p>
          <w:p w:rsidR="00DB21D5" w:rsidRPr="00A67C76" w:rsidRDefault="00DB21D5" w:rsidP="00DB21D5">
            <w:pPr>
              <w:spacing w:before="60" w:after="60" w:line="240" w:lineRule="auto"/>
              <w:jc w:val="center"/>
              <w:rPr>
                <w:sz w:val="20"/>
              </w:rPr>
            </w:pPr>
            <w:r w:rsidRPr="00A67C76">
              <w:rPr>
                <w:sz w:val="20"/>
              </w:rPr>
              <w:t>1</w:t>
            </w:r>
          </w:p>
          <w:p w:rsidR="00DB21D5" w:rsidRPr="00A67C76" w:rsidRDefault="00DB21D5" w:rsidP="00DB21D5">
            <w:pPr>
              <w:spacing w:before="60" w:after="60" w:line="240" w:lineRule="auto"/>
              <w:jc w:val="center"/>
              <w:rPr>
                <w:sz w:val="20"/>
              </w:rPr>
            </w:pPr>
            <w:r w:rsidRPr="00A67C76">
              <w:rPr>
                <w:sz w:val="20"/>
              </w:rPr>
              <w:t>290</w:t>
            </w:r>
          </w:p>
          <w:p w:rsidR="00DB21D5" w:rsidRPr="00A67C76" w:rsidRDefault="00DB21D5" w:rsidP="00DB21D5">
            <w:pPr>
              <w:spacing w:before="60" w:after="60" w:line="240" w:lineRule="auto"/>
              <w:jc w:val="center"/>
              <w:rPr>
                <w:sz w:val="20"/>
              </w:rPr>
            </w:pPr>
            <w:r w:rsidRPr="00A67C76">
              <w:rPr>
                <w:sz w:val="20"/>
              </w:rPr>
              <w:t>1</w:t>
            </w:r>
          </w:p>
          <w:p w:rsidR="00DB21D5" w:rsidRPr="00A67C76" w:rsidRDefault="00DB21D5" w:rsidP="00DB21D5">
            <w:pPr>
              <w:spacing w:before="60" w:after="60" w:line="240" w:lineRule="auto"/>
              <w:jc w:val="center"/>
              <w:rPr>
                <w:sz w:val="20"/>
              </w:rPr>
            </w:pPr>
            <w:r w:rsidRPr="00A67C76">
              <w:rPr>
                <w:sz w:val="20"/>
              </w:rPr>
              <w:t>360</w:t>
            </w:r>
          </w:p>
          <w:p w:rsidR="00DB21D5" w:rsidRPr="00A67C76" w:rsidRDefault="00DB21D5" w:rsidP="00DB21D5">
            <w:pPr>
              <w:spacing w:before="60" w:after="60" w:line="240" w:lineRule="auto"/>
              <w:jc w:val="center"/>
              <w:rPr>
                <w:sz w:val="20"/>
              </w:rPr>
            </w:pPr>
            <w:r w:rsidRPr="00A67C76">
              <w:rPr>
                <w:sz w:val="20"/>
              </w:rPr>
              <w:t>12</w:t>
            </w:r>
          </w:p>
        </w:tc>
        <w:tc>
          <w:tcPr>
            <w:tcW w:w="709" w:type="dxa"/>
            <w:shd w:val="clear" w:color="auto" w:fill="auto"/>
          </w:tcPr>
          <w:p w:rsidR="00DB21D5" w:rsidRPr="00A67C76" w:rsidRDefault="00DB21D5" w:rsidP="00DB21D5">
            <w:pPr>
              <w:spacing w:before="60" w:after="60" w:line="240" w:lineRule="auto"/>
              <w:jc w:val="center"/>
              <w:rPr>
                <w:sz w:val="20"/>
              </w:rPr>
            </w:pPr>
            <w:r w:rsidRPr="00A67C76">
              <w:rPr>
                <w:sz w:val="20"/>
              </w:rPr>
              <w:t>2</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877</w:t>
            </w:r>
          </w:p>
          <w:p w:rsidR="00DB21D5" w:rsidRPr="00A67C76" w:rsidRDefault="00DB21D5" w:rsidP="00DB21D5">
            <w:pPr>
              <w:spacing w:before="60" w:after="60" w:line="240" w:lineRule="auto"/>
              <w:jc w:val="center"/>
              <w:rPr>
                <w:sz w:val="20"/>
              </w:rPr>
            </w:pPr>
            <w:r w:rsidRPr="00A67C76">
              <w:rPr>
                <w:sz w:val="20"/>
              </w:rPr>
              <w:t>2670</w:t>
            </w:r>
          </w:p>
          <w:p w:rsidR="00DB21D5" w:rsidRPr="00A67C76" w:rsidRDefault="00DB21D5" w:rsidP="00DB21D5">
            <w:pPr>
              <w:spacing w:before="60" w:after="60" w:line="240" w:lineRule="auto"/>
              <w:jc w:val="center"/>
              <w:rPr>
                <w:sz w:val="20"/>
              </w:rPr>
            </w:pPr>
            <w:r w:rsidRPr="00A67C76">
              <w:rPr>
                <w:sz w:val="20"/>
              </w:rPr>
              <w:t>8</w:t>
            </w:r>
          </w:p>
          <w:p w:rsidR="00DB21D5" w:rsidRPr="00A67C76" w:rsidRDefault="00DB21D5" w:rsidP="00DB21D5">
            <w:pPr>
              <w:spacing w:before="60" w:after="60" w:line="240" w:lineRule="auto"/>
              <w:jc w:val="center"/>
              <w:rPr>
                <w:sz w:val="20"/>
              </w:rPr>
            </w:pPr>
            <w:r w:rsidRPr="00A67C76">
              <w:rPr>
                <w:sz w:val="20"/>
              </w:rPr>
              <w:t>287</w:t>
            </w:r>
          </w:p>
          <w:p w:rsidR="00DB21D5" w:rsidRPr="00A67C76" w:rsidRDefault="00DB21D5" w:rsidP="00DB21D5">
            <w:pPr>
              <w:spacing w:before="60" w:after="60" w:line="240" w:lineRule="auto"/>
              <w:jc w:val="center"/>
              <w:rPr>
                <w:sz w:val="20"/>
              </w:rPr>
            </w:pPr>
            <w:r w:rsidRPr="00A67C76">
              <w:rPr>
                <w:sz w:val="20"/>
              </w:rPr>
              <w:t>80</w:t>
            </w:r>
          </w:p>
          <w:p w:rsidR="00DB21D5" w:rsidRPr="00A67C76" w:rsidRDefault="00DB21D5" w:rsidP="00DB21D5">
            <w:pPr>
              <w:spacing w:before="60" w:after="60" w:line="240" w:lineRule="auto"/>
              <w:jc w:val="center"/>
              <w:rPr>
                <w:sz w:val="20"/>
              </w:rPr>
            </w:pPr>
            <w:r w:rsidRPr="00A67C76">
              <w:rPr>
                <w:sz w:val="20"/>
              </w:rPr>
              <w:t>7</w:t>
            </w:r>
          </w:p>
          <w:p w:rsidR="00DB21D5" w:rsidRPr="00A67C76" w:rsidRDefault="00DB21D5" w:rsidP="00DB21D5">
            <w:pPr>
              <w:spacing w:before="60" w:after="60" w:line="240" w:lineRule="auto"/>
              <w:jc w:val="center"/>
              <w:rPr>
                <w:sz w:val="20"/>
              </w:rPr>
            </w:pPr>
            <w:r w:rsidRPr="00A67C76">
              <w:rPr>
                <w:sz w:val="20"/>
              </w:rPr>
              <w:t>4</w:t>
            </w: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47</w:t>
            </w:r>
          </w:p>
          <w:p w:rsidR="00DB21D5" w:rsidRPr="00A67C76" w:rsidRDefault="00DB21D5" w:rsidP="00DB21D5">
            <w:pPr>
              <w:spacing w:before="60" w:after="60" w:line="240" w:lineRule="auto"/>
              <w:jc w:val="center"/>
              <w:rPr>
                <w:sz w:val="20"/>
              </w:rPr>
            </w:pPr>
            <w:r w:rsidRPr="00A67C76">
              <w:rPr>
                <w:sz w:val="20"/>
              </w:rPr>
              <w:t>2</w:t>
            </w:r>
          </w:p>
          <w:p w:rsidR="00DB21D5" w:rsidRPr="00A67C76" w:rsidRDefault="00DB21D5" w:rsidP="00DB21D5">
            <w:pPr>
              <w:spacing w:before="60" w:after="60" w:line="240" w:lineRule="auto"/>
              <w:jc w:val="center"/>
              <w:rPr>
                <w:sz w:val="20"/>
              </w:rPr>
            </w:pPr>
            <w:r w:rsidRPr="00A67C76">
              <w:rPr>
                <w:sz w:val="20"/>
              </w:rPr>
              <w:t>423</w:t>
            </w:r>
          </w:p>
          <w:p w:rsidR="00DB21D5" w:rsidRPr="00A67C76" w:rsidRDefault="00DB21D5" w:rsidP="00DB21D5">
            <w:pPr>
              <w:spacing w:before="60" w:after="60" w:line="240" w:lineRule="auto"/>
              <w:jc w:val="center"/>
              <w:rPr>
                <w:sz w:val="20"/>
              </w:rPr>
            </w:pPr>
            <w:r w:rsidRPr="00A67C76">
              <w:rPr>
                <w:sz w:val="20"/>
              </w:rPr>
              <w:t>1</w:t>
            </w:r>
          </w:p>
        </w:tc>
        <w:tc>
          <w:tcPr>
            <w:tcW w:w="709" w:type="dxa"/>
            <w:shd w:val="clear" w:color="auto" w:fill="auto"/>
          </w:tcPr>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p>
          <w:p w:rsidR="00DB21D5" w:rsidRPr="00A67C76" w:rsidRDefault="00DB21D5" w:rsidP="00DB21D5">
            <w:pPr>
              <w:spacing w:before="60" w:after="60" w:line="240" w:lineRule="auto"/>
              <w:jc w:val="center"/>
              <w:rPr>
                <w:sz w:val="20"/>
              </w:rPr>
            </w:pPr>
            <w:r w:rsidRPr="00A67C76">
              <w:rPr>
                <w:sz w:val="20"/>
              </w:rPr>
              <w:t>91</w:t>
            </w:r>
          </w:p>
          <w:p w:rsidR="00DB21D5" w:rsidRPr="00A67C76" w:rsidRDefault="00DB21D5" w:rsidP="00DB21D5">
            <w:pPr>
              <w:spacing w:before="60" w:after="60" w:line="240" w:lineRule="auto"/>
              <w:jc w:val="center"/>
              <w:rPr>
                <w:sz w:val="20"/>
              </w:rPr>
            </w:pPr>
            <w:r w:rsidRPr="00A67C76">
              <w:rPr>
                <w:sz w:val="20"/>
              </w:rPr>
              <w:t>1965</w:t>
            </w:r>
          </w:p>
          <w:p w:rsidR="00DB21D5" w:rsidRPr="00A67C76" w:rsidRDefault="00DB21D5" w:rsidP="00DB21D5">
            <w:pPr>
              <w:spacing w:before="60" w:after="60" w:line="240" w:lineRule="auto"/>
              <w:jc w:val="center"/>
              <w:rPr>
                <w:sz w:val="20"/>
              </w:rPr>
            </w:pPr>
            <w:r w:rsidRPr="00A67C76">
              <w:rPr>
                <w:sz w:val="20"/>
              </w:rPr>
              <w:t>2</w:t>
            </w:r>
          </w:p>
          <w:p w:rsidR="00DB21D5" w:rsidRPr="00A67C76" w:rsidRDefault="00DB21D5" w:rsidP="00DB21D5">
            <w:pPr>
              <w:spacing w:before="60" w:after="60" w:line="240" w:lineRule="auto"/>
              <w:jc w:val="center"/>
              <w:rPr>
                <w:sz w:val="20"/>
              </w:rPr>
            </w:pPr>
            <w:r w:rsidRPr="00A67C76">
              <w:rPr>
                <w:sz w:val="20"/>
              </w:rPr>
              <w:t>56</w:t>
            </w:r>
          </w:p>
          <w:p w:rsidR="00DB21D5" w:rsidRPr="00A67C76" w:rsidRDefault="00DB21D5" w:rsidP="00DB21D5">
            <w:pPr>
              <w:spacing w:before="60" w:after="60" w:line="240" w:lineRule="auto"/>
              <w:jc w:val="center"/>
              <w:rPr>
                <w:sz w:val="20"/>
              </w:rPr>
            </w:pPr>
            <w:r w:rsidRPr="00A67C76">
              <w:rPr>
                <w:sz w:val="20"/>
              </w:rPr>
              <w:t>79</w:t>
            </w:r>
          </w:p>
          <w:p w:rsidR="00DB21D5" w:rsidRPr="00A67C76" w:rsidRDefault="00DB21D5" w:rsidP="00DB21D5">
            <w:pPr>
              <w:spacing w:before="60" w:after="60" w:line="240" w:lineRule="auto"/>
              <w:jc w:val="center"/>
              <w:rPr>
                <w:sz w:val="20"/>
              </w:rPr>
            </w:pPr>
            <w:r w:rsidRPr="00A67C76">
              <w:rPr>
                <w:sz w:val="20"/>
              </w:rPr>
              <w:t>18</w:t>
            </w:r>
          </w:p>
          <w:p w:rsidR="00DB21D5" w:rsidRPr="00A67C76" w:rsidRDefault="00DB21D5" w:rsidP="00DB21D5">
            <w:pPr>
              <w:spacing w:before="60" w:after="60" w:line="240" w:lineRule="auto"/>
              <w:jc w:val="center"/>
              <w:rPr>
                <w:sz w:val="20"/>
              </w:rPr>
            </w:pPr>
            <w:r w:rsidRPr="00A67C76">
              <w:rPr>
                <w:sz w:val="20"/>
              </w:rPr>
              <w:t>1</w:t>
            </w:r>
          </w:p>
          <w:p w:rsidR="00DB21D5" w:rsidRPr="00A67C76" w:rsidRDefault="00DB21D5" w:rsidP="00DB21D5">
            <w:pPr>
              <w:spacing w:before="60" w:after="60" w:line="240" w:lineRule="auto"/>
              <w:jc w:val="center"/>
              <w:rPr>
                <w:sz w:val="20"/>
              </w:rPr>
            </w:pPr>
            <w:r w:rsidRPr="00A67C76">
              <w:rPr>
                <w:sz w:val="20"/>
              </w:rPr>
              <w:t>1</w:t>
            </w:r>
          </w:p>
          <w:p w:rsidR="00DB21D5" w:rsidRPr="00A67C76" w:rsidRDefault="00DB21D5" w:rsidP="00DB21D5">
            <w:pPr>
              <w:spacing w:before="60" w:after="60" w:line="240" w:lineRule="auto"/>
              <w:jc w:val="center"/>
              <w:rPr>
                <w:sz w:val="20"/>
              </w:rPr>
            </w:pPr>
            <w:r w:rsidRPr="00A67C76">
              <w:rPr>
                <w:sz w:val="20"/>
              </w:rPr>
              <w:t>29</w:t>
            </w:r>
          </w:p>
          <w:p w:rsidR="00DB21D5" w:rsidRPr="00A67C76" w:rsidRDefault="00DB21D5" w:rsidP="00DB21D5">
            <w:pPr>
              <w:spacing w:before="60" w:after="60" w:line="240" w:lineRule="auto"/>
              <w:jc w:val="center"/>
              <w:rPr>
                <w:sz w:val="20"/>
              </w:rPr>
            </w:pPr>
            <w:r w:rsidRPr="00A67C76">
              <w:rPr>
                <w:sz w:val="20"/>
              </w:rPr>
              <w:t>3</w:t>
            </w:r>
          </w:p>
          <w:p w:rsidR="00DB21D5" w:rsidRPr="00A67C76" w:rsidRDefault="00DB21D5" w:rsidP="00DB21D5">
            <w:pPr>
              <w:spacing w:before="60" w:after="60" w:line="240" w:lineRule="auto"/>
              <w:jc w:val="center"/>
              <w:rPr>
                <w:sz w:val="20"/>
              </w:rPr>
            </w:pPr>
            <w:r w:rsidRPr="00A67C76">
              <w:rPr>
                <w:sz w:val="20"/>
              </w:rPr>
              <w:t>541</w:t>
            </w:r>
          </w:p>
          <w:p w:rsidR="00DB21D5" w:rsidRPr="00A67C76" w:rsidRDefault="00DB21D5" w:rsidP="00DB21D5">
            <w:pPr>
              <w:spacing w:before="60" w:after="60" w:line="240" w:lineRule="auto"/>
              <w:jc w:val="center"/>
              <w:rPr>
                <w:sz w:val="20"/>
              </w:rPr>
            </w:pPr>
          </w:p>
        </w:tc>
      </w:tr>
      <w:tr w:rsidR="00DB21D5" w:rsidRPr="00A67C76" w:rsidTr="00DB21D5">
        <w:trPr>
          <w:trHeight w:val="20"/>
        </w:trPr>
        <w:tc>
          <w:tcPr>
            <w:tcW w:w="4538" w:type="dxa"/>
            <w:gridSpan w:val="2"/>
            <w:shd w:val="clear" w:color="auto" w:fill="auto"/>
          </w:tcPr>
          <w:p w:rsidR="00DB21D5" w:rsidRPr="00A67C76" w:rsidRDefault="00DB21D5" w:rsidP="00DB21D5">
            <w:pPr>
              <w:spacing w:before="60" w:after="60" w:line="240" w:lineRule="auto"/>
              <w:jc w:val="right"/>
              <w:rPr>
                <w:b/>
                <w:sz w:val="20"/>
              </w:rPr>
            </w:pPr>
          </w:p>
        </w:tc>
        <w:tc>
          <w:tcPr>
            <w:tcW w:w="2455" w:type="dxa"/>
            <w:gridSpan w:val="2"/>
            <w:tcBorders>
              <w:bottom w:val="single" w:sz="4" w:space="0" w:color="auto"/>
            </w:tcBorders>
            <w:shd w:val="clear" w:color="auto" w:fill="auto"/>
          </w:tcPr>
          <w:p w:rsidR="00DB21D5" w:rsidRPr="00A67C76" w:rsidRDefault="00DB21D5" w:rsidP="00DB21D5">
            <w:pPr>
              <w:spacing w:before="60" w:after="60" w:line="240" w:lineRule="auto"/>
              <w:rPr>
                <w:b/>
                <w:sz w:val="20"/>
              </w:rPr>
            </w:pPr>
            <w:r w:rsidRPr="00A67C76">
              <w:rPr>
                <w:b/>
                <w:sz w:val="20"/>
              </w:rPr>
              <w:t>Total</w:t>
            </w:r>
          </w:p>
          <w:p w:rsidR="00DB21D5" w:rsidRPr="00A67C76" w:rsidRDefault="00DB21D5" w:rsidP="00DB21D5">
            <w:pPr>
              <w:spacing w:before="60" w:after="60" w:line="240" w:lineRule="auto"/>
              <w:rPr>
                <w:b/>
                <w:sz w:val="20"/>
              </w:rPr>
            </w:pPr>
            <w:r w:rsidRPr="00A67C76">
              <w:rPr>
                <w:b/>
                <w:sz w:val="20"/>
              </w:rPr>
              <w:t>No. of species</w:t>
            </w:r>
          </w:p>
          <w:p w:rsidR="00DB21D5" w:rsidRPr="00A67C76" w:rsidRDefault="00DB21D5" w:rsidP="00DB21D5">
            <w:pPr>
              <w:spacing w:before="60" w:after="60" w:line="240" w:lineRule="auto"/>
              <w:rPr>
                <w:b/>
                <w:sz w:val="20"/>
              </w:rPr>
            </w:pPr>
            <w:r w:rsidRPr="00A67C76">
              <w:rPr>
                <w:b/>
                <w:sz w:val="20"/>
              </w:rPr>
              <w:t>No. of native species</w:t>
            </w:r>
          </w:p>
        </w:tc>
        <w:tc>
          <w:tcPr>
            <w:tcW w:w="662" w:type="dxa"/>
            <w:tcBorders>
              <w:bottom w:val="single" w:sz="4" w:space="0" w:color="auto"/>
            </w:tcBorders>
            <w:shd w:val="clear" w:color="auto" w:fill="auto"/>
          </w:tcPr>
          <w:p w:rsidR="00DB21D5" w:rsidRPr="00A67C76" w:rsidRDefault="00DB21D5" w:rsidP="00DB21D5">
            <w:pPr>
              <w:spacing w:before="60" w:after="60" w:line="240" w:lineRule="auto"/>
              <w:jc w:val="center"/>
              <w:rPr>
                <w:sz w:val="20"/>
              </w:rPr>
            </w:pPr>
            <w:r w:rsidRPr="00A67C76">
              <w:rPr>
                <w:sz w:val="20"/>
              </w:rPr>
              <w:t>192</w:t>
            </w:r>
          </w:p>
          <w:p w:rsidR="00DB21D5" w:rsidRPr="00A67C76" w:rsidRDefault="00DB21D5" w:rsidP="00DB21D5">
            <w:pPr>
              <w:spacing w:before="60" w:after="60" w:line="240" w:lineRule="auto"/>
              <w:jc w:val="center"/>
              <w:rPr>
                <w:sz w:val="20"/>
              </w:rPr>
            </w:pPr>
            <w:r w:rsidRPr="00A67C76">
              <w:rPr>
                <w:sz w:val="20"/>
              </w:rPr>
              <w:t>8</w:t>
            </w:r>
          </w:p>
          <w:p w:rsidR="00DB21D5" w:rsidRPr="00A67C76" w:rsidRDefault="00DB21D5" w:rsidP="00DB21D5">
            <w:pPr>
              <w:spacing w:before="60" w:after="60" w:line="240" w:lineRule="auto"/>
              <w:jc w:val="center"/>
              <w:rPr>
                <w:sz w:val="20"/>
              </w:rPr>
            </w:pPr>
            <w:r w:rsidRPr="00A67C76">
              <w:rPr>
                <w:sz w:val="20"/>
              </w:rPr>
              <w:t>6</w:t>
            </w:r>
          </w:p>
        </w:tc>
        <w:tc>
          <w:tcPr>
            <w:tcW w:w="709" w:type="dxa"/>
            <w:tcBorders>
              <w:bottom w:val="single" w:sz="4" w:space="0" w:color="auto"/>
            </w:tcBorders>
            <w:shd w:val="clear" w:color="auto" w:fill="auto"/>
          </w:tcPr>
          <w:p w:rsidR="00DB21D5" w:rsidRPr="00A67C76" w:rsidRDefault="00DB21D5" w:rsidP="00DB21D5">
            <w:pPr>
              <w:spacing w:before="60" w:after="60" w:line="240" w:lineRule="auto"/>
              <w:jc w:val="center"/>
              <w:rPr>
                <w:sz w:val="20"/>
              </w:rPr>
            </w:pPr>
            <w:r w:rsidRPr="00A67C76">
              <w:rPr>
                <w:sz w:val="20"/>
              </w:rPr>
              <w:t>269</w:t>
            </w:r>
          </w:p>
          <w:p w:rsidR="00DB21D5" w:rsidRPr="00A67C76" w:rsidRDefault="00DB21D5" w:rsidP="00DB21D5">
            <w:pPr>
              <w:spacing w:before="60" w:after="60" w:line="240" w:lineRule="auto"/>
              <w:jc w:val="center"/>
              <w:rPr>
                <w:sz w:val="20"/>
              </w:rPr>
            </w:pPr>
            <w:r w:rsidRPr="00A67C76">
              <w:rPr>
                <w:sz w:val="20"/>
              </w:rPr>
              <w:t>8</w:t>
            </w:r>
          </w:p>
          <w:p w:rsidR="00DB21D5" w:rsidRPr="00A67C76" w:rsidRDefault="00DB21D5" w:rsidP="00DB21D5">
            <w:pPr>
              <w:spacing w:before="60" w:after="60" w:line="240" w:lineRule="auto"/>
              <w:jc w:val="center"/>
              <w:rPr>
                <w:sz w:val="20"/>
              </w:rPr>
            </w:pPr>
            <w:r w:rsidRPr="00A67C76">
              <w:rPr>
                <w:sz w:val="20"/>
              </w:rPr>
              <w:t>6</w:t>
            </w:r>
          </w:p>
        </w:tc>
        <w:tc>
          <w:tcPr>
            <w:tcW w:w="709" w:type="dxa"/>
            <w:tcBorders>
              <w:bottom w:val="single" w:sz="4" w:space="0" w:color="auto"/>
            </w:tcBorders>
            <w:shd w:val="clear" w:color="auto" w:fill="auto"/>
          </w:tcPr>
          <w:p w:rsidR="00DB21D5" w:rsidRPr="00A67C76" w:rsidRDefault="00DB21D5" w:rsidP="00DB21D5">
            <w:pPr>
              <w:spacing w:before="60" w:after="60" w:line="240" w:lineRule="auto"/>
              <w:jc w:val="center"/>
              <w:rPr>
                <w:sz w:val="20"/>
              </w:rPr>
            </w:pPr>
            <w:r w:rsidRPr="00A67C76">
              <w:rPr>
                <w:sz w:val="20"/>
              </w:rPr>
              <w:t>787</w:t>
            </w:r>
          </w:p>
          <w:p w:rsidR="00DB21D5" w:rsidRPr="00A67C76" w:rsidRDefault="00DB21D5" w:rsidP="00DB21D5">
            <w:pPr>
              <w:spacing w:before="60" w:after="60" w:line="240" w:lineRule="auto"/>
              <w:jc w:val="center"/>
              <w:rPr>
                <w:sz w:val="20"/>
              </w:rPr>
            </w:pPr>
            <w:r w:rsidRPr="00A67C76">
              <w:rPr>
                <w:sz w:val="20"/>
              </w:rPr>
              <w:t>12</w:t>
            </w:r>
          </w:p>
          <w:p w:rsidR="00DB21D5" w:rsidRPr="00A67C76" w:rsidRDefault="00DB21D5" w:rsidP="00DB21D5">
            <w:pPr>
              <w:spacing w:before="60" w:after="60" w:line="240" w:lineRule="auto"/>
              <w:jc w:val="center"/>
              <w:rPr>
                <w:sz w:val="20"/>
              </w:rPr>
            </w:pPr>
            <w:r w:rsidRPr="00A67C76">
              <w:rPr>
                <w:sz w:val="20"/>
              </w:rPr>
              <w:t>8</w:t>
            </w:r>
          </w:p>
        </w:tc>
        <w:tc>
          <w:tcPr>
            <w:tcW w:w="709" w:type="dxa"/>
            <w:tcBorders>
              <w:bottom w:val="single" w:sz="4" w:space="0" w:color="auto"/>
            </w:tcBorders>
            <w:shd w:val="clear" w:color="auto" w:fill="auto"/>
          </w:tcPr>
          <w:p w:rsidR="00DB21D5" w:rsidRPr="00A67C76" w:rsidRDefault="00DB21D5" w:rsidP="00DB21D5">
            <w:pPr>
              <w:spacing w:before="60" w:after="60" w:line="240" w:lineRule="auto"/>
              <w:jc w:val="center"/>
              <w:rPr>
                <w:sz w:val="20"/>
              </w:rPr>
            </w:pPr>
            <w:r w:rsidRPr="00A67C76">
              <w:rPr>
                <w:sz w:val="20"/>
              </w:rPr>
              <w:t>668</w:t>
            </w:r>
          </w:p>
          <w:p w:rsidR="00DB21D5" w:rsidRPr="00A67C76" w:rsidRDefault="00DB21D5" w:rsidP="00DB21D5">
            <w:pPr>
              <w:spacing w:before="60" w:after="60" w:line="240" w:lineRule="auto"/>
              <w:jc w:val="center"/>
              <w:rPr>
                <w:sz w:val="20"/>
              </w:rPr>
            </w:pPr>
            <w:r w:rsidRPr="00A67C76">
              <w:rPr>
                <w:sz w:val="20"/>
              </w:rPr>
              <w:t>10</w:t>
            </w:r>
          </w:p>
          <w:p w:rsidR="00DB21D5" w:rsidRPr="00A67C76" w:rsidRDefault="00DB21D5" w:rsidP="00DB21D5">
            <w:pPr>
              <w:spacing w:before="60" w:after="60" w:line="240" w:lineRule="auto"/>
              <w:jc w:val="center"/>
              <w:rPr>
                <w:sz w:val="20"/>
              </w:rPr>
            </w:pPr>
            <w:r w:rsidRPr="00A67C76">
              <w:rPr>
                <w:sz w:val="20"/>
              </w:rPr>
              <w:t>7</w:t>
            </w:r>
          </w:p>
        </w:tc>
        <w:tc>
          <w:tcPr>
            <w:tcW w:w="708" w:type="dxa"/>
            <w:tcBorders>
              <w:bottom w:val="single" w:sz="4" w:space="0" w:color="auto"/>
            </w:tcBorders>
            <w:shd w:val="clear" w:color="auto" w:fill="auto"/>
          </w:tcPr>
          <w:p w:rsidR="00DB21D5" w:rsidRPr="00A67C76" w:rsidRDefault="00DB21D5" w:rsidP="00DB21D5">
            <w:pPr>
              <w:spacing w:before="60" w:after="60" w:line="240" w:lineRule="auto"/>
              <w:jc w:val="center"/>
              <w:rPr>
                <w:sz w:val="20"/>
              </w:rPr>
            </w:pPr>
            <w:r w:rsidRPr="00A67C76">
              <w:rPr>
                <w:sz w:val="20"/>
              </w:rPr>
              <w:t>1374</w:t>
            </w:r>
          </w:p>
          <w:p w:rsidR="00DB21D5" w:rsidRPr="00A67C76" w:rsidRDefault="00DB21D5" w:rsidP="00DB21D5">
            <w:pPr>
              <w:spacing w:before="60" w:after="60" w:line="240" w:lineRule="auto"/>
              <w:jc w:val="center"/>
              <w:rPr>
                <w:sz w:val="20"/>
              </w:rPr>
            </w:pPr>
            <w:r w:rsidRPr="00A67C76">
              <w:rPr>
                <w:sz w:val="20"/>
              </w:rPr>
              <w:t>10</w:t>
            </w:r>
          </w:p>
          <w:p w:rsidR="00DB21D5" w:rsidRPr="00A67C76" w:rsidRDefault="00DB21D5" w:rsidP="00DB21D5">
            <w:pPr>
              <w:spacing w:before="60" w:after="60" w:line="240" w:lineRule="auto"/>
              <w:jc w:val="center"/>
              <w:rPr>
                <w:sz w:val="20"/>
              </w:rPr>
            </w:pPr>
            <w:r w:rsidRPr="00A67C76">
              <w:rPr>
                <w:sz w:val="20"/>
              </w:rPr>
              <w:t>7</w:t>
            </w:r>
          </w:p>
        </w:tc>
        <w:tc>
          <w:tcPr>
            <w:tcW w:w="709" w:type="dxa"/>
            <w:tcBorders>
              <w:bottom w:val="single" w:sz="4" w:space="0" w:color="auto"/>
            </w:tcBorders>
            <w:shd w:val="clear" w:color="auto" w:fill="auto"/>
          </w:tcPr>
          <w:p w:rsidR="00DB21D5" w:rsidRPr="00A67C76" w:rsidRDefault="00DB21D5" w:rsidP="00DB21D5">
            <w:pPr>
              <w:spacing w:before="60" w:after="60" w:line="240" w:lineRule="auto"/>
              <w:jc w:val="center"/>
              <w:rPr>
                <w:sz w:val="20"/>
              </w:rPr>
            </w:pPr>
            <w:r w:rsidRPr="00A67C76">
              <w:rPr>
                <w:sz w:val="20"/>
              </w:rPr>
              <w:t>1661</w:t>
            </w:r>
          </w:p>
          <w:p w:rsidR="00DB21D5" w:rsidRPr="00A67C76" w:rsidRDefault="00DB21D5" w:rsidP="00DB21D5">
            <w:pPr>
              <w:spacing w:before="60" w:after="60" w:line="240" w:lineRule="auto"/>
              <w:jc w:val="center"/>
              <w:rPr>
                <w:sz w:val="20"/>
              </w:rPr>
            </w:pPr>
            <w:r w:rsidRPr="00A67C76">
              <w:rPr>
                <w:sz w:val="20"/>
              </w:rPr>
              <w:t>10</w:t>
            </w:r>
          </w:p>
          <w:p w:rsidR="00DB21D5" w:rsidRPr="00A67C76" w:rsidRDefault="00DB21D5" w:rsidP="00DB21D5">
            <w:pPr>
              <w:spacing w:before="60" w:after="60" w:line="240" w:lineRule="auto"/>
              <w:jc w:val="center"/>
              <w:rPr>
                <w:sz w:val="20"/>
              </w:rPr>
            </w:pPr>
            <w:r w:rsidRPr="00A67C76">
              <w:rPr>
                <w:sz w:val="20"/>
              </w:rPr>
              <w:t>7</w:t>
            </w:r>
          </w:p>
        </w:tc>
        <w:tc>
          <w:tcPr>
            <w:tcW w:w="709" w:type="dxa"/>
            <w:tcBorders>
              <w:bottom w:val="single" w:sz="4" w:space="0" w:color="auto"/>
            </w:tcBorders>
            <w:shd w:val="clear" w:color="auto" w:fill="auto"/>
          </w:tcPr>
          <w:p w:rsidR="00DB21D5" w:rsidRPr="00A67C76" w:rsidRDefault="00DB21D5" w:rsidP="00DB21D5">
            <w:pPr>
              <w:spacing w:before="60" w:after="60" w:line="240" w:lineRule="auto"/>
              <w:jc w:val="center"/>
              <w:rPr>
                <w:sz w:val="20"/>
              </w:rPr>
            </w:pPr>
            <w:r w:rsidRPr="00A67C76">
              <w:rPr>
                <w:sz w:val="20"/>
              </w:rPr>
              <w:t>1082</w:t>
            </w:r>
          </w:p>
          <w:p w:rsidR="00DB21D5" w:rsidRPr="00A67C76" w:rsidRDefault="00DB21D5" w:rsidP="00DB21D5">
            <w:pPr>
              <w:spacing w:before="60" w:after="60" w:line="240" w:lineRule="auto"/>
              <w:jc w:val="center"/>
              <w:rPr>
                <w:sz w:val="20"/>
              </w:rPr>
            </w:pPr>
            <w:r w:rsidRPr="00A67C76">
              <w:rPr>
                <w:sz w:val="20"/>
              </w:rPr>
              <w:t>12</w:t>
            </w:r>
          </w:p>
          <w:p w:rsidR="00DB21D5" w:rsidRPr="00A67C76" w:rsidRDefault="00DB21D5" w:rsidP="00DB21D5">
            <w:pPr>
              <w:spacing w:before="60" w:after="60" w:line="240" w:lineRule="auto"/>
              <w:jc w:val="center"/>
              <w:rPr>
                <w:sz w:val="20"/>
              </w:rPr>
            </w:pPr>
            <w:r w:rsidRPr="00A67C76">
              <w:rPr>
                <w:sz w:val="20"/>
              </w:rPr>
              <w:t>9</w:t>
            </w:r>
          </w:p>
        </w:tc>
        <w:tc>
          <w:tcPr>
            <w:tcW w:w="709" w:type="dxa"/>
            <w:tcBorders>
              <w:bottom w:val="single" w:sz="4" w:space="0" w:color="auto"/>
            </w:tcBorders>
            <w:shd w:val="clear" w:color="auto" w:fill="auto"/>
          </w:tcPr>
          <w:p w:rsidR="00DB21D5" w:rsidRPr="00A67C76" w:rsidRDefault="00DB21D5" w:rsidP="00DB21D5">
            <w:pPr>
              <w:spacing w:before="60" w:after="60" w:line="240" w:lineRule="auto"/>
              <w:jc w:val="center"/>
              <w:rPr>
                <w:sz w:val="20"/>
              </w:rPr>
            </w:pPr>
            <w:r w:rsidRPr="00A67C76">
              <w:rPr>
                <w:sz w:val="20"/>
              </w:rPr>
              <w:t>3638</w:t>
            </w:r>
          </w:p>
          <w:p w:rsidR="00DB21D5" w:rsidRPr="00A67C76" w:rsidRDefault="00DB21D5" w:rsidP="00DB21D5">
            <w:pPr>
              <w:spacing w:before="60" w:after="60" w:line="240" w:lineRule="auto"/>
              <w:jc w:val="center"/>
              <w:rPr>
                <w:sz w:val="20"/>
              </w:rPr>
            </w:pPr>
            <w:r w:rsidRPr="00A67C76">
              <w:rPr>
                <w:sz w:val="20"/>
              </w:rPr>
              <w:t>12</w:t>
            </w:r>
          </w:p>
          <w:p w:rsidR="00DB21D5" w:rsidRPr="00A67C76" w:rsidRDefault="00DB21D5" w:rsidP="00DB21D5">
            <w:pPr>
              <w:spacing w:before="60" w:after="60" w:line="240" w:lineRule="auto"/>
              <w:jc w:val="center"/>
              <w:rPr>
                <w:sz w:val="20"/>
              </w:rPr>
            </w:pPr>
            <w:r w:rsidRPr="00A67C76">
              <w:rPr>
                <w:sz w:val="20"/>
              </w:rPr>
              <w:t>9</w:t>
            </w:r>
          </w:p>
        </w:tc>
        <w:tc>
          <w:tcPr>
            <w:tcW w:w="708" w:type="dxa"/>
            <w:tcBorders>
              <w:bottom w:val="single" w:sz="4" w:space="0" w:color="auto"/>
            </w:tcBorders>
            <w:shd w:val="clear" w:color="auto" w:fill="auto"/>
          </w:tcPr>
          <w:p w:rsidR="00DB21D5" w:rsidRPr="00A67C76" w:rsidRDefault="00DB21D5" w:rsidP="00DB21D5">
            <w:pPr>
              <w:spacing w:before="60" w:after="60" w:line="240" w:lineRule="auto"/>
              <w:jc w:val="center"/>
              <w:rPr>
                <w:sz w:val="20"/>
              </w:rPr>
            </w:pPr>
            <w:r w:rsidRPr="00A67C76">
              <w:rPr>
                <w:sz w:val="20"/>
              </w:rPr>
              <w:t>2835</w:t>
            </w:r>
          </w:p>
          <w:p w:rsidR="00DB21D5" w:rsidRPr="00A67C76" w:rsidRDefault="00DB21D5" w:rsidP="00DB21D5">
            <w:pPr>
              <w:spacing w:before="60" w:after="60" w:line="240" w:lineRule="auto"/>
              <w:jc w:val="center"/>
              <w:rPr>
                <w:sz w:val="20"/>
              </w:rPr>
            </w:pPr>
            <w:r w:rsidRPr="00A67C76">
              <w:rPr>
                <w:sz w:val="20"/>
              </w:rPr>
              <w:t>11</w:t>
            </w:r>
          </w:p>
          <w:p w:rsidR="00DB21D5" w:rsidRPr="00A67C76" w:rsidRDefault="00DB21D5" w:rsidP="00DB21D5">
            <w:pPr>
              <w:spacing w:before="60" w:after="60" w:line="240" w:lineRule="auto"/>
              <w:jc w:val="center"/>
              <w:rPr>
                <w:sz w:val="20"/>
              </w:rPr>
            </w:pPr>
            <w:r w:rsidRPr="00A67C76">
              <w:rPr>
                <w:sz w:val="20"/>
              </w:rPr>
              <w:t>8</w:t>
            </w:r>
          </w:p>
        </w:tc>
        <w:tc>
          <w:tcPr>
            <w:tcW w:w="709" w:type="dxa"/>
            <w:tcBorders>
              <w:bottom w:val="single" w:sz="4" w:space="0" w:color="auto"/>
            </w:tcBorders>
            <w:shd w:val="clear" w:color="auto" w:fill="auto"/>
          </w:tcPr>
          <w:p w:rsidR="00DB21D5" w:rsidRPr="00A67C76" w:rsidRDefault="00DB21D5" w:rsidP="00DB21D5">
            <w:pPr>
              <w:spacing w:before="60" w:after="60" w:line="240" w:lineRule="auto"/>
              <w:jc w:val="center"/>
              <w:rPr>
                <w:sz w:val="20"/>
              </w:rPr>
            </w:pPr>
            <w:r w:rsidRPr="00A67C76">
              <w:rPr>
                <w:sz w:val="20"/>
              </w:rPr>
              <w:t>2863</w:t>
            </w:r>
          </w:p>
          <w:p w:rsidR="00DB21D5" w:rsidRPr="00A67C76" w:rsidRDefault="00DB21D5" w:rsidP="00DB21D5">
            <w:pPr>
              <w:spacing w:before="60" w:after="60" w:line="240" w:lineRule="auto"/>
              <w:jc w:val="center"/>
              <w:rPr>
                <w:sz w:val="20"/>
              </w:rPr>
            </w:pPr>
            <w:r w:rsidRPr="00A67C76">
              <w:rPr>
                <w:sz w:val="20"/>
              </w:rPr>
              <w:t>13</w:t>
            </w:r>
          </w:p>
          <w:p w:rsidR="00DB21D5" w:rsidRPr="00A67C76" w:rsidRDefault="00DB21D5" w:rsidP="00DB21D5">
            <w:pPr>
              <w:spacing w:before="60" w:after="60" w:line="240" w:lineRule="auto"/>
              <w:jc w:val="center"/>
              <w:rPr>
                <w:sz w:val="20"/>
              </w:rPr>
            </w:pPr>
            <w:r w:rsidRPr="00A67C76">
              <w:rPr>
                <w:sz w:val="20"/>
              </w:rPr>
              <w:t>9</w:t>
            </w:r>
          </w:p>
        </w:tc>
        <w:tc>
          <w:tcPr>
            <w:tcW w:w="709" w:type="dxa"/>
            <w:tcBorders>
              <w:bottom w:val="single" w:sz="4" w:space="0" w:color="auto"/>
            </w:tcBorders>
            <w:shd w:val="clear" w:color="auto" w:fill="auto"/>
          </w:tcPr>
          <w:p w:rsidR="00DB21D5" w:rsidRPr="00A67C76" w:rsidRDefault="00DB21D5" w:rsidP="00DB21D5">
            <w:pPr>
              <w:spacing w:before="60" w:after="60" w:line="240" w:lineRule="auto"/>
              <w:jc w:val="center"/>
              <w:rPr>
                <w:sz w:val="20"/>
              </w:rPr>
            </w:pPr>
            <w:r w:rsidRPr="00A67C76">
              <w:rPr>
                <w:sz w:val="20"/>
              </w:rPr>
              <w:t>4409</w:t>
            </w:r>
          </w:p>
          <w:p w:rsidR="00DB21D5" w:rsidRPr="00A67C76" w:rsidRDefault="00DB21D5" w:rsidP="00DB21D5">
            <w:pPr>
              <w:spacing w:before="60" w:after="60" w:line="240" w:lineRule="auto"/>
              <w:jc w:val="center"/>
              <w:rPr>
                <w:sz w:val="20"/>
              </w:rPr>
            </w:pPr>
            <w:r w:rsidRPr="00A67C76">
              <w:rPr>
                <w:sz w:val="20"/>
              </w:rPr>
              <w:t>12</w:t>
            </w:r>
          </w:p>
          <w:p w:rsidR="00DB21D5" w:rsidRPr="00A67C76" w:rsidRDefault="00DB21D5" w:rsidP="00DB21D5">
            <w:pPr>
              <w:spacing w:before="60" w:after="60" w:line="240" w:lineRule="auto"/>
              <w:jc w:val="center"/>
              <w:rPr>
                <w:sz w:val="20"/>
              </w:rPr>
            </w:pPr>
            <w:r w:rsidRPr="00A67C76">
              <w:rPr>
                <w:sz w:val="20"/>
              </w:rPr>
              <w:t>8</w:t>
            </w:r>
          </w:p>
        </w:tc>
        <w:tc>
          <w:tcPr>
            <w:tcW w:w="709" w:type="dxa"/>
            <w:tcBorders>
              <w:bottom w:val="single" w:sz="4" w:space="0" w:color="auto"/>
            </w:tcBorders>
            <w:shd w:val="clear" w:color="auto" w:fill="auto"/>
          </w:tcPr>
          <w:p w:rsidR="00DB21D5" w:rsidRPr="00A67C76" w:rsidRDefault="00DB21D5" w:rsidP="00DB21D5">
            <w:pPr>
              <w:spacing w:before="60" w:after="60" w:line="240" w:lineRule="auto"/>
              <w:jc w:val="center"/>
              <w:rPr>
                <w:sz w:val="20"/>
              </w:rPr>
            </w:pPr>
            <w:r w:rsidRPr="00A67C76">
              <w:rPr>
                <w:sz w:val="20"/>
              </w:rPr>
              <w:t>2786</w:t>
            </w:r>
          </w:p>
          <w:p w:rsidR="00DB21D5" w:rsidRPr="00A67C76" w:rsidRDefault="00DB21D5" w:rsidP="00DB21D5">
            <w:pPr>
              <w:spacing w:before="60" w:after="60" w:line="240" w:lineRule="auto"/>
              <w:jc w:val="center"/>
              <w:rPr>
                <w:sz w:val="20"/>
              </w:rPr>
            </w:pPr>
            <w:r w:rsidRPr="00A67C76">
              <w:rPr>
                <w:sz w:val="20"/>
              </w:rPr>
              <w:t>11</w:t>
            </w:r>
          </w:p>
          <w:p w:rsidR="00DB21D5" w:rsidRPr="00A67C76" w:rsidRDefault="00DB21D5" w:rsidP="00DB21D5">
            <w:pPr>
              <w:spacing w:before="60" w:after="60" w:line="240" w:lineRule="auto"/>
              <w:jc w:val="center"/>
              <w:rPr>
                <w:sz w:val="20"/>
              </w:rPr>
            </w:pPr>
            <w:r w:rsidRPr="00A67C76">
              <w:rPr>
                <w:sz w:val="20"/>
              </w:rPr>
              <w:t>8</w:t>
            </w:r>
          </w:p>
        </w:tc>
      </w:tr>
    </w:tbl>
    <w:p w:rsidR="00DB21D5" w:rsidRPr="00A67C76" w:rsidRDefault="00DB21D5" w:rsidP="00F914C8">
      <w:pPr>
        <w:pStyle w:val="Captions"/>
      </w:pPr>
    </w:p>
    <w:p w:rsidR="00DB21D5" w:rsidRPr="00A67C76" w:rsidRDefault="00DB21D5" w:rsidP="00DB21D5">
      <w:pPr>
        <w:sectPr w:rsidR="00DB21D5" w:rsidRPr="00A67C76" w:rsidSect="00EA303E">
          <w:footerReference w:type="default" r:id="rId73"/>
          <w:pgSz w:w="16838" w:h="11906" w:orient="landscape" w:code="9"/>
          <w:pgMar w:top="1797" w:right="1440" w:bottom="1797" w:left="1077" w:header="709" w:footer="709" w:gutter="0"/>
          <w:cols w:space="708"/>
          <w:docGrid w:linePitch="360"/>
        </w:sectPr>
      </w:pPr>
    </w:p>
    <w:p w:rsidR="00DB21D5" w:rsidRPr="00A67C76" w:rsidRDefault="00CE32F6" w:rsidP="001D2521">
      <w:r w:rsidRPr="00CE32F6">
        <w:t xml:space="preserve">As was the case for Overland Corner, of the key species detected moving into and out of Kroehns wetland, bony herring and common carp were the only two species which showed differences in size distributions relative to the direction of movement (Appendix VI). </w:t>
      </w:r>
      <w:r w:rsidR="00DB21D5" w:rsidRPr="00A67C76">
        <w:t xml:space="preserve">However, in contrast to Overland Corner, individuals of both species leaving the wetland were on average significantly larger than those attempting to enter the wetland. No differences in size distribution related to the direction of movement were detected for golden perch, carp gudgeon, unspecked hardyhead, Australian smelt or flat-headed gudgeon. </w:t>
      </w:r>
    </w:p>
    <w:p w:rsidR="00DB21D5" w:rsidRPr="00A67C76" w:rsidRDefault="00DB21D5" w:rsidP="0089330F">
      <w:pPr>
        <w:rPr>
          <w:b/>
        </w:rPr>
      </w:pPr>
      <w:r w:rsidRPr="00A67C76">
        <w:rPr>
          <w:b/>
        </w:rPr>
        <w:t xml:space="preserve">Linking environmental variables to lateral fish movement </w:t>
      </w:r>
    </w:p>
    <w:p w:rsidR="00DB21D5" w:rsidRPr="00A67C76" w:rsidRDefault="005A4666" w:rsidP="0089330F">
      <w:pPr>
        <w:rPr>
          <w:i/>
        </w:rPr>
      </w:pPr>
      <w:r w:rsidRPr="00A67C76">
        <w:rPr>
          <w:i/>
        </w:rPr>
        <w:t>Overland Corner (Floodplain region)</w:t>
      </w:r>
    </w:p>
    <w:p w:rsidR="00DB21D5" w:rsidRPr="000F6315" w:rsidRDefault="00CE32F6" w:rsidP="00584408">
      <w:pPr>
        <w:rPr>
          <w:b/>
          <w:bCs/>
          <w:color w:val="auto"/>
          <w:sz w:val="20"/>
          <w:szCs w:val="18"/>
        </w:rPr>
      </w:pPr>
      <w:r w:rsidRPr="00CE32F6">
        <w:t xml:space="preserve">Flow discharge was the best predictor of fish assemblage structure moving between the river and wetland and explained 44.9% of the variation throughout the six flow phases (Appendix VII). </w:t>
      </w:r>
      <w:r w:rsidR="00DB21D5" w:rsidRPr="00A67C76">
        <w:t>Conductivity, pH, dissolved oxygen and water temperature were also identified as significant predictor variables and explained an additional 14.9%. As such, 59.9% of the variation in fish assemblage structure was explained by these five environmental predictor variables (</w:t>
      </w:r>
      <w:r w:rsidR="00584408">
        <w:t>Appendix VII</w:t>
      </w:r>
      <w:r w:rsidR="00DB21D5" w:rsidRPr="00A67C76">
        <w:t>).  The horizontal distribution of samples from the High flow phase and all other flow phases was well explained by the strong negative correlation with flow discharge and the positive correlation with dissolved oxygen and to a lesser extent conductivity and temperature (</w:t>
      </w:r>
      <w:r w:rsidR="002E6077" w:rsidRPr="00A67C76">
        <w:fldChar w:fldCharType="begin"/>
      </w:r>
      <w:r w:rsidR="00DB21D5" w:rsidRPr="00A67C76">
        <w:instrText xml:space="preserve"> REF _Ref381781164 \h </w:instrText>
      </w:r>
      <w:r w:rsidR="002E6077" w:rsidRPr="00A67C76">
        <w:fldChar w:fldCharType="separate"/>
      </w:r>
      <w:r w:rsidR="009659F2" w:rsidRPr="00A67C76">
        <w:t xml:space="preserve">Figure </w:t>
      </w:r>
      <w:r w:rsidR="009659F2">
        <w:rPr>
          <w:noProof/>
        </w:rPr>
        <w:t>29</w:t>
      </w:r>
      <w:r w:rsidR="002E6077" w:rsidRPr="00A67C76">
        <w:fldChar w:fldCharType="end"/>
      </w:r>
      <w:r w:rsidR="00DB21D5" w:rsidRPr="00A67C76">
        <w:t>). The vertical distribution of samples from all flow phases was primarily driven by a relatively weak positive correlation with pH and an even weaker negative correlation with conductivity and temperature (</w:t>
      </w:r>
      <w:r w:rsidR="002E6077" w:rsidRPr="00A67C76">
        <w:fldChar w:fldCharType="begin"/>
      </w:r>
      <w:r w:rsidR="00DB21D5" w:rsidRPr="00A67C76">
        <w:instrText xml:space="preserve"> REF _Ref381781164 \h </w:instrText>
      </w:r>
      <w:r w:rsidR="002E6077" w:rsidRPr="00A67C76">
        <w:fldChar w:fldCharType="separate"/>
      </w:r>
      <w:r w:rsidR="009659F2" w:rsidRPr="00A67C76">
        <w:t xml:space="preserve">Figure </w:t>
      </w:r>
      <w:r w:rsidR="009659F2">
        <w:rPr>
          <w:noProof/>
        </w:rPr>
        <w:t>29</w:t>
      </w:r>
      <w:r w:rsidR="002E6077" w:rsidRPr="00A67C76">
        <w:fldChar w:fldCharType="end"/>
      </w:r>
      <w:r w:rsidR="00DB21D5" w:rsidRPr="00A67C76">
        <w:t>).</w:t>
      </w:r>
    </w:p>
    <w:p w:rsidR="00DB21D5" w:rsidRPr="00A67C76" w:rsidRDefault="00DB21D5" w:rsidP="0089330F">
      <w:pPr>
        <w:rPr>
          <w:i/>
        </w:rPr>
      </w:pPr>
      <w:r w:rsidRPr="00A67C76">
        <w:rPr>
          <w:i/>
        </w:rPr>
        <w:t>Kroehns</w:t>
      </w:r>
      <w:r w:rsidR="005A4666" w:rsidRPr="00A67C76">
        <w:rPr>
          <w:i/>
        </w:rPr>
        <w:t xml:space="preserve"> (Gorge region)</w:t>
      </w:r>
    </w:p>
    <w:p w:rsidR="00DB21D5" w:rsidRPr="00A67C76" w:rsidRDefault="00DB21D5" w:rsidP="00DB21D5">
      <w:r w:rsidRPr="00A67C76">
        <w:t xml:space="preserve">For Kroehns wetland, relative water level was the best predictor of fish assemblage structure, which explained 48% of the variation throughout the six flow phases. </w:t>
      </w:r>
      <w:r w:rsidR="00CE32F6" w:rsidRPr="00CE32F6">
        <w:t>Conductivity, pH, dissolved oxygen and temperature were also identified as significant factors, improving the proportion of the va</w:t>
      </w:r>
      <w:r w:rsidR="00CE32F6">
        <w:t>riation to 68.8% (Appendix VII</w:t>
      </w:r>
      <w:r w:rsidR="00CE32F6" w:rsidRPr="00CE32F6">
        <w:t xml:space="preserve">). </w:t>
      </w:r>
      <w:r w:rsidRPr="00A67C76">
        <w:t>The horizontal distribution of samples from the High flow phase, to the Receding flow phase and again to the all other phases was best explained by the negative correlation with relative water level and the positive correlation with conductivity (</w:t>
      </w:r>
      <w:r w:rsidR="002E6077" w:rsidRPr="00A67C76">
        <w:fldChar w:fldCharType="begin"/>
      </w:r>
      <w:r w:rsidRPr="00A67C76">
        <w:instrText xml:space="preserve"> REF _Ref381781231 \h </w:instrText>
      </w:r>
      <w:r w:rsidR="002E6077" w:rsidRPr="00A67C76">
        <w:fldChar w:fldCharType="separate"/>
      </w:r>
      <w:r w:rsidR="009659F2" w:rsidRPr="00A67C76">
        <w:t xml:space="preserve">Figure </w:t>
      </w:r>
      <w:r w:rsidR="009659F2">
        <w:rPr>
          <w:noProof/>
        </w:rPr>
        <w:t>30</w:t>
      </w:r>
      <w:r w:rsidR="002E6077" w:rsidRPr="00A67C76">
        <w:fldChar w:fldCharType="end"/>
      </w:r>
      <w:r w:rsidRPr="00A67C76">
        <w:t xml:space="preserve">). Seasonal temperature shifts were also positively correlated with the horizontal distribution of samples. While the vertical distribution of samples was less, separation of samples from Rising </w:t>
      </w:r>
      <w:r w:rsidRPr="00A67C76">
        <w:rPr>
          <w:noProof/>
        </w:rPr>
        <w:t>(EW</w:t>
      </w:r>
      <w:proofErr w:type="gramStart"/>
      <w:r w:rsidRPr="00A67C76">
        <w:rPr>
          <w:noProof/>
        </w:rPr>
        <w:t>)</w:t>
      </w:r>
      <w:r w:rsidRPr="00A67C76">
        <w:t>and</w:t>
      </w:r>
      <w:proofErr w:type="gramEnd"/>
      <w:r w:rsidRPr="00A67C76">
        <w:t xml:space="preserve"> High </w:t>
      </w:r>
      <w:r w:rsidRPr="00A67C76">
        <w:rPr>
          <w:noProof/>
        </w:rPr>
        <w:t>(EW)</w:t>
      </w:r>
      <w:r w:rsidRPr="00A67C76">
        <w:t xml:space="preserve"> flow phases from all other flow phases was well explained by the negative correlation with dissolved oxygen and temperature and weak positive correlation with pH (</w:t>
      </w:r>
      <w:r w:rsidR="002E6077" w:rsidRPr="00A67C76">
        <w:fldChar w:fldCharType="begin"/>
      </w:r>
      <w:r w:rsidRPr="00A67C76">
        <w:instrText xml:space="preserve"> REF _Ref381781231 \h </w:instrText>
      </w:r>
      <w:r w:rsidR="002E6077" w:rsidRPr="00A67C76">
        <w:fldChar w:fldCharType="separate"/>
      </w:r>
      <w:r w:rsidR="009659F2" w:rsidRPr="00A67C76">
        <w:t xml:space="preserve">Figure </w:t>
      </w:r>
      <w:r w:rsidR="009659F2">
        <w:rPr>
          <w:noProof/>
        </w:rPr>
        <w:t>30</w:t>
      </w:r>
      <w:r w:rsidR="002E6077" w:rsidRPr="00A67C76">
        <w:fldChar w:fldCharType="end"/>
      </w:r>
      <w:r w:rsidRPr="00A67C76">
        <w:t>).</w:t>
      </w:r>
    </w:p>
    <w:p w:rsidR="00DB21D5" w:rsidRPr="00A67C76" w:rsidRDefault="0022032A" w:rsidP="0022032A">
      <w:pPr>
        <w:jc w:val="center"/>
      </w:pPr>
      <w:r w:rsidRPr="0022032A">
        <w:rPr>
          <w:noProof/>
          <w:lang w:eastAsia="en-AU"/>
        </w:rPr>
        <w:drawing>
          <wp:inline distT="0" distB="0" distL="0" distR="0">
            <wp:extent cx="4896663" cy="3600000"/>
            <wp:effectExtent l="0" t="0" r="0" b="63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90" b="1984"/>
                    <a:stretch/>
                  </pic:blipFill>
                  <pic:spPr bwMode="auto">
                    <a:xfrm>
                      <a:off x="0" y="0"/>
                      <a:ext cx="4896663" cy="360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B21D5" w:rsidRPr="00A67C76" w:rsidRDefault="00DB21D5" w:rsidP="00DB21D5">
      <w:pPr>
        <w:pStyle w:val="Caption"/>
      </w:pPr>
      <w:bookmarkStart w:id="146" w:name="_Ref381781164"/>
      <w:bookmarkStart w:id="147" w:name="_Toc387843080"/>
      <w:proofErr w:type="gramStart"/>
      <w:r w:rsidRPr="00A67C76">
        <w:t xml:space="preserve">Figure </w:t>
      </w:r>
      <w:proofErr w:type="gramEnd"/>
      <w:r w:rsidR="002E6077" w:rsidRPr="00A67C76">
        <w:fldChar w:fldCharType="begin"/>
      </w:r>
      <w:r w:rsidR="00110CB9" w:rsidRPr="00A67C76">
        <w:instrText xml:space="preserve"> SEQ Figure \* ARABIC </w:instrText>
      </w:r>
      <w:r w:rsidR="002E6077" w:rsidRPr="00A67C76">
        <w:fldChar w:fldCharType="separate"/>
      </w:r>
      <w:r w:rsidR="009659F2">
        <w:rPr>
          <w:noProof/>
        </w:rPr>
        <w:t>29</w:t>
      </w:r>
      <w:r w:rsidR="002E6077" w:rsidRPr="00A67C76">
        <w:rPr>
          <w:noProof/>
        </w:rPr>
        <w:fldChar w:fldCharType="end"/>
      </w:r>
      <w:bookmarkEnd w:id="146"/>
      <w:proofErr w:type="gramStart"/>
      <w:r w:rsidRPr="00A67C76">
        <w:t>.</w:t>
      </w:r>
      <w:proofErr w:type="gramEnd"/>
      <w:r w:rsidRPr="00A67C76">
        <w:t xml:space="preserve"> dbRDA ordination of the fitted model of fish assemblages moving ‘IN’ (open symbols) and ‘OUT’ (closed symbols) of the wetland at Overland Corner versus the environmental predictor variables during six flow phases in the Lower Murray River in </w:t>
      </w:r>
      <w:r w:rsidR="00333041" w:rsidRPr="00A67C76">
        <w:t>2012</w:t>
      </w:r>
      <w:r w:rsidR="00FD328A" w:rsidRPr="00FD328A">
        <w:t>-13</w:t>
      </w:r>
      <w:r w:rsidRPr="00A67C76">
        <w:t xml:space="preserve"> (Low flow phase: X = IN; + = OUT).</w:t>
      </w:r>
      <w:bookmarkEnd w:id="147"/>
      <w:r w:rsidR="009731C5">
        <w:t xml:space="preserve"> </w:t>
      </w:r>
      <w:r w:rsidR="009731C5" w:rsidRPr="009731C5">
        <w:t>EW: environmental water event</w:t>
      </w:r>
    </w:p>
    <w:p w:rsidR="00DB21D5" w:rsidRPr="00A67C76" w:rsidRDefault="0022032A" w:rsidP="0022032A">
      <w:pPr>
        <w:jc w:val="center"/>
      </w:pPr>
      <w:r w:rsidRPr="0022032A">
        <w:rPr>
          <w:noProof/>
          <w:lang w:eastAsia="en-AU"/>
        </w:rPr>
        <w:drawing>
          <wp:inline distT="0" distB="0" distL="0" distR="0">
            <wp:extent cx="5166000" cy="37800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03" r="1205" b="2607"/>
                    <a:stretch/>
                  </pic:blipFill>
                  <pic:spPr bwMode="auto">
                    <a:xfrm>
                      <a:off x="0" y="0"/>
                      <a:ext cx="5166000" cy="378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B21D5" w:rsidRPr="00A67C76" w:rsidRDefault="00DB21D5" w:rsidP="00F914C8">
      <w:pPr>
        <w:pStyle w:val="Captions"/>
      </w:pPr>
      <w:bookmarkStart w:id="148" w:name="_Ref381781231"/>
      <w:bookmarkStart w:id="149" w:name="_Toc387843081"/>
      <w:proofErr w:type="gramStart"/>
      <w:r w:rsidRPr="00A67C76">
        <w:t xml:space="preserve">Figure </w:t>
      </w:r>
      <w:proofErr w:type="gramEnd"/>
      <w:r w:rsidR="002E6077" w:rsidRPr="00A67C76">
        <w:fldChar w:fldCharType="begin"/>
      </w:r>
      <w:r w:rsidR="006B4D99" w:rsidRPr="00A67C76">
        <w:instrText xml:space="preserve"> SEQ Figure \* ARABIC </w:instrText>
      </w:r>
      <w:r w:rsidR="002E6077" w:rsidRPr="00A67C76">
        <w:fldChar w:fldCharType="separate"/>
      </w:r>
      <w:r w:rsidR="009659F2">
        <w:rPr>
          <w:noProof/>
        </w:rPr>
        <w:t>30</w:t>
      </w:r>
      <w:r w:rsidR="002E6077" w:rsidRPr="00A67C76">
        <w:rPr>
          <w:noProof/>
        </w:rPr>
        <w:fldChar w:fldCharType="end"/>
      </w:r>
      <w:bookmarkEnd w:id="148"/>
      <w:proofErr w:type="gramStart"/>
      <w:r w:rsidRPr="00A67C76">
        <w:t>.</w:t>
      </w:r>
      <w:proofErr w:type="gramEnd"/>
      <w:r w:rsidRPr="00A67C76">
        <w:t xml:space="preserve"> dbRDA ordination of the fitted model of fish assemblages moving ‘IN’ (open symbols) and ‘OUT’ (closed symbols) of the wetland at Kroehns versus the environmental predictor variables during six flow phases in the Lower Murray River in </w:t>
      </w:r>
      <w:r w:rsidR="00333041" w:rsidRPr="00A67C76">
        <w:t>2012</w:t>
      </w:r>
      <w:r w:rsidR="00FD328A" w:rsidRPr="00FD328A">
        <w:t>-13</w:t>
      </w:r>
      <w:r w:rsidRPr="00A67C76">
        <w:t xml:space="preserve"> (Low flow phase: X = IN; + = OUT).</w:t>
      </w:r>
      <w:bookmarkEnd w:id="149"/>
      <w:r w:rsidR="009731C5">
        <w:t xml:space="preserve"> </w:t>
      </w:r>
      <w:r w:rsidR="009731C5" w:rsidRPr="009731C5">
        <w:t>EW: environmental water event</w:t>
      </w:r>
      <w:r w:rsidR="009731C5">
        <w:t>.</w:t>
      </w:r>
    </w:p>
    <w:p w:rsidR="00DB21D5" w:rsidRPr="00A67C76" w:rsidRDefault="00DB21D5" w:rsidP="0089330F">
      <w:pPr>
        <w:rPr>
          <w:b/>
        </w:rPr>
      </w:pPr>
      <w:r w:rsidRPr="00A67C76">
        <w:rPr>
          <w:b/>
        </w:rPr>
        <w:t>Temporal variation in spawning and recruitment of common carp</w:t>
      </w:r>
    </w:p>
    <w:p w:rsidR="00DB21D5" w:rsidRPr="00A67C76" w:rsidRDefault="00DB21D5" w:rsidP="00DB21D5">
      <w:r w:rsidRPr="00A67C76">
        <w:t>Macroscopic staging of the ovaries of common carp was carried out to examine the reproducti</w:t>
      </w:r>
      <w:r w:rsidR="009731C5">
        <w:t>ve</w:t>
      </w:r>
      <w:r w:rsidRPr="00A67C76">
        <w:t xml:space="preserve"> development of individuals moving in and out wetlands. In the Floodplain and Gorge regions, ovaries of most females were classified as either Stage 3 (developed/ripe) or Stage 5 (spent/regressing). No spawning (Stage 4) fish were collected during the study period.  The relatively high proportion of Stage 5 fish in both regions suggests that most females had spawned prior to the delivery of environmental water in December. </w:t>
      </w:r>
    </w:p>
    <w:p w:rsidR="00DB21D5" w:rsidRPr="00A67C76" w:rsidRDefault="00DB21D5" w:rsidP="00DB21D5">
      <w:r w:rsidRPr="00A67C76">
        <w:t xml:space="preserve">Microscopic analysis of the ovaries of common carp was done to provide a more accurate indication of when spawning occurred for common carp. No evidence of recent or imminent spawning, i.e. hydrated oocytes or post-ovulatory follicles, was detected in the ovaries of any fish. These results, along with those from macroscopic staging of ovaries, suggest that main spawning period for common carp in 2012 occurred prior to commencement of this study, i.e. before mid-October.  Furthermore, these methods provide no evidence to suggest that the delivery of the CEW flow pulse enhanced reproductive development or spawning activity for this species in the Lower Murray River in </w:t>
      </w:r>
      <w:r w:rsidR="00333041" w:rsidRPr="00A67C76">
        <w:t>2012</w:t>
      </w:r>
      <w:r w:rsidR="00FD328A" w:rsidRPr="00FD328A">
        <w:t>-13</w:t>
      </w:r>
      <w:r w:rsidRPr="00A67C76">
        <w:t>.</w:t>
      </w:r>
    </w:p>
    <w:p w:rsidR="00DB21D5" w:rsidRPr="00A67C76" w:rsidRDefault="00DB21D5" w:rsidP="008F0A76">
      <w:pPr>
        <w:rPr>
          <w:b/>
        </w:rPr>
      </w:pPr>
      <w:r w:rsidRPr="00A67C76">
        <w:rPr>
          <w:b/>
        </w:rPr>
        <w:t>Recruitment and abundance of juveniles</w:t>
      </w:r>
    </w:p>
    <w:p w:rsidR="00DB21D5" w:rsidRPr="00A67C76" w:rsidRDefault="00DB21D5" w:rsidP="00DB21D5">
      <w:r w:rsidRPr="00A67C76">
        <w:t xml:space="preserve">Size frequency distributions for juvenile common carp sampled in the Floodplain and Gorge regions of the Lower Murray River in </w:t>
      </w:r>
      <w:r w:rsidR="00333041" w:rsidRPr="00A67C76">
        <w:t>2012</w:t>
      </w:r>
      <w:r w:rsidR="00FD328A" w:rsidRPr="00FD328A">
        <w:t>-13</w:t>
      </w:r>
      <w:r w:rsidRPr="00A67C76">
        <w:t xml:space="preserve"> indicated that a major recruitment event occurred during unregulated flows conditions in 2012, i.e. mid to late October (</w:t>
      </w:r>
      <w:r w:rsidR="002E6077" w:rsidRPr="00A67C76">
        <w:fldChar w:fldCharType="begin"/>
      </w:r>
      <w:r w:rsidRPr="00A67C76">
        <w:instrText xml:space="preserve"> REF _Ref381781254 \h </w:instrText>
      </w:r>
      <w:r w:rsidR="002E6077" w:rsidRPr="00A67C76">
        <w:fldChar w:fldCharType="separate"/>
      </w:r>
      <w:r w:rsidR="009659F2" w:rsidRPr="00A67C76">
        <w:t xml:space="preserve">Figure </w:t>
      </w:r>
      <w:r w:rsidR="009659F2">
        <w:rPr>
          <w:noProof/>
        </w:rPr>
        <w:t>31</w:t>
      </w:r>
      <w:r w:rsidR="002E6077" w:rsidRPr="00A67C76">
        <w:fldChar w:fldCharType="end"/>
      </w:r>
      <w:r w:rsidRPr="00A67C76">
        <w:t xml:space="preserve">). While this dominant cohort of young fish (recruits) was evident in wetlands during all subsequent flow phases in </w:t>
      </w:r>
      <w:r w:rsidR="00333041" w:rsidRPr="00A67C76">
        <w:t>2012</w:t>
      </w:r>
      <w:r w:rsidR="00FD328A" w:rsidRPr="00FD328A">
        <w:t>-13</w:t>
      </w:r>
      <w:r w:rsidRPr="00A67C76">
        <w:t>, no additional recruitment events were detected.</w:t>
      </w:r>
    </w:p>
    <w:p w:rsidR="00A908A0" w:rsidRPr="00A67C76" w:rsidRDefault="00DB21D5" w:rsidP="00B0408D">
      <w:pPr>
        <w:rPr>
          <w:b/>
        </w:rPr>
      </w:pPr>
      <w:r w:rsidRPr="00A67C76">
        <w:rPr>
          <w:b/>
        </w:rPr>
        <w:t>Spawning and hatch dates</w:t>
      </w:r>
    </w:p>
    <w:p w:rsidR="00DB21D5" w:rsidRPr="00A67C76" w:rsidRDefault="00DB21D5" w:rsidP="00DB21D5">
      <w:r w:rsidRPr="00A67C76">
        <w:t xml:space="preserve">Randomly selected juvenile common carp sampled from wetlands in the Floodplain and Gorge regions were aged to estimate their hatch date and thus provide insight into the timing of successful spawning for the species in </w:t>
      </w:r>
      <w:r w:rsidR="00333041" w:rsidRPr="00A67C76">
        <w:t>2012</w:t>
      </w:r>
      <w:r w:rsidR="00FD328A" w:rsidRPr="00FD328A">
        <w:t>-13</w:t>
      </w:r>
      <w:r w:rsidRPr="00A67C76">
        <w:t>. In each region, new recruits were derived from spawning that occurred over a 4-month period from late August 2012 (</w:t>
      </w:r>
      <w:r w:rsidR="002E6077" w:rsidRPr="00A67C76">
        <w:fldChar w:fldCharType="begin"/>
      </w:r>
      <w:r w:rsidRPr="00A67C76">
        <w:instrText xml:space="preserve"> REF _Ref381781269 \h </w:instrText>
      </w:r>
      <w:r w:rsidR="002E6077" w:rsidRPr="00A67C76">
        <w:fldChar w:fldCharType="separate"/>
      </w:r>
      <w:r w:rsidR="009659F2" w:rsidRPr="00A67C76">
        <w:t xml:space="preserve">Figure </w:t>
      </w:r>
      <w:r w:rsidR="009659F2">
        <w:rPr>
          <w:noProof/>
        </w:rPr>
        <w:t>32</w:t>
      </w:r>
      <w:r w:rsidR="002E6077" w:rsidRPr="00A67C76">
        <w:fldChar w:fldCharType="end"/>
      </w:r>
      <w:r w:rsidRPr="00A67C76">
        <w:t xml:space="preserve">). However, approximately 55% and 62% of all recruits sampled in the Floodplain and Gorge regions, respectively, were derived from spawning that occurred during September, i.e. when unregulated high flows were passing </w:t>
      </w:r>
      <w:r w:rsidR="005C4821" w:rsidRPr="00A67C76">
        <w:t xml:space="preserve">through </w:t>
      </w:r>
      <w:r w:rsidRPr="00A67C76">
        <w:t>the Lower Murray River. Only a small proportion of recruits (&lt;5%) were derived from spawning events whose timing coincided with the commencement of the delivery of the CEW flow pulse, i.e. early December.</w:t>
      </w:r>
    </w:p>
    <w:p w:rsidR="00DB21D5" w:rsidRPr="00A67C76" w:rsidRDefault="00DB21D5" w:rsidP="00DB21D5">
      <w:pPr>
        <w:spacing w:line="276" w:lineRule="auto"/>
      </w:pPr>
      <w:r w:rsidRPr="00A67C76">
        <w:br w:type="page"/>
      </w:r>
    </w:p>
    <w:p w:rsidR="00DB21D5" w:rsidRPr="00A67C76" w:rsidRDefault="000348BA" w:rsidP="00DB21D5">
      <w:pPr>
        <w:jc w:val="center"/>
      </w:pPr>
      <w:r>
        <w:rPr>
          <w:noProof/>
          <w:lang w:eastAsia="en-AU"/>
        </w:rPr>
        <w:drawing>
          <wp:inline distT="0" distB="0" distL="0" distR="0">
            <wp:extent cx="5173579" cy="6761748"/>
            <wp:effectExtent l="0" t="0" r="8255" b="1270"/>
            <wp:docPr id="426" name="Picture 426" descr="C:\UserData\Documents\Lateral fish movement data\Lateral movement data\carp size frequencies updat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Data\Documents\Lateral fish movement data\Lateral movement data\carp size frequencies updated.tif"/>
                    <pic:cNvPicPr>
                      <a:picLocks noChangeAspect="1" noChangeArrowheads="1"/>
                    </pic:cNvPicPr>
                  </pic:nvPicPr>
                  <pic:blipFill rotWithShape="1">
                    <a:blip r:embed="rId7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177462" cy="676682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B21D5" w:rsidRPr="00A67C76" w:rsidRDefault="00DB21D5" w:rsidP="00DB21D5">
      <w:pPr>
        <w:pStyle w:val="Caption"/>
      </w:pPr>
      <w:bookmarkStart w:id="150" w:name="_Ref381781254"/>
      <w:bookmarkStart w:id="151" w:name="_Toc387843082"/>
      <w:proofErr w:type="gramStart"/>
      <w:r w:rsidRPr="00A67C76">
        <w:t xml:space="preserve">Figure </w:t>
      </w:r>
      <w:proofErr w:type="gramEnd"/>
      <w:r w:rsidR="002E6077" w:rsidRPr="00A67C76">
        <w:fldChar w:fldCharType="begin"/>
      </w:r>
      <w:r w:rsidR="00110CB9" w:rsidRPr="00A67C76">
        <w:instrText xml:space="preserve"> SEQ Figure \* ARABIC </w:instrText>
      </w:r>
      <w:r w:rsidR="002E6077" w:rsidRPr="00A67C76">
        <w:fldChar w:fldCharType="separate"/>
      </w:r>
      <w:r w:rsidR="009659F2">
        <w:rPr>
          <w:noProof/>
        </w:rPr>
        <w:t>31</w:t>
      </w:r>
      <w:r w:rsidR="002E6077" w:rsidRPr="00A67C76">
        <w:rPr>
          <w:noProof/>
        </w:rPr>
        <w:fldChar w:fldCharType="end"/>
      </w:r>
      <w:bookmarkEnd w:id="150"/>
      <w:proofErr w:type="gramStart"/>
      <w:r w:rsidRPr="00A67C76">
        <w:t>.</w:t>
      </w:r>
      <w:proofErr w:type="gramEnd"/>
      <w:r w:rsidRPr="00A67C76">
        <w:t xml:space="preserve"> Length frequency distributions for juvenile common carp (≤100 mm TL) sampled in the river-wetland connection passage and within the wetlands for the Floodplain region (left) and Gorge region (right) for six phases of flow in </w:t>
      </w:r>
      <w:r w:rsidR="00333041" w:rsidRPr="00A67C76">
        <w:t>2012</w:t>
      </w:r>
      <w:r w:rsidR="00FD328A" w:rsidRPr="00FD328A">
        <w:t>-13</w:t>
      </w:r>
      <w:r w:rsidRPr="00A67C76">
        <w:t>.</w:t>
      </w:r>
      <w:bookmarkEnd w:id="151"/>
      <w:r w:rsidRPr="00A67C76">
        <w:t xml:space="preserve"> </w:t>
      </w:r>
    </w:p>
    <w:p w:rsidR="00DB21D5" w:rsidRPr="00A67C76" w:rsidRDefault="00DB21D5" w:rsidP="00DB21D5"/>
    <w:p w:rsidR="00DB21D5" w:rsidRDefault="00DB21D5" w:rsidP="00DB21D5">
      <w:pPr>
        <w:rPr>
          <w:noProof/>
          <w:lang w:eastAsia="en-AU"/>
        </w:rPr>
      </w:pPr>
    </w:p>
    <w:p w:rsidR="000348BA" w:rsidRPr="00A67C76" w:rsidRDefault="000348BA" w:rsidP="000348BA">
      <w:pPr>
        <w:jc w:val="center"/>
      </w:pPr>
      <w:r>
        <w:rPr>
          <w:noProof/>
          <w:lang w:eastAsia="en-AU"/>
        </w:rPr>
        <w:drawing>
          <wp:inline distT="0" distB="0" distL="0" distR="0">
            <wp:extent cx="4613144" cy="4680000"/>
            <wp:effectExtent l="0" t="0" r="0" b="6350"/>
            <wp:docPr id="427" name="Picture 427" descr="C:\UserData\Documents\Lateral fish movement data\Lateral movement data\spawn dat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Data\Documents\Lateral fish movement data\Lateral movement data\spawn dates.tif"/>
                    <pic:cNvPicPr>
                      <a:picLocks noChangeAspect="1" noChangeArrowheads="1"/>
                    </pic:cNvPicPr>
                  </pic:nvPicPr>
                  <pic:blipFill rotWithShape="1">
                    <a:blip r:embed="rId7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4613144" cy="468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B21D5" w:rsidRPr="00A67C76" w:rsidRDefault="00DB21D5" w:rsidP="00B96890">
      <w:pPr>
        <w:pStyle w:val="Caption"/>
      </w:pPr>
      <w:bookmarkStart w:id="152" w:name="_Ref381781269"/>
      <w:bookmarkStart w:id="153" w:name="_Toc387843083"/>
      <w:proofErr w:type="gramStart"/>
      <w:r w:rsidRPr="00A67C76">
        <w:t xml:space="preserve">Figure </w:t>
      </w:r>
      <w:proofErr w:type="gramEnd"/>
      <w:r w:rsidR="002E6077" w:rsidRPr="00A67C76">
        <w:fldChar w:fldCharType="begin"/>
      </w:r>
      <w:r w:rsidR="00110CB9" w:rsidRPr="00A67C76">
        <w:instrText xml:space="preserve"> SEQ Figure \* ARABIC </w:instrText>
      </w:r>
      <w:r w:rsidR="002E6077" w:rsidRPr="00A67C76">
        <w:fldChar w:fldCharType="separate"/>
      </w:r>
      <w:r w:rsidR="009659F2">
        <w:rPr>
          <w:noProof/>
        </w:rPr>
        <w:t>32</w:t>
      </w:r>
      <w:r w:rsidR="002E6077" w:rsidRPr="00A67C76">
        <w:rPr>
          <w:noProof/>
        </w:rPr>
        <w:fldChar w:fldCharType="end"/>
      </w:r>
      <w:bookmarkEnd w:id="152"/>
      <w:proofErr w:type="gramStart"/>
      <w:r w:rsidRPr="00A67C76">
        <w:t>.</w:t>
      </w:r>
      <w:proofErr w:type="gramEnd"/>
      <w:r w:rsidRPr="00A67C76">
        <w:t xml:space="preserve"> Estimated spawning date frequency (bars) for randomly-selected juvenile common carp sampled from (a) the Floodplain (n = 57) and (b) the Gorge (n = 62) region across all flow phases. </w:t>
      </w:r>
      <w:proofErr w:type="gramStart"/>
      <w:r w:rsidRPr="00A67C76">
        <w:t>Murray River flow (ML day</w:t>
      </w:r>
      <w:r w:rsidRPr="00A67C76">
        <w:rPr>
          <w:rFonts w:eastAsia="MTSYN"/>
          <w:vertAlign w:val="superscript"/>
        </w:rPr>
        <w:t>−</w:t>
      </w:r>
      <w:r w:rsidRPr="00A67C76">
        <w:rPr>
          <w:vertAlign w:val="superscript"/>
        </w:rPr>
        <w:t>1</w:t>
      </w:r>
      <w:r w:rsidRPr="00A67C76">
        <w:t>) over the South Australian border for the period from 1st August 2012 to 1 February 2013.</w:t>
      </w:r>
      <w:bookmarkEnd w:id="153"/>
      <w:proofErr w:type="gramEnd"/>
      <w:r w:rsidRPr="00A67C76">
        <w:t xml:space="preserve"> </w:t>
      </w:r>
    </w:p>
    <w:p w:rsidR="00831919" w:rsidRDefault="00831919" w:rsidP="00A3579A">
      <w:pPr>
        <w:rPr>
          <w:b/>
          <w:i/>
        </w:rPr>
      </w:pPr>
    </w:p>
    <w:p w:rsidR="008E3CF2" w:rsidRPr="00A67C76" w:rsidRDefault="00E149FE" w:rsidP="00A3579A">
      <w:pPr>
        <w:rPr>
          <w:i/>
        </w:rPr>
      </w:pPr>
      <w:r w:rsidRPr="00A67C76">
        <w:rPr>
          <w:b/>
          <w:i/>
        </w:rPr>
        <w:t>Frog response</w:t>
      </w:r>
    </w:p>
    <w:p w:rsidR="00685CAC" w:rsidRPr="00A67C76" w:rsidRDefault="00685CAC" w:rsidP="00A2199F">
      <w:pPr>
        <w:rPr>
          <w:b/>
        </w:rPr>
      </w:pPr>
      <w:r w:rsidRPr="00A67C76">
        <w:rPr>
          <w:b/>
        </w:rPr>
        <w:t>Frog communities and distribution</w:t>
      </w:r>
    </w:p>
    <w:p w:rsidR="00685CAC" w:rsidRPr="00A67C76" w:rsidRDefault="00685CAC" w:rsidP="00A2199F">
      <w:r w:rsidRPr="00A67C76">
        <w:t>A total of eight frog species were detected between Se</w:t>
      </w:r>
      <w:r w:rsidR="00E35C9A" w:rsidRPr="00A67C76">
        <w:t>ptember and December 2012 (</w:t>
      </w:r>
      <w:r w:rsidR="002E6077" w:rsidRPr="00A67C76">
        <w:fldChar w:fldCharType="begin"/>
      </w:r>
      <w:r w:rsidR="00E35C9A" w:rsidRPr="00A67C76">
        <w:instrText xml:space="preserve"> REF _Ref387830369 \h </w:instrText>
      </w:r>
      <w:r w:rsidR="002E6077" w:rsidRPr="00A67C76">
        <w:fldChar w:fldCharType="separate"/>
      </w:r>
      <w:r w:rsidR="009659F2" w:rsidRPr="00A67C76">
        <w:t xml:space="preserve">Table </w:t>
      </w:r>
      <w:r w:rsidR="009659F2">
        <w:rPr>
          <w:noProof/>
        </w:rPr>
        <w:t>11</w:t>
      </w:r>
      <w:r w:rsidR="002E6077" w:rsidRPr="00A67C76">
        <w:fldChar w:fldCharType="end"/>
      </w:r>
      <w:r w:rsidRPr="00A67C76">
        <w:t>). All eight frog species were detected in both spring, during unregulated flows (high flows), and summer during the environmental water</w:t>
      </w:r>
      <w:r w:rsidR="00F31FA0" w:rsidRPr="00A67C76">
        <w:t>ing</w:t>
      </w:r>
      <w:r w:rsidRPr="00A67C76">
        <w:t xml:space="preserve"> event. All eight species were recorded in the Gorge region and six species were recorded in the Floodplain and Swamplands regions. The distribution of two species, the Brown Tree Frog (</w:t>
      </w:r>
      <w:r w:rsidRPr="00A67C76">
        <w:rPr>
          <w:i/>
        </w:rPr>
        <w:t>Litoria ewingii</w:t>
      </w:r>
      <w:r w:rsidRPr="00A67C76">
        <w:t>) and Common Froglet (</w:t>
      </w:r>
      <w:r w:rsidRPr="00A67C76">
        <w:rPr>
          <w:i/>
        </w:rPr>
        <w:t>Crinia signifera</w:t>
      </w:r>
      <w:r w:rsidRPr="00A67C76">
        <w:t>), was limited to the Gorge and Swamplands geomorphic regions, whereas, the Eastern Sign-bearing froglet and Southern Bell Frog were only detected in the Gorge and Floodplain regions.</w:t>
      </w:r>
    </w:p>
    <w:p w:rsidR="00685CAC" w:rsidRPr="00A67C76" w:rsidRDefault="00E35C9A" w:rsidP="00E35C9A">
      <w:pPr>
        <w:pStyle w:val="Caption"/>
      </w:pPr>
      <w:bookmarkStart w:id="154" w:name="_Ref387830369"/>
      <w:bookmarkStart w:id="155" w:name="_Ref387830361"/>
      <w:bookmarkStart w:id="156" w:name="_Toc387929713"/>
      <w:proofErr w:type="gramStart"/>
      <w:r w:rsidRPr="00A67C76">
        <w:t xml:space="preserve">Table </w:t>
      </w:r>
      <w:proofErr w:type="gramEnd"/>
      <w:r w:rsidR="002E6077" w:rsidRPr="00A67C76">
        <w:fldChar w:fldCharType="begin"/>
      </w:r>
      <w:r w:rsidR="00621CBB" w:rsidRPr="00A67C76">
        <w:instrText xml:space="preserve"> SEQ Table \* ARABIC </w:instrText>
      </w:r>
      <w:r w:rsidR="002E6077" w:rsidRPr="00A67C76">
        <w:fldChar w:fldCharType="separate"/>
      </w:r>
      <w:r w:rsidR="009659F2">
        <w:rPr>
          <w:noProof/>
        </w:rPr>
        <w:t>11</w:t>
      </w:r>
      <w:r w:rsidR="002E6077" w:rsidRPr="00A67C76">
        <w:rPr>
          <w:noProof/>
        </w:rPr>
        <w:fldChar w:fldCharType="end"/>
      </w:r>
      <w:bookmarkEnd w:id="154"/>
      <w:proofErr w:type="gramStart"/>
      <w:r w:rsidR="00566174" w:rsidRPr="00A67C76">
        <w:t>.</w:t>
      </w:r>
      <w:proofErr w:type="gramEnd"/>
      <w:r w:rsidR="00685CAC" w:rsidRPr="00A67C76">
        <w:t xml:space="preserve"> Frog species detected at wetlands in the Lower Murray River regions in spring (n</w:t>
      </w:r>
      <w:r w:rsidR="001E6D44" w:rsidRPr="00A67C76">
        <w:t xml:space="preserve"> </w:t>
      </w:r>
      <w:r w:rsidR="00685CAC" w:rsidRPr="00A67C76">
        <w:t>=</w:t>
      </w:r>
      <w:r w:rsidR="001E6D44" w:rsidRPr="00A67C76">
        <w:t xml:space="preserve"> </w:t>
      </w:r>
      <w:r w:rsidR="00685CAC" w:rsidRPr="00A67C76">
        <w:t>86) and summer (n</w:t>
      </w:r>
      <w:r w:rsidR="001E6D44" w:rsidRPr="00A67C76">
        <w:t xml:space="preserve"> </w:t>
      </w:r>
      <w:r w:rsidR="00685CAC" w:rsidRPr="00A67C76">
        <w:t>=</w:t>
      </w:r>
      <w:r w:rsidR="001E6D44" w:rsidRPr="00A67C76">
        <w:t xml:space="preserve"> </w:t>
      </w:r>
      <w:r w:rsidR="00685CAC" w:rsidRPr="00A67C76">
        <w:t>112) 2012. X</w:t>
      </w:r>
      <w:r w:rsidR="001E6D44" w:rsidRPr="00A67C76">
        <w:t xml:space="preserve"> </w:t>
      </w:r>
      <w:r w:rsidR="00685CAC" w:rsidRPr="00A67C76">
        <w:t>= species present in both spring and summer surveys.</w:t>
      </w:r>
      <w:bookmarkEnd w:id="155"/>
      <w:bookmarkEnd w:id="156"/>
      <w:r w:rsidR="009731C5">
        <w:t xml:space="preserve"> A brief description of frog species can be found in appendix XIV. Ea</w:t>
      </w:r>
      <w:proofErr w:type="gramStart"/>
      <w:r w:rsidR="009731C5">
        <w:t>.=</w:t>
      </w:r>
      <w:proofErr w:type="gramEnd"/>
      <w:r w:rsidR="009731C5">
        <w:t>Eastern; So.=Southern.</w:t>
      </w:r>
    </w:p>
    <w:tbl>
      <w:tblPr>
        <w:tblW w:w="9322" w:type="dxa"/>
        <w:tblLayout w:type="fixed"/>
        <w:tblLook w:val="00A0"/>
      </w:tblPr>
      <w:tblGrid>
        <w:gridCol w:w="2518"/>
        <w:gridCol w:w="2977"/>
        <w:gridCol w:w="1276"/>
        <w:gridCol w:w="1134"/>
        <w:gridCol w:w="1417"/>
      </w:tblGrid>
      <w:tr w:rsidR="00685CAC" w:rsidRPr="00A67C76" w:rsidTr="009731C5">
        <w:trPr>
          <w:trHeight w:val="841"/>
        </w:trPr>
        <w:tc>
          <w:tcPr>
            <w:tcW w:w="2518" w:type="dxa"/>
            <w:tcBorders>
              <w:top w:val="single" w:sz="4" w:space="0" w:color="A6A6A6" w:themeColor="background1" w:themeShade="A6"/>
              <w:bottom w:val="single" w:sz="4" w:space="0" w:color="A6A6A6" w:themeColor="background1" w:themeShade="A6"/>
            </w:tcBorders>
            <w:shd w:val="clear" w:color="auto" w:fill="auto"/>
            <w:vAlign w:val="center"/>
          </w:tcPr>
          <w:p w:rsidR="00685CAC" w:rsidRPr="00A67C76" w:rsidRDefault="00685CAC" w:rsidP="003B591A">
            <w:pPr>
              <w:rPr>
                <w:b/>
                <w:sz w:val="20"/>
              </w:rPr>
            </w:pPr>
            <w:r w:rsidRPr="00A67C76">
              <w:rPr>
                <w:b/>
                <w:sz w:val="20"/>
              </w:rPr>
              <w:t>Common Name</w:t>
            </w:r>
          </w:p>
        </w:tc>
        <w:tc>
          <w:tcPr>
            <w:tcW w:w="2977" w:type="dxa"/>
            <w:tcBorders>
              <w:top w:val="single" w:sz="4" w:space="0" w:color="A6A6A6" w:themeColor="background1" w:themeShade="A6"/>
              <w:bottom w:val="single" w:sz="4" w:space="0" w:color="A6A6A6" w:themeColor="background1" w:themeShade="A6"/>
            </w:tcBorders>
            <w:shd w:val="clear" w:color="auto" w:fill="auto"/>
            <w:vAlign w:val="center"/>
          </w:tcPr>
          <w:p w:rsidR="00685CAC" w:rsidRPr="00A67C76" w:rsidRDefault="00685CAC" w:rsidP="003B591A">
            <w:pPr>
              <w:rPr>
                <w:b/>
                <w:sz w:val="20"/>
              </w:rPr>
            </w:pPr>
            <w:r w:rsidRPr="00A67C76">
              <w:rPr>
                <w:b/>
                <w:sz w:val="20"/>
              </w:rPr>
              <w:t>Scientific Name</w:t>
            </w:r>
          </w:p>
        </w:tc>
        <w:tc>
          <w:tcPr>
            <w:tcW w:w="1276" w:type="dxa"/>
            <w:tcBorders>
              <w:top w:val="single" w:sz="4" w:space="0" w:color="A6A6A6" w:themeColor="background1" w:themeShade="A6"/>
              <w:bottom w:val="single" w:sz="4" w:space="0" w:color="A6A6A6" w:themeColor="background1" w:themeShade="A6"/>
            </w:tcBorders>
            <w:shd w:val="clear" w:color="auto" w:fill="auto"/>
            <w:vAlign w:val="center"/>
          </w:tcPr>
          <w:p w:rsidR="00685CAC" w:rsidRPr="00A67C76" w:rsidRDefault="00685CAC" w:rsidP="003B591A">
            <w:pPr>
              <w:rPr>
                <w:b/>
                <w:sz w:val="20"/>
              </w:rPr>
            </w:pPr>
            <w:r w:rsidRPr="00A67C76">
              <w:rPr>
                <w:b/>
                <w:sz w:val="20"/>
              </w:rPr>
              <w:t>Floodplain</w:t>
            </w:r>
          </w:p>
        </w:tc>
        <w:tc>
          <w:tcPr>
            <w:tcW w:w="1134" w:type="dxa"/>
            <w:tcBorders>
              <w:top w:val="single" w:sz="4" w:space="0" w:color="A6A6A6" w:themeColor="background1" w:themeShade="A6"/>
              <w:bottom w:val="single" w:sz="4" w:space="0" w:color="A6A6A6" w:themeColor="background1" w:themeShade="A6"/>
            </w:tcBorders>
            <w:shd w:val="clear" w:color="auto" w:fill="auto"/>
            <w:vAlign w:val="center"/>
          </w:tcPr>
          <w:p w:rsidR="00685CAC" w:rsidRPr="00A67C76" w:rsidRDefault="00685CAC" w:rsidP="003B591A">
            <w:pPr>
              <w:rPr>
                <w:b/>
                <w:sz w:val="20"/>
              </w:rPr>
            </w:pPr>
            <w:r w:rsidRPr="00A67C76">
              <w:rPr>
                <w:b/>
                <w:sz w:val="20"/>
              </w:rPr>
              <w:t>Gorge</w:t>
            </w:r>
          </w:p>
        </w:tc>
        <w:tc>
          <w:tcPr>
            <w:tcW w:w="1417" w:type="dxa"/>
            <w:tcBorders>
              <w:top w:val="single" w:sz="4" w:space="0" w:color="A6A6A6" w:themeColor="background1" w:themeShade="A6"/>
              <w:bottom w:val="single" w:sz="4" w:space="0" w:color="A6A6A6" w:themeColor="background1" w:themeShade="A6"/>
            </w:tcBorders>
            <w:shd w:val="clear" w:color="auto" w:fill="auto"/>
            <w:vAlign w:val="center"/>
          </w:tcPr>
          <w:p w:rsidR="00685CAC" w:rsidRPr="00A67C76" w:rsidRDefault="00685CAC" w:rsidP="003B591A">
            <w:pPr>
              <w:rPr>
                <w:b/>
                <w:sz w:val="20"/>
              </w:rPr>
            </w:pPr>
            <w:r w:rsidRPr="00A67C76">
              <w:rPr>
                <w:b/>
                <w:sz w:val="20"/>
              </w:rPr>
              <w:t>Swampland</w:t>
            </w:r>
          </w:p>
        </w:tc>
      </w:tr>
      <w:tr w:rsidR="00685CAC" w:rsidRPr="00A67C76" w:rsidTr="00A42AA5">
        <w:tc>
          <w:tcPr>
            <w:tcW w:w="2518" w:type="dxa"/>
            <w:tcBorders>
              <w:top w:val="single" w:sz="4" w:space="0" w:color="A6A6A6" w:themeColor="background1" w:themeShade="A6"/>
            </w:tcBorders>
          </w:tcPr>
          <w:p w:rsidR="00685CAC" w:rsidRPr="00A67C76" w:rsidRDefault="00685CAC" w:rsidP="00B96890">
            <w:pPr>
              <w:contextualSpacing/>
              <w:rPr>
                <w:sz w:val="20"/>
              </w:rPr>
            </w:pPr>
            <w:r w:rsidRPr="00A67C76">
              <w:rPr>
                <w:sz w:val="20"/>
              </w:rPr>
              <w:t>Brown Tree Frog</w:t>
            </w:r>
          </w:p>
        </w:tc>
        <w:tc>
          <w:tcPr>
            <w:tcW w:w="2977" w:type="dxa"/>
            <w:tcBorders>
              <w:top w:val="single" w:sz="4" w:space="0" w:color="A6A6A6" w:themeColor="background1" w:themeShade="A6"/>
            </w:tcBorders>
          </w:tcPr>
          <w:p w:rsidR="00685CAC" w:rsidRPr="00A67C76" w:rsidRDefault="00685CAC" w:rsidP="00B96890">
            <w:pPr>
              <w:contextualSpacing/>
              <w:rPr>
                <w:i/>
                <w:sz w:val="20"/>
              </w:rPr>
            </w:pPr>
            <w:r w:rsidRPr="00A67C76">
              <w:rPr>
                <w:i/>
                <w:sz w:val="20"/>
              </w:rPr>
              <w:t>Litoria ewingii</w:t>
            </w:r>
          </w:p>
        </w:tc>
        <w:tc>
          <w:tcPr>
            <w:tcW w:w="1276" w:type="dxa"/>
            <w:tcBorders>
              <w:top w:val="single" w:sz="4" w:space="0" w:color="A6A6A6" w:themeColor="background1" w:themeShade="A6"/>
            </w:tcBorders>
          </w:tcPr>
          <w:p w:rsidR="00685CAC" w:rsidRPr="00A67C76" w:rsidRDefault="00685CAC" w:rsidP="00B96890">
            <w:pPr>
              <w:contextualSpacing/>
              <w:jc w:val="center"/>
              <w:rPr>
                <w:sz w:val="20"/>
              </w:rPr>
            </w:pPr>
          </w:p>
        </w:tc>
        <w:tc>
          <w:tcPr>
            <w:tcW w:w="1134" w:type="dxa"/>
            <w:tcBorders>
              <w:top w:val="single" w:sz="4" w:space="0" w:color="A6A6A6" w:themeColor="background1" w:themeShade="A6"/>
            </w:tcBorders>
          </w:tcPr>
          <w:p w:rsidR="00685CAC" w:rsidRPr="00A67C76" w:rsidRDefault="00685CAC" w:rsidP="00B96890">
            <w:pPr>
              <w:contextualSpacing/>
              <w:jc w:val="center"/>
              <w:rPr>
                <w:sz w:val="20"/>
              </w:rPr>
            </w:pPr>
            <w:r w:rsidRPr="00A67C76">
              <w:rPr>
                <w:sz w:val="20"/>
              </w:rPr>
              <w:t>Spring</w:t>
            </w:r>
          </w:p>
        </w:tc>
        <w:tc>
          <w:tcPr>
            <w:tcW w:w="1417" w:type="dxa"/>
            <w:tcBorders>
              <w:top w:val="single" w:sz="4" w:space="0" w:color="A6A6A6" w:themeColor="background1" w:themeShade="A6"/>
            </w:tcBorders>
          </w:tcPr>
          <w:p w:rsidR="00685CAC" w:rsidRPr="00A67C76" w:rsidRDefault="00685CAC" w:rsidP="00B96890">
            <w:pPr>
              <w:contextualSpacing/>
              <w:jc w:val="center"/>
              <w:rPr>
                <w:sz w:val="20"/>
              </w:rPr>
            </w:pPr>
            <w:r w:rsidRPr="00A67C76">
              <w:rPr>
                <w:sz w:val="20"/>
              </w:rPr>
              <w:t>X</w:t>
            </w:r>
          </w:p>
        </w:tc>
      </w:tr>
      <w:tr w:rsidR="00685CAC" w:rsidRPr="00A67C76" w:rsidTr="00A42AA5">
        <w:tc>
          <w:tcPr>
            <w:tcW w:w="2518" w:type="dxa"/>
          </w:tcPr>
          <w:p w:rsidR="00685CAC" w:rsidRPr="00A67C76" w:rsidRDefault="00685CAC" w:rsidP="00B96890">
            <w:pPr>
              <w:contextualSpacing/>
              <w:rPr>
                <w:i/>
                <w:sz w:val="20"/>
              </w:rPr>
            </w:pPr>
            <w:r w:rsidRPr="00A67C76">
              <w:rPr>
                <w:sz w:val="20"/>
              </w:rPr>
              <w:t>Common Froglet</w:t>
            </w:r>
          </w:p>
        </w:tc>
        <w:tc>
          <w:tcPr>
            <w:tcW w:w="2977" w:type="dxa"/>
          </w:tcPr>
          <w:p w:rsidR="00685CAC" w:rsidRPr="00A67C76" w:rsidRDefault="00685CAC" w:rsidP="00B96890">
            <w:pPr>
              <w:contextualSpacing/>
              <w:rPr>
                <w:i/>
                <w:sz w:val="20"/>
              </w:rPr>
            </w:pPr>
            <w:r w:rsidRPr="00A67C76">
              <w:rPr>
                <w:i/>
                <w:sz w:val="20"/>
              </w:rPr>
              <w:t>Crinia signifera</w:t>
            </w:r>
          </w:p>
        </w:tc>
        <w:tc>
          <w:tcPr>
            <w:tcW w:w="1276" w:type="dxa"/>
          </w:tcPr>
          <w:p w:rsidR="00685CAC" w:rsidRPr="00A67C76" w:rsidRDefault="00685CAC" w:rsidP="00B96890">
            <w:pPr>
              <w:contextualSpacing/>
              <w:jc w:val="center"/>
              <w:rPr>
                <w:sz w:val="20"/>
              </w:rPr>
            </w:pPr>
          </w:p>
        </w:tc>
        <w:tc>
          <w:tcPr>
            <w:tcW w:w="1134" w:type="dxa"/>
          </w:tcPr>
          <w:p w:rsidR="00685CAC" w:rsidRPr="00A67C76" w:rsidRDefault="00685CAC" w:rsidP="00B96890">
            <w:pPr>
              <w:contextualSpacing/>
              <w:jc w:val="center"/>
              <w:rPr>
                <w:sz w:val="20"/>
              </w:rPr>
            </w:pPr>
            <w:r w:rsidRPr="00A67C76">
              <w:rPr>
                <w:sz w:val="20"/>
              </w:rPr>
              <w:t>X</w:t>
            </w:r>
          </w:p>
        </w:tc>
        <w:tc>
          <w:tcPr>
            <w:tcW w:w="1417" w:type="dxa"/>
          </w:tcPr>
          <w:p w:rsidR="00685CAC" w:rsidRPr="00A67C76" w:rsidRDefault="00685CAC" w:rsidP="00B96890">
            <w:pPr>
              <w:contextualSpacing/>
              <w:jc w:val="center"/>
              <w:rPr>
                <w:sz w:val="20"/>
              </w:rPr>
            </w:pPr>
            <w:r w:rsidRPr="00A67C76">
              <w:rPr>
                <w:sz w:val="20"/>
              </w:rPr>
              <w:t>X</w:t>
            </w:r>
          </w:p>
        </w:tc>
      </w:tr>
      <w:tr w:rsidR="00685CAC" w:rsidRPr="00A67C76" w:rsidTr="00A42AA5">
        <w:tc>
          <w:tcPr>
            <w:tcW w:w="2518" w:type="dxa"/>
          </w:tcPr>
          <w:p w:rsidR="00685CAC" w:rsidRPr="00A67C76" w:rsidRDefault="00685CAC" w:rsidP="00B96890">
            <w:pPr>
              <w:contextualSpacing/>
              <w:rPr>
                <w:i/>
                <w:sz w:val="20"/>
              </w:rPr>
            </w:pPr>
            <w:r w:rsidRPr="00A67C76">
              <w:rPr>
                <w:sz w:val="20"/>
              </w:rPr>
              <w:t>E</w:t>
            </w:r>
            <w:r w:rsidR="00A42AA5" w:rsidRPr="00A67C76">
              <w:rPr>
                <w:sz w:val="20"/>
              </w:rPr>
              <w:t>a.</w:t>
            </w:r>
            <w:r w:rsidRPr="00A67C76">
              <w:rPr>
                <w:sz w:val="20"/>
              </w:rPr>
              <w:t xml:space="preserve"> Banjo Frog</w:t>
            </w:r>
          </w:p>
        </w:tc>
        <w:tc>
          <w:tcPr>
            <w:tcW w:w="2977" w:type="dxa"/>
          </w:tcPr>
          <w:p w:rsidR="00685CAC" w:rsidRPr="00A67C76" w:rsidRDefault="00685CAC" w:rsidP="00B96890">
            <w:pPr>
              <w:contextualSpacing/>
              <w:rPr>
                <w:i/>
                <w:sz w:val="20"/>
              </w:rPr>
            </w:pPr>
            <w:r w:rsidRPr="00A67C76">
              <w:rPr>
                <w:i/>
                <w:sz w:val="20"/>
              </w:rPr>
              <w:t>Limnodynastes dumerilii</w:t>
            </w:r>
          </w:p>
        </w:tc>
        <w:tc>
          <w:tcPr>
            <w:tcW w:w="1276" w:type="dxa"/>
          </w:tcPr>
          <w:p w:rsidR="00685CAC" w:rsidRPr="00A67C76" w:rsidRDefault="00685CAC" w:rsidP="00B96890">
            <w:pPr>
              <w:contextualSpacing/>
              <w:jc w:val="center"/>
              <w:rPr>
                <w:sz w:val="20"/>
              </w:rPr>
            </w:pPr>
            <w:r w:rsidRPr="00A67C76">
              <w:rPr>
                <w:sz w:val="20"/>
              </w:rPr>
              <w:t>Spring</w:t>
            </w:r>
          </w:p>
        </w:tc>
        <w:tc>
          <w:tcPr>
            <w:tcW w:w="1134" w:type="dxa"/>
          </w:tcPr>
          <w:p w:rsidR="00685CAC" w:rsidRPr="00A67C76" w:rsidRDefault="00685CAC" w:rsidP="00B96890">
            <w:pPr>
              <w:contextualSpacing/>
              <w:jc w:val="center"/>
              <w:rPr>
                <w:sz w:val="20"/>
              </w:rPr>
            </w:pPr>
            <w:r w:rsidRPr="00A67C76">
              <w:rPr>
                <w:sz w:val="20"/>
              </w:rPr>
              <w:t>X</w:t>
            </w:r>
          </w:p>
        </w:tc>
        <w:tc>
          <w:tcPr>
            <w:tcW w:w="1417" w:type="dxa"/>
          </w:tcPr>
          <w:p w:rsidR="00685CAC" w:rsidRPr="00A67C76" w:rsidRDefault="00685CAC" w:rsidP="00B96890">
            <w:pPr>
              <w:contextualSpacing/>
              <w:jc w:val="center"/>
              <w:rPr>
                <w:sz w:val="20"/>
              </w:rPr>
            </w:pPr>
            <w:r w:rsidRPr="00A67C76">
              <w:rPr>
                <w:sz w:val="20"/>
              </w:rPr>
              <w:t>X</w:t>
            </w:r>
          </w:p>
        </w:tc>
      </w:tr>
      <w:tr w:rsidR="00685CAC" w:rsidRPr="00A67C76" w:rsidTr="00A42AA5">
        <w:tc>
          <w:tcPr>
            <w:tcW w:w="2518" w:type="dxa"/>
          </w:tcPr>
          <w:p w:rsidR="00685CAC" w:rsidRPr="00A67C76" w:rsidRDefault="00685CAC" w:rsidP="00B96890">
            <w:pPr>
              <w:contextualSpacing/>
              <w:rPr>
                <w:i/>
                <w:sz w:val="20"/>
              </w:rPr>
            </w:pPr>
            <w:r w:rsidRPr="00A67C76">
              <w:rPr>
                <w:sz w:val="20"/>
              </w:rPr>
              <w:t>E</w:t>
            </w:r>
            <w:r w:rsidR="00A42AA5" w:rsidRPr="00A67C76">
              <w:rPr>
                <w:sz w:val="20"/>
              </w:rPr>
              <w:t>a.</w:t>
            </w:r>
            <w:r w:rsidRPr="00A67C76">
              <w:rPr>
                <w:sz w:val="20"/>
              </w:rPr>
              <w:t xml:space="preserve"> Sign-bearing </w:t>
            </w:r>
            <w:r w:rsidR="00A42AA5" w:rsidRPr="00A67C76">
              <w:rPr>
                <w:sz w:val="20"/>
              </w:rPr>
              <w:t>f</w:t>
            </w:r>
            <w:r w:rsidRPr="00A67C76">
              <w:rPr>
                <w:sz w:val="20"/>
              </w:rPr>
              <w:t>roglet</w:t>
            </w:r>
          </w:p>
        </w:tc>
        <w:tc>
          <w:tcPr>
            <w:tcW w:w="2977" w:type="dxa"/>
          </w:tcPr>
          <w:p w:rsidR="00685CAC" w:rsidRPr="00A67C76" w:rsidRDefault="00685CAC" w:rsidP="00B96890">
            <w:pPr>
              <w:contextualSpacing/>
              <w:rPr>
                <w:i/>
                <w:sz w:val="20"/>
              </w:rPr>
            </w:pPr>
            <w:r w:rsidRPr="00A67C76">
              <w:rPr>
                <w:i/>
                <w:sz w:val="20"/>
              </w:rPr>
              <w:t>Crinia parinsignifera</w:t>
            </w:r>
          </w:p>
        </w:tc>
        <w:tc>
          <w:tcPr>
            <w:tcW w:w="1276" w:type="dxa"/>
          </w:tcPr>
          <w:p w:rsidR="00685CAC" w:rsidRPr="00A67C76" w:rsidRDefault="00685CAC" w:rsidP="00B96890">
            <w:pPr>
              <w:contextualSpacing/>
              <w:jc w:val="center"/>
              <w:rPr>
                <w:sz w:val="20"/>
              </w:rPr>
            </w:pPr>
            <w:r w:rsidRPr="00A67C76">
              <w:rPr>
                <w:sz w:val="20"/>
              </w:rPr>
              <w:t>X</w:t>
            </w:r>
          </w:p>
        </w:tc>
        <w:tc>
          <w:tcPr>
            <w:tcW w:w="1134" w:type="dxa"/>
          </w:tcPr>
          <w:p w:rsidR="00685CAC" w:rsidRPr="00A67C76" w:rsidRDefault="00685CAC" w:rsidP="00B96890">
            <w:pPr>
              <w:contextualSpacing/>
              <w:jc w:val="center"/>
              <w:rPr>
                <w:sz w:val="20"/>
              </w:rPr>
            </w:pPr>
            <w:r w:rsidRPr="00A67C76">
              <w:rPr>
                <w:sz w:val="20"/>
              </w:rPr>
              <w:t>X</w:t>
            </w:r>
          </w:p>
        </w:tc>
        <w:tc>
          <w:tcPr>
            <w:tcW w:w="1417" w:type="dxa"/>
          </w:tcPr>
          <w:p w:rsidR="00685CAC" w:rsidRPr="00A67C76" w:rsidRDefault="00685CAC" w:rsidP="00B96890">
            <w:pPr>
              <w:contextualSpacing/>
              <w:jc w:val="center"/>
              <w:rPr>
                <w:sz w:val="20"/>
              </w:rPr>
            </w:pPr>
          </w:p>
        </w:tc>
      </w:tr>
      <w:tr w:rsidR="00685CAC" w:rsidRPr="00A67C76" w:rsidTr="00A42AA5">
        <w:tc>
          <w:tcPr>
            <w:tcW w:w="2518" w:type="dxa"/>
          </w:tcPr>
          <w:p w:rsidR="00685CAC" w:rsidRPr="00A67C76" w:rsidRDefault="00685CAC" w:rsidP="00B96890">
            <w:pPr>
              <w:contextualSpacing/>
              <w:rPr>
                <w:i/>
                <w:sz w:val="20"/>
              </w:rPr>
            </w:pPr>
            <w:r w:rsidRPr="00A67C76">
              <w:rPr>
                <w:sz w:val="20"/>
              </w:rPr>
              <w:t>Long-thumbed Frog</w:t>
            </w:r>
          </w:p>
        </w:tc>
        <w:tc>
          <w:tcPr>
            <w:tcW w:w="2977" w:type="dxa"/>
          </w:tcPr>
          <w:p w:rsidR="00685CAC" w:rsidRPr="00A67C76" w:rsidRDefault="00685CAC" w:rsidP="00B96890">
            <w:pPr>
              <w:contextualSpacing/>
              <w:rPr>
                <w:i/>
                <w:sz w:val="20"/>
              </w:rPr>
            </w:pPr>
            <w:r w:rsidRPr="00A67C76">
              <w:rPr>
                <w:i/>
                <w:sz w:val="20"/>
              </w:rPr>
              <w:t>Limnodynastes fletcheri</w:t>
            </w:r>
          </w:p>
        </w:tc>
        <w:tc>
          <w:tcPr>
            <w:tcW w:w="1276" w:type="dxa"/>
          </w:tcPr>
          <w:p w:rsidR="00685CAC" w:rsidRPr="00A67C76" w:rsidRDefault="00685CAC" w:rsidP="00B96890">
            <w:pPr>
              <w:contextualSpacing/>
              <w:jc w:val="center"/>
              <w:rPr>
                <w:sz w:val="20"/>
              </w:rPr>
            </w:pPr>
            <w:r w:rsidRPr="00A67C76">
              <w:rPr>
                <w:sz w:val="20"/>
              </w:rPr>
              <w:t>X</w:t>
            </w:r>
          </w:p>
        </w:tc>
        <w:tc>
          <w:tcPr>
            <w:tcW w:w="1134" w:type="dxa"/>
          </w:tcPr>
          <w:p w:rsidR="00685CAC" w:rsidRPr="00A67C76" w:rsidRDefault="00685CAC" w:rsidP="00B96890">
            <w:pPr>
              <w:contextualSpacing/>
              <w:jc w:val="center"/>
              <w:rPr>
                <w:sz w:val="20"/>
              </w:rPr>
            </w:pPr>
            <w:r w:rsidRPr="00A67C76">
              <w:rPr>
                <w:sz w:val="20"/>
              </w:rPr>
              <w:t>X</w:t>
            </w:r>
          </w:p>
        </w:tc>
        <w:tc>
          <w:tcPr>
            <w:tcW w:w="1417" w:type="dxa"/>
          </w:tcPr>
          <w:p w:rsidR="00685CAC" w:rsidRPr="00A67C76" w:rsidRDefault="00685CAC" w:rsidP="00B96890">
            <w:pPr>
              <w:contextualSpacing/>
              <w:jc w:val="center"/>
              <w:rPr>
                <w:sz w:val="20"/>
              </w:rPr>
            </w:pPr>
            <w:r w:rsidRPr="00A67C76">
              <w:rPr>
                <w:sz w:val="20"/>
              </w:rPr>
              <w:t>X</w:t>
            </w:r>
          </w:p>
        </w:tc>
      </w:tr>
      <w:tr w:rsidR="00685CAC" w:rsidRPr="00A67C76" w:rsidTr="00A42AA5">
        <w:tc>
          <w:tcPr>
            <w:tcW w:w="2518" w:type="dxa"/>
          </w:tcPr>
          <w:p w:rsidR="00685CAC" w:rsidRPr="00A67C76" w:rsidRDefault="00685CAC" w:rsidP="00B96890">
            <w:pPr>
              <w:contextualSpacing/>
              <w:rPr>
                <w:i/>
                <w:sz w:val="20"/>
              </w:rPr>
            </w:pPr>
            <w:r w:rsidRPr="00A67C76">
              <w:rPr>
                <w:sz w:val="20"/>
              </w:rPr>
              <w:t>Peron's Tree Frog</w:t>
            </w:r>
          </w:p>
        </w:tc>
        <w:tc>
          <w:tcPr>
            <w:tcW w:w="2977" w:type="dxa"/>
          </w:tcPr>
          <w:p w:rsidR="00685CAC" w:rsidRPr="00A67C76" w:rsidRDefault="00685CAC" w:rsidP="00B96890">
            <w:pPr>
              <w:contextualSpacing/>
              <w:rPr>
                <w:i/>
                <w:sz w:val="20"/>
              </w:rPr>
            </w:pPr>
            <w:r w:rsidRPr="00A67C76">
              <w:rPr>
                <w:i/>
                <w:sz w:val="20"/>
              </w:rPr>
              <w:t>Litoria peronii</w:t>
            </w:r>
          </w:p>
        </w:tc>
        <w:tc>
          <w:tcPr>
            <w:tcW w:w="1276" w:type="dxa"/>
          </w:tcPr>
          <w:p w:rsidR="00685CAC" w:rsidRPr="00A67C76" w:rsidRDefault="00685CAC" w:rsidP="00B96890">
            <w:pPr>
              <w:contextualSpacing/>
              <w:jc w:val="center"/>
              <w:rPr>
                <w:sz w:val="20"/>
              </w:rPr>
            </w:pPr>
            <w:r w:rsidRPr="00A67C76">
              <w:rPr>
                <w:sz w:val="20"/>
              </w:rPr>
              <w:t>X</w:t>
            </w:r>
          </w:p>
        </w:tc>
        <w:tc>
          <w:tcPr>
            <w:tcW w:w="1134" w:type="dxa"/>
          </w:tcPr>
          <w:p w:rsidR="00685CAC" w:rsidRPr="00A67C76" w:rsidRDefault="00685CAC" w:rsidP="00B96890">
            <w:pPr>
              <w:contextualSpacing/>
              <w:jc w:val="center"/>
              <w:rPr>
                <w:sz w:val="20"/>
              </w:rPr>
            </w:pPr>
            <w:r w:rsidRPr="00A67C76">
              <w:rPr>
                <w:sz w:val="20"/>
              </w:rPr>
              <w:t>X</w:t>
            </w:r>
          </w:p>
        </w:tc>
        <w:tc>
          <w:tcPr>
            <w:tcW w:w="1417" w:type="dxa"/>
          </w:tcPr>
          <w:p w:rsidR="00685CAC" w:rsidRPr="00A67C76" w:rsidRDefault="00685CAC" w:rsidP="00B96890">
            <w:pPr>
              <w:ind w:hanging="108"/>
              <w:contextualSpacing/>
              <w:jc w:val="center"/>
              <w:rPr>
                <w:sz w:val="20"/>
              </w:rPr>
            </w:pPr>
            <w:r w:rsidRPr="00A67C76">
              <w:rPr>
                <w:sz w:val="20"/>
              </w:rPr>
              <w:t>Summer</w:t>
            </w:r>
          </w:p>
        </w:tc>
      </w:tr>
      <w:tr w:rsidR="00685CAC" w:rsidRPr="00A67C76" w:rsidTr="00A42AA5">
        <w:tc>
          <w:tcPr>
            <w:tcW w:w="2518" w:type="dxa"/>
          </w:tcPr>
          <w:p w:rsidR="00685CAC" w:rsidRPr="00A67C76" w:rsidRDefault="00685CAC" w:rsidP="00B96890">
            <w:pPr>
              <w:contextualSpacing/>
              <w:rPr>
                <w:i/>
                <w:sz w:val="20"/>
              </w:rPr>
            </w:pPr>
            <w:r w:rsidRPr="00A67C76">
              <w:rPr>
                <w:sz w:val="20"/>
              </w:rPr>
              <w:t>So</w:t>
            </w:r>
            <w:r w:rsidR="00A42AA5" w:rsidRPr="00A67C76">
              <w:rPr>
                <w:sz w:val="20"/>
              </w:rPr>
              <w:t>.</w:t>
            </w:r>
            <w:r w:rsidRPr="00A67C76">
              <w:rPr>
                <w:sz w:val="20"/>
              </w:rPr>
              <w:t xml:space="preserve"> Bell Frog</w:t>
            </w:r>
          </w:p>
        </w:tc>
        <w:tc>
          <w:tcPr>
            <w:tcW w:w="2977" w:type="dxa"/>
          </w:tcPr>
          <w:p w:rsidR="00685CAC" w:rsidRPr="00A67C76" w:rsidRDefault="00685CAC" w:rsidP="00B96890">
            <w:pPr>
              <w:contextualSpacing/>
              <w:rPr>
                <w:i/>
                <w:sz w:val="20"/>
              </w:rPr>
            </w:pPr>
            <w:r w:rsidRPr="00A67C76">
              <w:rPr>
                <w:i/>
                <w:sz w:val="20"/>
              </w:rPr>
              <w:t>Litoria raniformis</w:t>
            </w:r>
          </w:p>
        </w:tc>
        <w:tc>
          <w:tcPr>
            <w:tcW w:w="1276" w:type="dxa"/>
          </w:tcPr>
          <w:p w:rsidR="00685CAC" w:rsidRPr="00A67C76" w:rsidRDefault="00685CAC" w:rsidP="00B96890">
            <w:pPr>
              <w:contextualSpacing/>
              <w:jc w:val="center"/>
              <w:rPr>
                <w:sz w:val="20"/>
              </w:rPr>
            </w:pPr>
            <w:r w:rsidRPr="00A67C76">
              <w:rPr>
                <w:sz w:val="20"/>
              </w:rPr>
              <w:t>X</w:t>
            </w:r>
          </w:p>
        </w:tc>
        <w:tc>
          <w:tcPr>
            <w:tcW w:w="1134" w:type="dxa"/>
          </w:tcPr>
          <w:p w:rsidR="00685CAC" w:rsidRPr="00A67C76" w:rsidRDefault="00685CAC" w:rsidP="00B96890">
            <w:pPr>
              <w:contextualSpacing/>
              <w:jc w:val="center"/>
              <w:rPr>
                <w:sz w:val="20"/>
              </w:rPr>
            </w:pPr>
            <w:r w:rsidRPr="00A67C76">
              <w:rPr>
                <w:sz w:val="20"/>
              </w:rPr>
              <w:t>Summer</w:t>
            </w:r>
          </w:p>
        </w:tc>
        <w:tc>
          <w:tcPr>
            <w:tcW w:w="1417" w:type="dxa"/>
          </w:tcPr>
          <w:p w:rsidR="00685CAC" w:rsidRPr="00A67C76" w:rsidRDefault="00685CAC" w:rsidP="00B96890">
            <w:pPr>
              <w:contextualSpacing/>
              <w:jc w:val="center"/>
              <w:rPr>
                <w:sz w:val="20"/>
              </w:rPr>
            </w:pPr>
          </w:p>
        </w:tc>
      </w:tr>
      <w:tr w:rsidR="00685CAC" w:rsidRPr="00A67C76" w:rsidTr="00A42AA5">
        <w:tc>
          <w:tcPr>
            <w:tcW w:w="2518" w:type="dxa"/>
            <w:tcBorders>
              <w:bottom w:val="single" w:sz="4" w:space="0" w:color="A6A6A6" w:themeColor="background1" w:themeShade="A6"/>
            </w:tcBorders>
          </w:tcPr>
          <w:p w:rsidR="00685CAC" w:rsidRPr="00A67C76" w:rsidRDefault="00685CAC" w:rsidP="00B96890">
            <w:pPr>
              <w:contextualSpacing/>
              <w:rPr>
                <w:i/>
                <w:sz w:val="20"/>
              </w:rPr>
            </w:pPr>
            <w:r w:rsidRPr="00A67C76">
              <w:rPr>
                <w:sz w:val="20"/>
              </w:rPr>
              <w:t>Spotted Grass Frog</w:t>
            </w:r>
          </w:p>
        </w:tc>
        <w:tc>
          <w:tcPr>
            <w:tcW w:w="2977" w:type="dxa"/>
            <w:tcBorders>
              <w:bottom w:val="single" w:sz="4" w:space="0" w:color="A6A6A6" w:themeColor="background1" w:themeShade="A6"/>
            </w:tcBorders>
          </w:tcPr>
          <w:p w:rsidR="00685CAC" w:rsidRPr="00A67C76" w:rsidRDefault="00685CAC" w:rsidP="00B96890">
            <w:pPr>
              <w:contextualSpacing/>
              <w:rPr>
                <w:i/>
                <w:sz w:val="20"/>
              </w:rPr>
            </w:pPr>
            <w:r w:rsidRPr="00A67C76">
              <w:rPr>
                <w:i/>
                <w:sz w:val="20"/>
              </w:rPr>
              <w:t>Limnodynastes tasmaniensis</w:t>
            </w:r>
          </w:p>
        </w:tc>
        <w:tc>
          <w:tcPr>
            <w:tcW w:w="1276" w:type="dxa"/>
            <w:tcBorders>
              <w:bottom w:val="single" w:sz="4" w:space="0" w:color="A6A6A6" w:themeColor="background1" w:themeShade="A6"/>
            </w:tcBorders>
          </w:tcPr>
          <w:p w:rsidR="00685CAC" w:rsidRPr="00A67C76" w:rsidRDefault="00685CAC" w:rsidP="00B96890">
            <w:pPr>
              <w:contextualSpacing/>
              <w:jc w:val="center"/>
              <w:rPr>
                <w:sz w:val="20"/>
              </w:rPr>
            </w:pPr>
            <w:r w:rsidRPr="00A67C76">
              <w:rPr>
                <w:sz w:val="20"/>
              </w:rPr>
              <w:t>X</w:t>
            </w:r>
          </w:p>
        </w:tc>
        <w:tc>
          <w:tcPr>
            <w:tcW w:w="1134" w:type="dxa"/>
            <w:tcBorders>
              <w:bottom w:val="single" w:sz="4" w:space="0" w:color="A6A6A6" w:themeColor="background1" w:themeShade="A6"/>
            </w:tcBorders>
          </w:tcPr>
          <w:p w:rsidR="00685CAC" w:rsidRPr="00A67C76" w:rsidRDefault="00685CAC" w:rsidP="00B96890">
            <w:pPr>
              <w:contextualSpacing/>
              <w:jc w:val="center"/>
              <w:rPr>
                <w:sz w:val="20"/>
              </w:rPr>
            </w:pPr>
            <w:r w:rsidRPr="00A67C76">
              <w:rPr>
                <w:sz w:val="20"/>
              </w:rPr>
              <w:t>X</w:t>
            </w:r>
          </w:p>
        </w:tc>
        <w:tc>
          <w:tcPr>
            <w:tcW w:w="1417" w:type="dxa"/>
            <w:tcBorders>
              <w:bottom w:val="single" w:sz="4" w:space="0" w:color="A6A6A6" w:themeColor="background1" w:themeShade="A6"/>
            </w:tcBorders>
          </w:tcPr>
          <w:p w:rsidR="00685CAC" w:rsidRPr="00A67C76" w:rsidRDefault="00685CAC" w:rsidP="00B96890">
            <w:pPr>
              <w:contextualSpacing/>
              <w:jc w:val="center"/>
              <w:rPr>
                <w:sz w:val="20"/>
              </w:rPr>
            </w:pPr>
            <w:r w:rsidRPr="00A67C76">
              <w:rPr>
                <w:sz w:val="20"/>
              </w:rPr>
              <w:t>X</w:t>
            </w:r>
          </w:p>
        </w:tc>
      </w:tr>
    </w:tbl>
    <w:p w:rsidR="00DB21D5" w:rsidRPr="00A67C76" w:rsidRDefault="00DB21D5" w:rsidP="0089330F">
      <w:pPr>
        <w:rPr>
          <w:b/>
        </w:rPr>
      </w:pPr>
      <w:r w:rsidRPr="00A67C76">
        <w:rPr>
          <w:b/>
        </w:rPr>
        <w:t>Spring (high flows) and su</w:t>
      </w:r>
      <w:r w:rsidR="005A4666" w:rsidRPr="00A67C76">
        <w:rPr>
          <w:b/>
        </w:rPr>
        <w:t>mmer (environmental water) 2012</w:t>
      </w:r>
    </w:p>
    <w:p w:rsidR="00DB21D5" w:rsidRPr="00A67C76" w:rsidRDefault="00DB21D5" w:rsidP="00DB21D5">
      <w:pPr>
        <w:rPr>
          <w:szCs w:val="24"/>
        </w:rPr>
      </w:pPr>
      <w:r w:rsidRPr="00A67C76">
        <w:t>Comparing wetlands repeatedly sampled in spring (high flows) and summer (environmental water) revealed that average abundance of calling males at wetlands was significantly higher in spring than in summer (p=0.005) (</w:t>
      </w:r>
      <w:r w:rsidR="002E6077" w:rsidRPr="00A67C76">
        <w:fldChar w:fldCharType="begin"/>
      </w:r>
      <w:r w:rsidRPr="00A67C76">
        <w:instrText xml:space="preserve"> REF _Ref381781487 \h </w:instrText>
      </w:r>
      <w:r w:rsidR="002E6077" w:rsidRPr="00A67C76">
        <w:fldChar w:fldCharType="separate"/>
      </w:r>
      <w:r w:rsidR="009659F2" w:rsidRPr="00A67C76">
        <w:t xml:space="preserve">Figure </w:t>
      </w:r>
      <w:r w:rsidR="009659F2">
        <w:rPr>
          <w:noProof/>
        </w:rPr>
        <w:t>33</w:t>
      </w:r>
      <w:r w:rsidR="002E6077" w:rsidRPr="00A67C76">
        <w:fldChar w:fldCharType="end"/>
      </w:r>
      <w:r w:rsidRPr="00A67C76">
        <w:t>A). Average frog species call richness was also significantly higher in spring than in summer 2012 (p&lt;0.001) (</w:t>
      </w:r>
      <w:r w:rsidR="002E6077" w:rsidRPr="00A67C76">
        <w:fldChar w:fldCharType="begin"/>
      </w:r>
      <w:r w:rsidRPr="00A67C76">
        <w:instrText xml:space="preserve"> REF _Ref381781487 \h </w:instrText>
      </w:r>
      <w:r w:rsidR="002E6077" w:rsidRPr="00A67C76">
        <w:fldChar w:fldCharType="separate"/>
      </w:r>
      <w:r w:rsidR="009659F2" w:rsidRPr="00A67C76">
        <w:t xml:space="preserve">Figure </w:t>
      </w:r>
      <w:r w:rsidR="009659F2">
        <w:rPr>
          <w:noProof/>
        </w:rPr>
        <w:t>33</w:t>
      </w:r>
      <w:r w:rsidR="002E6077" w:rsidRPr="00A67C76">
        <w:fldChar w:fldCharType="end"/>
      </w:r>
      <w:r w:rsidRPr="00A67C76">
        <w:t>B</w:t>
      </w:r>
      <w:proofErr w:type="gramStart"/>
      <w:r w:rsidR="00293EFC" w:rsidRPr="00A67C76">
        <w:t>)(</w:t>
      </w:r>
      <w:proofErr w:type="gramEnd"/>
      <w:r w:rsidR="002E6077" w:rsidRPr="00A67C76">
        <w:fldChar w:fldCharType="begin"/>
      </w:r>
      <w:r w:rsidR="00293EFC" w:rsidRPr="00A67C76">
        <w:instrText xml:space="preserve"> REF _Ref387841567 \h </w:instrText>
      </w:r>
      <w:r w:rsidR="002E6077" w:rsidRPr="00A67C76">
        <w:fldChar w:fldCharType="separate"/>
      </w:r>
      <w:r w:rsidR="009659F2" w:rsidRPr="00A67C76">
        <w:t xml:space="preserve">Appendix </w:t>
      </w:r>
      <w:r w:rsidR="009659F2">
        <w:rPr>
          <w:noProof/>
        </w:rPr>
        <w:t>VIII</w:t>
      </w:r>
      <w:r w:rsidR="002E6077" w:rsidRPr="00A67C76">
        <w:fldChar w:fldCharType="end"/>
      </w:r>
      <w:r w:rsidR="00293EFC" w:rsidRPr="00A67C76">
        <w:t>)</w:t>
      </w:r>
      <w:r w:rsidRPr="00A67C76">
        <w:t>.</w:t>
      </w:r>
      <w:r w:rsidRPr="00A67C76">
        <w:rPr>
          <w:szCs w:val="24"/>
        </w:rPr>
        <w:t xml:space="preserve"> </w:t>
      </w:r>
    </w:p>
    <w:p w:rsidR="00DB21D5" w:rsidRPr="00A67C76" w:rsidRDefault="00BA3A81" w:rsidP="00BA3A81">
      <w:pPr>
        <w:jc w:val="center"/>
        <w:rPr>
          <w:szCs w:val="24"/>
        </w:rPr>
      </w:pPr>
      <w:r w:rsidRPr="00A67C76">
        <w:rPr>
          <w:noProof/>
          <w:szCs w:val="24"/>
          <w:lang w:eastAsia="en-AU"/>
        </w:rPr>
        <w:drawing>
          <wp:inline distT="0" distB="0" distL="0" distR="0">
            <wp:extent cx="4107815" cy="5118100"/>
            <wp:effectExtent l="19050" t="0" r="698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email"/>
                    <a:srcRect/>
                    <a:stretch>
                      <a:fillRect/>
                    </a:stretch>
                  </pic:blipFill>
                  <pic:spPr bwMode="auto">
                    <a:xfrm>
                      <a:off x="0" y="0"/>
                      <a:ext cx="4107815" cy="5118100"/>
                    </a:xfrm>
                    <a:prstGeom prst="rect">
                      <a:avLst/>
                    </a:prstGeom>
                    <a:noFill/>
                    <a:ln w="9525">
                      <a:noFill/>
                      <a:miter lim="800000"/>
                      <a:headEnd/>
                      <a:tailEnd/>
                    </a:ln>
                  </pic:spPr>
                </pic:pic>
              </a:graphicData>
            </a:graphic>
          </wp:inline>
        </w:drawing>
      </w:r>
    </w:p>
    <w:p w:rsidR="00DB21D5" w:rsidRPr="00A67C76" w:rsidRDefault="00DB21D5" w:rsidP="00DB21D5">
      <w:pPr>
        <w:pStyle w:val="Caption"/>
      </w:pPr>
      <w:bookmarkStart w:id="157" w:name="_Ref381781487"/>
      <w:bookmarkStart w:id="158" w:name="_Toc371416146"/>
      <w:bookmarkStart w:id="159" w:name="_Toc387843084"/>
      <w:proofErr w:type="gramStart"/>
      <w:r w:rsidRPr="00A67C76">
        <w:t xml:space="preserve">Figure </w:t>
      </w:r>
      <w:proofErr w:type="gramEnd"/>
      <w:r w:rsidR="002E6077" w:rsidRPr="00A67C76">
        <w:fldChar w:fldCharType="begin"/>
      </w:r>
      <w:r w:rsidR="00110CB9" w:rsidRPr="00A67C76">
        <w:instrText xml:space="preserve"> SEQ Figure \* ARABIC </w:instrText>
      </w:r>
      <w:r w:rsidR="002E6077" w:rsidRPr="00A67C76">
        <w:fldChar w:fldCharType="separate"/>
      </w:r>
      <w:r w:rsidR="009659F2">
        <w:rPr>
          <w:noProof/>
        </w:rPr>
        <w:t>33</w:t>
      </w:r>
      <w:r w:rsidR="002E6077" w:rsidRPr="00A67C76">
        <w:rPr>
          <w:noProof/>
        </w:rPr>
        <w:fldChar w:fldCharType="end"/>
      </w:r>
      <w:bookmarkEnd w:id="157"/>
      <w:proofErr w:type="gramStart"/>
      <w:r w:rsidRPr="00A67C76">
        <w:t>.</w:t>
      </w:r>
      <w:proofErr w:type="gramEnd"/>
      <w:r w:rsidRPr="00A67C76">
        <w:t xml:space="preserve"> Mean (± Standard Error) (a) abundance and (b) species richness of calling males at wetlands (n</w:t>
      </w:r>
      <w:r w:rsidR="007C6EE2" w:rsidRPr="00A67C76">
        <w:t xml:space="preserve"> </w:t>
      </w:r>
      <w:r w:rsidRPr="00A67C76">
        <w:t>=</w:t>
      </w:r>
      <w:r w:rsidR="007C6EE2" w:rsidRPr="00A67C76">
        <w:t xml:space="preserve"> </w:t>
      </w:r>
      <w:r w:rsidRPr="00A67C76">
        <w:t>9) in spring (high flows) and summer (environmental water) 2012.</w:t>
      </w:r>
      <w:bookmarkEnd w:id="158"/>
      <w:bookmarkEnd w:id="159"/>
    </w:p>
    <w:p w:rsidR="00DB21D5" w:rsidRPr="00A67C76" w:rsidRDefault="00DB21D5" w:rsidP="00DB21D5">
      <w:pPr>
        <w:rPr>
          <w:szCs w:val="24"/>
        </w:rPr>
      </w:pPr>
      <w:r w:rsidRPr="00A67C76">
        <w:rPr>
          <w:szCs w:val="24"/>
        </w:rPr>
        <w:t xml:space="preserve">Comparison of environmental variables at wetlands sampled during spring (high flows) and summer (environmental water) 2012 frog surveys revealed that flow to </w:t>
      </w:r>
      <w:r w:rsidR="003626AB" w:rsidRPr="00A67C76">
        <w:rPr>
          <w:szCs w:val="24"/>
        </w:rPr>
        <w:t>South Australia</w:t>
      </w:r>
      <w:r w:rsidRPr="00A67C76">
        <w:rPr>
          <w:szCs w:val="24"/>
        </w:rPr>
        <w:t xml:space="preserve">, and emergent vegetation decreased significantly from spring to summer and air temperature increased significantly over the sampling period (Hoffmann </w:t>
      </w:r>
      <w:r w:rsidRPr="00A67C76">
        <w:rPr>
          <w:i/>
          <w:szCs w:val="24"/>
        </w:rPr>
        <w:t>et al</w:t>
      </w:r>
      <w:r w:rsidRPr="00A67C76">
        <w:rPr>
          <w:szCs w:val="24"/>
        </w:rPr>
        <w:t xml:space="preserve">. </w:t>
      </w:r>
      <w:r w:rsidR="005C4821" w:rsidRPr="00A67C76">
        <w:rPr>
          <w:szCs w:val="24"/>
        </w:rPr>
        <w:t>2014</w:t>
      </w:r>
      <w:r w:rsidRPr="00A67C76">
        <w:rPr>
          <w:szCs w:val="24"/>
        </w:rPr>
        <w:t xml:space="preserve">). Emergent vegetation was positively correlated with flows to </w:t>
      </w:r>
      <w:r w:rsidR="003626AB" w:rsidRPr="00A67C76">
        <w:rPr>
          <w:szCs w:val="24"/>
        </w:rPr>
        <w:t>South Australia</w:t>
      </w:r>
      <w:r w:rsidRPr="00A67C76">
        <w:rPr>
          <w:szCs w:val="24"/>
        </w:rPr>
        <w:t xml:space="preserve"> (</w:t>
      </w:r>
      <w:r w:rsidRPr="00A67C76">
        <w:rPr>
          <w:i/>
          <w:szCs w:val="24"/>
        </w:rPr>
        <w:t>r</w:t>
      </w:r>
      <w:r w:rsidRPr="00A67C76">
        <w:rPr>
          <w:i/>
          <w:szCs w:val="24"/>
          <w:vertAlign w:val="superscript"/>
        </w:rPr>
        <w:t>2</w:t>
      </w:r>
      <w:r w:rsidRPr="00A67C76">
        <w:rPr>
          <w:szCs w:val="24"/>
        </w:rPr>
        <w:t xml:space="preserve">=0.28, </w:t>
      </w:r>
      <w:r w:rsidRPr="00A67C76">
        <w:rPr>
          <w:i/>
          <w:szCs w:val="24"/>
        </w:rPr>
        <w:t>p</w:t>
      </w:r>
      <w:r w:rsidRPr="00A67C76">
        <w:rPr>
          <w:szCs w:val="24"/>
        </w:rPr>
        <w:t xml:space="preserve">=0.028, </w:t>
      </w:r>
      <w:r w:rsidRPr="00A67C76">
        <w:rPr>
          <w:i/>
          <w:szCs w:val="24"/>
        </w:rPr>
        <w:t>n</w:t>
      </w:r>
      <w:r w:rsidRPr="00A67C76">
        <w:rPr>
          <w:szCs w:val="24"/>
        </w:rPr>
        <w:t>=18)</w:t>
      </w:r>
      <w:r w:rsidRPr="00A67C76">
        <w:rPr>
          <w:i/>
          <w:szCs w:val="24"/>
        </w:rPr>
        <w:t xml:space="preserve">. </w:t>
      </w:r>
      <w:r w:rsidRPr="00A67C76">
        <w:rPr>
          <w:szCs w:val="24"/>
        </w:rPr>
        <w:t>Electrical conductivity, humidity and submerged vegetation were not significantly different between spring and summer surveys.</w:t>
      </w:r>
      <w:r w:rsidRPr="00A67C76">
        <w:rPr>
          <w:szCs w:val="24"/>
          <w:highlight w:val="yellow"/>
        </w:rPr>
        <w:t xml:space="preserve"> </w:t>
      </w:r>
    </w:p>
    <w:p w:rsidR="00DB21D5" w:rsidRPr="00360AE5" w:rsidRDefault="00DB21D5" w:rsidP="00584408">
      <w:pPr>
        <w:rPr>
          <w:b/>
          <w:bCs/>
          <w:color w:val="auto"/>
          <w:sz w:val="20"/>
          <w:szCs w:val="18"/>
        </w:rPr>
      </w:pPr>
      <w:r w:rsidRPr="00A67C76">
        <w:rPr>
          <w:szCs w:val="24"/>
        </w:rPr>
        <w:t>Both frog call abundance and species call richness displayed a positive relationship with emergent vegetation</w:t>
      </w:r>
      <w:r w:rsidR="00727B54" w:rsidRPr="00A67C76">
        <w:rPr>
          <w:szCs w:val="24"/>
        </w:rPr>
        <w:t xml:space="preserve"> (</w:t>
      </w:r>
      <w:r w:rsidR="002E6077" w:rsidRPr="00A67C76">
        <w:rPr>
          <w:szCs w:val="24"/>
        </w:rPr>
        <w:fldChar w:fldCharType="begin"/>
      </w:r>
      <w:r w:rsidR="00727B54" w:rsidRPr="00A67C76">
        <w:rPr>
          <w:szCs w:val="24"/>
        </w:rPr>
        <w:instrText xml:space="preserve"> REF _Ref387831345 \h </w:instrText>
      </w:r>
      <w:r w:rsidR="002E6077" w:rsidRPr="00A67C76">
        <w:rPr>
          <w:szCs w:val="24"/>
        </w:rPr>
      </w:r>
      <w:r w:rsidR="002E6077" w:rsidRPr="00A67C76">
        <w:rPr>
          <w:szCs w:val="24"/>
        </w:rPr>
        <w:fldChar w:fldCharType="separate"/>
      </w:r>
      <w:r w:rsidR="009659F2" w:rsidRPr="00A67C76">
        <w:t xml:space="preserve">Figure </w:t>
      </w:r>
      <w:r w:rsidR="009659F2">
        <w:rPr>
          <w:noProof/>
        </w:rPr>
        <w:t>34</w:t>
      </w:r>
      <w:r w:rsidR="002E6077" w:rsidRPr="00A67C76">
        <w:rPr>
          <w:szCs w:val="24"/>
        </w:rPr>
        <w:fldChar w:fldCharType="end"/>
      </w:r>
      <w:r w:rsidR="00727B54" w:rsidRPr="00A67C76">
        <w:rPr>
          <w:szCs w:val="24"/>
        </w:rPr>
        <w:t xml:space="preserve"> and </w:t>
      </w:r>
      <w:r w:rsidR="002E6077" w:rsidRPr="00A67C76">
        <w:rPr>
          <w:szCs w:val="24"/>
        </w:rPr>
        <w:fldChar w:fldCharType="begin"/>
      </w:r>
      <w:r w:rsidR="00727B54" w:rsidRPr="00A67C76">
        <w:rPr>
          <w:szCs w:val="24"/>
        </w:rPr>
        <w:instrText xml:space="preserve"> REF _Ref387831347 \h </w:instrText>
      </w:r>
      <w:r w:rsidR="002E6077" w:rsidRPr="00A67C76">
        <w:rPr>
          <w:szCs w:val="24"/>
        </w:rPr>
      </w:r>
      <w:r w:rsidR="002E6077" w:rsidRPr="00A67C76">
        <w:rPr>
          <w:szCs w:val="24"/>
        </w:rPr>
        <w:fldChar w:fldCharType="separate"/>
      </w:r>
      <w:r w:rsidR="009659F2" w:rsidRPr="00A67C76">
        <w:t xml:space="preserve">Figure </w:t>
      </w:r>
      <w:r w:rsidR="009659F2">
        <w:rPr>
          <w:noProof/>
        </w:rPr>
        <w:t>35</w:t>
      </w:r>
      <w:r w:rsidR="002E6077" w:rsidRPr="00A67C76">
        <w:rPr>
          <w:szCs w:val="24"/>
        </w:rPr>
        <w:fldChar w:fldCharType="end"/>
      </w:r>
      <w:r w:rsidR="00727B54" w:rsidRPr="00A67C76">
        <w:rPr>
          <w:szCs w:val="24"/>
        </w:rPr>
        <w:t xml:space="preserve">). </w:t>
      </w:r>
      <w:r w:rsidRPr="00A67C76">
        <w:rPr>
          <w:szCs w:val="24"/>
        </w:rPr>
        <w:t xml:space="preserve">Generalised linear modelling revealed that flows to </w:t>
      </w:r>
      <w:r w:rsidR="003626AB" w:rsidRPr="00A67C76">
        <w:rPr>
          <w:szCs w:val="24"/>
        </w:rPr>
        <w:t>South Australia</w:t>
      </w:r>
      <w:r w:rsidRPr="00A67C76">
        <w:rPr>
          <w:szCs w:val="24"/>
        </w:rPr>
        <w:t xml:space="preserve"> and emergent vegetation were significant predictors for frog call abundance and species call richness at wetlands</w:t>
      </w:r>
      <w:r w:rsidR="00293EFC" w:rsidRPr="00A67C76">
        <w:rPr>
          <w:szCs w:val="24"/>
        </w:rPr>
        <w:t xml:space="preserve"> (</w:t>
      </w:r>
      <w:r w:rsidR="00584408">
        <w:rPr>
          <w:szCs w:val="24"/>
        </w:rPr>
        <w:t>Appendix IX and Appendix X)</w:t>
      </w:r>
      <w:r w:rsidR="00293EFC" w:rsidRPr="00A67C76">
        <w:rPr>
          <w:szCs w:val="24"/>
        </w:rPr>
        <w:t>)</w:t>
      </w:r>
      <w:r w:rsidRPr="00A67C76">
        <w:rPr>
          <w:szCs w:val="24"/>
        </w:rPr>
        <w:t>. Overall, the included environmental variables explained 62.</w:t>
      </w:r>
      <w:r w:rsidR="00E0537E">
        <w:rPr>
          <w:szCs w:val="24"/>
        </w:rPr>
        <w:t>4</w:t>
      </w:r>
      <w:r w:rsidRPr="00A67C76">
        <w:rPr>
          <w:szCs w:val="24"/>
        </w:rPr>
        <w:t>% and 46.7% of the variation in frog call abundance and species richness respectively.</w:t>
      </w:r>
    </w:p>
    <w:p w:rsidR="00CC1649" w:rsidRPr="00A67C76" w:rsidRDefault="00F914C8" w:rsidP="0089330F">
      <w:r w:rsidRPr="00A67C76">
        <w:rPr>
          <w:noProof/>
          <w:lang w:eastAsia="en-AU"/>
        </w:rPr>
        <w:drawing>
          <wp:inline distT="0" distB="0" distL="0" distR="0">
            <wp:extent cx="4488872" cy="2755075"/>
            <wp:effectExtent l="0" t="0" r="6985" b="7620"/>
            <wp:docPr id="1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C1649" w:rsidRPr="00A67C76" w:rsidRDefault="00E35C9A" w:rsidP="00E35C9A">
      <w:pPr>
        <w:pStyle w:val="Caption"/>
      </w:pPr>
      <w:bookmarkStart w:id="160" w:name="_Ref387831345"/>
      <w:bookmarkStart w:id="161" w:name="_Toc387843085"/>
      <w:proofErr w:type="gramStart"/>
      <w:r w:rsidRPr="00A67C76">
        <w:t xml:space="preserve">Figure </w:t>
      </w:r>
      <w:proofErr w:type="gramEnd"/>
      <w:r w:rsidR="002E6077" w:rsidRPr="00A67C76">
        <w:fldChar w:fldCharType="begin"/>
      </w:r>
      <w:r w:rsidR="00621CBB" w:rsidRPr="00A67C76">
        <w:instrText xml:space="preserve"> SEQ Figure \* ARABIC </w:instrText>
      </w:r>
      <w:r w:rsidR="002E6077" w:rsidRPr="00A67C76">
        <w:fldChar w:fldCharType="separate"/>
      </w:r>
      <w:r w:rsidR="009659F2">
        <w:rPr>
          <w:noProof/>
        </w:rPr>
        <w:t>34</w:t>
      </w:r>
      <w:r w:rsidR="002E6077" w:rsidRPr="00A67C76">
        <w:rPr>
          <w:noProof/>
        </w:rPr>
        <w:fldChar w:fldCharType="end"/>
      </w:r>
      <w:bookmarkEnd w:id="160"/>
      <w:proofErr w:type="gramStart"/>
      <w:r w:rsidR="00CC1649" w:rsidRPr="00A67C76">
        <w:t>.</w:t>
      </w:r>
      <w:proofErr w:type="gramEnd"/>
      <w:r w:rsidR="00CC1649" w:rsidRPr="00A67C76">
        <w:t xml:space="preserve"> </w:t>
      </w:r>
      <w:proofErr w:type="gramStart"/>
      <w:r w:rsidR="00CC1649" w:rsidRPr="00A67C76">
        <w:t>Relationship between species richness of calling males and emergent vegetation (%) at wetlands in spring and summer 2012.</w:t>
      </w:r>
      <w:bookmarkEnd w:id="161"/>
      <w:proofErr w:type="gramEnd"/>
    </w:p>
    <w:p w:rsidR="00CC1649" w:rsidRPr="00A67C76" w:rsidRDefault="00F914C8" w:rsidP="0089330F">
      <w:r w:rsidRPr="00A67C76">
        <w:rPr>
          <w:noProof/>
          <w:lang w:eastAsia="en-AU"/>
        </w:rPr>
        <w:drawing>
          <wp:inline distT="0" distB="0" distL="0" distR="0">
            <wp:extent cx="4572000" cy="2873828"/>
            <wp:effectExtent l="0" t="0" r="0" b="3175"/>
            <wp:docPr id="3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C1649" w:rsidRPr="00A67C76" w:rsidRDefault="00E35C9A" w:rsidP="00E35C9A">
      <w:pPr>
        <w:pStyle w:val="Caption"/>
      </w:pPr>
      <w:bookmarkStart w:id="162" w:name="_Ref387831347"/>
      <w:bookmarkStart w:id="163" w:name="_Toc387843086"/>
      <w:proofErr w:type="gramStart"/>
      <w:r w:rsidRPr="00A67C76">
        <w:t xml:space="preserve">Figure </w:t>
      </w:r>
      <w:proofErr w:type="gramEnd"/>
      <w:r w:rsidR="002E6077" w:rsidRPr="00A67C76">
        <w:fldChar w:fldCharType="begin"/>
      </w:r>
      <w:r w:rsidR="00621CBB" w:rsidRPr="00A67C76">
        <w:instrText xml:space="preserve"> SEQ Figure \* ARABIC </w:instrText>
      </w:r>
      <w:r w:rsidR="002E6077" w:rsidRPr="00A67C76">
        <w:fldChar w:fldCharType="separate"/>
      </w:r>
      <w:r w:rsidR="009659F2">
        <w:rPr>
          <w:noProof/>
        </w:rPr>
        <w:t>35</w:t>
      </w:r>
      <w:r w:rsidR="002E6077" w:rsidRPr="00A67C76">
        <w:rPr>
          <w:noProof/>
        </w:rPr>
        <w:fldChar w:fldCharType="end"/>
      </w:r>
      <w:bookmarkEnd w:id="162"/>
      <w:proofErr w:type="gramStart"/>
      <w:r w:rsidR="00CC1649" w:rsidRPr="00A67C76">
        <w:t>.</w:t>
      </w:r>
      <w:proofErr w:type="gramEnd"/>
      <w:r w:rsidR="00CC1649" w:rsidRPr="00A67C76">
        <w:t xml:space="preserve"> </w:t>
      </w:r>
      <w:proofErr w:type="gramStart"/>
      <w:r w:rsidR="00CC1649" w:rsidRPr="00A67C76">
        <w:t>Relationship between the abundance of calling males and emergent vegetation (%) at wetlands in spring and summer 2012.</w:t>
      </w:r>
      <w:bookmarkEnd w:id="163"/>
      <w:proofErr w:type="gramEnd"/>
    </w:p>
    <w:p w:rsidR="00293EFC" w:rsidRDefault="00293EFC" w:rsidP="008F0A76">
      <w:pPr>
        <w:rPr>
          <w:b/>
        </w:rPr>
      </w:pPr>
    </w:p>
    <w:p w:rsidR="00DB21D5" w:rsidRPr="00A67C76" w:rsidRDefault="00DB21D5" w:rsidP="008F0A76">
      <w:pPr>
        <w:rPr>
          <w:b/>
        </w:rPr>
      </w:pPr>
      <w:r w:rsidRPr="00A67C76">
        <w:rPr>
          <w:b/>
        </w:rPr>
        <w:t xml:space="preserve">Comparison </w:t>
      </w:r>
      <w:r w:rsidR="005C4821" w:rsidRPr="00A67C76">
        <w:rPr>
          <w:b/>
        </w:rPr>
        <w:t xml:space="preserve">with </w:t>
      </w:r>
      <w:r w:rsidRPr="00A67C76">
        <w:rPr>
          <w:b/>
        </w:rPr>
        <w:t>previous summers</w:t>
      </w:r>
    </w:p>
    <w:p w:rsidR="00DB21D5" w:rsidRPr="00A67C76" w:rsidRDefault="00DB21D5" w:rsidP="00DB21D5">
      <w:r w:rsidRPr="00A67C76">
        <w:t xml:space="preserve">Between 2005 and 2009, flows at the </w:t>
      </w:r>
      <w:r w:rsidR="003626AB" w:rsidRPr="00A67C76">
        <w:t>South Australian</w:t>
      </w:r>
      <w:r w:rsidRPr="00A67C76">
        <w:t xml:space="preserve"> border were at or below entitlement flows (low flows), with the exception of 2005, which had a relatively short period of above entitlement flows (</w:t>
      </w:r>
      <w:r w:rsidR="002E6077" w:rsidRPr="00A67C76">
        <w:fldChar w:fldCharType="begin"/>
      </w:r>
      <w:r w:rsidRPr="00A67C76">
        <w:instrText xml:space="preserve"> REF _Ref381781532 \h </w:instrText>
      </w:r>
      <w:r w:rsidR="002E6077" w:rsidRPr="00A67C76">
        <w:fldChar w:fldCharType="separate"/>
      </w:r>
      <w:r w:rsidR="009659F2" w:rsidRPr="00A67C76">
        <w:t xml:space="preserve">Table </w:t>
      </w:r>
      <w:r w:rsidR="009659F2">
        <w:rPr>
          <w:noProof/>
        </w:rPr>
        <w:t>12</w:t>
      </w:r>
      <w:r w:rsidR="002E6077" w:rsidRPr="00A67C76">
        <w:fldChar w:fldCharType="end"/>
      </w:r>
      <w:r w:rsidRPr="00A67C76">
        <w:t xml:space="preserve">). In 2010 to 2012, the Lower Murray River experienced higher unregulated flows, with a peak of 93,000 </w:t>
      </w:r>
      <w:r w:rsidRPr="00A67C76">
        <w:rPr>
          <w:iCs/>
        </w:rPr>
        <w:t>ML day</w:t>
      </w:r>
      <w:r w:rsidRPr="00A67C76">
        <w:rPr>
          <w:iCs/>
          <w:vertAlign w:val="superscript"/>
        </w:rPr>
        <w:t>-1</w:t>
      </w:r>
      <w:r w:rsidRPr="00A67C76">
        <w:t xml:space="preserve"> in March 2011. The environmental water</w:t>
      </w:r>
      <w:r w:rsidR="00E016EE" w:rsidRPr="00A67C76">
        <w:t xml:space="preserve">ing </w:t>
      </w:r>
      <w:r w:rsidRPr="00A67C76">
        <w:t xml:space="preserve">in 2012 increased flows to 19,557 </w:t>
      </w:r>
      <w:r w:rsidRPr="00A67C76">
        <w:rPr>
          <w:iCs/>
        </w:rPr>
        <w:t>ML day</w:t>
      </w:r>
      <w:r w:rsidRPr="00A67C76">
        <w:rPr>
          <w:iCs/>
          <w:vertAlign w:val="superscript"/>
        </w:rPr>
        <w:t>-1</w:t>
      </w:r>
      <w:r w:rsidRPr="00A67C76">
        <w:t xml:space="preserve"> in December.</w:t>
      </w:r>
    </w:p>
    <w:p w:rsidR="00DB21D5" w:rsidRPr="00A67C76" w:rsidRDefault="00DB21D5" w:rsidP="00DB21D5">
      <w:pPr>
        <w:pStyle w:val="Caption"/>
      </w:pPr>
      <w:bookmarkStart w:id="164" w:name="_Ref381781532"/>
      <w:bookmarkStart w:id="165" w:name="_Toc371416116"/>
      <w:bookmarkStart w:id="166" w:name="_Toc387929714"/>
      <w:proofErr w:type="gramStart"/>
      <w:r w:rsidRPr="00A67C76">
        <w:t xml:space="preserve">Table </w:t>
      </w:r>
      <w:proofErr w:type="gramEnd"/>
      <w:r w:rsidR="002E6077" w:rsidRPr="00A67C76">
        <w:fldChar w:fldCharType="begin"/>
      </w:r>
      <w:r w:rsidR="00110CB9" w:rsidRPr="00A67C76">
        <w:instrText xml:space="preserve"> SEQ Table \* ARABIC </w:instrText>
      </w:r>
      <w:r w:rsidR="002E6077" w:rsidRPr="00A67C76">
        <w:fldChar w:fldCharType="separate"/>
      </w:r>
      <w:r w:rsidR="009659F2">
        <w:rPr>
          <w:noProof/>
        </w:rPr>
        <w:t>12</w:t>
      </w:r>
      <w:r w:rsidR="002E6077" w:rsidRPr="00A67C76">
        <w:rPr>
          <w:noProof/>
        </w:rPr>
        <w:fldChar w:fldCharType="end"/>
      </w:r>
      <w:bookmarkEnd w:id="164"/>
      <w:proofErr w:type="gramStart"/>
      <w:r w:rsidRPr="00A67C76">
        <w:t>.</w:t>
      </w:r>
      <w:proofErr w:type="gramEnd"/>
      <w:r w:rsidRPr="00A67C76">
        <w:t xml:space="preserve"> Maximum and minimum flows at the </w:t>
      </w:r>
      <w:r w:rsidR="003626AB" w:rsidRPr="00A67C76">
        <w:t>South Australian (SA)</w:t>
      </w:r>
      <w:r w:rsidRPr="00A67C76">
        <w:t xml:space="preserve"> border (</w:t>
      </w:r>
      <w:r w:rsidRPr="00A67C76">
        <w:rPr>
          <w:iCs/>
        </w:rPr>
        <w:t>ML day</w:t>
      </w:r>
      <w:r w:rsidRPr="00A67C76">
        <w:rPr>
          <w:iCs/>
          <w:vertAlign w:val="superscript"/>
        </w:rPr>
        <w:t>-1</w:t>
      </w:r>
      <w:r w:rsidRPr="00A67C76">
        <w:t xml:space="preserve">) between months of </w:t>
      </w:r>
      <w:r w:rsidR="00537BBD">
        <w:t>Nov</w:t>
      </w:r>
      <w:r w:rsidR="00537BBD" w:rsidRPr="00A67C76">
        <w:t>ember</w:t>
      </w:r>
      <w:r w:rsidRPr="00A67C76">
        <w:t xml:space="preserve"> to December for the years 2005 to 2012.</w:t>
      </w:r>
      <w:bookmarkEnd w:id="165"/>
      <w:bookmarkEnd w:id="166"/>
    </w:p>
    <w:tbl>
      <w:tblPr>
        <w:tblW w:w="0" w:type="auto"/>
        <w:tblLook w:val="00A0"/>
      </w:tblPr>
      <w:tblGrid>
        <w:gridCol w:w="1098"/>
        <w:gridCol w:w="2340"/>
        <w:gridCol w:w="2430"/>
        <w:gridCol w:w="2660"/>
      </w:tblGrid>
      <w:tr w:rsidR="00DB21D5" w:rsidRPr="00A67C76" w:rsidTr="00DB21D5">
        <w:tc>
          <w:tcPr>
            <w:tcW w:w="1098" w:type="dxa"/>
            <w:tcBorders>
              <w:top w:val="single" w:sz="4" w:space="0" w:color="A6A6A6" w:themeColor="background1" w:themeShade="A6"/>
              <w:bottom w:val="single" w:sz="4" w:space="0" w:color="A6A6A6" w:themeColor="background1" w:themeShade="A6"/>
            </w:tcBorders>
            <w:shd w:val="clear" w:color="auto" w:fill="auto"/>
            <w:vAlign w:val="center"/>
          </w:tcPr>
          <w:p w:rsidR="00DB21D5" w:rsidRPr="00A67C76" w:rsidRDefault="00DB21D5" w:rsidP="00DB21D5">
            <w:pPr>
              <w:contextualSpacing/>
              <w:rPr>
                <w:b/>
              </w:rPr>
            </w:pPr>
            <w:r w:rsidRPr="00A67C76">
              <w:rPr>
                <w:b/>
              </w:rPr>
              <w:t>Year</w:t>
            </w:r>
          </w:p>
        </w:tc>
        <w:tc>
          <w:tcPr>
            <w:tcW w:w="2340" w:type="dxa"/>
            <w:tcBorders>
              <w:top w:val="single" w:sz="4" w:space="0" w:color="A6A6A6" w:themeColor="background1" w:themeShade="A6"/>
              <w:bottom w:val="single" w:sz="4" w:space="0" w:color="A6A6A6" w:themeColor="background1" w:themeShade="A6"/>
            </w:tcBorders>
            <w:shd w:val="clear" w:color="auto" w:fill="auto"/>
            <w:vAlign w:val="center"/>
          </w:tcPr>
          <w:p w:rsidR="00DB21D5" w:rsidRPr="00A67C76" w:rsidRDefault="00DB21D5" w:rsidP="00DB21D5">
            <w:pPr>
              <w:spacing w:before="60" w:after="60"/>
              <w:contextualSpacing/>
              <w:jc w:val="center"/>
              <w:rPr>
                <w:b/>
                <w:sz w:val="20"/>
              </w:rPr>
            </w:pPr>
            <w:r w:rsidRPr="00A67C76">
              <w:rPr>
                <w:b/>
                <w:sz w:val="20"/>
              </w:rPr>
              <w:t>Min flow at SA border between Nov/Dec (</w:t>
            </w:r>
            <w:r w:rsidRPr="00A67C76">
              <w:rPr>
                <w:b/>
                <w:iCs/>
                <w:sz w:val="20"/>
              </w:rPr>
              <w:t>ML day</w:t>
            </w:r>
            <w:r w:rsidRPr="00A67C76">
              <w:rPr>
                <w:b/>
                <w:iCs/>
                <w:sz w:val="20"/>
                <w:vertAlign w:val="superscript"/>
              </w:rPr>
              <w:t>-1</w:t>
            </w:r>
            <w:r w:rsidRPr="00A67C76">
              <w:rPr>
                <w:b/>
                <w:sz w:val="20"/>
              </w:rPr>
              <w:t>)</w:t>
            </w:r>
          </w:p>
        </w:tc>
        <w:tc>
          <w:tcPr>
            <w:tcW w:w="2430" w:type="dxa"/>
            <w:tcBorders>
              <w:top w:val="single" w:sz="4" w:space="0" w:color="A6A6A6" w:themeColor="background1" w:themeShade="A6"/>
              <w:bottom w:val="single" w:sz="4" w:space="0" w:color="A6A6A6" w:themeColor="background1" w:themeShade="A6"/>
            </w:tcBorders>
            <w:shd w:val="clear" w:color="auto" w:fill="auto"/>
            <w:vAlign w:val="center"/>
          </w:tcPr>
          <w:p w:rsidR="00DB21D5" w:rsidRPr="00A67C76" w:rsidRDefault="00DB21D5" w:rsidP="00DB21D5">
            <w:pPr>
              <w:spacing w:before="60" w:after="60"/>
              <w:contextualSpacing/>
              <w:jc w:val="center"/>
              <w:rPr>
                <w:b/>
                <w:sz w:val="20"/>
              </w:rPr>
            </w:pPr>
            <w:r w:rsidRPr="00A67C76">
              <w:rPr>
                <w:b/>
                <w:sz w:val="20"/>
              </w:rPr>
              <w:t>Max flow at SA border between Nov/ Dec (</w:t>
            </w:r>
            <w:r w:rsidRPr="00A67C76">
              <w:rPr>
                <w:b/>
                <w:iCs/>
                <w:sz w:val="20"/>
              </w:rPr>
              <w:t>ML day</w:t>
            </w:r>
            <w:r w:rsidRPr="00A67C76">
              <w:rPr>
                <w:b/>
                <w:iCs/>
                <w:sz w:val="20"/>
                <w:vertAlign w:val="superscript"/>
              </w:rPr>
              <w:t>-1</w:t>
            </w:r>
            <w:r w:rsidRPr="00A67C76">
              <w:rPr>
                <w:b/>
                <w:sz w:val="20"/>
              </w:rPr>
              <w:t>)</w:t>
            </w:r>
          </w:p>
        </w:tc>
        <w:tc>
          <w:tcPr>
            <w:tcW w:w="2660" w:type="dxa"/>
            <w:tcBorders>
              <w:top w:val="single" w:sz="4" w:space="0" w:color="A6A6A6" w:themeColor="background1" w:themeShade="A6"/>
              <w:bottom w:val="single" w:sz="4" w:space="0" w:color="A6A6A6" w:themeColor="background1" w:themeShade="A6"/>
            </w:tcBorders>
            <w:shd w:val="clear" w:color="auto" w:fill="auto"/>
            <w:vAlign w:val="center"/>
          </w:tcPr>
          <w:p w:rsidR="00DB21D5" w:rsidRPr="00A67C76" w:rsidRDefault="00DB21D5" w:rsidP="00DB21D5">
            <w:pPr>
              <w:spacing w:before="60" w:after="60"/>
              <w:contextualSpacing/>
              <w:jc w:val="center"/>
              <w:rPr>
                <w:b/>
                <w:sz w:val="20"/>
              </w:rPr>
            </w:pPr>
            <w:r w:rsidRPr="00A67C76">
              <w:rPr>
                <w:b/>
                <w:sz w:val="20"/>
              </w:rPr>
              <w:t>Description of flow conditions</w:t>
            </w:r>
          </w:p>
        </w:tc>
      </w:tr>
      <w:tr w:rsidR="00DB21D5" w:rsidRPr="00A67C76" w:rsidTr="00DB21D5">
        <w:tc>
          <w:tcPr>
            <w:tcW w:w="1098" w:type="dxa"/>
            <w:tcBorders>
              <w:top w:val="single" w:sz="4" w:space="0" w:color="A6A6A6" w:themeColor="background1" w:themeShade="A6"/>
            </w:tcBorders>
            <w:shd w:val="clear" w:color="auto" w:fill="auto"/>
            <w:vAlign w:val="center"/>
          </w:tcPr>
          <w:p w:rsidR="00DB21D5" w:rsidRPr="00A67C76" w:rsidRDefault="00DB21D5" w:rsidP="00DB21D5">
            <w:pPr>
              <w:spacing w:after="0"/>
              <w:contextualSpacing/>
              <w:jc w:val="center"/>
              <w:rPr>
                <w:sz w:val="20"/>
              </w:rPr>
            </w:pPr>
            <w:r w:rsidRPr="00A67C76">
              <w:rPr>
                <w:sz w:val="20"/>
              </w:rPr>
              <w:t>2005</w:t>
            </w:r>
          </w:p>
        </w:tc>
        <w:tc>
          <w:tcPr>
            <w:tcW w:w="2340" w:type="dxa"/>
            <w:tcBorders>
              <w:top w:val="single" w:sz="4" w:space="0" w:color="A6A6A6" w:themeColor="background1" w:themeShade="A6"/>
            </w:tcBorders>
            <w:shd w:val="clear" w:color="auto" w:fill="auto"/>
            <w:vAlign w:val="center"/>
          </w:tcPr>
          <w:p w:rsidR="00DB21D5" w:rsidRPr="00A67C76" w:rsidRDefault="00DB21D5" w:rsidP="00DB21D5">
            <w:pPr>
              <w:spacing w:after="0"/>
              <w:contextualSpacing/>
              <w:jc w:val="center"/>
              <w:rPr>
                <w:sz w:val="20"/>
              </w:rPr>
            </w:pPr>
            <w:r w:rsidRPr="00A67C76">
              <w:rPr>
                <w:sz w:val="20"/>
              </w:rPr>
              <w:t>6</w:t>
            </w:r>
            <w:r w:rsidR="00F76502" w:rsidRPr="00A67C76">
              <w:rPr>
                <w:sz w:val="20"/>
              </w:rPr>
              <w:t>,</w:t>
            </w:r>
            <w:r w:rsidRPr="00A67C76">
              <w:rPr>
                <w:sz w:val="20"/>
              </w:rPr>
              <w:t>689</w:t>
            </w:r>
          </w:p>
        </w:tc>
        <w:tc>
          <w:tcPr>
            <w:tcW w:w="2430" w:type="dxa"/>
            <w:tcBorders>
              <w:top w:val="single" w:sz="4" w:space="0" w:color="A6A6A6" w:themeColor="background1" w:themeShade="A6"/>
            </w:tcBorders>
            <w:shd w:val="clear" w:color="auto" w:fill="auto"/>
            <w:vAlign w:val="center"/>
          </w:tcPr>
          <w:p w:rsidR="00DB21D5" w:rsidRPr="00A67C76" w:rsidRDefault="00DB21D5" w:rsidP="00DB21D5">
            <w:pPr>
              <w:spacing w:after="0"/>
              <w:contextualSpacing/>
              <w:jc w:val="center"/>
              <w:rPr>
                <w:sz w:val="20"/>
              </w:rPr>
            </w:pPr>
            <w:r w:rsidRPr="00A67C76">
              <w:rPr>
                <w:sz w:val="20"/>
              </w:rPr>
              <w:t>15</w:t>
            </w:r>
            <w:r w:rsidR="00F76502" w:rsidRPr="00A67C76">
              <w:rPr>
                <w:sz w:val="20"/>
              </w:rPr>
              <w:t>,</w:t>
            </w:r>
            <w:r w:rsidRPr="00A67C76">
              <w:rPr>
                <w:sz w:val="20"/>
              </w:rPr>
              <w:t>100</w:t>
            </w:r>
          </w:p>
        </w:tc>
        <w:tc>
          <w:tcPr>
            <w:tcW w:w="2660" w:type="dxa"/>
            <w:tcBorders>
              <w:top w:val="single" w:sz="4" w:space="0" w:color="A6A6A6" w:themeColor="background1" w:themeShade="A6"/>
            </w:tcBorders>
            <w:shd w:val="clear" w:color="auto" w:fill="auto"/>
            <w:vAlign w:val="center"/>
          </w:tcPr>
          <w:p w:rsidR="00DB21D5" w:rsidRPr="00A67C76" w:rsidRDefault="00DB21D5" w:rsidP="00DB21D5">
            <w:pPr>
              <w:spacing w:after="0"/>
              <w:contextualSpacing/>
              <w:jc w:val="center"/>
              <w:rPr>
                <w:sz w:val="20"/>
              </w:rPr>
            </w:pPr>
            <w:r w:rsidRPr="00A67C76">
              <w:rPr>
                <w:sz w:val="20"/>
              </w:rPr>
              <w:t>Increasing flow small pulse / weir manipulation</w:t>
            </w:r>
          </w:p>
        </w:tc>
      </w:tr>
      <w:tr w:rsidR="00DB21D5" w:rsidRPr="00A67C76" w:rsidTr="00DB21D5">
        <w:tc>
          <w:tcPr>
            <w:tcW w:w="1098" w:type="dxa"/>
            <w:shd w:val="clear" w:color="auto" w:fill="auto"/>
            <w:vAlign w:val="center"/>
          </w:tcPr>
          <w:p w:rsidR="00DB21D5" w:rsidRPr="00A67C76" w:rsidRDefault="00DB21D5" w:rsidP="00DB21D5">
            <w:pPr>
              <w:spacing w:after="0"/>
              <w:contextualSpacing/>
              <w:jc w:val="center"/>
              <w:rPr>
                <w:sz w:val="20"/>
              </w:rPr>
            </w:pPr>
            <w:r w:rsidRPr="00A67C76">
              <w:rPr>
                <w:sz w:val="20"/>
              </w:rPr>
              <w:t>2006</w:t>
            </w:r>
          </w:p>
        </w:tc>
        <w:tc>
          <w:tcPr>
            <w:tcW w:w="2340" w:type="dxa"/>
            <w:shd w:val="clear" w:color="auto" w:fill="auto"/>
            <w:vAlign w:val="center"/>
          </w:tcPr>
          <w:p w:rsidR="00DB21D5" w:rsidRPr="00A67C76" w:rsidRDefault="00DB21D5" w:rsidP="00DB21D5">
            <w:pPr>
              <w:spacing w:after="0"/>
              <w:contextualSpacing/>
              <w:jc w:val="center"/>
              <w:rPr>
                <w:sz w:val="20"/>
              </w:rPr>
            </w:pPr>
            <w:r w:rsidRPr="00A67C76">
              <w:rPr>
                <w:sz w:val="20"/>
              </w:rPr>
              <w:t>4</w:t>
            </w:r>
            <w:r w:rsidR="00F76502" w:rsidRPr="00A67C76">
              <w:rPr>
                <w:sz w:val="20"/>
              </w:rPr>
              <w:t>,</w:t>
            </w:r>
            <w:r w:rsidRPr="00A67C76">
              <w:rPr>
                <w:sz w:val="20"/>
              </w:rPr>
              <w:t>015</w:t>
            </w:r>
          </w:p>
        </w:tc>
        <w:tc>
          <w:tcPr>
            <w:tcW w:w="2430" w:type="dxa"/>
            <w:shd w:val="clear" w:color="auto" w:fill="auto"/>
            <w:vAlign w:val="center"/>
          </w:tcPr>
          <w:p w:rsidR="00DB21D5" w:rsidRPr="00A67C76" w:rsidRDefault="00DB21D5" w:rsidP="00DB21D5">
            <w:pPr>
              <w:spacing w:after="0"/>
              <w:contextualSpacing/>
              <w:jc w:val="center"/>
              <w:rPr>
                <w:sz w:val="20"/>
              </w:rPr>
            </w:pPr>
            <w:r w:rsidRPr="00A67C76">
              <w:rPr>
                <w:sz w:val="20"/>
              </w:rPr>
              <w:t>6</w:t>
            </w:r>
            <w:r w:rsidR="00F76502" w:rsidRPr="00A67C76">
              <w:rPr>
                <w:sz w:val="20"/>
              </w:rPr>
              <w:t>,</w:t>
            </w:r>
            <w:r w:rsidRPr="00A67C76">
              <w:rPr>
                <w:sz w:val="20"/>
              </w:rPr>
              <w:t>257</w:t>
            </w:r>
          </w:p>
        </w:tc>
        <w:tc>
          <w:tcPr>
            <w:tcW w:w="2660" w:type="dxa"/>
            <w:shd w:val="clear" w:color="auto" w:fill="auto"/>
            <w:vAlign w:val="center"/>
          </w:tcPr>
          <w:p w:rsidR="00DB21D5" w:rsidRPr="00A67C76" w:rsidRDefault="00DB21D5" w:rsidP="00DB21D5">
            <w:pPr>
              <w:spacing w:after="0"/>
              <w:contextualSpacing/>
              <w:jc w:val="center"/>
              <w:rPr>
                <w:sz w:val="20"/>
              </w:rPr>
            </w:pPr>
            <w:r w:rsidRPr="00A67C76">
              <w:rPr>
                <w:sz w:val="20"/>
              </w:rPr>
              <w:t>Stable and low</w:t>
            </w:r>
          </w:p>
        </w:tc>
      </w:tr>
      <w:tr w:rsidR="00DB21D5" w:rsidRPr="00A67C76" w:rsidTr="00DB21D5">
        <w:tc>
          <w:tcPr>
            <w:tcW w:w="1098" w:type="dxa"/>
            <w:shd w:val="clear" w:color="auto" w:fill="auto"/>
            <w:vAlign w:val="center"/>
          </w:tcPr>
          <w:p w:rsidR="00DB21D5" w:rsidRPr="00A67C76" w:rsidRDefault="00DB21D5" w:rsidP="00DB21D5">
            <w:pPr>
              <w:spacing w:after="0"/>
              <w:contextualSpacing/>
              <w:jc w:val="center"/>
              <w:rPr>
                <w:sz w:val="20"/>
              </w:rPr>
            </w:pPr>
            <w:r w:rsidRPr="00A67C76">
              <w:rPr>
                <w:sz w:val="20"/>
              </w:rPr>
              <w:t>2007</w:t>
            </w:r>
          </w:p>
        </w:tc>
        <w:tc>
          <w:tcPr>
            <w:tcW w:w="2340" w:type="dxa"/>
            <w:shd w:val="clear" w:color="auto" w:fill="auto"/>
            <w:vAlign w:val="center"/>
          </w:tcPr>
          <w:p w:rsidR="00DB21D5" w:rsidRPr="00A67C76" w:rsidRDefault="00DB21D5" w:rsidP="00DB21D5">
            <w:pPr>
              <w:spacing w:after="0"/>
              <w:contextualSpacing/>
              <w:jc w:val="center"/>
              <w:rPr>
                <w:sz w:val="20"/>
              </w:rPr>
            </w:pPr>
            <w:r w:rsidRPr="00A67C76">
              <w:rPr>
                <w:sz w:val="20"/>
              </w:rPr>
              <w:t>2</w:t>
            </w:r>
            <w:r w:rsidR="00F76502" w:rsidRPr="00A67C76">
              <w:rPr>
                <w:sz w:val="20"/>
              </w:rPr>
              <w:t>,</w:t>
            </w:r>
            <w:r w:rsidRPr="00A67C76">
              <w:rPr>
                <w:sz w:val="20"/>
              </w:rPr>
              <w:t>996</w:t>
            </w:r>
          </w:p>
        </w:tc>
        <w:tc>
          <w:tcPr>
            <w:tcW w:w="2430" w:type="dxa"/>
            <w:shd w:val="clear" w:color="auto" w:fill="auto"/>
            <w:vAlign w:val="center"/>
          </w:tcPr>
          <w:p w:rsidR="00DB21D5" w:rsidRPr="00A67C76" w:rsidRDefault="00DB21D5" w:rsidP="00DB21D5">
            <w:pPr>
              <w:spacing w:after="0"/>
              <w:contextualSpacing/>
              <w:jc w:val="center"/>
              <w:rPr>
                <w:sz w:val="20"/>
              </w:rPr>
            </w:pPr>
            <w:r w:rsidRPr="00A67C76">
              <w:rPr>
                <w:sz w:val="20"/>
              </w:rPr>
              <w:t>4</w:t>
            </w:r>
            <w:r w:rsidR="00F76502" w:rsidRPr="00A67C76">
              <w:rPr>
                <w:sz w:val="20"/>
              </w:rPr>
              <w:t>,</w:t>
            </w:r>
            <w:r w:rsidRPr="00A67C76">
              <w:rPr>
                <w:sz w:val="20"/>
              </w:rPr>
              <w:t>350</w:t>
            </w:r>
          </w:p>
        </w:tc>
        <w:tc>
          <w:tcPr>
            <w:tcW w:w="2660" w:type="dxa"/>
            <w:shd w:val="clear" w:color="auto" w:fill="auto"/>
            <w:vAlign w:val="center"/>
          </w:tcPr>
          <w:p w:rsidR="00DB21D5" w:rsidRPr="00A67C76" w:rsidRDefault="00DB21D5" w:rsidP="00DB21D5">
            <w:pPr>
              <w:spacing w:after="0"/>
              <w:contextualSpacing/>
              <w:jc w:val="center"/>
              <w:rPr>
                <w:sz w:val="20"/>
              </w:rPr>
            </w:pPr>
            <w:r w:rsidRPr="00A67C76">
              <w:rPr>
                <w:sz w:val="20"/>
              </w:rPr>
              <w:t>Stable and low</w:t>
            </w:r>
          </w:p>
        </w:tc>
      </w:tr>
      <w:tr w:rsidR="00DB21D5" w:rsidRPr="00A67C76" w:rsidTr="00DB21D5">
        <w:tc>
          <w:tcPr>
            <w:tcW w:w="1098" w:type="dxa"/>
            <w:shd w:val="clear" w:color="auto" w:fill="auto"/>
            <w:vAlign w:val="center"/>
          </w:tcPr>
          <w:p w:rsidR="00DB21D5" w:rsidRPr="00A67C76" w:rsidRDefault="00DB21D5" w:rsidP="00DB21D5">
            <w:pPr>
              <w:spacing w:after="0"/>
              <w:contextualSpacing/>
              <w:jc w:val="center"/>
              <w:rPr>
                <w:sz w:val="20"/>
              </w:rPr>
            </w:pPr>
            <w:r w:rsidRPr="00A67C76">
              <w:rPr>
                <w:sz w:val="20"/>
              </w:rPr>
              <w:t>2008</w:t>
            </w:r>
          </w:p>
        </w:tc>
        <w:tc>
          <w:tcPr>
            <w:tcW w:w="2340" w:type="dxa"/>
            <w:shd w:val="clear" w:color="auto" w:fill="auto"/>
            <w:vAlign w:val="center"/>
          </w:tcPr>
          <w:p w:rsidR="00DB21D5" w:rsidRPr="00A67C76" w:rsidRDefault="00DB21D5" w:rsidP="00DB21D5">
            <w:pPr>
              <w:spacing w:after="0"/>
              <w:contextualSpacing/>
              <w:jc w:val="center"/>
              <w:rPr>
                <w:sz w:val="20"/>
              </w:rPr>
            </w:pPr>
            <w:r w:rsidRPr="00A67C76">
              <w:rPr>
                <w:sz w:val="20"/>
              </w:rPr>
              <w:t>3</w:t>
            </w:r>
            <w:r w:rsidR="00F76502" w:rsidRPr="00A67C76">
              <w:rPr>
                <w:sz w:val="20"/>
              </w:rPr>
              <w:t>,</w:t>
            </w:r>
            <w:r w:rsidRPr="00A67C76">
              <w:rPr>
                <w:sz w:val="20"/>
              </w:rPr>
              <w:t>845</w:t>
            </w:r>
          </w:p>
        </w:tc>
        <w:tc>
          <w:tcPr>
            <w:tcW w:w="2430" w:type="dxa"/>
            <w:shd w:val="clear" w:color="auto" w:fill="auto"/>
            <w:vAlign w:val="center"/>
          </w:tcPr>
          <w:p w:rsidR="00DB21D5" w:rsidRPr="00A67C76" w:rsidRDefault="00DB21D5" w:rsidP="00DB21D5">
            <w:pPr>
              <w:spacing w:after="0"/>
              <w:contextualSpacing/>
              <w:jc w:val="center"/>
              <w:rPr>
                <w:sz w:val="20"/>
              </w:rPr>
            </w:pPr>
            <w:r w:rsidRPr="00A67C76">
              <w:rPr>
                <w:sz w:val="20"/>
              </w:rPr>
              <w:t>4</w:t>
            </w:r>
            <w:r w:rsidR="00F76502" w:rsidRPr="00A67C76">
              <w:rPr>
                <w:sz w:val="20"/>
              </w:rPr>
              <w:t>,</w:t>
            </w:r>
            <w:r w:rsidRPr="00A67C76">
              <w:rPr>
                <w:sz w:val="20"/>
              </w:rPr>
              <w:t>935</w:t>
            </w:r>
          </w:p>
        </w:tc>
        <w:tc>
          <w:tcPr>
            <w:tcW w:w="2660" w:type="dxa"/>
            <w:shd w:val="clear" w:color="auto" w:fill="auto"/>
            <w:vAlign w:val="center"/>
          </w:tcPr>
          <w:p w:rsidR="00DB21D5" w:rsidRPr="00A67C76" w:rsidRDefault="00DB21D5" w:rsidP="00DB21D5">
            <w:pPr>
              <w:spacing w:after="0"/>
              <w:contextualSpacing/>
              <w:jc w:val="center"/>
              <w:rPr>
                <w:sz w:val="20"/>
              </w:rPr>
            </w:pPr>
            <w:r w:rsidRPr="00A67C76">
              <w:rPr>
                <w:sz w:val="20"/>
              </w:rPr>
              <w:t>Stable and low</w:t>
            </w:r>
          </w:p>
        </w:tc>
      </w:tr>
      <w:tr w:rsidR="00DB21D5" w:rsidRPr="00A67C76" w:rsidTr="00DB21D5">
        <w:tc>
          <w:tcPr>
            <w:tcW w:w="1098" w:type="dxa"/>
            <w:shd w:val="clear" w:color="auto" w:fill="auto"/>
            <w:vAlign w:val="center"/>
          </w:tcPr>
          <w:p w:rsidR="00DB21D5" w:rsidRPr="00A67C76" w:rsidRDefault="00DB21D5" w:rsidP="00DB21D5">
            <w:pPr>
              <w:spacing w:after="0"/>
              <w:contextualSpacing/>
              <w:jc w:val="center"/>
              <w:rPr>
                <w:sz w:val="20"/>
              </w:rPr>
            </w:pPr>
            <w:r w:rsidRPr="00A67C76">
              <w:rPr>
                <w:sz w:val="20"/>
              </w:rPr>
              <w:t>2009</w:t>
            </w:r>
          </w:p>
        </w:tc>
        <w:tc>
          <w:tcPr>
            <w:tcW w:w="2340" w:type="dxa"/>
            <w:shd w:val="clear" w:color="auto" w:fill="auto"/>
            <w:vAlign w:val="center"/>
          </w:tcPr>
          <w:p w:rsidR="00DB21D5" w:rsidRPr="00A67C76" w:rsidRDefault="00DB21D5" w:rsidP="00DB21D5">
            <w:pPr>
              <w:spacing w:after="0"/>
              <w:contextualSpacing/>
              <w:jc w:val="center"/>
              <w:rPr>
                <w:sz w:val="20"/>
              </w:rPr>
            </w:pPr>
            <w:r w:rsidRPr="00A67C76">
              <w:rPr>
                <w:sz w:val="20"/>
              </w:rPr>
              <w:t>3</w:t>
            </w:r>
            <w:r w:rsidR="00F76502" w:rsidRPr="00A67C76">
              <w:rPr>
                <w:sz w:val="20"/>
              </w:rPr>
              <w:t>,</w:t>
            </w:r>
            <w:r w:rsidRPr="00A67C76">
              <w:rPr>
                <w:sz w:val="20"/>
              </w:rPr>
              <w:t>325</w:t>
            </w:r>
          </w:p>
        </w:tc>
        <w:tc>
          <w:tcPr>
            <w:tcW w:w="2430" w:type="dxa"/>
            <w:shd w:val="clear" w:color="auto" w:fill="auto"/>
            <w:vAlign w:val="center"/>
          </w:tcPr>
          <w:p w:rsidR="00DB21D5" w:rsidRPr="00A67C76" w:rsidRDefault="00DB21D5" w:rsidP="00DB21D5">
            <w:pPr>
              <w:spacing w:after="0"/>
              <w:contextualSpacing/>
              <w:jc w:val="center"/>
              <w:rPr>
                <w:sz w:val="20"/>
              </w:rPr>
            </w:pPr>
            <w:r w:rsidRPr="00A67C76">
              <w:rPr>
                <w:sz w:val="20"/>
              </w:rPr>
              <w:t>6</w:t>
            </w:r>
            <w:r w:rsidR="00F76502" w:rsidRPr="00A67C76">
              <w:rPr>
                <w:sz w:val="20"/>
              </w:rPr>
              <w:t>,</w:t>
            </w:r>
            <w:r w:rsidRPr="00A67C76">
              <w:rPr>
                <w:sz w:val="20"/>
              </w:rPr>
              <w:t>048</w:t>
            </w:r>
          </w:p>
        </w:tc>
        <w:tc>
          <w:tcPr>
            <w:tcW w:w="2660" w:type="dxa"/>
            <w:shd w:val="clear" w:color="auto" w:fill="auto"/>
            <w:vAlign w:val="center"/>
          </w:tcPr>
          <w:p w:rsidR="00DB21D5" w:rsidRPr="00A67C76" w:rsidRDefault="00DB21D5" w:rsidP="00DB21D5">
            <w:pPr>
              <w:spacing w:after="0"/>
              <w:contextualSpacing/>
              <w:jc w:val="center"/>
              <w:rPr>
                <w:sz w:val="20"/>
              </w:rPr>
            </w:pPr>
            <w:r w:rsidRPr="00A67C76">
              <w:rPr>
                <w:sz w:val="20"/>
              </w:rPr>
              <w:t>Stable and low</w:t>
            </w:r>
          </w:p>
        </w:tc>
      </w:tr>
      <w:tr w:rsidR="00DB21D5" w:rsidRPr="00A67C76" w:rsidTr="00DB21D5">
        <w:tc>
          <w:tcPr>
            <w:tcW w:w="1098" w:type="dxa"/>
            <w:shd w:val="clear" w:color="auto" w:fill="auto"/>
            <w:vAlign w:val="center"/>
          </w:tcPr>
          <w:p w:rsidR="00DB21D5" w:rsidRPr="00A67C76" w:rsidRDefault="00DB21D5" w:rsidP="00DB21D5">
            <w:pPr>
              <w:spacing w:after="0"/>
              <w:contextualSpacing/>
              <w:jc w:val="center"/>
              <w:rPr>
                <w:sz w:val="20"/>
              </w:rPr>
            </w:pPr>
            <w:r w:rsidRPr="00A67C76">
              <w:rPr>
                <w:sz w:val="20"/>
              </w:rPr>
              <w:t>2010</w:t>
            </w:r>
          </w:p>
        </w:tc>
        <w:tc>
          <w:tcPr>
            <w:tcW w:w="2340" w:type="dxa"/>
            <w:shd w:val="clear" w:color="auto" w:fill="auto"/>
            <w:vAlign w:val="center"/>
          </w:tcPr>
          <w:p w:rsidR="00DB21D5" w:rsidRPr="00A67C76" w:rsidRDefault="00DB21D5" w:rsidP="00DB21D5">
            <w:pPr>
              <w:spacing w:after="0"/>
              <w:contextualSpacing/>
              <w:jc w:val="center"/>
              <w:rPr>
                <w:sz w:val="20"/>
              </w:rPr>
            </w:pPr>
            <w:r w:rsidRPr="00A67C76">
              <w:rPr>
                <w:sz w:val="20"/>
              </w:rPr>
              <w:t>28</w:t>
            </w:r>
            <w:r w:rsidR="00F76502" w:rsidRPr="00A67C76">
              <w:rPr>
                <w:sz w:val="20"/>
              </w:rPr>
              <w:t>,</w:t>
            </w:r>
            <w:r w:rsidRPr="00A67C76">
              <w:rPr>
                <w:sz w:val="20"/>
              </w:rPr>
              <w:t>465</w:t>
            </w:r>
          </w:p>
        </w:tc>
        <w:tc>
          <w:tcPr>
            <w:tcW w:w="2430" w:type="dxa"/>
            <w:shd w:val="clear" w:color="auto" w:fill="auto"/>
            <w:vAlign w:val="center"/>
          </w:tcPr>
          <w:p w:rsidR="00DB21D5" w:rsidRPr="00A67C76" w:rsidRDefault="00DB21D5" w:rsidP="00DB21D5">
            <w:pPr>
              <w:spacing w:after="0"/>
              <w:contextualSpacing/>
              <w:jc w:val="center"/>
              <w:rPr>
                <w:sz w:val="20"/>
              </w:rPr>
            </w:pPr>
            <w:r w:rsidRPr="00A67C76">
              <w:rPr>
                <w:sz w:val="20"/>
              </w:rPr>
              <w:t>67</w:t>
            </w:r>
            <w:r w:rsidR="00F76502" w:rsidRPr="00A67C76">
              <w:rPr>
                <w:sz w:val="20"/>
              </w:rPr>
              <w:t>,</w:t>
            </w:r>
            <w:r w:rsidRPr="00A67C76">
              <w:rPr>
                <w:sz w:val="20"/>
              </w:rPr>
              <w:t>218</w:t>
            </w:r>
          </w:p>
        </w:tc>
        <w:tc>
          <w:tcPr>
            <w:tcW w:w="2660" w:type="dxa"/>
            <w:shd w:val="clear" w:color="auto" w:fill="auto"/>
            <w:vAlign w:val="center"/>
          </w:tcPr>
          <w:p w:rsidR="00DB21D5" w:rsidRPr="00A67C76" w:rsidRDefault="00DB21D5" w:rsidP="00DB21D5">
            <w:pPr>
              <w:spacing w:after="0"/>
              <w:contextualSpacing/>
              <w:jc w:val="center"/>
              <w:rPr>
                <w:sz w:val="20"/>
              </w:rPr>
            </w:pPr>
            <w:r w:rsidRPr="00A67C76">
              <w:rPr>
                <w:sz w:val="20"/>
              </w:rPr>
              <w:t>Increasing</w:t>
            </w:r>
          </w:p>
        </w:tc>
      </w:tr>
      <w:tr w:rsidR="00DB21D5" w:rsidRPr="00A67C76" w:rsidTr="00DB21D5">
        <w:tc>
          <w:tcPr>
            <w:tcW w:w="1098" w:type="dxa"/>
            <w:shd w:val="clear" w:color="auto" w:fill="auto"/>
            <w:vAlign w:val="center"/>
          </w:tcPr>
          <w:p w:rsidR="00DB21D5" w:rsidRPr="00A67C76" w:rsidRDefault="00DB21D5" w:rsidP="00DB21D5">
            <w:pPr>
              <w:spacing w:after="0"/>
              <w:contextualSpacing/>
              <w:jc w:val="center"/>
              <w:rPr>
                <w:sz w:val="20"/>
              </w:rPr>
            </w:pPr>
            <w:r w:rsidRPr="00A67C76">
              <w:rPr>
                <w:sz w:val="20"/>
              </w:rPr>
              <w:t>2011</w:t>
            </w:r>
          </w:p>
        </w:tc>
        <w:tc>
          <w:tcPr>
            <w:tcW w:w="2340" w:type="dxa"/>
            <w:shd w:val="clear" w:color="auto" w:fill="auto"/>
            <w:vAlign w:val="center"/>
          </w:tcPr>
          <w:p w:rsidR="00DB21D5" w:rsidRPr="00A67C76" w:rsidRDefault="00DB21D5" w:rsidP="00DB21D5">
            <w:pPr>
              <w:spacing w:after="0"/>
              <w:contextualSpacing/>
              <w:jc w:val="center"/>
              <w:rPr>
                <w:sz w:val="20"/>
              </w:rPr>
            </w:pPr>
            <w:r w:rsidRPr="00A67C76">
              <w:rPr>
                <w:sz w:val="20"/>
              </w:rPr>
              <w:t>8</w:t>
            </w:r>
            <w:r w:rsidR="00F76502" w:rsidRPr="00A67C76">
              <w:rPr>
                <w:sz w:val="20"/>
              </w:rPr>
              <w:t>,</w:t>
            </w:r>
            <w:r w:rsidRPr="00A67C76">
              <w:rPr>
                <w:sz w:val="20"/>
              </w:rPr>
              <w:t>158</w:t>
            </w:r>
          </w:p>
        </w:tc>
        <w:tc>
          <w:tcPr>
            <w:tcW w:w="2430" w:type="dxa"/>
            <w:shd w:val="clear" w:color="auto" w:fill="auto"/>
            <w:vAlign w:val="center"/>
          </w:tcPr>
          <w:p w:rsidR="00DB21D5" w:rsidRPr="00A67C76" w:rsidRDefault="00DB21D5" w:rsidP="00DB21D5">
            <w:pPr>
              <w:spacing w:after="0"/>
              <w:contextualSpacing/>
              <w:jc w:val="center"/>
              <w:rPr>
                <w:sz w:val="20"/>
              </w:rPr>
            </w:pPr>
            <w:r w:rsidRPr="00A67C76">
              <w:rPr>
                <w:sz w:val="20"/>
              </w:rPr>
              <w:t>25</w:t>
            </w:r>
            <w:r w:rsidR="00F76502" w:rsidRPr="00A67C76">
              <w:rPr>
                <w:sz w:val="20"/>
              </w:rPr>
              <w:t>,</w:t>
            </w:r>
            <w:r w:rsidRPr="00A67C76">
              <w:rPr>
                <w:sz w:val="20"/>
              </w:rPr>
              <w:t>119</w:t>
            </w:r>
          </w:p>
        </w:tc>
        <w:tc>
          <w:tcPr>
            <w:tcW w:w="2660" w:type="dxa"/>
            <w:shd w:val="clear" w:color="auto" w:fill="auto"/>
            <w:vAlign w:val="center"/>
          </w:tcPr>
          <w:p w:rsidR="00DB21D5" w:rsidRPr="00A67C76" w:rsidRDefault="00DB21D5" w:rsidP="00DB21D5">
            <w:pPr>
              <w:spacing w:after="0"/>
              <w:contextualSpacing/>
              <w:jc w:val="center"/>
              <w:rPr>
                <w:sz w:val="20"/>
              </w:rPr>
            </w:pPr>
            <w:r w:rsidRPr="00A67C76">
              <w:rPr>
                <w:sz w:val="20"/>
              </w:rPr>
              <w:t>Decreasing</w:t>
            </w:r>
          </w:p>
        </w:tc>
      </w:tr>
      <w:tr w:rsidR="00DB21D5" w:rsidRPr="00A67C76" w:rsidTr="00DB21D5">
        <w:tc>
          <w:tcPr>
            <w:tcW w:w="1098" w:type="dxa"/>
            <w:tcBorders>
              <w:bottom w:val="single" w:sz="4" w:space="0" w:color="A6A6A6" w:themeColor="background1" w:themeShade="A6"/>
            </w:tcBorders>
            <w:shd w:val="clear" w:color="auto" w:fill="auto"/>
            <w:vAlign w:val="center"/>
          </w:tcPr>
          <w:p w:rsidR="00DB21D5" w:rsidRPr="00A67C76" w:rsidRDefault="00DB21D5" w:rsidP="00DB21D5">
            <w:pPr>
              <w:spacing w:after="0"/>
              <w:contextualSpacing/>
              <w:jc w:val="center"/>
              <w:rPr>
                <w:sz w:val="20"/>
              </w:rPr>
            </w:pPr>
            <w:r w:rsidRPr="00A67C76">
              <w:rPr>
                <w:sz w:val="20"/>
              </w:rPr>
              <w:t>2012</w:t>
            </w:r>
          </w:p>
        </w:tc>
        <w:tc>
          <w:tcPr>
            <w:tcW w:w="2340" w:type="dxa"/>
            <w:tcBorders>
              <w:bottom w:val="single" w:sz="4" w:space="0" w:color="A6A6A6" w:themeColor="background1" w:themeShade="A6"/>
            </w:tcBorders>
            <w:shd w:val="clear" w:color="auto" w:fill="auto"/>
            <w:vAlign w:val="center"/>
          </w:tcPr>
          <w:p w:rsidR="00DB21D5" w:rsidRPr="00A67C76" w:rsidRDefault="00DB21D5" w:rsidP="00DB21D5">
            <w:pPr>
              <w:spacing w:after="0"/>
              <w:contextualSpacing/>
              <w:jc w:val="center"/>
              <w:rPr>
                <w:sz w:val="20"/>
              </w:rPr>
            </w:pPr>
            <w:r w:rsidRPr="00A67C76">
              <w:rPr>
                <w:sz w:val="20"/>
              </w:rPr>
              <w:t>10</w:t>
            </w:r>
            <w:r w:rsidR="00F76502" w:rsidRPr="00A67C76">
              <w:rPr>
                <w:sz w:val="20"/>
              </w:rPr>
              <w:t>,</w:t>
            </w:r>
            <w:r w:rsidRPr="00A67C76">
              <w:rPr>
                <w:sz w:val="20"/>
              </w:rPr>
              <w:t>007</w:t>
            </w:r>
          </w:p>
        </w:tc>
        <w:tc>
          <w:tcPr>
            <w:tcW w:w="2430" w:type="dxa"/>
            <w:tcBorders>
              <w:bottom w:val="single" w:sz="4" w:space="0" w:color="A6A6A6" w:themeColor="background1" w:themeShade="A6"/>
            </w:tcBorders>
            <w:shd w:val="clear" w:color="auto" w:fill="auto"/>
            <w:vAlign w:val="center"/>
          </w:tcPr>
          <w:p w:rsidR="00DB21D5" w:rsidRPr="00A67C76" w:rsidRDefault="00DB21D5" w:rsidP="00DB21D5">
            <w:pPr>
              <w:spacing w:after="0"/>
              <w:contextualSpacing/>
              <w:jc w:val="center"/>
              <w:rPr>
                <w:sz w:val="20"/>
              </w:rPr>
            </w:pPr>
            <w:r w:rsidRPr="00A67C76">
              <w:rPr>
                <w:sz w:val="20"/>
              </w:rPr>
              <w:t>21</w:t>
            </w:r>
            <w:r w:rsidR="00F76502" w:rsidRPr="00A67C76">
              <w:rPr>
                <w:sz w:val="20"/>
              </w:rPr>
              <w:t>,</w:t>
            </w:r>
            <w:r w:rsidR="00537BBD">
              <w:rPr>
                <w:sz w:val="20"/>
              </w:rPr>
              <w:t xml:space="preserve"> </w:t>
            </w:r>
            <w:r w:rsidRPr="00A67C76">
              <w:rPr>
                <w:sz w:val="20"/>
              </w:rPr>
              <w:t>218</w:t>
            </w:r>
          </w:p>
        </w:tc>
        <w:tc>
          <w:tcPr>
            <w:tcW w:w="2660" w:type="dxa"/>
            <w:tcBorders>
              <w:bottom w:val="single" w:sz="4" w:space="0" w:color="A6A6A6" w:themeColor="background1" w:themeShade="A6"/>
            </w:tcBorders>
            <w:shd w:val="clear" w:color="auto" w:fill="auto"/>
            <w:vAlign w:val="center"/>
          </w:tcPr>
          <w:p w:rsidR="00DB21D5" w:rsidRPr="00A67C76" w:rsidRDefault="00DB21D5" w:rsidP="00DB21D5">
            <w:pPr>
              <w:spacing w:after="0"/>
              <w:contextualSpacing/>
              <w:jc w:val="center"/>
              <w:rPr>
                <w:sz w:val="20"/>
              </w:rPr>
            </w:pPr>
            <w:r w:rsidRPr="00A67C76">
              <w:rPr>
                <w:sz w:val="20"/>
              </w:rPr>
              <w:t>Decreasing</w:t>
            </w:r>
            <w:r w:rsidR="00537BBD">
              <w:rPr>
                <w:sz w:val="20"/>
              </w:rPr>
              <w:t xml:space="preserve"> unregulated + increasing EW</w:t>
            </w:r>
          </w:p>
        </w:tc>
      </w:tr>
    </w:tbl>
    <w:p w:rsidR="00DB21D5" w:rsidRDefault="00DB21D5" w:rsidP="00DB21D5">
      <w:pPr>
        <w:rPr>
          <w:szCs w:val="24"/>
        </w:rPr>
      </w:pPr>
      <w:r w:rsidRPr="00A67C76">
        <w:rPr>
          <w:szCs w:val="24"/>
        </w:rPr>
        <w:t>Mean ranks of frog call abundance in managed wetlands</w:t>
      </w:r>
      <w:r w:rsidR="00BF4523">
        <w:rPr>
          <w:szCs w:val="24"/>
        </w:rPr>
        <w:t xml:space="preserve"> </w:t>
      </w:r>
      <w:r w:rsidR="00CC1649" w:rsidRPr="00A67C76">
        <w:rPr>
          <w:szCs w:val="24"/>
        </w:rPr>
        <w:t>(wetlands connected at pool level but managed through a flow-control structure to have wet and dry cycles)</w:t>
      </w:r>
      <w:r w:rsidRPr="00A67C76">
        <w:rPr>
          <w:szCs w:val="24"/>
        </w:rPr>
        <w:t xml:space="preserve"> were statistically different between years</w:t>
      </w:r>
      <w:r w:rsidR="00CC1649" w:rsidRPr="00A67C76">
        <w:rPr>
          <w:szCs w:val="24"/>
        </w:rPr>
        <w:t xml:space="preserve"> (Kruskal-Wallis;</w:t>
      </w:r>
      <w:r w:rsidR="00D903D6" w:rsidRPr="00A67C76">
        <w:rPr>
          <w:szCs w:val="24"/>
        </w:rPr>
        <w:t xml:space="preserve"> Χ</w:t>
      </w:r>
      <w:r w:rsidR="004360C3" w:rsidRPr="00A67C76">
        <w:rPr>
          <w:szCs w:val="24"/>
          <w:vertAlign w:val="superscript"/>
        </w:rPr>
        <w:t>2</w:t>
      </w:r>
      <w:r w:rsidR="00D903D6" w:rsidRPr="00A67C76">
        <w:rPr>
          <w:szCs w:val="24"/>
        </w:rPr>
        <w:t xml:space="preserve"> = 60.39, df = 5, p</w:t>
      </w:r>
      <w:r w:rsidR="00CC1649" w:rsidRPr="00A67C76">
        <w:rPr>
          <w:szCs w:val="24"/>
        </w:rPr>
        <w:t xml:space="preserve">&lt;0.001). Frog call abundance in </w:t>
      </w:r>
      <w:r w:rsidRPr="00A67C76">
        <w:rPr>
          <w:szCs w:val="24"/>
        </w:rPr>
        <w:t>2012 was significantly lower than 2005, 2</w:t>
      </w:r>
      <w:r w:rsidR="00BF4523">
        <w:rPr>
          <w:szCs w:val="24"/>
        </w:rPr>
        <w:t xml:space="preserve">006, 2009 and 2010, but not 2011 </w:t>
      </w:r>
      <w:r w:rsidR="00CC1649" w:rsidRPr="00A67C76">
        <w:rPr>
          <w:szCs w:val="24"/>
        </w:rPr>
        <w:t>(</w:t>
      </w:r>
      <w:r w:rsidR="002E6077">
        <w:rPr>
          <w:szCs w:val="24"/>
          <w:highlight w:val="yellow"/>
        </w:rPr>
        <w:fldChar w:fldCharType="begin"/>
      </w:r>
      <w:r w:rsidR="00024CD9">
        <w:rPr>
          <w:szCs w:val="24"/>
        </w:rPr>
        <w:instrText xml:space="preserve"> REF _Ref403375676 \h </w:instrText>
      </w:r>
      <w:r w:rsidR="002E6077">
        <w:rPr>
          <w:szCs w:val="24"/>
          <w:highlight w:val="yellow"/>
        </w:rPr>
      </w:r>
      <w:r w:rsidR="002E6077">
        <w:rPr>
          <w:szCs w:val="24"/>
          <w:highlight w:val="yellow"/>
        </w:rPr>
        <w:fldChar w:fldCharType="separate"/>
      </w:r>
      <w:r w:rsidR="009659F2">
        <w:t xml:space="preserve">Figure </w:t>
      </w:r>
      <w:r w:rsidR="009659F2">
        <w:rPr>
          <w:noProof/>
        </w:rPr>
        <w:t>36</w:t>
      </w:r>
      <w:r w:rsidR="002E6077">
        <w:rPr>
          <w:szCs w:val="24"/>
          <w:highlight w:val="yellow"/>
        </w:rPr>
        <w:fldChar w:fldCharType="end"/>
      </w:r>
      <w:r w:rsidR="00AF2811">
        <w:rPr>
          <w:szCs w:val="24"/>
        </w:rPr>
        <w:t xml:space="preserve">, </w:t>
      </w:r>
      <w:r w:rsidR="002E6077" w:rsidRPr="00A67C76">
        <w:rPr>
          <w:szCs w:val="24"/>
        </w:rPr>
        <w:fldChar w:fldCharType="begin"/>
      </w:r>
      <w:r w:rsidR="00293EFC" w:rsidRPr="00A67C76">
        <w:rPr>
          <w:szCs w:val="24"/>
        </w:rPr>
        <w:instrText xml:space="preserve"> REF _Ref387841798 \h </w:instrText>
      </w:r>
      <w:r w:rsidR="002E6077" w:rsidRPr="00A67C76">
        <w:rPr>
          <w:szCs w:val="24"/>
        </w:rPr>
      </w:r>
      <w:r w:rsidR="002E6077" w:rsidRPr="00A67C76">
        <w:rPr>
          <w:szCs w:val="24"/>
        </w:rPr>
        <w:fldChar w:fldCharType="separate"/>
      </w:r>
      <w:r w:rsidR="009659F2" w:rsidRPr="00A67C76">
        <w:t xml:space="preserve">Appendix </w:t>
      </w:r>
      <w:r w:rsidR="009659F2">
        <w:rPr>
          <w:noProof/>
        </w:rPr>
        <w:t>XI</w:t>
      </w:r>
      <w:r w:rsidR="002E6077" w:rsidRPr="00A67C76">
        <w:rPr>
          <w:szCs w:val="24"/>
        </w:rPr>
        <w:fldChar w:fldCharType="end"/>
      </w:r>
      <w:r w:rsidR="00CC1649" w:rsidRPr="00A67C76">
        <w:rPr>
          <w:szCs w:val="24"/>
        </w:rPr>
        <w:t>)</w:t>
      </w:r>
      <w:r w:rsidRPr="00A67C76">
        <w:rPr>
          <w:szCs w:val="24"/>
        </w:rPr>
        <w:t xml:space="preserve">. Frog call abundance in 2011 was significantly lower than 2010, which had the highest frog call abundance compared to </w:t>
      </w:r>
      <w:r w:rsidR="00F63AA9" w:rsidRPr="00A67C76">
        <w:rPr>
          <w:szCs w:val="24"/>
        </w:rPr>
        <w:t xml:space="preserve">all </w:t>
      </w:r>
      <w:r w:rsidRPr="00A67C76">
        <w:rPr>
          <w:szCs w:val="24"/>
        </w:rPr>
        <w:t>other years.</w:t>
      </w:r>
    </w:p>
    <w:p w:rsidR="00AF2811" w:rsidRPr="00351678" w:rsidRDefault="002E6077" w:rsidP="00AF2811">
      <w:pPr>
        <w:spacing w:line="276" w:lineRule="auto"/>
      </w:pPr>
      <w:r w:rsidRPr="002E6077">
        <w:rPr>
          <w:rFonts w:ascii="Segoe UI" w:hAnsi="Segoe UI"/>
          <w:noProof/>
          <w:color w:val="4F81BD"/>
          <w:sz w:val="18"/>
          <w:lang w:val="en-US"/>
        </w:rPr>
        <w:pict>
          <v:shapetype id="_x0000_t202" coordsize="21600,21600" o:spt="202" path="m,l,21600r21600,l21600,xe">
            <v:stroke joinstyle="miter"/>
            <v:path gradientshapeok="t" o:connecttype="rect"/>
          </v:shapetype>
          <v:shape id="Text Box 70" o:spid="_x0000_s1026" type="#_x0000_t202" style="position:absolute;margin-left:319.8pt;margin-top:366.85pt;width:33.2pt;height:33.4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" filled="f" stroked="f">
            <v:textbox style="mso-next-textbox:#Text Box 70">
              <w:txbxContent>
                <w:p w:rsidR="00461871" w:rsidRPr="00797563" w:rsidRDefault="00461871" w:rsidP="00AF2811">
                  <w:pPr>
                    <w:rPr>
                      <w:b/>
                    </w:rPr>
                  </w:pPr>
                  <w:proofErr w:type="gramStart"/>
                  <w:r>
                    <w:rPr>
                      <w:b/>
                    </w:rPr>
                    <w:t>bc</w:t>
                  </w:r>
                  <w:proofErr w:type="gramEnd"/>
                </w:p>
              </w:txbxContent>
            </v:textbox>
          </v:shape>
        </w:pict>
      </w:r>
      <w:r w:rsidRPr="002E6077">
        <w:rPr>
          <w:rFonts w:ascii="Segoe UI" w:hAnsi="Segoe UI"/>
          <w:noProof/>
          <w:color w:val="4F81BD"/>
          <w:sz w:val="18"/>
          <w:lang w:val="en-US"/>
        </w:rPr>
        <w:pict>
          <v:shape id="Text Box 69" o:spid="_x0000_s1027" type="#_x0000_t202" style="position:absolute;margin-left:200.4pt;margin-top:366.85pt;width:33.2pt;height:33.45pt;z-index:2516736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upgtwIAAME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" filled="f" stroked="f">
            <v:textbox style="mso-next-textbox:#Text Box 69">
              <w:txbxContent>
                <w:p w:rsidR="00461871" w:rsidRPr="00797563" w:rsidRDefault="00461871" w:rsidP="00AF2811">
                  <w:pPr>
                    <w:rPr>
                      <w:b/>
                    </w:rPr>
                  </w:pPr>
                  <w:proofErr w:type="gramStart"/>
                  <w:r>
                    <w:rPr>
                      <w:b/>
                    </w:rPr>
                    <w:t>ab</w:t>
                  </w:r>
                  <w:proofErr w:type="gramEnd"/>
                </w:p>
              </w:txbxContent>
            </v:textbox>
            <w10:wrap anchorx="margin"/>
          </v:shape>
        </w:pict>
      </w:r>
      <w:r w:rsidRPr="002E6077">
        <w:rPr>
          <w:rFonts w:ascii="Segoe UI" w:hAnsi="Segoe UI"/>
          <w:noProof/>
          <w:color w:val="4F81BD"/>
          <w:sz w:val="18"/>
          <w:lang w:val="en-US"/>
        </w:rPr>
        <w:pict>
          <v:shape id="Text Box 68" o:spid="_x0000_s1028" type="#_x0000_t202" style="position:absolute;margin-left:140.75pt;margin-top:366.9pt;width:33.2pt;height:33.4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" filled="f" stroked="f">
            <v:textbox style="mso-next-textbox:#Text Box 68">
              <w:txbxContent>
                <w:p w:rsidR="00461871" w:rsidRPr="00797563" w:rsidRDefault="00461871" w:rsidP="00AF2811">
                  <w:pPr>
                    <w:rPr>
                      <w:b/>
                    </w:rPr>
                  </w:pPr>
                  <w:proofErr w:type="gramStart"/>
                  <w:r>
                    <w:rPr>
                      <w:b/>
                    </w:rPr>
                    <w:t>ab</w:t>
                  </w:r>
                  <w:proofErr w:type="gramEnd"/>
                </w:p>
              </w:txbxContent>
            </v:textbox>
          </v:shape>
        </w:pict>
      </w:r>
      <w:r w:rsidRPr="002E6077">
        <w:rPr>
          <w:rFonts w:ascii="Segoe UI" w:hAnsi="Segoe UI"/>
          <w:noProof/>
          <w:color w:val="4F81BD"/>
          <w:sz w:val="18"/>
          <w:lang w:val="en-US"/>
        </w:rPr>
        <w:pict>
          <v:shape id="Text Box 72" o:spid="_x0000_s1029" type="#_x0000_t202" style="position:absolute;margin-left:82.2pt;margin-top:366pt;width:33.2pt;height:33.4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qx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" filled="f" stroked="f">
            <v:textbox style="mso-next-textbox:#Text Box 72">
              <w:txbxContent>
                <w:p w:rsidR="00461871" w:rsidRPr="00797563" w:rsidRDefault="00461871" w:rsidP="00AF2811">
                  <w:pPr>
                    <w:rPr>
                      <w:b/>
                    </w:rPr>
                  </w:pPr>
                  <w:proofErr w:type="gramStart"/>
                  <w:r>
                    <w:rPr>
                      <w:b/>
                    </w:rPr>
                    <w:t>ab</w:t>
                  </w:r>
                  <w:proofErr w:type="gramEnd"/>
                </w:p>
              </w:txbxContent>
            </v:textbox>
          </v:shape>
        </w:pict>
      </w:r>
      <w:r w:rsidRPr="002E6077">
        <w:rPr>
          <w:rFonts w:ascii="Segoe UI" w:hAnsi="Segoe UI"/>
          <w:noProof/>
          <w:color w:val="4F81BD"/>
          <w:sz w:val="18"/>
          <w:lang w:val="en-US"/>
        </w:rPr>
        <w:pict>
          <v:shape id="Text Box 71" o:spid="_x0000_s1030" type="#_x0000_t202" style="position:absolute;margin-left:265.45pt;margin-top:366.85pt;width:33.2pt;height:33.4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pGtwIAAME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" filled="f" stroked="f">
            <v:textbox style="mso-next-textbox:#Text Box 71">
              <w:txbxContent>
                <w:p w:rsidR="00461871" w:rsidRPr="00797563" w:rsidRDefault="00461871" w:rsidP="00AF2811">
                  <w:pPr>
                    <w:rPr>
                      <w:b/>
                    </w:rPr>
                  </w:pPr>
                  <w:proofErr w:type="gramStart"/>
                  <w:r>
                    <w:rPr>
                      <w:b/>
                    </w:rPr>
                    <w:t>a</w:t>
                  </w:r>
                  <w:proofErr w:type="gramEnd"/>
                </w:p>
              </w:txbxContent>
            </v:textbox>
          </v:shape>
        </w:pict>
      </w:r>
      <w:r w:rsidRPr="002E6077">
        <w:rPr>
          <w:rFonts w:ascii="Segoe UI" w:hAnsi="Segoe UI"/>
          <w:noProof/>
          <w:color w:val="4F81BD"/>
          <w:sz w:val="18"/>
          <w:lang w:val="en-US"/>
        </w:rPr>
        <w:pict>
          <v:shape id="Text Box 67" o:spid="_x0000_s1031" type="#_x0000_t202" style="position:absolute;margin-left:384.25pt;margin-top:367.3pt;width:33.2pt;height:33.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ZgJuA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" filled="f" stroked="f">
            <v:textbox style="mso-next-textbox:#Text Box 67">
              <w:txbxContent>
                <w:p w:rsidR="00461871" w:rsidRPr="00797563" w:rsidRDefault="00461871" w:rsidP="00AF2811">
                  <w:pPr>
                    <w:rPr>
                      <w:b/>
                    </w:rPr>
                  </w:pPr>
                  <w:proofErr w:type="gramStart"/>
                  <w:r>
                    <w:rPr>
                      <w:b/>
                    </w:rPr>
                    <w:t>c</w:t>
                  </w:r>
                  <w:proofErr w:type="gramEnd"/>
                </w:p>
              </w:txbxContent>
            </v:textbox>
          </v:shape>
        </w:pict>
      </w:r>
      <w:r w:rsidRPr="002E6077">
        <w:rPr>
          <w:rFonts w:ascii="Segoe UI" w:hAnsi="Segoe UI"/>
          <w:noProof/>
          <w:color w:val="4F81BD"/>
          <w:sz w:val="18"/>
          <w:lang w:val="en-US"/>
        </w:rPr>
        <w:pict>
          <v:shape id="Text Box 33" o:spid="_x0000_s1032" type="#_x0000_t202" style="position:absolute;margin-left:369pt;margin-top:8.25pt;width:76.75pt;height:36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" filled="f" stroked="f">
            <v:textbox style="mso-next-textbox:#Text Box 33">
              <w:txbxContent>
                <w:p w:rsidR="00461871" w:rsidRPr="00797563" w:rsidRDefault="00461871" w:rsidP="00AF2811">
                  <w:pPr>
                    <w:spacing w:line="240" w:lineRule="auto"/>
                    <w:rPr>
                      <w:b/>
                    </w:rPr>
                  </w:pPr>
                  <w:r>
                    <w:rPr>
                      <w:b/>
                    </w:rPr>
                    <w:t>Managed</w:t>
                  </w:r>
                </w:p>
              </w:txbxContent>
            </v:textbox>
          </v:shape>
        </w:pict>
      </w:r>
      <w:r w:rsidR="00AF2811">
        <w:rPr>
          <w:noProof/>
          <w:lang w:eastAsia="en-AU"/>
        </w:rPr>
        <w:drawing>
          <wp:inline distT="0" distB="0" distL="0" distR="0">
            <wp:extent cx="5934075" cy="497825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443" b="5615"/>
                    <a:stretch/>
                  </pic:blipFill>
                  <pic:spPr bwMode="auto">
                    <a:xfrm>
                      <a:off x="0" y="0"/>
                      <a:ext cx="5934075" cy="497825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F2811" w:rsidRPr="00835B83" w:rsidRDefault="00024CD9" w:rsidP="00024CD9">
      <w:pPr>
        <w:pStyle w:val="Caption"/>
        <w:rPr>
          <w:rFonts w:cs="Segoe UI"/>
          <w:szCs w:val="20"/>
        </w:rPr>
      </w:pPr>
      <w:bookmarkStart w:id="167" w:name="_Ref403375676"/>
      <w:bookmarkStart w:id="168" w:name="_Toc380059325"/>
      <w:proofErr w:type="gramStart"/>
      <w:r>
        <w:t xml:space="preserve">Figure </w:t>
      </w:r>
      <w:proofErr w:type="gramEnd"/>
      <w:r w:rsidR="002E6077">
        <w:fldChar w:fldCharType="begin"/>
      </w:r>
      <w:r w:rsidR="009D1F5A">
        <w:instrText xml:space="preserve"> SEQ Figure \* ARABIC </w:instrText>
      </w:r>
      <w:r w:rsidR="002E6077">
        <w:fldChar w:fldCharType="separate"/>
      </w:r>
      <w:r w:rsidR="009659F2">
        <w:rPr>
          <w:noProof/>
        </w:rPr>
        <w:t>36</w:t>
      </w:r>
      <w:r w:rsidR="002E6077">
        <w:rPr>
          <w:noProof/>
        </w:rPr>
        <w:fldChar w:fldCharType="end"/>
      </w:r>
      <w:bookmarkEnd w:id="167"/>
      <w:proofErr w:type="gramStart"/>
      <w:r w:rsidR="00AF2811">
        <w:rPr>
          <w:rFonts w:cs="Segoe UI"/>
          <w:szCs w:val="20"/>
        </w:rPr>
        <w:t>.</w:t>
      </w:r>
      <w:proofErr w:type="gramEnd"/>
      <w:r w:rsidR="00AF2811" w:rsidRPr="00835B83">
        <w:rPr>
          <w:rFonts w:cs="Segoe UI"/>
          <w:szCs w:val="20"/>
        </w:rPr>
        <w:t xml:space="preserve"> Boxplot of summer abundance of calling males at managed wetlands. Different letters below columns denote when frog abundances were significantly different from each other using Kruskal-Wallis post hoc tests (p&lt;0.05). Note: Horizontal line=median, Ends of the box=1</w:t>
      </w:r>
      <w:r w:rsidR="00AF2811" w:rsidRPr="00835B83">
        <w:rPr>
          <w:rFonts w:cs="Segoe UI"/>
          <w:szCs w:val="20"/>
          <w:vertAlign w:val="superscript"/>
        </w:rPr>
        <w:t>st</w:t>
      </w:r>
      <w:r w:rsidR="00AF2811" w:rsidRPr="00835B83">
        <w:rPr>
          <w:rFonts w:cs="Segoe UI"/>
          <w:szCs w:val="20"/>
        </w:rPr>
        <w:t xml:space="preserve"> and 3</w:t>
      </w:r>
      <w:r w:rsidR="00AF2811" w:rsidRPr="00835B83">
        <w:rPr>
          <w:rFonts w:cs="Segoe UI"/>
          <w:szCs w:val="20"/>
          <w:vertAlign w:val="superscript"/>
        </w:rPr>
        <w:t>rd</w:t>
      </w:r>
      <w:r w:rsidR="00AF2811" w:rsidRPr="00835B83">
        <w:rPr>
          <w:rFonts w:cs="Segoe UI"/>
          <w:szCs w:val="20"/>
        </w:rPr>
        <w:t xml:space="preserve"> quartile, whiskers= 1.5 IQR, circles= outliers.</w:t>
      </w:r>
      <w:bookmarkEnd w:id="168"/>
    </w:p>
    <w:p w:rsidR="00DB21D5" w:rsidRPr="00461871" w:rsidRDefault="00CC1649" w:rsidP="00461871">
      <w:pPr>
        <w:pStyle w:val="Caption"/>
        <w:rPr>
          <w:b w:val="0"/>
          <w:sz w:val="22"/>
          <w:szCs w:val="22"/>
        </w:rPr>
      </w:pPr>
      <w:r w:rsidRPr="00461871">
        <w:rPr>
          <w:b w:val="0"/>
          <w:sz w:val="22"/>
          <w:szCs w:val="22"/>
        </w:rPr>
        <w:t>M</w:t>
      </w:r>
      <w:r w:rsidR="00DB21D5" w:rsidRPr="00461871">
        <w:rPr>
          <w:b w:val="0"/>
          <w:sz w:val="22"/>
          <w:szCs w:val="22"/>
        </w:rPr>
        <w:t>ean rank frog call abundance at permanent wetlands</w:t>
      </w:r>
      <w:r w:rsidR="00BF4523">
        <w:rPr>
          <w:b w:val="0"/>
          <w:sz w:val="22"/>
          <w:szCs w:val="22"/>
        </w:rPr>
        <w:t xml:space="preserve"> </w:t>
      </w:r>
      <w:r w:rsidRPr="00461871">
        <w:rPr>
          <w:b w:val="0"/>
          <w:sz w:val="22"/>
          <w:szCs w:val="22"/>
        </w:rPr>
        <w:t>(wetlands connected permanently at pool level)</w:t>
      </w:r>
      <w:r w:rsidR="00DB21D5" w:rsidRPr="00461871">
        <w:rPr>
          <w:b w:val="0"/>
          <w:sz w:val="22"/>
          <w:szCs w:val="22"/>
        </w:rPr>
        <w:t xml:space="preserve"> also varied</w:t>
      </w:r>
      <w:r w:rsidRPr="00461871">
        <w:rPr>
          <w:b w:val="0"/>
          <w:sz w:val="22"/>
          <w:szCs w:val="22"/>
        </w:rPr>
        <w:t xml:space="preserve"> sign</w:t>
      </w:r>
      <w:r w:rsidR="00F1011C" w:rsidRPr="00461871">
        <w:rPr>
          <w:b w:val="0"/>
          <w:sz w:val="22"/>
          <w:szCs w:val="22"/>
        </w:rPr>
        <w:t>i</w:t>
      </w:r>
      <w:r w:rsidRPr="00461871">
        <w:rPr>
          <w:b w:val="0"/>
          <w:sz w:val="22"/>
          <w:szCs w:val="22"/>
        </w:rPr>
        <w:t>ficantly</w:t>
      </w:r>
      <w:r w:rsidR="00DB21D5" w:rsidRPr="00461871">
        <w:rPr>
          <w:b w:val="0"/>
          <w:sz w:val="22"/>
          <w:szCs w:val="22"/>
        </w:rPr>
        <w:t xml:space="preserve"> over time</w:t>
      </w:r>
      <w:r w:rsidR="00BF4523">
        <w:rPr>
          <w:b w:val="0"/>
          <w:sz w:val="22"/>
          <w:szCs w:val="22"/>
        </w:rPr>
        <w:t xml:space="preserve"> </w:t>
      </w:r>
      <w:r w:rsidRPr="00461871">
        <w:rPr>
          <w:b w:val="0"/>
          <w:sz w:val="22"/>
          <w:szCs w:val="22"/>
        </w:rPr>
        <w:t>(Kruskal-Wallis;</w:t>
      </w:r>
      <w:r w:rsidR="00D903D6" w:rsidRPr="00461871">
        <w:rPr>
          <w:b w:val="0"/>
          <w:sz w:val="22"/>
          <w:szCs w:val="22"/>
        </w:rPr>
        <w:t xml:space="preserve"> Χ</w:t>
      </w:r>
      <w:r w:rsidR="00D903D6" w:rsidRPr="00461871">
        <w:rPr>
          <w:b w:val="0"/>
          <w:sz w:val="22"/>
          <w:szCs w:val="22"/>
          <w:vertAlign w:val="superscript"/>
        </w:rPr>
        <w:t>2</w:t>
      </w:r>
      <w:r w:rsidR="00D903D6" w:rsidRPr="00461871">
        <w:rPr>
          <w:b w:val="0"/>
          <w:sz w:val="22"/>
          <w:szCs w:val="22"/>
        </w:rPr>
        <w:t xml:space="preserve">= 27.93, </w:t>
      </w:r>
      <w:proofErr w:type="gramStart"/>
      <w:r w:rsidR="00D903D6" w:rsidRPr="00461871">
        <w:rPr>
          <w:b w:val="0"/>
          <w:sz w:val="22"/>
          <w:szCs w:val="22"/>
        </w:rPr>
        <w:t>df</w:t>
      </w:r>
      <w:proofErr w:type="gramEnd"/>
      <w:r w:rsidR="00D903D6" w:rsidRPr="00461871">
        <w:rPr>
          <w:b w:val="0"/>
          <w:sz w:val="22"/>
          <w:szCs w:val="22"/>
        </w:rPr>
        <w:t xml:space="preserve"> = 4, p</w:t>
      </w:r>
      <w:r w:rsidRPr="00461871">
        <w:rPr>
          <w:b w:val="0"/>
          <w:sz w:val="22"/>
          <w:szCs w:val="22"/>
        </w:rPr>
        <w:t>&lt;0.001)</w:t>
      </w:r>
      <w:r w:rsidR="00DB21D5" w:rsidRPr="00461871">
        <w:rPr>
          <w:b w:val="0"/>
          <w:sz w:val="22"/>
          <w:szCs w:val="22"/>
        </w:rPr>
        <w:t xml:space="preserve">, and frog </w:t>
      </w:r>
      <w:r w:rsidRPr="00461871">
        <w:rPr>
          <w:b w:val="0"/>
          <w:sz w:val="22"/>
          <w:szCs w:val="22"/>
        </w:rPr>
        <w:t xml:space="preserve">calling </w:t>
      </w:r>
      <w:r w:rsidR="00DB21D5" w:rsidRPr="00461871">
        <w:rPr>
          <w:b w:val="0"/>
          <w:sz w:val="22"/>
          <w:szCs w:val="22"/>
        </w:rPr>
        <w:t>abundance in 2007 and 2010 were significantly higher than 2011 and 2012</w:t>
      </w:r>
      <w:r w:rsidR="001E1462" w:rsidRPr="00461871">
        <w:rPr>
          <w:b w:val="0"/>
          <w:sz w:val="22"/>
          <w:szCs w:val="22"/>
        </w:rPr>
        <w:t xml:space="preserve"> </w:t>
      </w:r>
      <w:r w:rsidR="00293EFC" w:rsidRPr="00461871">
        <w:rPr>
          <w:b w:val="0"/>
          <w:sz w:val="22"/>
          <w:szCs w:val="22"/>
        </w:rPr>
        <w:t>(</w:t>
      </w:r>
      <w:r w:rsidR="00461871">
        <w:rPr>
          <w:b w:val="0"/>
          <w:sz w:val="22"/>
          <w:szCs w:val="22"/>
        </w:rPr>
        <w:t>Figure 37</w:t>
      </w:r>
      <w:r w:rsidR="0002259B" w:rsidRPr="00461871">
        <w:rPr>
          <w:b w:val="0"/>
          <w:sz w:val="22"/>
          <w:szCs w:val="22"/>
        </w:rPr>
        <w:t xml:space="preserve">, </w:t>
      </w:r>
      <w:r w:rsidR="00461871">
        <w:rPr>
          <w:b w:val="0"/>
          <w:sz w:val="22"/>
          <w:szCs w:val="22"/>
        </w:rPr>
        <w:t>Appendix XII</w:t>
      </w:r>
      <w:r w:rsidR="00293EFC" w:rsidRPr="00461871">
        <w:rPr>
          <w:b w:val="0"/>
          <w:sz w:val="22"/>
          <w:szCs w:val="22"/>
        </w:rPr>
        <w:t>)</w:t>
      </w:r>
      <w:r w:rsidR="000738B4" w:rsidRPr="00461871">
        <w:rPr>
          <w:b w:val="0"/>
          <w:sz w:val="22"/>
          <w:szCs w:val="22"/>
        </w:rPr>
        <w:t>.</w:t>
      </w:r>
      <w:r w:rsidR="00DB21D5" w:rsidRPr="00461871">
        <w:rPr>
          <w:b w:val="0"/>
          <w:sz w:val="22"/>
          <w:szCs w:val="22"/>
        </w:rPr>
        <w:t xml:space="preserve"> Summers of 2007, 2009 and 2010 did not differ significantly in mean rank frog</w:t>
      </w:r>
      <w:r w:rsidR="001E1462" w:rsidRPr="00461871">
        <w:rPr>
          <w:b w:val="0"/>
          <w:sz w:val="22"/>
          <w:szCs w:val="22"/>
        </w:rPr>
        <w:t xml:space="preserve"> call</w:t>
      </w:r>
      <w:r w:rsidR="00DB21D5" w:rsidRPr="00461871">
        <w:rPr>
          <w:b w:val="0"/>
          <w:sz w:val="22"/>
          <w:szCs w:val="22"/>
        </w:rPr>
        <w:t xml:space="preserve"> abundance.</w:t>
      </w:r>
    </w:p>
    <w:p w:rsidR="0002259B" w:rsidRDefault="002E6077" w:rsidP="0002259B">
      <w:pPr>
        <w:pStyle w:val="Caption"/>
        <w:spacing w:after="0"/>
        <w:rPr>
          <w:szCs w:val="20"/>
        </w:rPr>
      </w:pPr>
      <w:r w:rsidRPr="002E6077">
        <w:rPr>
          <w:rFonts w:ascii="Segoe UI" w:hAnsi="Segoe UI"/>
          <w:noProof/>
          <w:color w:val="4F81BD"/>
          <w:sz w:val="18"/>
          <w:lang w:val="en-US"/>
        </w:rPr>
        <w:pict>
          <v:shape id="Text Box 76" o:spid="_x0000_s1037" type="#_x0000_t202" style="position:absolute;margin-left:90.4pt;margin-top:418.35pt;width:142.35pt;height:42.7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4QNugIAAMI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" filled="f" stroked="f">
            <v:textbox style="mso-next-textbox:#Text Box 76">
              <w:txbxContent>
                <w:p w:rsidR="00461871" w:rsidRPr="00797563" w:rsidRDefault="00BF4523" w:rsidP="0002259B">
                  <w:pPr>
                    <w:rPr>
                      <w:b/>
                    </w:rPr>
                  </w:pPr>
                  <w:proofErr w:type="gramStart"/>
                  <w:r>
                    <w:rPr>
                      <w:b/>
                    </w:rPr>
                    <w:t>a</w:t>
                  </w:r>
                  <w:proofErr w:type="gramEnd"/>
                  <w:r>
                    <w:rPr>
                      <w:b/>
                    </w:rPr>
                    <w:t xml:space="preserve">                      </w:t>
                  </w:r>
                  <w:r w:rsidR="00461871">
                    <w:rPr>
                      <w:b/>
                    </w:rPr>
                    <w:t>a</w:t>
                  </w:r>
                  <w:r w:rsidR="00BB7EAB">
                    <w:rPr>
                      <w:b/>
                    </w:rPr>
                    <w:t>bc</w:t>
                  </w:r>
                </w:p>
              </w:txbxContent>
            </v:textbox>
          </v:shape>
        </w:pict>
      </w:r>
      <w:r w:rsidRPr="002E6077">
        <w:rPr>
          <w:rFonts w:ascii="Segoe UI" w:hAnsi="Segoe UI"/>
          <w:noProof/>
          <w:color w:val="4F81BD"/>
          <w:sz w:val="18"/>
          <w:lang w:val="en-US"/>
        </w:rPr>
        <w:pict>
          <v:shape id="Text Box 39" o:spid="_x0000_s1033" type="#_x0000_t202" style="position:absolute;margin-left:359.75pt;margin-top:52.35pt;width:76.75pt;height:30.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" filled="f" stroked="f">
            <v:textbox style="mso-next-textbox:#Text Box 39">
              <w:txbxContent>
                <w:p w:rsidR="00461871" w:rsidRPr="00797563" w:rsidRDefault="00461871" w:rsidP="0002259B">
                  <w:pPr>
                    <w:spacing w:line="240" w:lineRule="auto"/>
                    <w:rPr>
                      <w:b/>
                    </w:rPr>
                  </w:pPr>
                  <w:r>
                    <w:rPr>
                      <w:b/>
                    </w:rPr>
                    <w:t>Permanent</w:t>
                  </w:r>
                </w:p>
              </w:txbxContent>
            </v:textbox>
          </v:shape>
        </w:pict>
      </w:r>
      <w:r w:rsidRPr="002E6077">
        <w:rPr>
          <w:rFonts w:ascii="Segoe UI" w:hAnsi="Segoe UI"/>
          <w:noProof/>
          <w:color w:val="4F81BD"/>
          <w:sz w:val="18"/>
          <w:lang w:val="en-US"/>
        </w:rPr>
        <w:pict>
          <v:shape id="Text Box 73" o:spid="_x0000_s1034" type="#_x0000_t202" style="position:absolute;margin-left:232.75pt;margin-top:420.25pt;width:32.45pt;height:38.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" filled="f" stroked="f">
            <v:textbox style="mso-next-textbox:#Text Box 73">
              <w:txbxContent>
                <w:p w:rsidR="00461871" w:rsidRPr="00797563" w:rsidRDefault="00461871" w:rsidP="0002259B">
                  <w:pPr>
                    <w:rPr>
                      <w:b/>
                    </w:rPr>
                  </w:pPr>
                  <w:proofErr w:type="gramStart"/>
                  <w:r>
                    <w:rPr>
                      <w:b/>
                    </w:rPr>
                    <w:t>a</w:t>
                  </w:r>
                  <w:proofErr w:type="gramEnd"/>
                </w:p>
              </w:txbxContent>
            </v:textbox>
          </v:shape>
        </w:pict>
      </w:r>
      <w:r w:rsidRPr="002E6077">
        <w:rPr>
          <w:rFonts w:ascii="Segoe UI" w:hAnsi="Segoe UI"/>
          <w:noProof/>
          <w:color w:val="4F81BD"/>
          <w:sz w:val="18"/>
          <w:lang w:val="en-US"/>
        </w:rPr>
        <w:pict>
          <v:shape id="Text Box 74" o:spid="_x0000_s1035" type="#_x0000_t202" style="position:absolute;margin-left:379.25pt;margin-top:419.25pt;width:32.45pt;height:34.3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" filled="f" stroked="f">
            <v:textbox style="mso-next-textbox:#Text Box 74">
              <w:txbxContent>
                <w:p w:rsidR="00461871" w:rsidRPr="00797563" w:rsidRDefault="00461871" w:rsidP="0002259B">
                  <w:pPr>
                    <w:rPr>
                      <w:b/>
                    </w:rPr>
                  </w:pPr>
                  <w:proofErr w:type="gramStart"/>
                  <w:r>
                    <w:rPr>
                      <w:b/>
                    </w:rPr>
                    <w:t>bc</w:t>
                  </w:r>
                  <w:proofErr w:type="gramEnd"/>
                </w:p>
              </w:txbxContent>
            </v:textbox>
          </v:shape>
        </w:pict>
      </w:r>
      <w:r w:rsidRPr="002E6077">
        <w:rPr>
          <w:rFonts w:ascii="Segoe UI" w:hAnsi="Segoe UI"/>
          <w:noProof/>
          <w:color w:val="4F81BD"/>
          <w:sz w:val="18"/>
          <w:lang w:val="en-US"/>
        </w:rPr>
        <w:pict>
          <v:shape id="Text Box 75" o:spid="_x0000_s1036" type="#_x0000_t202" style="position:absolute;margin-left:305.55pt;margin-top:419.25pt;width:32.45pt;height:43.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" filled="f" stroked="f">
            <v:textbox style="mso-next-textbox:#Text Box 75">
              <w:txbxContent>
                <w:p w:rsidR="00461871" w:rsidRPr="00797563" w:rsidRDefault="00461871" w:rsidP="0002259B">
                  <w:pPr>
                    <w:rPr>
                      <w:b/>
                    </w:rPr>
                  </w:pPr>
                  <w:proofErr w:type="gramStart"/>
                  <w:r>
                    <w:rPr>
                      <w:b/>
                    </w:rPr>
                    <w:t>bc</w:t>
                  </w:r>
                  <w:proofErr w:type="gramEnd"/>
                </w:p>
              </w:txbxContent>
            </v:textbox>
          </v:shape>
        </w:pict>
      </w:r>
      <w:r w:rsidR="0002259B">
        <w:rPr>
          <w:i/>
          <w:noProof/>
          <w:lang w:eastAsia="en-AU"/>
        </w:rPr>
        <w:drawing>
          <wp:inline distT="0" distB="0" distL="0" distR="0">
            <wp:extent cx="5934075" cy="5743575"/>
            <wp:effectExtent l="0" t="0" r="0" b="0"/>
            <wp:docPr id="7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049"/>
                    <a:stretch>
                      <a:fillRect/>
                    </a:stretch>
                  </pic:blipFill>
                  <pic:spPr bwMode="auto">
                    <a:xfrm>
                      <a:off x="0" y="0"/>
                      <a:ext cx="5934075" cy="5743575"/>
                    </a:xfrm>
                    <a:prstGeom prst="rect">
                      <a:avLst/>
                    </a:prstGeom>
                    <a:noFill/>
                    <a:ln>
                      <a:noFill/>
                    </a:ln>
                  </pic:spPr>
                </pic:pic>
              </a:graphicData>
            </a:graphic>
          </wp:inline>
        </w:drawing>
      </w:r>
    </w:p>
    <w:p w:rsidR="0002259B" w:rsidRPr="00835B83" w:rsidRDefault="005A417F" w:rsidP="005A417F">
      <w:pPr>
        <w:pStyle w:val="Caption"/>
        <w:rPr>
          <w:rFonts w:cs="Segoe UI"/>
          <w:szCs w:val="20"/>
        </w:rPr>
      </w:pPr>
      <w:bookmarkStart w:id="169" w:name="_Ref403375716"/>
      <w:bookmarkStart w:id="170" w:name="_Toc380059326"/>
      <w:bookmarkStart w:id="171" w:name="_Ref402943140"/>
      <w:proofErr w:type="gramStart"/>
      <w:r>
        <w:t xml:space="preserve">Figure </w:t>
      </w:r>
      <w:proofErr w:type="gramEnd"/>
      <w:r w:rsidR="002E6077">
        <w:fldChar w:fldCharType="begin"/>
      </w:r>
      <w:r w:rsidR="009D1F5A">
        <w:instrText xml:space="preserve"> SEQ Figure \* ARABIC </w:instrText>
      </w:r>
      <w:r w:rsidR="002E6077">
        <w:fldChar w:fldCharType="separate"/>
      </w:r>
      <w:r w:rsidR="009659F2">
        <w:rPr>
          <w:noProof/>
        </w:rPr>
        <w:t>37</w:t>
      </w:r>
      <w:r w:rsidR="002E6077">
        <w:rPr>
          <w:noProof/>
        </w:rPr>
        <w:fldChar w:fldCharType="end"/>
      </w:r>
      <w:bookmarkEnd w:id="169"/>
      <w:proofErr w:type="gramStart"/>
      <w:r w:rsidR="0002259B">
        <w:t>.</w:t>
      </w:r>
      <w:proofErr w:type="gramEnd"/>
      <w:r w:rsidR="0002259B" w:rsidRPr="00835B83">
        <w:rPr>
          <w:rFonts w:cs="Segoe UI"/>
          <w:szCs w:val="20"/>
        </w:rPr>
        <w:t xml:space="preserve"> </w:t>
      </w:r>
      <w:proofErr w:type="gramStart"/>
      <w:r w:rsidR="0002259B" w:rsidRPr="00835B83">
        <w:rPr>
          <w:rFonts w:cs="Segoe UI"/>
          <w:szCs w:val="20"/>
        </w:rPr>
        <w:t>Boxplot of summer abundance of calling males at permanent wetlands.</w:t>
      </w:r>
      <w:proofErr w:type="gramEnd"/>
      <w:r w:rsidR="0002259B" w:rsidRPr="00835B83">
        <w:rPr>
          <w:rFonts w:cs="Segoe UI"/>
          <w:szCs w:val="20"/>
        </w:rPr>
        <w:t xml:space="preserve"> Different letters below columns denote when frog abundances were significantly different from each other using Kruskal-Wallis post hoc tests (p&lt;0.05). Note: Horizontal line=median, Ends of the box=1</w:t>
      </w:r>
      <w:r w:rsidR="0002259B" w:rsidRPr="00835B83">
        <w:rPr>
          <w:rFonts w:cs="Segoe UI"/>
          <w:szCs w:val="20"/>
          <w:vertAlign w:val="superscript"/>
        </w:rPr>
        <w:t>st</w:t>
      </w:r>
      <w:r w:rsidR="0002259B" w:rsidRPr="00835B83">
        <w:rPr>
          <w:rFonts w:cs="Segoe UI"/>
          <w:szCs w:val="20"/>
        </w:rPr>
        <w:t xml:space="preserve"> and 3</w:t>
      </w:r>
      <w:r w:rsidR="0002259B" w:rsidRPr="00835B83">
        <w:rPr>
          <w:rFonts w:cs="Segoe UI"/>
          <w:szCs w:val="20"/>
          <w:vertAlign w:val="superscript"/>
        </w:rPr>
        <w:t>rd</w:t>
      </w:r>
      <w:r w:rsidR="0002259B" w:rsidRPr="00835B83">
        <w:rPr>
          <w:rFonts w:cs="Segoe UI"/>
          <w:szCs w:val="20"/>
        </w:rPr>
        <w:t xml:space="preserve"> quartile, whiskers= 1.5 IQR, circles= outliers.</w:t>
      </w:r>
      <w:bookmarkStart w:id="172" w:name="_GoBack"/>
      <w:bookmarkEnd w:id="170"/>
      <w:bookmarkEnd w:id="171"/>
      <w:bookmarkEnd w:id="172"/>
    </w:p>
    <w:p w:rsidR="001C05B2" w:rsidRDefault="00DB21D5" w:rsidP="00DB21D5">
      <w:r w:rsidRPr="00A67C76">
        <w:t>As with managed wetlands and permanent wetlands, there was a significant difference in mean rank frog call abundance between years at temporary wetlands</w:t>
      </w:r>
      <w:r w:rsidR="00293EFC" w:rsidRPr="00A67C76">
        <w:t xml:space="preserve"> </w:t>
      </w:r>
      <w:r w:rsidR="001E1462" w:rsidRPr="00A67C76">
        <w:t xml:space="preserve">(wetlands that are inundated when flows are above pool level) (Kruskal-Wallis; </w:t>
      </w:r>
      <w:r w:rsidR="00D903D6" w:rsidRPr="00A67C76">
        <w:t>Χ</w:t>
      </w:r>
      <w:r w:rsidR="00D903D6" w:rsidRPr="00A67C76">
        <w:rPr>
          <w:vertAlign w:val="superscript"/>
        </w:rPr>
        <w:t>2</w:t>
      </w:r>
      <w:r w:rsidR="001E1462" w:rsidRPr="00A67C76">
        <w:t xml:space="preserve">= 61.23, </w:t>
      </w:r>
      <w:proofErr w:type="gramStart"/>
      <w:r w:rsidR="001E1462" w:rsidRPr="00A67C76">
        <w:t>df</w:t>
      </w:r>
      <w:proofErr w:type="gramEnd"/>
      <w:r w:rsidR="001E1462" w:rsidRPr="00A67C76">
        <w:t xml:space="preserve"> = 2, p=&lt;0.001)</w:t>
      </w:r>
      <w:r w:rsidRPr="00A67C76">
        <w:t xml:space="preserve">. </w:t>
      </w:r>
      <w:r w:rsidR="001E1462" w:rsidRPr="00A67C76">
        <w:t xml:space="preserve">Mean rank frog abundance </w:t>
      </w:r>
      <w:r w:rsidRPr="00A67C76">
        <w:t xml:space="preserve">for 2010 </w:t>
      </w:r>
      <w:r w:rsidR="001E1462" w:rsidRPr="00A67C76">
        <w:t xml:space="preserve">was </w:t>
      </w:r>
      <w:r w:rsidRPr="00A67C76">
        <w:t>significantly higher than both 2011 and 2012</w:t>
      </w:r>
      <w:r w:rsidR="001C05B2">
        <w:t xml:space="preserve"> (</w:t>
      </w:r>
      <w:r w:rsidR="002E6077">
        <w:fldChar w:fldCharType="begin"/>
      </w:r>
      <w:r w:rsidR="005A417F">
        <w:instrText xml:space="preserve"> REF _Ref403375745 \h </w:instrText>
      </w:r>
      <w:r w:rsidR="002E6077">
        <w:fldChar w:fldCharType="separate"/>
      </w:r>
      <w:r w:rsidR="009659F2">
        <w:t xml:space="preserve">Figure </w:t>
      </w:r>
      <w:r w:rsidR="009659F2">
        <w:rPr>
          <w:noProof/>
        </w:rPr>
        <w:t>38</w:t>
      </w:r>
      <w:r w:rsidR="002E6077">
        <w:fldChar w:fldCharType="end"/>
      </w:r>
      <w:r w:rsidR="001C05B2">
        <w:t>)</w:t>
      </w:r>
      <w:r w:rsidRPr="00A67C76">
        <w:t>. Mean rank frog abundance in 2011 and 2012 were not significantly different.</w:t>
      </w:r>
    </w:p>
    <w:p w:rsidR="001C05B2" w:rsidRDefault="002E6077" w:rsidP="001C05B2">
      <w:pPr>
        <w:spacing w:after="0" w:line="240" w:lineRule="auto"/>
        <w:rPr>
          <w:sz w:val="20"/>
        </w:rPr>
      </w:pPr>
      <w:r w:rsidRPr="002E6077">
        <w:rPr>
          <w:noProof/>
          <w:sz w:val="18"/>
          <w:lang w:val="en-US"/>
        </w:rPr>
        <w:pict>
          <v:shape id="Text Box 79" o:spid="_x0000_s1038" type="#_x0000_t202" style="position:absolute;margin-left:355.65pt;margin-top:391.65pt;width:38.1pt;height:35.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" filled="f" stroked="f">
            <v:textbox style="mso-next-textbox:#Text Box 79">
              <w:txbxContent>
                <w:p w:rsidR="00461871" w:rsidRPr="00797563" w:rsidRDefault="00461871" w:rsidP="001C05B2">
                  <w:pPr>
                    <w:rPr>
                      <w:b/>
                    </w:rPr>
                  </w:pPr>
                  <w:proofErr w:type="gramStart"/>
                  <w:r>
                    <w:rPr>
                      <w:b/>
                    </w:rPr>
                    <w:t>b</w:t>
                  </w:r>
                  <w:proofErr w:type="gramEnd"/>
                </w:p>
              </w:txbxContent>
            </v:textbox>
          </v:shape>
        </w:pict>
      </w:r>
      <w:r w:rsidRPr="002E6077">
        <w:rPr>
          <w:noProof/>
          <w:sz w:val="18"/>
          <w:lang w:val="en-US"/>
        </w:rPr>
        <w:pict>
          <v:shape id="Text Box 80" o:spid="_x0000_s1039" type="#_x0000_t202" style="position:absolute;margin-left:234.4pt;margin-top:390.85pt;width:34.75pt;height:38.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" filled="f" stroked="f">
            <v:textbox style="mso-next-textbox:#Text Box 80">
              <w:txbxContent>
                <w:p w:rsidR="00461871" w:rsidRPr="00797563" w:rsidRDefault="00461871" w:rsidP="001C05B2">
                  <w:pPr>
                    <w:rPr>
                      <w:b/>
                    </w:rPr>
                  </w:pPr>
                  <w:proofErr w:type="gramStart"/>
                  <w:r>
                    <w:rPr>
                      <w:b/>
                    </w:rPr>
                    <w:t>b</w:t>
                  </w:r>
                  <w:proofErr w:type="gramEnd"/>
                </w:p>
              </w:txbxContent>
            </v:textbox>
          </v:shape>
        </w:pict>
      </w:r>
      <w:r w:rsidRPr="002E6077">
        <w:rPr>
          <w:noProof/>
          <w:sz w:val="18"/>
          <w:lang w:val="en-US"/>
        </w:rPr>
        <w:pict>
          <v:shape id="Text Box 78" o:spid="_x0000_s1040" type="#_x0000_t202" style="position:absolute;margin-left:118.85pt;margin-top:390.65pt;width:46pt;height:32.3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" filled="f" stroked="f">
            <v:textbox style="mso-next-textbox:#Text Box 78">
              <w:txbxContent>
                <w:p w:rsidR="00461871" w:rsidRPr="00797563" w:rsidRDefault="00461871" w:rsidP="001C05B2">
                  <w:pPr>
                    <w:rPr>
                      <w:b/>
                    </w:rPr>
                  </w:pPr>
                  <w:proofErr w:type="gramStart"/>
                  <w:r>
                    <w:rPr>
                      <w:b/>
                    </w:rPr>
                    <w:t>a</w:t>
                  </w:r>
                  <w:proofErr w:type="gramEnd"/>
                </w:p>
              </w:txbxContent>
            </v:textbox>
          </v:shape>
        </w:pict>
      </w:r>
      <w:r w:rsidRPr="002E6077">
        <w:rPr>
          <w:noProof/>
          <w:sz w:val="18"/>
          <w:lang w:val="en-US"/>
        </w:rPr>
        <w:pict>
          <v:shape id="Text Box 84" o:spid="_x0000_s1041" type="#_x0000_t202" style="position:absolute;margin-left:697.6pt;margin-top:24.8pt;width:89.6pt;height:36.85pt;z-index:25168486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" filled="f" stroked="f">
            <v:textbox style="mso-next-textbox:#Text Box 84">
              <w:txbxContent>
                <w:p w:rsidR="00461871" w:rsidRPr="00797563" w:rsidRDefault="00461871" w:rsidP="001C05B2">
                  <w:pPr>
                    <w:rPr>
                      <w:b/>
                    </w:rPr>
                  </w:pPr>
                  <w:r>
                    <w:rPr>
                      <w:b/>
                    </w:rPr>
                    <w:t>Temporary</w:t>
                  </w:r>
                </w:p>
              </w:txbxContent>
            </v:textbox>
            <w10:wrap anchorx="margin"/>
          </v:shape>
        </w:pict>
      </w:r>
      <w:r w:rsidR="001C05B2">
        <w:rPr>
          <w:noProof/>
          <w:lang w:eastAsia="en-AU"/>
        </w:rPr>
        <w:drawing>
          <wp:inline distT="0" distB="0" distL="0" distR="0">
            <wp:extent cx="5934075" cy="5445863"/>
            <wp:effectExtent l="0" t="0" r="0" b="0"/>
            <wp:docPr id="8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8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026" b="3049"/>
                    <a:stretch/>
                  </pic:blipFill>
                  <pic:spPr bwMode="auto">
                    <a:xfrm>
                      <a:off x="0" y="0"/>
                      <a:ext cx="5934075" cy="544586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bookmarkStart w:id="173" w:name="_Ref367990037"/>
    </w:p>
    <w:p w:rsidR="001C05B2" w:rsidRPr="0073301C" w:rsidRDefault="005A417F" w:rsidP="005A417F">
      <w:pPr>
        <w:pStyle w:val="Caption"/>
        <w:rPr>
          <w:rFonts w:cs="Segoe UI"/>
          <w:sz w:val="24"/>
          <w:szCs w:val="20"/>
        </w:rPr>
      </w:pPr>
      <w:bookmarkStart w:id="174" w:name="_Ref403375745"/>
      <w:bookmarkStart w:id="175" w:name="_Toc380059327"/>
      <w:bookmarkEnd w:id="173"/>
      <w:proofErr w:type="gramStart"/>
      <w:r>
        <w:t xml:space="preserve">Figure </w:t>
      </w:r>
      <w:proofErr w:type="gramEnd"/>
      <w:r w:rsidR="002E6077">
        <w:fldChar w:fldCharType="begin"/>
      </w:r>
      <w:r w:rsidR="009D1F5A">
        <w:instrText xml:space="preserve"> SEQ Figure \* ARABIC </w:instrText>
      </w:r>
      <w:r w:rsidR="002E6077">
        <w:fldChar w:fldCharType="separate"/>
      </w:r>
      <w:r w:rsidR="009659F2">
        <w:rPr>
          <w:noProof/>
        </w:rPr>
        <w:t>38</w:t>
      </w:r>
      <w:r w:rsidR="002E6077">
        <w:rPr>
          <w:noProof/>
        </w:rPr>
        <w:fldChar w:fldCharType="end"/>
      </w:r>
      <w:bookmarkEnd w:id="174"/>
      <w:proofErr w:type="gramStart"/>
      <w:r w:rsidR="002E6077" w:rsidRPr="002E6077">
        <w:rPr>
          <w:rFonts w:cs="Segoe UI"/>
          <w:noProof/>
          <w:szCs w:val="20"/>
          <w:highlight w:val="yellow"/>
          <w:lang w:val="en-US"/>
        </w:rPr>
        <w:pict>
          <v:shape id="Text Box 85" o:spid="_x0000_s1042" type="#_x0000_t202" style="position:absolute;margin-left:233.05pt;margin-top:429pt;width:32.45pt;height:22.5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" stroked="f">
            <v:textbox style="mso-next-textbox:#Text Box 85">
              <w:txbxContent>
                <w:p w:rsidR="00461871" w:rsidRPr="00797563" w:rsidRDefault="00461871" w:rsidP="001C05B2">
                  <w:pPr>
                    <w:rPr>
                      <w:b/>
                    </w:rPr>
                  </w:pPr>
                  <w:proofErr w:type="gramStart"/>
                  <w:r>
                    <w:rPr>
                      <w:b/>
                    </w:rPr>
                    <w:t>c</w:t>
                  </w:r>
                  <w:proofErr w:type="gramEnd"/>
                  <w:r>
                    <w:rPr>
                      <w:b/>
                    </w:rPr>
                    <w:t xml:space="preserve"> d</w:t>
                  </w:r>
                </w:p>
              </w:txbxContent>
            </v:textbox>
          </v:shape>
        </w:pict>
      </w:r>
      <w:r w:rsidR="002E6077" w:rsidRPr="002E6077">
        <w:rPr>
          <w:rFonts w:cs="Segoe UI"/>
          <w:noProof/>
          <w:szCs w:val="20"/>
          <w:highlight w:val="yellow"/>
          <w:lang w:val="en-US"/>
        </w:rPr>
        <w:pict>
          <v:shape id="Text Box 86" o:spid="_x0000_s1043" type="#_x0000_t202" style="position:absolute;margin-left:376.3pt;margin-top:430.5pt;width:32.45pt;height:22.5pt;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c7hgIAABg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" stroked="f">
            <v:textbox style="mso-next-textbox:#Text Box 86">
              <w:txbxContent>
                <w:p w:rsidR="00461871" w:rsidRPr="00797563" w:rsidRDefault="00461871" w:rsidP="001C05B2">
                  <w:pPr>
                    <w:rPr>
                      <w:b/>
                    </w:rPr>
                  </w:pPr>
                  <w:proofErr w:type="gramStart"/>
                  <w:r>
                    <w:rPr>
                      <w:b/>
                    </w:rPr>
                    <w:t>b</w:t>
                  </w:r>
                  <w:proofErr w:type="gramEnd"/>
                  <w:r>
                    <w:rPr>
                      <w:b/>
                    </w:rPr>
                    <w:t xml:space="preserve"> d</w:t>
                  </w:r>
                </w:p>
              </w:txbxContent>
            </v:textbox>
          </v:shape>
        </w:pict>
      </w:r>
      <w:r w:rsidR="002E6077" w:rsidRPr="002E6077">
        <w:rPr>
          <w:rFonts w:cs="Segoe UI"/>
          <w:noProof/>
          <w:szCs w:val="20"/>
          <w:highlight w:val="yellow"/>
          <w:lang w:val="en-US"/>
        </w:rPr>
        <w:pict>
          <v:shape id="Text Box 87" o:spid="_x0000_s1044" type="#_x0000_t202" style="position:absolute;margin-left:305.05pt;margin-top:428.25pt;width:32.45pt;height:22.5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" stroked="f">
            <v:textbox style="mso-next-textbox:#Text Box 87">
              <w:txbxContent>
                <w:p w:rsidR="00461871" w:rsidRPr="00797563" w:rsidRDefault="00461871" w:rsidP="001C05B2">
                  <w:pPr>
                    <w:rPr>
                      <w:b/>
                    </w:rPr>
                  </w:pPr>
                  <w:proofErr w:type="gramStart"/>
                  <w:r>
                    <w:rPr>
                      <w:b/>
                    </w:rPr>
                    <w:t>a</w:t>
                  </w:r>
                  <w:proofErr w:type="gramEnd"/>
                  <w:r>
                    <w:rPr>
                      <w:b/>
                    </w:rPr>
                    <w:t xml:space="preserve"> c</w:t>
                  </w:r>
                </w:p>
              </w:txbxContent>
            </v:textbox>
          </v:shape>
        </w:pict>
      </w:r>
      <w:r w:rsidR="002E6077" w:rsidRPr="002E6077">
        <w:rPr>
          <w:rFonts w:cs="Segoe UI"/>
          <w:noProof/>
          <w:szCs w:val="20"/>
          <w:highlight w:val="yellow"/>
          <w:lang w:val="en-US"/>
        </w:rPr>
        <w:pict>
          <v:shape id="Text Box 88" o:spid="_x0000_s1045" type="#_x0000_t202" style="position:absolute;margin-left:89.8pt;margin-top:428.25pt;width:32.45pt;height:22.5pt;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" stroked="f">
            <v:textbox style="mso-next-textbox:#Text Box 88">
              <w:txbxContent>
                <w:p w:rsidR="00461871" w:rsidRPr="00797563" w:rsidRDefault="00461871" w:rsidP="001C05B2">
                  <w:pPr>
                    <w:rPr>
                      <w:b/>
                    </w:rPr>
                  </w:pPr>
                  <w:proofErr w:type="gramStart"/>
                  <w:r>
                    <w:rPr>
                      <w:b/>
                    </w:rPr>
                    <w:t>a</w:t>
                  </w:r>
                  <w:proofErr w:type="gramEnd"/>
                  <w:r>
                    <w:rPr>
                      <w:b/>
                    </w:rPr>
                    <w:t xml:space="preserve"> b</w:t>
                  </w:r>
                </w:p>
              </w:txbxContent>
            </v:textbox>
          </v:shape>
        </w:pict>
      </w:r>
      <w:r w:rsidR="001C05B2">
        <w:t>.</w:t>
      </w:r>
      <w:proofErr w:type="gramEnd"/>
      <w:r w:rsidR="001C05B2">
        <w:rPr>
          <w:rFonts w:cs="Segoe UI"/>
          <w:szCs w:val="20"/>
        </w:rPr>
        <w:t xml:space="preserve"> </w:t>
      </w:r>
      <w:proofErr w:type="gramStart"/>
      <w:r w:rsidR="001C05B2" w:rsidRPr="0073301C">
        <w:rPr>
          <w:rFonts w:cs="Segoe UI"/>
          <w:szCs w:val="20"/>
        </w:rPr>
        <w:t>Boxplot of summer abundance of calling males at temporary wetlands.</w:t>
      </w:r>
      <w:proofErr w:type="gramEnd"/>
      <w:r w:rsidR="001C05B2" w:rsidRPr="0073301C">
        <w:rPr>
          <w:rFonts w:cs="Segoe UI"/>
          <w:szCs w:val="20"/>
        </w:rPr>
        <w:t xml:space="preserve"> Different letters below columns denote when frog abundances were significantly different from each other using Kruskal-Wallis post hoc tests (p&lt;0.05). Note: Horizontal line=median, Ends of the box=1</w:t>
      </w:r>
      <w:r w:rsidR="001C05B2" w:rsidRPr="0073301C">
        <w:rPr>
          <w:rFonts w:cs="Segoe UI"/>
          <w:szCs w:val="20"/>
          <w:vertAlign w:val="superscript"/>
        </w:rPr>
        <w:t>st</w:t>
      </w:r>
      <w:r w:rsidR="001C05B2" w:rsidRPr="0073301C">
        <w:rPr>
          <w:rFonts w:cs="Segoe UI"/>
          <w:szCs w:val="20"/>
        </w:rPr>
        <w:t xml:space="preserve"> and 3</w:t>
      </w:r>
      <w:r w:rsidR="001C05B2" w:rsidRPr="0073301C">
        <w:rPr>
          <w:rFonts w:cs="Segoe UI"/>
          <w:szCs w:val="20"/>
          <w:vertAlign w:val="superscript"/>
        </w:rPr>
        <w:t>rd</w:t>
      </w:r>
      <w:r w:rsidR="001C05B2" w:rsidRPr="0073301C">
        <w:rPr>
          <w:rFonts w:cs="Segoe UI"/>
          <w:szCs w:val="20"/>
        </w:rPr>
        <w:t xml:space="preserve"> quartile, whiskers= 1.5 IQR, circles= outliers.</w:t>
      </w:r>
      <w:bookmarkEnd w:id="175"/>
    </w:p>
    <w:p w:rsidR="00DB21D5" w:rsidRPr="00A67C76" w:rsidRDefault="00DB21D5" w:rsidP="00DB21D5">
      <w:r w:rsidRPr="00A67C76">
        <w:t>Summer frog abundance of calling males at permanent and managed wetlands was not correlated with flows in the Lower Murray River across all years (</w:t>
      </w:r>
      <w:r w:rsidRPr="00A67C76">
        <w:rPr>
          <w:i/>
        </w:rPr>
        <w:t>permanent;</w:t>
      </w:r>
      <w:r w:rsidRPr="00A67C76">
        <w:t xml:space="preserve"> rho=0.09, p=0.32, n=135; </w:t>
      </w:r>
      <w:r w:rsidRPr="00A67C76">
        <w:rPr>
          <w:i/>
        </w:rPr>
        <w:t xml:space="preserve">managed; </w:t>
      </w:r>
      <w:r w:rsidRPr="00A67C76">
        <w:t xml:space="preserve">rho=0.06 p=0.38, n=196). </w:t>
      </w:r>
      <w:r w:rsidR="001E1462" w:rsidRPr="00A67C76">
        <w:t>F</w:t>
      </w:r>
      <w:r w:rsidRPr="00A67C76">
        <w:t xml:space="preserve">rog call abundance at temporary wetlands was significantly correlated with flows to </w:t>
      </w:r>
      <w:r w:rsidR="003626AB" w:rsidRPr="00A67C76">
        <w:t>South Australia</w:t>
      </w:r>
      <w:r w:rsidRPr="00A67C76">
        <w:t xml:space="preserve"> (</w:t>
      </w:r>
      <w:r w:rsidRPr="00A67C76">
        <w:rPr>
          <w:i/>
        </w:rPr>
        <w:t>rho</w:t>
      </w:r>
      <w:r w:rsidRPr="00A67C76">
        <w:t>=0.58, p&gt; 0.001, n=103), however, these wetlands were only surveyed in 2010, 2011 and 2012, when higher flows inundated these areas.</w:t>
      </w:r>
    </w:p>
    <w:p w:rsidR="00DB21D5" w:rsidRPr="00A67C76" w:rsidRDefault="00DB21D5" w:rsidP="00DB21D5">
      <w:pPr>
        <w:spacing w:after="200" w:line="276" w:lineRule="auto"/>
        <w:rPr>
          <w:rFonts w:eastAsia="MS Mincho" w:cs="Arial"/>
          <w:b/>
          <w:bCs/>
          <w:color w:val="auto"/>
          <w:kern w:val="0"/>
          <w:sz w:val="20"/>
        </w:rPr>
      </w:pPr>
      <w:r w:rsidRPr="00A67C76">
        <w:br w:type="page"/>
      </w:r>
    </w:p>
    <w:p w:rsidR="006E1C7F" w:rsidRPr="00A67C76" w:rsidRDefault="006E1C7F" w:rsidP="00F41737">
      <w:pPr>
        <w:pStyle w:val="Heading2"/>
      </w:pPr>
      <w:bookmarkStart w:id="176" w:name="_Toc387843596"/>
      <w:r w:rsidRPr="00A67C76">
        <w:t>Coorong (modelling)</w:t>
      </w:r>
      <w:bookmarkEnd w:id="176"/>
    </w:p>
    <w:p w:rsidR="00987FB4" w:rsidRPr="00A67C76" w:rsidRDefault="00987FB4" w:rsidP="00987FB4">
      <w:pPr>
        <w:rPr>
          <w:b/>
          <w:i/>
        </w:rPr>
      </w:pPr>
      <w:r w:rsidRPr="00A67C76">
        <w:rPr>
          <w:b/>
          <w:i/>
        </w:rPr>
        <w:t>Coorong hydrodynamic modelling</w:t>
      </w:r>
    </w:p>
    <w:p w:rsidR="008E3CF2" w:rsidRPr="00A67C76" w:rsidRDefault="008E3CF2" w:rsidP="008E3CF2">
      <w:r w:rsidRPr="00A67C76">
        <w:t>Model results for salinity and water level for the whole period 1</w:t>
      </w:r>
      <w:r w:rsidR="00350978" w:rsidRPr="00A67C76">
        <w:t xml:space="preserve">963 – 2013 are shown in </w:t>
      </w:r>
      <w:r w:rsidR="002E6077" w:rsidRPr="00A67C76">
        <w:fldChar w:fldCharType="begin"/>
      </w:r>
      <w:r w:rsidR="00727B54" w:rsidRPr="00A67C76">
        <w:instrText xml:space="preserve"> REF _Ref387831406 \h </w:instrText>
      </w:r>
      <w:r w:rsidR="002E6077" w:rsidRPr="00A67C76">
        <w:fldChar w:fldCharType="separate"/>
      </w:r>
      <w:r w:rsidR="009659F2" w:rsidRPr="00A67C76">
        <w:t xml:space="preserve">Figure </w:t>
      </w:r>
      <w:r w:rsidR="009659F2">
        <w:rPr>
          <w:noProof/>
        </w:rPr>
        <w:t>39</w:t>
      </w:r>
      <w:r w:rsidR="002E6077" w:rsidRPr="00A67C76">
        <w:fldChar w:fldCharType="end"/>
      </w:r>
      <w:r w:rsidR="00727B54" w:rsidRPr="00A67C76">
        <w:t xml:space="preserve">. </w:t>
      </w:r>
      <w:r w:rsidRPr="00A67C76">
        <w:t xml:space="preserve">Since we mainly </w:t>
      </w:r>
      <w:r w:rsidR="00641358">
        <w:t xml:space="preserve">examined </w:t>
      </w:r>
      <w:r w:rsidRPr="00A67C76">
        <w:t>thresholds for habitat modelling, the results</w:t>
      </w:r>
      <w:r w:rsidR="00641358">
        <w:t xml:space="preserve"> presented</w:t>
      </w:r>
      <w:r w:rsidRPr="00A67C76">
        <w:t xml:space="preserve"> for a water level threshold of +0.2 m AHD and a salinity threshold of 85 g/L </w:t>
      </w:r>
      <w:r w:rsidR="00641358">
        <w:t>are</w:t>
      </w:r>
      <w:r w:rsidRPr="00A67C76">
        <w:t xml:space="preserve"> exemplified. While water level will modify outcomes of habitat modelling, the main driver is the salinity tolerance of species. The </w:t>
      </w:r>
      <w:r w:rsidR="00350978" w:rsidRPr="00A67C76">
        <w:t xml:space="preserve">threshold value used in </w:t>
      </w:r>
      <w:r w:rsidR="002E6077" w:rsidRPr="00A67C76">
        <w:rPr>
          <w:highlight w:val="yellow"/>
        </w:rPr>
        <w:fldChar w:fldCharType="begin"/>
      </w:r>
      <w:r w:rsidR="00727B54" w:rsidRPr="00A67C76">
        <w:instrText xml:space="preserve"> REF _Ref387831406 \h </w:instrText>
      </w:r>
      <w:r w:rsidR="002E6077" w:rsidRPr="00A67C76">
        <w:rPr>
          <w:highlight w:val="yellow"/>
        </w:rPr>
      </w:r>
      <w:r w:rsidR="002E6077" w:rsidRPr="00A67C76">
        <w:rPr>
          <w:highlight w:val="yellow"/>
        </w:rPr>
        <w:fldChar w:fldCharType="separate"/>
      </w:r>
      <w:r w:rsidR="009659F2" w:rsidRPr="00A67C76">
        <w:t xml:space="preserve">Figure </w:t>
      </w:r>
      <w:r w:rsidR="009659F2">
        <w:rPr>
          <w:noProof/>
        </w:rPr>
        <w:t>39</w:t>
      </w:r>
      <w:r w:rsidR="002E6077" w:rsidRPr="00A67C76">
        <w:rPr>
          <w:highlight w:val="yellow"/>
        </w:rPr>
        <w:fldChar w:fldCharType="end"/>
      </w:r>
      <w:r w:rsidR="00727B54" w:rsidRPr="00A67C76">
        <w:t xml:space="preserve"> </w:t>
      </w:r>
      <w:r w:rsidRPr="00A67C76">
        <w:t>is indicative for higher salinity tolerant juvenile fish</w:t>
      </w:r>
      <w:r w:rsidR="00641358">
        <w:t>, which could provide</w:t>
      </w:r>
      <w:r w:rsidRPr="00A67C76">
        <w:t xml:space="preserve"> a </w:t>
      </w:r>
      <w:r w:rsidR="00641358">
        <w:t>preliminary understanding o</w:t>
      </w:r>
      <w:r w:rsidRPr="00A67C76">
        <w:t>n habitat suitability.</w:t>
      </w:r>
    </w:p>
    <w:p w:rsidR="008E3CF2" w:rsidRPr="00A67C76" w:rsidRDefault="008E3CF2" w:rsidP="008E3CF2">
      <w:r w:rsidRPr="00A67C76">
        <w:t>Changes</w:t>
      </w:r>
      <w:r w:rsidR="00350978" w:rsidRPr="00A67C76">
        <w:t xml:space="preserve"> </w:t>
      </w:r>
      <w:r w:rsidRPr="00A67C76">
        <w:t xml:space="preserve">in water level and salinities </w:t>
      </w:r>
      <w:r w:rsidR="00350978" w:rsidRPr="00A67C76">
        <w:t xml:space="preserve">during </w:t>
      </w:r>
      <w:r w:rsidR="00333041" w:rsidRPr="00A67C76">
        <w:t>2012</w:t>
      </w:r>
      <w:r w:rsidR="00FD328A" w:rsidRPr="00FD328A">
        <w:t>-13</w:t>
      </w:r>
      <w:r w:rsidR="00350978" w:rsidRPr="00A67C76">
        <w:t xml:space="preserve"> due to environmental watering </w:t>
      </w:r>
      <w:r w:rsidRPr="00A67C76">
        <w:t xml:space="preserve">are </w:t>
      </w:r>
      <w:r w:rsidR="00350978" w:rsidRPr="00A67C76">
        <w:t>shown</w:t>
      </w:r>
      <w:r w:rsidRPr="00A67C76">
        <w:t xml:space="preserve"> in </w:t>
      </w:r>
      <w:r w:rsidR="002E6077" w:rsidRPr="00A67C76">
        <w:fldChar w:fldCharType="begin"/>
      </w:r>
      <w:r w:rsidR="00727B54" w:rsidRPr="00A67C76">
        <w:instrText xml:space="preserve"> REF _Ref387831440 \h </w:instrText>
      </w:r>
      <w:r w:rsidR="002E6077" w:rsidRPr="00A67C76">
        <w:fldChar w:fldCharType="separate"/>
      </w:r>
      <w:r w:rsidR="009659F2" w:rsidRPr="00A67C76">
        <w:t xml:space="preserve">Figure </w:t>
      </w:r>
      <w:r w:rsidR="009659F2">
        <w:rPr>
          <w:noProof/>
        </w:rPr>
        <w:t>40</w:t>
      </w:r>
      <w:r w:rsidR="002E6077" w:rsidRPr="00A67C76">
        <w:fldChar w:fldCharType="end"/>
      </w:r>
      <w:r w:rsidRPr="00A67C76">
        <w:t xml:space="preserve">. </w:t>
      </w:r>
      <w:r w:rsidR="0023292C" w:rsidRPr="00A67C76">
        <w:t>Comparing to</w:t>
      </w:r>
      <w:r w:rsidR="00FF227F">
        <w:t xml:space="preserve"> the</w:t>
      </w:r>
      <w:r w:rsidR="0023292C" w:rsidRPr="00A67C76">
        <w:t xml:space="preserve"> reference scenario (with environmental watering from all sources), d</w:t>
      </w:r>
      <w:r w:rsidRPr="00A67C76">
        <w:t xml:space="preserve">ifferences for </w:t>
      </w:r>
      <w:r w:rsidR="006940BF" w:rsidRPr="00A67C76">
        <w:t>S</w:t>
      </w:r>
      <w:r w:rsidRPr="00A67C76">
        <w:t xml:space="preserve">cenario 2 </w:t>
      </w:r>
      <w:r w:rsidR="006940BF" w:rsidRPr="00A67C76">
        <w:t xml:space="preserve">(with Commonwealth environmental watering only) </w:t>
      </w:r>
      <w:r w:rsidR="00641358">
        <w:t>were low but could</w:t>
      </w:r>
      <w:r w:rsidRPr="00A67C76">
        <w:t xml:space="preserve"> become large for </w:t>
      </w:r>
      <w:r w:rsidR="006940BF" w:rsidRPr="00A67C76">
        <w:t>S</w:t>
      </w:r>
      <w:r w:rsidR="00641358">
        <w:t xml:space="preserve">cenario 3 </w:t>
      </w:r>
      <w:r w:rsidR="002E3202" w:rsidRPr="00A67C76">
        <w:t xml:space="preserve">if there were no </w:t>
      </w:r>
      <w:r w:rsidR="006940BF" w:rsidRPr="00A67C76">
        <w:t>environmental water</w:t>
      </w:r>
      <w:r w:rsidR="002E3202" w:rsidRPr="00A67C76">
        <w:t>ing</w:t>
      </w:r>
      <w:r w:rsidRPr="00A67C76">
        <w:t>. The bigger changes</w:t>
      </w:r>
      <w:r w:rsidR="000B6A42" w:rsidRPr="00A67C76">
        <w:t xml:space="preserve"> in both water level and salinities</w:t>
      </w:r>
      <w:r w:rsidRPr="00A67C76">
        <w:t xml:space="preserve"> </w:t>
      </w:r>
      <w:r w:rsidR="00641358">
        <w:t>were</w:t>
      </w:r>
      <w:r w:rsidRPr="00A67C76">
        <w:t xml:space="preserve"> due to the larger contribution of Commonwealth environmental water in the summer months.</w:t>
      </w:r>
      <w:r w:rsidR="0023292C" w:rsidRPr="00A67C76">
        <w:t xml:space="preserve"> Overall, </w:t>
      </w:r>
      <w:r w:rsidR="00987FB4" w:rsidRPr="00A67C76">
        <w:t xml:space="preserve">the impact of </w:t>
      </w:r>
      <w:r w:rsidR="00987FB4">
        <w:t>missing</w:t>
      </w:r>
      <w:r w:rsidR="00987FB4" w:rsidRPr="00A67C76">
        <w:t xml:space="preserve"> environmental watering </w:t>
      </w:r>
      <w:r w:rsidR="0023292C" w:rsidRPr="00A67C76">
        <w:t xml:space="preserve">on salinities seems to be greater in the North Lagoon </w:t>
      </w:r>
      <w:r w:rsidR="00987FB4">
        <w:t xml:space="preserve">due to the then missing freshening effect of barrage inflows </w:t>
      </w:r>
      <w:r w:rsidR="0023292C" w:rsidRPr="00A67C76">
        <w:t>whereas the effect on water level seems to be more significant in the South Lagoon</w:t>
      </w:r>
      <w:r w:rsidR="00987FB4">
        <w:t xml:space="preserve"> due to the decreased water inflow from the North Lagoon</w:t>
      </w:r>
      <w:r w:rsidR="0023292C" w:rsidRPr="00A67C76">
        <w:t xml:space="preserve">. </w:t>
      </w:r>
      <w:r w:rsidRPr="00A67C76">
        <w:t xml:space="preserve">  </w:t>
      </w:r>
    </w:p>
    <w:p w:rsidR="008E3CF2" w:rsidRPr="00A67C76" w:rsidRDefault="008E3CF2" w:rsidP="008E3CF2">
      <w:r w:rsidRPr="00A67C76">
        <w:br w:type="page"/>
      </w:r>
    </w:p>
    <w:p w:rsidR="00987FB4" w:rsidRDefault="00987FB4" w:rsidP="008E3CF2">
      <w:pPr>
        <w:sectPr w:rsidR="00987FB4" w:rsidSect="00A62C74">
          <w:footerReference w:type="default" r:id="rId84"/>
          <w:pgSz w:w="11900" w:h="16840" w:code="9"/>
          <w:pgMar w:top="1440" w:right="1440" w:bottom="1440" w:left="1440" w:header="709" w:footer="709" w:gutter="0"/>
          <w:cols w:space="708"/>
          <w:docGrid w:linePitch="360"/>
        </w:sectPr>
      </w:pPr>
    </w:p>
    <w:p w:rsidR="00987FB4" w:rsidRDefault="00987FB4" w:rsidP="00987FB4">
      <w:pPr>
        <w:pStyle w:val="Caption"/>
      </w:pPr>
      <w:r w:rsidRPr="00987FB4">
        <w:rPr>
          <w:b w:val="0"/>
          <w:sz w:val="22"/>
          <w:szCs w:val="22"/>
        </w:rPr>
        <w:t>a)</w:t>
      </w:r>
      <w:r>
        <w:rPr>
          <w:noProof/>
          <w:lang w:eastAsia="en-AU"/>
        </w:rPr>
        <w:drawing>
          <wp:inline distT="0" distB="0" distL="0" distR="0">
            <wp:extent cx="9022568" cy="4144305"/>
            <wp:effectExtent l="0" t="0" r="0" b="0"/>
            <wp:docPr id="21" name="Picture 2" descr="Fig36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6a.wmf"/>
                    <pic:cNvPicPr/>
                  </pic:nvPicPr>
                  <pic:blipFill>
                    <a:blip r:embed="rId85" cstate="email"/>
                    <a:stretch>
                      <a:fillRect/>
                    </a:stretch>
                  </pic:blipFill>
                  <pic:spPr>
                    <a:xfrm>
                      <a:off x="0" y="0"/>
                      <a:ext cx="9022568" cy="4144305"/>
                    </a:xfrm>
                    <a:prstGeom prst="rect">
                      <a:avLst/>
                    </a:prstGeom>
                  </pic:spPr>
                </pic:pic>
              </a:graphicData>
            </a:graphic>
          </wp:inline>
        </w:drawing>
      </w:r>
    </w:p>
    <w:p w:rsidR="008E3CF2" w:rsidRDefault="00E35C9A" w:rsidP="00E35C9A">
      <w:pPr>
        <w:pStyle w:val="Caption"/>
      </w:pPr>
      <w:bookmarkStart w:id="177" w:name="_Ref387831406"/>
      <w:bookmarkStart w:id="178" w:name="_Ref387832196"/>
      <w:bookmarkStart w:id="179" w:name="_Toc387843087"/>
      <w:proofErr w:type="gramStart"/>
      <w:r w:rsidRPr="00A67C76">
        <w:t xml:space="preserve">Figure </w:t>
      </w:r>
      <w:proofErr w:type="gramEnd"/>
      <w:r w:rsidR="002E6077" w:rsidRPr="00A67C76">
        <w:fldChar w:fldCharType="begin"/>
      </w:r>
      <w:r w:rsidR="00621CBB" w:rsidRPr="00A67C76">
        <w:instrText xml:space="preserve"> SEQ Figure \* ARABIC </w:instrText>
      </w:r>
      <w:r w:rsidR="002E6077" w:rsidRPr="00A67C76">
        <w:fldChar w:fldCharType="separate"/>
      </w:r>
      <w:r w:rsidR="009659F2">
        <w:rPr>
          <w:noProof/>
        </w:rPr>
        <w:t>39</w:t>
      </w:r>
      <w:r w:rsidR="002E6077" w:rsidRPr="00A67C76">
        <w:rPr>
          <w:noProof/>
        </w:rPr>
        <w:fldChar w:fldCharType="end"/>
      </w:r>
      <w:bookmarkEnd w:id="177"/>
      <w:proofErr w:type="gramStart"/>
      <w:r w:rsidRPr="00A67C76">
        <w:t>.</w:t>
      </w:r>
      <w:proofErr w:type="gramEnd"/>
      <w:r w:rsidR="008E3CF2" w:rsidRPr="00A67C76">
        <w:t xml:space="preserve"> </w:t>
      </w:r>
      <w:bookmarkEnd w:id="178"/>
      <w:bookmarkEnd w:id="179"/>
      <w:r w:rsidR="00987FB4" w:rsidRPr="00A67C76">
        <w:t>Water level (m AHD) and salinity (g/L) in the Coorong as modelled with CHM v2.1.0</w:t>
      </w:r>
      <w:r w:rsidR="00987FB4">
        <w:t xml:space="preserve"> for the full simulation period from 1963 to 2013 along the Coorong from mouth (0 km) to Salt Creek (102 km). Black horizontal line at 55 km delineates North and South Lagoon.</w:t>
      </w:r>
      <w:r w:rsidR="00987FB4">
        <w:br/>
        <w:t>a) Water level visualised for a threshold of 0.2 m</w:t>
      </w:r>
      <w:r w:rsidR="00040C56">
        <w:t xml:space="preserve"> </w:t>
      </w:r>
      <w:r w:rsidR="00987FB4">
        <w:t>AHD</w:t>
      </w:r>
      <w:r w:rsidR="00040C56">
        <w:t>, red areas indicate time periods when water level was ≤0.2 m AHD;</w:t>
      </w:r>
      <w:r w:rsidR="00987FB4">
        <w:t xml:space="preserve"> </w:t>
      </w:r>
    </w:p>
    <w:p w:rsidR="004A5232" w:rsidRDefault="004A5232" w:rsidP="004A5232">
      <w:r>
        <w:t>b)</w:t>
      </w:r>
      <w:r>
        <w:rPr>
          <w:noProof/>
          <w:lang w:eastAsia="en-AU"/>
        </w:rPr>
        <w:drawing>
          <wp:inline distT="0" distB="0" distL="0" distR="0">
            <wp:extent cx="9022568" cy="4144305"/>
            <wp:effectExtent l="0" t="0" r="0" b="0"/>
            <wp:docPr id="28" name="Picture 48" descr="Fig36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6b.wmf"/>
                    <pic:cNvPicPr/>
                  </pic:nvPicPr>
                  <pic:blipFill>
                    <a:blip r:embed="rId86" cstate="email"/>
                    <a:stretch>
                      <a:fillRect/>
                    </a:stretch>
                  </pic:blipFill>
                  <pic:spPr>
                    <a:xfrm>
                      <a:off x="0" y="0"/>
                      <a:ext cx="9022568" cy="4144305"/>
                    </a:xfrm>
                    <a:prstGeom prst="rect">
                      <a:avLst/>
                    </a:prstGeom>
                  </pic:spPr>
                </pic:pic>
              </a:graphicData>
            </a:graphic>
          </wp:inline>
        </w:drawing>
      </w:r>
    </w:p>
    <w:p w:rsidR="00A12A95" w:rsidRPr="00A12A95" w:rsidRDefault="004A5232" w:rsidP="004A5232">
      <w:pPr>
        <w:pStyle w:val="Caption"/>
      </w:pPr>
      <w:r w:rsidRPr="00A67C76">
        <w:t>Figure</w:t>
      </w:r>
      <w:r>
        <w:t xml:space="preserve"> 3</w:t>
      </w:r>
      <w:r w:rsidR="00BA6389">
        <w:t>9</w:t>
      </w:r>
      <w:r>
        <w:t xml:space="preserve"> </w:t>
      </w:r>
      <w:r>
        <w:rPr>
          <w:noProof/>
        </w:rPr>
        <w:t>continued</w:t>
      </w:r>
      <w:r w:rsidRPr="00A67C76">
        <w:t>. Water level (m AHD) and salinity (g/L) in the Coorong as modelled with CHM v2.1.0</w:t>
      </w:r>
      <w:r>
        <w:t xml:space="preserve"> for the full simulation period from 1963 to 2013 along the Coorong from mouth (0 km) to Salt Creek (102 km). Black horizontal line at 55 km delineates North and South</w:t>
      </w:r>
      <w:r w:rsidR="00F020E5">
        <w:t xml:space="preserve"> Lagoon.</w:t>
      </w:r>
      <w:r w:rsidR="00F020E5">
        <w:br/>
      </w:r>
      <w:r>
        <w:t>b) S</w:t>
      </w:r>
      <w:r w:rsidRPr="00A67C76">
        <w:t xml:space="preserve">alinities above 85 g/L </w:t>
      </w:r>
      <w:r>
        <w:t xml:space="preserve">(black contour line) </w:t>
      </w:r>
      <w:r w:rsidRPr="00A67C76">
        <w:t>to be compar</w:t>
      </w:r>
      <w:r>
        <w:t>ed</w:t>
      </w:r>
      <w:r w:rsidRPr="00A67C76">
        <w:t xml:space="preserve"> with fish habitat</w:t>
      </w:r>
      <w:r>
        <w:t xml:space="preserve"> </w:t>
      </w:r>
      <w:r w:rsidRPr="00A67C76">
        <w:t>s</w:t>
      </w:r>
      <w:r>
        <w:t>imulations</w:t>
      </w:r>
      <w:r w:rsidRPr="00A67C76">
        <w:t>.</w:t>
      </w:r>
    </w:p>
    <w:p w:rsidR="00F020E5" w:rsidRDefault="00F020E5" w:rsidP="008E3CF2">
      <w:pPr>
        <w:sectPr w:rsidR="00F020E5" w:rsidSect="00987FB4">
          <w:pgSz w:w="16840" w:h="11900" w:orient="landscape" w:code="9"/>
          <w:pgMar w:top="1440" w:right="1440" w:bottom="1440" w:left="1440" w:header="709" w:footer="709" w:gutter="0"/>
          <w:cols w:space="708"/>
          <w:docGrid w:linePitch="360"/>
        </w:sectPr>
      </w:pPr>
    </w:p>
    <w:p w:rsidR="008E3CF2" w:rsidRPr="00A67C76" w:rsidRDefault="00F020E5" w:rsidP="008E3CF2">
      <w:r>
        <w:rPr>
          <w:noProof/>
          <w:lang w:eastAsia="en-AU"/>
        </w:rPr>
        <w:drawing>
          <wp:inline distT="0" distB="0" distL="0" distR="0">
            <wp:extent cx="5727700" cy="7345045"/>
            <wp:effectExtent l="0" t="0" r="6350" b="8255"/>
            <wp:docPr id="29" name="Picture 49" descr="Fig3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7.wmf"/>
                    <pic:cNvPicPr/>
                  </pic:nvPicPr>
                  <pic:blipFill>
                    <a:blip r:embed="rId87" cstate="email"/>
                    <a:stretch>
                      <a:fillRect/>
                    </a:stretch>
                  </pic:blipFill>
                  <pic:spPr>
                    <a:xfrm>
                      <a:off x="0" y="0"/>
                      <a:ext cx="5727700" cy="7345045"/>
                    </a:xfrm>
                    <a:prstGeom prst="rect">
                      <a:avLst/>
                    </a:prstGeom>
                  </pic:spPr>
                </pic:pic>
              </a:graphicData>
            </a:graphic>
          </wp:inline>
        </w:drawing>
      </w:r>
    </w:p>
    <w:p w:rsidR="00987FB4" w:rsidRDefault="00E35C9A" w:rsidP="00F020E5">
      <w:pPr>
        <w:pStyle w:val="Caption"/>
        <w:rPr>
          <w:b w:val="0"/>
          <w:i/>
        </w:rPr>
      </w:pPr>
      <w:bookmarkStart w:id="180" w:name="_Ref387831440"/>
      <w:bookmarkStart w:id="181" w:name="_Toc387843088"/>
      <w:proofErr w:type="gramStart"/>
      <w:r w:rsidRPr="00A67C76">
        <w:t xml:space="preserve">Figure </w:t>
      </w:r>
      <w:proofErr w:type="gramEnd"/>
      <w:r w:rsidR="002E6077" w:rsidRPr="00A67C76">
        <w:fldChar w:fldCharType="begin"/>
      </w:r>
      <w:r w:rsidR="00621CBB" w:rsidRPr="00A67C76">
        <w:instrText xml:space="preserve"> SEQ Figure \* ARABIC </w:instrText>
      </w:r>
      <w:r w:rsidR="002E6077" w:rsidRPr="00A67C76">
        <w:fldChar w:fldCharType="separate"/>
      </w:r>
      <w:r w:rsidR="009659F2">
        <w:rPr>
          <w:noProof/>
        </w:rPr>
        <w:t>40</w:t>
      </w:r>
      <w:r w:rsidR="002E6077" w:rsidRPr="00A67C76">
        <w:rPr>
          <w:noProof/>
        </w:rPr>
        <w:fldChar w:fldCharType="end"/>
      </w:r>
      <w:bookmarkEnd w:id="180"/>
      <w:proofErr w:type="gramStart"/>
      <w:r w:rsidR="00566174" w:rsidRPr="00A67C76">
        <w:t>.</w:t>
      </w:r>
      <w:proofErr w:type="gramEnd"/>
      <w:r w:rsidR="008E3CF2" w:rsidRPr="00A67C76">
        <w:t xml:space="preserve"> </w:t>
      </w:r>
      <w:bookmarkEnd w:id="181"/>
      <w:proofErr w:type="gramStart"/>
      <w:r w:rsidR="00F020E5" w:rsidRPr="00A67C76">
        <w:t>Changes in water level</w:t>
      </w:r>
      <w:r w:rsidR="00F020E5">
        <w:t xml:space="preserve"> (upper graph)</w:t>
      </w:r>
      <w:r w:rsidR="00F020E5" w:rsidRPr="00A67C76">
        <w:t xml:space="preserve"> and salinity </w:t>
      </w:r>
      <w:r w:rsidR="00F020E5">
        <w:t xml:space="preserve">(lower graph) </w:t>
      </w:r>
      <w:r w:rsidR="00F020E5" w:rsidRPr="00A67C76">
        <w:t>for scenarios 2</w:t>
      </w:r>
      <w:r w:rsidR="00F020E5">
        <w:t xml:space="preserve"> (with C</w:t>
      </w:r>
      <w:r w:rsidR="008126DD">
        <w:t>EW</w:t>
      </w:r>
      <w:r w:rsidR="00F020E5">
        <w:t>, without TLM)</w:t>
      </w:r>
      <w:r w:rsidR="00F020E5" w:rsidRPr="00A67C76">
        <w:t xml:space="preserve"> and 3</w:t>
      </w:r>
      <w:r w:rsidR="00F020E5">
        <w:t xml:space="preserve"> (without CEW, without TLM)</w:t>
      </w:r>
      <w:r w:rsidR="00F020E5" w:rsidRPr="00A67C76">
        <w:t xml:space="preserve"> with respect to the reference</w:t>
      </w:r>
      <w:r w:rsidR="00F020E5">
        <w:t xml:space="preserve"> (with CEW and TLM) for the period July 2012 to June 2013</w:t>
      </w:r>
      <w:r w:rsidR="00F020E5" w:rsidRPr="00A67C76">
        <w:t>.</w:t>
      </w:r>
      <w:proofErr w:type="gramEnd"/>
    </w:p>
    <w:p w:rsidR="00987FB4" w:rsidRDefault="00987FB4">
      <w:pPr>
        <w:spacing w:before="0" w:after="200" w:line="276" w:lineRule="auto"/>
        <w:rPr>
          <w:b/>
          <w:i/>
        </w:rPr>
      </w:pPr>
      <w:r>
        <w:rPr>
          <w:b/>
          <w:i/>
        </w:rPr>
        <w:br w:type="page"/>
      </w:r>
    </w:p>
    <w:p w:rsidR="00987FB4" w:rsidRDefault="00987FB4" w:rsidP="004812DB">
      <w:pPr>
        <w:rPr>
          <w:b/>
          <w:i/>
        </w:rPr>
        <w:sectPr w:rsidR="00987FB4" w:rsidSect="00F020E5">
          <w:pgSz w:w="11900" w:h="16840" w:code="9"/>
          <w:pgMar w:top="1440" w:right="1440" w:bottom="1440" w:left="1440" w:header="709" w:footer="709" w:gutter="0"/>
          <w:cols w:space="708"/>
          <w:docGrid w:linePitch="360"/>
        </w:sectPr>
      </w:pPr>
    </w:p>
    <w:p w:rsidR="00AE7311" w:rsidRPr="00F718DE" w:rsidRDefault="00AE7311" w:rsidP="004812DB">
      <w:pPr>
        <w:rPr>
          <w:b/>
          <w:i/>
          <w:lang w:val="es-AR"/>
        </w:rPr>
      </w:pPr>
      <w:r w:rsidRPr="00F718DE">
        <w:rPr>
          <w:b/>
          <w:i/>
          <w:lang w:val="es-AR"/>
        </w:rPr>
        <w:t xml:space="preserve">Ruppia </w:t>
      </w:r>
      <w:r w:rsidR="00C159C5" w:rsidRPr="00F718DE">
        <w:rPr>
          <w:b/>
          <w:i/>
          <w:lang w:val="es-AR"/>
        </w:rPr>
        <w:t>tuberosa</w:t>
      </w:r>
    </w:p>
    <w:p w:rsidR="00B2394F" w:rsidRPr="00F718DE" w:rsidRDefault="00B2394F" w:rsidP="00AE7311">
      <w:pPr>
        <w:jc w:val="both"/>
        <w:rPr>
          <w:i/>
          <w:szCs w:val="22"/>
          <w:u w:val="single"/>
          <w:lang w:val="es-AR"/>
        </w:rPr>
      </w:pPr>
      <w:r w:rsidRPr="00F718DE">
        <w:rPr>
          <w:i/>
          <w:szCs w:val="22"/>
          <w:u w:val="single"/>
          <w:lang w:val="es-AR"/>
        </w:rPr>
        <w:t>Ruppia tuberosa simulation 1963 to 2013</w:t>
      </w:r>
    </w:p>
    <w:p w:rsidR="002F6C6D" w:rsidRPr="00E0537E" w:rsidRDefault="00670428" w:rsidP="00AE7311">
      <w:pPr>
        <w:jc w:val="both"/>
        <w:rPr>
          <w:szCs w:val="22"/>
        </w:rPr>
      </w:pPr>
      <w:r w:rsidRPr="00E0537E">
        <w:rPr>
          <w:szCs w:val="22"/>
        </w:rPr>
        <w:t>The</w:t>
      </w:r>
      <w:r w:rsidR="00AE7311" w:rsidRPr="00E0537E">
        <w:rPr>
          <w:szCs w:val="22"/>
        </w:rPr>
        <w:t xml:space="preserve"> modeled probability of </w:t>
      </w:r>
      <w:r w:rsidR="00AE7311" w:rsidRPr="00E0537E">
        <w:rPr>
          <w:i/>
          <w:szCs w:val="22"/>
        </w:rPr>
        <w:t>Ruppia tuberosa</w:t>
      </w:r>
      <w:r w:rsidR="00AE7311" w:rsidRPr="00E0537E">
        <w:rPr>
          <w:szCs w:val="22"/>
        </w:rPr>
        <w:t xml:space="preserve"> sedime</w:t>
      </w:r>
      <w:r w:rsidRPr="00E0537E">
        <w:rPr>
          <w:szCs w:val="22"/>
        </w:rPr>
        <w:t>nt propagule bank replenishment</w:t>
      </w:r>
      <w:r w:rsidR="00AE7311" w:rsidRPr="00E0537E">
        <w:rPr>
          <w:szCs w:val="22"/>
        </w:rPr>
        <w:t xml:space="preserve"> between 1963 and 2013 in the South Lagoon of the Coorong between Parnka Point</w:t>
      </w:r>
      <w:r w:rsidR="00A47359" w:rsidRPr="00E0537E">
        <w:rPr>
          <w:szCs w:val="22"/>
        </w:rPr>
        <w:t xml:space="preserve"> (55 km from the Murray Mouth)</w:t>
      </w:r>
      <w:r w:rsidR="00AE7311" w:rsidRPr="00E0537E">
        <w:rPr>
          <w:szCs w:val="22"/>
        </w:rPr>
        <w:t xml:space="preserve"> and Salt Creek</w:t>
      </w:r>
      <w:r w:rsidRPr="00E0537E">
        <w:rPr>
          <w:szCs w:val="22"/>
        </w:rPr>
        <w:t xml:space="preserve"> is shown in</w:t>
      </w:r>
      <w:r w:rsidR="00727B54" w:rsidRPr="00E0537E">
        <w:rPr>
          <w:szCs w:val="22"/>
        </w:rPr>
        <w:t xml:space="preserve"> </w:t>
      </w:r>
      <w:fldSimple w:instr=" REF _Ref387831491 \h  \* MERGEFORMAT ">
        <w:r w:rsidR="009659F2" w:rsidRPr="00A67C76">
          <w:t xml:space="preserve">Figure </w:t>
        </w:r>
        <w:r w:rsidR="009659F2">
          <w:rPr>
            <w:noProof/>
          </w:rPr>
          <w:t>41</w:t>
        </w:r>
      </w:fldSimple>
      <w:r w:rsidR="00AE7311" w:rsidRPr="00E0537E">
        <w:rPr>
          <w:szCs w:val="22"/>
        </w:rPr>
        <w:t xml:space="preserve">. </w:t>
      </w:r>
      <w:r w:rsidR="002F6C6D" w:rsidRPr="00E0537E">
        <w:rPr>
          <w:szCs w:val="22"/>
        </w:rPr>
        <w:t>Over the 50 year model simulation period there has been a general decline in the probability of replenishment (</w:t>
      </w:r>
      <w:fldSimple w:instr=" REF _Ref387831491 \h  \* MERGEFORMAT ">
        <w:r w:rsidR="009659F2" w:rsidRPr="00A67C76">
          <w:t xml:space="preserve">Figure </w:t>
        </w:r>
        <w:r w:rsidR="009659F2">
          <w:rPr>
            <w:noProof/>
          </w:rPr>
          <w:t>41</w:t>
        </w:r>
      </w:fldSimple>
      <w:r w:rsidR="002F6C6D" w:rsidRPr="00E0537E">
        <w:rPr>
          <w:szCs w:val="22"/>
        </w:rPr>
        <w:t xml:space="preserve">). </w:t>
      </w:r>
    </w:p>
    <w:p w:rsidR="00B2394F" w:rsidRPr="00A67C76" w:rsidRDefault="002F6C6D" w:rsidP="002F6C6D">
      <w:pPr>
        <w:jc w:val="both"/>
        <w:rPr>
          <w:b/>
        </w:rPr>
      </w:pPr>
      <w:r w:rsidRPr="00E0537E">
        <w:rPr>
          <w:szCs w:val="22"/>
        </w:rPr>
        <w:t>During the early to mid</w:t>
      </w:r>
      <w:r w:rsidR="00D25697" w:rsidRPr="00E0537E">
        <w:rPr>
          <w:szCs w:val="22"/>
        </w:rPr>
        <w:t>-</w:t>
      </w:r>
      <w:r w:rsidRPr="00E0537E">
        <w:rPr>
          <w:szCs w:val="22"/>
        </w:rPr>
        <w:t>1960s the probability of replenishment was generally high in the South Lagoon but this followed by a period of low probability in the late 1960s (</w:t>
      </w:r>
      <w:fldSimple w:instr=" REF _Ref387831491 \h  \* MERGEFORMAT ">
        <w:r w:rsidR="009659F2" w:rsidRPr="00A67C76">
          <w:t xml:space="preserve">Figure </w:t>
        </w:r>
        <w:r w:rsidR="009659F2">
          <w:rPr>
            <w:noProof/>
          </w:rPr>
          <w:t>41</w:t>
        </w:r>
      </w:fldSimple>
      <w:r w:rsidRPr="00E0537E">
        <w:rPr>
          <w:szCs w:val="22"/>
        </w:rPr>
        <w:t>). During the</w:t>
      </w:r>
      <w:r w:rsidR="00AE7311" w:rsidRPr="00E0537E">
        <w:rPr>
          <w:szCs w:val="22"/>
        </w:rPr>
        <w:t xml:space="preserve"> 1970s the modeled probability of replenishment was high, except for two periods of approximately one year in 1972 and 1977 (</w:t>
      </w:r>
      <w:fldSimple w:instr=" REF _Ref387831491 \h  \* MERGEFORMAT ">
        <w:r w:rsidR="009659F2" w:rsidRPr="00A67C76">
          <w:t xml:space="preserve">Figure </w:t>
        </w:r>
        <w:r w:rsidR="009659F2">
          <w:rPr>
            <w:noProof/>
          </w:rPr>
          <w:t>41</w:t>
        </w:r>
      </w:fldSimple>
      <w:r w:rsidRPr="00E0537E">
        <w:rPr>
          <w:szCs w:val="22"/>
        </w:rPr>
        <w:t xml:space="preserve">). </w:t>
      </w:r>
      <w:r w:rsidR="00AE7311" w:rsidRPr="00E0537E">
        <w:rPr>
          <w:szCs w:val="22"/>
        </w:rPr>
        <w:t>During the 1980s the duration of the periods of hydrological conditions that result</w:t>
      </w:r>
      <w:r w:rsidRPr="00E0537E">
        <w:rPr>
          <w:szCs w:val="22"/>
        </w:rPr>
        <w:t>ed</w:t>
      </w:r>
      <w:r w:rsidR="00AE7311" w:rsidRPr="00E0537E">
        <w:rPr>
          <w:szCs w:val="22"/>
        </w:rPr>
        <w:t xml:space="preserve"> in low probability of replenishment increased and periods of high modeled probability of replenishment decreased (</w:t>
      </w:r>
      <w:fldSimple w:instr=" REF _Ref387831491 \h  \* MERGEFORMAT ">
        <w:r w:rsidR="009659F2" w:rsidRPr="00A67C76">
          <w:t xml:space="preserve">Figure </w:t>
        </w:r>
        <w:r w:rsidR="009659F2">
          <w:rPr>
            <w:noProof/>
          </w:rPr>
          <w:t>41</w:t>
        </w:r>
      </w:fldSimple>
      <w:r w:rsidRPr="00E0537E">
        <w:rPr>
          <w:szCs w:val="22"/>
        </w:rPr>
        <w:t>).</w:t>
      </w:r>
      <w:r w:rsidR="00AE7311" w:rsidRPr="00E0537E">
        <w:rPr>
          <w:szCs w:val="22"/>
        </w:rPr>
        <w:t xml:space="preserve"> A further increase in the duration of unfavourable hydrological conditions was observed in the 1990s, with only three out of 10 years having hydrological conditions that would have resulted in a modeled probability greater than 25% (</w:t>
      </w:r>
      <w:fldSimple w:instr=" REF _Ref387831491 \h  \* MERGEFORMAT ">
        <w:r w:rsidR="009659F2" w:rsidRPr="00A67C76">
          <w:t xml:space="preserve">Figure </w:t>
        </w:r>
        <w:r w:rsidR="009659F2">
          <w:rPr>
            <w:noProof/>
          </w:rPr>
          <w:t>41</w:t>
        </w:r>
      </w:fldSimple>
      <w:r w:rsidRPr="00E0537E">
        <w:rPr>
          <w:szCs w:val="22"/>
        </w:rPr>
        <w:t xml:space="preserve">). </w:t>
      </w:r>
      <w:r w:rsidR="00AE7311" w:rsidRPr="00E0537E">
        <w:rPr>
          <w:szCs w:val="22"/>
        </w:rPr>
        <w:t>From 2001 to 2011 the modeled probability of replenishment was lower than 25% for the South Lagoon, except in 2001 in the northern 30 km of the lagoon (</w:t>
      </w:r>
      <w:fldSimple w:instr=" REF _Ref387831491 \h  \* MERGEFORMAT ">
        <w:r w:rsidR="009659F2" w:rsidRPr="00A67C76">
          <w:t xml:space="preserve">Figure </w:t>
        </w:r>
        <w:r w:rsidR="009659F2">
          <w:rPr>
            <w:noProof/>
          </w:rPr>
          <w:t>41</w:t>
        </w:r>
      </w:fldSimple>
      <w:r w:rsidR="00AE7311" w:rsidRPr="00E0537E">
        <w:rPr>
          <w:szCs w:val="22"/>
        </w:rPr>
        <w:t xml:space="preserve">). The 2010-11 </w:t>
      </w:r>
      <w:proofErr w:type="gramStart"/>
      <w:r w:rsidR="00AE7311" w:rsidRPr="00E0537E">
        <w:rPr>
          <w:szCs w:val="22"/>
        </w:rPr>
        <w:t>flood</w:t>
      </w:r>
      <w:proofErr w:type="gramEnd"/>
      <w:r w:rsidR="00AE7311" w:rsidRPr="00E0537E">
        <w:rPr>
          <w:szCs w:val="22"/>
        </w:rPr>
        <w:t xml:space="preserve"> resulted in favourable hydrological conditions for </w:t>
      </w:r>
      <w:r w:rsidR="00AE7311" w:rsidRPr="00E0537E">
        <w:rPr>
          <w:i/>
          <w:szCs w:val="22"/>
        </w:rPr>
        <w:t>Ruppia tuberosa</w:t>
      </w:r>
      <w:r w:rsidR="00AE7311" w:rsidRPr="00E0537E">
        <w:rPr>
          <w:szCs w:val="22"/>
        </w:rPr>
        <w:t xml:space="preserve"> in the South Lagoon and; therefore, higher modeled probability of replenishment (</w:t>
      </w:r>
      <w:fldSimple w:instr=" REF _Ref387831491 \h  \* MERGEFORMAT ">
        <w:r w:rsidR="009659F2" w:rsidRPr="00A67C76">
          <w:t xml:space="preserve">Figure </w:t>
        </w:r>
        <w:r w:rsidR="009659F2">
          <w:rPr>
            <w:noProof/>
          </w:rPr>
          <w:t>41</w:t>
        </w:r>
      </w:fldSimple>
      <w:r w:rsidR="00AE7311" w:rsidRPr="00E0537E">
        <w:rPr>
          <w:szCs w:val="22"/>
        </w:rPr>
        <w:t>).</w:t>
      </w:r>
      <w:r w:rsidR="00AE7311" w:rsidRPr="00A67C76">
        <w:rPr>
          <w:szCs w:val="22"/>
        </w:rPr>
        <w:t xml:space="preserve">  </w:t>
      </w:r>
    </w:p>
    <w:p w:rsidR="00B2394F" w:rsidRPr="00A67C76" w:rsidRDefault="00B2394F" w:rsidP="00B2394F">
      <w:pPr>
        <w:rPr>
          <w:b/>
        </w:rPr>
      </w:pPr>
      <w:r w:rsidRPr="00A67C76">
        <w:rPr>
          <w:noProof/>
          <w:color w:val="000000" w:themeColor="text1"/>
          <w:lang w:eastAsia="en-AU"/>
        </w:rPr>
        <w:drawing>
          <wp:inline distT="0" distB="0" distL="0" distR="0">
            <wp:extent cx="5278120" cy="4785806"/>
            <wp:effectExtent l="0" t="0" r="0" b="0"/>
            <wp:docPr id="18" name="Picture 21" descr="GpSPBNLS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PBNLSL.wmf"/>
                    <pic:cNvPicPr/>
                  </pic:nvPicPr>
                  <pic:blipFill>
                    <a:blip r:embed="rId88" cstate="email"/>
                    <a:srcRect l="8154" t="4843" r="8154" b="4843"/>
                    <a:stretch>
                      <a:fillRect/>
                    </a:stretch>
                  </pic:blipFill>
                  <pic:spPr>
                    <a:xfrm>
                      <a:off x="0" y="0"/>
                      <a:ext cx="5278120" cy="4785806"/>
                    </a:xfrm>
                    <a:prstGeom prst="rect">
                      <a:avLst/>
                    </a:prstGeom>
                  </pic:spPr>
                </pic:pic>
              </a:graphicData>
            </a:graphic>
          </wp:inline>
        </w:drawing>
      </w:r>
    </w:p>
    <w:p w:rsidR="00B2394F" w:rsidRPr="00A67C76" w:rsidRDefault="00E35C9A" w:rsidP="00E35C9A">
      <w:pPr>
        <w:pStyle w:val="Caption"/>
      </w:pPr>
      <w:bookmarkStart w:id="182" w:name="_Ref387831491"/>
      <w:bookmarkStart w:id="183" w:name="_Toc387843089"/>
      <w:proofErr w:type="gramStart"/>
      <w:r w:rsidRPr="00A67C76">
        <w:t xml:space="preserve">Figure </w:t>
      </w:r>
      <w:proofErr w:type="gramEnd"/>
      <w:r w:rsidR="002E6077" w:rsidRPr="00A67C76">
        <w:fldChar w:fldCharType="begin"/>
      </w:r>
      <w:r w:rsidR="00621CBB" w:rsidRPr="00A67C76">
        <w:instrText xml:space="preserve"> SEQ Figure \* ARABIC </w:instrText>
      </w:r>
      <w:r w:rsidR="002E6077" w:rsidRPr="00A67C76">
        <w:fldChar w:fldCharType="separate"/>
      </w:r>
      <w:r w:rsidR="009659F2">
        <w:rPr>
          <w:noProof/>
        </w:rPr>
        <w:t>41</w:t>
      </w:r>
      <w:r w:rsidR="002E6077" w:rsidRPr="00A67C76">
        <w:rPr>
          <w:noProof/>
        </w:rPr>
        <w:fldChar w:fldCharType="end"/>
      </w:r>
      <w:bookmarkEnd w:id="182"/>
      <w:proofErr w:type="gramStart"/>
      <w:r w:rsidR="00566174" w:rsidRPr="00A67C76">
        <w:t>.</w:t>
      </w:r>
      <w:proofErr w:type="gramEnd"/>
      <w:r w:rsidR="00B2394F" w:rsidRPr="00A67C76">
        <w:t xml:space="preserve"> Model output showing the probability of </w:t>
      </w:r>
      <w:r w:rsidR="00B2394F" w:rsidRPr="00A67C76">
        <w:rPr>
          <w:i/>
        </w:rPr>
        <w:t>Ruppia tuberosa</w:t>
      </w:r>
      <w:r w:rsidR="00B2394F" w:rsidRPr="00A67C76">
        <w:t xml:space="preserve"> sediment propagule bank replenishment from 1963 to 2013 in the North Lagoon (lower graph) and South Lagoon (upper graph) of the Coorong between Murray Mouth channel (0 km) and Salt Creek (102 km from the Murray Mouth).  The contour line on the plot represents the 25% probability of sediment propagule bank replenishment.</w:t>
      </w:r>
      <w:bookmarkEnd w:id="183"/>
    </w:p>
    <w:p w:rsidR="00AE7311" w:rsidRPr="00A67C76" w:rsidRDefault="00AE7311" w:rsidP="00B2394F">
      <w:pPr>
        <w:rPr>
          <w:i/>
          <w:u w:val="single"/>
        </w:rPr>
      </w:pPr>
      <w:r w:rsidRPr="00A67C76">
        <w:rPr>
          <w:i/>
          <w:u w:val="single"/>
        </w:rPr>
        <w:t xml:space="preserve">Ruppia environmental watering evaluation for </w:t>
      </w:r>
      <w:r w:rsidR="00B35580" w:rsidRPr="00A67C76">
        <w:rPr>
          <w:i/>
          <w:u w:val="single"/>
        </w:rPr>
        <w:t>201</w:t>
      </w:r>
      <w:r w:rsidR="00B35580">
        <w:rPr>
          <w:i/>
          <w:u w:val="single"/>
        </w:rPr>
        <w:t xml:space="preserve">1 </w:t>
      </w:r>
      <w:r w:rsidR="00C93C57">
        <w:rPr>
          <w:i/>
          <w:u w:val="single"/>
        </w:rPr>
        <w:t xml:space="preserve">and </w:t>
      </w:r>
      <w:r w:rsidR="00B35580">
        <w:rPr>
          <w:i/>
          <w:u w:val="single"/>
        </w:rPr>
        <w:t>2012</w:t>
      </w:r>
      <w:r w:rsidR="00B35580" w:rsidRPr="00A67C76">
        <w:rPr>
          <w:i/>
          <w:u w:val="single"/>
        </w:rPr>
        <w:t xml:space="preserve"> </w:t>
      </w:r>
    </w:p>
    <w:p w:rsidR="00AE7311" w:rsidRDefault="00F75D78" w:rsidP="00AE7311">
      <w:pPr>
        <w:jc w:val="both"/>
        <w:rPr>
          <w:szCs w:val="22"/>
        </w:rPr>
      </w:pPr>
      <w:r>
        <w:t xml:space="preserve">In addition to the simulations of </w:t>
      </w:r>
      <w:r>
        <w:rPr>
          <w:i/>
          <w:iCs/>
        </w:rPr>
        <w:t>Ruppia</w:t>
      </w:r>
      <w:r>
        <w:t xml:space="preserve"> </w:t>
      </w:r>
      <w:r>
        <w:rPr>
          <w:i/>
          <w:iCs/>
        </w:rPr>
        <w:t>tuberosa</w:t>
      </w:r>
      <w:r>
        <w:t xml:space="preserve"> sediment propagule bank replenishment over a 50 year period the changes due to environmental watering and thus water level and salinity conditions were simulated for 2011 and 2012.  The reference condition refers to actual barrage outflows (natural flow plus CEWO and TLM environmental water), scenario 2 refers to natural flows plus CEWO environmental water only and scenario 3 is modeled flow without environmental water. Since the </w:t>
      </w:r>
      <w:r>
        <w:rPr>
          <w:i/>
          <w:iCs/>
        </w:rPr>
        <w:t>Ruppia tuberosa</w:t>
      </w:r>
      <w:r>
        <w:t xml:space="preserve"> response model is defined on calendar years sediment propagule bank replenishment probabilities was simulated for full calendar years, but information on environmental watering was only available from July 2011 onward. Thus the simulations in 2011 are biased towards relatively low effects on propagule bank replenishment. The sediment propagule bank replenishment probabilities together with its changes due to environmental watering </w:t>
      </w:r>
      <w:r w:rsidR="00AE7311" w:rsidRPr="00A67C76">
        <w:rPr>
          <w:szCs w:val="22"/>
        </w:rPr>
        <w:t xml:space="preserve">are shown in </w:t>
      </w:r>
      <w:r w:rsidR="002E6077" w:rsidRPr="00A67C76">
        <w:rPr>
          <w:szCs w:val="22"/>
          <w:highlight w:val="yellow"/>
        </w:rPr>
        <w:fldChar w:fldCharType="begin"/>
      </w:r>
      <w:r w:rsidR="00606176" w:rsidRPr="00A67C76">
        <w:rPr>
          <w:szCs w:val="22"/>
        </w:rPr>
        <w:instrText xml:space="preserve"> REF _Ref387831585 \h </w:instrText>
      </w:r>
      <w:r w:rsidR="002E6077" w:rsidRPr="00A67C76">
        <w:rPr>
          <w:szCs w:val="22"/>
          <w:highlight w:val="yellow"/>
        </w:rPr>
      </w:r>
      <w:r w:rsidR="002E6077" w:rsidRPr="00A67C76">
        <w:rPr>
          <w:szCs w:val="22"/>
          <w:highlight w:val="yellow"/>
        </w:rPr>
        <w:fldChar w:fldCharType="separate"/>
      </w:r>
      <w:r w:rsidR="009659F2" w:rsidRPr="00A67C76">
        <w:t xml:space="preserve">Figure </w:t>
      </w:r>
      <w:r w:rsidR="009659F2">
        <w:rPr>
          <w:noProof/>
        </w:rPr>
        <w:t>42</w:t>
      </w:r>
      <w:r w:rsidR="002E6077" w:rsidRPr="00A67C76">
        <w:rPr>
          <w:szCs w:val="22"/>
          <w:highlight w:val="yellow"/>
        </w:rPr>
        <w:fldChar w:fldCharType="end"/>
      </w:r>
      <w:r w:rsidR="00606176" w:rsidRPr="00A67C76">
        <w:rPr>
          <w:szCs w:val="22"/>
        </w:rPr>
        <w:t xml:space="preserve">. </w:t>
      </w:r>
    </w:p>
    <w:p w:rsidR="006741F9" w:rsidRDefault="00BA0CAC" w:rsidP="00AE7311">
      <w:pPr>
        <w:jc w:val="both"/>
        <w:rPr>
          <w:szCs w:val="22"/>
        </w:rPr>
      </w:pPr>
      <w:r>
        <w:rPr>
          <w:szCs w:val="22"/>
        </w:rPr>
        <w:t>The probability of propagule bank replenishment in 2011 was generally low for the South Lagoon except in the most northern 10 km and there was little benefit (&lt;2% increase in the chance of propagule bank replenishment) of environmental water (</w:t>
      </w:r>
      <w:r w:rsidR="002E6077" w:rsidRPr="00A67C76">
        <w:rPr>
          <w:szCs w:val="22"/>
          <w:highlight w:val="yellow"/>
        </w:rPr>
        <w:fldChar w:fldCharType="begin"/>
      </w:r>
      <w:r w:rsidRPr="00A67C76">
        <w:rPr>
          <w:szCs w:val="22"/>
        </w:rPr>
        <w:instrText xml:space="preserve"> REF _Ref387831585 \h </w:instrText>
      </w:r>
      <w:r w:rsidR="002E6077" w:rsidRPr="00A67C76">
        <w:rPr>
          <w:szCs w:val="22"/>
          <w:highlight w:val="yellow"/>
        </w:rPr>
      </w:r>
      <w:r w:rsidR="002E6077" w:rsidRPr="00A67C76">
        <w:rPr>
          <w:szCs w:val="22"/>
          <w:highlight w:val="yellow"/>
        </w:rPr>
        <w:fldChar w:fldCharType="separate"/>
      </w:r>
      <w:r w:rsidR="009659F2" w:rsidRPr="00A67C76">
        <w:t xml:space="preserve">Figure </w:t>
      </w:r>
      <w:r w:rsidR="009659F2">
        <w:rPr>
          <w:noProof/>
        </w:rPr>
        <w:t>42</w:t>
      </w:r>
      <w:r w:rsidR="002E6077" w:rsidRPr="00A67C76">
        <w:rPr>
          <w:szCs w:val="22"/>
          <w:highlight w:val="yellow"/>
        </w:rPr>
        <w:fldChar w:fldCharType="end"/>
      </w:r>
      <w:r>
        <w:rPr>
          <w:szCs w:val="22"/>
        </w:rPr>
        <w:t xml:space="preserve">a). </w:t>
      </w:r>
      <w:r w:rsidR="00F87EC1">
        <w:rPr>
          <w:szCs w:val="22"/>
        </w:rPr>
        <w:t>In 2012 there was a high modelled probability of propagule bank replenishment throughout the South Lagoon</w:t>
      </w:r>
      <w:r w:rsidR="00086F60">
        <w:rPr>
          <w:szCs w:val="22"/>
        </w:rPr>
        <w:t xml:space="preserve"> (</w:t>
      </w:r>
      <w:r w:rsidR="002E6077" w:rsidRPr="00A67C76">
        <w:rPr>
          <w:szCs w:val="22"/>
          <w:highlight w:val="yellow"/>
        </w:rPr>
        <w:fldChar w:fldCharType="begin"/>
      </w:r>
      <w:r w:rsidR="00086F60" w:rsidRPr="00A67C76">
        <w:rPr>
          <w:szCs w:val="22"/>
        </w:rPr>
        <w:instrText xml:space="preserve"> REF _Ref387831585 \h </w:instrText>
      </w:r>
      <w:r w:rsidR="002E6077" w:rsidRPr="00A67C76">
        <w:rPr>
          <w:szCs w:val="22"/>
          <w:highlight w:val="yellow"/>
        </w:rPr>
      </w:r>
      <w:r w:rsidR="002E6077" w:rsidRPr="00A67C76">
        <w:rPr>
          <w:szCs w:val="22"/>
          <w:highlight w:val="yellow"/>
        </w:rPr>
        <w:fldChar w:fldCharType="separate"/>
      </w:r>
      <w:r w:rsidR="009659F2" w:rsidRPr="00A67C76">
        <w:t xml:space="preserve">Figure </w:t>
      </w:r>
      <w:r w:rsidR="009659F2">
        <w:rPr>
          <w:noProof/>
        </w:rPr>
        <w:t>42</w:t>
      </w:r>
      <w:r w:rsidR="002E6077" w:rsidRPr="00A67C76">
        <w:rPr>
          <w:szCs w:val="22"/>
          <w:highlight w:val="yellow"/>
        </w:rPr>
        <w:fldChar w:fldCharType="end"/>
      </w:r>
      <w:r w:rsidR="00086F60">
        <w:rPr>
          <w:szCs w:val="22"/>
        </w:rPr>
        <w:t xml:space="preserve">a). The addition of Commonwealth Environmental water increased the chance of propagule bank replenishment up to 4% </w:t>
      </w:r>
      <w:r>
        <w:rPr>
          <w:szCs w:val="22"/>
        </w:rPr>
        <w:t xml:space="preserve">and with the addition TLM environmental water there was an increase of up to 10% </w:t>
      </w:r>
      <w:r w:rsidR="00086F60">
        <w:rPr>
          <w:szCs w:val="22"/>
        </w:rPr>
        <w:t xml:space="preserve">in the northern 30 km of the South Lagoon </w:t>
      </w:r>
      <w:r w:rsidR="00F87EC1">
        <w:rPr>
          <w:szCs w:val="22"/>
        </w:rPr>
        <w:t>(</w:t>
      </w:r>
      <w:r w:rsidR="002E6077" w:rsidRPr="00A67C76">
        <w:rPr>
          <w:szCs w:val="22"/>
          <w:highlight w:val="yellow"/>
        </w:rPr>
        <w:fldChar w:fldCharType="begin"/>
      </w:r>
      <w:r w:rsidRPr="00A67C76">
        <w:rPr>
          <w:szCs w:val="22"/>
        </w:rPr>
        <w:instrText xml:space="preserve"> REF _Ref387831585 \h </w:instrText>
      </w:r>
      <w:r w:rsidR="002E6077" w:rsidRPr="00A67C76">
        <w:rPr>
          <w:szCs w:val="22"/>
          <w:highlight w:val="yellow"/>
        </w:rPr>
      </w:r>
      <w:r w:rsidR="002E6077" w:rsidRPr="00A67C76">
        <w:rPr>
          <w:szCs w:val="22"/>
          <w:highlight w:val="yellow"/>
        </w:rPr>
        <w:fldChar w:fldCharType="separate"/>
      </w:r>
      <w:r w:rsidR="009659F2" w:rsidRPr="00A67C76">
        <w:t xml:space="preserve">Figure </w:t>
      </w:r>
      <w:r w:rsidR="009659F2">
        <w:rPr>
          <w:noProof/>
        </w:rPr>
        <w:t>42</w:t>
      </w:r>
      <w:r w:rsidR="002E6077" w:rsidRPr="00A67C76">
        <w:rPr>
          <w:szCs w:val="22"/>
          <w:highlight w:val="yellow"/>
        </w:rPr>
        <w:fldChar w:fldCharType="end"/>
      </w:r>
      <w:r>
        <w:rPr>
          <w:szCs w:val="22"/>
        </w:rPr>
        <w:t>b</w:t>
      </w:r>
      <w:r w:rsidR="00F87EC1">
        <w:rPr>
          <w:szCs w:val="22"/>
        </w:rPr>
        <w:t>).</w:t>
      </w:r>
      <w:r w:rsidR="00086F60">
        <w:rPr>
          <w:szCs w:val="22"/>
        </w:rPr>
        <w:t xml:space="preserve">  </w:t>
      </w:r>
    </w:p>
    <w:p w:rsidR="006741F9" w:rsidRDefault="006741F9">
      <w:pPr>
        <w:spacing w:before="0" w:after="200" w:line="276" w:lineRule="auto"/>
        <w:rPr>
          <w:szCs w:val="22"/>
        </w:rPr>
      </w:pPr>
      <w:r>
        <w:rPr>
          <w:szCs w:val="22"/>
        </w:rPr>
        <w:br w:type="page"/>
      </w:r>
    </w:p>
    <w:p w:rsidR="00B2394F" w:rsidRDefault="006741F9">
      <w:pPr>
        <w:spacing w:before="0" w:after="200" w:line="276" w:lineRule="auto"/>
        <w:rPr>
          <w:rFonts w:eastAsiaTheme="majorEastAsia" w:cstheme="majorBidi"/>
          <w:b/>
          <w:bCs/>
          <w:i/>
          <w:noProof/>
          <w:color w:val="1F497D" w:themeColor="text2"/>
          <w:sz w:val="24"/>
          <w:lang w:eastAsia="en-AU"/>
        </w:rPr>
      </w:pPr>
      <w:r>
        <w:rPr>
          <w:rFonts w:eastAsiaTheme="majorEastAsia"/>
          <w:noProof/>
          <w:lang w:eastAsia="en-AU"/>
        </w:rPr>
        <w:t>a)</w:t>
      </w:r>
      <w:r w:rsidRPr="006741F9">
        <w:rPr>
          <w:rFonts w:eastAsiaTheme="majorEastAsia" w:cstheme="majorBidi"/>
          <w:b/>
          <w:bCs/>
          <w:i/>
          <w:noProof/>
          <w:color w:val="1F497D" w:themeColor="text2"/>
          <w:sz w:val="24"/>
          <w:lang w:eastAsia="en-AU"/>
        </w:rPr>
        <w:t xml:space="preserve"> </w:t>
      </w:r>
      <w:r w:rsidR="00BA0CAC" w:rsidRPr="00BA0CAC">
        <w:rPr>
          <w:rFonts w:eastAsiaTheme="majorEastAsia" w:cstheme="majorBidi"/>
          <w:b/>
          <w:bCs/>
          <w:i/>
          <w:noProof/>
          <w:color w:val="1F497D" w:themeColor="text2"/>
          <w:sz w:val="24"/>
          <w:lang w:eastAsia="en-AU"/>
        </w:rPr>
        <w:drawing>
          <wp:inline distT="0" distB="0" distL="0" distR="0">
            <wp:extent cx="5727700" cy="2254885"/>
            <wp:effectExtent l="0" t="0" r="0" b="0"/>
            <wp:docPr id="12" name="Picture 63" descr="Fig39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9b.wmf"/>
                    <pic:cNvPicPr/>
                  </pic:nvPicPr>
                  <pic:blipFill>
                    <a:blip r:embed="rId89" cstate="email"/>
                    <a:stretch>
                      <a:fillRect/>
                    </a:stretch>
                  </pic:blipFill>
                  <pic:spPr>
                    <a:xfrm>
                      <a:off x="0" y="0"/>
                      <a:ext cx="5727700" cy="2254885"/>
                    </a:xfrm>
                    <a:prstGeom prst="rect">
                      <a:avLst/>
                    </a:prstGeom>
                  </pic:spPr>
                </pic:pic>
              </a:graphicData>
            </a:graphic>
          </wp:inline>
        </w:drawing>
      </w:r>
    </w:p>
    <w:p w:rsidR="006741F9" w:rsidRDefault="006741F9">
      <w:pPr>
        <w:spacing w:before="0" w:after="200" w:line="276" w:lineRule="auto"/>
        <w:rPr>
          <w:rFonts w:eastAsiaTheme="majorEastAsia"/>
          <w:noProof/>
          <w:lang w:eastAsia="en-AU"/>
        </w:rPr>
      </w:pPr>
      <w:r>
        <w:rPr>
          <w:rFonts w:eastAsiaTheme="majorEastAsia"/>
          <w:noProof/>
          <w:lang w:eastAsia="en-AU"/>
        </w:rPr>
        <w:t>b)</w:t>
      </w:r>
    </w:p>
    <w:p w:rsidR="00BA0CAC" w:rsidRPr="006741F9" w:rsidRDefault="00BA0CAC">
      <w:pPr>
        <w:spacing w:before="0" w:after="200" w:line="276" w:lineRule="auto"/>
        <w:rPr>
          <w:rFonts w:eastAsiaTheme="majorEastAsia"/>
          <w:noProof/>
          <w:lang w:eastAsia="en-AU"/>
        </w:rPr>
      </w:pPr>
      <w:r w:rsidRPr="00BA0CAC">
        <w:rPr>
          <w:rFonts w:eastAsiaTheme="majorEastAsia"/>
          <w:noProof/>
          <w:lang w:eastAsia="en-AU"/>
        </w:rPr>
        <w:drawing>
          <wp:inline distT="0" distB="0" distL="0" distR="0">
            <wp:extent cx="5727700" cy="2254885"/>
            <wp:effectExtent l="0" t="0" r="0" b="0"/>
            <wp:docPr id="10" name="Picture 62" descr="Fig39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9a.wmf"/>
                    <pic:cNvPicPr/>
                  </pic:nvPicPr>
                  <pic:blipFill>
                    <a:blip r:embed="rId90" cstate="email"/>
                    <a:stretch>
                      <a:fillRect/>
                    </a:stretch>
                  </pic:blipFill>
                  <pic:spPr>
                    <a:xfrm>
                      <a:off x="0" y="0"/>
                      <a:ext cx="5727700" cy="2254885"/>
                    </a:xfrm>
                    <a:prstGeom prst="rect">
                      <a:avLst/>
                    </a:prstGeom>
                  </pic:spPr>
                </pic:pic>
              </a:graphicData>
            </a:graphic>
          </wp:inline>
        </w:drawing>
      </w:r>
    </w:p>
    <w:p w:rsidR="002F4098" w:rsidRPr="00A67C76" w:rsidRDefault="00E35C9A" w:rsidP="00E35C9A">
      <w:pPr>
        <w:pStyle w:val="Caption"/>
        <w:rPr>
          <w:rFonts w:eastAsiaTheme="minorHAnsi"/>
        </w:rPr>
      </w:pPr>
      <w:bookmarkStart w:id="184" w:name="_Ref387831585"/>
      <w:bookmarkStart w:id="185" w:name="_Toc387843090"/>
      <w:bookmarkStart w:id="186" w:name="_Ref387847879"/>
      <w:proofErr w:type="gramStart"/>
      <w:r w:rsidRPr="00A67C76">
        <w:t xml:space="preserve">Figure </w:t>
      </w:r>
      <w:proofErr w:type="gramEnd"/>
      <w:r w:rsidR="002E6077" w:rsidRPr="00A67C76">
        <w:fldChar w:fldCharType="begin"/>
      </w:r>
      <w:r w:rsidR="00621CBB" w:rsidRPr="00A67C76">
        <w:instrText xml:space="preserve"> SEQ Figure \* ARABIC </w:instrText>
      </w:r>
      <w:r w:rsidR="002E6077" w:rsidRPr="00A67C76">
        <w:fldChar w:fldCharType="separate"/>
      </w:r>
      <w:r w:rsidR="009659F2">
        <w:rPr>
          <w:noProof/>
        </w:rPr>
        <w:t>42</w:t>
      </w:r>
      <w:r w:rsidR="002E6077" w:rsidRPr="00A67C76">
        <w:rPr>
          <w:noProof/>
        </w:rPr>
        <w:fldChar w:fldCharType="end"/>
      </w:r>
      <w:bookmarkEnd w:id="184"/>
      <w:proofErr w:type="gramStart"/>
      <w:r w:rsidR="00566174" w:rsidRPr="00A67C76">
        <w:t>.</w:t>
      </w:r>
      <w:proofErr w:type="gramEnd"/>
      <w:r w:rsidR="002F4098" w:rsidRPr="00A67C76">
        <w:rPr>
          <w:rFonts w:eastAsiaTheme="minorHAnsi"/>
        </w:rPr>
        <w:t xml:space="preserve"> </w:t>
      </w:r>
      <w:bookmarkEnd w:id="185"/>
      <w:bookmarkEnd w:id="186"/>
      <w:proofErr w:type="gramStart"/>
      <w:r w:rsidR="006741F9">
        <w:rPr>
          <w:rFonts w:eastAsiaTheme="minorHAnsi"/>
        </w:rPr>
        <w:t>S</w:t>
      </w:r>
      <w:r w:rsidR="006741F9" w:rsidRPr="00A67C76">
        <w:rPr>
          <w:rFonts w:eastAsiaTheme="minorHAnsi"/>
        </w:rPr>
        <w:t>ediment propagule bank replenishment probability</w:t>
      </w:r>
      <w:r w:rsidR="006741F9">
        <w:rPr>
          <w:rFonts w:eastAsiaTheme="minorHAnsi"/>
        </w:rPr>
        <w:t xml:space="preserve"> for </w:t>
      </w:r>
      <w:r w:rsidR="006741F9" w:rsidRPr="00A67C76">
        <w:rPr>
          <w:rFonts w:eastAsiaTheme="minorHAnsi"/>
          <w:i/>
        </w:rPr>
        <w:t>Ruppia</w:t>
      </w:r>
      <w:r w:rsidR="006741F9" w:rsidRPr="00A67C76">
        <w:rPr>
          <w:rFonts w:eastAsiaTheme="minorHAnsi"/>
        </w:rPr>
        <w:t xml:space="preserve"> </w:t>
      </w:r>
      <w:r w:rsidR="006741F9" w:rsidRPr="00A67C76">
        <w:rPr>
          <w:rFonts w:eastAsiaTheme="minorHAnsi"/>
          <w:i/>
        </w:rPr>
        <w:t>tuberosa</w:t>
      </w:r>
      <w:r w:rsidR="00F9076D">
        <w:rPr>
          <w:rFonts w:eastAsiaTheme="minorHAnsi"/>
          <w:i/>
        </w:rPr>
        <w:t xml:space="preserve"> </w:t>
      </w:r>
      <w:r w:rsidR="00F9076D">
        <w:rPr>
          <w:rFonts w:eastAsiaTheme="minorHAnsi"/>
        </w:rPr>
        <w:t xml:space="preserve">for a) </w:t>
      </w:r>
      <w:r w:rsidR="00BA0CAC">
        <w:rPr>
          <w:rFonts w:eastAsiaTheme="minorHAnsi"/>
        </w:rPr>
        <w:t xml:space="preserve">2011 </w:t>
      </w:r>
      <w:r w:rsidR="00F9076D">
        <w:rPr>
          <w:rFonts w:eastAsiaTheme="minorHAnsi"/>
        </w:rPr>
        <w:t xml:space="preserve">and b) </w:t>
      </w:r>
      <w:r w:rsidR="00BA0CAC">
        <w:rPr>
          <w:rFonts w:eastAsiaTheme="minorHAnsi"/>
        </w:rPr>
        <w:t>2012</w:t>
      </w:r>
      <w:r w:rsidR="006741F9">
        <w:rPr>
          <w:rFonts w:eastAsiaTheme="minorHAnsi"/>
        </w:rPr>
        <w:t>.</w:t>
      </w:r>
      <w:proofErr w:type="gramEnd"/>
      <w:r w:rsidR="00F9076D">
        <w:rPr>
          <w:rFonts w:eastAsiaTheme="minorHAnsi"/>
        </w:rPr>
        <w:t xml:space="preserve"> </w:t>
      </w:r>
      <w:r w:rsidR="006741F9">
        <w:rPr>
          <w:rFonts w:eastAsiaTheme="minorHAnsi"/>
        </w:rPr>
        <w:t xml:space="preserve">The black line represents the reference simulation including both, CEW and TLM water. Simulations with CEW and without TLM (red) and without CEW and TLM (blue) are given in terms of probability values for sediment propagule replenishment (right axis, solid lines) as well as changes with respect </w:t>
      </w:r>
      <w:r w:rsidR="00F9076D">
        <w:rPr>
          <w:rFonts w:eastAsiaTheme="minorHAnsi"/>
        </w:rPr>
        <w:t>to the reference (dashed lines)</w:t>
      </w:r>
      <w:r w:rsidR="006741F9" w:rsidRPr="00A67C76">
        <w:rPr>
          <w:rFonts w:eastAsiaTheme="minorHAnsi"/>
        </w:rPr>
        <w:t>.</w:t>
      </w:r>
    </w:p>
    <w:p w:rsidR="00E0537E" w:rsidRDefault="00E0537E" w:rsidP="00024C58">
      <w:pPr>
        <w:spacing w:before="0" w:after="200" w:line="276" w:lineRule="auto"/>
        <w:rPr>
          <w:b/>
        </w:rPr>
      </w:pPr>
    </w:p>
    <w:p w:rsidR="00AE7311" w:rsidRPr="00A67C76" w:rsidRDefault="00B2394F" w:rsidP="00024C58">
      <w:pPr>
        <w:spacing w:before="0" w:after="200" w:line="276" w:lineRule="auto"/>
        <w:rPr>
          <w:b/>
        </w:rPr>
      </w:pPr>
      <w:r w:rsidRPr="00A67C76">
        <w:rPr>
          <w:b/>
        </w:rPr>
        <w:t xml:space="preserve">Fish </w:t>
      </w:r>
      <w:r w:rsidR="00C159C5" w:rsidRPr="00A67C76">
        <w:rPr>
          <w:b/>
        </w:rPr>
        <w:t>habitat</w:t>
      </w:r>
    </w:p>
    <w:p w:rsidR="00B2394F" w:rsidRPr="00A67C76" w:rsidRDefault="00B2394F" w:rsidP="00AE7311">
      <w:pPr>
        <w:jc w:val="both"/>
        <w:rPr>
          <w:i/>
          <w:szCs w:val="22"/>
          <w:u w:val="single"/>
        </w:rPr>
      </w:pPr>
      <w:r w:rsidRPr="00A67C76">
        <w:rPr>
          <w:i/>
          <w:szCs w:val="22"/>
          <w:u w:val="single"/>
        </w:rPr>
        <w:t>Fish habitat simulation 1963 to 2013</w:t>
      </w:r>
    </w:p>
    <w:p w:rsidR="00C159C5" w:rsidRPr="00A67C76" w:rsidRDefault="00AE7311" w:rsidP="00086A67">
      <w:pPr>
        <w:jc w:val="both"/>
        <w:rPr>
          <w:szCs w:val="22"/>
        </w:rPr>
      </w:pPr>
      <w:r w:rsidRPr="00A67C76">
        <w:rPr>
          <w:szCs w:val="22"/>
        </w:rPr>
        <w:t>In total seven fish species were included in the simulations</w:t>
      </w:r>
      <w:r w:rsidR="005526FD" w:rsidRPr="00A67C76">
        <w:rPr>
          <w:szCs w:val="22"/>
        </w:rPr>
        <w:t xml:space="preserve"> using the salinity tolerance t</w:t>
      </w:r>
      <w:r w:rsidRPr="00A67C76">
        <w:rPr>
          <w:szCs w:val="22"/>
        </w:rPr>
        <w:t xml:space="preserve">hresholds for warm and cold periods </w:t>
      </w:r>
      <w:r w:rsidR="005526FD" w:rsidRPr="00A67C76">
        <w:rPr>
          <w:szCs w:val="22"/>
        </w:rPr>
        <w:t>(</w:t>
      </w:r>
      <w:r w:rsidR="002E6077" w:rsidRPr="00A67C76">
        <w:rPr>
          <w:szCs w:val="22"/>
        </w:rPr>
        <w:fldChar w:fldCharType="begin"/>
      </w:r>
      <w:r w:rsidR="00171AF5" w:rsidRPr="00A67C76">
        <w:rPr>
          <w:szCs w:val="22"/>
        </w:rPr>
        <w:instrText xml:space="preserve"> REF _Ref387832138 \h </w:instrText>
      </w:r>
      <w:r w:rsidR="002E6077" w:rsidRPr="00A67C76">
        <w:rPr>
          <w:szCs w:val="22"/>
        </w:rPr>
      </w:r>
      <w:r w:rsidR="002E6077" w:rsidRPr="00A67C76">
        <w:rPr>
          <w:szCs w:val="22"/>
        </w:rPr>
        <w:fldChar w:fldCharType="separate"/>
      </w:r>
      <w:r w:rsidR="009659F2" w:rsidRPr="00A67C76">
        <w:t xml:space="preserve">Table </w:t>
      </w:r>
      <w:r w:rsidR="009659F2">
        <w:rPr>
          <w:noProof/>
        </w:rPr>
        <w:t>4</w:t>
      </w:r>
      <w:r w:rsidR="002E6077" w:rsidRPr="00A67C76">
        <w:rPr>
          <w:szCs w:val="22"/>
        </w:rPr>
        <w:fldChar w:fldCharType="end"/>
      </w:r>
      <w:r w:rsidR="005526FD" w:rsidRPr="00A67C76">
        <w:rPr>
          <w:szCs w:val="22"/>
        </w:rPr>
        <w:t>)</w:t>
      </w:r>
      <w:r w:rsidRPr="00A67C76">
        <w:rPr>
          <w:szCs w:val="22"/>
        </w:rPr>
        <w:t xml:space="preserve">. The results of the annual probability analysis in the reference scenario </w:t>
      </w:r>
      <w:r w:rsidR="000A708F" w:rsidRPr="00A67C76">
        <w:rPr>
          <w:szCs w:val="22"/>
        </w:rPr>
        <w:t xml:space="preserve">for the period from 1963 to 2013 </w:t>
      </w:r>
      <w:r w:rsidRPr="00A67C76">
        <w:rPr>
          <w:szCs w:val="22"/>
        </w:rPr>
        <w:t xml:space="preserve">are shown in </w:t>
      </w:r>
      <w:r w:rsidR="002E6077" w:rsidRPr="00A67C76">
        <w:rPr>
          <w:szCs w:val="22"/>
        </w:rPr>
        <w:fldChar w:fldCharType="begin"/>
      </w:r>
      <w:r w:rsidR="00606176" w:rsidRPr="00A67C76">
        <w:rPr>
          <w:szCs w:val="22"/>
        </w:rPr>
        <w:instrText xml:space="preserve"> REF _Ref387831611 \h </w:instrText>
      </w:r>
      <w:r w:rsidR="002E6077" w:rsidRPr="00A67C76">
        <w:rPr>
          <w:szCs w:val="22"/>
        </w:rPr>
      </w:r>
      <w:r w:rsidR="002E6077" w:rsidRPr="00A67C76">
        <w:rPr>
          <w:szCs w:val="22"/>
        </w:rPr>
        <w:fldChar w:fldCharType="separate"/>
      </w:r>
      <w:r w:rsidR="009659F2" w:rsidRPr="00A67C76">
        <w:t xml:space="preserve">Figure </w:t>
      </w:r>
      <w:r w:rsidR="009659F2">
        <w:rPr>
          <w:noProof/>
        </w:rPr>
        <w:t>43</w:t>
      </w:r>
      <w:r w:rsidR="002E6077" w:rsidRPr="00A67C76">
        <w:rPr>
          <w:szCs w:val="22"/>
        </w:rPr>
        <w:fldChar w:fldCharType="end"/>
      </w:r>
      <w:r w:rsidR="00E07293">
        <w:rPr>
          <w:szCs w:val="22"/>
        </w:rPr>
        <w:t xml:space="preserve">. The results </w:t>
      </w:r>
      <w:r w:rsidRPr="00A67C76">
        <w:rPr>
          <w:szCs w:val="22"/>
        </w:rPr>
        <w:t xml:space="preserve">for the simplified threshold analysis </w:t>
      </w:r>
      <w:r w:rsidR="00E07293">
        <w:rPr>
          <w:szCs w:val="22"/>
        </w:rPr>
        <w:t xml:space="preserve">(see </w:t>
      </w:r>
      <w:r w:rsidR="00D10DCF">
        <w:rPr>
          <w:szCs w:val="22"/>
        </w:rPr>
        <w:t>Appendix XV</w:t>
      </w:r>
      <w:r w:rsidR="00E07293">
        <w:rPr>
          <w:szCs w:val="22"/>
        </w:rPr>
        <w:t xml:space="preserve">) </w:t>
      </w:r>
      <w:proofErr w:type="gramStart"/>
      <w:r w:rsidR="00E07293">
        <w:rPr>
          <w:szCs w:val="22"/>
        </w:rPr>
        <w:t>Generally</w:t>
      </w:r>
      <w:proofErr w:type="gramEnd"/>
      <w:r w:rsidR="00E07293">
        <w:rPr>
          <w:szCs w:val="22"/>
        </w:rPr>
        <w:t xml:space="preserve"> agrees with the annual exceedance probability analysis shown </w:t>
      </w:r>
      <w:r w:rsidR="004360C3" w:rsidRPr="00A67C76">
        <w:rPr>
          <w:szCs w:val="22"/>
        </w:rPr>
        <w:t xml:space="preserve">in </w:t>
      </w:r>
      <w:r w:rsidR="002E6077" w:rsidRPr="00A67C76">
        <w:rPr>
          <w:szCs w:val="22"/>
        </w:rPr>
        <w:fldChar w:fldCharType="begin"/>
      </w:r>
      <w:r w:rsidR="00606176" w:rsidRPr="00A67C76">
        <w:rPr>
          <w:szCs w:val="22"/>
        </w:rPr>
        <w:instrText xml:space="preserve"> REF _Ref387831611 \h </w:instrText>
      </w:r>
      <w:r w:rsidR="002E6077" w:rsidRPr="00A67C76">
        <w:rPr>
          <w:szCs w:val="22"/>
        </w:rPr>
      </w:r>
      <w:r w:rsidR="002E6077" w:rsidRPr="00A67C76">
        <w:rPr>
          <w:szCs w:val="22"/>
        </w:rPr>
        <w:fldChar w:fldCharType="separate"/>
      </w:r>
      <w:r w:rsidR="009659F2" w:rsidRPr="00A67C76">
        <w:t xml:space="preserve">Figure </w:t>
      </w:r>
      <w:r w:rsidR="009659F2">
        <w:rPr>
          <w:noProof/>
        </w:rPr>
        <w:t>43</w:t>
      </w:r>
      <w:r w:rsidR="002E6077" w:rsidRPr="00A67C76">
        <w:rPr>
          <w:szCs w:val="22"/>
        </w:rPr>
        <w:fldChar w:fldCharType="end"/>
      </w:r>
      <w:r w:rsidR="004360C3" w:rsidRPr="00A67C76">
        <w:rPr>
          <w:szCs w:val="22"/>
        </w:rPr>
        <w:t xml:space="preserve">. </w:t>
      </w:r>
      <w:r w:rsidR="003A5AE2" w:rsidRPr="00A67C76">
        <w:rPr>
          <w:szCs w:val="22"/>
        </w:rPr>
        <w:t>Both daily and annual analyses show that during mid</w:t>
      </w:r>
      <w:r w:rsidR="00D25697" w:rsidRPr="00A67C76">
        <w:rPr>
          <w:szCs w:val="22"/>
        </w:rPr>
        <w:t>-</w:t>
      </w:r>
      <w:r w:rsidR="003A5AE2" w:rsidRPr="00A67C76">
        <w:rPr>
          <w:szCs w:val="22"/>
        </w:rPr>
        <w:t>1970s the entire Coorong provide</w:t>
      </w:r>
      <w:r w:rsidR="002C6474" w:rsidRPr="00A67C76">
        <w:rPr>
          <w:szCs w:val="22"/>
        </w:rPr>
        <w:t>d</w:t>
      </w:r>
      <w:r w:rsidR="003A5AE2" w:rsidRPr="00A67C76">
        <w:rPr>
          <w:szCs w:val="22"/>
        </w:rPr>
        <w:t xml:space="preserve"> suitable fish habitat in terms of salinities for all seven species whereas </w:t>
      </w:r>
      <w:r w:rsidR="002C6474" w:rsidRPr="00A67C76">
        <w:rPr>
          <w:szCs w:val="22"/>
        </w:rPr>
        <w:t>from early 2000 to 2010 almost all these species were excluded from the South Lagoon.</w:t>
      </w:r>
      <w:r w:rsidR="00024C58" w:rsidRPr="00A67C76">
        <w:rPr>
          <w:szCs w:val="22"/>
        </w:rPr>
        <w:t xml:space="preserve"> For the species with least salinity tolerance</w:t>
      </w:r>
      <w:r w:rsidR="00AD3CD2" w:rsidRPr="00A67C76">
        <w:rPr>
          <w:szCs w:val="22"/>
        </w:rPr>
        <w:t xml:space="preserve"> (i.e.</w:t>
      </w:r>
      <w:r w:rsidR="00024C58" w:rsidRPr="00A67C76">
        <w:rPr>
          <w:szCs w:val="22"/>
        </w:rPr>
        <w:t xml:space="preserve"> mulloway and Tamar goby</w:t>
      </w:r>
      <w:r w:rsidR="00AD3CD2" w:rsidRPr="00A67C76">
        <w:rPr>
          <w:szCs w:val="22"/>
        </w:rPr>
        <w:t xml:space="preserve">), habitat suitability was less than 20% in the South Lagoon for most of the years from 1963 to 2013. In contrast, </w:t>
      </w:r>
      <w:r w:rsidR="005D1E8F" w:rsidRPr="00A67C76">
        <w:rPr>
          <w:szCs w:val="22"/>
        </w:rPr>
        <w:t xml:space="preserve">the most salt tolerant </w:t>
      </w:r>
      <w:r w:rsidR="00AD3CD2" w:rsidRPr="00A67C76">
        <w:rPr>
          <w:szCs w:val="22"/>
        </w:rPr>
        <w:t>smallmouthed hardyhead</w:t>
      </w:r>
      <w:r w:rsidR="005D1E8F" w:rsidRPr="00A67C76">
        <w:rPr>
          <w:szCs w:val="22"/>
        </w:rPr>
        <w:t xml:space="preserve"> </w:t>
      </w:r>
      <w:r w:rsidR="004D70BA">
        <w:rPr>
          <w:szCs w:val="22"/>
        </w:rPr>
        <w:t>habitat was suitable</w:t>
      </w:r>
      <w:r w:rsidR="005D1E8F" w:rsidRPr="00A67C76">
        <w:rPr>
          <w:szCs w:val="22"/>
        </w:rPr>
        <w:t xml:space="preserve"> the South Lagoon throughout the years except during the millennium drought</w:t>
      </w:r>
      <w:r w:rsidR="00086A67" w:rsidRPr="00A67C76">
        <w:rPr>
          <w:szCs w:val="22"/>
        </w:rPr>
        <w:t>.</w:t>
      </w:r>
      <w:r w:rsidR="005D1E8F" w:rsidRPr="00A67C76">
        <w:rPr>
          <w:szCs w:val="22"/>
        </w:rPr>
        <w:t xml:space="preserve">  </w:t>
      </w:r>
      <w:r w:rsidR="00024C58" w:rsidRPr="00A67C76">
        <w:rPr>
          <w:szCs w:val="22"/>
        </w:rPr>
        <w:t xml:space="preserve"> </w:t>
      </w:r>
    </w:p>
    <w:p w:rsidR="00086A67" w:rsidRPr="00A67C76" w:rsidRDefault="00086A67" w:rsidP="00086A67">
      <w:pPr>
        <w:jc w:val="both"/>
        <w:rPr>
          <w:rFonts w:asciiTheme="minorHAnsi" w:eastAsiaTheme="minorHAnsi" w:hAnsiTheme="minorHAnsi" w:cstheme="minorBidi"/>
          <w:color w:val="auto"/>
          <w:kern w:val="0"/>
          <w:szCs w:val="22"/>
        </w:rPr>
      </w:pPr>
    </w:p>
    <w:p w:rsidR="00C159C5" w:rsidRPr="00A67C76" w:rsidRDefault="00C159C5" w:rsidP="00C159C5">
      <w:pPr>
        <w:spacing w:before="0" w:after="60" w:line="240" w:lineRule="auto"/>
        <w:rPr>
          <w:rFonts w:asciiTheme="minorHAnsi" w:eastAsiaTheme="minorHAnsi" w:hAnsiTheme="minorHAnsi" w:cstheme="minorBidi"/>
          <w:color w:val="auto"/>
          <w:kern w:val="0"/>
          <w:szCs w:val="22"/>
        </w:rPr>
      </w:pPr>
      <w:r w:rsidRPr="00A67C76">
        <w:rPr>
          <w:rFonts w:asciiTheme="minorHAnsi" w:eastAsiaTheme="minorHAnsi" w:hAnsiTheme="minorHAnsi" w:cstheme="minorBidi"/>
          <w:noProof/>
          <w:color w:val="auto"/>
          <w:kern w:val="0"/>
          <w:szCs w:val="22"/>
          <w:lang w:eastAsia="en-AU"/>
        </w:rPr>
        <w:drawing>
          <wp:inline distT="0" distB="0" distL="0" distR="0">
            <wp:extent cx="5785303" cy="7035801"/>
            <wp:effectExtent l="0" t="0" r="5897" b="0"/>
            <wp:docPr id="41" name="Picture 7" descr="GpFsh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Fsh1.wmf"/>
                    <pic:cNvPicPr/>
                  </pic:nvPicPr>
                  <pic:blipFill>
                    <a:blip r:embed="rId91" cstate="email"/>
                    <a:srcRect l="4269" t="3564" r="4269" b="3564"/>
                    <a:stretch>
                      <a:fillRect/>
                    </a:stretch>
                  </pic:blipFill>
                  <pic:spPr>
                    <a:xfrm>
                      <a:off x="0" y="0"/>
                      <a:ext cx="5785303" cy="7035801"/>
                    </a:xfrm>
                    <a:prstGeom prst="rect">
                      <a:avLst/>
                    </a:prstGeom>
                  </pic:spPr>
                </pic:pic>
              </a:graphicData>
            </a:graphic>
          </wp:inline>
        </w:drawing>
      </w:r>
    </w:p>
    <w:p w:rsidR="00C159C5" w:rsidRPr="00A67C76" w:rsidRDefault="00E35C9A" w:rsidP="00E35C9A">
      <w:pPr>
        <w:pStyle w:val="Caption"/>
      </w:pPr>
      <w:bookmarkStart w:id="187" w:name="_Ref387831611"/>
      <w:bookmarkStart w:id="188" w:name="_Toc387843091"/>
      <w:bookmarkStart w:id="189" w:name="OLE_LINK1"/>
      <w:bookmarkStart w:id="190" w:name="OLE_LINK2"/>
      <w:proofErr w:type="gramStart"/>
      <w:r w:rsidRPr="00A67C76">
        <w:t xml:space="preserve">Figure </w:t>
      </w:r>
      <w:proofErr w:type="gramEnd"/>
      <w:r w:rsidR="002E6077" w:rsidRPr="00A67C76">
        <w:fldChar w:fldCharType="begin"/>
      </w:r>
      <w:r w:rsidR="00621CBB" w:rsidRPr="00A67C76">
        <w:instrText xml:space="preserve"> SEQ Figure \* ARABIC </w:instrText>
      </w:r>
      <w:r w:rsidR="002E6077" w:rsidRPr="00A67C76">
        <w:fldChar w:fldCharType="separate"/>
      </w:r>
      <w:r w:rsidR="009659F2">
        <w:rPr>
          <w:noProof/>
        </w:rPr>
        <w:t>43</w:t>
      </w:r>
      <w:r w:rsidR="002E6077" w:rsidRPr="00A67C76">
        <w:rPr>
          <w:noProof/>
        </w:rPr>
        <w:fldChar w:fldCharType="end"/>
      </w:r>
      <w:bookmarkEnd w:id="187"/>
      <w:proofErr w:type="gramStart"/>
      <w:r w:rsidR="00566174" w:rsidRPr="00A67C76">
        <w:t>.</w:t>
      </w:r>
      <w:proofErr w:type="gramEnd"/>
      <w:r w:rsidR="00C159C5" w:rsidRPr="00A67C76">
        <w:t xml:space="preserve"> </w:t>
      </w:r>
      <w:r w:rsidR="00E07293" w:rsidRPr="00A67C76">
        <w:t xml:space="preserve">Habitat suitability for fish species </w:t>
      </w:r>
      <w:r w:rsidR="00E07293">
        <w:t>along</w:t>
      </w:r>
      <w:r w:rsidR="00E07293" w:rsidRPr="00A67C76">
        <w:t xml:space="preserve"> the Coorong </w:t>
      </w:r>
      <w:r w:rsidR="00E07293">
        <w:t xml:space="preserve">from mouth (0 km) to Salt Creek (102 km) </w:t>
      </w:r>
      <w:r w:rsidR="00E07293" w:rsidRPr="00A67C76">
        <w:t xml:space="preserve">calculated </w:t>
      </w:r>
      <w:r w:rsidR="00E07293">
        <w:t xml:space="preserve">for the whole simulation period 1963-2013 </w:t>
      </w:r>
      <w:r w:rsidR="00E07293" w:rsidRPr="00A67C76">
        <w:t>on an annual basis</w:t>
      </w:r>
      <w:r w:rsidR="00E07293">
        <w:t xml:space="preserve"> using salinity tolerance thresholds</w:t>
      </w:r>
      <w:r w:rsidR="00E07293" w:rsidRPr="00A67C76">
        <w:t xml:space="preserve">. The horizontal black line indicates the border between North </w:t>
      </w:r>
      <w:r w:rsidR="00E07293">
        <w:t xml:space="preserve">(0-55 km) </w:t>
      </w:r>
      <w:r w:rsidR="00E07293" w:rsidRPr="00A67C76">
        <w:t>and South Lagoon</w:t>
      </w:r>
      <w:r w:rsidR="00E07293">
        <w:t xml:space="preserve"> (55-102 km)</w:t>
      </w:r>
      <w:r w:rsidR="00E07293" w:rsidRPr="00A67C76">
        <w:t>.</w:t>
      </w:r>
      <w:bookmarkEnd w:id="188"/>
    </w:p>
    <w:p w:rsidR="00C159C5" w:rsidRPr="00A67C76" w:rsidRDefault="00C159C5" w:rsidP="00C159C5">
      <w:pPr>
        <w:spacing w:before="0" w:after="200" w:line="276" w:lineRule="auto"/>
        <w:rPr>
          <w:rFonts w:asciiTheme="minorHAnsi" w:eastAsiaTheme="minorHAnsi" w:hAnsiTheme="minorHAnsi" w:cstheme="minorBidi"/>
          <w:color w:val="auto"/>
          <w:kern w:val="0"/>
          <w:szCs w:val="22"/>
        </w:rPr>
      </w:pPr>
      <w:r w:rsidRPr="00A67C76">
        <w:rPr>
          <w:rFonts w:asciiTheme="minorHAnsi" w:eastAsiaTheme="minorHAnsi" w:hAnsiTheme="minorHAnsi" w:cstheme="minorBidi"/>
          <w:color w:val="auto"/>
          <w:kern w:val="0"/>
          <w:szCs w:val="22"/>
        </w:rPr>
        <w:br w:type="page"/>
      </w:r>
    </w:p>
    <w:p w:rsidR="00C159C5" w:rsidRPr="00A67C76" w:rsidRDefault="00C159C5" w:rsidP="00C159C5">
      <w:pPr>
        <w:spacing w:before="0" w:after="60" w:line="240" w:lineRule="auto"/>
        <w:rPr>
          <w:rFonts w:asciiTheme="minorHAnsi" w:eastAsiaTheme="minorHAnsi" w:hAnsiTheme="minorHAnsi" w:cstheme="minorBidi"/>
          <w:color w:val="auto"/>
          <w:kern w:val="0"/>
          <w:szCs w:val="22"/>
        </w:rPr>
      </w:pPr>
      <w:r w:rsidRPr="00A67C76">
        <w:rPr>
          <w:rFonts w:asciiTheme="minorHAnsi" w:eastAsiaTheme="minorHAnsi" w:hAnsiTheme="minorHAnsi" w:cstheme="minorBidi"/>
          <w:noProof/>
          <w:color w:val="auto"/>
          <w:kern w:val="0"/>
          <w:szCs w:val="22"/>
          <w:lang w:eastAsia="en-AU"/>
        </w:rPr>
        <w:drawing>
          <wp:inline distT="0" distB="0" distL="0" distR="0">
            <wp:extent cx="5785303" cy="5415028"/>
            <wp:effectExtent l="0" t="0" r="5897" b="0"/>
            <wp:docPr id="42" name="Picture 8" descr="GpFsh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Fsh2.wmf"/>
                    <pic:cNvPicPr/>
                  </pic:nvPicPr>
                  <pic:blipFill>
                    <a:blip r:embed="rId92" cstate="email"/>
                    <a:srcRect l="4269" t="4534" r="4269" b="4534"/>
                    <a:stretch>
                      <a:fillRect/>
                    </a:stretch>
                  </pic:blipFill>
                  <pic:spPr>
                    <a:xfrm>
                      <a:off x="0" y="0"/>
                      <a:ext cx="5785303" cy="5415028"/>
                    </a:xfrm>
                    <a:prstGeom prst="rect">
                      <a:avLst/>
                    </a:prstGeom>
                  </pic:spPr>
                </pic:pic>
              </a:graphicData>
            </a:graphic>
          </wp:inline>
        </w:drawing>
      </w:r>
    </w:p>
    <w:p w:rsidR="00C159C5" w:rsidRPr="00A67C76" w:rsidRDefault="00E35C9A" w:rsidP="00892040">
      <w:pPr>
        <w:pStyle w:val="Caption"/>
      </w:pPr>
      <w:r w:rsidRPr="00A67C76">
        <w:t>Figure 4</w:t>
      </w:r>
      <w:r w:rsidR="00B9117E">
        <w:t>3</w:t>
      </w:r>
      <w:r w:rsidRPr="00A67C76">
        <w:t xml:space="preserve"> </w:t>
      </w:r>
      <w:r w:rsidR="00C159C5" w:rsidRPr="00A67C76">
        <w:t xml:space="preserve">continued: </w:t>
      </w:r>
      <w:r w:rsidR="00E07293" w:rsidRPr="00A67C76">
        <w:t xml:space="preserve">Habitat suitability for fish species </w:t>
      </w:r>
      <w:r w:rsidR="00E07293">
        <w:t>along</w:t>
      </w:r>
      <w:r w:rsidR="00E07293" w:rsidRPr="00A67C76">
        <w:t xml:space="preserve"> the Coorong </w:t>
      </w:r>
      <w:r w:rsidR="00E07293">
        <w:t xml:space="preserve">from mouth (0 km) to Salt Creek (102 km) </w:t>
      </w:r>
      <w:r w:rsidR="00E07293" w:rsidRPr="00A67C76">
        <w:t xml:space="preserve">calculated </w:t>
      </w:r>
      <w:r w:rsidR="00E07293">
        <w:t xml:space="preserve">for the whole simulation period 1963-2013 </w:t>
      </w:r>
      <w:r w:rsidR="00E07293" w:rsidRPr="00A67C76">
        <w:t>on an annual basis</w:t>
      </w:r>
      <w:r w:rsidR="00E07293">
        <w:t xml:space="preserve"> using salinity tolerance thresholds</w:t>
      </w:r>
      <w:r w:rsidR="00E07293" w:rsidRPr="00A67C76">
        <w:t xml:space="preserve">. The horizontal black line indicates the border between North </w:t>
      </w:r>
      <w:r w:rsidR="00E07293">
        <w:t xml:space="preserve">(0-55 km) </w:t>
      </w:r>
      <w:r w:rsidR="00E07293" w:rsidRPr="00A67C76">
        <w:t xml:space="preserve">and South </w:t>
      </w:r>
      <w:r w:rsidR="00E07293">
        <w:t xml:space="preserve">(55-102 km) </w:t>
      </w:r>
      <w:r w:rsidR="00E07293" w:rsidRPr="00A67C76">
        <w:t>Lagoon.</w:t>
      </w:r>
    </w:p>
    <w:p w:rsidR="00C159C5" w:rsidRPr="00A67C76" w:rsidRDefault="00C159C5" w:rsidP="00C159C5">
      <w:pPr>
        <w:spacing w:before="0" w:after="60" w:line="240" w:lineRule="auto"/>
        <w:rPr>
          <w:rFonts w:asciiTheme="minorHAnsi" w:eastAsiaTheme="minorHAnsi" w:hAnsiTheme="minorHAnsi" w:cstheme="minorBidi"/>
          <w:color w:val="auto"/>
          <w:kern w:val="0"/>
          <w:szCs w:val="22"/>
        </w:rPr>
      </w:pPr>
    </w:p>
    <w:p w:rsidR="00C159C5" w:rsidRPr="00A67C76" w:rsidRDefault="00C159C5" w:rsidP="00C159C5">
      <w:pPr>
        <w:spacing w:before="0" w:after="200" w:line="276" w:lineRule="auto"/>
        <w:rPr>
          <w:rFonts w:asciiTheme="minorHAnsi" w:eastAsiaTheme="minorHAnsi" w:hAnsiTheme="minorHAnsi" w:cstheme="minorBidi"/>
          <w:color w:val="auto"/>
          <w:kern w:val="0"/>
          <w:szCs w:val="22"/>
        </w:rPr>
      </w:pPr>
      <w:r w:rsidRPr="00A67C76">
        <w:rPr>
          <w:rFonts w:asciiTheme="minorHAnsi" w:eastAsiaTheme="minorHAnsi" w:hAnsiTheme="minorHAnsi" w:cstheme="minorBidi"/>
          <w:color w:val="auto"/>
          <w:kern w:val="0"/>
          <w:szCs w:val="22"/>
        </w:rPr>
        <w:br w:type="page"/>
      </w:r>
    </w:p>
    <w:bookmarkEnd w:id="189"/>
    <w:bookmarkEnd w:id="190"/>
    <w:p w:rsidR="00C159C5" w:rsidRPr="00A67C76" w:rsidRDefault="00C159C5" w:rsidP="00C159C5">
      <w:pPr>
        <w:jc w:val="both"/>
        <w:rPr>
          <w:i/>
          <w:szCs w:val="22"/>
          <w:u w:val="single"/>
        </w:rPr>
      </w:pPr>
      <w:r w:rsidRPr="00A67C76">
        <w:rPr>
          <w:i/>
          <w:szCs w:val="22"/>
          <w:u w:val="single"/>
        </w:rPr>
        <w:t xml:space="preserve">Fish </w:t>
      </w:r>
      <w:r w:rsidR="00F87534" w:rsidRPr="00A67C76">
        <w:rPr>
          <w:i/>
          <w:szCs w:val="22"/>
          <w:u w:val="single"/>
        </w:rPr>
        <w:t xml:space="preserve">habitat </w:t>
      </w:r>
      <w:r w:rsidRPr="00A67C76">
        <w:rPr>
          <w:i/>
          <w:szCs w:val="22"/>
          <w:u w:val="single"/>
        </w:rPr>
        <w:t xml:space="preserve">environmental watering evaluation for </w:t>
      </w:r>
      <w:r w:rsidR="00333041" w:rsidRPr="00A67C76">
        <w:rPr>
          <w:i/>
          <w:szCs w:val="22"/>
          <w:u w:val="single"/>
        </w:rPr>
        <w:t>2012</w:t>
      </w:r>
      <w:r w:rsidR="00FD328A" w:rsidRPr="00FD328A">
        <w:rPr>
          <w:i/>
          <w:szCs w:val="22"/>
          <w:u w:val="single"/>
        </w:rPr>
        <w:t>-13</w:t>
      </w:r>
      <w:r w:rsidRPr="00A67C76">
        <w:rPr>
          <w:i/>
          <w:szCs w:val="22"/>
          <w:u w:val="single"/>
        </w:rPr>
        <w:t xml:space="preserve"> (July to June)</w:t>
      </w:r>
    </w:p>
    <w:p w:rsidR="00C159C5" w:rsidRPr="00A67C76" w:rsidRDefault="00C159C5" w:rsidP="00C159C5">
      <w:pPr>
        <w:jc w:val="both"/>
        <w:rPr>
          <w:szCs w:val="22"/>
        </w:rPr>
      </w:pPr>
      <w:r w:rsidRPr="00A67C76">
        <w:rPr>
          <w:szCs w:val="22"/>
        </w:rPr>
        <w:t xml:space="preserve">Difference plots for changes due to environmental watering according to </w:t>
      </w:r>
      <w:r w:rsidR="00362805">
        <w:rPr>
          <w:szCs w:val="22"/>
        </w:rPr>
        <w:t>S</w:t>
      </w:r>
      <w:r w:rsidRPr="00A67C76">
        <w:rPr>
          <w:szCs w:val="22"/>
        </w:rPr>
        <w:t xml:space="preserve">cenarios 2 </w:t>
      </w:r>
      <w:r w:rsidR="001007AE">
        <w:rPr>
          <w:szCs w:val="22"/>
        </w:rPr>
        <w:t xml:space="preserve">(with CEW, without TLM) </w:t>
      </w:r>
      <w:r w:rsidRPr="00A67C76">
        <w:rPr>
          <w:szCs w:val="22"/>
        </w:rPr>
        <w:t xml:space="preserve">and 3 </w:t>
      </w:r>
      <w:r w:rsidR="001007AE">
        <w:rPr>
          <w:szCs w:val="22"/>
        </w:rPr>
        <w:t xml:space="preserve">(without CEW and TLM) </w:t>
      </w:r>
      <w:r w:rsidRPr="00A67C76">
        <w:rPr>
          <w:szCs w:val="22"/>
        </w:rPr>
        <w:t xml:space="preserve">are given in </w:t>
      </w:r>
      <w:r w:rsidR="002E6077">
        <w:rPr>
          <w:szCs w:val="22"/>
        </w:rPr>
        <w:fldChar w:fldCharType="begin"/>
      </w:r>
      <w:r w:rsidR="00B9117E">
        <w:rPr>
          <w:szCs w:val="22"/>
        </w:rPr>
        <w:instrText xml:space="preserve"> REF _Ref403376379 \h </w:instrText>
      </w:r>
      <w:r w:rsidR="002E6077">
        <w:rPr>
          <w:szCs w:val="22"/>
        </w:rPr>
      </w:r>
      <w:r w:rsidR="002E6077">
        <w:rPr>
          <w:szCs w:val="22"/>
        </w:rPr>
        <w:fldChar w:fldCharType="separate"/>
      </w:r>
      <w:r w:rsidR="009659F2">
        <w:t xml:space="preserve">Figure </w:t>
      </w:r>
      <w:r w:rsidR="009659F2">
        <w:rPr>
          <w:noProof/>
        </w:rPr>
        <w:t>44</w:t>
      </w:r>
      <w:r w:rsidR="002E6077">
        <w:rPr>
          <w:szCs w:val="22"/>
        </w:rPr>
        <w:fldChar w:fldCharType="end"/>
      </w:r>
      <w:r w:rsidR="00606176" w:rsidRPr="00A67C76">
        <w:rPr>
          <w:szCs w:val="22"/>
        </w:rPr>
        <w:t xml:space="preserve"> </w:t>
      </w:r>
      <w:r w:rsidRPr="00A67C76">
        <w:rPr>
          <w:szCs w:val="22"/>
        </w:rPr>
        <w:t>for the annual habitat suitability. However, only three out of the seven species</w:t>
      </w:r>
      <w:r w:rsidR="000E746E" w:rsidRPr="00A67C76">
        <w:rPr>
          <w:szCs w:val="22"/>
        </w:rPr>
        <w:t>, mulloway, Tamar goby and yelloweye mullet,</w:t>
      </w:r>
      <w:r w:rsidRPr="00A67C76">
        <w:rPr>
          <w:szCs w:val="22"/>
        </w:rPr>
        <w:t xml:space="preserve"> showed changes due to changed salinity in the South Lagoon for </w:t>
      </w:r>
      <w:r w:rsidR="00333041" w:rsidRPr="00A67C76">
        <w:rPr>
          <w:szCs w:val="22"/>
        </w:rPr>
        <w:t>2012</w:t>
      </w:r>
      <w:r w:rsidR="00FD328A" w:rsidRPr="00FD328A">
        <w:rPr>
          <w:szCs w:val="22"/>
        </w:rPr>
        <w:t>-13</w:t>
      </w:r>
      <w:r w:rsidRPr="00A67C76">
        <w:rPr>
          <w:szCs w:val="22"/>
        </w:rPr>
        <w:t xml:space="preserve">. The salinity thresholds of the other species were always below the simulated salinity levels along the Coorong, i.e. always classified as suitable habitat. Taking Mulloway as the most susceptible fish species in terms of salinity tolerance in our study, </w:t>
      </w:r>
      <w:r w:rsidR="00CD3678" w:rsidRPr="00A67C76">
        <w:rPr>
          <w:szCs w:val="22"/>
        </w:rPr>
        <w:t xml:space="preserve">there would have been </w:t>
      </w:r>
      <w:r w:rsidRPr="00A67C76">
        <w:rPr>
          <w:szCs w:val="22"/>
        </w:rPr>
        <w:t xml:space="preserve">a reduction up to 3% (13%) in habitat suitability </w:t>
      </w:r>
      <w:r w:rsidR="00CD3678" w:rsidRPr="00A67C76">
        <w:rPr>
          <w:szCs w:val="22"/>
        </w:rPr>
        <w:t xml:space="preserve">if </w:t>
      </w:r>
      <w:r w:rsidRPr="00A67C76">
        <w:rPr>
          <w:szCs w:val="22"/>
        </w:rPr>
        <w:t>less</w:t>
      </w:r>
      <w:r w:rsidR="00CD3678" w:rsidRPr="00A67C76">
        <w:rPr>
          <w:szCs w:val="22"/>
        </w:rPr>
        <w:t xml:space="preserve"> </w:t>
      </w:r>
      <w:r w:rsidR="006335C0" w:rsidRPr="00A67C76">
        <w:rPr>
          <w:szCs w:val="22"/>
        </w:rPr>
        <w:t>(</w:t>
      </w:r>
      <w:r w:rsidR="00CD3678" w:rsidRPr="00A67C76">
        <w:rPr>
          <w:szCs w:val="22"/>
        </w:rPr>
        <w:t>or no</w:t>
      </w:r>
      <w:r w:rsidR="006335C0" w:rsidRPr="00A67C76">
        <w:rPr>
          <w:szCs w:val="22"/>
        </w:rPr>
        <w:t>)</w:t>
      </w:r>
      <w:r w:rsidR="00CD3678" w:rsidRPr="00A67C76">
        <w:rPr>
          <w:szCs w:val="22"/>
        </w:rPr>
        <w:t xml:space="preserve"> environmental</w:t>
      </w:r>
      <w:r w:rsidRPr="00A67C76">
        <w:rPr>
          <w:szCs w:val="22"/>
        </w:rPr>
        <w:t xml:space="preserve"> water</w:t>
      </w:r>
      <w:r w:rsidR="00CD3678" w:rsidRPr="00A67C76">
        <w:rPr>
          <w:szCs w:val="22"/>
        </w:rPr>
        <w:t xml:space="preserve"> were delivered during </w:t>
      </w:r>
      <w:r w:rsidR="00333041" w:rsidRPr="00A67C76">
        <w:rPr>
          <w:szCs w:val="22"/>
        </w:rPr>
        <w:t>2012</w:t>
      </w:r>
      <w:r w:rsidR="00FD328A" w:rsidRPr="00FD328A">
        <w:rPr>
          <w:szCs w:val="22"/>
        </w:rPr>
        <w:t>-13</w:t>
      </w:r>
      <w:r w:rsidRPr="00A67C76">
        <w:rPr>
          <w:szCs w:val="22"/>
        </w:rPr>
        <w:t>, i.e. for scenarios 2</w:t>
      </w:r>
      <w:r w:rsidR="00B06B33" w:rsidRPr="00A67C76">
        <w:rPr>
          <w:szCs w:val="22"/>
        </w:rPr>
        <w:t xml:space="preserve"> (with Commonwealth environmental watering only)</w:t>
      </w:r>
      <w:r w:rsidRPr="00A67C76">
        <w:rPr>
          <w:szCs w:val="22"/>
        </w:rPr>
        <w:t xml:space="preserve"> and 3</w:t>
      </w:r>
      <w:r w:rsidR="00B06B33" w:rsidRPr="00A67C76">
        <w:rPr>
          <w:szCs w:val="22"/>
        </w:rPr>
        <w:t xml:space="preserve"> (with no environmental watering)</w:t>
      </w:r>
      <w:r w:rsidRPr="00A67C76">
        <w:rPr>
          <w:szCs w:val="22"/>
        </w:rPr>
        <w:t xml:space="preserve"> respectively. </w:t>
      </w:r>
    </w:p>
    <w:p w:rsidR="00C159C5" w:rsidRPr="00A67C76" w:rsidRDefault="00C159C5" w:rsidP="00C159C5">
      <w:pPr>
        <w:rPr>
          <w:szCs w:val="22"/>
        </w:rPr>
      </w:pPr>
      <w:r w:rsidRPr="00A67C76">
        <w:rPr>
          <w:szCs w:val="22"/>
        </w:rPr>
        <w:t xml:space="preserve">Threshold analysis </w:t>
      </w:r>
      <w:r w:rsidR="00CD3678" w:rsidRPr="00A67C76">
        <w:rPr>
          <w:szCs w:val="22"/>
        </w:rPr>
        <w:t xml:space="preserve">was also used </w:t>
      </w:r>
      <w:r w:rsidRPr="00A67C76">
        <w:rPr>
          <w:szCs w:val="22"/>
        </w:rPr>
        <w:t xml:space="preserve">to analyse the extent, or the retreat, of fish habitat under barrage flow scenarios, i.e. differences between results for </w:t>
      </w:r>
      <w:r w:rsidR="00362805">
        <w:rPr>
          <w:szCs w:val="22"/>
        </w:rPr>
        <w:t>S</w:t>
      </w:r>
      <w:r w:rsidRPr="00A67C76">
        <w:rPr>
          <w:szCs w:val="22"/>
        </w:rPr>
        <w:t xml:space="preserve">cenarios 2 and 3 and the reference scenario. </w:t>
      </w:r>
      <w:r w:rsidR="001500E1" w:rsidRPr="00A67C76">
        <w:rPr>
          <w:szCs w:val="22"/>
        </w:rPr>
        <w:t xml:space="preserve">The </w:t>
      </w:r>
      <w:r w:rsidRPr="00A67C76">
        <w:rPr>
          <w:szCs w:val="22"/>
        </w:rPr>
        <w:t>retreat</w:t>
      </w:r>
      <w:r w:rsidR="001500E1" w:rsidRPr="00A67C76">
        <w:rPr>
          <w:szCs w:val="22"/>
        </w:rPr>
        <w:t>/extent</w:t>
      </w:r>
      <w:r w:rsidRPr="00A67C76">
        <w:rPr>
          <w:szCs w:val="22"/>
        </w:rPr>
        <w:t xml:space="preserve"> of the</w:t>
      </w:r>
      <w:r w:rsidR="001500E1" w:rsidRPr="00A67C76">
        <w:rPr>
          <w:szCs w:val="22"/>
        </w:rPr>
        <w:t xml:space="preserve"> three </w:t>
      </w:r>
      <w:r w:rsidRPr="00A67C76">
        <w:rPr>
          <w:szCs w:val="22"/>
        </w:rPr>
        <w:t>impacted fish species</w:t>
      </w:r>
      <w:r w:rsidR="001500E1" w:rsidRPr="00A67C76">
        <w:rPr>
          <w:szCs w:val="22"/>
        </w:rPr>
        <w:t xml:space="preserve"> are shown in </w:t>
      </w:r>
      <w:r w:rsidR="002E6077">
        <w:rPr>
          <w:szCs w:val="22"/>
        </w:rPr>
        <w:fldChar w:fldCharType="begin"/>
      </w:r>
      <w:r w:rsidR="00B9117E">
        <w:rPr>
          <w:szCs w:val="22"/>
        </w:rPr>
        <w:instrText xml:space="preserve"> REF _Ref403376390 \h </w:instrText>
      </w:r>
      <w:r w:rsidR="002E6077">
        <w:rPr>
          <w:szCs w:val="22"/>
        </w:rPr>
      </w:r>
      <w:r w:rsidR="002E6077">
        <w:rPr>
          <w:szCs w:val="22"/>
        </w:rPr>
        <w:fldChar w:fldCharType="separate"/>
      </w:r>
      <w:r w:rsidR="009659F2">
        <w:t xml:space="preserve">Figure </w:t>
      </w:r>
      <w:r w:rsidR="009659F2">
        <w:rPr>
          <w:noProof/>
        </w:rPr>
        <w:t>45</w:t>
      </w:r>
      <w:r w:rsidR="002E6077">
        <w:rPr>
          <w:szCs w:val="22"/>
        </w:rPr>
        <w:fldChar w:fldCharType="end"/>
      </w:r>
      <w:r w:rsidR="00A95667">
        <w:rPr>
          <w:szCs w:val="22"/>
        </w:rPr>
        <w:t>.</w:t>
      </w:r>
      <w:r w:rsidRPr="00A67C76">
        <w:rPr>
          <w:szCs w:val="22"/>
        </w:rPr>
        <w:t xml:space="preserve"> For </w:t>
      </w:r>
      <w:r w:rsidR="00CD3678" w:rsidRPr="00A67C76">
        <w:rPr>
          <w:szCs w:val="22"/>
        </w:rPr>
        <w:t>m</w:t>
      </w:r>
      <w:r w:rsidRPr="00A67C76">
        <w:rPr>
          <w:szCs w:val="22"/>
        </w:rPr>
        <w:t>ulloway</w:t>
      </w:r>
      <w:r w:rsidR="006600FE">
        <w:rPr>
          <w:szCs w:val="22"/>
        </w:rPr>
        <w:t>,</w:t>
      </w:r>
      <w:r w:rsidRPr="00A67C76">
        <w:rPr>
          <w:szCs w:val="22"/>
        </w:rPr>
        <w:t xml:space="preserve"> </w:t>
      </w:r>
      <w:r w:rsidR="00362805">
        <w:rPr>
          <w:szCs w:val="22"/>
        </w:rPr>
        <w:t>S</w:t>
      </w:r>
      <w:r w:rsidRPr="00A67C76">
        <w:rPr>
          <w:szCs w:val="22"/>
        </w:rPr>
        <w:t>cenarios 2 and 3 yield</w:t>
      </w:r>
      <w:r w:rsidR="006E261A" w:rsidRPr="00A67C76">
        <w:rPr>
          <w:szCs w:val="22"/>
        </w:rPr>
        <w:t>ed</w:t>
      </w:r>
      <w:r w:rsidRPr="00A67C76">
        <w:rPr>
          <w:szCs w:val="22"/>
        </w:rPr>
        <w:t xml:space="preserve"> a retreat in suitable fish habitat of 7 km and 30 km</w:t>
      </w:r>
      <w:r w:rsidR="00362805">
        <w:rPr>
          <w:szCs w:val="22"/>
        </w:rPr>
        <w:t>,</w:t>
      </w:r>
      <w:r w:rsidRPr="00A67C76">
        <w:rPr>
          <w:szCs w:val="22"/>
        </w:rPr>
        <w:t xml:space="preserve"> respectively</w:t>
      </w:r>
      <w:r w:rsidR="00362805">
        <w:rPr>
          <w:szCs w:val="22"/>
        </w:rPr>
        <w:t>,</w:t>
      </w:r>
      <w:r w:rsidRPr="00A67C76">
        <w:rPr>
          <w:szCs w:val="22"/>
        </w:rPr>
        <w:t xml:space="preserve"> for the cold months </w:t>
      </w:r>
      <w:r w:rsidR="001500E1" w:rsidRPr="00A67C76">
        <w:rPr>
          <w:szCs w:val="22"/>
        </w:rPr>
        <w:t xml:space="preserve">from </w:t>
      </w:r>
      <w:r w:rsidRPr="00A67C76">
        <w:rPr>
          <w:szCs w:val="22"/>
        </w:rPr>
        <w:t>April</w:t>
      </w:r>
      <w:r w:rsidR="001500E1" w:rsidRPr="00A67C76">
        <w:rPr>
          <w:szCs w:val="22"/>
        </w:rPr>
        <w:t xml:space="preserve"> to </w:t>
      </w:r>
      <w:r w:rsidRPr="00A67C76">
        <w:rPr>
          <w:szCs w:val="22"/>
        </w:rPr>
        <w:t xml:space="preserve">June 2013. </w:t>
      </w:r>
    </w:p>
    <w:p w:rsidR="00C159C5" w:rsidRPr="00A67C76" w:rsidRDefault="00C159C5" w:rsidP="00C159C5">
      <w:pPr>
        <w:spacing w:before="0" w:after="200" w:line="276" w:lineRule="auto"/>
        <w:rPr>
          <w:rFonts w:asciiTheme="minorHAnsi" w:eastAsiaTheme="minorHAnsi" w:hAnsiTheme="minorHAnsi" w:cstheme="minorBidi"/>
          <w:color w:val="auto"/>
          <w:kern w:val="0"/>
          <w:szCs w:val="22"/>
        </w:rPr>
      </w:pPr>
    </w:p>
    <w:p w:rsidR="00C159C5" w:rsidRPr="00A67C76" w:rsidRDefault="00C159C5" w:rsidP="00C159C5">
      <w:pPr>
        <w:spacing w:before="0" w:after="200" w:line="276" w:lineRule="auto"/>
        <w:rPr>
          <w:rFonts w:asciiTheme="minorHAnsi" w:eastAsiaTheme="minorHAnsi" w:hAnsiTheme="minorHAnsi" w:cstheme="minorBidi"/>
          <w:color w:val="auto"/>
          <w:kern w:val="0"/>
          <w:szCs w:val="22"/>
        </w:rPr>
      </w:pPr>
    </w:p>
    <w:p w:rsidR="00C159C5" w:rsidRPr="00A67C76" w:rsidRDefault="00C159C5" w:rsidP="00C159C5">
      <w:pPr>
        <w:spacing w:before="0" w:after="60" w:line="240" w:lineRule="auto"/>
        <w:rPr>
          <w:rFonts w:asciiTheme="minorHAnsi" w:eastAsiaTheme="minorHAnsi" w:hAnsiTheme="minorHAnsi" w:cstheme="minorBidi"/>
          <w:color w:val="auto"/>
          <w:kern w:val="0"/>
          <w:szCs w:val="22"/>
        </w:rPr>
      </w:pPr>
      <w:r w:rsidRPr="00A67C76">
        <w:rPr>
          <w:rFonts w:asciiTheme="minorHAnsi" w:eastAsiaTheme="minorHAnsi" w:hAnsiTheme="minorHAnsi" w:cstheme="minorBidi"/>
          <w:noProof/>
          <w:color w:val="auto"/>
          <w:kern w:val="0"/>
          <w:szCs w:val="22"/>
          <w:lang w:eastAsia="en-AU"/>
        </w:rPr>
        <w:drawing>
          <wp:inline distT="0" distB="0" distL="0" distR="0">
            <wp:extent cx="5619750" cy="5843214"/>
            <wp:effectExtent l="0" t="0" r="0" b="0"/>
            <wp:docPr id="45" name="Picture 12" descr="GDiffpFsh.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iffpFsh.wmf"/>
                    <pic:cNvPicPr/>
                  </pic:nvPicPr>
                  <pic:blipFill>
                    <a:blip r:embed="rId93" cstate="email"/>
                    <a:srcRect l="4503" t="2280" r="4503" b="2280"/>
                    <a:stretch>
                      <a:fillRect/>
                    </a:stretch>
                  </pic:blipFill>
                  <pic:spPr>
                    <a:xfrm>
                      <a:off x="0" y="0"/>
                      <a:ext cx="5619750" cy="5843214"/>
                    </a:xfrm>
                    <a:prstGeom prst="rect">
                      <a:avLst/>
                    </a:prstGeom>
                  </pic:spPr>
                </pic:pic>
              </a:graphicData>
            </a:graphic>
          </wp:inline>
        </w:drawing>
      </w:r>
    </w:p>
    <w:p w:rsidR="00C159C5" w:rsidRPr="00A67C76" w:rsidRDefault="00B9117E" w:rsidP="00B9117E">
      <w:pPr>
        <w:pStyle w:val="Caption"/>
      </w:pPr>
      <w:bookmarkStart w:id="191" w:name="_Ref403376379"/>
      <w:bookmarkStart w:id="192" w:name="_Toc387843093"/>
      <w:proofErr w:type="gramStart"/>
      <w:r>
        <w:t xml:space="preserve">Figure </w:t>
      </w:r>
      <w:proofErr w:type="gramEnd"/>
      <w:r w:rsidR="002E6077">
        <w:fldChar w:fldCharType="begin"/>
      </w:r>
      <w:r w:rsidR="009D1F5A">
        <w:instrText xml:space="preserve"> SEQ Figure \* ARABIC </w:instrText>
      </w:r>
      <w:r w:rsidR="002E6077">
        <w:fldChar w:fldCharType="separate"/>
      </w:r>
      <w:r w:rsidR="009659F2">
        <w:rPr>
          <w:noProof/>
        </w:rPr>
        <w:t>44</w:t>
      </w:r>
      <w:r w:rsidR="002E6077">
        <w:rPr>
          <w:noProof/>
        </w:rPr>
        <w:fldChar w:fldCharType="end"/>
      </w:r>
      <w:bookmarkEnd w:id="191"/>
      <w:proofErr w:type="gramStart"/>
      <w:r>
        <w:t>.</w:t>
      </w:r>
      <w:proofErr w:type="gramEnd"/>
      <w:r>
        <w:t xml:space="preserve"> </w:t>
      </w:r>
      <w:proofErr w:type="gramStart"/>
      <w:r w:rsidR="00911705" w:rsidRPr="00A67C76">
        <w:t>Changes in fish habitat suitability assuming less barrage flow in 2012</w:t>
      </w:r>
      <w:r w:rsidR="00911705" w:rsidRPr="00FD328A">
        <w:t>-13</w:t>
      </w:r>
      <w:r w:rsidR="00911705" w:rsidRPr="00A67C76">
        <w:t xml:space="preserve"> </w:t>
      </w:r>
      <w:r w:rsidR="00911705">
        <w:t>with respect to the reference simulation (including CEW and TLM water)</w:t>
      </w:r>
      <w:r w:rsidR="00911705" w:rsidRPr="00A67C76">
        <w:t>.</w:t>
      </w:r>
      <w:proofErr w:type="gramEnd"/>
      <w:r w:rsidR="00911705" w:rsidRPr="00A67C76">
        <w:t xml:space="preserve"> </w:t>
      </w:r>
      <w:r w:rsidR="00911705">
        <w:rPr>
          <w:rFonts w:eastAsiaTheme="minorHAnsi"/>
        </w:rPr>
        <w:t xml:space="preserve">The black line represents the reference simulation including both, CEW and TLM water. Simulations with CEW and without TLM (red) and without CEW and TLM (blue) are given in terms of probability values for </w:t>
      </w:r>
      <w:r w:rsidR="00342816">
        <w:rPr>
          <w:rFonts w:eastAsiaTheme="minorHAnsi"/>
        </w:rPr>
        <w:t xml:space="preserve">fish habitat suitability </w:t>
      </w:r>
      <w:r w:rsidR="00911705">
        <w:rPr>
          <w:rFonts w:eastAsiaTheme="minorHAnsi"/>
        </w:rPr>
        <w:t xml:space="preserve">(right axis, solid lines) as well as changes with respect to the reference (dashed lines).  </w:t>
      </w:r>
      <w:r w:rsidR="00911705" w:rsidRPr="00A67C76">
        <w:t xml:space="preserve">Species not shown did not experience changes this particular year. </w:t>
      </w:r>
      <w:r w:rsidR="00911705">
        <w:t>Sign of changes in habitat suitability chosen in a way that</w:t>
      </w:r>
      <w:r w:rsidR="00911705" w:rsidRPr="00A67C76">
        <w:t xml:space="preserve"> </w:t>
      </w:r>
      <w:proofErr w:type="gramStart"/>
      <w:r w:rsidR="00911705">
        <w:t xml:space="preserve">a </w:t>
      </w:r>
      <w:r w:rsidR="00911705" w:rsidRPr="00A67C76">
        <w:t>positive value in the habitat change</w:t>
      </w:r>
      <w:proofErr w:type="gramEnd"/>
      <w:r w:rsidR="00911705" w:rsidRPr="00A67C76">
        <w:t xml:space="preserve"> signifies a loss.</w:t>
      </w:r>
      <w:bookmarkEnd w:id="192"/>
    </w:p>
    <w:p w:rsidR="00C159C5" w:rsidRPr="00A67C76" w:rsidRDefault="00C159C5" w:rsidP="00C159C5">
      <w:pPr>
        <w:spacing w:before="0" w:after="200" w:line="276" w:lineRule="auto"/>
        <w:rPr>
          <w:rFonts w:asciiTheme="minorHAnsi" w:eastAsiaTheme="minorHAnsi" w:hAnsiTheme="minorHAnsi" w:cstheme="minorBidi"/>
          <w:color w:val="auto"/>
          <w:kern w:val="0"/>
          <w:szCs w:val="22"/>
        </w:rPr>
      </w:pPr>
      <w:r w:rsidRPr="00A67C76">
        <w:rPr>
          <w:rFonts w:asciiTheme="minorHAnsi" w:eastAsiaTheme="minorHAnsi" w:hAnsiTheme="minorHAnsi" w:cstheme="minorBidi"/>
          <w:color w:val="auto"/>
          <w:kern w:val="0"/>
          <w:szCs w:val="22"/>
        </w:rPr>
        <w:br w:type="page"/>
      </w:r>
    </w:p>
    <w:p w:rsidR="00C159C5" w:rsidRPr="00A67C76" w:rsidRDefault="00911705" w:rsidP="00C159C5">
      <w:pPr>
        <w:spacing w:before="0" w:after="60" w:line="240" w:lineRule="auto"/>
        <w:rPr>
          <w:rFonts w:asciiTheme="minorHAnsi" w:eastAsiaTheme="minorHAnsi" w:hAnsiTheme="minorHAnsi" w:cstheme="minorBidi"/>
          <w:color w:val="auto"/>
          <w:kern w:val="0"/>
          <w:szCs w:val="22"/>
        </w:rPr>
      </w:pPr>
      <w:r>
        <w:rPr>
          <w:noProof/>
          <w:color w:val="auto"/>
          <w:kern w:val="0"/>
          <w:sz w:val="16"/>
          <w:szCs w:val="16"/>
          <w:lang w:eastAsia="en-AU"/>
        </w:rPr>
        <w:drawing>
          <wp:inline distT="0" distB="0" distL="0" distR="0">
            <wp:extent cx="5727700" cy="6412230"/>
            <wp:effectExtent l="0" t="0" r="6350" b="7620"/>
            <wp:docPr id="66" name="Picture 65" descr="Fig4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3.wmf"/>
                    <pic:cNvPicPr/>
                  </pic:nvPicPr>
                  <pic:blipFill>
                    <a:blip r:embed="rId94" cstate="email"/>
                    <a:stretch>
                      <a:fillRect/>
                    </a:stretch>
                  </pic:blipFill>
                  <pic:spPr>
                    <a:xfrm>
                      <a:off x="0" y="0"/>
                      <a:ext cx="5727700" cy="6412230"/>
                    </a:xfrm>
                    <a:prstGeom prst="rect">
                      <a:avLst/>
                    </a:prstGeom>
                  </pic:spPr>
                </pic:pic>
              </a:graphicData>
            </a:graphic>
          </wp:inline>
        </w:drawing>
      </w:r>
    </w:p>
    <w:p w:rsidR="006E1C7F" w:rsidRPr="00A67C76" w:rsidRDefault="00B9117E" w:rsidP="00B9117E">
      <w:pPr>
        <w:pStyle w:val="Caption"/>
      </w:pPr>
      <w:bookmarkStart w:id="193" w:name="_Ref403376390"/>
      <w:bookmarkStart w:id="194" w:name="_Toc387843094"/>
      <w:proofErr w:type="gramStart"/>
      <w:r>
        <w:t xml:space="preserve">Figure </w:t>
      </w:r>
      <w:proofErr w:type="gramEnd"/>
      <w:r w:rsidR="002E6077">
        <w:fldChar w:fldCharType="begin"/>
      </w:r>
      <w:r w:rsidR="009D1F5A">
        <w:instrText xml:space="preserve"> SEQ Figure \* ARABIC </w:instrText>
      </w:r>
      <w:r w:rsidR="002E6077">
        <w:fldChar w:fldCharType="separate"/>
      </w:r>
      <w:r w:rsidR="009659F2">
        <w:rPr>
          <w:noProof/>
        </w:rPr>
        <w:t>45</w:t>
      </w:r>
      <w:r w:rsidR="002E6077">
        <w:rPr>
          <w:noProof/>
        </w:rPr>
        <w:fldChar w:fldCharType="end"/>
      </w:r>
      <w:bookmarkEnd w:id="193"/>
      <w:proofErr w:type="gramStart"/>
      <w:r>
        <w:t>.</w:t>
      </w:r>
      <w:proofErr w:type="gramEnd"/>
      <w:r w:rsidR="00C159C5" w:rsidRPr="00A67C76">
        <w:t xml:space="preserve"> </w:t>
      </w:r>
      <w:bookmarkEnd w:id="194"/>
      <w:r w:rsidR="00911705" w:rsidRPr="00A67C76">
        <w:t xml:space="preserve">Differences in habitat reach with respect to the </w:t>
      </w:r>
      <w:r w:rsidR="00911705">
        <w:t>reference simulation (including CEW and TLM water)</w:t>
      </w:r>
      <w:r w:rsidR="00911705" w:rsidRPr="00A67C76">
        <w:t xml:space="preserve">. </w:t>
      </w:r>
      <w:r w:rsidR="00911705">
        <w:t xml:space="preserve">Upper graph shows the scenario result with CEW and without TLM water, while the lower graph shows the scenario results including neither CEW nor TLM water. </w:t>
      </w:r>
      <w:r w:rsidR="00911705" w:rsidRPr="00A67C76">
        <w:t>Vertical black lines delineate cold from warm periods</w:t>
      </w:r>
      <w:r w:rsidR="00911705">
        <w:t xml:space="preserve"> where different thresholds were used</w:t>
      </w:r>
      <w:r w:rsidR="00911705" w:rsidRPr="00A67C76">
        <w:t>.</w:t>
      </w:r>
      <w:r w:rsidR="00911705" w:rsidRPr="009C4912">
        <w:t xml:space="preserve"> </w:t>
      </w:r>
      <w:r w:rsidR="00911705">
        <w:t>Only three of the seven simulated species (mulloway, Tamar goby, and yelloweye mullet) showed changes in this specific year.</w:t>
      </w:r>
    </w:p>
    <w:p w:rsidR="006E1C7F" w:rsidRPr="00A67C76" w:rsidRDefault="006E1C7F" w:rsidP="006E1C7F">
      <w:pPr>
        <w:rPr>
          <w:rFonts w:eastAsiaTheme="majorEastAsia" w:cstheme="majorBidi"/>
          <w:color w:val="1F497D" w:themeColor="text2"/>
          <w:sz w:val="32"/>
          <w:szCs w:val="28"/>
        </w:rPr>
      </w:pPr>
      <w:r w:rsidRPr="00A67C76">
        <w:br w:type="page"/>
      </w:r>
    </w:p>
    <w:p w:rsidR="009C5F10" w:rsidRPr="00A67C76" w:rsidRDefault="009C5F10" w:rsidP="00F41737">
      <w:pPr>
        <w:pStyle w:val="Heading1"/>
      </w:pPr>
      <w:bookmarkStart w:id="195" w:name="_Toc387843597"/>
      <w:r w:rsidRPr="00A67C76">
        <w:t>Discussion and Evaluation</w:t>
      </w:r>
      <w:bookmarkEnd w:id="115"/>
      <w:bookmarkEnd w:id="195"/>
    </w:p>
    <w:p w:rsidR="009C5F10" w:rsidRPr="00A67C76" w:rsidRDefault="006E1C7F" w:rsidP="00F41737">
      <w:pPr>
        <w:pStyle w:val="Heading2"/>
      </w:pPr>
      <w:bookmarkStart w:id="196" w:name="_Toc387843598"/>
      <w:r w:rsidRPr="00A67C76">
        <w:t>Main channel</w:t>
      </w:r>
      <w:bookmarkEnd w:id="196"/>
    </w:p>
    <w:p w:rsidR="006E1C7F" w:rsidRPr="00A67C76" w:rsidRDefault="006E1C7F" w:rsidP="004812DB">
      <w:pPr>
        <w:rPr>
          <w:b/>
          <w:i/>
        </w:rPr>
      </w:pPr>
      <w:r w:rsidRPr="00617553">
        <w:rPr>
          <w:b/>
          <w:i/>
        </w:rPr>
        <w:t>Larval fish</w:t>
      </w:r>
    </w:p>
    <w:p w:rsidR="009C5F10" w:rsidRPr="00A67C76" w:rsidRDefault="009C5F10" w:rsidP="009C5F10">
      <w:pPr>
        <w:rPr>
          <w:rFonts w:cs="Arial"/>
          <w:szCs w:val="24"/>
        </w:rPr>
      </w:pPr>
      <w:r w:rsidRPr="00A67C76">
        <w:rPr>
          <w:rFonts w:cs="Arial"/>
          <w:szCs w:val="24"/>
        </w:rPr>
        <w:t>The evaluation question this study aimed to answer was whether the flow regime supported by CEW promoted spawning and recruitment of native fish in the Lower Murra</w:t>
      </w:r>
      <w:r w:rsidR="009F1F7A" w:rsidRPr="00A67C76">
        <w:rPr>
          <w:rFonts w:cs="Arial"/>
          <w:szCs w:val="24"/>
        </w:rPr>
        <w:t>y River</w:t>
      </w:r>
      <w:r w:rsidRPr="00A67C76">
        <w:rPr>
          <w:rFonts w:cs="Arial"/>
          <w:szCs w:val="24"/>
        </w:rPr>
        <w:t xml:space="preserve">. This question in part derives from the knowledge that some key large-bodied native species are flow-cued spawners, namely golden perch and silver perch, whilst recruitment success of other iconic species such as Murray cod improves when a lotic hydraulic environment is available. </w:t>
      </w:r>
    </w:p>
    <w:p w:rsidR="009C5F10" w:rsidRPr="00A67C76" w:rsidRDefault="009C5F10" w:rsidP="009C5F10">
      <w:pPr>
        <w:rPr>
          <w:rFonts w:cs="Arial"/>
          <w:szCs w:val="24"/>
        </w:rPr>
      </w:pPr>
      <w:r w:rsidRPr="00A67C76">
        <w:rPr>
          <w:rFonts w:cs="Arial"/>
          <w:szCs w:val="24"/>
        </w:rPr>
        <w:t xml:space="preserve">The larval fish assemblage in </w:t>
      </w:r>
      <w:r w:rsidR="00333041" w:rsidRPr="00A67C76">
        <w:rPr>
          <w:rFonts w:cs="Arial"/>
          <w:szCs w:val="24"/>
        </w:rPr>
        <w:t>2012</w:t>
      </w:r>
      <w:r w:rsidR="00FD328A" w:rsidRPr="00FD328A">
        <w:rPr>
          <w:rFonts w:cs="Arial"/>
          <w:szCs w:val="24"/>
        </w:rPr>
        <w:t>-13</w:t>
      </w:r>
      <w:r w:rsidRPr="00A67C76">
        <w:rPr>
          <w:rFonts w:cs="Arial"/>
          <w:szCs w:val="24"/>
        </w:rPr>
        <w:t xml:space="preserve"> was more closely related to those observed </w:t>
      </w:r>
      <w:r w:rsidR="00D410DD">
        <w:rPr>
          <w:rFonts w:cs="Arial"/>
          <w:szCs w:val="24"/>
        </w:rPr>
        <w:t>in</w:t>
      </w:r>
      <w:r w:rsidRPr="00A67C76">
        <w:rPr>
          <w:rFonts w:cs="Arial"/>
          <w:szCs w:val="24"/>
        </w:rPr>
        <w:t xml:space="preserve"> 2005 when there was a</w:t>
      </w:r>
      <w:r w:rsidR="00D410DD">
        <w:rPr>
          <w:rFonts w:cs="Arial"/>
          <w:szCs w:val="24"/>
        </w:rPr>
        <w:t xml:space="preserve"> very small within channel flow.</w:t>
      </w:r>
      <w:r w:rsidRPr="00A67C76">
        <w:rPr>
          <w:rFonts w:cs="Arial"/>
          <w:szCs w:val="24"/>
        </w:rPr>
        <w:t xml:space="preserve"> The larval fish assemblage in the L</w:t>
      </w:r>
      <w:r w:rsidR="009F1F7A" w:rsidRPr="00A67C76">
        <w:rPr>
          <w:rFonts w:cs="Arial"/>
          <w:szCs w:val="24"/>
        </w:rPr>
        <w:t xml:space="preserve">ower Murray River </w:t>
      </w:r>
      <w:r w:rsidRPr="00A67C76">
        <w:rPr>
          <w:rFonts w:cs="Arial"/>
          <w:szCs w:val="24"/>
        </w:rPr>
        <w:t xml:space="preserve">was comprised </w:t>
      </w:r>
      <w:r w:rsidR="00D410DD">
        <w:rPr>
          <w:rFonts w:cs="Arial"/>
          <w:szCs w:val="24"/>
        </w:rPr>
        <w:t>of</w:t>
      </w:r>
      <w:r w:rsidRPr="00A67C76">
        <w:rPr>
          <w:rFonts w:cs="Arial"/>
          <w:szCs w:val="24"/>
        </w:rPr>
        <w:t xml:space="preserve"> high abundances of small-bodied fish species such as carp gudgeon, flat-headed gudgeon and Australian smelt</w:t>
      </w:r>
      <w:r w:rsidR="004362B4" w:rsidRPr="00A67C76">
        <w:rPr>
          <w:rFonts w:cs="Arial"/>
          <w:szCs w:val="24"/>
        </w:rPr>
        <w:t>,</w:t>
      </w:r>
      <w:r w:rsidRPr="00A67C76">
        <w:rPr>
          <w:rFonts w:cs="Arial"/>
          <w:szCs w:val="24"/>
        </w:rPr>
        <w:t xml:space="preserve"> which tend to numerically dominate the assemblages along with the generalist bony herring</w:t>
      </w:r>
      <w:r w:rsidR="004362B4" w:rsidRPr="00A67C76">
        <w:rPr>
          <w:rFonts w:cs="Arial"/>
          <w:szCs w:val="24"/>
        </w:rPr>
        <w:t>,</w:t>
      </w:r>
      <w:r w:rsidRPr="00A67C76">
        <w:rPr>
          <w:rFonts w:cs="Arial"/>
          <w:szCs w:val="24"/>
        </w:rPr>
        <w:t xml:space="preserve"> which proved to be the most abundant species. These species are known to spawn annually and under a broad range of conditions. The larvae of small-bodied species were readily abundant throughout the whole of the L</w:t>
      </w:r>
      <w:r w:rsidR="009F1F7A" w:rsidRPr="00A67C76">
        <w:rPr>
          <w:rFonts w:cs="Arial"/>
          <w:szCs w:val="24"/>
        </w:rPr>
        <w:t>ower Murray River</w:t>
      </w:r>
      <w:r w:rsidRPr="00A67C76">
        <w:rPr>
          <w:rFonts w:cs="Arial"/>
          <w:szCs w:val="24"/>
        </w:rPr>
        <w:t xml:space="preserve"> during the millennium drought (2006-2010), during which larvae of large-bodied native species were relatively scarce or not detected at all (Cheshire 2010, Cheshire </w:t>
      </w:r>
      <w:r w:rsidRPr="00A67C76">
        <w:rPr>
          <w:rFonts w:cs="Arial"/>
          <w:i/>
          <w:szCs w:val="24"/>
        </w:rPr>
        <w:t>et al</w:t>
      </w:r>
      <w:r w:rsidRPr="00A67C76">
        <w:rPr>
          <w:rFonts w:cs="Arial"/>
          <w:szCs w:val="24"/>
        </w:rPr>
        <w:t xml:space="preserve">. 2012). In order to appropriately address the evaluation question proposed above the focus must be centred on large-bodied natives, in particular those that are most dependent on flow for reproduction (e.g. golden perch). </w:t>
      </w:r>
    </w:p>
    <w:p w:rsidR="009C5F10" w:rsidRPr="00A67C76" w:rsidRDefault="009C5F10" w:rsidP="009C5F10">
      <w:pPr>
        <w:rPr>
          <w:rFonts w:cs="Arial"/>
          <w:szCs w:val="24"/>
        </w:rPr>
      </w:pPr>
      <w:r w:rsidRPr="00A67C76">
        <w:rPr>
          <w:rFonts w:cs="Arial"/>
          <w:szCs w:val="24"/>
        </w:rPr>
        <w:t>Golden perch larvae were present from October 2012 to late January</w:t>
      </w:r>
      <w:r w:rsidR="00BD06F8" w:rsidRPr="00A67C76">
        <w:rPr>
          <w:rFonts w:cs="Arial"/>
          <w:szCs w:val="24"/>
        </w:rPr>
        <w:t xml:space="preserve"> 2013</w:t>
      </w:r>
      <w:r w:rsidRPr="00A67C76">
        <w:rPr>
          <w:rFonts w:cs="Arial"/>
          <w:szCs w:val="24"/>
        </w:rPr>
        <w:t xml:space="preserve"> following the pattern observed in the previous reproductive season (i.e. 2011-12). During the millennium drought golden perch larvae were virtually absent from the water column throughout the entire reproductive season (e.g. October to February). After the return of flows in September 2010, golden perch larvae were again detected but only from October to December 2010. During the next two reproductive season (i.e. 2011-12 and </w:t>
      </w:r>
      <w:r w:rsidR="00333041" w:rsidRPr="00A67C76">
        <w:rPr>
          <w:rFonts w:cs="Arial"/>
          <w:szCs w:val="24"/>
        </w:rPr>
        <w:t>2012</w:t>
      </w:r>
      <w:r w:rsidR="00FD328A" w:rsidRPr="00FD328A">
        <w:rPr>
          <w:rFonts w:cs="Arial"/>
          <w:szCs w:val="24"/>
        </w:rPr>
        <w:t>-13</w:t>
      </w:r>
      <w:r w:rsidRPr="00A67C76">
        <w:rPr>
          <w:rFonts w:cs="Arial"/>
          <w:szCs w:val="24"/>
        </w:rPr>
        <w:t xml:space="preserve">) winter flows were reasonably high and dropped in early spring (e.g. September), with environmental flow delivered later on in the summer </w:t>
      </w:r>
      <w:r w:rsidR="00E36B94" w:rsidRPr="00A67C76">
        <w:rPr>
          <w:rFonts w:cs="Arial"/>
          <w:szCs w:val="24"/>
        </w:rPr>
        <w:t xml:space="preserve">(during January/February 2011-12 and </w:t>
      </w:r>
      <w:r w:rsidRPr="00A67C76">
        <w:rPr>
          <w:rFonts w:cs="Arial"/>
          <w:szCs w:val="24"/>
        </w:rPr>
        <w:t>during December</w:t>
      </w:r>
      <w:r w:rsidR="00E36B94" w:rsidRPr="00A67C76">
        <w:rPr>
          <w:rFonts w:cs="Arial"/>
          <w:szCs w:val="24"/>
        </w:rPr>
        <w:t xml:space="preserve"> </w:t>
      </w:r>
      <w:r w:rsidR="00333041" w:rsidRPr="00A67C76">
        <w:rPr>
          <w:rFonts w:cs="Arial"/>
          <w:szCs w:val="24"/>
        </w:rPr>
        <w:t>2012</w:t>
      </w:r>
      <w:r w:rsidR="00FD328A" w:rsidRPr="00FD328A">
        <w:rPr>
          <w:rFonts w:cs="Arial"/>
          <w:szCs w:val="24"/>
        </w:rPr>
        <w:t>-13</w:t>
      </w:r>
      <w:r w:rsidR="00E36B94" w:rsidRPr="00A67C76">
        <w:rPr>
          <w:rFonts w:cs="Arial"/>
          <w:szCs w:val="24"/>
        </w:rPr>
        <w:t>)</w:t>
      </w:r>
      <w:r w:rsidRPr="00A67C76">
        <w:rPr>
          <w:rFonts w:cs="Arial"/>
          <w:szCs w:val="24"/>
        </w:rPr>
        <w:t>. In both these occasions, golden perch larvae were detected after the delivery of environmental water. Furthermore the majority of these larvae were very early stages</w:t>
      </w:r>
      <w:r w:rsidR="000B4054" w:rsidRPr="00A67C76">
        <w:rPr>
          <w:rFonts w:cs="Arial"/>
          <w:szCs w:val="24"/>
        </w:rPr>
        <w:t xml:space="preserve"> (i.e. </w:t>
      </w:r>
      <w:r w:rsidR="00462046" w:rsidRPr="00A67C76">
        <w:rPr>
          <w:rFonts w:cs="Arial"/>
          <w:szCs w:val="24"/>
        </w:rPr>
        <w:t>pre-flexion</w:t>
      </w:r>
      <w:r w:rsidR="000B4054" w:rsidRPr="00A67C76">
        <w:rPr>
          <w:rFonts w:cs="Arial"/>
          <w:szCs w:val="24"/>
        </w:rPr>
        <w:t>)</w:t>
      </w:r>
      <w:r w:rsidRPr="00A67C76">
        <w:rPr>
          <w:rFonts w:cs="Arial"/>
          <w:szCs w:val="24"/>
        </w:rPr>
        <w:t xml:space="preserve"> suggesting they had been recently spawned (e.g. less than a week). Although this evidence is not enough to establish a causal link between environmental water delivery and golden perch spawning, it is an association that has been repeated in two consecutive years and that merits further research. The delivery of water may be stimulating resident golden perch to spawn</w:t>
      </w:r>
      <w:r w:rsidR="001D2238" w:rsidRPr="00A67C76">
        <w:rPr>
          <w:rFonts w:cs="Arial"/>
          <w:szCs w:val="24"/>
        </w:rPr>
        <w:t xml:space="preserve"> and/or facilitating the drift of </w:t>
      </w:r>
      <w:r w:rsidRPr="00A67C76">
        <w:rPr>
          <w:rFonts w:cs="Arial"/>
          <w:szCs w:val="24"/>
        </w:rPr>
        <w:t>larvae that have been spawned further upstream</w:t>
      </w:r>
      <w:r w:rsidR="001D2238" w:rsidRPr="00A67C76">
        <w:rPr>
          <w:rFonts w:cs="Arial"/>
          <w:szCs w:val="24"/>
        </w:rPr>
        <w:t xml:space="preserve"> to the Lower Murray River</w:t>
      </w:r>
      <w:r w:rsidRPr="00A67C76">
        <w:rPr>
          <w:rFonts w:cs="Arial"/>
          <w:szCs w:val="24"/>
        </w:rPr>
        <w:t xml:space="preserve">. </w:t>
      </w:r>
      <w:r w:rsidRPr="00342816">
        <w:rPr>
          <w:rFonts w:cs="Arial"/>
          <w:szCs w:val="24"/>
        </w:rPr>
        <w:t>Future research may look into the spatio-temporal origin of larvae that are present after an environmental watering event in order to elucidate this question</w:t>
      </w:r>
      <w:r w:rsidR="00342816" w:rsidRPr="00342816">
        <w:rPr>
          <w:rFonts w:cs="Arial"/>
          <w:szCs w:val="24"/>
        </w:rPr>
        <w:t>.</w:t>
      </w:r>
      <w:r w:rsidRPr="00342816">
        <w:rPr>
          <w:rFonts w:cs="Arial"/>
          <w:szCs w:val="24"/>
        </w:rPr>
        <w:t xml:space="preserve"> </w:t>
      </w:r>
      <w:r w:rsidRPr="00A67C76">
        <w:rPr>
          <w:rFonts w:cs="Arial"/>
          <w:szCs w:val="24"/>
        </w:rPr>
        <w:t xml:space="preserve">What can be established is that in two consecutive years the weeks following environmental watering showed an increased abundance of golden perch larvae, particularly in the Gorge region. </w:t>
      </w:r>
    </w:p>
    <w:p w:rsidR="009C5F10" w:rsidRPr="00A67C76" w:rsidRDefault="009C5F10" w:rsidP="004812DB">
      <w:pPr>
        <w:rPr>
          <w:b/>
        </w:rPr>
      </w:pPr>
      <w:r w:rsidRPr="00A67C76">
        <w:rPr>
          <w:b/>
        </w:rPr>
        <w:t xml:space="preserve">Zooplankton assemblage </w:t>
      </w:r>
    </w:p>
    <w:p w:rsidR="009C5F10" w:rsidRPr="00A67C76" w:rsidRDefault="009C5F10" w:rsidP="009C5F10">
      <w:pPr>
        <w:rPr>
          <w:rFonts w:cs="Arial"/>
          <w:szCs w:val="24"/>
        </w:rPr>
      </w:pPr>
      <w:r w:rsidRPr="00A67C76">
        <w:rPr>
          <w:rFonts w:cs="Arial"/>
          <w:szCs w:val="24"/>
        </w:rPr>
        <w:t xml:space="preserve">The zooplankton assemblage is a key part of the riverine food web and as such, changes in its structure will have cascading effects on the higher and lower trophic levels of the web.  In this part of the study the aim was to detect changes in zooplankton assemblages potentially related to environmental water deliveries and see if those changes could be related to larval fish diet and fatty acid composition of the assemblage. </w:t>
      </w:r>
    </w:p>
    <w:p w:rsidR="009C5F10" w:rsidRPr="00A67C76" w:rsidRDefault="009C5F10" w:rsidP="009C5F10">
      <w:pPr>
        <w:rPr>
          <w:rFonts w:cs="Arial"/>
          <w:szCs w:val="24"/>
        </w:rPr>
      </w:pPr>
      <w:r w:rsidRPr="00A67C76">
        <w:rPr>
          <w:rFonts w:cs="Arial"/>
          <w:szCs w:val="24"/>
        </w:rPr>
        <w:t xml:space="preserve">The zooplankton assemblages showed significant spatio-temporal changes. Assemblages from each geomorphic region were distinct throughout the study suggesting that the processes that drive </w:t>
      </w:r>
      <w:r w:rsidR="000B4054" w:rsidRPr="00A67C76">
        <w:rPr>
          <w:rFonts w:cs="Arial"/>
          <w:szCs w:val="24"/>
        </w:rPr>
        <w:t xml:space="preserve">the assemblage composition in </w:t>
      </w:r>
      <w:r w:rsidRPr="00A67C76">
        <w:rPr>
          <w:rFonts w:cs="Arial"/>
          <w:szCs w:val="24"/>
        </w:rPr>
        <w:t>each region are independent. However there were certain similarities in some responses, the highest total abundance was reached in early January (i.e. trip 7) at all sites. This coincides with water temperature reaching summer peaks</w:t>
      </w:r>
      <w:r w:rsidR="00362805">
        <w:rPr>
          <w:rFonts w:cs="Arial"/>
          <w:szCs w:val="24"/>
        </w:rPr>
        <w:t>,</w:t>
      </w:r>
      <w:r w:rsidRPr="00A67C76">
        <w:rPr>
          <w:rFonts w:cs="Arial"/>
          <w:szCs w:val="24"/>
        </w:rPr>
        <w:t xml:space="preserve"> as well as with the tail of the delivery of environmental water. Many of the species that were a trait of the assemblages observed during the delivery of environmental water were warm water species characteristic of the Darling system further north, suggesting that part of the water that was used for environmental purposes may have been originally sourced in that area highlighting the importance of longitudinal connectivity. There was also a significant change in fatty acid abundance within the zooplankton community which occurred during the delivery of environmental water between trips 5 and 6. Higher relative abund</w:t>
      </w:r>
      <w:r w:rsidR="00362805">
        <w:rPr>
          <w:rFonts w:cs="Arial"/>
          <w:szCs w:val="24"/>
        </w:rPr>
        <w:t>ances of l</w:t>
      </w:r>
      <w:r w:rsidRPr="00A67C76">
        <w:rPr>
          <w:rFonts w:cs="Arial"/>
          <w:szCs w:val="24"/>
        </w:rPr>
        <w:t xml:space="preserve">inoleic and </w:t>
      </w:r>
      <w:r w:rsidRPr="00A67C76">
        <w:rPr>
          <w:rFonts w:ascii="Arial" w:hAnsi="Arial" w:cs="Arial"/>
          <w:szCs w:val="24"/>
        </w:rPr>
        <w:t>α</w:t>
      </w:r>
      <w:r w:rsidRPr="00A67C76">
        <w:rPr>
          <w:rFonts w:cs="Arial"/>
          <w:szCs w:val="24"/>
        </w:rPr>
        <w:t>-linoleic acid were evident in the later trips, something that would potentially be beneficial for early life stages of freshwater fish</w:t>
      </w:r>
      <w:r w:rsidR="00293C03" w:rsidRPr="00A67C76">
        <w:rPr>
          <w:rFonts w:cs="Arial"/>
          <w:szCs w:val="24"/>
        </w:rPr>
        <w:t xml:space="preserve"> (Tocher 2010)</w:t>
      </w:r>
      <w:r w:rsidRPr="00A67C76">
        <w:rPr>
          <w:rFonts w:cs="Arial"/>
          <w:szCs w:val="24"/>
        </w:rPr>
        <w:t xml:space="preserve">. </w:t>
      </w:r>
    </w:p>
    <w:p w:rsidR="00AC583A" w:rsidRPr="00A67C76" w:rsidRDefault="009C5F10" w:rsidP="00AC583A">
      <w:pPr>
        <w:rPr>
          <w:rFonts w:cs="Arial"/>
          <w:i/>
          <w:szCs w:val="24"/>
        </w:rPr>
      </w:pPr>
      <w:r w:rsidRPr="00A67C76">
        <w:rPr>
          <w:rFonts w:cs="Arial"/>
          <w:szCs w:val="24"/>
        </w:rPr>
        <w:t>The gut content analysis</w:t>
      </w:r>
      <w:r w:rsidR="00293C03" w:rsidRPr="00A67C76">
        <w:rPr>
          <w:rFonts w:cs="Arial"/>
          <w:szCs w:val="24"/>
        </w:rPr>
        <w:t xml:space="preserve"> through direct observation</w:t>
      </w:r>
      <w:r w:rsidRPr="00A67C76">
        <w:rPr>
          <w:rFonts w:cs="Arial"/>
          <w:szCs w:val="24"/>
        </w:rPr>
        <w:t xml:space="preserve"> revealed that both golden perch and Murray cod were not consuming the most abundant zooplankton</w:t>
      </w:r>
      <w:r w:rsidR="00E52124" w:rsidRPr="00A67C76">
        <w:rPr>
          <w:rFonts w:cs="Arial"/>
          <w:szCs w:val="24"/>
        </w:rPr>
        <w:t>;</w:t>
      </w:r>
      <w:r w:rsidRPr="00A67C76">
        <w:rPr>
          <w:rFonts w:cs="Arial"/>
          <w:szCs w:val="24"/>
        </w:rPr>
        <w:t xml:space="preserve"> on the contrary they were consistently consuming scarce species. The prey items were however amongst the largest in the assemblage suggesting that golden perch and Murray cod larvae may have a maximum efficiency strategy where they consume prey that provide highest energy with the least effort</w:t>
      </w:r>
      <w:r w:rsidR="00C957FC">
        <w:rPr>
          <w:rFonts w:cs="Arial"/>
          <w:szCs w:val="24"/>
        </w:rPr>
        <w:t xml:space="preserve"> or some other type of selectivity (Tonkin </w:t>
      </w:r>
      <w:r w:rsidR="00C957FC" w:rsidRPr="00C957FC">
        <w:rPr>
          <w:rFonts w:cs="Arial"/>
          <w:i/>
          <w:szCs w:val="24"/>
        </w:rPr>
        <w:t>et al</w:t>
      </w:r>
      <w:r w:rsidR="00C957FC">
        <w:rPr>
          <w:rFonts w:cs="Arial"/>
          <w:szCs w:val="24"/>
        </w:rPr>
        <w:t>. 2006)</w:t>
      </w:r>
      <w:r w:rsidRPr="00A67C76">
        <w:rPr>
          <w:rFonts w:cs="Arial"/>
          <w:szCs w:val="24"/>
        </w:rPr>
        <w:t>. These insights into native larval fish diets in the L</w:t>
      </w:r>
      <w:r w:rsidR="00E52124" w:rsidRPr="00A67C76">
        <w:rPr>
          <w:rFonts w:cs="Arial"/>
          <w:szCs w:val="24"/>
        </w:rPr>
        <w:t xml:space="preserve">ower </w:t>
      </w:r>
      <w:r w:rsidRPr="00A67C76">
        <w:rPr>
          <w:rFonts w:cs="Arial"/>
          <w:szCs w:val="24"/>
        </w:rPr>
        <w:t>M</w:t>
      </w:r>
      <w:r w:rsidR="00E52124" w:rsidRPr="00A67C76">
        <w:rPr>
          <w:rFonts w:cs="Arial"/>
          <w:szCs w:val="24"/>
        </w:rPr>
        <w:t xml:space="preserve">urray </w:t>
      </w:r>
      <w:r w:rsidRPr="00A67C76">
        <w:rPr>
          <w:rFonts w:cs="Arial"/>
          <w:szCs w:val="24"/>
        </w:rPr>
        <w:t>R</w:t>
      </w:r>
      <w:r w:rsidR="00E52124" w:rsidRPr="00A67C76">
        <w:rPr>
          <w:rFonts w:cs="Arial"/>
          <w:szCs w:val="24"/>
        </w:rPr>
        <w:t>iver</w:t>
      </w:r>
      <w:r w:rsidRPr="00A67C76">
        <w:rPr>
          <w:rFonts w:cs="Arial"/>
          <w:szCs w:val="24"/>
        </w:rPr>
        <w:t xml:space="preserve"> </w:t>
      </w:r>
      <w:r w:rsidR="00AC583A" w:rsidRPr="00A67C76">
        <w:rPr>
          <w:rFonts w:cs="Arial"/>
          <w:szCs w:val="24"/>
        </w:rPr>
        <w:t>provide</w:t>
      </w:r>
      <w:r w:rsidRPr="00A67C76">
        <w:rPr>
          <w:rFonts w:cs="Arial"/>
          <w:szCs w:val="24"/>
        </w:rPr>
        <w:t xml:space="preserve"> information that is absent in the current literature</w:t>
      </w:r>
      <w:r w:rsidR="00AC583A" w:rsidRPr="00A67C76">
        <w:rPr>
          <w:rFonts w:cs="Arial"/>
          <w:szCs w:val="24"/>
        </w:rPr>
        <w:t>.</w:t>
      </w:r>
      <w:r w:rsidRPr="00A67C76">
        <w:rPr>
          <w:rFonts w:cs="Arial"/>
          <w:szCs w:val="24"/>
        </w:rPr>
        <w:t xml:space="preserve"> </w:t>
      </w:r>
      <w:r w:rsidR="00AC583A" w:rsidRPr="00A67C76">
        <w:rPr>
          <w:rFonts w:cs="Arial"/>
          <w:szCs w:val="24"/>
        </w:rPr>
        <w:t>This line of research</w:t>
      </w:r>
      <w:r w:rsidRPr="00A67C76">
        <w:rPr>
          <w:rFonts w:cs="Arial"/>
          <w:szCs w:val="24"/>
        </w:rPr>
        <w:t xml:space="preserve"> should be continued to gain better understanding of the processes involved in the early life stages of golden perch that may well determine recruitment success.</w:t>
      </w:r>
      <w:r w:rsidRPr="00A67C76">
        <w:rPr>
          <w:rFonts w:cs="Arial"/>
          <w:i/>
          <w:szCs w:val="24"/>
        </w:rPr>
        <w:t xml:space="preserve"> </w:t>
      </w:r>
    </w:p>
    <w:p w:rsidR="009C5F10" w:rsidRPr="00A67C76" w:rsidRDefault="009C5F10" w:rsidP="004812DB">
      <w:pPr>
        <w:rPr>
          <w:b/>
          <w:i/>
        </w:rPr>
      </w:pPr>
      <w:r w:rsidRPr="00A67C76">
        <w:rPr>
          <w:b/>
          <w:i/>
        </w:rPr>
        <w:t xml:space="preserve">Food resources for larval fish </w:t>
      </w:r>
    </w:p>
    <w:p w:rsidR="009C5F10" w:rsidRPr="00A67C76" w:rsidRDefault="009C5F10" w:rsidP="009C5F10">
      <w:pPr>
        <w:rPr>
          <w:bCs/>
        </w:rPr>
      </w:pPr>
      <w:r w:rsidRPr="00A67C76">
        <w:rPr>
          <w:bCs/>
        </w:rPr>
        <w:t xml:space="preserve">The key evaluation question for this study was whether supplying environmental water contributed to the provision of adequate larval fish food resources in the </w:t>
      </w:r>
      <w:r w:rsidR="00EE6B16" w:rsidRPr="00A67C76">
        <w:rPr>
          <w:bCs/>
        </w:rPr>
        <w:t>Lower Murray</w:t>
      </w:r>
      <w:r w:rsidRPr="00A67C76">
        <w:rPr>
          <w:bCs/>
        </w:rPr>
        <w:t xml:space="preserve"> </w:t>
      </w:r>
      <w:r w:rsidR="00E52124" w:rsidRPr="00A67C76">
        <w:rPr>
          <w:bCs/>
        </w:rPr>
        <w:t xml:space="preserve">River. </w:t>
      </w:r>
      <w:r w:rsidRPr="00A67C76">
        <w:rPr>
          <w:bCs/>
        </w:rPr>
        <w:t xml:space="preserve">This was based on the hypothesis that increases in the level and duration of flows, even small changes that improved connections between the river </w:t>
      </w:r>
      <w:proofErr w:type="gramStart"/>
      <w:r w:rsidRPr="00A67C76">
        <w:rPr>
          <w:bCs/>
        </w:rPr>
        <w:t>channel</w:t>
      </w:r>
      <w:proofErr w:type="gramEnd"/>
      <w:r w:rsidRPr="00A67C76">
        <w:rPr>
          <w:bCs/>
        </w:rPr>
        <w:t xml:space="preserve"> and riparian, wetland or floodplain areas, would enhance the food supply for larval fish leading to greater survival, growths rates and recruitment. </w:t>
      </w:r>
    </w:p>
    <w:p w:rsidR="009C5F10" w:rsidRPr="00A67C76" w:rsidRDefault="009C5F10" w:rsidP="009C5F10">
      <w:pPr>
        <w:rPr>
          <w:bCs/>
        </w:rPr>
      </w:pPr>
      <w:r w:rsidRPr="00A67C76">
        <w:rPr>
          <w:bCs/>
        </w:rPr>
        <w:t>Molecular and traditional techniques were used to enumerate and describe the phytoplankton and zooplankton communities. Molecular techniques provided information on a larger array of eukaroytic micro-organisms in addition to phytoplankton and zooplankton, including protists, ciliates, and fungi. There was overlap between genera identified from the molecular and visual datasets of algae and zooplankton, but occasionally the molecular data</w:t>
      </w:r>
      <w:r w:rsidR="00D903D6" w:rsidRPr="00A67C76">
        <w:rPr>
          <w:bCs/>
        </w:rPr>
        <w:t xml:space="preserve"> </w:t>
      </w:r>
      <w:r w:rsidRPr="00A67C76">
        <w:rPr>
          <w:bCs/>
        </w:rPr>
        <w:t xml:space="preserve">set identified </w:t>
      </w:r>
      <w:r w:rsidR="00D903D6" w:rsidRPr="00A67C76">
        <w:rPr>
          <w:bCs/>
        </w:rPr>
        <w:t xml:space="preserve">additional </w:t>
      </w:r>
      <w:r w:rsidRPr="00A67C76">
        <w:rPr>
          <w:bCs/>
        </w:rPr>
        <w:t xml:space="preserve">genera. For the algae these included </w:t>
      </w:r>
      <w:r w:rsidRPr="00A67C76">
        <w:rPr>
          <w:bCs/>
          <w:i/>
        </w:rPr>
        <w:t xml:space="preserve">Tetracystis, Planctonema, Polytoma, Golenkinia, Choricystis, Botryococcus, Parachlorella, Fistulifera, Synedra, Asterionella, Thalassiosira, Peridiniopsis, Mesostigma </w:t>
      </w:r>
      <w:r w:rsidRPr="00A67C76">
        <w:rPr>
          <w:bCs/>
        </w:rPr>
        <w:t xml:space="preserve">and </w:t>
      </w:r>
      <w:r w:rsidRPr="00A67C76">
        <w:rPr>
          <w:bCs/>
          <w:i/>
        </w:rPr>
        <w:t xml:space="preserve">Actinocyclus. </w:t>
      </w:r>
      <w:r w:rsidRPr="00A67C76">
        <w:rPr>
          <w:bCs/>
        </w:rPr>
        <w:t xml:space="preserve">For the zooplankton these included </w:t>
      </w:r>
      <w:r w:rsidRPr="00A67C76">
        <w:rPr>
          <w:bCs/>
          <w:i/>
        </w:rPr>
        <w:t xml:space="preserve">Proales, Cyclidium </w:t>
      </w:r>
      <w:r w:rsidRPr="00A67C76">
        <w:rPr>
          <w:bCs/>
        </w:rPr>
        <w:t>(ciliate) and</w:t>
      </w:r>
      <w:r w:rsidRPr="00A67C76">
        <w:rPr>
          <w:bCs/>
          <w:i/>
        </w:rPr>
        <w:t xml:space="preserve"> Dileptus </w:t>
      </w:r>
      <w:r w:rsidRPr="00A67C76">
        <w:rPr>
          <w:bCs/>
        </w:rPr>
        <w:t>(ciliate)</w:t>
      </w:r>
      <w:r w:rsidRPr="00A67C76">
        <w:rPr>
          <w:bCs/>
          <w:i/>
        </w:rPr>
        <w:t>.</w:t>
      </w:r>
      <w:r w:rsidRPr="00A67C76">
        <w:rPr>
          <w:bCs/>
        </w:rPr>
        <w:t xml:space="preserve"> These differences probably represent organisms that are in low numbers or difficult to see. Combining the molecular and traditional approaches provided the most useful information on community changes. </w:t>
      </w:r>
    </w:p>
    <w:p w:rsidR="009C5F10" w:rsidRPr="00A67C76" w:rsidRDefault="009C5F10" w:rsidP="009C5F10">
      <w:pPr>
        <w:rPr>
          <w:bCs/>
        </w:rPr>
      </w:pPr>
      <w:r w:rsidRPr="00A67C76">
        <w:rPr>
          <w:bCs/>
        </w:rPr>
        <w:t xml:space="preserve">All data sets demonstrated sequential shifts in community composition over the sampling time series including a change in community composition in trips 5 </w:t>
      </w:r>
      <w:r w:rsidR="00362805">
        <w:rPr>
          <w:bCs/>
        </w:rPr>
        <w:t>and</w:t>
      </w:r>
      <w:r w:rsidRPr="00A67C76">
        <w:rPr>
          <w:bCs/>
        </w:rPr>
        <w:t xml:space="preserve"> 6 potentially as a result of the environmental water</w:t>
      </w:r>
      <w:r w:rsidR="00D25697" w:rsidRPr="00A67C76">
        <w:rPr>
          <w:bCs/>
        </w:rPr>
        <w:t>ing</w:t>
      </w:r>
      <w:r w:rsidRPr="00A67C76">
        <w:rPr>
          <w:bCs/>
        </w:rPr>
        <w:t xml:space="preserve">. Some species occurred before the environmental water arrived, some after it had arrived, while others appeared to be associated with the environmental water itself. </w:t>
      </w:r>
    </w:p>
    <w:p w:rsidR="009C5F10" w:rsidRPr="00A67C76" w:rsidRDefault="001D5640" w:rsidP="009C5F10">
      <w:pPr>
        <w:rPr>
          <w:bCs/>
        </w:rPr>
      </w:pPr>
      <w:r>
        <w:rPr>
          <w:bCs/>
        </w:rPr>
        <w:t>Genetic a</w:t>
      </w:r>
      <w:r w:rsidR="009C5F10" w:rsidRPr="00A67C76">
        <w:rPr>
          <w:bCs/>
        </w:rPr>
        <w:t xml:space="preserve">nalyses of the gut contents of the larval fish demonstrated that </w:t>
      </w:r>
      <w:r w:rsidR="00D903D6" w:rsidRPr="00A67C76">
        <w:rPr>
          <w:bCs/>
        </w:rPr>
        <w:t xml:space="preserve">only a small proportion of the microeukaryotes present in the water column were found in their gut contents. Of these </w:t>
      </w:r>
      <w:r w:rsidR="009C5F10" w:rsidRPr="00A67C76">
        <w:rPr>
          <w:bCs/>
        </w:rPr>
        <w:t>there were a number of common items</w:t>
      </w:r>
      <w:r w:rsidR="00D903D6" w:rsidRPr="00A67C76">
        <w:rPr>
          <w:bCs/>
        </w:rPr>
        <w:t xml:space="preserve"> across species</w:t>
      </w:r>
      <w:r w:rsidR="004362B4" w:rsidRPr="00A67C76">
        <w:rPr>
          <w:bCs/>
        </w:rPr>
        <w:t>,</w:t>
      </w:r>
      <w:r w:rsidR="009C5F10" w:rsidRPr="00A67C76">
        <w:rPr>
          <w:bCs/>
        </w:rPr>
        <w:t xml:space="preserve"> but also additionally each fish species </w:t>
      </w:r>
      <w:r w:rsidR="00D903D6" w:rsidRPr="00A67C76">
        <w:rPr>
          <w:bCs/>
        </w:rPr>
        <w:t>contained</w:t>
      </w:r>
      <w:r w:rsidR="009C5F10" w:rsidRPr="00A67C76">
        <w:rPr>
          <w:bCs/>
        </w:rPr>
        <w:t xml:space="preserve"> </w:t>
      </w:r>
      <w:r w:rsidR="00D903D6" w:rsidRPr="00A67C76">
        <w:rPr>
          <w:bCs/>
        </w:rPr>
        <w:t xml:space="preserve">distinct </w:t>
      </w:r>
      <w:r w:rsidR="009C5F10" w:rsidRPr="00A67C76">
        <w:rPr>
          <w:bCs/>
        </w:rPr>
        <w:t xml:space="preserve">food </w:t>
      </w:r>
      <w:r w:rsidR="00D903D6" w:rsidRPr="00A67C76">
        <w:rPr>
          <w:bCs/>
        </w:rPr>
        <w:t>items</w:t>
      </w:r>
      <w:r w:rsidR="009C5F10" w:rsidRPr="00A67C76">
        <w:rPr>
          <w:bCs/>
        </w:rPr>
        <w:t xml:space="preserve">. As a result, the </w:t>
      </w:r>
      <w:r w:rsidR="00293C03" w:rsidRPr="00A67C76">
        <w:rPr>
          <w:bCs/>
        </w:rPr>
        <w:t xml:space="preserve">gut contents </w:t>
      </w:r>
      <w:r w:rsidR="009C5F10" w:rsidRPr="00A67C76">
        <w:rPr>
          <w:bCs/>
        </w:rPr>
        <w:t xml:space="preserve">of the </w:t>
      </w:r>
      <w:r w:rsidR="00293C03" w:rsidRPr="00A67C76">
        <w:rPr>
          <w:bCs/>
        </w:rPr>
        <w:t xml:space="preserve">different species of </w:t>
      </w:r>
      <w:r w:rsidR="009C5F10" w:rsidRPr="00A67C76">
        <w:rPr>
          <w:bCs/>
        </w:rPr>
        <w:t xml:space="preserve">larval fish were significantly different from each other, and in the case of </w:t>
      </w:r>
      <w:r w:rsidR="004D70BA" w:rsidRPr="004D70BA">
        <w:rPr>
          <w:bCs/>
        </w:rPr>
        <w:t>golden perch</w:t>
      </w:r>
      <w:r w:rsidR="009C5F10" w:rsidRPr="00A67C76">
        <w:rPr>
          <w:bCs/>
        </w:rPr>
        <w:t xml:space="preserve"> the pre-flexion and flexion stages had significantly different </w:t>
      </w:r>
      <w:r w:rsidR="00293C03" w:rsidRPr="00A67C76">
        <w:rPr>
          <w:bCs/>
        </w:rPr>
        <w:t>gut contents</w:t>
      </w:r>
      <w:r w:rsidR="009C5F10" w:rsidRPr="00A67C76">
        <w:rPr>
          <w:bCs/>
        </w:rPr>
        <w:t xml:space="preserve">. Such detailed analyses of larval fish </w:t>
      </w:r>
      <w:r w:rsidR="00293C03" w:rsidRPr="00A67C76">
        <w:rPr>
          <w:bCs/>
        </w:rPr>
        <w:t xml:space="preserve">gut content have </w:t>
      </w:r>
      <w:r w:rsidR="009C5F10" w:rsidRPr="00A67C76">
        <w:rPr>
          <w:bCs/>
        </w:rPr>
        <w:t xml:space="preserve">not been possible before and the findings </w:t>
      </w:r>
      <w:r w:rsidR="00E64686" w:rsidRPr="00A67C76">
        <w:rPr>
          <w:bCs/>
        </w:rPr>
        <w:t xml:space="preserve">suggest some selectivity </w:t>
      </w:r>
      <w:r w:rsidR="009C5F10" w:rsidRPr="00A67C76">
        <w:rPr>
          <w:bCs/>
        </w:rPr>
        <w:t xml:space="preserve">of </w:t>
      </w:r>
      <w:r w:rsidR="00E64686" w:rsidRPr="00A67C76">
        <w:rPr>
          <w:bCs/>
        </w:rPr>
        <w:t xml:space="preserve">food </w:t>
      </w:r>
      <w:r w:rsidR="009C5F10" w:rsidRPr="00A67C76">
        <w:rPr>
          <w:bCs/>
        </w:rPr>
        <w:t xml:space="preserve">items </w:t>
      </w:r>
      <w:r w:rsidR="00E64686" w:rsidRPr="00A67C76">
        <w:rPr>
          <w:bCs/>
        </w:rPr>
        <w:t>by the</w:t>
      </w:r>
      <w:r w:rsidR="009C5F10" w:rsidRPr="00A67C76">
        <w:rPr>
          <w:bCs/>
        </w:rPr>
        <w:t xml:space="preserve"> different larval fish species.</w:t>
      </w:r>
    </w:p>
    <w:p w:rsidR="009C5F10" w:rsidRPr="00A67C76" w:rsidRDefault="00A31093" w:rsidP="009C5F10">
      <w:pPr>
        <w:rPr>
          <w:bCs/>
        </w:rPr>
      </w:pPr>
      <w:r>
        <w:rPr>
          <w:bCs/>
        </w:rPr>
        <w:t>Some t</w:t>
      </w:r>
      <w:r w:rsidR="00DF6287" w:rsidRPr="00A67C76">
        <w:rPr>
          <w:bCs/>
        </w:rPr>
        <w:t>axa</w:t>
      </w:r>
      <w:r w:rsidR="009C5F10" w:rsidRPr="00A67C76">
        <w:rPr>
          <w:bCs/>
        </w:rPr>
        <w:t xml:space="preserve"> common</w:t>
      </w:r>
      <w:r>
        <w:rPr>
          <w:bCs/>
        </w:rPr>
        <w:t>ly found</w:t>
      </w:r>
      <w:r w:rsidR="009C5F10" w:rsidRPr="00A67C76">
        <w:rPr>
          <w:bCs/>
        </w:rPr>
        <w:t xml:space="preserve"> in the gut of larval fish </w:t>
      </w:r>
      <w:r>
        <w:rPr>
          <w:bCs/>
        </w:rPr>
        <w:t>were consistently present in all</w:t>
      </w:r>
      <w:r w:rsidR="009C5F10" w:rsidRPr="00A67C76">
        <w:rPr>
          <w:bCs/>
        </w:rPr>
        <w:t xml:space="preserve"> trips. However, there were particular taxa that were correlated with the environmental water and found in the gut of larval fish. This </w:t>
      </w:r>
      <w:r w:rsidR="00E64686" w:rsidRPr="00A67C76">
        <w:rPr>
          <w:bCs/>
        </w:rPr>
        <w:t xml:space="preserve">indicates </w:t>
      </w:r>
      <w:r w:rsidR="009C5F10" w:rsidRPr="00A67C76">
        <w:rPr>
          <w:bCs/>
        </w:rPr>
        <w:t>that</w:t>
      </w:r>
      <w:r w:rsidR="00E64686" w:rsidRPr="00A67C76">
        <w:rPr>
          <w:bCs/>
        </w:rPr>
        <w:t xml:space="preserve"> some but not all of the microorganisms associated </w:t>
      </w:r>
      <w:r w:rsidR="009C5F10" w:rsidRPr="00A67C76">
        <w:rPr>
          <w:bCs/>
        </w:rPr>
        <w:t>directly with the environmental water</w:t>
      </w:r>
      <w:r w:rsidR="00987A31" w:rsidRPr="00A67C76">
        <w:rPr>
          <w:bCs/>
        </w:rPr>
        <w:t>ing</w:t>
      </w:r>
      <w:r w:rsidR="009C5F10" w:rsidRPr="00A67C76">
        <w:rPr>
          <w:bCs/>
        </w:rPr>
        <w:t xml:space="preserve"> </w:t>
      </w:r>
      <w:r w:rsidR="0049549E" w:rsidRPr="00A67C76">
        <w:rPr>
          <w:bCs/>
        </w:rPr>
        <w:t xml:space="preserve">were </w:t>
      </w:r>
      <w:r w:rsidR="00917D36" w:rsidRPr="00A67C76">
        <w:rPr>
          <w:bCs/>
        </w:rPr>
        <w:t>ingested</w:t>
      </w:r>
      <w:r w:rsidR="00E64686" w:rsidRPr="00A67C76">
        <w:rPr>
          <w:bCs/>
        </w:rPr>
        <w:t xml:space="preserve"> </w:t>
      </w:r>
      <w:r w:rsidR="009C5F10" w:rsidRPr="00A67C76">
        <w:rPr>
          <w:bCs/>
        </w:rPr>
        <w:t>by larval fish. Two</w:t>
      </w:r>
      <w:r w:rsidR="00E64686" w:rsidRPr="00A67C76">
        <w:rPr>
          <w:bCs/>
        </w:rPr>
        <w:t xml:space="preserve"> planktonic microalgae</w:t>
      </w:r>
      <w:r w:rsidR="009C5F10" w:rsidRPr="00A67C76">
        <w:rPr>
          <w:bCs/>
        </w:rPr>
        <w:t xml:space="preserve"> diatom species that were correlated with the environmental water</w:t>
      </w:r>
      <w:r w:rsidR="00987A31" w:rsidRPr="00A67C76">
        <w:rPr>
          <w:bCs/>
        </w:rPr>
        <w:t>ing</w:t>
      </w:r>
      <w:r w:rsidR="009C5F10" w:rsidRPr="00A67C76">
        <w:rPr>
          <w:bCs/>
        </w:rPr>
        <w:t xml:space="preserve">, and did not occur at other sampling times, were not found in the gut of larval fish. </w:t>
      </w:r>
    </w:p>
    <w:p w:rsidR="009C5F10" w:rsidRPr="00A67C76" w:rsidRDefault="009C5F10" w:rsidP="009C5F10">
      <w:pPr>
        <w:rPr>
          <w:bCs/>
        </w:rPr>
      </w:pPr>
      <w:r w:rsidRPr="00A67C76">
        <w:rPr>
          <w:bCs/>
        </w:rPr>
        <w:t xml:space="preserve">Taxa that were correlated with the sampling trips during and following the environmental flow and </w:t>
      </w:r>
      <w:r w:rsidR="00E64686" w:rsidRPr="00A67C76">
        <w:rPr>
          <w:bCs/>
        </w:rPr>
        <w:t xml:space="preserve">that </w:t>
      </w:r>
      <w:r w:rsidRPr="00A67C76">
        <w:rPr>
          <w:bCs/>
        </w:rPr>
        <w:t xml:space="preserve">occurred in the gut of larval fish included the rotifer </w:t>
      </w:r>
      <w:r w:rsidRPr="00A67C76">
        <w:rPr>
          <w:bCs/>
          <w:i/>
        </w:rPr>
        <w:t xml:space="preserve">Colotheca, </w:t>
      </w:r>
      <w:r w:rsidRPr="00A67C76">
        <w:rPr>
          <w:bCs/>
        </w:rPr>
        <w:t xml:space="preserve">green alga </w:t>
      </w:r>
      <w:r w:rsidRPr="00A67C76">
        <w:rPr>
          <w:bCs/>
          <w:i/>
        </w:rPr>
        <w:t xml:space="preserve">Choricystis, </w:t>
      </w:r>
      <w:r w:rsidRPr="00A67C76">
        <w:rPr>
          <w:bCs/>
        </w:rPr>
        <w:t xml:space="preserve">diatom </w:t>
      </w:r>
      <w:r w:rsidRPr="00A67C76">
        <w:rPr>
          <w:bCs/>
          <w:i/>
        </w:rPr>
        <w:t xml:space="preserve">Thalassiosira, </w:t>
      </w:r>
      <w:r w:rsidRPr="00A67C76">
        <w:rPr>
          <w:bCs/>
        </w:rPr>
        <w:t xml:space="preserve">and fungi </w:t>
      </w:r>
      <w:r w:rsidRPr="00A67C76">
        <w:rPr>
          <w:bCs/>
          <w:i/>
        </w:rPr>
        <w:t xml:space="preserve">Catenophylyctis </w:t>
      </w:r>
      <w:r w:rsidRPr="00A67C76">
        <w:rPr>
          <w:bCs/>
        </w:rPr>
        <w:t xml:space="preserve">and </w:t>
      </w:r>
      <w:r w:rsidRPr="00A67C76">
        <w:rPr>
          <w:bCs/>
          <w:i/>
        </w:rPr>
        <w:t>Malassizia.</w:t>
      </w:r>
      <w:r w:rsidRPr="00A67C76">
        <w:rPr>
          <w:bCs/>
        </w:rPr>
        <w:t xml:space="preserve"> These results suggest that the environmental water may have altered conditions to favour these species for a period following the environmental watering. </w:t>
      </w:r>
    </w:p>
    <w:p w:rsidR="009C5F10" w:rsidRPr="00A67C76" w:rsidRDefault="009C5F10" w:rsidP="009C5F10">
      <w:pPr>
        <w:rPr>
          <w:bCs/>
        </w:rPr>
      </w:pPr>
      <w:r w:rsidRPr="00A67C76">
        <w:rPr>
          <w:bCs/>
        </w:rPr>
        <w:t xml:space="preserve">These findings indicate that the larval fish are </w:t>
      </w:r>
      <w:r w:rsidR="00DF6287" w:rsidRPr="00A67C76">
        <w:rPr>
          <w:bCs/>
        </w:rPr>
        <w:t xml:space="preserve">dissimilar </w:t>
      </w:r>
      <w:r w:rsidRPr="00A67C76">
        <w:rPr>
          <w:bCs/>
        </w:rPr>
        <w:t xml:space="preserve">in their feeding habits, with different </w:t>
      </w:r>
      <w:r w:rsidR="00DF6287" w:rsidRPr="00A67C76">
        <w:rPr>
          <w:bCs/>
        </w:rPr>
        <w:t xml:space="preserve">species </w:t>
      </w:r>
      <w:r w:rsidR="001041D4" w:rsidRPr="00A67C76">
        <w:rPr>
          <w:bCs/>
        </w:rPr>
        <w:t xml:space="preserve">obtaining </w:t>
      </w:r>
      <w:r w:rsidRPr="00A67C76">
        <w:rPr>
          <w:bCs/>
        </w:rPr>
        <w:t>different food resources. In the case of the pre-flexion stage of</w:t>
      </w:r>
      <w:r w:rsidRPr="004D70BA">
        <w:rPr>
          <w:bCs/>
        </w:rPr>
        <w:t xml:space="preserve"> </w:t>
      </w:r>
      <w:r w:rsidR="004D70BA" w:rsidRPr="004D70BA">
        <w:rPr>
          <w:bCs/>
        </w:rPr>
        <w:t>golden perch</w:t>
      </w:r>
      <w:r w:rsidRPr="00A67C76">
        <w:rPr>
          <w:bCs/>
        </w:rPr>
        <w:t xml:space="preserve"> where there were sufficient samples to analyse for trip differences there was some evidence that the </w:t>
      </w:r>
      <w:r w:rsidR="001041D4" w:rsidRPr="00A67C76">
        <w:rPr>
          <w:bCs/>
        </w:rPr>
        <w:t xml:space="preserve">gut content </w:t>
      </w:r>
      <w:r w:rsidRPr="00A67C76">
        <w:rPr>
          <w:bCs/>
        </w:rPr>
        <w:t>had changed after the environmental flow</w:t>
      </w:r>
      <w:r w:rsidR="003853BE" w:rsidRPr="00A67C76">
        <w:rPr>
          <w:bCs/>
        </w:rPr>
        <w:t xml:space="preserve"> delivery</w:t>
      </w:r>
      <w:r w:rsidRPr="00A67C76">
        <w:rPr>
          <w:bCs/>
        </w:rPr>
        <w:t xml:space="preserve">. </w:t>
      </w:r>
    </w:p>
    <w:p w:rsidR="009C5F10" w:rsidRPr="00A67C76" w:rsidRDefault="009C5F10" w:rsidP="009C5F10">
      <w:pPr>
        <w:rPr>
          <w:bCs/>
        </w:rPr>
      </w:pPr>
      <w:r w:rsidRPr="00A67C76">
        <w:rPr>
          <w:bCs/>
        </w:rPr>
        <w:t xml:space="preserve">Whether the </w:t>
      </w:r>
      <w:r w:rsidR="001041D4" w:rsidRPr="00A67C76">
        <w:rPr>
          <w:bCs/>
        </w:rPr>
        <w:t xml:space="preserve">gut content composition </w:t>
      </w:r>
      <w:r w:rsidRPr="00A67C76">
        <w:rPr>
          <w:bCs/>
        </w:rPr>
        <w:t>identified for the various larvae are the most suitable</w:t>
      </w:r>
      <w:r w:rsidR="00A179BC" w:rsidRPr="00A67C76">
        <w:rPr>
          <w:bCs/>
        </w:rPr>
        <w:t xml:space="preserve"> diets</w:t>
      </w:r>
      <w:r w:rsidRPr="00A67C76">
        <w:rPr>
          <w:bCs/>
        </w:rPr>
        <w:t>, or are different from those seen on other occasions, cannot be assessed due to a lack of data from a range of different conditions. However, it is expected that supplying suitable food resources will be critical to the successful growth and development of larval fish. The results obtained from this study show that the techniques to undertake such investigations are available. The demonstration of successful recruitment of fish</w:t>
      </w:r>
      <w:r w:rsidR="001041D4" w:rsidRPr="00A67C76">
        <w:rPr>
          <w:bCs/>
        </w:rPr>
        <w:t xml:space="preserve"> associated with environmental flows</w:t>
      </w:r>
      <w:r w:rsidRPr="00A67C76">
        <w:rPr>
          <w:bCs/>
        </w:rPr>
        <w:t xml:space="preserve"> requires linking changes in the fish population with</w:t>
      </w:r>
      <w:r w:rsidR="00E64686" w:rsidRPr="00A67C76">
        <w:rPr>
          <w:bCs/>
        </w:rPr>
        <w:t xml:space="preserve"> relevant characteristics of</w:t>
      </w:r>
      <w:r w:rsidRPr="00A67C76">
        <w:rPr>
          <w:bCs/>
        </w:rPr>
        <w:t xml:space="preserve"> the environmental flow</w:t>
      </w:r>
      <w:r w:rsidR="00E64686" w:rsidRPr="00A67C76">
        <w:rPr>
          <w:bCs/>
        </w:rPr>
        <w:t>s</w:t>
      </w:r>
      <w:r w:rsidRPr="00A67C76">
        <w:rPr>
          <w:bCs/>
        </w:rPr>
        <w:t xml:space="preserve">. It </w:t>
      </w:r>
      <w:r w:rsidR="00E64686" w:rsidRPr="00A67C76">
        <w:rPr>
          <w:bCs/>
        </w:rPr>
        <w:t>is</w:t>
      </w:r>
      <w:r w:rsidRPr="00A67C76">
        <w:rPr>
          <w:bCs/>
        </w:rPr>
        <w:t xml:space="preserve"> difficult in this case to </w:t>
      </w:r>
      <w:r w:rsidR="00E64686" w:rsidRPr="00A67C76">
        <w:rPr>
          <w:bCs/>
        </w:rPr>
        <w:t xml:space="preserve">reliably identify food resource links </w:t>
      </w:r>
      <w:r w:rsidRPr="00A67C76">
        <w:rPr>
          <w:bCs/>
        </w:rPr>
        <w:t>as the one-off environmental flow was short-lived and followed on from a period of high flows in the preceding months. In order to be able to interpret such events the responses to a range of watering events need to be monitored so that patterns in responses can be identified.</w:t>
      </w:r>
    </w:p>
    <w:p w:rsidR="00FF0B70" w:rsidRPr="00A67C76" w:rsidRDefault="00CD3DBC" w:rsidP="004812DB">
      <w:pPr>
        <w:rPr>
          <w:b/>
          <w:i/>
        </w:rPr>
      </w:pPr>
      <w:r w:rsidRPr="00A67C76">
        <w:rPr>
          <w:b/>
          <w:i/>
        </w:rPr>
        <w:t>Dissolved and particulate material transport</w:t>
      </w:r>
    </w:p>
    <w:p w:rsidR="001438D5" w:rsidRPr="00A67C76" w:rsidRDefault="001438D5" w:rsidP="001438D5">
      <w:r w:rsidRPr="00A67C76">
        <w:t xml:space="preserve">The approach used for this study was valuable for evaluating changes in concentrations and transport of dissolved and particulate material associated with environmental water </w:t>
      </w:r>
      <w:r w:rsidR="0037713F" w:rsidRPr="00A67C76">
        <w:t>deliveries</w:t>
      </w:r>
      <w:r w:rsidRPr="00A67C76">
        <w:t xml:space="preserve">. Further refinement of the model will continue to improve the certainty of modelled outputs, particularly </w:t>
      </w:r>
      <w:r w:rsidR="00CD3DBC" w:rsidRPr="00A67C76">
        <w:t>for the</w:t>
      </w:r>
      <w:r w:rsidRPr="00A67C76">
        <w:t xml:space="preserve"> more sensitive parameters (dissolved nutrients and chlorophyll) within the Lower Lakes. The modelling outputs suggest that environmental flow</w:t>
      </w:r>
      <w:r w:rsidR="0037713F" w:rsidRPr="00A67C76">
        <w:t>s</w:t>
      </w:r>
      <w:r w:rsidRPr="00A67C76">
        <w:t xml:space="preserve"> in the Lower Murray can influence processes that are essential for providing habitat and resources for aquatic biota, further </w:t>
      </w:r>
      <w:r w:rsidR="00CD3DBC" w:rsidRPr="00A67C76">
        <w:t>supporting</w:t>
      </w:r>
      <w:r w:rsidRPr="00A67C76">
        <w:t xml:space="preserve"> the findings of Aldridge </w:t>
      </w:r>
      <w:r w:rsidRPr="00A67C76">
        <w:rPr>
          <w:i/>
        </w:rPr>
        <w:t>et al</w:t>
      </w:r>
      <w:r w:rsidRPr="00A67C76">
        <w:t>. (2013). In particular, during 2012-2013 environmental water</w:t>
      </w:r>
      <w:r w:rsidR="0037713F" w:rsidRPr="00A67C76">
        <w:t>ing</w:t>
      </w:r>
      <w:r w:rsidRPr="00A67C76">
        <w:t xml:space="preserve"> resulted in significant increases in the transport and export of salt, nutrients, chlorophyll (phytoplankton) and suspended solids through the Lower Murray River, Lower Lakes and Murray Mouth. The transport of this dissolved and particulate material is important for providing habitat for biota and resources that maintain the productivity of downstream ecosystems (Cook </w:t>
      </w:r>
      <w:r w:rsidRPr="00A67C76">
        <w:rPr>
          <w:i/>
        </w:rPr>
        <w:t>et al</w:t>
      </w:r>
      <w:r w:rsidRPr="00A67C76">
        <w:t>. 2010).</w:t>
      </w:r>
    </w:p>
    <w:p w:rsidR="001438D5" w:rsidRPr="00A67C76" w:rsidRDefault="001438D5" w:rsidP="001438D5">
      <w:r w:rsidRPr="00A67C76">
        <w:t>At the Murray Mouth, it appeared that the additional exports of dissolved and particulate material only resulted from the combined influence of C</w:t>
      </w:r>
      <w:r w:rsidR="00B12DF1" w:rsidRPr="00A67C76">
        <w:t>ommonwealth environmental water</w:t>
      </w:r>
      <w:r w:rsidRPr="00A67C76">
        <w:t xml:space="preserve"> and T</w:t>
      </w:r>
      <w:r w:rsidR="00B12DF1" w:rsidRPr="00A67C76">
        <w:t xml:space="preserve">he </w:t>
      </w:r>
      <w:r w:rsidRPr="00A67C76">
        <w:t>L</w:t>
      </w:r>
      <w:r w:rsidR="00B12DF1" w:rsidRPr="00A67C76">
        <w:t xml:space="preserve">iving </w:t>
      </w:r>
      <w:r w:rsidRPr="00A67C76">
        <w:t>M</w:t>
      </w:r>
      <w:r w:rsidR="00B12DF1" w:rsidRPr="00A67C76">
        <w:t>urray water</w:t>
      </w:r>
      <w:r w:rsidRPr="00A67C76">
        <w:t xml:space="preserve">, highlighting the importance of supplementary environmental water </w:t>
      </w:r>
      <w:r w:rsidR="006D2CBA" w:rsidRPr="00A67C76">
        <w:t>use</w:t>
      </w:r>
      <w:r w:rsidRPr="00A67C76">
        <w:t xml:space="preserve"> to the system. This was particularly evident for salt exports, with net exports only observed when both environmental water sources were provided. This supports the view of Aldridge </w:t>
      </w:r>
      <w:r w:rsidRPr="00A67C76">
        <w:rPr>
          <w:i/>
        </w:rPr>
        <w:t>et al</w:t>
      </w:r>
      <w:r w:rsidRPr="00A67C76">
        <w:t>. (2013</w:t>
      </w:r>
      <w:r w:rsidR="00CD3DBC" w:rsidRPr="00A67C76">
        <w:t>) that</w:t>
      </w:r>
      <w:r w:rsidRPr="00A67C76">
        <w:t xml:space="preserve"> threshold discharges exist for the export of dissolved and particulate material, </w:t>
      </w:r>
      <w:r w:rsidR="00CD3DBC" w:rsidRPr="00A67C76">
        <w:t>although</w:t>
      </w:r>
      <w:r w:rsidRPr="00A67C76">
        <w:t xml:space="preserve"> the thresholds will vary temporally with changes in downstream water levels and differ between the Lower Murray River, Lower Lakes and Murray Mouth. The occurrence of these thresholds </w:t>
      </w:r>
      <w:r w:rsidR="006D2CBA" w:rsidRPr="00A67C76">
        <w:t>explains why environmental flows</w:t>
      </w:r>
      <w:r w:rsidRPr="00A67C76">
        <w:t xml:space="preserve"> made such significant contributions to total exports. </w:t>
      </w:r>
    </w:p>
    <w:p w:rsidR="001438D5" w:rsidRPr="00A67C76" w:rsidRDefault="001438D5" w:rsidP="001438D5">
      <w:pPr>
        <w:rPr>
          <w:highlight w:val="yellow"/>
        </w:rPr>
      </w:pPr>
      <w:r w:rsidRPr="00A67C76">
        <w:t xml:space="preserve">It was evident that the increase in transport of dissolved and </w:t>
      </w:r>
      <w:r w:rsidR="00CD3DBC" w:rsidRPr="00A67C76">
        <w:t>particulate</w:t>
      </w:r>
      <w:r w:rsidRPr="00A67C76">
        <w:t xml:space="preserve"> material associated with environmental water</w:t>
      </w:r>
      <w:r w:rsidR="006D2CBA" w:rsidRPr="00A67C76">
        <w:t>ing</w:t>
      </w:r>
      <w:r w:rsidRPr="00A67C76">
        <w:t xml:space="preserve"> was largely a result of the increased discharge rather than increased concentrations, since concentrations were generally not influenced significantly. An exception to this was salinity within the Lower Lakes, with electrical conductivity lower with environmental water</w:t>
      </w:r>
      <w:r w:rsidR="006D2CBA" w:rsidRPr="00A67C76">
        <w:t xml:space="preserve"> deliveries.</w:t>
      </w:r>
      <w:r w:rsidRPr="00A67C76">
        <w:t xml:space="preserve"> This may be partly explained by how barrage operations are considered within the model (see Aldridge </w:t>
      </w:r>
      <w:r w:rsidRPr="00A67C76">
        <w:rPr>
          <w:i/>
        </w:rPr>
        <w:t>et al</w:t>
      </w:r>
      <w:r w:rsidRPr="00A67C76">
        <w:t xml:space="preserve">. (2013) for more detail). Nevertheless, reductions in salinity levels provide an important functional role by providing </w:t>
      </w:r>
      <w:r w:rsidR="00CD3DBC" w:rsidRPr="00A67C76">
        <w:t>habitat</w:t>
      </w:r>
      <w:r w:rsidRPr="00A67C76">
        <w:t xml:space="preserve"> for aquatic organisms. Salinities were also reduced considerably within the region of the Murray Mouth due to environmental water</w:t>
      </w:r>
      <w:r w:rsidR="006D2CBA" w:rsidRPr="00A67C76">
        <w:t>ing</w:t>
      </w:r>
      <w:r w:rsidRPr="00A67C76">
        <w:t xml:space="preserve">. This is in agreement with previous studies (see Aldridge </w:t>
      </w:r>
      <w:r w:rsidRPr="00A67C76">
        <w:rPr>
          <w:i/>
        </w:rPr>
        <w:t>et al</w:t>
      </w:r>
      <w:r w:rsidRPr="00A67C76">
        <w:t xml:space="preserve">. 2012; Mosley </w:t>
      </w:r>
      <w:r w:rsidRPr="00A67C76">
        <w:rPr>
          <w:i/>
        </w:rPr>
        <w:t>et al</w:t>
      </w:r>
      <w:r w:rsidRPr="00A67C76">
        <w:t xml:space="preserve">. 2012; Aldridge </w:t>
      </w:r>
      <w:r w:rsidRPr="00A67C76">
        <w:rPr>
          <w:i/>
        </w:rPr>
        <w:t>et al</w:t>
      </w:r>
      <w:r w:rsidRPr="00A67C76">
        <w:t>. 2013) that have suggested that environmental water</w:t>
      </w:r>
      <w:r w:rsidR="006D2CBA" w:rsidRPr="00A67C76">
        <w:t xml:space="preserve"> deliveries</w:t>
      </w:r>
      <w:r w:rsidRPr="00A67C76">
        <w:t xml:space="preserve"> to the Lower Lakes and Coorong during periods of low-moderate flows are important for reducing salinity levels.</w:t>
      </w:r>
    </w:p>
    <w:p w:rsidR="006E1C7F" w:rsidRPr="00A67C76" w:rsidRDefault="006E1C7F" w:rsidP="00F41737">
      <w:pPr>
        <w:pStyle w:val="Heading2"/>
      </w:pPr>
      <w:bookmarkStart w:id="197" w:name="_Toc387843599"/>
      <w:r w:rsidRPr="00A67C76">
        <w:t>Wetlands</w:t>
      </w:r>
      <w:bookmarkEnd w:id="197"/>
    </w:p>
    <w:p w:rsidR="009C5F10" w:rsidRPr="00A67C76" w:rsidRDefault="00DB21D5" w:rsidP="004812DB">
      <w:pPr>
        <w:rPr>
          <w:b/>
          <w:i/>
        </w:rPr>
      </w:pPr>
      <w:r w:rsidRPr="00A67C76">
        <w:rPr>
          <w:b/>
          <w:i/>
        </w:rPr>
        <w:t>Lateral movements of fish</w:t>
      </w:r>
    </w:p>
    <w:p w:rsidR="009C5F10" w:rsidRPr="00A67C76" w:rsidRDefault="009C5F10" w:rsidP="009C5F10">
      <w:pPr>
        <w:autoSpaceDE w:val="0"/>
        <w:autoSpaceDN w:val="0"/>
        <w:adjustRightInd w:val="0"/>
        <w:ind w:right="-180"/>
        <w:jc w:val="both"/>
        <w:rPr>
          <w:rFonts w:eastAsia="Arial Unicode MS" w:cs="Arial"/>
          <w:bCs/>
          <w:lang w:eastAsia="en-AU"/>
        </w:rPr>
      </w:pPr>
      <w:r w:rsidRPr="00A67C76">
        <w:rPr>
          <w:lang w:eastAsia="en-AU"/>
        </w:rPr>
        <w:t xml:space="preserve">The importance of lateral connectivity between within-channel and wetland habitats for fish is well established </w:t>
      </w:r>
      <w:r w:rsidRPr="00A67C76">
        <w:rPr>
          <w:noProof/>
          <w:lang w:eastAsia="en-AU"/>
        </w:rPr>
        <w:t>(Junk</w:t>
      </w:r>
      <w:r w:rsidRPr="00A67C76">
        <w:rPr>
          <w:i/>
          <w:noProof/>
          <w:lang w:eastAsia="en-AU"/>
        </w:rPr>
        <w:t xml:space="preserve"> et al.</w:t>
      </w:r>
      <w:r w:rsidRPr="00A67C76">
        <w:rPr>
          <w:noProof/>
          <w:lang w:eastAsia="en-AU"/>
        </w:rPr>
        <w:t xml:space="preserve"> 1989; Stuart and Jones 2006)</w:t>
      </w:r>
      <w:r w:rsidRPr="00A67C76">
        <w:rPr>
          <w:lang w:eastAsia="en-AU"/>
        </w:rPr>
        <w:t xml:space="preserve">, but knowledge of lateral fish movements and how they are influenced by flow is limited. The present study described the lateral movement of native and invasive fish into and out of wetlands in the Lower </w:t>
      </w:r>
      <w:r w:rsidR="00EE6B16" w:rsidRPr="00A67C76">
        <w:rPr>
          <w:lang w:eastAsia="en-AU"/>
        </w:rPr>
        <w:t>Murray River</w:t>
      </w:r>
      <w:r w:rsidRPr="00A67C76">
        <w:rPr>
          <w:lang w:eastAsia="en-AU"/>
        </w:rPr>
        <w:t xml:space="preserve">, </w:t>
      </w:r>
      <w:r w:rsidRPr="00A67C76">
        <w:t xml:space="preserve">before, during and after the delivery of the environmental </w:t>
      </w:r>
      <w:r w:rsidR="009F1F7A" w:rsidRPr="00A67C76">
        <w:t>f</w:t>
      </w:r>
      <w:r w:rsidRPr="00A67C76">
        <w:t xml:space="preserve">low pulse in </w:t>
      </w:r>
      <w:r w:rsidR="00333041" w:rsidRPr="00A67C76">
        <w:t>2012</w:t>
      </w:r>
      <w:r w:rsidR="00FD328A" w:rsidRPr="00FD328A">
        <w:t>-13</w:t>
      </w:r>
      <w:r w:rsidRPr="00A67C76">
        <w:t>,</w:t>
      </w:r>
      <w:r w:rsidRPr="00A67C76">
        <w:rPr>
          <w:lang w:eastAsia="en-AU"/>
        </w:rPr>
        <w:t xml:space="preserve"> and assessed the influence of flow-related hydraulic changes on fish movement. </w:t>
      </w:r>
      <w:r w:rsidR="0049549E" w:rsidRPr="00A67C76">
        <w:rPr>
          <w:lang w:eastAsia="en-AU"/>
        </w:rPr>
        <w:t>It was hypothesis</w:t>
      </w:r>
      <w:r w:rsidRPr="00A67C76">
        <w:rPr>
          <w:lang w:eastAsia="en-AU"/>
        </w:rPr>
        <w:t>ed that the delivery of the flow pulse would enhance the lateral movements of fish</w:t>
      </w:r>
      <w:r w:rsidR="004362B4" w:rsidRPr="00A67C76">
        <w:rPr>
          <w:lang w:eastAsia="en-AU"/>
        </w:rPr>
        <w:t>,</w:t>
      </w:r>
      <w:r w:rsidRPr="00A67C76">
        <w:rPr>
          <w:lang w:eastAsia="en-AU"/>
        </w:rPr>
        <w:t xml:space="preserve"> which would ultimately </w:t>
      </w:r>
      <w:r w:rsidRPr="00A67C76">
        <w:rPr>
          <w:rFonts w:eastAsia="Arial Unicode MS" w:cs="Arial"/>
          <w:bCs/>
          <w:lang w:eastAsia="en-AU"/>
        </w:rPr>
        <w:t xml:space="preserve">benefit native fish populations through increased survival, recruitment, feeding and reproduction opportunities (Junk </w:t>
      </w:r>
      <w:r w:rsidRPr="00A67C76">
        <w:rPr>
          <w:rFonts w:eastAsia="Arial Unicode MS" w:cs="Arial"/>
          <w:bCs/>
          <w:i/>
          <w:lang w:eastAsia="en-AU"/>
        </w:rPr>
        <w:t xml:space="preserve">et al. </w:t>
      </w:r>
      <w:r w:rsidRPr="00A67C76">
        <w:rPr>
          <w:rFonts w:eastAsia="Arial Unicode MS" w:cs="Arial"/>
          <w:bCs/>
          <w:lang w:eastAsia="en-AU"/>
        </w:rPr>
        <w:t xml:space="preserve">1989). However, there were concerns that invasive species, such as common carp, would also benefit. As such, this study also examined the reproductive development and recruitment of common carp to inform about the potential benefit of flow pulse delivery for this species. </w:t>
      </w:r>
    </w:p>
    <w:p w:rsidR="009C5F10" w:rsidRPr="00A67C76" w:rsidRDefault="009C5F10" w:rsidP="009C5F10">
      <w:pPr>
        <w:rPr>
          <w:lang w:eastAsia="en-AU"/>
        </w:rPr>
      </w:pPr>
      <w:r w:rsidRPr="00A67C76">
        <w:rPr>
          <w:lang w:eastAsia="en-AU"/>
        </w:rPr>
        <w:t xml:space="preserve">Directional sampling in the river-wetland connection passage of four wetlands revealed a diverse (16 species) and abundant (~57,612 individuals) fish assemblage moving between wetlands and the main river channel of the Lower </w:t>
      </w:r>
      <w:r w:rsidR="00EE6B16" w:rsidRPr="00A67C76">
        <w:rPr>
          <w:lang w:eastAsia="en-AU"/>
        </w:rPr>
        <w:t>Murray River</w:t>
      </w:r>
      <w:r w:rsidRPr="00A67C76">
        <w:rPr>
          <w:lang w:eastAsia="en-AU"/>
        </w:rPr>
        <w:t xml:space="preserve">. Movements involved most fish species that were recorded in the most recent study on lateral fish movements in this region </w:t>
      </w:r>
      <w:r w:rsidRPr="00A67C76">
        <w:rPr>
          <w:noProof/>
          <w:lang w:eastAsia="en-AU"/>
        </w:rPr>
        <w:t>(Conallin</w:t>
      </w:r>
      <w:r w:rsidRPr="00A67C76">
        <w:rPr>
          <w:i/>
          <w:noProof/>
          <w:lang w:eastAsia="en-AU"/>
        </w:rPr>
        <w:t xml:space="preserve"> et al.</w:t>
      </w:r>
      <w:r w:rsidRPr="00A67C76">
        <w:rPr>
          <w:noProof/>
          <w:lang w:eastAsia="en-AU"/>
        </w:rPr>
        <w:t xml:space="preserve"> 2011)</w:t>
      </w:r>
      <w:r w:rsidRPr="00A67C76">
        <w:rPr>
          <w:lang w:eastAsia="en-AU"/>
        </w:rPr>
        <w:t xml:space="preserve">, with the exception of common galaxias, small-mouthed hardyhead, pouched lamprey and Murray cod. However, the present study recorded two additional species, i.e. silver perch and oriental weatherloach. Overall, 11 of the 26 native species known to occur in the Murray-Darling Basin (Hammer and Walker 2004), were recorded in this study. </w:t>
      </w:r>
    </w:p>
    <w:p w:rsidR="009C5F10" w:rsidRPr="00A67C76" w:rsidRDefault="009C5F10" w:rsidP="009C5F10">
      <w:r w:rsidRPr="00A67C76">
        <w:t xml:space="preserve">Patterns of lateral fish movement were complex and highly variable among flow phases at each wetland, and such differences were not consistent among wetlands. Such spatial variability is a common attribute of fish assemblages in freshwater systems </w:t>
      </w:r>
      <w:r w:rsidRPr="00A67C76">
        <w:rPr>
          <w:noProof/>
        </w:rPr>
        <w:t>(Jackson</w:t>
      </w:r>
      <w:r w:rsidRPr="00A67C76">
        <w:rPr>
          <w:i/>
          <w:noProof/>
        </w:rPr>
        <w:t xml:space="preserve"> et al.</w:t>
      </w:r>
      <w:r w:rsidRPr="00A67C76">
        <w:rPr>
          <w:noProof/>
        </w:rPr>
        <w:t xml:space="preserve"> 2001)</w:t>
      </w:r>
      <w:r w:rsidRPr="00A67C76">
        <w:t xml:space="preserve"> and was not unexpected given the substantial variability in the physical, biological and hydrological attributes of wetlands in the Lower </w:t>
      </w:r>
      <w:r w:rsidR="00EE6B16" w:rsidRPr="00A67C76">
        <w:t>Murray River</w:t>
      </w:r>
      <w:r w:rsidRPr="00A67C76">
        <w:t xml:space="preserve">. Refer to Earl and </w:t>
      </w:r>
      <w:proofErr w:type="gramStart"/>
      <w:r w:rsidRPr="00A67C76">
        <w:t>Ye</w:t>
      </w:r>
      <w:proofErr w:type="gramEnd"/>
      <w:r w:rsidRPr="00A67C76">
        <w:t xml:space="preserve"> (</w:t>
      </w:r>
      <w:r w:rsidR="008F2924">
        <w:t>In P</w:t>
      </w:r>
      <w:r w:rsidR="00030FC1">
        <w:t>rep</w:t>
      </w:r>
      <w:r w:rsidRPr="00A67C76">
        <w:t>) for further detailed discussion.</w:t>
      </w:r>
    </w:p>
    <w:p w:rsidR="009C5F10" w:rsidRPr="00A67C76" w:rsidRDefault="009C5F10" w:rsidP="009C5F10">
      <w:r w:rsidRPr="00A67C76">
        <w:t xml:space="preserve">The lateral movement of most species at each wetland during each flow phase was generally bidirectional and demonstrated no clear, consistent pattern relative to changes in flow conditions. These results conflict those of numerous other studies </w:t>
      </w:r>
      <w:r w:rsidRPr="00A67C76">
        <w:rPr>
          <w:noProof/>
        </w:rPr>
        <w:t>(Hohausová</w:t>
      </w:r>
      <w:r w:rsidRPr="00A67C76">
        <w:rPr>
          <w:i/>
          <w:noProof/>
        </w:rPr>
        <w:t xml:space="preserve"> et al.</w:t>
      </w:r>
      <w:r w:rsidRPr="00A67C76">
        <w:rPr>
          <w:noProof/>
        </w:rPr>
        <w:t xml:space="preserve"> 2003; Stuart and Jones 2006; Castello 2008; Lyon</w:t>
      </w:r>
      <w:r w:rsidRPr="00A67C76">
        <w:rPr>
          <w:i/>
          <w:noProof/>
        </w:rPr>
        <w:t xml:space="preserve"> et al.</w:t>
      </w:r>
      <w:r w:rsidRPr="00A67C76">
        <w:rPr>
          <w:noProof/>
        </w:rPr>
        <w:t xml:space="preserve"> 2010)</w:t>
      </w:r>
      <w:r w:rsidRPr="00A67C76">
        <w:t xml:space="preserve"> which detected substantial migrations in and out of off-channel habitats in response to seasonal changes in hydrological connectivity, whereby fish entered off-channel areas to exploit the relatively warm, food and shelter rich, and productive habitats, and moved out prior to disconnection.  </w:t>
      </w:r>
    </w:p>
    <w:p w:rsidR="009C5F10" w:rsidRPr="00A67C76" w:rsidRDefault="009C5F10" w:rsidP="009C5F10">
      <w:pPr>
        <w:rPr>
          <w:lang w:eastAsia="en-AU"/>
        </w:rPr>
      </w:pPr>
      <w:r w:rsidRPr="00A67C76">
        <w:rPr>
          <w:lang w:eastAsia="en-AU"/>
        </w:rPr>
        <w:t xml:space="preserve">In 2006, Conallin </w:t>
      </w:r>
      <w:r w:rsidRPr="00A67C76">
        <w:rPr>
          <w:i/>
          <w:lang w:eastAsia="en-AU"/>
        </w:rPr>
        <w:t xml:space="preserve">et al. </w:t>
      </w:r>
      <w:r w:rsidRPr="00A67C76">
        <w:rPr>
          <w:lang w:eastAsia="en-AU"/>
        </w:rPr>
        <w:t xml:space="preserve">(2011) detected substantial variations in the lateral movements of fish in the Lower Murray River, but similar to the present study, did not detect directional consistency of movements. </w:t>
      </w:r>
      <w:r w:rsidRPr="00A67C76">
        <w:rPr>
          <w:noProof/>
          <w:lang w:eastAsia="en-AU"/>
        </w:rPr>
        <w:t>Conallin</w:t>
      </w:r>
      <w:r w:rsidRPr="00A67C76">
        <w:rPr>
          <w:i/>
          <w:noProof/>
          <w:lang w:eastAsia="en-AU"/>
        </w:rPr>
        <w:t xml:space="preserve"> et al.</w:t>
      </w:r>
      <w:r w:rsidRPr="00A67C76">
        <w:rPr>
          <w:noProof/>
          <w:lang w:eastAsia="en-AU"/>
        </w:rPr>
        <w:t xml:space="preserve"> (2011)</w:t>
      </w:r>
      <w:r w:rsidRPr="00A67C76">
        <w:rPr>
          <w:lang w:eastAsia="en-AU"/>
        </w:rPr>
        <w:t xml:space="preserve"> suggested that the lack of directionality likely reflected an absence of hydraulic cues, due to the low flow conditions during the drought, and predicted that directional movements would become apparent under increased flow conditions when key flow-related parameters such as water level, flow discharge and dissolved oxygen would likely be more influential. However, the results of the present study suggest that such hydraulic factors, associated with the decline in unregulated flows and subsequent delivery of a relatively small flow pulse of environmental water, did not influence the directionality of the lateral movements. </w:t>
      </w:r>
    </w:p>
    <w:p w:rsidR="009C5F10" w:rsidRPr="00A67C76" w:rsidRDefault="009C5F10" w:rsidP="009C5F10">
      <w:pPr>
        <w:rPr>
          <w:lang w:eastAsia="en-AU"/>
        </w:rPr>
      </w:pPr>
      <w:r w:rsidRPr="00A67C76">
        <w:rPr>
          <w:lang w:eastAsia="en-AU"/>
        </w:rPr>
        <w:t xml:space="preserve">Despite the lack of directionality, there were shifts in the structure of laterally moving assemblages between flow phases. However, </w:t>
      </w:r>
      <w:r w:rsidRPr="00A67C76">
        <w:t xml:space="preserve">shifts were not consistent among wetlands, suggesting that flow delivery affected fish assemblages at each wetland in different ways. </w:t>
      </w:r>
      <w:r w:rsidRPr="00A67C76">
        <w:rPr>
          <w:lang w:eastAsia="en-AU"/>
        </w:rPr>
        <w:t>At Overland Corner, changes in the magnitude of flow discharge had a significant influence on the structure of fish assemblages moving to and from wetlands. This was not unexpected given the strong correlation between flow discharge and wetland size at Overland Corner, i.e. as discharge declined, the wetland contracted in size, reducing the amount of habitat available for fish (</w:t>
      </w:r>
      <w:r w:rsidR="00171AF5" w:rsidRPr="00A67C76">
        <w:rPr>
          <w:lang w:eastAsia="en-AU"/>
        </w:rPr>
        <w:t>see S</w:t>
      </w:r>
      <w:r w:rsidR="001041D4" w:rsidRPr="00A67C76">
        <w:rPr>
          <w:lang w:eastAsia="en-AU"/>
        </w:rPr>
        <w:t>ection</w:t>
      </w:r>
      <w:r w:rsidR="00171AF5" w:rsidRPr="00A67C76">
        <w:rPr>
          <w:lang w:eastAsia="en-AU"/>
        </w:rPr>
        <w:t xml:space="preserve"> </w:t>
      </w:r>
      <w:r w:rsidR="002E6077" w:rsidRPr="00A67C76">
        <w:rPr>
          <w:lang w:eastAsia="en-AU"/>
        </w:rPr>
        <w:fldChar w:fldCharType="begin"/>
      </w:r>
      <w:r w:rsidR="00171AF5" w:rsidRPr="00A67C76">
        <w:rPr>
          <w:lang w:eastAsia="en-AU"/>
        </w:rPr>
        <w:instrText xml:space="preserve"> REF _Ref387847824 \n \h </w:instrText>
      </w:r>
      <w:r w:rsidR="002E6077" w:rsidRPr="00A67C76">
        <w:rPr>
          <w:lang w:eastAsia="en-AU"/>
        </w:rPr>
      </w:r>
      <w:r w:rsidR="002E6077" w:rsidRPr="00A67C76">
        <w:rPr>
          <w:lang w:eastAsia="en-AU"/>
        </w:rPr>
        <w:fldChar w:fldCharType="separate"/>
      </w:r>
      <w:r w:rsidR="009659F2">
        <w:rPr>
          <w:lang w:eastAsia="en-AU"/>
        </w:rPr>
        <w:t>1.2</w:t>
      </w:r>
      <w:r w:rsidR="002E6077" w:rsidRPr="00A67C76">
        <w:rPr>
          <w:lang w:eastAsia="en-AU"/>
        </w:rPr>
        <w:fldChar w:fldCharType="end"/>
      </w:r>
      <w:r w:rsidRPr="00A67C76">
        <w:rPr>
          <w:lang w:eastAsia="en-AU"/>
        </w:rPr>
        <w:t xml:space="preserve">). During unregulated high flows, the number of fish moving laterally was relatively low. However, the decline in flow discharge during the Receding flow phase resulted in a significant increase in the number of fish, particularly common carp, moving in each direction. The delivery of environmental water appeared to enhance the lateral movements of native fish, particularly foraging generalist species, while the abundance of invasive species decreased and remained relatively low during this period. The benefit of the sustained flows associated with the delivery of environmental water to the lateral movement patterns of native fish was further highlighted by the subsequent decline in abundance during the Low flow phase, at a time when just 1% of wetland habitat remained inundated and available for these species.   </w:t>
      </w:r>
    </w:p>
    <w:p w:rsidR="009C5F10" w:rsidRPr="00A67C76" w:rsidRDefault="009C5F10" w:rsidP="009C5F10">
      <w:pPr>
        <w:rPr>
          <w:lang w:eastAsia="en-AU"/>
        </w:rPr>
      </w:pPr>
      <w:r w:rsidRPr="00A67C76">
        <w:rPr>
          <w:lang w:eastAsia="en-AU"/>
        </w:rPr>
        <w:t xml:space="preserve">Shifts in the structure of laterally moving assemblages between flow phases were also evident at Kroehns. However, unlike Overland Corner, changes did not appear to be directly related to variation in flow discharge. Rather, water level was the strongest environmental predictor of assemblage structure and there was no correlation between water level and flow discharge. Changes in water level below Lock 1 generally occur in response to local wind patterns which can have a surging effect on the large body of water between Lock 1 and the barrages separating the Lower Lakes (i.e. Lakes Alexandrina and Albert) from the Coorong. As such, the direct influence of increased flows associated with environmental water delivery on key hydraulic variables such as water level, wetland size and dissolved oxygen, was minimal compared to Overland Corner. Rather, hydraulic parameters showed a more distinctive seasonal shift, with a gradual increase in temperature and conductivity over the duration of the study. This seasonal shift corresponded to a gradual increase in the abundance of native fish moving into and out of the wetland at this site. As such, the direct influence of the environmental flow pulse (which supplemented flow discharge </w:t>
      </w:r>
      <w:proofErr w:type="gramStart"/>
      <w:r w:rsidRPr="00A67C76">
        <w:rPr>
          <w:lang w:eastAsia="en-AU"/>
        </w:rPr>
        <w:t xml:space="preserve">to ~15,000 </w:t>
      </w:r>
      <w:r w:rsidR="00FD328A">
        <w:rPr>
          <w:lang w:eastAsia="en-AU"/>
        </w:rPr>
        <w:t>ML day</w:t>
      </w:r>
      <w:r w:rsidRPr="00A67C76">
        <w:rPr>
          <w:vertAlign w:val="superscript"/>
          <w:lang w:eastAsia="en-AU"/>
        </w:rPr>
        <w:t>-1</w:t>
      </w:r>
      <w:r w:rsidRPr="00A67C76">
        <w:rPr>
          <w:lang w:eastAsia="en-AU"/>
        </w:rPr>
        <w:t xml:space="preserve"> at Lock 1</w:t>
      </w:r>
      <w:proofErr w:type="gramEnd"/>
      <w:r w:rsidRPr="00A67C76">
        <w:rPr>
          <w:lang w:eastAsia="en-AU"/>
        </w:rPr>
        <w:t>), on the lateral movements of fish at Kroehns, and other perennially inundated wetland below Lock 1 remains unclear. Nonetheless, the delivery of a flow pulse of that magnitude which almost certainly improves water quality and enhances primary productivity in the main river channel  can only be beneficial for the native fish populations that utilise habitats in that part of the system</w:t>
      </w:r>
      <w:r w:rsidR="003853BE" w:rsidRPr="00A67C76">
        <w:rPr>
          <w:lang w:eastAsia="en-AU"/>
        </w:rPr>
        <w:t>.</w:t>
      </w:r>
    </w:p>
    <w:p w:rsidR="009C5F10" w:rsidRPr="00A67C76" w:rsidRDefault="009C5F10" w:rsidP="009C5F10">
      <w:r w:rsidRPr="00A67C76">
        <w:rPr>
          <w:rFonts w:eastAsia="Arial Unicode MS" w:cs="Arial"/>
          <w:bCs/>
          <w:lang w:eastAsia="en-AU"/>
        </w:rPr>
        <w:t>Common carp</w:t>
      </w:r>
      <w:r w:rsidR="00362805">
        <w:rPr>
          <w:rFonts w:eastAsia="Arial Unicode MS" w:cs="Arial"/>
          <w:bCs/>
          <w:lang w:eastAsia="en-AU"/>
        </w:rPr>
        <w:t xml:space="preserve"> </w:t>
      </w:r>
      <w:r w:rsidRPr="00A67C76">
        <w:rPr>
          <w:rFonts w:eastAsia="Arial Unicode MS" w:cs="Arial"/>
          <w:bCs/>
          <w:lang w:eastAsia="en-AU"/>
        </w:rPr>
        <w:t xml:space="preserve">are the most dominant large-bodied fish in the </w:t>
      </w:r>
      <w:r w:rsidR="00EE6B16" w:rsidRPr="00A67C76">
        <w:rPr>
          <w:rFonts w:eastAsia="Arial Unicode MS" w:cs="Arial"/>
          <w:bCs/>
          <w:lang w:eastAsia="en-AU"/>
        </w:rPr>
        <w:t>Murray River</w:t>
      </w:r>
      <w:r w:rsidRPr="00A67C76">
        <w:rPr>
          <w:rFonts w:eastAsia="Arial Unicode MS" w:cs="Arial"/>
          <w:bCs/>
          <w:lang w:eastAsia="en-AU"/>
        </w:rPr>
        <w:t xml:space="preserve"> (Davies </w:t>
      </w:r>
      <w:r w:rsidRPr="00A67C76">
        <w:rPr>
          <w:rFonts w:eastAsia="Arial Unicode MS" w:cs="Arial"/>
          <w:bCs/>
          <w:i/>
          <w:lang w:eastAsia="en-AU"/>
        </w:rPr>
        <w:t xml:space="preserve">et al. </w:t>
      </w:r>
      <w:r w:rsidRPr="00A67C76">
        <w:rPr>
          <w:rFonts w:eastAsia="Arial Unicode MS" w:cs="Arial"/>
          <w:bCs/>
          <w:lang w:eastAsia="en-AU"/>
        </w:rPr>
        <w:t xml:space="preserve">2008) and commonly utilise wetland habitats for spawning and recruitment (Vilizzi and Walker 1999). In 2012, the timing of the delivery of environmental water to the Lower </w:t>
      </w:r>
      <w:r w:rsidR="00EE6B16" w:rsidRPr="00A67C76">
        <w:rPr>
          <w:rFonts w:eastAsia="Arial Unicode MS" w:cs="Arial"/>
          <w:bCs/>
          <w:lang w:eastAsia="en-AU"/>
        </w:rPr>
        <w:t>Murray River</w:t>
      </w:r>
      <w:r w:rsidRPr="00A67C76">
        <w:rPr>
          <w:rFonts w:eastAsia="Arial Unicode MS" w:cs="Arial"/>
          <w:bCs/>
          <w:lang w:eastAsia="en-AU"/>
        </w:rPr>
        <w:t xml:space="preserve"> (e.g. early December) coincided with the middle of the spawning and recruitment period for common carp (Smith and Walker 2004). As such, there were concerns that the timing of environmental water delivery may enhance the reproductive development, spawning activity and the recruitment success of common carp. Analysis of these key demographic processes provided no evidence to suggest that this was the case. Whilst macroscopic analysis of common carp ovaries indicated that most females were fully developed during each of the six phases of flow, the proportion of spawning and or spent (i.e. recently spawned) females in the population remained relatively consistent throughout the duration of the study with no apparent response to changes in flow. Furthermore, ageing of small juvenile carp indicated that most</w:t>
      </w:r>
      <w:r w:rsidRPr="00A67C76">
        <w:t xml:space="preserve"> fish spawned in 2012 were derived from spawning events that occurred from late August to November, with less than 5% derived from spawning that occurred in early December. Hence, there is no evidence, from the present study, to suggest that there was an increase in spawning activity and subsequent recruitment for common carp in response to the delivery of environmental water in 2012.</w:t>
      </w:r>
    </w:p>
    <w:p w:rsidR="009C5F10" w:rsidRPr="00A67C76" w:rsidRDefault="00E149FE" w:rsidP="004812DB">
      <w:pPr>
        <w:rPr>
          <w:b/>
          <w:i/>
        </w:rPr>
      </w:pPr>
      <w:r w:rsidRPr="00A67C76">
        <w:rPr>
          <w:b/>
          <w:i/>
        </w:rPr>
        <w:t>Frog response</w:t>
      </w:r>
      <w:r w:rsidR="009C5F10" w:rsidRPr="00A67C76">
        <w:rPr>
          <w:b/>
          <w:i/>
        </w:rPr>
        <w:t xml:space="preserve"> </w:t>
      </w:r>
    </w:p>
    <w:p w:rsidR="009C5F10" w:rsidRPr="00A67C76" w:rsidRDefault="009C5F10" w:rsidP="004812DB">
      <w:pPr>
        <w:rPr>
          <w:b/>
        </w:rPr>
      </w:pPr>
      <w:r w:rsidRPr="00A67C76">
        <w:rPr>
          <w:b/>
        </w:rPr>
        <w:t>Spring and summer 2012</w:t>
      </w:r>
    </w:p>
    <w:p w:rsidR="00556322" w:rsidRPr="00A734D6" w:rsidRDefault="00556322" w:rsidP="00556322">
      <w:pPr>
        <w:rPr>
          <w:szCs w:val="22"/>
        </w:rPr>
      </w:pPr>
      <w:r w:rsidRPr="00A67C76">
        <w:t xml:space="preserve">The high flows </w:t>
      </w:r>
      <w:r>
        <w:t>that occurred in</w:t>
      </w:r>
      <w:r w:rsidRPr="00A67C76">
        <w:t xml:space="preserve"> spring 2012</w:t>
      </w:r>
      <w:r>
        <w:t>,</w:t>
      </w:r>
      <w:r w:rsidRPr="00A67C76">
        <w:t xml:space="preserve"> prior to the environmental watering</w:t>
      </w:r>
      <w:r>
        <w:t xml:space="preserve"> event,</w:t>
      </w:r>
      <w:r w:rsidRPr="00A67C76">
        <w:t xml:space="preserve"> and lack of control sites</w:t>
      </w:r>
      <w:r>
        <w:t xml:space="preserve"> during the environmental watering, mak</w:t>
      </w:r>
      <w:r w:rsidRPr="00A67C76">
        <w:t>e it difficult to assess the</w:t>
      </w:r>
      <w:r>
        <w:t xml:space="preserve"> direct</w:t>
      </w:r>
      <w:r w:rsidRPr="00A67C76">
        <w:t xml:space="preserve"> </w:t>
      </w:r>
      <w:r>
        <w:t>influence</w:t>
      </w:r>
      <w:r w:rsidRPr="00A67C76">
        <w:t xml:space="preserve"> of the environmental watering</w:t>
      </w:r>
      <w:r>
        <w:t xml:space="preserve"> on frog populations</w:t>
      </w:r>
      <w:r w:rsidRPr="00A67C76">
        <w:t xml:space="preserve">. </w:t>
      </w:r>
      <w:r w:rsidRPr="00A734D6">
        <w:rPr>
          <w:szCs w:val="22"/>
        </w:rPr>
        <w:t>However, the environmental water delivery in 2012</w:t>
      </w:r>
      <w:r w:rsidRPr="00A734D6">
        <w:rPr>
          <w:rFonts w:cs="Segoe UI"/>
          <w:szCs w:val="22"/>
        </w:rPr>
        <w:t xml:space="preserve"> provided habitat and breeding</w:t>
      </w:r>
      <w:r w:rsidR="00F1011C">
        <w:rPr>
          <w:rFonts w:cs="Segoe UI"/>
          <w:szCs w:val="22"/>
        </w:rPr>
        <w:t xml:space="preserve"> opportunity</w:t>
      </w:r>
      <w:r w:rsidRPr="00A734D6">
        <w:rPr>
          <w:rFonts w:cs="Segoe UI"/>
          <w:szCs w:val="22"/>
        </w:rPr>
        <w:t>, as indicated by frog calls</w:t>
      </w:r>
      <w:r>
        <w:rPr>
          <w:rFonts w:cs="Segoe UI"/>
          <w:szCs w:val="22"/>
        </w:rPr>
        <w:t>,</w:t>
      </w:r>
      <w:r w:rsidRPr="00A734D6">
        <w:rPr>
          <w:rFonts w:cs="Segoe UI"/>
          <w:szCs w:val="22"/>
        </w:rPr>
        <w:t xml:space="preserve"> for </w:t>
      </w:r>
      <w:r w:rsidRPr="00A734D6">
        <w:rPr>
          <w:szCs w:val="22"/>
        </w:rPr>
        <w:t xml:space="preserve">all eight wetland frog species found in the Lower Murray. Additionally, whilst tadpole surveys were not conducted at all wetlands, tadpoles were detected at many wetlands during spring and summer 2012. As tadpoles </w:t>
      </w:r>
      <w:r w:rsidRPr="005C6CB3">
        <w:rPr>
          <w:szCs w:val="22"/>
        </w:rPr>
        <w:t xml:space="preserve">of all frog species detected in the study area require at least three months to metamorph (Anstis 2002), it is possible that tadpoles may have benefited from environmental watering in summer through extending the duration of inundation of habitat, however this was not quantified </w:t>
      </w:r>
      <w:r>
        <w:rPr>
          <w:szCs w:val="22"/>
        </w:rPr>
        <w:t>during</w:t>
      </w:r>
      <w:r w:rsidRPr="005C6CB3">
        <w:rPr>
          <w:szCs w:val="22"/>
        </w:rPr>
        <w:t xml:space="preserve"> this study.</w:t>
      </w:r>
    </w:p>
    <w:p w:rsidR="00556322" w:rsidRDefault="00556322" w:rsidP="00556322">
      <w:r w:rsidRPr="00A734D6">
        <w:rPr>
          <w:szCs w:val="22"/>
        </w:rPr>
        <w:t>Higher</w:t>
      </w:r>
      <w:r>
        <w:rPr>
          <w:szCs w:val="22"/>
        </w:rPr>
        <w:t xml:space="preserve"> frog calling</w:t>
      </w:r>
      <w:r w:rsidRPr="00A734D6">
        <w:rPr>
          <w:szCs w:val="22"/>
        </w:rPr>
        <w:t xml:space="preserve"> abundance and diversity </w:t>
      </w:r>
      <w:r w:rsidRPr="00A67C76">
        <w:t>was recorded in spring, during unregulated flows, than in summer, during the environmental water delivery. Modelling of the environmental variables determined that higher flows and emergent vegetation were significant predictors of frog calling richness and calling abundance in 2012</w:t>
      </w:r>
      <w:r>
        <w:t xml:space="preserve">. Therefore, calling in spring may have been associated with more inundated emergent vegetation. </w:t>
      </w:r>
      <w:r w:rsidRPr="00A67C76">
        <w:t xml:space="preserve">Most Murray-Darling Basin frog species prefer inundated vegetation to breed (Jansen and Healey 2003; Wassens and Maher, 2011) and many studies have found aquatic vegetation to be a habitat predictor for the presence and/or abundance of frogs (Healey </w:t>
      </w:r>
      <w:r w:rsidRPr="00A67C76">
        <w:rPr>
          <w:i/>
        </w:rPr>
        <w:t>et al</w:t>
      </w:r>
      <w:r w:rsidRPr="00A67C76">
        <w:t xml:space="preserve">. 1997; Hazell </w:t>
      </w:r>
      <w:r w:rsidRPr="00A67C76">
        <w:rPr>
          <w:i/>
        </w:rPr>
        <w:t>et al.</w:t>
      </w:r>
      <w:r w:rsidRPr="00A67C76">
        <w:t xml:space="preserve"> 2001; Jansen and Healey 2003; Lemckert </w:t>
      </w:r>
      <w:r w:rsidRPr="00A67C76">
        <w:rPr>
          <w:i/>
        </w:rPr>
        <w:t>et al.</w:t>
      </w:r>
      <w:r w:rsidRPr="00A67C76">
        <w:t xml:space="preserve"> 2006; Lane </w:t>
      </w:r>
      <w:r w:rsidRPr="00A67C76">
        <w:rPr>
          <w:i/>
        </w:rPr>
        <w:t>et al.</w:t>
      </w:r>
      <w:r w:rsidRPr="00A67C76">
        <w:t xml:space="preserve"> 2007; Wassens and Maher 2011). For example, Wassens and Maher (2011) observed that frog breeding in the Lachlan River catchment occurred at sites with a higher percentage of aquatic vegetation than non-breeding sites. Vegetation is important for frog breeding as it performs a number of habitat functions for frogs and tadpoles such as; providing sites for calling and attachment of eggs, a food source through input of organic matter and a substrate for the growth of biofilms, and refuge and protection from predators (Anstis 2002; Lane </w:t>
      </w:r>
      <w:r w:rsidRPr="00A67C76">
        <w:rPr>
          <w:i/>
        </w:rPr>
        <w:t>et al.</w:t>
      </w:r>
      <w:r w:rsidRPr="00A67C76">
        <w:t xml:space="preserve"> 2007; Wassens and Maher 2011).</w:t>
      </w:r>
      <w:r>
        <w:t xml:space="preserve"> </w:t>
      </w:r>
    </w:p>
    <w:p w:rsidR="009C5F10" w:rsidRPr="00A67C76" w:rsidRDefault="009C5F10" w:rsidP="004812DB">
      <w:pPr>
        <w:rPr>
          <w:b/>
        </w:rPr>
      </w:pPr>
      <w:r w:rsidRPr="00A67C76">
        <w:rPr>
          <w:b/>
        </w:rPr>
        <w:t xml:space="preserve">Comparison with previous summers </w:t>
      </w:r>
    </w:p>
    <w:p w:rsidR="00556322" w:rsidRPr="00A67C76" w:rsidRDefault="00556322" w:rsidP="00556322">
      <w:bookmarkStart w:id="198" w:name="_Toc387843600"/>
      <w:r w:rsidRPr="00A67C76">
        <w:t xml:space="preserve">Frog calling abundances varied significantly across all years for the three wetland types assessed. Summer 2012 (environmental water) had the lowest frog calling abundance and frog occupancy rates than all other years (across all wetland types), whereas 2010 had the highest frog calling abundances and occupancy rates. The summer of 2010 experienced the highest flow event (compared to other years surveyed) which inundated many dry wetlands (Hoffmann </w:t>
      </w:r>
      <w:r w:rsidRPr="00A67C76">
        <w:rPr>
          <w:i/>
        </w:rPr>
        <w:t>et al</w:t>
      </w:r>
      <w:r w:rsidRPr="00A67C76">
        <w:t>. 2014). Higher frog calling abundances and occupancy rates in 2010 were especially prominent in temporary wetlands and managed wetlands, which may reflect differences in the habitat available at each wetland type. Temporary and managed wetlands may have more fringing vegetation available to be inundated as a result of the higher flows, whereas permanent wetlands may have less available vegetation due to stable water levels constraining emergent vegetation to a narrow riparian band (</w:t>
      </w:r>
      <w:r w:rsidRPr="00A67C76">
        <w:rPr>
          <w:rFonts w:eastAsia="Calibri" w:cs="Calibri"/>
        </w:rPr>
        <w:t>van der Valk</w:t>
      </w:r>
      <w:r w:rsidRPr="00A67C76">
        <w:t xml:space="preserve"> </w:t>
      </w:r>
      <w:r w:rsidRPr="00A67C76">
        <w:rPr>
          <w:i/>
        </w:rPr>
        <w:t xml:space="preserve">et al. </w:t>
      </w:r>
      <w:r w:rsidRPr="00A67C76">
        <w:t xml:space="preserve">1994; Blanch </w:t>
      </w:r>
      <w:r w:rsidRPr="00A67C76">
        <w:rPr>
          <w:i/>
        </w:rPr>
        <w:t xml:space="preserve">et al. </w:t>
      </w:r>
      <w:r w:rsidRPr="00A67C76">
        <w:t xml:space="preserve">2000). Whilst parameters of different wetland types were not considered in this study, work undertaken elsewhere in the Murray-Darling Basin showed that most frog species were found at higher rates in temporary sites that had higher percent cover of emergent and submerged vegetation compared with permanent sites (Wassens and Maher 2011). Nevertheless, permanent wetlands are important refuges in low flow periods (Wassens </w:t>
      </w:r>
      <w:r w:rsidRPr="00A67C76">
        <w:rPr>
          <w:i/>
        </w:rPr>
        <w:t xml:space="preserve">et al. </w:t>
      </w:r>
      <w:r w:rsidRPr="00A67C76">
        <w:t>2008; Wassens 2010). During the high flows in summer 2010, frogs may have moved from permanent sites to newly inundated areas nearby with more preferred habitat, as some species have been observed to move up to 1 km away from the water’s edge (</w:t>
      </w:r>
      <w:r w:rsidRPr="00A67C76">
        <w:rPr>
          <w:noProof/>
        </w:rPr>
        <w:t xml:space="preserve">Gonzalez </w:t>
      </w:r>
      <w:r w:rsidRPr="00A67C76">
        <w:rPr>
          <w:i/>
          <w:noProof/>
        </w:rPr>
        <w:t>et al.</w:t>
      </w:r>
      <w:r w:rsidRPr="00A67C76">
        <w:rPr>
          <w:noProof/>
        </w:rPr>
        <w:t xml:space="preserve"> 2011).</w:t>
      </w:r>
      <w:r w:rsidRPr="00A67C76">
        <w:t xml:space="preserve"> </w:t>
      </w:r>
    </w:p>
    <w:p w:rsidR="00556322" w:rsidRPr="00A67C76" w:rsidRDefault="00556322" w:rsidP="00556322">
      <w:r w:rsidRPr="00A67C76">
        <w:t xml:space="preserve">The low calling abundances and occupancy rates detected in 2012 during the environmental watering may be in part due to the timing of the event as it followed two years of high flows. The prolonged high flows preceding the environmental watering may have led to a ‘drowning and dying off’ of vegetation around the riparian zone that occurred in the elevations just above pool level, resulting in sparser areas of emergent vegetation in summer 2012 (DEWNR unpublished data). </w:t>
      </w:r>
    </w:p>
    <w:p w:rsidR="006E1C7F" w:rsidRPr="00A67C76" w:rsidRDefault="006E1C7F" w:rsidP="00F41737">
      <w:pPr>
        <w:pStyle w:val="Heading2"/>
      </w:pPr>
      <w:r w:rsidRPr="00A67C76">
        <w:t>Coorong (modelling)</w:t>
      </w:r>
      <w:bookmarkEnd w:id="198"/>
    </w:p>
    <w:p w:rsidR="006E1C7F" w:rsidRPr="00A67C76" w:rsidRDefault="006E1C7F" w:rsidP="004812DB">
      <w:pPr>
        <w:rPr>
          <w:b/>
          <w:i/>
        </w:rPr>
      </w:pPr>
      <w:r w:rsidRPr="00A67C76">
        <w:rPr>
          <w:b/>
          <w:i/>
        </w:rPr>
        <w:t>Ruppia tuberosa</w:t>
      </w:r>
    </w:p>
    <w:p w:rsidR="00657C2E" w:rsidRPr="00A67C76" w:rsidRDefault="00657C2E" w:rsidP="00657C2E">
      <w:pPr>
        <w:jc w:val="both"/>
        <w:rPr>
          <w:szCs w:val="22"/>
        </w:rPr>
      </w:pPr>
      <w:r w:rsidRPr="00A67C76">
        <w:rPr>
          <w:szCs w:val="22"/>
        </w:rPr>
        <w:t xml:space="preserve">For periods where there is information regarding the distribution and abundance of </w:t>
      </w:r>
      <w:r w:rsidRPr="00A67C76">
        <w:rPr>
          <w:i/>
          <w:szCs w:val="22"/>
        </w:rPr>
        <w:t>Ruppia tuberosa</w:t>
      </w:r>
      <w:r w:rsidRPr="00A67C76">
        <w:rPr>
          <w:szCs w:val="22"/>
        </w:rPr>
        <w:t xml:space="preserve"> in the South Lagoon (the mid</w:t>
      </w:r>
      <w:r w:rsidR="00D25697" w:rsidRPr="00A67C76">
        <w:rPr>
          <w:szCs w:val="22"/>
        </w:rPr>
        <w:t>-</w:t>
      </w:r>
      <w:r w:rsidRPr="00A67C76">
        <w:rPr>
          <w:szCs w:val="22"/>
        </w:rPr>
        <w:t>1970s onwards) there is generally a good correlation between the model output and what w</w:t>
      </w:r>
      <w:r w:rsidR="002F52BC" w:rsidRPr="00A67C76">
        <w:rPr>
          <w:szCs w:val="22"/>
        </w:rPr>
        <w:t xml:space="preserve">as reported in the literature. </w:t>
      </w:r>
      <w:r w:rsidRPr="00A67C76">
        <w:rPr>
          <w:szCs w:val="22"/>
        </w:rPr>
        <w:t xml:space="preserve">During the mid to late 1970s when </w:t>
      </w:r>
      <w:r w:rsidRPr="00A67C76">
        <w:rPr>
          <w:i/>
          <w:szCs w:val="22"/>
        </w:rPr>
        <w:t>Ruppia tuberosa</w:t>
      </w:r>
      <w:r w:rsidRPr="00A67C76">
        <w:rPr>
          <w:szCs w:val="22"/>
        </w:rPr>
        <w:t xml:space="preserve"> was abundant and widespread in the South Lagoon </w:t>
      </w:r>
      <w:r w:rsidRPr="00A67C76">
        <w:rPr>
          <w:noProof/>
          <w:szCs w:val="22"/>
        </w:rPr>
        <w:t>(Womersley 1975; Geddes and Brock 1977; Gilbertson and Foale 1977; Brock 1979; Brock 1981)</w:t>
      </w:r>
      <w:r w:rsidRPr="00A67C76">
        <w:rPr>
          <w:szCs w:val="22"/>
        </w:rPr>
        <w:t xml:space="preserve"> the modeled probability of sediment propagule bank replenishment was high, except for two periods of approximately one year in 1972 and 1977 (</w:t>
      </w:r>
      <w:r w:rsidR="002E6077" w:rsidRPr="00A67C76">
        <w:rPr>
          <w:szCs w:val="22"/>
        </w:rPr>
        <w:fldChar w:fldCharType="begin"/>
      </w:r>
      <w:r w:rsidR="00606176" w:rsidRPr="00A67C76">
        <w:rPr>
          <w:szCs w:val="22"/>
        </w:rPr>
        <w:instrText xml:space="preserve"> REF _Ref387831491 \h </w:instrText>
      </w:r>
      <w:r w:rsidR="002E6077" w:rsidRPr="00A67C76">
        <w:rPr>
          <w:szCs w:val="22"/>
        </w:rPr>
      </w:r>
      <w:r w:rsidR="002E6077" w:rsidRPr="00A67C76">
        <w:rPr>
          <w:szCs w:val="22"/>
        </w:rPr>
        <w:fldChar w:fldCharType="separate"/>
      </w:r>
      <w:r w:rsidR="009659F2" w:rsidRPr="00A67C76">
        <w:t xml:space="preserve">Figure </w:t>
      </w:r>
      <w:r w:rsidR="009659F2">
        <w:rPr>
          <w:noProof/>
        </w:rPr>
        <w:t>41</w:t>
      </w:r>
      <w:r w:rsidR="002E6077" w:rsidRPr="00A67C76">
        <w:rPr>
          <w:szCs w:val="22"/>
        </w:rPr>
        <w:fldChar w:fldCharType="end"/>
      </w:r>
      <w:r w:rsidRPr="00A67C76">
        <w:rPr>
          <w:szCs w:val="22"/>
        </w:rPr>
        <w:t xml:space="preserve">). These relatively short periods when there was a low probability of replenishment probably had little impact on the population dynamics of </w:t>
      </w:r>
      <w:r w:rsidRPr="00A67C76">
        <w:rPr>
          <w:i/>
          <w:szCs w:val="22"/>
        </w:rPr>
        <w:t>Ruppia tuberosa</w:t>
      </w:r>
      <w:r w:rsidRPr="00A67C76">
        <w:rPr>
          <w:szCs w:val="22"/>
        </w:rPr>
        <w:t xml:space="preserve"> because this species has a persistent seed bank (i.e. not all of the seed in the sediment seed bank germinates at one time</w:t>
      </w:r>
      <w:r w:rsidR="008474A6" w:rsidRPr="00A67C76">
        <w:rPr>
          <w:szCs w:val="22"/>
        </w:rPr>
        <w:t>)</w:t>
      </w:r>
      <w:r w:rsidRPr="00A67C76">
        <w:rPr>
          <w:szCs w:val="22"/>
        </w:rPr>
        <w:t xml:space="preserve"> (</w:t>
      </w:r>
      <w:r w:rsidRPr="00A67C76">
        <w:rPr>
          <w:i/>
          <w:szCs w:val="22"/>
        </w:rPr>
        <w:t>sensu</w:t>
      </w:r>
      <w:r w:rsidRPr="00A67C76">
        <w:rPr>
          <w:szCs w:val="22"/>
        </w:rPr>
        <w:t xml:space="preserve"> Thompson and Grime 1979) and the unfavourable periods were followed by extended periods of favourable conditions when there was a high probability of propagule bank replenishment (</w:t>
      </w:r>
      <w:r w:rsidR="002E6077" w:rsidRPr="00A67C76">
        <w:rPr>
          <w:szCs w:val="22"/>
        </w:rPr>
        <w:fldChar w:fldCharType="begin"/>
      </w:r>
      <w:r w:rsidR="00606176" w:rsidRPr="00A67C76">
        <w:rPr>
          <w:szCs w:val="22"/>
        </w:rPr>
        <w:instrText xml:space="preserve"> REF _Ref387831491 \h </w:instrText>
      </w:r>
      <w:r w:rsidR="002E6077" w:rsidRPr="00A67C76">
        <w:rPr>
          <w:szCs w:val="22"/>
        </w:rPr>
      </w:r>
      <w:r w:rsidR="002E6077" w:rsidRPr="00A67C76">
        <w:rPr>
          <w:szCs w:val="22"/>
        </w:rPr>
        <w:fldChar w:fldCharType="separate"/>
      </w:r>
      <w:r w:rsidR="009659F2" w:rsidRPr="00A67C76">
        <w:t xml:space="preserve">Figure </w:t>
      </w:r>
      <w:r w:rsidR="009659F2">
        <w:rPr>
          <w:noProof/>
        </w:rPr>
        <w:t>41</w:t>
      </w:r>
      <w:r w:rsidR="002E6077" w:rsidRPr="00A67C76">
        <w:rPr>
          <w:szCs w:val="22"/>
        </w:rPr>
        <w:fldChar w:fldCharType="end"/>
      </w:r>
      <w:r w:rsidRPr="00A67C76">
        <w:rPr>
          <w:szCs w:val="22"/>
        </w:rPr>
        <w:t>).</w:t>
      </w:r>
    </w:p>
    <w:p w:rsidR="00657C2E" w:rsidRPr="00A67C76" w:rsidRDefault="00657C2E" w:rsidP="00657C2E">
      <w:pPr>
        <w:jc w:val="both"/>
        <w:rPr>
          <w:szCs w:val="22"/>
        </w:rPr>
      </w:pPr>
      <w:r w:rsidRPr="00A67C76">
        <w:rPr>
          <w:szCs w:val="22"/>
        </w:rPr>
        <w:t xml:space="preserve">During the 1980s </w:t>
      </w:r>
      <w:r w:rsidRPr="00A67C76">
        <w:rPr>
          <w:i/>
          <w:szCs w:val="22"/>
        </w:rPr>
        <w:t>Ruppia tuberosa</w:t>
      </w:r>
      <w:r w:rsidRPr="00A67C76">
        <w:rPr>
          <w:szCs w:val="22"/>
        </w:rPr>
        <w:t xml:space="preserve"> was still abundant and widespread in the South Lagoon of the Coorong </w:t>
      </w:r>
      <w:r w:rsidRPr="00A67C76">
        <w:rPr>
          <w:noProof/>
          <w:szCs w:val="22"/>
        </w:rPr>
        <w:t>(Paton 1982; Geddes and Butler 1984; Geddes 1987)</w:t>
      </w:r>
      <w:r w:rsidRPr="00A67C76">
        <w:rPr>
          <w:szCs w:val="22"/>
        </w:rPr>
        <w:t>; however, the duration of the periods of hydrological conditions that result</w:t>
      </w:r>
      <w:r w:rsidR="006E14B5" w:rsidRPr="00A67C76">
        <w:rPr>
          <w:szCs w:val="22"/>
        </w:rPr>
        <w:t>ed</w:t>
      </w:r>
      <w:r w:rsidRPr="00A67C76">
        <w:rPr>
          <w:szCs w:val="22"/>
        </w:rPr>
        <w:t xml:space="preserve"> in low probability of propagule bank replenishment increased and periods of high probability decreased (</w:t>
      </w:r>
      <w:r w:rsidR="002E6077" w:rsidRPr="00A67C76">
        <w:rPr>
          <w:szCs w:val="22"/>
        </w:rPr>
        <w:fldChar w:fldCharType="begin"/>
      </w:r>
      <w:r w:rsidR="00606176" w:rsidRPr="00A67C76">
        <w:rPr>
          <w:szCs w:val="22"/>
        </w:rPr>
        <w:instrText xml:space="preserve"> REF _Ref387831491 \h </w:instrText>
      </w:r>
      <w:r w:rsidR="002E6077" w:rsidRPr="00A67C76">
        <w:rPr>
          <w:szCs w:val="22"/>
        </w:rPr>
      </w:r>
      <w:r w:rsidR="002E6077" w:rsidRPr="00A67C76">
        <w:rPr>
          <w:szCs w:val="22"/>
        </w:rPr>
        <w:fldChar w:fldCharType="separate"/>
      </w:r>
      <w:r w:rsidR="009659F2" w:rsidRPr="00A67C76">
        <w:t xml:space="preserve">Figure </w:t>
      </w:r>
      <w:r w:rsidR="009659F2">
        <w:rPr>
          <w:noProof/>
        </w:rPr>
        <w:t>41</w:t>
      </w:r>
      <w:r w:rsidR="002E6077" w:rsidRPr="00A67C76">
        <w:rPr>
          <w:szCs w:val="22"/>
        </w:rPr>
        <w:fldChar w:fldCharType="end"/>
      </w:r>
      <w:r w:rsidRPr="00A67C76">
        <w:rPr>
          <w:szCs w:val="22"/>
        </w:rPr>
        <w:t xml:space="preserve">). The periods of high probability of propagule bank replenishment, whilst relatively short, appeared to be sufficient to maintain the </w:t>
      </w:r>
      <w:r w:rsidRPr="00A67C76">
        <w:rPr>
          <w:i/>
          <w:szCs w:val="22"/>
        </w:rPr>
        <w:t>Ruppia tuberosa</w:t>
      </w:r>
      <w:r w:rsidRPr="00A67C76">
        <w:rPr>
          <w:szCs w:val="22"/>
        </w:rPr>
        <w:t xml:space="preserve"> population.  </w:t>
      </w:r>
    </w:p>
    <w:p w:rsidR="00657C2E" w:rsidRPr="00A67C76" w:rsidRDefault="00657C2E" w:rsidP="00657C2E">
      <w:pPr>
        <w:jc w:val="both"/>
        <w:rPr>
          <w:szCs w:val="22"/>
        </w:rPr>
      </w:pPr>
      <w:r w:rsidRPr="00A67C76">
        <w:rPr>
          <w:szCs w:val="22"/>
        </w:rPr>
        <w:t>A further increase in the duration of unfavourable hydrological conditions was observed in the 1990s, with only three out of 10 years having hydrological conditions that would have resulted in a modeled probability greater than 25% of propagule bank replenishment (</w:t>
      </w:r>
      <w:r w:rsidR="002E6077" w:rsidRPr="00A67C76">
        <w:rPr>
          <w:szCs w:val="22"/>
        </w:rPr>
        <w:fldChar w:fldCharType="begin"/>
      </w:r>
      <w:r w:rsidR="00606176" w:rsidRPr="00A67C76">
        <w:rPr>
          <w:szCs w:val="22"/>
        </w:rPr>
        <w:instrText xml:space="preserve"> REF _Ref387831491 \h </w:instrText>
      </w:r>
      <w:r w:rsidR="002E6077" w:rsidRPr="00A67C76">
        <w:rPr>
          <w:szCs w:val="22"/>
        </w:rPr>
      </w:r>
      <w:r w:rsidR="002E6077" w:rsidRPr="00A67C76">
        <w:rPr>
          <w:szCs w:val="22"/>
        </w:rPr>
        <w:fldChar w:fldCharType="separate"/>
      </w:r>
      <w:r w:rsidR="009659F2" w:rsidRPr="00A67C76">
        <w:t xml:space="preserve">Figure </w:t>
      </w:r>
      <w:r w:rsidR="009659F2">
        <w:rPr>
          <w:noProof/>
        </w:rPr>
        <w:t>41</w:t>
      </w:r>
      <w:r w:rsidR="002E6077" w:rsidRPr="00A67C76">
        <w:rPr>
          <w:szCs w:val="22"/>
        </w:rPr>
        <w:fldChar w:fldCharType="end"/>
      </w:r>
      <w:r w:rsidRPr="00A67C76">
        <w:rPr>
          <w:szCs w:val="22"/>
        </w:rPr>
        <w:t xml:space="preserve">).  </w:t>
      </w:r>
      <w:r w:rsidRPr="00A67C76">
        <w:rPr>
          <w:i/>
          <w:szCs w:val="22"/>
        </w:rPr>
        <w:t>Ruppia tuberosa</w:t>
      </w:r>
      <w:r w:rsidRPr="00A67C76">
        <w:rPr>
          <w:szCs w:val="22"/>
        </w:rPr>
        <w:t xml:space="preserve"> was widespread and abundant during the early 1990s </w:t>
      </w:r>
      <w:r w:rsidRPr="00A67C76">
        <w:rPr>
          <w:noProof/>
          <w:szCs w:val="22"/>
        </w:rPr>
        <w:t>(Leary 1993; Paton 1996; Nicol 2005)</w:t>
      </w:r>
      <w:r w:rsidRPr="00A67C76">
        <w:rPr>
          <w:szCs w:val="22"/>
        </w:rPr>
        <w:t>, which corresponds to a period of high probability of propagule bank replenishment (</w:t>
      </w:r>
      <w:r w:rsidR="002E6077" w:rsidRPr="00A67C76">
        <w:rPr>
          <w:szCs w:val="22"/>
        </w:rPr>
        <w:fldChar w:fldCharType="begin"/>
      </w:r>
      <w:r w:rsidR="00606176" w:rsidRPr="00A67C76">
        <w:rPr>
          <w:szCs w:val="22"/>
        </w:rPr>
        <w:instrText xml:space="preserve"> REF _Ref387831491 \h </w:instrText>
      </w:r>
      <w:r w:rsidR="002E6077" w:rsidRPr="00A67C76">
        <w:rPr>
          <w:szCs w:val="22"/>
        </w:rPr>
      </w:r>
      <w:r w:rsidR="002E6077" w:rsidRPr="00A67C76">
        <w:rPr>
          <w:szCs w:val="22"/>
        </w:rPr>
        <w:fldChar w:fldCharType="separate"/>
      </w:r>
      <w:r w:rsidR="009659F2" w:rsidRPr="00A67C76">
        <w:t xml:space="preserve">Figure </w:t>
      </w:r>
      <w:r w:rsidR="009659F2">
        <w:rPr>
          <w:noProof/>
        </w:rPr>
        <w:t>41</w:t>
      </w:r>
      <w:r w:rsidR="002E6077" w:rsidRPr="00A67C76">
        <w:rPr>
          <w:szCs w:val="22"/>
        </w:rPr>
        <w:fldChar w:fldCharType="end"/>
      </w:r>
      <w:r w:rsidRPr="00A67C76">
        <w:rPr>
          <w:szCs w:val="22"/>
        </w:rPr>
        <w:t xml:space="preserve">).  However, by the late 1990s the distribution and abundance of </w:t>
      </w:r>
      <w:r w:rsidRPr="00A67C76">
        <w:rPr>
          <w:i/>
          <w:szCs w:val="22"/>
        </w:rPr>
        <w:t>Ruppia tuberosa</w:t>
      </w:r>
      <w:r w:rsidRPr="00A67C76">
        <w:rPr>
          <w:szCs w:val="22"/>
        </w:rPr>
        <w:t xml:space="preserve"> was showing signs of decline particularly at the southern end of the South Lagoon </w:t>
      </w:r>
      <w:r w:rsidRPr="00A67C76">
        <w:rPr>
          <w:noProof/>
          <w:szCs w:val="22"/>
        </w:rPr>
        <w:t>(Freebairn 1998; Paton 2000; Nicol 2005; Whipp 2010)</w:t>
      </w:r>
      <w:r w:rsidRPr="00A67C76">
        <w:rPr>
          <w:szCs w:val="22"/>
        </w:rPr>
        <w:t>, which corresponded with a period of modeled low probability of propagule bank replenishment (</w:t>
      </w:r>
      <w:r w:rsidR="002E6077" w:rsidRPr="00A67C76">
        <w:rPr>
          <w:szCs w:val="22"/>
        </w:rPr>
        <w:fldChar w:fldCharType="begin"/>
      </w:r>
      <w:r w:rsidR="00606176" w:rsidRPr="00A67C76">
        <w:rPr>
          <w:szCs w:val="22"/>
        </w:rPr>
        <w:instrText xml:space="preserve"> REF _Ref387831491 \h </w:instrText>
      </w:r>
      <w:r w:rsidR="002E6077" w:rsidRPr="00A67C76">
        <w:rPr>
          <w:szCs w:val="22"/>
        </w:rPr>
      </w:r>
      <w:r w:rsidR="002E6077" w:rsidRPr="00A67C76">
        <w:rPr>
          <w:szCs w:val="22"/>
        </w:rPr>
        <w:fldChar w:fldCharType="separate"/>
      </w:r>
      <w:r w:rsidR="009659F2" w:rsidRPr="00A67C76">
        <w:t xml:space="preserve">Figure </w:t>
      </w:r>
      <w:r w:rsidR="009659F2">
        <w:rPr>
          <w:noProof/>
        </w:rPr>
        <w:t>41</w:t>
      </w:r>
      <w:r w:rsidR="002E6077" w:rsidRPr="00A67C76">
        <w:rPr>
          <w:szCs w:val="22"/>
        </w:rPr>
        <w:fldChar w:fldCharType="end"/>
      </w:r>
      <w:r w:rsidRPr="00A67C76">
        <w:rPr>
          <w:szCs w:val="22"/>
        </w:rPr>
        <w:t>).</w:t>
      </w:r>
    </w:p>
    <w:p w:rsidR="00657C2E" w:rsidRPr="00A67C76" w:rsidRDefault="00657C2E" w:rsidP="00657C2E">
      <w:pPr>
        <w:jc w:val="both"/>
        <w:rPr>
          <w:szCs w:val="22"/>
        </w:rPr>
      </w:pPr>
      <w:r w:rsidRPr="00A67C76">
        <w:rPr>
          <w:szCs w:val="22"/>
        </w:rPr>
        <w:t>From 2001 to 2011</w:t>
      </w:r>
      <w:r w:rsidR="00362805">
        <w:rPr>
          <w:szCs w:val="22"/>
        </w:rPr>
        <w:t>,</w:t>
      </w:r>
      <w:r w:rsidRPr="00A67C76">
        <w:rPr>
          <w:szCs w:val="22"/>
        </w:rPr>
        <w:t xml:space="preserve"> the modeled probability of </w:t>
      </w:r>
      <w:r w:rsidRPr="00A67C76">
        <w:rPr>
          <w:i/>
          <w:szCs w:val="22"/>
        </w:rPr>
        <w:t>Ruppia tuberosa</w:t>
      </w:r>
      <w:r w:rsidRPr="00A67C76">
        <w:rPr>
          <w:szCs w:val="22"/>
        </w:rPr>
        <w:t xml:space="preserve"> sediment propagule bank replenishment was lower than 25% for the South Lagoon, except in 2001 in the northern 30 km of the lagoon (</w:t>
      </w:r>
      <w:r w:rsidR="002E6077" w:rsidRPr="00A67C76">
        <w:rPr>
          <w:szCs w:val="22"/>
        </w:rPr>
        <w:fldChar w:fldCharType="begin"/>
      </w:r>
      <w:r w:rsidR="00606176" w:rsidRPr="00A67C76">
        <w:rPr>
          <w:szCs w:val="22"/>
        </w:rPr>
        <w:instrText xml:space="preserve"> REF _Ref387831491 \h </w:instrText>
      </w:r>
      <w:r w:rsidR="002E6077" w:rsidRPr="00A67C76">
        <w:rPr>
          <w:szCs w:val="22"/>
        </w:rPr>
      </w:r>
      <w:r w:rsidR="002E6077" w:rsidRPr="00A67C76">
        <w:rPr>
          <w:szCs w:val="22"/>
        </w:rPr>
        <w:fldChar w:fldCharType="separate"/>
      </w:r>
      <w:r w:rsidR="009659F2" w:rsidRPr="00A67C76">
        <w:t xml:space="preserve">Figure </w:t>
      </w:r>
      <w:r w:rsidR="009659F2">
        <w:rPr>
          <w:noProof/>
        </w:rPr>
        <w:t>41</w:t>
      </w:r>
      <w:r w:rsidR="002E6077" w:rsidRPr="00A67C76">
        <w:rPr>
          <w:szCs w:val="22"/>
        </w:rPr>
        <w:fldChar w:fldCharType="end"/>
      </w:r>
      <w:r w:rsidRPr="00A67C76">
        <w:rPr>
          <w:szCs w:val="22"/>
        </w:rPr>
        <w:t xml:space="preserve">).  This period corresponded with a sustained decline of </w:t>
      </w:r>
      <w:r w:rsidRPr="00A67C76">
        <w:rPr>
          <w:i/>
          <w:szCs w:val="22"/>
        </w:rPr>
        <w:t>Ruppia tuberosa</w:t>
      </w:r>
      <w:r w:rsidRPr="00A67C76">
        <w:rPr>
          <w:szCs w:val="22"/>
        </w:rPr>
        <w:t xml:space="preserve"> distribution, abundance and propagule bank and by 2011 plants were absent from all but the most northerly section of the South Lagoon and the propagule bank was extremely depauperate </w:t>
      </w:r>
      <w:r w:rsidRPr="00A67C76">
        <w:rPr>
          <w:noProof/>
          <w:szCs w:val="22"/>
        </w:rPr>
        <w:t>(Paton 2001; Paton</w:t>
      </w:r>
      <w:r w:rsidRPr="00A67C76">
        <w:rPr>
          <w:i/>
          <w:noProof/>
          <w:szCs w:val="22"/>
        </w:rPr>
        <w:t xml:space="preserve"> et al.</w:t>
      </w:r>
      <w:r w:rsidRPr="00A67C76">
        <w:rPr>
          <w:noProof/>
          <w:szCs w:val="22"/>
        </w:rPr>
        <w:t xml:space="preserve"> 2001; Paton 2002; Paton 2003; Nicol 2005; Paton 2005a; Paton 2005b; Paton and Rogers 2008; Brookes</w:t>
      </w:r>
      <w:r w:rsidRPr="00A67C76">
        <w:rPr>
          <w:i/>
          <w:noProof/>
          <w:szCs w:val="22"/>
        </w:rPr>
        <w:t xml:space="preserve"> et al.</w:t>
      </w:r>
      <w:r w:rsidRPr="00A67C76">
        <w:rPr>
          <w:noProof/>
          <w:szCs w:val="22"/>
        </w:rPr>
        <w:t xml:space="preserve"> 2009; Whipp 2010)</w:t>
      </w:r>
      <w:r w:rsidRPr="00A67C76">
        <w:rPr>
          <w:szCs w:val="22"/>
        </w:rPr>
        <w:t>.</w:t>
      </w:r>
    </w:p>
    <w:p w:rsidR="00657C2E" w:rsidRPr="00A67C76" w:rsidRDefault="00657C2E" w:rsidP="00657C2E">
      <w:pPr>
        <w:jc w:val="both"/>
        <w:rPr>
          <w:szCs w:val="22"/>
        </w:rPr>
      </w:pPr>
      <w:r w:rsidRPr="00A67C76">
        <w:rPr>
          <w:szCs w:val="22"/>
        </w:rPr>
        <w:t xml:space="preserve">The 2010-11 </w:t>
      </w:r>
      <w:proofErr w:type="gramStart"/>
      <w:r w:rsidRPr="00A67C76">
        <w:rPr>
          <w:szCs w:val="22"/>
        </w:rPr>
        <w:t>flood</w:t>
      </w:r>
      <w:proofErr w:type="gramEnd"/>
      <w:r w:rsidRPr="00A67C76">
        <w:rPr>
          <w:szCs w:val="22"/>
        </w:rPr>
        <w:t xml:space="preserve"> resulted in favourable hydrological conditions for </w:t>
      </w:r>
      <w:r w:rsidRPr="00A67C76">
        <w:rPr>
          <w:i/>
          <w:szCs w:val="22"/>
        </w:rPr>
        <w:t>Ruppia tuberosa</w:t>
      </w:r>
      <w:r w:rsidRPr="00A67C76">
        <w:rPr>
          <w:szCs w:val="22"/>
        </w:rPr>
        <w:t xml:space="preserve"> in the South Lagoon; therefore, higher modeled probability of sediment propagule bank replenishment (</w:t>
      </w:r>
      <w:r w:rsidR="002E6077" w:rsidRPr="00A67C76">
        <w:rPr>
          <w:szCs w:val="22"/>
        </w:rPr>
        <w:fldChar w:fldCharType="begin"/>
      </w:r>
      <w:r w:rsidR="00606176" w:rsidRPr="00A67C76">
        <w:rPr>
          <w:szCs w:val="22"/>
        </w:rPr>
        <w:instrText xml:space="preserve"> REF _Ref387831491 \h </w:instrText>
      </w:r>
      <w:r w:rsidR="002E6077" w:rsidRPr="00A67C76">
        <w:rPr>
          <w:szCs w:val="22"/>
        </w:rPr>
      </w:r>
      <w:r w:rsidR="002E6077" w:rsidRPr="00A67C76">
        <w:rPr>
          <w:szCs w:val="22"/>
        </w:rPr>
        <w:fldChar w:fldCharType="separate"/>
      </w:r>
      <w:r w:rsidR="009659F2" w:rsidRPr="00A67C76">
        <w:t xml:space="preserve">Figure </w:t>
      </w:r>
      <w:r w:rsidR="009659F2">
        <w:rPr>
          <w:noProof/>
        </w:rPr>
        <w:t>41</w:t>
      </w:r>
      <w:r w:rsidR="002E6077" w:rsidRPr="00A67C76">
        <w:rPr>
          <w:szCs w:val="22"/>
        </w:rPr>
        <w:fldChar w:fldCharType="end"/>
      </w:r>
      <w:r w:rsidRPr="00A67C76">
        <w:rPr>
          <w:szCs w:val="22"/>
        </w:rPr>
        <w:t xml:space="preserve">). </w:t>
      </w:r>
      <w:r w:rsidRPr="00A67C76">
        <w:rPr>
          <w:noProof/>
          <w:szCs w:val="22"/>
        </w:rPr>
        <w:t>Frahn</w:t>
      </w:r>
      <w:r w:rsidRPr="00A67C76">
        <w:rPr>
          <w:i/>
          <w:noProof/>
          <w:szCs w:val="22"/>
        </w:rPr>
        <w:t xml:space="preserve"> et al.</w:t>
      </w:r>
      <w:r w:rsidRPr="00A67C76">
        <w:rPr>
          <w:noProof/>
          <w:szCs w:val="22"/>
        </w:rPr>
        <w:t xml:space="preserve"> (2012)</w:t>
      </w:r>
      <w:r w:rsidRPr="00A67C76">
        <w:rPr>
          <w:szCs w:val="22"/>
        </w:rPr>
        <w:t xml:space="preserve"> reported widespread but sparse occurrence of </w:t>
      </w:r>
      <w:r w:rsidRPr="00A67C76">
        <w:rPr>
          <w:i/>
          <w:szCs w:val="22"/>
        </w:rPr>
        <w:t>Ruppia tuberosa</w:t>
      </w:r>
      <w:r w:rsidRPr="00A67C76">
        <w:rPr>
          <w:szCs w:val="22"/>
        </w:rPr>
        <w:t xml:space="preserve"> in the South Lagoon between Parnka Point an</w:t>
      </w:r>
      <w:r w:rsidR="008474A6" w:rsidRPr="00A67C76">
        <w:rPr>
          <w:szCs w:val="22"/>
        </w:rPr>
        <w:t xml:space="preserve">d Salt Creek in December 2011. </w:t>
      </w:r>
      <w:r w:rsidRPr="00A67C76">
        <w:rPr>
          <w:szCs w:val="22"/>
        </w:rPr>
        <w:t xml:space="preserve">The abundance of </w:t>
      </w:r>
      <w:r w:rsidRPr="00A67C76">
        <w:rPr>
          <w:i/>
          <w:szCs w:val="22"/>
        </w:rPr>
        <w:t>Ruppia tuberosa</w:t>
      </w:r>
      <w:r w:rsidRPr="00A67C76">
        <w:rPr>
          <w:szCs w:val="22"/>
        </w:rPr>
        <w:t xml:space="preserve"> when sampled in December 2011 was much lower than reported in 1980s, 1990s and early 2000s </w:t>
      </w:r>
      <w:r w:rsidRPr="00A67C76">
        <w:rPr>
          <w:noProof/>
          <w:szCs w:val="22"/>
        </w:rPr>
        <w:t>(Frahn</w:t>
      </w:r>
      <w:r w:rsidRPr="00A67C76">
        <w:rPr>
          <w:i/>
          <w:noProof/>
          <w:szCs w:val="22"/>
        </w:rPr>
        <w:t xml:space="preserve"> et al.</w:t>
      </w:r>
      <w:r w:rsidRPr="00A67C76">
        <w:rPr>
          <w:noProof/>
          <w:szCs w:val="22"/>
        </w:rPr>
        <w:t xml:space="preserve"> 2012)</w:t>
      </w:r>
      <w:r w:rsidRPr="00A67C76">
        <w:rPr>
          <w:szCs w:val="22"/>
        </w:rPr>
        <w:t xml:space="preserve">. This was not surprising given the unprecedented period of poor hydrological conditions </w:t>
      </w:r>
      <w:r w:rsidR="006E14B5" w:rsidRPr="00A67C76">
        <w:rPr>
          <w:szCs w:val="22"/>
        </w:rPr>
        <w:t>in the ten years</w:t>
      </w:r>
      <w:r w:rsidRPr="00A67C76">
        <w:rPr>
          <w:szCs w:val="22"/>
        </w:rPr>
        <w:t xml:space="preserve"> prior to sampling</w:t>
      </w:r>
      <w:r w:rsidR="0022191D" w:rsidRPr="00A67C76">
        <w:rPr>
          <w:szCs w:val="22"/>
        </w:rPr>
        <w:t>, which</w:t>
      </w:r>
      <w:r w:rsidRPr="00A67C76">
        <w:rPr>
          <w:szCs w:val="22"/>
        </w:rPr>
        <w:t xml:space="preserve"> needs to be taken into consideration when interoperating future model outputs (i.e. high modeled probability of sediment propagule bank replenishment may not result in widespread and abundant </w:t>
      </w:r>
      <w:r w:rsidRPr="00A67C76">
        <w:rPr>
          <w:i/>
          <w:szCs w:val="22"/>
        </w:rPr>
        <w:t>Ruppia tuberosa</w:t>
      </w:r>
      <w:r w:rsidRPr="00A67C76">
        <w:rPr>
          <w:szCs w:val="22"/>
        </w:rPr>
        <w:t xml:space="preserve"> in the South Lagoon).</w:t>
      </w:r>
    </w:p>
    <w:p w:rsidR="006E14B5" w:rsidRPr="00A67C76" w:rsidRDefault="0022191D" w:rsidP="002F52BC">
      <w:pPr>
        <w:jc w:val="both"/>
      </w:pPr>
      <w:r w:rsidRPr="00A67C76">
        <w:t xml:space="preserve">Model simulation for </w:t>
      </w:r>
      <w:r w:rsidR="00333041" w:rsidRPr="00A67C76">
        <w:t>201</w:t>
      </w:r>
      <w:r w:rsidR="00EE2048">
        <w:t xml:space="preserve">1 </w:t>
      </w:r>
      <w:r w:rsidR="00BD61BC" w:rsidRPr="00A67C76">
        <w:t>suggested that there</w:t>
      </w:r>
      <w:r w:rsidR="00EE2048">
        <w:t xml:space="preserve"> was little benefit in providing environmental water; however, there</w:t>
      </w:r>
      <w:r w:rsidR="00BD61BC" w:rsidRPr="00A67C76">
        <w:t xml:space="preserve"> was a benefit to </w:t>
      </w:r>
      <w:r w:rsidR="00BD61BC" w:rsidRPr="00A67C76">
        <w:rPr>
          <w:i/>
        </w:rPr>
        <w:t>Ruppia tuberosa</w:t>
      </w:r>
      <w:r w:rsidR="00BD61BC" w:rsidRPr="00A67C76">
        <w:t xml:space="preserve"> populations by providing environmental water</w:t>
      </w:r>
      <w:r w:rsidR="00B460C8">
        <w:t xml:space="preserve">; </w:t>
      </w:r>
      <w:r w:rsidR="00EE2048">
        <w:t xml:space="preserve">in 2012 </w:t>
      </w:r>
      <w:r w:rsidR="00BD61BC" w:rsidRPr="00A67C76">
        <w:t>(</w:t>
      </w:r>
      <w:r w:rsidR="002E6077" w:rsidRPr="00A67C76">
        <w:fldChar w:fldCharType="begin"/>
      </w:r>
      <w:r w:rsidR="00606176" w:rsidRPr="00A67C76">
        <w:instrText xml:space="preserve"> REF _Ref387831585 \h </w:instrText>
      </w:r>
      <w:r w:rsidR="002E6077" w:rsidRPr="00A67C76">
        <w:fldChar w:fldCharType="separate"/>
      </w:r>
      <w:r w:rsidR="009659F2" w:rsidRPr="00A67C76">
        <w:t xml:space="preserve">Figure </w:t>
      </w:r>
      <w:r w:rsidR="009659F2">
        <w:rPr>
          <w:noProof/>
        </w:rPr>
        <w:t>42</w:t>
      </w:r>
      <w:r w:rsidR="002E6077" w:rsidRPr="00A67C76">
        <w:fldChar w:fldCharType="end"/>
      </w:r>
      <w:r w:rsidR="00BD61BC" w:rsidRPr="00A67C76">
        <w:t>)</w:t>
      </w:r>
      <w:r w:rsidR="00B460C8">
        <w:t xml:space="preserve">. </w:t>
      </w:r>
      <w:r w:rsidR="00BD61BC" w:rsidRPr="00A67C76">
        <w:t xml:space="preserve"> </w:t>
      </w:r>
      <w:r w:rsidR="00B460C8">
        <w:t>I</w:t>
      </w:r>
      <w:r w:rsidRPr="00A67C76">
        <w:t>t</w:t>
      </w:r>
      <w:r w:rsidR="00EF7862">
        <w:t xml:space="preserve"> i</w:t>
      </w:r>
      <w:r w:rsidRPr="00A67C76">
        <w:t xml:space="preserve">s worth </w:t>
      </w:r>
      <w:r w:rsidR="00EE2048">
        <w:t>noting</w:t>
      </w:r>
      <w:r w:rsidRPr="00A67C76">
        <w:t xml:space="preserve"> that </w:t>
      </w:r>
      <w:r w:rsidR="00B460C8">
        <w:t>the</w:t>
      </w:r>
      <w:r w:rsidR="00B460C8" w:rsidRPr="00A67C76">
        <w:t xml:space="preserve"> </w:t>
      </w:r>
      <w:r w:rsidRPr="00A67C76">
        <w:t xml:space="preserve">water </w:t>
      </w:r>
      <w:r w:rsidR="00BD61BC" w:rsidRPr="00A67C76">
        <w:t>provided in</w:t>
      </w:r>
      <w:r w:rsidR="00B460C8">
        <w:t xml:space="preserve"> 2012 was in</w:t>
      </w:r>
      <w:r w:rsidR="00BD61BC" w:rsidRPr="00A67C76">
        <w:t xml:space="preserve"> addition to an unregulated flow and it is unlikely the volumes of </w:t>
      </w:r>
      <w:r w:rsidRPr="00A67C76">
        <w:t xml:space="preserve">environmental </w:t>
      </w:r>
      <w:r w:rsidR="00BD61BC" w:rsidRPr="00A67C76">
        <w:t xml:space="preserve">water available will provide any benefit to </w:t>
      </w:r>
      <w:r w:rsidR="00BD61BC" w:rsidRPr="00A67C76">
        <w:rPr>
          <w:i/>
        </w:rPr>
        <w:t>Ruppia tuberosa</w:t>
      </w:r>
      <w:r w:rsidR="00BD61BC" w:rsidRPr="00A67C76">
        <w:t xml:space="preserve"> in isolation. The years when there was a high probability of propagule bank replenishment corresponded </w:t>
      </w:r>
      <w:r w:rsidR="003D0CDB" w:rsidRPr="00A67C76">
        <w:t>to</w:t>
      </w:r>
      <w:r w:rsidR="00BD61BC" w:rsidRPr="00A67C76">
        <w:t xml:space="preserve"> years when there was an unregulated </w:t>
      </w:r>
      <w:r w:rsidR="003D0CDB" w:rsidRPr="00A67C76">
        <w:t>flow of sufficient duration that resulted in barrage outflows during late spring and early summer. Nevertheless, the volumes of environmental water available could be delivered during late spring and early summer to maximis</w:t>
      </w:r>
      <w:r w:rsidR="009910A2" w:rsidRPr="00A67C76">
        <w:t>e</w:t>
      </w:r>
      <w:r w:rsidR="003D0CDB" w:rsidRPr="00A67C76">
        <w:t xml:space="preserve"> benefits for </w:t>
      </w:r>
      <w:r w:rsidR="003D0CDB" w:rsidRPr="00A67C76">
        <w:rPr>
          <w:i/>
        </w:rPr>
        <w:t>Ruppia tuberosa</w:t>
      </w:r>
      <w:r w:rsidR="003D0CDB" w:rsidRPr="00A67C76">
        <w:t xml:space="preserve"> by</w:t>
      </w:r>
      <w:r w:rsidR="009910A2" w:rsidRPr="00A67C76">
        <w:t xml:space="preserve"> slowing the rate of water level decline during this period.</w:t>
      </w:r>
      <w:r w:rsidR="003D0CDB" w:rsidRPr="00A67C76">
        <w:t xml:space="preserve">  </w:t>
      </w:r>
      <w:r w:rsidR="00BD61BC" w:rsidRPr="00A67C76">
        <w:t xml:space="preserve">   </w:t>
      </w:r>
    </w:p>
    <w:p w:rsidR="006E1C7F" w:rsidRPr="00A67C76" w:rsidRDefault="006E1C7F" w:rsidP="004812DB">
      <w:pPr>
        <w:rPr>
          <w:b/>
          <w:i/>
        </w:rPr>
      </w:pPr>
      <w:r w:rsidRPr="00A67C76">
        <w:rPr>
          <w:b/>
          <w:i/>
        </w:rPr>
        <w:t>Fish habitat</w:t>
      </w:r>
    </w:p>
    <w:p w:rsidR="00D61D14" w:rsidRPr="00A67C76" w:rsidRDefault="00C54FC3" w:rsidP="005526FD">
      <w:pPr>
        <w:jc w:val="both"/>
        <w:rPr>
          <w:szCs w:val="22"/>
        </w:rPr>
      </w:pPr>
      <w:r w:rsidRPr="00A67C76">
        <w:t xml:space="preserve">Salinities in the Coorong are highly variable, and strongly driven by freshwater flows from the </w:t>
      </w:r>
      <w:r w:rsidR="008126DD">
        <w:t xml:space="preserve">Murray </w:t>
      </w:r>
      <w:r w:rsidRPr="00A67C76">
        <w:t xml:space="preserve">River and tidal seawater exchange through the Murray Mouth (Geddes and Butler 1984; Joehnk </w:t>
      </w:r>
      <w:r w:rsidRPr="00A67C76">
        <w:rPr>
          <w:i/>
        </w:rPr>
        <w:t>et a</w:t>
      </w:r>
      <w:r w:rsidR="00F35178" w:rsidRPr="00A67C76">
        <w:rPr>
          <w:i/>
        </w:rPr>
        <w:t>l</w:t>
      </w:r>
      <w:r w:rsidRPr="00A67C76">
        <w:rPr>
          <w:i/>
        </w:rPr>
        <w:t>.</w:t>
      </w:r>
      <w:r w:rsidRPr="00A67C76">
        <w:t xml:space="preserve"> 2014). Typically, there is a strong north to south gradient with increasing salinities, which influence the distribution, abundance and assemblage structure of fish species (Ye </w:t>
      </w:r>
      <w:r w:rsidRPr="00A67C76">
        <w:rPr>
          <w:i/>
        </w:rPr>
        <w:t>et al.</w:t>
      </w:r>
      <w:r w:rsidRPr="00A67C76">
        <w:t xml:space="preserve"> 2012; Livore </w:t>
      </w:r>
      <w:r w:rsidRPr="00A67C76">
        <w:rPr>
          <w:i/>
        </w:rPr>
        <w:t>et al.</w:t>
      </w:r>
      <w:r w:rsidRPr="00A67C76">
        <w:t xml:space="preserve"> 2013). </w:t>
      </w:r>
      <w:r w:rsidR="00526E3E" w:rsidRPr="00A67C76">
        <w:rPr>
          <w:szCs w:val="22"/>
        </w:rPr>
        <w:t>Fish habitat modelling using salinity tolerance threshold (LC</w:t>
      </w:r>
      <w:r w:rsidR="00526E3E" w:rsidRPr="00A67C76">
        <w:rPr>
          <w:szCs w:val="22"/>
          <w:vertAlign w:val="subscript"/>
        </w:rPr>
        <w:t>10</w:t>
      </w:r>
      <w:r w:rsidR="00526E3E" w:rsidRPr="00A67C76">
        <w:rPr>
          <w:szCs w:val="22"/>
        </w:rPr>
        <w:t xml:space="preserve">) of key species provides a </w:t>
      </w:r>
      <w:r w:rsidR="005D610F" w:rsidRPr="00A67C76">
        <w:rPr>
          <w:szCs w:val="22"/>
        </w:rPr>
        <w:t xml:space="preserve">simplified </w:t>
      </w:r>
      <w:r w:rsidR="00526E3E" w:rsidRPr="00A67C76">
        <w:rPr>
          <w:szCs w:val="22"/>
        </w:rPr>
        <w:t xml:space="preserve">preliminary assessment of the </w:t>
      </w:r>
      <w:r w:rsidR="00274141" w:rsidRPr="00A67C76">
        <w:rPr>
          <w:szCs w:val="22"/>
        </w:rPr>
        <w:t xml:space="preserve">probability </w:t>
      </w:r>
      <w:r w:rsidR="00526E3E" w:rsidRPr="00A67C76">
        <w:rPr>
          <w:szCs w:val="22"/>
        </w:rPr>
        <w:t>and extent of the</w:t>
      </w:r>
      <w:r w:rsidR="00274141" w:rsidRPr="00A67C76">
        <w:rPr>
          <w:szCs w:val="22"/>
        </w:rPr>
        <w:t xml:space="preserve"> suitable</w:t>
      </w:r>
      <w:r w:rsidR="00526E3E" w:rsidRPr="00A67C76">
        <w:rPr>
          <w:szCs w:val="22"/>
        </w:rPr>
        <w:t xml:space="preserve"> fish habitat in the Coorong, subject to barrage flow releases with or without environmental water deliveries. </w:t>
      </w:r>
    </w:p>
    <w:p w:rsidR="00CC7AB0" w:rsidRPr="00A67C76" w:rsidRDefault="00CC7AB0" w:rsidP="005E3104">
      <w:pPr>
        <w:jc w:val="both"/>
        <w:rPr>
          <w:szCs w:val="22"/>
        </w:rPr>
      </w:pPr>
      <w:r w:rsidRPr="00A67C76">
        <w:rPr>
          <w:szCs w:val="22"/>
        </w:rPr>
        <w:t xml:space="preserve">For periods where there is information </w:t>
      </w:r>
      <w:r w:rsidR="004E2490" w:rsidRPr="00A67C76">
        <w:rPr>
          <w:szCs w:val="22"/>
        </w:rPr>
        <w:t xml:space="preserve">available </w:t>
      </w:r>
      <w:r w:rsidRPr="00A67C76">
        <w:rPr>
          <w:szCs w:val="22"/>
        </w:rPr>
        <w:t xml:space="preserve">regarding the distribution of the </w:t>
      </w:r>
      <w:r w:rsidR="005D610F" w:rsidRPr="00A67C76">
        <w:rPr>
          <w:szCs w:val="22"/>
        </w:rPr>
        <w:t xml:space="preserve">relevant </w:t>
      </w:r>
      <w:r w:rsidRPr="00A67C76">
        <w:rPr>
          <w:szCs w:val="22"/>
        </w:rPr>
        <w:t xml:space="preserve">species in the Coorong (the </w:t>
      </w:r>
      <w:r w:rsidR="00002919" w:rsidRPr="00A67C76">
        <w:rPr>
          <w:szCs w:val="22"/>
        </w:rPr>
        <w:t>1</w:t>
      </w:r>
      <w:r w:rsidRPr="00A67C76">
        <w:rPr>
          <w:szCs w:val="22"/>
        </w:rPr>
        <w:t>9</w:t>
      </w:r>
      <w:r w:rsidR="004E2490" w:rsidRPr="00A67C76">
        <w:rPr>
          <w:szCs w:val="22"/>
        </w:rPr>
        <w:t>8</w:t>
      </w:r>
      <w:r w:rsidRPr="00A67C76">
        <w:rPr>
          <w:szCs w:val="22"/>
        </w:rPr>
        <w:t>0s onwards) there is generally a good correlation between the model output and what was reported in the literature</w:t>
      </w:r>
      <w:r w:rsidR="004E2490" w:rsidRPr="00A67C76">
        <w:rPr>
          <w:szCs w:val="22"/>
        </w:rPr>
        <w:t xml:space="preserve"> or </w:t>
      </w:r>
      <w:r w:rsidR="005D610F" w:rsidRPr="00A67C76">
        <w:rPr>
          <w:szCs w:val="22"/>
        </w:rPr>
        <w:t xml:space="preserve">through </w:t>
      </w:r>
      <w:r w:rsidR="004E2490" w:rsidRPr="00A67C76">
        <w:rPr>
          <w:szCs w:val="22"/>
        </w:rPr>
        <w:t>the</w:t>
      </w:r>
      <w:r w:rsidR="005D610F" w:rsidRPr="00A67C76">
        <w:rPr>
          <w:szCs w:val="22"/>
        </w:rPr>
        <w:t xml:space="preserve"> Lakes and Coorong</w:t>
      </w:r>
      <w:r w:rsidR="004E2490" w:rsidRPr="00A67C76">
        <w:rPr>
          <w:szCs w:val="22"/>
        </w:rPr>
        <w:t xml:space="preserve"> commercial </w:t>
      </w:r>
      <w:r w:rsidR="005D610F" w:rsidRPr="00A67C76">
        <w:rPr>
          <w:szCs w:val="22"/>
        </w:rPr>
        <w:t>fisheries data.</w:t>
      </w:r>
      <w:r w:rsidR="00EA5E8C" w:rsidRPr="00A67C76">
        <w:rPr>
          <w:szCs w:val="22"/>
        </w:rPr>
        <w:t xml:space="preserve"> For example, the </w:t>
      </w:r>
      <w:r w:rsidR="00244D24" w:rsidRPr="00A67C76">
        <w:rPr>
          <w:szCs w:val="22"/>
        </w:rPr>
        <w:t>modelled fish habitat reduction</w:t>
      </w:r>
      <w:r w:rsidR="00EA5E8C" w:rsidRPr="00A67C76">
        <w:rPr>
          <w:szCs w:val="22"/>
        </w:rPr>
        <w:t xml:space="preserve"> due to salinity increase particularly in the southern part of the Coorong during the</w:t>
      </w:r>
      <w:r w:rsidR="00D61D14" w:rsidRPr="00A67C76">
        <w:rPr>
          <w:szCs w:val="22"/>
        </w:rPr>
        <w:t xml:space="preserve"> drought periods</w:t>
      </w:r>
      <w:r w:rsidR="00EA5E8C" w:rsidRPr="00A67C76">
        <w:rPr>
          <w:szCs w:val="22"/>
        </w:rPr>
        <w:t xml:space="preserve"> </w:t>
      </w:r>
      <w:r w:rsidR="00D61D14" w:rsidRPr="00A67C76">
        <w:rPr>
          <w:szCs w:val="22"/>
        </w:rPr>
        <w:t>well align</w:t>
      </w:r>
      <w:r w:rsidR="00244D24" w:rsidRPr="00A67C76">
        <w:rPr>
          <w:szCs w:val="22"/>
        </w:rPr>
        <w:t xml:space="preserve">ed with findings from </w:t>
      </w:r>
      <w:r w:rsidR="00D61D14" w:rsidRPr="00A67C76">
        <w:rPr>
          <w:szCs w:val="22"/>
        </w:rPr>
        <w:t xml:space="preserve">fish and habitat </w:t>
      </w:r>
      <w:r w:rsidR="00244D24" w:rsidRPr="00A67C76">
        <w:rPr>
          <w:szCs w:val="22"/>
        </w:rPr>
        <w:t>studies in the Coorong</w:t>
      </w:r>
      <w:r w:rsidR="00D61D14" w:rsidRPr="00A67C76">
        <w:rPr>
          <w:szCs w:val="22"/>
        </w:rPr>
        <w:t xml:space="preserve"> during the</w:t>
      </w:r>
      <w:r w:rsidR="00244D24" w:rsidRPr="00A67C76">
        <w:rPr>
          <w:szCs w:val="22"/>
        </w:rPr>
        <w:t xml:space="preserve"> </w:t>
      </w:r>
      <w:r w:rsidR="00D61D14" w:rsidRPr="00A67C76">
        <w:rPr>
          <w:szCs w:val="22"/>
        </w:rPr>
        <w:t xml:space="preserve">1982 drought (Geddes and Butler 1984) and the more recent </w:t>
      </w:r>
      <w:r w:rsidR="005E3104" w:rsidRPr="00A67C76">
        <w:rPr>
          <w:szCs w:val="22"/>
        </w:rPr>
        <w:t xml:space="preserve">millennium </w:t>
      </w:r>
      <w:r w:rsidR="00D61D14" w:rsidRPr="00A67C76">
        <w:rPr>
          <w:szCs w:val="22"/>
        </w:rPr>
        <w:t>drought from 200</w:t>
      </w:r>
      <w:r w:rsidR="005E3104" w:rsidRPr="00A67C76">
        <w:rPr>
          <w:szCs w:val="22"/>
        </w:rPr>
        <w:t>6</w:t>
      </w:r>
      <w:r w:rsidR="00D61D14" w:rsidRPr="00A67C76">
        <w:rPr>
          <w:szCs w:val="22"/>
        </w:rPr>
        <w:t>-20</w:t>
      </w:r>
      <w:r w:rsidR="005E3104" w:rsidRPr="00A67C76">
        <w:rPr>
          <w:szCs w:val="22"/>
        </w:rPr>
        <w:t>09</w:t>
      </w:r>
      <w:r w:rsidR="00D61D14" w:rsidRPr="00A67C76">
        <w:rPr>
          <w:szCs w:val="22"/>
        </w:rPr>
        <w:t xml:space="preserve"> (Noell </w:t>
      </w:r>
      <w:r w:rsidR="00D61D14" w:rsidRPr="00A67C76">
        <w:rPr>
          <w:i/>
          <w:szCs w:val="22"/>
        </w:rPr>
        <w:t>et al</w:t>
      </w:r>
      <w:r w:rsidR="00D61D14" w:rsidRPr="00A67C76">
        <w:rPr>
          <w:szCs w:val="22"/>
        </w:rPr>
        <w:t xml:space="preserve">. 2009; Ye </w:t>
      </w:r>
      <w:r w:rsidR="00D61D14" w:rsidRPr="00A67C76">
        <w:rPr>
          <w:i/>
          <w:szCs w:val="22"/>
        </w:rPr>
        <w:t>et al.</w:t>
      </w:r>
      <w:r w:rsidR="00D61D14" w:rsidRPr="00A67C76">
        <w:rPr>
          <w:szCs w:val="22"/>
        </w:rPr>
        <w:t xml:space="preserve"> 2011</w:t>
      </w:r>
      <w:r w:rsidR="00F35178" w:rsidRPr="00A67C76">
        <w:rPr>
          <w:szCs w:val="22"/>
        </w:rPr>
        <w:t>a</w:t>
      </w:r>
      <w:r w:rsidR="00D61D14" w:rsidRPr="00A67C76">
        <w:rPr>
          <w:szCs w:val="22"/>
        </w:rPr>
        <w:t xml:space="preserve">). On the other hand, the range and habitat extension for a number of fish species following the restoration of Murray River inflows to the Coorong </w:t>
      </w:r>
      <w:r w:rsidR="005E3104" w:rsidRPr="00A67C76">
        <w:rPr>
          <w:szCs w:val="22"/>
        </w:rPr>
        <w:t>have also been illustrated in various field studies in 1983-84 (Geddes 1987) and post 2010-11 flood</w:t>
      </w:r>
      <w:r w:rsidR="00D61D14" w:rsidRPr="00A67C76">
        <w:rPr>
          <w:szCs w:val="22"/>
        </w:rPr>
        <w:t xml:space="preserve"> </w:t>
      </w:r>
      <w:r w:rsidR="005E3104" w:rsidRPr="00A67C76">
        <w:rPr>
          <w:szCs w:val="22"/>
        </w:rPr>
        <w:t xml:space="preserve">(Livore </w:t>
      </w:r>
      <w:r w:rsidR="005E3104" w:rsidRPr="00A67C76">
        <w:rPr>
          <w:i/>
          <w:szCs w:val="22"/>
        </w:rPr>
        <w:t>et al.</w:t>
      </w:r>
      <w:r w:rsidR="005E3104" w:rsidRPr="00A67C76">
        <w:rPr>
          <w:szCs w:val="22"/>
        </w:rPr>
        <w:t xml:space="preserve"> 2013; Ye </w:t>
      </w:r>
      <w:r w:rsidR="005E3104" w:rsidRPr="00A67C76">
        <w:rPr>
          <w:i/>
          <w:szCs w:val="22"/>
        </w:rPr>
        <w:t>et al.</w:t>
      </w:r>
      <w:r w:rsidR="005E3104" w:rsidRPr="00A67C76">
        <w:rPr>
          <w:szCs w:val="22"/>
        </w:rPr>
        <w:t xml:space="preserve"> 2013</w:t>
      </w:r>
      <w:r w:rsidR="00F35178" w:rsidRPr="00A67C76">
        <w:rPr>
          <w:szCs w:val="22"/>
        </w:rPr>
        <w:t>c</w:t>
      </w:r>
      <w:r w:rsidR="005E3104" w:rsidRPr="00A67C76">
        <w:rPr>
          <w:szCs w:val="22"/>
        </w:rPr>
        <w:t>).</w:t>
      </w:r>
    </w:p>
    <w:p w:rsidR="005526FD" w:rsidRPr="00A67C76" w:rsidRDefault="005526FD" w:rsidP="005526FD">
      <w:pPr>
        <w:jc w:val="both"/>
        <w:rPr>
          <w:szCs w:val="22"/>
        </w:rPr>
      </w:pPr>
      <w:r w:rsidRPr="00A67C76">
        <w:rPr>
          <w:szCs w:val="22"/>
        </w:rPr>
        <w:t xml:space="preserve">Results of the daily threshold analysis are not significantly different from the annual exceedance probability analysis. However, habitat suitability in </w:t>
      </w:r>
      <w:r w:rsidR="002E6077" w:rsidRPr="00A67C76">
        <w:rPr>
          <w:szCs w:val="22"/>
        </w:rPr>
        <w:fldChar w:fldCharType="begin"/>
      </w:r>
      <w:r w:rsidR="00606176" w:rsidRPr="00A67C76">
        <w:rPr>
          <w:szCs w:val="22"/>
        </w:rPr>
        <w:instrText xml:space="preserve"> REF _Ref387831611 \h </w:instrText>
      </w:r>
      <w:r w:rsidR="002E6077" w:rsidRPr="00A67C76">
        <w:rPr>
          <w:szCs w:val="22"/>
        </w:rPr>
      </w:r>
      <w:r w:rsidR="002E6077" w:rsidRPr="00A67C76">
        <w:rPr>
          <w:szCs w:val="22"/>
        </w:rPr>
        <w:fldChar w:fldCharType="separate"/>
      </w:r>
      <w:r w:rsidR="009659F2" w:rsidRPr="00A67C76">
        <w:t xml:space="preserve">Figure </w:t>
      </w:r>
      <w:r w:rsidR="009659F2">
        <w:rPr>
          <w:noProof/>
        </w:rPr>
        <w:t>43</w:t>
      </w:r>
      <w:r w:rsidR="002E6077" w:rsidRPr="00A67C76">
        <w:rPr>
          <w:szCs w:val="22"/>
        </w:rPr>
        <w:fldChar w:fldCharType="end"/>
      </w:r>
      <w:r w:rsidRPr="00A67C76">
        <w:rPr>
          <w:szCs w:val="22"/>
        </w:rPr>
        <w:t xml:space="preserve"> gives a more gradual picture. While the threshold analysis can give a good impression on the reach of a certain salinity threshold or fish habitat, it is not suitable to show intermediate regions of suitability</w:t>
      </w:r>
      <w:r w:rsidR="007874A2">
        <w:rPr>
          <w:szCs w:val="22"/>
        </w:rPr>
        <w:t>. It always gives a binary (yes or no) output in contrast to the gradual habita</w:t>
      </w:r>
      <w:r w:rsidR="00035A0A">
        <w:rPr>
          <w:szCs w:val="22"/>
        </w:rPr>
        <w:t xml:space="preserve">t probability shown in </w:t>
      </w:r>
      <w:r w:rsidR="002E6077">
        <w:rPr>
          <w:szCs w:val="22"/>
        </w:rPr>
        <w:fldChar w:fldCharType="begin"/>
      </w:r>
      <w:r w:rsidR="00035A0A">
        <w:rPr>
          <w:szCs w:val="22"/>
        </w:rPr>
        <w:instrText xml:space="preserve"> REF _Ref387831611 \h </w:instrText>
      </w:r>
      <w:r w:rsidR="002E6077">
        <w:rPr>
          <w:szCs w:val="22"/>
        </w:rPr>
      </w:r>
      <w:r w:rsidR="002E6077">
        <w:rPr>
          <w:szCs w:val="22"/>
        </w:rPr>
        <w:fldChar w:fldCharType="separate"/>
      </w:r>
      <w:r w:rsidR="009659F2" w:rsidRPr="00A67C76">
        <w:t xml:space="preserve">Figure </w:t>
      </w:r>
      <w:r w:rsidR="009659F2">
        <w:rPr>
          <w:noProof/>
        </w:rPr>
        <w:t>43</w:t>
      </w:r>
      <w:r w:rsidR="002E6077">
        <w:rPr>
          <w:szCs w:val="22"/>
        </w:rPr>
        <w:fldChar w:fldCharType="end"/>
      </w:r>
      <w:r w:rsidRPr="00A67C76">
        <w:rPr>
          <w:szCs w:val="22"/>
        </w:rPr>
        <w:t xml:space="preserve">. The annual habitat probability is able to give a more detailed picture summarising changes in salinity and thus habitat suitability of an annual cycle. Like in the case of the </w:t>
      </w:r>
      <w:r w:rsidRPr="00A67C76">
        <w:rPr>
          <w:i/>
          <w:szCs w:val="22"/>
        </w:rPr>
        <w:t>Ruppia</w:t>
      </w:r>
      <w:r w:rsidRPr="00A67C76">
        <w:rPr>
          <w:szCs w:val="22"/>
        </w:rPr>
        <w:t xml:space="preserve"> response model it could be extended </w:t>
      </w:r>
      <w:r w:rsidR="00575309" w:rsidRPr="00A67C76">
        <w:rPr>
          <w:szCs w:val="22"/>
        </w:rPr>
        <w:t xml:space="preserve">in future </w:t>
      </w:r>
      <w:r w:rsidRPr="00A67C76">
        <w:rPr>
          <w:szCs w:val="22"/>
        </w:rPr>
        <w:t>to include likewise life cycle information and thus deliver a</w:t>
      </w:r>
      <w:r w:rsidR="007874A2">
        <w:rPr>
          <w:szCs w:val="22"/>
        </w:rPr>
        <w:t>n</w:t>
      </w:r>
      <w:r w:rsidRPr="00A67C76">
        <w:rPr>
          <w:szCs w:val="22"/>
        </w:rPr>
        <w:t xml:space="preserve"> </w:t>
      </w:r>
      <w:r w:rsidR="007874A2">
        <w:rPr>
          <w:szCs w:val="22"/>
        </w:rPr>
        <w:t xml:space="preserve">even </w:t>
      </w:r>
      <w:r w:rsidRPr="00A67C76">
        <w:rPr>
          <w:szCs w:val="22"/>
        </w:rPr>
        <w:t>finer picture of habitat suitability.</w:t>
      </w:r>
    </w:p>
    <w:p w:rsidR="00207A32" w:rsidRPr="00A67C76" w:rsidRDefault="00274141" w:rsidP="00086A67">
      <w:pPr>
        <w:jc w:val="both"/>
        <w:rPr>
          <w:szCs w:val="22"/>
        </w:rPr>
      </w:pPr>
      <w:r w:rsidRPr="00A67C76">
        <w:rPr>
          <w:szCs w:val="22"/>
        </w:rPr>
        <w:t xml:space="preserve">The evaluation of the effect of </w:t>
      </w:r>
      <w:r w:rsidR="00333041" w:rsidRPr="00A67C76">
        <w:rPr>
          <w:szCs w:val="22"/>
        </w:rPr>
        <w:t>2012</w:t>
      </w:r>
      <w:r w:rsidR="00FD328A" w:rsidRPr="00FD328A">
        <w:rPr>
          <w:szCs w:val="22"/>
        </w:rPr>
        <w:t>-13</w:t>
      </w:r>
      <w:r w:rsidRPr="00A67C76">
        <w:rPr>
          <w:szCs w:val="22"/>
        </w:rPr>
        <w:t xml:space="preserve"> </w:t>
      </w:r>
      <w:r w:rsidR="00086A67" w:rsidRPr="00A67C76">
        <w:rPr>
          <w:szCs w:val="22"/>
        </w:rPr>
        <w:t xml:space="preserve">environmental watering </w:t>
      </w:r>
      <w:r w:rsidRPr="00A67C76">
        <w:rPr>
          <w:szCs w:val="22"/>
        </w:rPr>
        <w:t xml:space="preserve">on </w:t>
      </w:r>
      <w:r w:rsidR="00086A67" w:rsidRPr="00A67C76">
        <w:rPr>
          <w:szCs w:val="22"/>
        </w:rPr>
        <w:t>the annual habitat suitability</w:t>
      </w:r>
      <w:r w:rsidRPr="00A67C76">
        <w:rPr>
          <w:szCs w:val="22"/>
        </w:rPr>
        <w:t xml:space="preserve"> suggested that only </w:t>
      </w:r>
      <w:r w:rsidR="00086A67" w:rsidRPr="00A67C76">
        <w:rPr>
          <w:szCs w:val="22"/>
        </w:rPr>
        <w:t xml:space="preserve">three out of the seven species, mulloway, Tamar goby and yelloweye mullet, </w:t>
      </w:r>
      <w:r w:rsidRPr="00A67C76">
        <w:rPr>
          <w:szCs w:val="22"/>
        </w:rPr>
        <w:t>were benefited by environmental watering (i.e. scenarios 2 and 3)</w:t>
      </w:r>
      <w:r w:rsidR="00086A67" w:rsidRPr="00A67C76">
        <w:rPr>
          <w:szCs w:val="22"/>
        </w:rPr>
        <w:t xml:space="preserve"> due to changed salinity in the South Lagoon for </w:t>
      </w:r>
      <w:r w:rsidR="00333041" w:rsidRPr="00A67C76">
        <w:rPr>
          <w:szCs w:val="22"/>
        </w:rPr>
        <w:t>2012</w:t>
      </w:r>
      <w:r w:rsidR="00FD328A" w:rsidRPr="00FD328A">
        <w:rPr>
          <w:szCs w:val="22"/>
        </w:rPr>
        <w:t>-13</w:t>
      </w:r>
      <w:r w:rsidR="00086A67" w:rsidRPr="00A67C76">
        <w:rPr>
          <w:szCs w:val="22"/>
        </w:rPr>
        <w:t xml:space="preserve">. </w:t>
      </w:r>
      <w:r w:rsidRPr="00A67C76">
        <w:rPr>
          <w:szCs w:val="22"/>
        </w:rPr>
        <w:t>For the other five species, t</w:t>
      </w:r>
      <w:r w:rsidR="00086A67" w:rsidRPr="00A67C76">
        <w:rPr>
          <w:szCs w:val="22"/>
        </w:rPr>
        <w:t xml:space="preserve">he </w:t>
      </w:r>
      <w:r w:rsidRPr="00A67C76">
        <w:rPr>
          <w:szCs w:val="22"/>
        </w:rPr>
        <w:t xml:space="preserve">simulated </w:t>
      </w:r>
      <w:r w:rsidR="00086A67" w:rsidRPr="00A67C76">
        <w:rPr>
          <w:szCs w:val="22"/>
        </w:rPr>
        <w:t>salinity</w:t>
      </w:r>
      <w:r w:rsidRPr="00A67C76">
        <w:rPr>
          <w:szCs w:val="22"/>
        </w:rPr>
        <w:t xml:space="preserve"> levels</w:t>
      </w:r>
      <w:r w:rsidR="00086A67" w:rsidRPr="00A67C76">
        <w:rPr>
          <w:szCs w:val="22"/>
        </w:rPr>
        <w:t xml:space="preserve"> </w:t>
      </w:r>
      <w:r w:rsidR="00B31FA2" w:rsidRPr="00A67C76">
        <w:rPr>
          <w:szCs w:val="22"/>
        </w:rPr>
        <w:t xml:space="preserve">were below their thresholds </w:t>
      </w:r>
      <w:r w:rsidRPr="00A67C76">
        <w:rPr>
          <w:szCs w:val="22"/>
        </w:rPr>
        <w:t xml:space="preserve">throughout the Coorong </w:t>
      </w:r>
      <w:r w:rsidR="00B31FA2" w:rsidRPr="00A67C76">
        <w:rPr>
          <w:szCs w:val="22"/>
        </w:rPr>
        <w:t xml:space="preserve">during this year </w:t>
      </w:r>
      <w:r w:rsidR="000E313A" w:rsidRPr="00A67C76">
        <w:rPr>
          <w:szCs w:val="22"/>
        </w:rPr>
        <w:t>given barrage releases were moderately high (~4,500 GL.year</w:t>
      </w:r>
      <w:r w:rsidR="000E313A" w:rsidRPr="00A67C76">
        <w:rPr>
          <w:szCs w:val="22"/>
          <w:vertAlign w:val="superscript"/>
        </w:rPr>
        <w:t>-1</w:t>
      </w:r>
      <w:r w:rsidR="000E313A" w:rsidRPr="00A67C76">
        <w:rPr>
          <w:szCs w:val="22"/>
        </w:rPr>
        <w:t xml:space="preserve">) in </w:t>
      </w:r>
      <w:r w:rsidR="00333041" w:rsidRPr="00A67C76">
        <w:rPr>
          <w:szCs w:val="22"/>
        </w:rPr>
        <w:t>2012</w:t>
      </w:r>
      <w:r w:rsidR="00FD328A" w:rsidRPr="00FD328A">
        <w:rPr>
          <w:szCs w:val="22"/>
        </w:rPr>
        <w:t>-13</w:t>
      </w:r>
      <w:r w:rsidR="000E313A" w:rsidRPr="00A67C76">
        <w:rPr>
          <w:szCs w:val="22"/>
        </w:rPr>
        <w:t xml:space="preserve"> (Livore </w:t>
      </w:r>
      <w:r w:rsidR="000E313A" w:rsidRPr="00A67C76">
        <w:rPr>
          <w:i/>
          <w:szCs w:val="22"/>
        </w:rPr>
        <w:t>et al.</w:t>
      </w:r>
      <w:r w:rsidR="000E313A" w:rsidRPr="00A67C76">
        <w:rPr>
          <w:szCs w:val="22"/>
        </w:rPr>
        <w:t xml:space="preserve"> 2013)</w:t>
      </w:r>
      <w:r w:rsidR="00B31FA2" w:rsidRPr="00A67C76">
        <w:rPr>
          <w:szCs w:val="22"/>
        </w:rPr>
        <w:t>.</w:t>
      </w:r>
      <w:r w:rsidR="000E313A" w:rsidRPr="00A67C76">
        <w:rPr>
          <w:szCs w:val="22"/>
        </w:rPr>
        <w:t xml:space="preserve"> If similar amounts of environmental water were delivered during the drought/low flow years, </w:t>
      </w:r>
      <w:r w:rsidR="00B72EC6" w:rsidRPr="00A67C76">
        <w:rPr>
          <w:szCs w:val="22"/>
        </w:rPr>
        <w:t xml:space="preserve">when most of the southern part of the Coorong became too saline for most of fish species, </w:t>
      </w:r>
      <w:r w:rsidR="000E313A" w:rsidRPr="00A67C76">
        <w:rPr>
          <w:szCs w:val="22"/>
        </w:rPr>
        <w:t xml:space="preserve">the </w:t>
      </w:r>
      <w:r w:rsidR="00CF42C5" w:rsidRPr="00A67C76">
        <w:rPr>
          <w:szCs w:val="22"/>
        </w:rPr>
        <w:t xml:space="preserve">effect on habitat change would have been larger </w:t>
      </w:r>
      <w:r w:rsidR="00A661C9" w:rsidRPr="00A67C76">
        <w:rPr>
          <w:szCs w:val="22"/>
        </w:rPr>
        <w:t>thus</w:t>
      </w:r>
      <w:r w:rsidR="00CF42C5" w:rsidRPr="00A67C76">
        <w:rPr>
          <w:szCs w:val="22"/>
        </w:rPr>
        <w:t xml:space="preserve"> </w:t>
      </w:r>
      <w:r w:rsidR="00A661C9" w:rsidRPr="00A67C76">
        <w:rPr>
          <w:szCs w:val="22"/>
        </w:rPr>
        <w:t xml:space="preserve">more tangible </w:t>
      </w:r>
      <w:r w:rsidR="00CF42C5" w:rsidRPr="00A67C76">
        <w:rPr>
          <w:szCs w:val="22"/>
        </w:rPr>
        <w:t>b</w:t>
      </w:r>
      <w:r w:rsidR="00B72EC6" w:rsidRPr="00A67C76">
        <w:rPr>
          <w:szCs w:val="22"/>
        </w:rPr>
        <w:t xml:space="preserve">enefit </w:t>
      </w:r>
      <w:r w:rsidR="00A661C9" w:rsidRPr="00A67C76">
        <w:rPr>
          <w:szCs w:val="22"/>
        </w:rPr>
        <w:t>shown o</w:t>
      </w:r>
      <w:r w:rsidR="00B72EC6" w:rsidRPr="00A67C76">
        <w:rPr>
          <w:szCs w:val="22"/>
        </w:rPr>
        <w:t>n fish habitat improvement.</w:t>
      </w:r>
      <w:r w:rsidR="00CF42C5" w:rsidRPr="00A67C76">
        <w:rPr>
          <w:szCs w:val="22"/>
        </w:rPr>
        <w:t xml:space="preserve"> </w:t>
      </w:r>
      <w:r w:rsidR="00936F6E" w:rsidRPr="00A67C76">
        <w:rPr>
          <w:szCs w:val="22"/>
        </w:rPr>
        <w:t xml:space="preserve">Despite this, the simulation modelling for </w:t>
      </w:r>
      <w:r w:rsidR="00333041" w:rsidRPr="00A67C76">
        <w:rPr>
          <w:szCs w:val="22"/>
        </w:rPr>
        <w:t>2012</w:t>
      </w:r>
      <w:r w:rsidR="00FD328A" w:rsidRPr="00FD328A">
        <w:rPr>
          <w:szCs w:val="22"/>
        </w:rPr>
        <w:t>-13</w:t>
      </w:r>
      <w:r w:rsidR="00936F6E" w:rsidRPr="00A67C76">
        <w:rPr>
          <w:szCs w:val="22"/>
        </w:rPr>
        <w:t xml:space="preserve"> demonstrated a significant impact on</w:t>
      </w:r>
      <w:r w:rsidR="00B72EC6" w:rsidRPr="00A67C76">
        <w:rPr>
          <w:szCs w:val="22"/>
        </w:rPr>
        <w:t xml:space="preserve"> </w:t>
      </w:r>
      <w:r w:rsidR="00086A67" w:rsidRPr="00A67C76">
        <w:rPr>
          <w:szCs w:val="22"/>
        </w:rPr>
        <w:t>habitat suitability</w:t>
      </w:r>
      <w:r w:rsidR="00936F6E" w:rsidRPr="00A67C76">
        <w:rPr>
          <w:szCs w:val="22"/>
        </w:rPr>
        <w:t xml:space="preserve"> for three fish species with lower salinity tolerances</w:t>
      </w:r>
      <w:r w:rsidR="00086A67" w:rsidRPr="00A67C76">
        <w:rPr>
          <w:szCs w:val="22"/>
        </w:rPr>
        <w:t xml:space="preserve"> by withholding/delivering environmental water in the South Lagoon, where habitat suitability is generally much smaller than in the North Lagoon. </w:t>
      </w:r>
      <w:r w:rsidR="00936F6E" w:rsidRPr="00A67C76">
        <w:rPr>
          <w:szCs w:val="22"/>
        </w:rPr>
        <w:t>For example, m</w:t>
      </w:r>
      <w:r w:rsidR="00086A67" w:rsidRPr="00A67C76">
        <w:rPr>
          <w:szCs w:val="22"/>
        </w:rPr>
        <w:t>ulloway</w:t>
      </w:r>
      <w:r w:rsidR="00936F6E" w:rsidRPr="00A67C76">
        <w:rPr>
          <w:szCs w:val="22"/>
        </w:rPr>
        <w:t xml:space="preserve">, </w:t>
      </w:r>
      <w:r w:rsidR="00086A67" w:rsidRPr="00A67C76">
        <w:rPr>
          <w:szCs w:val="22"/>
        </w:rPr>
        <w:t xml:space="preserve">as the most susceptible fish species in terms of salinity tolerance in </w:t>
      </w:r>
      <w:r w:rsidR="00936F6E" w:rsidRPr="00A67C76">
        <w:rPr>
          <w:szCs w:val="22"/>
        </w:rPr>
        <w:t>this</w:t>
      </w:r>
      <w:r w:rsidR="00086A67" w:rsidRPr="00A67C76">
        <w:rPr>
          <w:szCs w:val="22"/>
        </w:rPr>
        <w:t xml:space="preserve"> study, </w:t>
      </w:r>
      <w:r w:rsidR="00936F6E" w:rsidRPr="00A67C76">
        <w:rPr>
          <w:szCs w:val="22"/>
        </w:rPr>
        <w:t xml:space="preserve">there would have been </w:t>
      </w:r>
      <w:r w:rsidR="00207A32" w:rsidRPr="00A67C76">
        <w:rPr>
          <w:szCs w:val="22"/>
        </w:rPr>
        <w:t xml:space="preserve">up to 13% </w:t>
      </w:r>
      <w:r w:rsidR="00936F6E" w:rsidRPr="00A67C76">
        <w:rPr>
          <w:szCs w:val="22"/>
        </w:rPr>
        <w:t>reduction</w:t>
      </w:r>
      <w:r w:rsidR="00207A32" w:rsidRPr="00A67C76">
        <w:rPr>
          <w:szCs w:val="22"/>
        </w:rPr>
        <w:t xml:space="preserve"> </w:t>
      </w:r>
      <w:r w:rsidR="00086A67" w:rsidRPr="00A67C76">
        <w:rPr>
          <w:szCs w:val="22"/>
        </w:rPr>
        <w:t xml:space="preserve">in habitat suitability </w:t>
      </w:r>
      <w:r w:rsidR="00207A32" w:rsidRPr="00A67C76">
        <w:rPr>
          <w:szCs w:val="22"/>
        </w:rPr>
        <w:t>and 30 km habitat contraction if no environmental water were delivered to the Coorong. With Commonwealth environmental watering, the impact was alleviated to 3%</w:t>
      </w:r>
      <w:r w:rsidR="00CF42C5" w:rsidRPr="00A67C76">
        <w:rPr>
          <w:szCs w:val="22"/>
        </w:rPr>
        <w:t xml:space="preserve"> suitability reduction</w:t>
      </w:r>
      <w:r w:rsidR="00207A32" w:rsidRPr="00A67C76">
        <w:rPr>
          <w:szCs w:val="22"/>
        </w:rPr>
        <w:t xml:space="preserve"> and 7 km contraction.</w:t>
      </w:r>
    </w:p>
    <w:p w:rsidR="00086A67" w:rsidRPr="00A67C76" w:rsidRDefault="00086A67" w:rsidP="00086A67">
      <w:pPr>
        <w:spacing w:before="0" w:after="200" w:line="276" w:lineRule="auto"/>
        <w:rPr>
          <w:rFonts w:asciiTheme="minorHAnsi" w:eastAsiaTheme="minorHAnsi" w:hAnsiTheme="minorHAnsi" w:cstheme="minorBidi"/>
          <w:color w:val="auto"/>
          <w:kern w:val="0"/>
          <w:szCs w:val="22"/>
        </w:rPr>
      </w:pPr>
    </w:p>
    <w:p w:rsidR="00B96890" w:rsidRPr="00A67C76" w:rsidRDefault="00B96890">
      <w:pPr>
        <w:spacing w:before="0" w:after="200" w:line="276" w:lineRule="auto"/>
        <w:rPr>
          <w:rFonts w:eastAsiaTheme="majorEastAsia" w:cstheme="majorBidi"/>
          <w:b/>
          <w:bCs/>
          <w:caps/>
          <w:color w:val="1F497D" w:themeColor="text2"/>
          <w:sz w:val="32"/>
          <w:szCs w:val="28"/>
        </w:rPr>
      </w:pPr>
      <w:bookmarkStart w:id="199" w:name="_Toc381776109"/>
      <w:r w:rsidRPr="00A67C76">
        <w:br w:type="page"/>
      </w:r>
    </w:p>
    <w:p w:rsidR="009C5F10" w:rsidRPr="00A67C76" w:rsidRDefault="009C5F10" w:rsidP="00F41737">
      <w:pPr>
        <w:pStyle w:val="Heading1"/>
      </w:pPr>
      <w:bookmarkStart w:id="200" w:name="_Toc387843601"/>
      <w:r w:rsidRPr="00A67C76">
        <w:t>Conclusions and learnings</w:t>
      </w:r>
      <w:bookmarkEnd w:id="199"/>
      <w:bookmarkEnd w:id="200"/>
    </w:p>
    <w:p w:rsidR="009C5F10" w:rsidRPr="00A67C76" w:rsidRDefault="006E1C7F" w:rsidP="00F41737">
      <w:pPr>
        <w:pStyle w:val="Heading2"/>
      </w:pPr>
      <w:bookmarkStart w:id="201" w:name="_Toc387843602"/>
      <w:r w:rsidRPr="00A67C76">
        <w:t>Main channel</w:t>
      </w:r>
      <w:bookmarkEnd w:id="201"/>
    </w:p>
    <w:p w:rsidR="006E1C7F" w:rsidRPr="00A67C76" w:rsidRDefault="006E1C7F" w:rsidP="00C17A7A">
      <w:pPr>
        <w:rPr>
          <w:b/>
          <w:i/>
        </w:rPr>
      </w:pPr>
      <w:r w:rsidRPr="00A67C76">
        <w:rPr>
          <w:b/>
          <w:i/>
        </w:rPr>
        <w:t>Larval fish</w:t>
      </w:r>
    </w:p>
    <w:p w:rsidR="009C5F10" w:rsidRPr="00A67C76" w:rsidRDefault="009C5F10" w:rsidP="009C5F10">
      <w:r w:rsidRPr="00A67C76">
        <w:t xml:space="preserve">Through the information that has been gathered since 2005 and with the more recent addition of environmental water delivery in summer it is clear that larval fish assemblages in the Lower Murray River are significantly affected and shaped by flow. If timing, magnitude and duration of environmental water deliveries are </w:t>
      </w:r>
      <w:r w:rsidR="00257536" w:rsidRPr="00A67C76">
        <w:t xml:space="preserve">appropriate and </w:t>
      </w:r>
      <w:r w:rsidRPr="00A67C76">
        <w:t>adequate</w:t>
      </w:r>
      <w:r w:rsidR="00DD2767" w:rsidRPr="00A67C76">
        <w:t>,</w:t>
      </w:r>
      <w:r w:rsidRPr="00A67C76">
        <w:t xml:space="preserve"> a response in flow-cued spawning species is expected. The delivery of environmental water seems to have supported an extended presence of golden perch larvae in the L</w:t>
      </w:r>
      <w:r w:rsidR="009F1F7A" w:rsidRPr="00A67C76">
        <w:t xml:space="preserve">ower </w:t>
      </w:r>
      <w:r w:rsidRPr="00A67C76">
        <w:t>M</w:t>
      </w:r>
      <w:r w:rsidR="009F1F7A" w:rsidRPr="00A67C76">
        <w:t xml:space="preserve">urray </w:t>
      </w:r>
      <w:r w:rsidRPr="00A67C76">
        <w:t>R</w:t>
      </w:r>
      <w:r w:rsidR="009F1F7A" w:rsidRPr="00A67C76">
        <w:t>iver</w:t>
      </w:r>
      <w:r w:rsidRPr="00A67C76">
        <w:t xml:space="preserve">, by stimulating local spawning and/or </w:t>
      </w:r>
      <w:r w:rsidR="00257536" w:rsidRPr="00A67C76">
        <w:t xml:space="preserve">facilitating </w:t>
      </w:r>
      <w:r w:rsidRPr="00A67C76">
        <w:t>larva</w:t>
      </w:r>
      <w:r w:rsidR="00257536" w:rsidRPr="00A67C76">
        <w:t>l drift</w:t>
      </w:r>
      <w:r w:rsidRPr="00A67C76">
        <w:t xml:space="preserve"> from upstream sources. Furthermore the source of the environmental water may also play an important role in shaping not only the larval fish assemblage, but also the zooplankton assemblage that support fish larvae and many other functional groups such as some macroinvertebrates (e.g. freshwater shrimp and yabbies).</w:t>
      </w:r>
    </w:p>
    <w:p w:rsidR="00E669A0" w:rsidRPr="00A67C76" w:rsidRDefault="00660EFA" w:rsidP="009C5F10">
      <w:r w:rsidRPr="00A67C76">
        <w:t xml:space="preserve">Golden perch </w:t>
      </w:r>
      <w:r w:rsidR="009C5F10" w:rsidRPr="00A67C76">
        <w:t>larva</w:t>
      </w:r>
      <w:r w:rsidRPr="00A67C76">
        <w:t>e</w:t>
      </w:r>
      <w:r w:rsidR="009C5F10" w:rsidRPr="00A67C76">
        <w:t xml:space="preserve"> </w:t>
      </w:r>
      <w:r w:rsidRPr="00A67C76">
        <w:t>may have selective feeding habits. In order to support their needs during this critical life stage a</w:t>
      </w:r>
      <w:r w:rsidR="00E669A0" w:rsidRPr="00A67C76">
        <w:t xml:space="preserve"> better understanding of th</w:t>
      </w:r>
      <w:r w:rsidRPr="00A67C76">
        <w:t>e</w:t>
      </w:r>
      <w:r w:rsidR="00F15BFA" w:rsidRPr="00A67C76">
        <w:t>ir</w:t>
      </w:r>
      <w:r w:rsidRPr="00A67C76">
        <w:t xml:space="preserve"> diet</w:t>
      </w:r>
      <w:r w:rsidR="00E669A0" w:rsidRPr="00A67C76">
        <w:t xml:space="preserve"> in the early life histories</w:t>
      </w:r>
      <w:r w:rsidR="00DA2E67" w:rsidRPr="00A67C76">
        <w:t xml:space="preserve"> </w:t>
      </w:r>
      <w:r w:rsidRPr="00A67C76">
        <w:t xml:space="preserve">is </w:t>
      </w:r>
      <w:r w:rsidR="00362805">
        <w:t>required</w:t>
      </w:r>
      <w:r w:rsidRPr="00A67C76">
        <w:t>. B</w:t>
      </w:r>
      <w:r w:rsidR="00DA2E67" w:rsidRPr="00A67C76">
        <w:t xml:space="preserve">uilding knowledge </w:t>
      </w:r>
      <w:r w:rsidR="00E669A0" w:rsidRPr="00A67C76">
        <w:t>through further research</w:t>
      </w:r>
      <w:r w:rsidR="00357F6D" w:rsidRPr="00A67C76">
        <w:t xml:space="preserve"> will </w:t>
      </w:r>
      <w:r w:rsidR="00E669A0" w:rsidRPr="00A67C76">
        <w:t xml:space="preserve">eventually </w:t>
      </w:r>
      <w:r w:rsidR="00357F6D" w:rsidRPr="00A67C76">
        <w:t xml:space="preserve">lead to a better </w:t>
      </w:r>
      <w:r w:rsidR="00E669A0" w:rsidRPr="00A67C76">
        <w:t>understand</w:t>
      </w:r>
      <w:r w:rsidR="00357F6D" w:rsidRPr="00A67C76">
        <w:t>ing of</w:t>
      </w:r>
      <w:r w:rsidR="00E669A0" w:rsidRPr="00A67C76">
        <w:t xml:space="preserve"> what conditions determine recruitment success</w:t>
      </w:r>
      <w:r w:rsidR="00F15BFA" w:rsidRPr="00A67C76">
        <w:t xml:space="preserve"> of </w:t>
      </w:r>
      <w:r w:rsidR="00932543" w:rsidRPr="00A67C76">
        <w:t xml:space="preserve">this </w:t>
      </w:r>
      <w:r w:rsidR="00F15BFA" w:rsidRPr="00A67C76">
        <w:t>species</w:t>
      </w:r>
      <w:r w:rsidR="00357F6D" w:rsidRPr="00A67C76">
        <w:t>.</w:t>
      </w:r>
      <w:r w:rsidR="00E669A0" w:rsidRPr="00A67C76">
        <w:t xml:space="preserve"> </w:t>
      </w:r>
    </w:p>
    <w:p w:rsidR="009C5F10" w:rsidRPr="00A67C76" w:rsidRDefault="009C5F10" w:rsidP="00C17A7A">
      <w:pPr>
        <w:rPr>
          <w:b/>
          <w:i/>
        </w:rPr>
      </w:pPr>
      <w:r w:rsidRPr="00A67C76">
        <w:rPr>
          <w:b/>
          <w:i/>
        </w:rPr>
        <w:t xml:space="preserve">Food resources for larval fish </w:t>
      </w:r>
    </w:p>
    <w:p w:rsidR="009C5F10" w:rsidRPr="00A67C76" w:rsidRDefault="009C5F10" w:rsidP="009C5F10">
      <w:r w:rsidRPr="00A67C76">
        <w:t>Despite consuming a broad range of microorganisms, different species of larval fish have different diets. This indicates that larval fish are selective in their use of resources. Large changes occur in the community composition of eukaryotic microorganisms in response to environmental changes, whether natural such as seasonal shifts, or perturbations such as environmental flows. This will influence the availability of food resources for larval fish, and a better understanding is needed of the changes in eukaryotic microorganism communities in response to these changes.</w:t>
      </w:r>
    </w:p>
    <w:p w:rsidR="009C5F10" w:rsidRPr="00A67C76" w:rsidRDefault="009C5F10" w:rsidP="009C5F10">
      <w:r w:rsidRPr="00A67C76">
        <w:t>Supplying these needs will be critical to the successful growth and development of larval fish. The results obtained from this study show that the techniques to undertake such investigations are available, but the ability to interpret such events will be greatly enhanced by monitoring responses to a range of watering events that enable patterns to be identified.</w:t>
      </w:r>
    </w:p>
    <w:p w:rsidR="00FF0B70" w:rsidRPr="00A67C76" w:rsidRDefault="00CD3DBC" w:rsidP="00C17A7A">
      <w:pPr>
        <w:rPr>
          <w:b/>
          <w:i/>
        </w:rPr>
      </w:pPr>
      <w:r w:rsidRPr="00A67C76">
        <w:rPr>
          <w:b/>
          <w:i/>
        </w:rPr>
        <w:t>Dissolved and particulate material transport</w:t>
      </w:r>
    </w:p>
    <w:p w:rsidR="001438D5" w:rsidRPr="00A67C76" w:rsidRDefault="001438D5" w:rsidP="001438D5">
      <w:pPr>
        <w:rPr>
          <w:highlight w:val="yellow"/>
        </w:rPr>
      </w:pPr>
      <w:r w:rsidRPr="00A67C76">
        <w:t>The modelling outputs from the study suggest that the flow regimes supported by C</w:t>
      </w:r>
      <w:r w:rsidR="00AE052A" w:rsidRPr="00A67C76">
        <w:t>ommonwealth environmental watering</w:t>
      </w:r>
      <w:r w:rsidRPr="00A67C76">
        <w:t xml:space="preserve"> increased the transport of dissolved and particulate matter through the Lower Murray River, Lower Lakes and Murray Mouth. Whilst the influence of environmental flow on concentrations was only evident for salinity, environmental flow can significantly influence the transport and export of dissolved and particulate material. For some parameters, additional exports were only achieved because two sources of environmental water were provided, highlighting the importance of supplementary water provisions to the region. The increased transport of this material associated with environmental water</w:t>
      </w:r>
      <w:r w:rsidR="00257536" w:rsidRPr="00A67C76">
        <w:t>ing</w:t>
      </w:r>
      <w:r w:rsidRPr="00A67C76">
        <w:t xml:space="preserve"> will play important functional roles for the studied ecosystems and the nearshore environment, providing habitat through reduced salinity levels and increasing productivity through the provision of resources.</w:t>
      </w:r>
    </w:p>
    <w:p w:rsidR="006E1C7F" w:rsidRPr="00A67C76" w:rsidRDefault="006E1C7F" w:rsidP="00F41737">
      <w:pPr>
        <w:pStyle w:val="Heading2"/>
      </w:pPr>
      <w:bookmarkStart w:id="202" w:name="_Toc387843603"/>
      <w:r w:rsidRPr="00A67C76">
        <w:t>Wetlands</w:t>
      </w:r>
      <w:bookmarkEnd w:id="202"/>
    </w:p>
    <w:p w:rsidR="009C5F10" w:rsidRPr="00A67C76" w:rsidRDefault="00DB21D5" w:rsidP="00C17A7A">
      <w:pPr>
        <w:rPr>
          <w:b/>
          <w:i/>
        </w:rPr>
      </w:pPr>
      <w:r w:rsidRPr="00A67C76">
        <w:rPr>
          <w:b/>
          <w:i/>
        </w:rPr>
        <w:t>Lateral movements of fish</w:t>
      </w:r>
    </w:p>
    <w:p w:rsidR="009C5F10" w:rsidRPr="00A67C76" w:rsidRDefault="009C5F10" w:rsidP="009C5F10">
      <w:r w:rsidRPr="00A67C76">
        <w:t xml:space="preserve">A highly abundant and diverse fish assemblage was recorded moving between the main river channel and wetlands during this study period. The structure of fish assemblages moving laterally was highly variable among flow phases at each wetland, and such differences were not consistent among wetlands. Such variability reflected the spatial differences in the physical and hydraulic attributes among the two wetlands examined. Furthermore, movements of most species at each wetland during each flow phase were generally bidirectional and demonstrated no clear, consistent pattern relative to changes in flow conditions. </w:t>
      </w:r>
    </w:p>
    <w:p w:rsidR="009C5F10" w:rsidRPr="00A67C76" w:rsidRDefault="009C5F10" w:rsidP="00951665">
      <w:r w:rsidRPr="00A67C76">
        <w:t xml:space="preserve">The variability in the structure of fish assemblages moving laterally could be explained in part by their hydraulic characteristics. However, the high variability among wetlands demonstrates that different wetlands respond in different ways to changes in the magnitude, timing, duration and frequency of flow delivery. Such variability highlights the need for individual assessment of wetlands prior to the management interventions to support lateral fish movement.  </w:t>
      </w:r>
    </w:p>
    <w:p w:rsidR="009C5F10" w:rsidRPr="00A67C76" w:rsidRDefault="009C5F10" w:rsidP="00951665">
      <w:r w:rsidRPr="00A67C76">
        <w:t xml:space="preserve">Furthermore, the timing of environmental water delivery in </w:t>
      </w:r>
      <w:r w:rsidR="00333041" w:rsidRPr="00A67C76">
        <w:t>2012</w:t>
      </w:r>
      <w:r w:rsidR="00FD328A" w:rsidRPr="00FD328A">
        <w:t>-13</w:t>
      </w:r>
      <w:r w:rsidRPr="00A67C76">
        <w:t xml:space="preserve">, did not appear to </w:t>
      </w:r>
      <w:r w:rsidRPr="00A67C76">
        <w:rPr>
          <w:rFonts w:eastAsia="Arial Unicode MS" w:cs="Arial"/>
          <w:bCs/>
        </w:rPr>
        <w:t>enhance reproduction and the recruitment success of common carp</w:t>
      </w:r>
      <w:r w:rsidRPr="00A67C76">
        <w:t>. Evidence compiled in the present study indicated that &gt;90% of the small juvenile common carp recorded moving were derived from spawning events that occurred prior to the delivery of the environmental flow pulse. Hence, there is no evidence to suggest that these key demographic processes for common carp benefited from the delivery of environmental water in December 2012.</w:t>
      </w:r>
    </w:p>
    <w:p w:rsidR="00381A0B" w:rsidRDefault="00E149FE" w:rsidP="00C17A7A">
      <w:pPr>
        <w:rPr>
          <w:b/>
          <w:i/>
        </w:rPr>
      </w:pPr>
      <w:r w:rsidRPr="00A67C76">
        <w:rPr>
          <w:b/>
          <w:i/>
        </w:rPr>
        <w:t>Frog response</w:t>
      </w:r>
      <w:r w:rsidR="009C5F10" w:rsidRPr="00A67C76">
        <w:rPr>
          <w:b/>
          <w:i/>
        </w:rPr>
        <w:t xml:space="preserve"> </w:t>
      </w:r>
    </w:p>
    <w:p w:rsidR="0016174C" w:rsidRDefault="0016174C" w:rsidP="0016174C">
      <w:pPr>
        <w:rPr>
          <w:szCs w:val="22"/>
        </w:rPr>
      </w:pPr>
      <w:r w:rsidRPr="003D47EB">
        <w:t xml:space="preserve">Overall, a breeding response was recorded for eight wetland frog species in summer 2012. </w:t>
      </w:r>
      <w:r w:rsidR="00010255">
        <w:rPr>
          <w:szCs w:val="22"/>
        </w:rPr>
        <w:t>M</w:t>
      </w:r>
      <w:r w:rsidRPr="003D47EB">
        <w:rPr>
          <w:szCs w:val="22"/>
        </w:rPr>
        <w:t>ale frog call</w:t>
      </w:r>
      <w:r>
        <w:rPr>
          <w:szCs w:val="22"/>
        </w:rPr>
        <w:t>ing</w:t>
      </w:r>
      <w:r w:rsidRPr="003D47EB">
        <w:rPr>
          <w:szCs w:val="22"/>
        </w:rPr>
        <w:t xml:space="preserve"> response in summer 2012 (during the environmental watering) was lower than spring of 2012 and previous years</w:t>
      </w:r>
      <w:r w:rsidR="00010255">
        <w:rPr>
          <w:szCs w:val="22"/>
        </w:rPr>
        <w:t>.</w:t>
      </w:r>
      <w:r w:rsidR="00462C02" w:rsidRPr="00462C02">
        <w:t xml:space="preserve"> </w:t>
      </w:r>
      <w:r w:rsidR="006D5EC3">
        <w:t>Analysis</w:t>
      </w:r>
      <w:r w:rsidR="006D5EC3" w:rsidRPr="00935209">
        <w:t xml:space="preserve"> of data from previous years</w:t>
      </w:r>
      <w:r w:rsidR="006D5EC3">
        <w:t>’ studies</w:t>
      </w:r>
      <w:r w:rsidR="006D5EC3" w:rsidRPr="00935209">
        <w:t xml:space="preserve"> indicates</w:t>
      </w:r>
      <w:r w:rsidR="00462C02" w:rsidRPr="00935209">
        <w:t xml:space="preserve"> that there may have been less vegetation around the riparian zone following high flow events in 2010-2011.  Thus, the extent of inundation of vegetation as a result of the </w:t>
      </w:r>
      <w:r w:rsidR="006D5EC3">
        <w:t xml:space="preserve">2012-13 environmental watering </w:t>
      </w:r>
      <w:r w:rsidR="00462C02" w:rsidRPr="00935209">
        <w:t xml:space="preserve">events </w:t>
      </w:r>
      <w:r w:rsidR="006D5EC3">
        <w:t>may have been</w:t>
      </w:r>
      <w:r w:rsidR="00462C02" w:rsidRPr="00935209">
        <w:t xml:space="preserve"> affected by the existing condition and availability of vegetation</w:t>
      </w:r>
      <w:r w:rsidR="006D5EC3">
        <w:t>.</w:t>
      </w:r>
      <w:r w:rsidR="00462C02" w:rsidRPr="00935209">
        <w:t xml:space="preserve"> </w:t>
      </w:r>
      <w:r w:rsidR="006D5EC3">
        <w:rPr>
          <w:szCs w:val="22"/>
        </w:rPr>
        <w:t>T</w:t>
      </w:r>
      <w:r w:rsidRPr="003D47EB">
        <w:rPr>
          <w:szCs w:val="22"/>
        </w:rPr>
        <w:t>he importance of inundated vegetation as breeding habitat for frog species in the Lower Murray River</w:t>
      </w:r>
      <w:r w:rsidR="00462C02">
        <w:rPr>
          <w:szCs w:val="22"/>
        </w:rPr>
        <w:t xml:space="preserve"> is well established. Hence, environmental flows that </w:t>
      </w:r>
      <w:proofErr w:type="gramStart"/>
      <w:r w:rsidR="00462C02">
        <w:rPr>
          <w:szCs w:val="22"/>
        </w:rPr>
        <w:t xml:space="preserve">influence </w:t>
      </w:r>
      <w:r w:rsidRPr="003D47EB">
        <w:rPr>
          <w:szCs w:val="22"/>
        </w:rPr>
        <w:t xml:space="preserve"> </w:t>
      </w:r>
      <w:r>
        <w:rPr>
          <w:szCs w:val="22"/>
        </w:rPr>
        <w:t>inundation</w:t>
      </w:r>
      <w:proofErr w:type="gramEnd"/>
      <w:r>
        <w:rPr>
          <w:szCs w:val="22"/>
        </w:rPr>
        <w:t xml:space="preserve"> of </w:t>
      </w:r>
      <w:r w:rsidRPr="003D47EB">
        <w:rPr>
          <w:szCs w:val="22"/>
        </w:rPr>
        <w:t xml:space="preserve">fringing vegetation </w:t>
      </w:r>
      <w:r w:rsidR="00462C02">
        <w:rPr>
          <w:szCs w:val="22"/>
        </w:rPr>
        <w:t>would affect</w:t>
      </w:r>
      <w:r w:rsidRPr="003D47EB">
        <w:rPr>
          <w:szCs w:val="22"/>
        </w:rPr>
        <w:t xml:space="preserve"> breeding habitat availability. </w:t>
      </w:r>
    </w:p>
    <w:p w:rsidR="00DB21D5" w:rsidRPr="00A67C76" w:rsidRDefault="00DB21D5" w:rsidP="00F41737">
      <w:pPr>
        <w:pStyle w:val="Heading2"/>
      </w:pPr>
      <w:bookmarkStart w:id="203" w:name="_Toc387843604"/>
      <w:r w:rsidRPr="00A67C76">
        <w:t>Coorong (modeling)</w:t>
      </w:r>
      <w:bookmarkEnd w:id="203"/>
    </w:p>
    <w:p w:rsidR="00FC423A" w:rsidRPr="00A67C76" w:rsidRDefault="00FC423A" w:rsidP="00FC423A">
      <w:pPr>
        <w:rPr>
          <w:rFonts w:eastAsiaTheme="minorHAnsi" w:cstheme="minorBidi"/>
          <w:color w:val="auto"/>
          <w:kern w:val="0"/>
          <w:szCs w:val="22"/>
        </w:rPr>
      </w:pPr>
      <w:r w:rsidRPr="00A67C76">
        <w:rPr>
          <w:rFonts w:eastAsiaTheme="minorHAnsi" w:cstheme="minorBidi"/>
          <w:color w:val="auto"/>
          <w:kern w:val="0"/>
          <w:szCs w:val="22"/>
        </w:rPr>
        <w:t xml:space="preserve">The developed simple </w:t>
      </w:r>
      <w:r w:rsidRPr="00A67C76">
        <w:rPr>
          <w:rFonts w:eastAsiaTheme="minorHAnsi" w:cstheme="minorBidi"/>
          <w:i/>
          <w:color w:val="auto"/>
          <w:kern w:val="0"/>
          <w:szCs w:val="22"/>
        </w:rPr>
        <w:t>Ruppia</w:t>
      </w:r>
      <w:r w:rsidRPr="00A67C76">
        <w:rPr>
          <w:rFonts w:eastAsiaTheme="minorHAnsi" w:cstheme="minorBidi"/>
          <w:color w:val="auto"/>
          <w:kern w:val="0"/>
          <w:szCs w:val="22"/>
        </w:rPr>
        <w:t xml:space="preserve"> and fish habitat models together with the operational </w:t>
      </w:r>
      <w:r w:rsidR="00C14932" w:rsidRPr="00A67C76">
        <w:rPr>
          <w:rFonts w:eastAsiaTheme="minorHAnsi" w:cstheme="minorBidi"/>
          <w:color w:val="auto"/>
          <w:kern w:val="0"/>
          <w:szCs w:val="22"/>
        </w:rPr>
        <w:t>hydrodynamic model (CHM v2.1) are</w:t>
      </w:r>
      <w:r w:rsidRPr="00A67C76">
        <w:rPr>
          <w:rFonts w:eastAsiaTheme="minorHAnsi" w:cstheme="minorBidi"/>
          <w:color w:val="auto"/>
          <w:kern w:val="0"/>
          <w:szCs w:val="22"/>
        </w:rPr>
        <w:t xml:space="preserve"> capable of answering the question of impact </w:t>
      </w:r>
      <w:r w:rsidR="00F23D56" w:rsidRPr="00A67C76">
        <w:rPr>
          <w:rFonts w:eastAsiaTheme="minorHAnsi" w:cstheme="minorBidi"/>
          <w:color w:val="auto"/>
          <w:kern w:val="0"/>
          <w:szCs w:val="22"/>
        </w:rPr>
        <w:t>on its macrophyte and fish habitats</w:t>
      </w:r>
      <w:r w:rsidR="00F23D56">
        <w:rPr>
          <w:rFonts w:eastAsiaTheme="minorHAnsi" w:cstheme="minorBidi"/>
          <w:color w:val="auto"/>
          <w:kern w:val="0"/>
          <w:szCs w:val="22"/>
        </w:rPr>
        <w:t xml:space="preserve"> </w:t>
      </w:r>
      <w:r w:rsidRPr="00A67C76">
        <w:rPr>
          <w:rFonts w:eastAsiaTheme="minorHAnsi" w:cstheme="minorBidi"/>
          <w:color w:val="auto"/>
          <w:kern w:val="0"/>
          <w:szCs w:val="22"/>
        </w:rPr>
        <w:t xml:space="preserve">of additional or </w:t>
      </w:r>
      <w:r w:rsidR="00362805" w:rsidRPr="00A67C76">
        <w:rPr>
          <w:rFonts w:eastAsiaTheme="minorHAnsi" w:cstheme="minorBidi"/>
          <w:color w:val="auto"/>
          <w:kern w:val="0"/>
          <w:szCs w:val="22"/>
        </w:rPr>
        <w:t>with</w:t>
      </w:r>
      <w:r w:rsidR="00362805">
        <w:rPr>
          <w:rFonts w:eastAsiaTheme="minorHAnsi" w:cstheme="minorBidi"/>
          <w:color w:val="auto"/>
          <w:kern w:val="0"/>
          <w:szCs w:val="22"/>
        </w:rPr>
        <w:t>drawal</w:t>
      </w:r>
      <w:r w:rsidR="00F23D56">
        <w:rPr>
          <w:rFonts w:eastAsiaTheme="minorHAnsi" w:cstheme="minorBidi"/>
          <w:color w:val="auto"/>
          <w:kern w:val="0"/>
          <w:szCs w:val="22"/>
        </w:rPr>
        <w:t xml:space="preserve"> of</w:t>
      </w:r>
      <w:r w:rsidRPr="00A67C76">
        <w:rPr>
          <w:rFonts w:eastAsiaTheme="minorHAnsi" w:cstheme="minorBidi"/>
          <w:color w:val="auto"/>
          <w:kern w:val="0"/>
          <w:szCs w:val="22"/>
        </w:rPr>
        <w:t xml:space="preserve"> water to the Coorong. The combined modelling system could be easily used not only to hindcast the effect of environmental watering but also allows for future scenario/impact modelling of the effect of timing and quantity of environmental water on the ecosystem of the Coorong.</w:t>
      </w:r>
    </w:p>
    <w:p w:rsidR="00DB21D5" w:rsidRPr="00A67C76" w:rsidRDefault="00DB21D5" w:rsidP="004812DB">
      <w:pPr>
        <w:rPr>
          <w:b/>
          <w:i/>
        </w:rPr>
      </w:pPr>
      <w:r w:rsidRPr="00A67C76">
        <w:rPr>
          <w:b/>
          <w:i/>
        </w:rPr>
        <w:t>Ruppia tuberosa</w:t>
      </w:r>
    </w:p>
    <w:p w:rsidR="009979CB" w:rsidRDefault="009910A2" w:rsidP="008126DD">
      <w:r w:rsidRPr="00A67C76">
        <w:t xml:space="preserve">The correlation between </w:t>
      </w:r>
      <w:r w:rsidRPr="00A67C76">
        <w:rPr>
          <w:i/>
        </w:rPr>
        <w:t>Ruppia tuberosa</w:t>
      </w:r>
      <w:r w:rsidRPr="00A67C76">
        <w:t xml:space="preserve"> distribution and abundance reported in the literature and modeled probability of sediment propagule bank replenishment shows there is potential for the model to be used as a management tool.  The model could be used to determine volume and timing of barrage outflows required to maintain viable populations of </w:t>
      </w:r>
      <w:r w:rsidRPr="00A67C76">
        <w:rPr>
          <w:i/>
        </w:rPr>
        <w:t>Ruppia tuberosa</w:t>
      </w:r>
      <w:r w:rsidRPr="00A67C76">
        <w:t xml:space="preserve">. Furthermore, there is potential to use the model to investigate scenarios that may result </w:t>
      </w:r>
      <w:r w:rsidR="002E4FEC" w:rsidRPr="00A67C76">
        <w:t xml:space="preserve">in </w:t>
      </w:r>
      <w:r w:rsidRPr="00A67C76">
        <w:t>“false starts” (i.e. favourable conditions for seed germination and turion sprouting followed by unfavourable conditions for life cycle completion).</w:t>
      </w:r>
    </w:p>
    <w:p w:rsidR="00744573" w:rsidRPr="00A67C76" w:rsidRDefault="00DB21D5" w:rsidP="004812DB">
      <w:pPr>
        <w:rPr>
          <w:b/>
          <w:i/>
        </w:rPr>
      </w:pPr>
      <w:r w:rsidRPr="00A67C76">
        <w:rPr>
          <w:b/>
          <w:i/>
        </w:rPr>
        <w:t>Fish habitat</w:t>
      </w:r>
    </w:p>
    <w:p w:rsidR="009D2D7C" w:rsidRPr="00A67C76" w:rsidRDefault="00E07B89" w:rsidP="00792E65">
      <w:pPr>
        <w:spacing w:before="0" w:after="0"/>
        <w:rPr>
          <w:szCs w:val="22"/>
        </w:rPr>
      </w:pPr>
      <w:r w:rsidRPr="00A67C76">
        <w:rPr>
          <w:rFonts w:eastAsiaTheme="minorHAnsi" w:cstheme="minorBidi"/>
          <w:szCs w:val="22"/>
        </w:rPr>
        <w:t xml:space="preserve">The preliminary fish habitat modelling based on salinity tolerance provides a simple tool to evaluate the habitat suitability and </w:t>
      </w:r>
      <w:r w:rsidR="00D51E37" w:rsidRPr="00A67C76">
        <w:rPr>
          <w:rFonts w:eastAsiaTheme="minorHAnsi" w:cstheme="minorBidi"/>
          <w:szCs w:val="22"/>
        </w:rPr>
        <w:t xml:space="preserve">potential distributional </w:t>
      </w:r>
      <w:r w:rsidRPr="00A67C76">
        <w:rPr>
          <w:rFonts w:eastAsiaTheme="minorHAnsi" w:cstheme="minorBidi"/>
          <w:szCs w:val="22"/>
        </w:rPr>
        <w:t xml:space="preserve">extent </w:t>
      </w:r>
      <w:r w:rsidR="00D51E37" w:rsidRPr="00A67C76">
        <w:rPr>
          <w:rFonts w:eastAsiaTheme="minorHAnsi" w:cstheme="minorBidi"/>
          <w:szCs w:val="22"/>
        </w:rPr>
        <w:t xml:space="preserve">of </w:t>
      </w:r>
      <w:r w:rsidRPr="00A67C76">
        <w:rPr>
          <w:rFonts w:eastAsiaTheme="minorHAnsi" w:cstheme="minorBidi"/>
          <w:szCs w:val="22"/>
        </w:rPr>
        <w:t>key fish species in the Coorong. The model output largely complied with</w:t>
      </w:r>
      <w:r w:rsidR="000C440C" w:rsidRPr="00A67C76">
        <w:rPr>
          <w:rFonts w:eastAsiaTheme="minorHAnsi" w:cstheme="minorBidi"/>
          <w:szCs w:val="22"/>
        </w:rPr>
        <w:t xml:space="preserve"> available</w:t>
      </w:r>
      <w:r w:rsidRPr="00A67C76">
        <w:rPr>
          <w:rFonts w:eastAsiaTheme="minorHAnsi" w:cstheme="minorBidi"/>
          <w:szCs w:val="22"/>
        </w:rPr>
        <w:t xml:space="preserve"> field data.</w:t>
      </w:r>
      <w:r w:rsidR="000C440C" w:rsidRPr="00A67C76">
        <w:rPr>
          <w:rFonts w:eastAsiaTheme="minorHAnsi" w:cstheme="minorBidi"/>
          <w:szCs w:val="22"/>
        </w:rPr>
        <w:t xml:space="preserve"> The model could be used as a first cut to determine volume of barrage outflows to maintain the extent of suitable habitat for key fish species </w:t>
      </w:r>
      <w:r w:rsidR="00792E65" w:rsidRPr="00A67C76">
        <w:rPr>
          <w:rFonts w:eastAsiaTheme="minorHAnsi" w:cstheme="minorBidi"/>
          <w:szCs w:val="22"/>
        </w:rPr>
        <w:t xml:space="preserve">along </w:t>
      </w:r>
      <w:r w:rsidR="000C440C" w:rsidRPr="00A67C76">
        <w:rPr>
          <w:rFonts w:eastAsiaTheme="minorHAnsi" w:cstheme="minorBidi"/>
          <w:szCs w:val="22"/>
        </w:rPr>
        <w:t xml:space="preserve">the Coorong during the cold and warm periods. </w:t>
      </w:r>
      <w:r w:rsidR="00792E65" w:rsidRPr="00A67C76">
        <w:rPr>
          <w:rFonts w:eastAsiaTheme="minorHAnsi" w:cstheme="minorBidi"/>
          <w:szCs w:val="22"/>
        </w:rPr>
        <w:t xml:space="preserve">The </w:t>
      </w:r>
      <w:r w:rsidR="00333041" w:rsidRPr="00A67C76">
        <w:rPr>
          <w:rFonts w:eastAsiaTheme="minorHAnsi" w:cstheme="minorBidi"/>
          <w:szCs w:val="22"/>
        </w:rPr>
        <w:t>2012</w:t>
      </w:r>
      <w:r w:rsidR="00FD328A" w:rsidRPr="00FD328A">
        <w:rPr>
          <w:rFonts w:eastAsiaTheme="minorHAnsi" w:cstheme="minorBidi"/>
          <w:szCs w:val="22"/>
        </w:rPr>
        <w:t>-13</w:t>
      </w:r>
      <w:r w:rsidR="00792E65" w:rsidRPr="00A67C76">
        <w:rPr>
          <w:rFonts w:eastAsiaTheme="minorHAnsi" w:cstheme="minorBidi"/>
          <w:szCs w:val="22"/>
        </w:rPr>
        <w:t xml:space="preserve"> environmental watering provided benefits for fish in the Coorong by improving habitat suitability up to 13% and increasing habitat extent up to 30 km.</w:t>
      </w:r>
      <w:r w:rsidR="005B07C2" w:rsidRPr="00A67C76">
        <w:rPr>
          <w:rFonts w:eastAsiaTheme="minorHAnsi" w:cstheme="minorBidi"/>
          <w:szCs w:val="22"/>
        </w:rPr>
        <w:t xml:space="preserve"> </w:t>
      </w:r>
      <w:r w:rsidR="000C440C" w:rsidRPr="00A67C76">
        <w:rPr>
          <w:rFonts w:eastAsiaTheme="minorHAnsi" w:cstheme="minorBidi"/>
          <w:szCs w:val="22"/>
        </w:rPr>
        <w:t>Nevertheless, t</w:t>
      </w:r>
      <w:r w:rsidR="00744573" w:rsidRPr="00A67C76">
        <w:rPr>
          <w:rFonts w:eastAsiaTheme="minorHAnsi" w:cstheme="minorBidi"/>
          <w:szCs w:val="22"/>
        </w:rPr>
        <w:t xml:space="preserve">he current analysis </w:t>
      </w:r>
      <w:r w:rsidR="008411D7">
        <w:rPr>
          <w:rFonts w:eastAsiaTheme="minorHAnsi" w:cstheme="minorBidi"/>
          <w:szCs w:val="22"/>
        </w:rPr>
        <w:t xml:space="preserve">only provides a preliminary understanding of </w:t>
      </w:r>
      <w:r w:rsidR="00744573" w:rsidRPr="00A67C76">
        <w:rPr>
          <w:rFonts w:eastAsiaTheme="minorHAnsi" w:cstheme="minorBidi"/>
          <w:szCs w:val="22"/>
        </w:rPr>
        <w:t xml:space="preserve">the </w:t>
      </w:r>
      <w:r w:rsidR="008411D7">
        <w:rPr>
          <w:rFonts w:eastAsiaTheme="minorHAnsi" w:cstheme="minorBidi"/>
          <w:szCs w:val="22"/>
        </w:rPr>
        <w:t xml:space="preserve">potential </w:t>
      </w:r>
      <w:r w:rsidR="00744573" w:rsidRPr="00A67C76">
        <w:rPr>
          <w:rFonts w:eastAsiaTheme="minorHAnsi" w:cstheme="minorBidi"/>
          <w:szCs w:val="22"/>
        </w:rPr>
        <w:t>effects of environmental water</w:t>
      </w:r>
      <w:r w:rsidR="00AE052A" w:rsidRPr="00A67C76">
        <w:rPr>
          <w:rFonts w:eastAsiaTheme="minorHAnsi" w:cstheme="minorBidi"/>
          <w:szCs w:val="22"/>
        </w:rPr>
        <w:t>ing</w:t>
      </w:r>
      <w:r w:rsidR="00744573" w:rsidRPr="00A67C76">
        <w:rPr>
          <w:rFonts w:eastAsiaTheme="minorHAnsi" w:cstheme="minorBidi"/>
          <w:szCs w:val="22"/>
        </w:rPr>
        <w:t xml:space="preserve"> on </w:t>
      </w:r>
      <w:r w:rsidR="000C440C" w:rsidRPr="00A67C76">
        <w:rPr>
          <w:rFonts w:eastAsiaTheme="minorHAnsi" w:cstheme="minorBidi"/>
          <w:szCs w:val="22"/>
        </w:rPr>
        <w:t xml:space="preserve">fish populations </w:t>
      </w:r>
      <w:r w:rsidR="00D51E37" w:rsidRPr="00A67C76">
        <w:rPr>
          <w:rFonts w:eastAsiaTheme="minorHAnsi" w:cstheme="minorBidi"/>
          <w:szCs w:val="22"/>
        </w:rPr>
        <w:t>in the</w:t>
      </w:r>
      <w:r w:rsidR="005B07C2" w:rsidRPr="00A67C76">
        <w:rPr>
          <w:rFonts w:eastAsiaTheme="minorHAnsi" w:cstheme="minorBidi"/>
          <w:szCs w:val="22"/>
        </w:rPr>
        <w:t xml:space="preserve"> </w:t>
      </w:r>
      <w:r w:rsidR="00744573" w:rsidRPr="00A67C76">
        <w:rPr>
          <w:rFonts w:eastAsiaTheme="minorHAnsi" w:cstheme="minorBidi"/>
          <w:szCs w:val="22"/>
        </w:rPr>
        <w:t>Coorong</w:t>
      </w:r>
      <w:r w:rsidR="00D51E37" w:rsidRPr="00A67C76">
        <w:rPr>
          <w:rFonts w:eastAsiaTheme="minorHAnsi" w:cstheme="minorBidi"/>
          <w:szCs w:val="22"/>
        </w:rPr>
        <w:t>.</w:t>
      </w:r>
      <w:r w:rsidR="008411D7">
        <w:rPr>
          <w:rFonts w:eastAsiaTheme="minorHAnsi" w:cstheme="minorBidi"/>
          <w:szCs w:val="22"/>
        </w:rPr>
        <w:t xml:space="preserve"> </w:t>
      </w:r>
      <w:r w:rsidR="00F57101" w:rsidRPr="00A67C76">
        <w:rPr>
          <w:szCs w:val="22"/>
        </w:rPr>
        <w:t xml:space="preserve">Future fish response and habitat modelling could include </w:t>
      </w:r>
      <w:r w:rsidR="00EC7B84" w:rsidRPr="00EC7B84">
        <w:rPr>
          <w:szCs w:val="22"/>
        </w:rPr>
        <w:t>life-history</w:t>
      </w:r>
      <w:r w:rsidR="00FC1628" w:rsidRPr="00A67C76">
        <w:rPr>
          <w:szCs w:val="22"/>
        </w:rPr>
        <w:t xml:space="preserve"> information of different species/guilds</w:t>
      </w:r>
      <w:r w:rsidR="00F57101" w:rsidRPr="00A67C76">
        <w:rPr>
          <w:szCs w:val="22"/>
        </w:rPr>
        <w:t xml:space="preserve">, which will provide a more comprehensive tool to evaluate and simulate </w:t>
      </w:r>
      <w:r w:rsidR="00FC1628" w:rsidRPr="00A67C76">
        <w:rPr>
          <w:szCs w:val="22"/>
        </w:rPr>
        <w:t>environmental flow effect on the</w:t>
      </w:r>
      <w:r w:rsidR="009D2D7C" w:rsidRPr="00A67C76">
        <w:rPr>
          <w:szCs w:val="22"/>
        </w:rPr>
        <w:t>ir</w:t>
      </w:r>
      <w:r w:rsidR="00FC1628" w:rsidRPr="00A67C76">
        <w:rPr>
          <w:szCs w:val="22"/>
        </w:rPr>
        <w:t xml:space="preserve"> population dynamics</w:t>
      </w:r>
      <w:r w:rsidR="00F57101" w:rsidRPr="00A67C76">
        <w:rPr>
          <w:szCs w:val="22"/>
        </w:rPr>
        <w:t xml:space="preserve"> in the Coorong</w:t>
      </w:r>
      <w:r w:rsidR="009D2D7C" w:rsidRPr="00A67C76">
        <w:rPr>
          <w:szCs w:val="22"/>
        </w:rPr>
        <w:t xml:space="preserve">. </w:t>
      </w:r>
    </w:p>
    <w:p w:rsidR="005B07C2" w:rsidRPr="00A67C76" w:rsidRDefault="009D2D7C" w:rsidP="00792E65">
      <w:pPr>
        <w:spacing w:before="0" w:after="0"/>
        <w:rPr>
          <w:szCs w:val="22"/>
        </w:rPr>
      </w:pPr>
      <w:r w:rsidRPr="00A67C76">
        <w:rPr>
          <w:szCs w:val="22"/>
        </w:rPr>
        <w:t xml:space="preserve">  </w:t>
      </w:r>
    </w:p>
    <w:p w:rsidR="00B96890" w:rsidRPr="00A67C76" w:rsidRDefault="00B96890">
      <w:pPr>
        <w:spacing w:before="0" w:after="200" w:line="276" w:lineRule="auto"/>
        <w:rPr>
          <w:rFonts w:eastAsiaTheme="majorEastAsia" w:cstheme="majorBidi"/>
          <w:b/>
          <w:bCs/>
          <w:caps/>
          <w:color w:val="1F497D" w:themeColor="text2"/>
          <w:sz w:val="32"/>
          <w:szCs w:val="28"/>
        </w:rPr>
      </w:pPr>
      <w:bookmarkStart w:id="204" w:name="_Toc381776110"/>
      <w:r w:rsidRPr="00A67C76">
        <w:br w:type="page"/>
      </w:r>
    </w:p>
    <w:p w:rsidR="009C5F10" w:rsidRPr="00A67C76" w:rsidRDefault="009C5F10" w:rsidP="00F41737">
      <w:pPr>
        <w:pStyle w:val="Heading1"/>
      </w:pPr>
      <w:bookmarkStart w:id="205" w:name="_Toc387843605"/>
      <w:r w:rsidRPr="00A67C76">
        <w:t>Recommendations</w:t>
      </w:r>
      <w:bookmarkEnd w:id="204"/>
      <w:bookmarkEnd w:id="205"/>
    </w:p>
    <w:p w:rsidR="00DB21D5" w:rsidRPr="00A67C76" w:rsidRDefault="00DB21D5" w:rsidP="00F41737">
      <w:pPr>
        <w:pStyle w:val="Heading2"/>
      </w:pPr>
      <w:bookmarkStart w:id="206" w:name="_Toc387843606"/>
      <w:r w:rsidRPr="00A67C76">
        <w:t>Main channel</w:t>
      </w:r>
      <w:bookmarkEnd w:id="206"/>
    </w:p>
    <w:p w:rsidR="009C5F10" w:rsidRPr="00A67C76" w:rsidRDefault="00DB21D5" w:rsidP="003B591A">
      <w:pPr>
        <w:rPr>
          <w:b/>
          <w:i/>
        </w:rPr>
      </w:pPr>
      <w:r w:rsidRPr="00A67C76">
        <w:rPr>
          <w:b/>
          <w:i/>
        </w:rPr>
        <w:t>Larval fish</w:t>
      </w:r>
    </w:p>
    <w:p w:rsidR="009C5F10" w:rsidRPr="00A67C76" w:rsidRDefault="009C5F10" w:rsidP="004812DB">
      <w:pPr>
        <w:rPr>
          <w:b/>
        </w:rPr>
      </w:pPr>
      <w:r w:rsidRPr="00A67C76">
        <w:rPr>
          <w:b/>
        </w:rPr>
        <w:t>Environmental water management</w:t>
      </w:r>
    </w:p>
    <w:p w:rsidR="009C5F10" w:rsidRPr="00A67C76" w:rsidRDefault="009C5F10" w:rsidP="009C5F10">
      <w:r w:rsidRPr="00A67C76">
        <w:t xml:space="preserve">Seasonal flow regimes are necessary to achieve ecosystem response and a first and strong presence of native large-bodied larval fish has been consistently present from late October to December </w:t>
      </w:r>
      <w:r w:rsidR="00BB7517">
        <w:t>due</w:t>
      </w:r>
      <w:r w:rsidRPr="00A67C76">
        <w:t xml:space="preserve"> to the seasonal flows. A p</w:t>
      </w:r>
      <w:r w:rsidR="00BB16A9" w:rsidRPr="00A67C76">
        <w:t xml:space="preserve">ulse of water with the appropriate </w:t>
      </w:r>
      <w:r w:rsidRPr="00A67C76">
        <w:t>timing</w:t>
      </w:r>
      <w:r w:rsidR="00BB16A9" w:rsidRPr="00A67C76">
        <w:t xml:space="preserve"> and adequate</w:t>
      </w:r>
      <w:r w:rsidRPr="00A67C76">
        <w:t xml:space="preserve"> magnitude and duration may enhance and extend the presence of these native fish larvae which may lead to enhanced recruitment in the Lower Murray River. Along with timing, magnitude and duration, the source and continuity of the water delivered can play a</w:t>
      </w:r>
      <w:r w:rsidR="00BB7517">
        <w:t>n</w:t>
      </w:r>
      <w:r w:rsidRPr="00A67C76">
        <w:t xml:space="preserve"> important role in the outcomes achieved. This study has shown that zoop</w:t>
      </w:r>
      <w:r w:rsidR="00BB7517">
        <w:t>lankton assemblages were</w:t>
      </w:r>
      <w:r w:rsidRPr="00A67C76">
        <w:t xml:space="preserve"> influenced by species that had originated in other parts of the basin and through the continuity managed their way down the river and contributed to local ecosystem.    </w:t>
      </w:r>
    </w:p>
    <w:p w:rsidR="009C5F10" w:rsidRPr="00A67C76" w:rsidRDefault="009C5F10" w:rsidP="004812DB">
      <w:pPr>
        <w:rPr>
          <w:b/>
        </w:rPr>
      </w:pPr>
      <w:r w:rsidRPr="00A67C76">
        <w:rPr>
          <w:b/>
        </w:rPr>
        <w:t>Future monitoring/ research</w:t>
      </w:r>
    </w:p>
    <w:p w:rsidR="00C17A7A" w:rsidRPr="00A67C76" w:rsidRDefault="009C5F10" w:rsidP="00C17A7A">
      <w:pPr>
        <w:rPr>
          <w:b/>
          <w:i/>
        </w:rPr>
      </w:pPr>
      <w:r w:rsidRPr="00A67C76">
        <w:t xml:space="preserve">In order to </w:t>
      </w:r>
      <w:r w:rsidR="0098588A" w:rsidRPr="00A67C76">
        <w:t>effectively</w:t>
      </w:r>
      <w:r w:rsidRPr="00A67C76">
        <w:t xml:space="preserve"> manage river flows to generate the best possible outcomes for the riverine ecosystem it is imperative that a broad understanding of the processes that drive th</w:t>
      </w:r>
      <w:r w:rsidR="0098588A" w:rsidRPr="00A67C76">
        <w:t>e</w:t>
      </w:r>
      <w:r w:rsidRPr="00A67C76">
        <w:t xml:space="preserve"> ecosystem is obtained. Amongst those processes is native fish reproduction understood as “</w:t>
      </w:r>
      <w:r w:rsidRPr="00A67C76">
        <w:rPr>
          <w:i/>
        </w:rPr>
        <w:t>the natural process among organisms by which new individuals are generated and the species perpetuated</w:t>
      </w:r>
      <w:r w:rsidRPr="00A67C76">
        <w:t>”. Future research should focus on the identification and characterisation of the environmental and biological conditions needed</w:t>
      </w:r>
      <w:r w:rsidR="007E4001" w:rsidRPr="00A67C76">
        <w:t xml:space="preserve"> and how environmental watering and flow management could help to achieve these conditions, to facilitate reproduction success </w:t>
      </w:r>
      <w:r w:rsidR="006C12AC" w:rsidRPr="00A67C76">
        <w:t>and restore sustainable and</w:t>
      </w:r>
      <w:r w:rsidRPr="00A67C76">
        <w:t xml:space="preserve"> resilien</w:t>
      </w:r>
      <w:r w:rsidR="006C12AC" w:rsidRPr="00A67C76">
        <w:t>t</w:t>
      </w:r>
      <w:r w:rsidRPr="00A67C76">
        <w:t xml:space="preserve"> native fish </w:t>
      </w:r>
      <w:r w:rsidR="006C12AC" w:rsidRPr="00A67C76">
        <w:t xml:space="preserve">populations. </w:t>
      </w:r>
      <w:r w:rsidRPr="00A67C76">
        <w:t xml:space="preserve">This knowledge will </w:t>
      </w:r>
      <w:r w:rsidR="006C12AC" w:rsidRPr="00A67C76">
        <w:t xml:space="preserve">inform the </w:t>
      </w:r>
      <w:r w:rsidRPr="00A67C76">
        <w:t xml:space="preserve">integrated management of flows at different scales with certain predictability of expected outcomes. </w:t>
      </w:r>
    </w:p>
    <w:p w:rsidR="00BB7517" w:rsidRDefault="00BB7517">
      <w:pPr>
        <w:spacing w:before="0" w:after="200" w:line="276" w:lineRule="auto"/>
        <w:rPr>
          <w:b/>
          <w:i/>
        </w:rPr>
      </w:pPr>
      <w:r>
        <w:rPr>
          <w:b/>
          <w:i/>
        </w:rPr>
        <w:br w:type="page"/>
      </w:r>
    </w:p>
    <w:p w:rsidR="009C5F10" w:rsidRPr="00A67C76" w:rsidRDefault="00DB21D5" w:rsidP="003B591A">
      <w:pPr>
        <w:rPr>
          <w:b/>
          <w:i/>
        </w:rPr>
      </w:pPr>
      <w:r w:rsidRPr="00A67C76">
        <w:rPr>
          <w:b/>
          <w:i/>
        </w:rPr>
        <w:t>Food resources for larval fish</w:t>
      </w:r>
    </w:p>
    <w:p w:rsidR="009C5F10" w:rsidRPr="00A67C76" w:rsidRDefault="009C5F10" w:rsidP="004812DB">
      <w:pPr>
        <w:rPr>
          <w:b/>
        </w:rPr>
      </w:pPr>
      <w:r w:rsidRPr="00A67C76">
        <w:rPr>
          <w:b/>
        </w:rPr>
        <w:t>Environmental water management</w:t>
      </w:r>
    </w:p>
    <w:p w:rsidR="009C5F10" w:rsidRPr="00A67C76" w:rsidRDefault="009C5F10" w:rsidP="009C5F10">
      <w:r w:rsidRPr="00A67C76">
        <w:t xml:space="preserve">The molecular analyses identified a significant range of eukaryotic microorganisms present in the river, and provided a basis for describing the changes in community composition in response to environmental influences including environmental flows. The molecular identification of phytoplankton and zooplankton provided similar patterns of responses to that obtained from traditional microscopic enumeration. Unlike the traditional techniques, the molecular methods reported on a broad range of microeukaryotes including protists, ciliates, fungi, algae, and zooplankton which is more difficult to achieve using the traditional methods. These findings demonstrate that the molecular techniques are sufficiently mature to be applied reliably in monitoring programs. </w:t>
      </w:r>
    </w:p>
    <w:p w:rsidR="009C5F10" w:rsidRPr="00A67C76" w:rsidRDefault="009C5F10" w:rsidP="009C5F10">
      <w:r w:rsidRPr="00A67C76">
        <w:t xml:space="preserve">There are benefits in monitoring microorganisms to assess the influences of environmental conditions, including short term events such as environmental flows, on the ecology of river systems. One is that communities of eukaryotic microorganisms respond quickly to change, so providing patterns in community composition that change at a similar temporal and spatial scale as the perturbations. This helps to directly link community changes to the perturbations so that relationships between community composition and environmental conditions can be more readily identified. </w:t>
      </w:r>
    </w:p>
    <w:p w:rsidR="009C5F10" w:rsidRPr="00A67C76" w:rsidRDefault="009C5F10" w:rsidP="009C5F10">
      <w:r w:rsidRPr="00A67C76">
        <w:t>In addition microeukaryotes cover a broad range of trophic levels including autotrophs, herbivores, carnivores, detritivores, and saprophytes. Current river health assessments based on narrow groups of indicator organisms are difficult to generalise across the biota and rarely identify environmental conditions that can be managed to improve conditions across trophic levels. The response patterns of microeukaryote communities provide a tool for assessing how the mix of autotrophic and heterotrophic pathways that underpin energy and material cycles in aquatic ecosystems respond to flow and water quality. Such assessments more comprehensively capture diversity across a range of trophic levels, better describing the extent to which groups performing different ecosystem services are influenced. The molecular tools enable better understanding of the spatial and temporal changes found in the microeukaryotic assemblages providing a comprehensive view of the state of a river ecosystem from the perspective of the major influencers of water quality and food web connections.</w:t>
      </w:r>
    </w:p>
    <w:p w:rsidR="009C5F10" w:rsidRPr="00A67C76" w:rsidRDefault="009C5F10" w:rsidP="004812DB">
      <w:pPr>
        <w:rPr>
          <w:b/>
        </w:rPr>
      </w:pPr>
      <w:r w:rsidRPr="00A67C76">
        <w:rPr>
          <w:b/>
        </w:rPr>
        <w:t>Future monitoring/ research</w:t>
      </w:r>
    </w:p>
    <w:p w:rsidR="009C5F10" w:rsidRPr="00A67C76" w:rsidRDefault="000648B9" w:rsidP="009C5F10">
      <w:r w:rsidRPr="00A67C76">
        <w:t>There is a n</w:t>
      </w:r>
      <w:r w:rsidR="009C5F10" w:rsidRPr="00A67C76">
        <w:t xml:space="preserve">eed to monitor responses in the communities of microeukaryotes to flow changes by sampling before, during, and after an environmental watering event. Preferably measurements would also </w:t>
      </w:r>
      <w:r w:rsidRPr="00A67C76">
        <w:t xml:space="preserve">need to </w:t>
      </w:r>
      <w:r w:rsidR="009C5F10" w:rsidRPr="00A67C76">
        <w:t>be made at intervals throughout the natural flow regime to describe changes associated with seasonal shifts and to meteorological, water quality and flow events. The molecular techniques that have been devised are fit for purpose, but could be further improved by sequencing multiple genes instead of just one, and by adjusting the methodology as technological improvements are made. Linking changes in microeukaryotic communities with environmental conditions requires that suitable measurements are being m</w:t>
      </w:r>
      <w:r w:rsidR="0049549E" w:rsidRPr="00A67C76">
        <w:t>ade to appropriately characteris</w:t>
      </w:r>
      <w:r w:rsidR="009C5F10" w:rsidRPr="00A67C76">
        <w:t>e the environment.</w:t>
      </w:r>
    </w:p>
    <w:p w:rsidR="00FF0B70" w:rsidRPr="00A67C76" w:rsidRDefault="00CD3DBC" w:rsidP="003B591A">
      <w:pPr>
        <w:rPr>
          <w:b/>
          <w:i/>
        </w:rPr>
      </w:pPr>
      <w:r w:rsidRPr="00A67C76">
        <w:rPr>
          <w:b/>
          <w:i/>
        </w:rPr>
        <w:t>Dissolved and particulate material transport</w:t>
      </w:r>
    </w:p>
    <w:p w:rsidR="001438D5" w:rsidRPr="00A67C76" w:rsidRDefault="001438D5" w:rsidP="004812DB">
      <w:pPr>
        <w:rPr>
          <w:b/>
        </w:rPr>
      </w:pPr>
      <w:r w:rsidRPr="00A67C76">
        <w:rPr>
          <w:b/>
        </w:rPr>
        <w:t>Environmental water management</w:t>
      </w:r>
    </w:p>
    <w:p w:rsidR="001438D5" w:rsidRPr="00A67C76" w:rsidRDefault="00BB7517" w:rsidP="001438D5">
      <w:pPr>
        <w:rPr>
          <w:szCs w:val="24"/>
        </w:rPr>
      </w:pPr>
      <w:r>
        <w:t>B</w:t>
      </w:r>
      <w:r w:rsidR="001438D5" w:rsidRPr="00A67C76">
        <w:t xml:space="preserve">ased on insights provided by this study and previous studies, including Aldridge </w:t>
      </w:r>
      <w:r w:rsidR="001438D5" w:rsidRPr="00A67C76">
        <w:rPr>
          <w:i/>
        </w:rPr>
        <w:t>et al</w:t>
      </w:r>
      <w:r w:rsidR="001438D5" w:rsidRPr="00A67C76">
        <w:t xml:space="preserve">. (2013), the following points </w:t>
      </w:r>
      <w:r w:rsidR="001438D5" w:rsidRPr="00A67C76">
        <w:rPr>
          <w:szCs w:val="24"/>
        </w:rPr>
        <w:t>could be used to help guide future environmental water use:</w:t>
      </w:r>
    </w:p>
    <w:p w:rsidR="001438D5" w:rsidRPr="00A67C76" w:rsidRDefault="00487D2D" w:rsidP="00807938">
      <w:pPr>
        <w:pStyle w:val="ListParagraph"/>
        <w:numPr>
          <w:ilvl w:val="0"/>
          <w:numId w:val="15"/>
        </w:numPr>
        <w:spacing w:before="120"/>
        <w:ind w:left="1134" w:hanging="425"/>
      </w:pPr>
      <w:r w:rsidRPr="00A67C76">
        <w:t>e</w:t>
      </w:r>
      <w:r w:rsidR="001438D5" w:rsidRPr="00A67C76">
        <w:t>nvironmental water</w:t>
      </w:r>
      <w:r w:rsidR="006D2CBA" w:rsidRPr="00A67C76">
        <w:t>ing</w:t>
      </w:r>
      <w:r w:rsidR="001438D5" w:rsidRPr="00A67C76">
        <w:t xml:space="preserve"> during low to moderate flow periods (e.g. 10,000-40,000 </w:t>
      </w:r>
      <w:r w:rsidR="00FD328A">
        <w:t>ML day</w:t>
      </w:r>
      <w:r w:rsidR="001438D5" w:rsidRPr="00A67C76">
        <w:rPr>
          <w:vertAlign w:val="superscript"/>
        </w:rPr>
        <w:t>-1</w:t>
      </w:r>
      <w:r w:rsidR="001438D5" w:rsidRPr="00A67C76">
        <w:t>) will increase the transport and export of dis</w:t>
      </w:r>
      <w:r w:rsidRPr="00A67C76">
        <w:t>solved and particulate material;</w:t>
      </w:r>
    </w:p>
    <w:p w:rsidR="001438D5" w:rsidRPr="00A67C76" w:rsidRDefault="00487D2D" w:rsidP="00807938">
      <w:pPr>
        <w:pStyle w:val="ListParagraph"/>
        <w:numPr>
          <w:ilvl w:val="0"/>
          <w:numId w:val="15"/>
        </w:numPr>
        <w:spacing w:before="120"/>
        <w:ind w:left="1134" w:hanging="425"/>
      </w:pPr>
      <w:r w:rsidRPr="00A67C76">
        <w:t>e</w:t>
      </w:r>
      <w:r w:rsidR="001438D5" w:rsidRPr="00A67C76">
        <w:t xml:space="preserve">nvironmental flow </w:t>
      </w:r>
      <w:r w:rsidR="006D2CBA" w:rsidRPr="00A67C76">
        <w:t xml:space="preserve">deliveries </w:t>
      </w:r>
      <w:r w:rsidR="001438D5" w:rsidRPr="00A67C76">
        <w:t xml:space="preserve">during extended low flow periods are likely to have greater impacts on salt and nutrient concentrations than periods with </w:t>
      </w:r>
      <w:r w:rsidR="00971B29" w:rsidRPr="00A67C76">
        <w:t>antecedent</w:t>
      </w:r>
      <w:r w:rsidR="001438D5" w:rsidRPr="00A67C76">
        <w:t xml:space="preserve"> moderate flow conditions</w:t>
      </w:r>
      <w:r w:rsidRPr="00A67C76">
        <w:t>;</w:t>
      </w:r>
      <w:r w:rsidR="001438D5" w:rsidRPr="00A67C76">
        <w:t xml:space="preserve"> </w:t>
      </w:r>
    </w:p>
    <w:p w:rsidR="001438D5" w:rsidRPr="00A67C76" w:rsidRDefault="00487D2D" w:rsidP="00807938">
      <w:pPr>
        <w:pStyle w:val="ListParagraph"/>
        <w:numPr>
          <w:ilvl w:val="0"/>
          <w:numId w:val="15"/>
        </w:numPr>
        <w:spacing w:before="120"/>
        <w:ind w:left="1134" w:hanging="425"/>
      </w:pPr>
      <w:proofErr w:type="gramStart"/>
      <w:r w:rsidRPr="00A67C76">
        <w:t>e</w:t>
      </w:r>
      <w:r w:rsidR="001438D5" w:rsidRPr="00A67C76">
        <w:t>nvironmental</w:t>
      </w:r>
      <w:proofErr w:type="gramEnd"/>
      <w:r w:rsidR="001438D5" w:rsidRPr="00A67C76">
        <w:t xml:space="preserve"> water use that results in floodplain inundation will likely result in increased nutrient concentrations (mobilisation) and export. This may be achieved by moderate-large floods (e.g. &gt;40,000 </w:t>
      </w:r>
      <w:r w:rsidR="00FD328A">
        <w:t>ML day</w:t>
      </w:r>
      <w:r w:rsidR="001438D5" w:rsidRPr="00A67C76">
        <w:rPr>
          <w:vertAlign w:val="superscript"/>
        </w:rPr>
        <w:t>-1</w:t>
      </w:r>
      <w:r w:rsidR="001438D5" w:rsidRPr="00A67C76">
        <w:t>) that inundate previously dry floodplain and wetland habitats</w:t>
      </w:r>
      <w:r w:rsidRPr="00A67C76">
        <w:t>;</w:t>
      </w:r>
      <w:r w:rsidR="001438D5" w:rsidRPr="00A67C76">
        <w:t xml:space="preserve"> </w:t>
      </w:r>
    </w:p>
    <w:p w:rsidR="001438D5" w:rsidRPr="00A67C76" w:rsidRDefault="00487D2D" w:rsidP="00807938">
      <w:pPr>
        <w:pStyle w:val="ListParagraph"/>
        <w:numPr>
          <w:ilvl w:val="0"/>
          <w:numId w:val="15"/>
        </w:numPr>
        <w:spacing w:before="120"/>
        <w:ind w:left="1134" w:hanging="425"/>
      </w:pPr>
      <w:r w:rsidRPr="00A67C76">
        <w:t>m</w:t>
      </w:r>
      <w:r w:rsidR="001438D5" w:rsidRPr="00A67C76">
        <w:t xml:space="preserve">aximum exports of dissolved and </w:t>
      </w:r>
      <w:r w:rsidR="00971B29" w:rsidRPr="00A67C76">
        <w:t>particulate</w:t>
      </w:r>
      <w:r w:rsidR="001438D5" w:rsidRPr="00A67C76">
        <w:t xml:space="preserve"> material from the Murray Mouth are likely to be achieved by delivering environmental water during periods of low oceanic water levels (summer). However, this may reduce water availability at other times, increasing the import of material from the Southern Ocean during those times. In contrast, delivery of environmental water to the </w:t>
      </w:r>
      <w:r w:rsidR="00753458">
        <w:t>Lower Murray River</w:t>
      </w:r>
      <w:r w:rsidR="00753458" w:rsidRPr="00A67C76">
        <w:t xml:space="preserve"> </w:t>
      </w:r>
      <w:r w:rsidR="001438D5" w:rsidRPr="00A67C76">
        <w:t>at times of high oceanic water levels is likely to increase the exchange of water and associated nutrients and salt through the Coorong, rather than predominately through the Murray Mouth</w:t>
      </w:r>
      <w:r w:rsidRPr="00A67C76">
        <w:t>;</w:t>
      </w:r>
      <w:r w:rsidR="001438D5" w:rsidRPr="00A67C76">
        <w:t xml:space="preserve"> </w:t>
      </w:r>
    </w:p>
    <w:p w:rsidR="001438D5" w:rsidRPr="00A67C76" w:rsidRDefault="00487D2D" w:rsidP="00807938">
      <w:pPr>
        <w:pStyle w:val="ListParagraph"/>
        <w:numPr>
          <w:ilvl w:val="0"/>
          <w:numId w:val="15"/>
        </w:numPr>
        <w:spacing w:before="120"/>
        <w:ind w:left="1134" w:hanging="425"/>
      </w:pPr>
      <w:proofErr w:type="gramStart"/>
      <w:r w:rsidRPr="00A67C76">
        <w:t>n</w:t>
      </w:r>
      <w:r w:rsidR="001438D5" w:rsidRPr="00A67C76">
        <w:t>et</w:t>
      </w:r>
      <w:proofErr w:type="gramEnd"/>
      <w:r w:rsidR="001438D5" w:rsidRPr="00A67C76">
        <w:t xml:space="preserve"> export of dissolved and particulate material can be </w:t>
      </w:r>
      <w:r w:rsidR="00971B29" w:rsidRPr="00A67C76">
        <w:t>achieved</w:t>
      </w:r>
      <w:r w:rsidR="001438D5" w:rsidRPr="00A67C76">
        <w:t xml:space="preserve"> when </w:t>
      </w:r>
      <w:r w:rsidR="00971B29" w:rsidRPr="00A67C76">
        <w:t>discharges</w:t>
      </w:r>
      <w:r w:rsidR="001438D5" w:rsidRPr="00A67C76">
        <w:t xml:space="preserve"> above threshold levels are provided. Whilst, these discharge thresholds are currently unknown and likely differ with seasonal changes in downstream water levels, supplementary water sources are important in providing adequate flows to export material from the system</w:t>
      </w:r>
      <w:r w:rsidRPr="00A67C76">
        <w:t>;</w:t>
      </w:r>
    </w:p>
    <w:p w:rsidR="001438D5" w:rsidRPr="00A67C76" w:rsidRDefault="00487D2D" w:rsidP="00807938">
      <w:pPr>
        <w:pStyle w:val="ListParagraph"/>
        <w:numPr>
          <w:ilvl w:val="0"/>
          <w:numId w:val="15"/>
        </w:numPr>
        <w:spacing w:before="120"/>
        <w:ind w:left="1134" w:hanging="425"/>
      </w:pPr>
      <w:proofErr w:type="gramStart"/>
      <w:r w:rsidRPr="00A67C76">
        <w:t>f</w:t>
      </w:r>
      <w:r w:rsidR="001438D5" w:rsidRPr="00A67C76">
        <w:t>lows</w:t>
      </w:r>
      <w:proofErr w:type="gramEnd"/>
      <w:r w:rsidR="001438D5" w:rsidRPr="00A67C76">
        <w:t xml:space="preserve"> during winter may result in limited assimilation of nutrients by biota (slower growth rates), whilst </w:t>
      </w:r>
      <w:r w:rsidR="006D2CBA" w:rsidRPr="00A67C76">
        <w:t xml:space="preserve">deliveries </w:t>
      </w:r>
      <w:r w:rsidR="001438D5" w:rsidRPr="00A67C76">
        <w:t>during summer could increase the risk of blackwater events and cyanobacterial blooms, depending on hydrological conditions. Flows during spring are likely to minimise these risks, but also maximise the benefits of nutrient inputs (e.g. stimulate productivity to support larval survival)</w:t>
      </w:r>
      <w:r w:rsidRPr="00A67C76">
        <w:t>;</w:t>
      </w:r>
      <w:r w:rsidR="001438D5" w:rsidRPr="00A67C76">
        <w:t xml:space="preserve"> </w:t>
      </w:r>
    </w:p>
    <w:p w:rsidR="001438D5" w:rsidRPr="00A67C76" w:rsidRDefault="00487D2D" w:rsidP="00807938">
      <w:pPr>
        <w:pStyle w:val="ListParagraph"/>
        <w:numPr>
          <w:ilvl w:val="0"/>
          <w:numId w:val="15"/>
        </w:numPr>
        <w:spacing w:before="120"/>
        <w:ind w:left="1134" w:hanging="425"/>
      </w:pPr>
      <w:proofErr w:type="gramStart"/>
      <w:r w:rsidRPr="00A67C76">
        <w:t>m</w:t>
      </w:r>
      <w:r w:rsidR="001438D5" w:rsidRPr="00A67C76">
        <w:t>ultiple</w:t>
      </w:r>
      <w:proofErr w:type="gramEnd"/>
      <w:r w:rsidR="001438D5" w:rsidRPr="00A67C76">
        <w:t xml:space="preserve"> watering events in a given year could be used to meet different ecological objectives. For example one event in spring could be provided to increase nutrient assimilation, followed by a subsequent event to export material to downstream ecosystems.</w:t>
      </w:r>
    </w:p>
    <w:p w:rsidR="001438D5" w:rsidRPr="00A67C76" w:rsidRDefault="001438D5" w:rsidP="004812DB">
      <w:pPr>
        <w:rPr>
          <w:b/>
        </w:rPr>
      </w:pPr>
      <w:r w:rsidRPr="00A67C76">
        <w:rPr>
          <w:b/>
        </w:rPr>
        <w:t xml:space="preserve">Future monitoring/research  </w:t>
      </w:r>
    </w:p>
    <w:p w:rsidR="001438D5" w:rsidRPr="00A67C76" w:rsidRDefault="00D10DCF" w:rsidP="001438D5">
      <w:pPr>
        <w:rPr>
          <w:highlight w:val="yellow"/>
        </w:rPr>
      </w:pPr>
      <w:r w:rsidRPr="00D10DCF">
        <w:t xml:space="preserve">Continued refinement of the model used in this study will further improve its capacity to evaluate the influence of environmental water deliveries on dissolved and particulate material concentrations and transport in the Lower Murray. In the future, such modelling approaches could also be used in planning for flow deliveries, by assessing the potential benefits/disbenefits of various watering actions. Without such assessments it is difficult to reach general recommendations about optimal use of environmental water for the transport of dissolved and particulate material as the Lower Murray is a hydrologically complex system. </w:t>
      </w:r>
      <w:r w:rsidR="001438D5" w:rsidRPr="00A67C76">
        <w:t xml:space="preserve">For planning, the relationship between season and discharge thresholds could be investigated for the purposes of setting flow targets for the </w:t>
      </w:r>
      <w:r w:rsidR="006D2CBA" w:rsidRPr="00A67C76">
        <w:t xml:space="preserve">delivery </w:t>
      </w:r>
      <w:r w:rsidR="001438D5" w:rsidRPr="00A67C76">
        <w:t>of environmental water. Continued refinement of the model used in this study will further improve its capacity to assess the response of dissolved and particulate material in the Lower Murray to environmental water. This includes the continued collection of appropriate water quality data.</w:t>
      </w:r>
    </w:p>
    <w:p w:rsidR="00DB21D5" w:rsidRPr="00A67C76" w:rsidRDefault="00DB21D5" w:rsidP="00F41737">
      <w:pPr>
        <w:pStyle w:val="Heading2"/>
      </w:pPr>
      <w:bookmarkStart w:id="207" w:name="_Toc387843607"/>
      <w:r w:rsidRPr="00A67C76">
        <w:t>Wetlands</w:t>
      </w:r>
      <w:bookmarkEnd w:id="207"/>
    </w:p>
    <w:p w:rsidR="009C5F10" w:rsidRPr="00A67C76" w:rsidRDefault="009C5F10" w:rsidP="003B591A">
      <w:pPr>
        <w:rPr>
          <w:b/>
          <w:i/>
        </w:rPr>
      </w:pPr>
      <w:r w:rsidRPr="00A67C76">
        <w:rPr>
          <w:b/>
          <w:i/>
        </w:rPr>
        <w:t>Lateral movement of fish</w:t>
      </w:r>
    </w:p>
    <w:p w:rsidR="009C5F10" w:rsidRPr="00A67C76" w:rsidRDefault="009C5F10" w:rsidP="004812DB">
      <w:pPr>
        <w:rPr>
          <w:b/>
        </w:rPr>
      </w:pPr>
      <w:r w:rsidRPr="00A67C76">
        <w:rPr>
          <w:b/>
        </w:rPr>
        <w:t>Environmental water management</w:t>
      </w:r>
    </w:p>
    <w:p w:rsidR="009C5F10" w:rsidRPr="00A67C76" w:rsidRDefault="009C5F10" w:rsidP="009C5F10">
      <w:r w:rsidRPr="00A67C76">
        <w:t>Whilst seasonal flow regimes are important in maintaining the ecological integrity of freshwater systems, this study suggests that within-channel flow management may present an opportunity to prolong and potentially enhance the lateral movements of native fish</w:t>
      </w:r>
      <w:r w:rsidR="00753458">
        <w:t xml:space="preserve"> </w:t>
      </w:r>
      <w:r w:rsidRPr="00A67C76">
        <w:t xml:space="preserve">of the Lower </w:t>
      </w:r>
      <w:r w:rsidR="00EE6B16" w:rsidRPr="00A67C76">
        <w:t>Murray River</w:t>
      </w:r>
      <w:r w:rsidRPr="00A67C76">
        <w:t xml:space="preserve">. The direct influence of environmental flows on lateral fish movement appears to be highly variable among wetlands due to the high variation in the physical, biological and hydrological attributes among wetlands. However, the </w:t>
      </w:r>
      <w:r w:rsidR="009C4A7B">
        <w:t xml:space="preserve">influence of </w:t>
      </w:r>
      <w:r w:rsidRPr="00A67C76">
        <w:t xml:space="preserve">the environmental flow </w:t>
      </w:r>
      <w:proofErr w:type="gramStart"/>
      <w:r w:rsidRPr="00A67C76">
        <w:t xml:space="preserve">pulse </w:t>
      </w:r>
      <w:r w:rsidR="009C4A7B">
        <w:t xml:space="preserve"> is</w:t>
      </w:r>
      <w:proofErr w:type="gramEnd"/>
      <w:r w:rsidRPr="00A67C76">
        <w:t xml:space="preserve"> likely to be most pronounced in the wetlands upstream from Lock 1, whereby </w:t>
      </w:r>
      <w:r w:rsidR="0075365E" w:rsidRPr="00A67C76">
        <w:t>water levels, which ultimately a</w:t>
      </w:r>
      <w:r w:rsidRPr="00A67C76">
        <w:t xml:space="preserve">ffect lateral connectivity, are directly correlated with flow discharge. For example, at Overland Corner, maintained within-channel flows of &gt;15,000 </w:t>
      </w:r>
      <w:r w:rsidR="00FD328A">
        <w:t>ML day</w:t>
      </w:r>
      <w:r w:rsidRPr="00A67C76">
        <w:rPr>
          <w:vertAlign w:val="superscript"/>
        </w:rPr>
        <w:t>-1</w:t>
      </w:r>
      <w:r w:rsidRPr="00A67C76">
        <w:t xml:space="preserve"> facilitated the lateral fish movements. As flow decreased to &lt;10,000 </w:t>
      </w:r>
      <w:r w:rsidR="00FD328A">
        <w:t>ML day</w:t>
      </w:r>
      <w:r w:rsidRPr="00A67C76">
        <w:rPr>
          <w:vertAlign w:val="superscript"/>
        </w:rPr>
        <w:t>-1</w:t>
      </w:r>
      <w:r w:rsidRPr="00A67C76">
        <w:t xml:space="preserve">, i.e. during the Low flow phase, the size and diversity of laterally moving fish assemblages decreased. We speculate that if monitoring continued into autumn of 2013, lateral movements would cease completely due to further contraction in wetland size and increasing salinity within the remaining wetland habitat. As such, maintenance of moderate within-channel flow is essential to facilitate access for fish to these sheltered and food-rich habitats. </w:t>
      </w:r>
    </w:p>
    <w:p w:rsidR="009C5F10" w:rsidRPr="00A67C76" w:rsidRDefault="009C5F10" w:rsidP="009C5F10">
      <w:r w:rsidRPr="00A67C76">
        <w:t>Nonetheless, the high spatial variability in the structure of fish assemblages attempting to access and exit wetlands demonstrates that different wetlands will respond in different ways to changes in the magnitude, timing, duration and frequency of flow delivery. This highlights the need for individual assessment of wetlands prior to the management interventions to support lateral fish movement.</w:t>
      </w:r>
    </w:p>
    <w:p w:rsidR="009C5F10" w:rsidRPr="00A67C76" w:rsidRDefault="009C5F10" w:rsidP="004812DB">
      <w:pPr>
        <w:rPr>
          <w:b/>
        </w:rPr>
      </w:pPr>
      <w:r w:rsidRPr="00A67C76">
        <w:rPr>
          <w:b/>
        </w:rPr>
        <w:t xml:space="preserve">Future monitoring/research  </w:t>
      </w:r>
    </w:p>
    <w:p w:rsidR="009C5F10" w:rsidRPr="00A67C76" w:rsidRDefault="009C5F10" w:rsidP="009C5F10">
      <w:r w:rsidRPr="00A67C76">
        <w:t xml:space="preserve">Observations of the lateral movement patterns of native and invasive fish in each region and how they were influenced by flow and non-flow related hydrological stimuli, provide an invaluable comparative database for future research and monitoring. The results of the present study suggest that the direct benefits of the environmental flow pulse to the lateral movement of native fish populations are likely to be most apparent in the wetlands, upstream from Lock 1. As such, future monitoring of the direct influence of changes in flow delivery on lateral fish movement should focus on wetlands in this region. Moreover, as sampling for each flow phase during the present study occurred over a 3-day period, it is not unreasonable to assume that large-scale migrations of key species in response to changes in flow may have been missed. As such, future assessments should place a greater emphasis on understanding the temporal changes in fish assemblage structure inside the wetland, rather than focusing so strongly on the movement patterns occurring in the river/wetland connection passage. Nonetheless, the high spatial variability in the structure of fish assemblages moving in and out of wetlands demonstrates the need to understand the effect of flow on lateral fish movement at other key wetlands in the Lower </w:t>
      </w:r>
      <w:r w:rsidR="00E41741" w:rsidRPr="00A67C76">
        <w:t>Murray River</w:t>
      </w:r>
      <w:r w:rsidRPr="00A67C76">
        <w:t>.</w:t>
      </w:r>
    </w:p>
    <w:p w:rsidR="009C5F10" w:rsidRPr="00A67C76" w:rsidRDefault="00E149FE" w:rsidP="003B591A">
      <w:pPr>
        <w:rPr>
          <w:b/>
          <w:i/>
        </w:rPr>
      </w:pPr>
      <w:r w:rsidRPr="00A67C76">
        <w:rPr>
          <w:b/>
          <w:i/>
        </w:rPr>
        <w:t>Frog response</w:t>
      </w:r>
      <w:r w:rsidR="009C5F10" w:rsidRPr="00A67C76">
        <w:rPr>
          <w:b/>
          <w:i/>
        </w:rPr>
        <w:t xml:space="preserve"> </w:t>
      </w:r>
    </w:p>
    <w:p w:rsidR="009C5F10" w:rsidRPr="00A67C76" w:rsidRDefault="009C5F10" w:rsidP="004812DB">
      <w:pPr>
        <w:rPr>
          <w:b/>
        </w:rPr>
      </w:pPr>
      <w:r w:rsidRPr="00A67C76">
        <w:rPr>
          <w:b/>
        </w:rPr>
        <w:t>Environmental water management</w:t>
      </w:r>
    </w:p>
    <w:p w:rsidR="00556322" w:rsidRPr="00A67C76" w:rsidRDefault="00556322" w:rsidP="00556322">
      <w:pPr>
        <w:tabs>
          <w:tab w:val="left" w:pos="709"/>
        </w:tabs>
        <w:ind w:firstLine="11"/>
        <w:rPr>
          <w:szCs w:val="24"/>
        </w:rPr>
      </w:pPr>
      <w:r>
        <w:rPr>
          <w:szCs w:val="24"/>
        </w:rPr>
        <w:t xml:space="preserve">Inundation of riparian and floodplain vegetation, through an increase in water levels, is important in providing frog breeding opportunities during spring and summer. </w:t>
      </w:r>
      <w:r w:rsidRPr="00A67C76">
        <w:rPr>
          <w:szCs w:val="24"/>
        </w:rPr>
        <w:t xml:space="preserve">This may be achieved through: </w:t>
      </w:r>
    </w:p>
    <w:p w:rsidR="00556322" w:rsidRPr="004B0FE2" w:rsidRDefault="00556322" w:rsidP="00556322">
      <w:pPr>
        <w:pStyle w:val="ListParagraph"/>
        <w:numPr>
          <w:ilvl w:val="0"/>
          <w:numId w:val="17"/>
        </w:numPr>
        <w:tabs>
          <w:tab w:val="left" w:pos="709"/>
        </w:tabs>
        <w:spacing w:before="120"/>
        <w:ind w:left="1134" w:hanging="425"/>
        <w:rPr>
          <w:szCs w:val="24"/>
        </w:rPr>
      </w:pPr>
      <w:r w:rsidRPr="00A67C76">
        <w:rPr>
          <w:szCs w:val="24"/>
        </w:rPr>
        <w:t xml:space="preserve">the delivery of environmental water that increases </w:t>
      </w:r>
      <w:r>
        <w:rPr>
          <w:szCs w:val="24"/>
        </w:rPr>
        <w:t>within river channel</w:t>
      </w:r>
      <w:r w:rsidRPr="00A67C76">
        <w:rPr>
          <w:szCs w:val="24"/>
        </w:rPr>
        <w:t xml:space="preserve"> flows</w:t>
      </w:r>
      <w:r>
        <w:rPr>
          <w:szCs w:val="24"/>
        </w:rPr>
        <w:t>,</w:t>
      </w:r>
    </w:p>
    <w:p w:rsidR="00556322" w:rsidRPr="00A67C76" w:rsidRDefault="00556322" w:rsidP="00556322">
      <w:pPr>
        <w:pStyle w:val="ListParagraph"/>
        <w:numPr>
          <w:ilvl w:val="0"/>
          <w:numId w:val="17"/>
        </w:numPr>
        <w:tabs>
          <w:tab w:val="left" w:pos="709"/>
        </w:tabs>
        <w:spacing w:before="120"/>
        <w:ind w:left="1134" w:hanging="425"/>
        <w:rPr>
          <w:szCs w:val="24"/>
        </w:rPr>
      </w:pPr>
      <w:r w:rsidRPr="00A67C76">
        <w:rPr>
          <w:szCs w:val="24"/>
        </w:rPr>
        <w:t>localised pumping into temporary</w:t>
      </w:r>
      <w:r>
        <w:rPr>
          <w:szCs w:val="24"/>
        </w:rPr>
        <w:t xml:space="preserve"> wetlands and floodplain areas,</w:t>
      </w:r>
    </w:p>
    <w:p w:rsidR="00556322" w:rsidRPr="004B0FE2" w:rsidRDefault="00556322" w:rsidP="00556322">
      <w:pPr>
        <w:pStyle w:val="ListParagraph"/>
        <w:numPr>
          <w:ilvl w:val="0"/>
          <w:numId w:val="17"/>
        </w:numPr>
        <w:tabs>
          <w:tab w:val="left" w:pos="709"/>
        </w:tabs>
        <w:spacing w:before="120"/>
        <w:ind w:left="1134" w:hanging="425"/>
        <w:rPr>
          <w:szCs w:val="24"/>
        </w:rPr>
      </w:pPr>
      <w:r>
        <w:rPr>
          <w:szCs w:val="24"/>
        </w:rPr>
        <w:t>w</w:t>
      </w:r>
      <w:r w:rsidRPr="00A67C76">
        <w:rPr>
          <w:szCs w:val="24"/>
        </w:rPr>
        <w:t>eir pool raising events</w:t>
      </w:r>
      <w:r>
        <w:rPr>
          <w:szCs w:val="24"/>
        </w:rPr>
        <w:t>, and/or</w:t>
      </w:r>
    </w:p>
    <w:p w:rsidR="00556322" w:rsidRPr="004B0FE2" w:rsidRDefault="00556322" w:rsidP="00556322">
      <w:pPr>
        <w:pStyle w:val="ListParagraph"/>
        <w:numPr>
          <w:ilvl w:val="0"/>
          <w:numId w:val="17"/>
        </w:numPr>
        <w:tabs>
          <w:tab w:val="left" w:pos="709"/>
        </w:tabs>
        <w:spacing w:before="120"/>
        <w:ind w:left="1134" w:hanging="425"/>
        <w:rPr>
          <w:szCs w:val="24"/>
        </w:rPr>
      </w:pPr>
      <w:proofErr w:type="gramStart"/>
      <w:r>
        <w:rPr>
          <w:szCs w:val="24"/>
        </w:rPr>
        <w:t>unregulated</w:t>
      </w:r>
      <w:proofErr w:type="gramEnd"/>
      <w:r>
        <w:rPr>
          <w:szCs w:val="24"/>
        </w:rPr>
        <w:t xml:space="preserve"> flows.</w:t>
      </w:r>
    </w:p>
    <w:p w:rsidR="00556322" w:rsidRPr="00935209" w:rsidRDefault="00556322" w:rsidP="00556322">
      <w:r w:rsidRPr="00935209">
        <w:rPr>
          <w:szCs w:val="24"/>
        </w:rPr>
        <w:t xml:space="preserve">In addition to the importance of inundated habitat for frog breeding, </w:t>
      </w:r>
      <w:r>
        <w:rPr>
          <w:szCs w:val="24"/>
        </w:rPr>
        <w:t xml:space="preserve">the </w:t>
      </w:r>
      <w:r w:rsidRPr="00935209">
        <w:rPr>
          <w:szCs w:val="24"/>
        </w:rPr>
        <w:t>management of environmental water needs to consider the duration of the event and the development times of tadpoles.</w:t>
      </w:r>
    </w:p>
    <w:p w:rsidR="009C5F10" w:rsidRPr="00A67C76" w:rsidRDefault="009C5F10" w:rsidP="004812DB">
      <w:pPr>
        <w:rPr>
          <w:b/>
        </w:rPr>
      </w:pPr>
      <w:r w:rsidRPr="00A67C76">
        <w:rPr>
          <w:b/>
        </w:rPr>
        <w:t xml:space="preserve">Future monitoring/research  </w:t>
      </w:r>
    </w:p>
    <w:p w:rsidR="009C5F10" w:rsidRPr="00A67C76" w:rsidRDefault="009C5F10" w:rsidP="00EA303E">
      <w:r w:rsidRPr="00A67C76">
        <w:rPr>
          <w:rFonts w:cs="Segoe UI"/>
          <w:noProof/>
        </w:rPr>
        <w:t>Further studies of frog response as a result of environmental water</w:t>
      </w:r>
      <w:r w:rsidR="006D2CBA" w:rsidRPr="00A67C76">
        <w:rPr>
          <w:rFonts w:cs="Segoe UI"/>
          <w:noProof/>
        </w:rPr>
        <w:t>ing</w:t>
      </w:r>
      <w:r w:rsidR="001D685C" w:rsidRPr="00A67C76">
        <w:rPr>
          <w:rFonts w:cs="Segoe UI"/>
          <w:noProof/>
        </w:rPr>
        <w:t xml:space="preserve"> </w:t>
      </w:r>
      <w:r w:rsidRPr="00A67C76">
        <w:rPr>
          <w:rFonts w:cs="Segoe UI"/>
          <w:noProof/>
        </w:rPr>
        <w:t>should include more targeted monitoring of recruitment, such as tadpole presence and metamorphosis to provide futher insight into the effect of envrionmental water</w:t>
      </w:r>
      <w:r w:rsidR="00272EFB" w:rsidRPr="00A67C76">
        <w:rPr>
          <w:rFonts w:cs="Segoe UI"/>
          <w:noProof/>
        </w:rPr>
        <w:t>ing</w:t>
      </w:r>
      <w:r w:rsidRPr="00A67C76">
        <w:rPr>
          <w:rFonts w:cs="Segoe UI"/>
          <w:noProof/>
        </w:rPr>
        <w:t xml:space="preserve"> on </w:t>
      </w:r>
      <w:r w:rsidR="00F1011C">
        <w:rPr>
          <w:rFonts w:cs="Segoe UI"/>
          <w:noProof/>
        </w:rPr>
        <w:t>breeding</w:t>
      </w:r>
      <w:r w:rsidR="00F1011C" w:rsidRPr="00A67C76">
        <w:rPr>
          <w:rFonts w:cs="Segoe UI"/>
          <w:noProof/>
        </w:rPr>
        <w:t xml:space="preserve"> </w:t>
      </w:r>
      <w:r w:rsidRPr="00A67C76">
        <w:rPr>
          <w:rFonts w:cs="Segoe UI"/>
          <w:noProof/>
        </w:rPr>
        <w:t>success. Additionally, there are other factors that may influence breeding response and recruitment success such as predat</w:t>
      </w:r>
      <w:r w:rsidR="00272EFB" w:rsidRPr="00A67C76">
        <w:rPr>
          <w:rFonts w:cs="Segoe UI"/>
          <w:noProof/>
        </w:rPr>
        <w:t xml:space="preserve">ion by </w:t>
      </w:r>
      <w:r w:rsidRPr="00A67C76">
        <w:rPr>
          <w:rFonts w:cs="Segoe UI"/>
          <w:noProof/>
        </w:rPr>
        <w:t>fish and hydroperiod.</w:t>
      </w:r>
      <w:r w:rsidR="00272EFB" w:rsidRPr="00A67C76">
        <w:rPr>
          <w:rFonts w:cs="Segoe UI"/>
          <w:noProof/>
        </w:rPr>
        <w:t xml:space="preserve"> These require further investigation.</w:t>
      </w:r>
    </w:p>
    <w:p w:rsidR="00DB21D5" w:rsidRPr="00A67C76" w:rsidRDefault="00DB21D5" w:rsidP="00F41737">
      <w:pPr>
        <w:pStyle w:val="Heading2"/>
      </w:pPr>
      <w:bookmarkStart w:id="208" w:name="_Toc387843608"/>
      <w:r w:rsidRPr="00A67C76">
        <w:t>Coorong (modelling)</w:t>
      </w:r>
      <w:bookmarkEnd w:id="208"/>
    </w:p>
    <w:p w:rsidR="00DB21D5" w:rsidRPr="00A67C76" w:rsidRDefault="00DB21D5" w:rsidP="003B591A">
      <w:pPr>
        <w:rPr>
          <w:b/>
          <w:i/>
        </w:rPr>
      </w:pPr>
      <w:r w:rsidRPr="00A67C76">
        <w:rPr>
          <w:b/>
          <w:i/>
        </w:rPr>
        <w:t>Ruppia tuberosa</w:t>
      </w:r>
    </w:p>
    <w:p w:rsidR="009910A2" w:rsidRPr="00A67C76" w:rsidRDefault="009910A2" w:rsidP="009910A2">
      <w:pPr>
        <w:rPr>
          <w:b/>
        </w:rPr>
      </w:pPr>
      <w:r w:rsidRPr="00A67C76">
        <w:rPr>
          <w:b/>
        </w:rPr>
        <w:t>Environmental water management</w:t>
      </w:r>
    </w:p>
    <w:p w:rsidR="00266090" w:rsidRPr="00A67C76" w:rsidRDefault="00266090" w:rsidP="00272EFB">
      <w:pPr>
        <w:tabs>
          <w:tab w:val="left" w:pos="709"/>
        </w:tabs>
        <w:ind w:firstLine="11"/>
        <w:jc w:val="both"/>
        <w:rPr>
          <w:szCs w:val="24"/>
        </w:rPr>
      </w:pPr>
      <w:r w:rsidRPr="00A67C76">
        <w:rPr>
          <w:szCs w:val="24"/>
        </w:rPr>
        <w:t>The volumes of e</w:t>
      </w:r>
      <w:r w:rsidR="009910A2" w:rsidRPr="00A67C76">
        <w:rPr>
          <w:szCs w:val="24"/>
        </w:rPr>
        <w:t xml:space="preserve">nvironmental water </w:t>
      </w:r>
      <w:r w:rsidRPr="00A67C76">
        <w:rPr>
          <w:szCs w:val="24"/>
        </w:rPr>
        <w:t>available will have little (if any) benefit</w:t>
      </w:r>
      <w:r w:rsidR="009910A2" w:rsidRPr="00A67C76">
        <w:rPr>
          <w:szCs w:val="24"/>
        </w:rPr>
        <w:t xml:space="preserve"> </w:t>
      </w:r>
      <w:r w:rsidRPr="00A67C76">
        <w:rPr>
          <w:szCs w:val="24"/>
        </w:rPr>
        <w:t xml:space="preserve">on </w:t>
      </w:r>
      <w:r w:rsidRPr="00A67C76">
        <w:rPr>
          <w:i/>
          <w:szCs w:val="24"/>
        </w:rPr>
        <w:t>Ruppia tuberosa</w:t>
      </w:r>
      <w:r w:rsidRPr="00A67C76">
        <w:rPr>
          <w:szCs w:val="24"/>
        </w:rPr>
        <w:t xml:space="preserve"> populations in the South Lagoon unless delivered in conjunction with an unregulated flow event.  Even in this situation the unregulated flow will need to be of sufficient duration to provide barrage outflows during November and early December and environmental water used to manage flow recession to reduce the rate of water level decline in the South Lagoon to reduce the risk of stranding.</w:t>
      </w:r>
    </w:p>
    <w:p w:rsidR="00EF09B5" w:rsidRDefault="00EF09B5">
      <w:pPr>
        <w:spacing w:before="0" w:after="200" w:line="276" w:lineRule="auto"/>
        <w:rPr>
          <w:b/>
        </w:rPr>
      </w:pPr>
      <w:r>
        <w:rPr>
          <w:b/>
        </w:rPr>
        <w:br w:type="page"/>
      </w:r>
    </w:p>
    <w:p w:rsidR="009910A2" w:rsidRPr="00A67C76" w:rsidRDefault="009910A2" w:rsidP="00266090">
      <w:pPr>
        <w:rPr>
          <w:b/>
        </w:rPr>
      </w:pPr>
      <w:r w:rsidRPr="00A67C76">
        <w:rPr>
          <w:b/>
        </w:rPr>
        <w:t xml:space="preserve">Future monitoring/research  </w:t>
      </w:r>
    </w:p>
    <w:p w:rsidR="00DC2A4D" w:rsidRPr="00A67C76" w:rsidRDefault="00633CB5" w:rsidP="00272EFB">
      <w:pPr>
        <w:jc w:val="both"/>
      </w:pPr>
      <w:r w:rsidRPr="00A67C76">
        <w:rPr>
          <w:rFonts w:eastAsiaTheme="minorHAnsi" w:cstheme="minorBidi"/>
          <w:color w:val="auto"/>
          <w:kern w:val="0"/>
          <w:szCs w:val="22"/>
        </w:rPr>
        <w:t>The current R</w:t>
      </w:r>
      <w:r w:rsidRPr="00A67C76">
        <w:rPr>
          <w:rFonts w:eastAsiaTheme="minorHAnsi" w:cstheme="minorBidi"/>
          <w:i/>
          <w:color w:val="auto"/>
          <w:kern w:val="0"/>
          <w:szCs w:val="22"/>
        </w:rPr>
        <w:t>uppia</w:t>
      </w:r>
      <w:r w:rsidRPr="00A67C76">
        <w:rPr>
          <w:rFonts w:eastAsiaTheme="minorHAnsi" w:cstheme="minorBidi"/>
          <w:color w:val="auto"/>
          <w:kern w:val="0"/>
          <w:szCs w:val="22"/>
        </w:rPr>
        <w:t xml:space="preserve"> response model together with the operational hydrodynamic model (CHM v2.1) provides a useful tool for evaluation and scenario modelling to assess the effect of environmental watering on </w:t>
      </w:r>
      <w:r w:rsidRPr="00A67C76">
        <w:rPr>
          <w:rFonts w:eastAsiaTheme="minorHAnsi" w:cstheme="minorBidi"/>
          <w:i/>
          <w:color w:val="auto"/>
          <w:kern w:val="0"/>
          <w:szCs w:val="22"/>
        </w:rPr>
        <w:t>Ruppia</w:t>
      </w:r>
      <w:r w:rsidRPr="00A67C76">
        <w:rPr>
          <w:rFonts w:eastAsiaTheme="minorHAnsi" w:cstheme="minorBidi"/>
          <w:color w:val="auto"/>
          <w:kern w:val="0"/>
          <w:szCs w:val="22"/>
        </w:rPr>
        <w:t xml:space="preserve">. </w:t>
      </w:r>
      <w:r w:rsidR="00041C31" w:rsidRPr="00A67C76">
        <w:t xml:space="preserve">Additional information regarding the salinity thresholds for flowering and seed production will improve the ecological response model and the environmental triggers for flowering in </w:t>
      </w:r>
      <w:r w:rsidR="00041C31" w:rsidRPr="00A67C76">
        <w:rPr>
          <w:i/>
        </w:rPr>
        <w:t>Ruppia tuberosa</w:t>
      </w:r>
      <w:r w:rsidR="00041C31" w:rsidRPr="00A67C76">
        <w:t xml:space="preserve"> </w:t>
      </w:r>
      <w:r w:rsidR="00DC2A4D" w:rsidRPr="00A67C76">
        <w:t xml:space="preserve">will inform environmental water management. Continued monitoring of the propagule bank and extant population of </w:t>
      </w:r>
      <w:r w:rsidR="00DC2A4D" w:rsidRPr="00A67C76">
        <w:rPr>
          <w:i/>
        </w:rPr>
        <w:t>Ruppia tuberosa</w:t>
      </w:r>
      <w:r w:rsidR="00DC2A4D" w:rsidRPr="00A67C76">
        <w:t xml:space="preserve"> in the Coorong will improve model calibration. </w:t>
      </w:r>
    </w:p>
    <w:p w:rsidR="009910A2" w:rsidRPr="00A67C76" w:rsidRDefault="00DC2A4D" w:rsidP="00272EFB">
      <w:pPr>
        <w:jc w:val="both"/>
      </w:pPr>
      <w:r w:rsidRPr="00A67C76">
        <w:t>Resea</w:t>
      </w:r>
      <w:r w:rsidR="00272EFB" w:rsidRPr="00A67C76">
        <w:t>r</w:t>
      </w:r>
      <w:r w:rsidRPr="00A67C76">
        <w:t xml:space="preserve">ch into the effects of sub-lethal salinity of submergent plant species that were historically present in the Coorong (e.g. </w:t>
      </w:r>
      <w:r w:rsidRPr="00A67C76">
        <w:rPr>
          <w:i/>
        </w:rPr>
        <w:t>Ruppia megacarpa, Lamprothamnium macropogon, Lepilaena cylindrocarpa</w:t>
      </w:r>
      <w:r w:rsidRPr="00A67C76">
        <w:t xml:space="preserve">) could result in similar models being developed for these species to evaluate the feasibility of reintroduction.  Furthermore, information regarding the salinity and water level preferences of fringing species (samphire and salt marsh species) could be used to develop ecological response models to </w:t>
      </w:r>
      <w:r w:rsidR="004F7F83" w:rsidRPr="00A67C76">
        <w:t>assist in the management of fringing habitats</w:t>
      </w:r>
      <w:r w:rsidRPr="00A67C76">
        <w:t xml:space="preserve">. </w:t>
      </w:r>
      <w:r w:rsidR="00041C31" w:rsidRPr="00A67C76">
        <w:t xml:space="preserve"> </w:t>
      </w:r>
    </w:p>
    <w:p w:rsidR="0075365E" w:rsidRPr="00A67C76" w:rsidRDefault="00DB21D5" w:rsidP="003B591A">
      <w:pPr>
        <w:rPr>
          <w:b/>
          <w:i/>
        </w:rPr>
      </w:pPr>
      <w:r w:rsidRPr="00A67C76">
        <w:rPr>
          <w:b/>
          <w:i/>
        </w:rPr>
        <w:t>Fish habitat</w:t>
      </w:r>
    </w:p>
    <w:p w:rsidR="0075365E" w:rsidRPr="00A67C76" w:rsidRDefault="0075365E" w:rsidP="0075365E">
      <w:pPr>
        <w:rPr>
          <w:b/>
        </w:rPr>
      </w:pPr>
      <w:r w:rsidRPr="00A67C76">
        <w:rPr>
          <w:b/>
        </w:rPr>
        <w:t>Environmental water management</w:t>
      </w:r>
    </w:p>
    <w:p w:rsidR="00D62B29" w:rsidRPr="00A67C76" w:rsidRDefault="00CD60B2" w:rsidP="00D62B29">
      <w:r w:rsidRPr="00A67C76">
        <w:rPr>
          <w:szCs w:val="24"/>
        </w:rPr>
        <w:t xml:space="preserve">Freshwater inflow is pivotal in maintaining estuarine fish habitat and populations in the Coorong. </w:t>
      </w:r>
      <w:r w:rsidR="00BF11B4" w:rsidRPr="00A67C76">
        <w:rPr>
          <w:szCs w:val="24"/>
        </w:rPr>
        <w:t xml:space="preserve">Environmental </w:t>
      </w:r>
      <w:r w:rsidRPr="00A67C76">
        <w:rPr>
          <w:szCs w:val="24"/>
        </w:rPr>
        <w:t xml:space="preserve">water delivery </w:t>
      </w:r>
      <w:r w:rsidR="00FE3FE9" w:rsidRPr="00A67C76">
        <w:rPr>
          <w:szCs w:val="24"/>
        </w:rPr>
        <w:t xml:space="preserve">could </w:t>
      </w:r>
      <w:r w:rsidRPr="00A67C76">
        <w:rPr>
          <w:szCs w:val="24"/>
        </w:rPr>
        <w:t>provide</w:t>
      </w:r>
      <w:r w:rsidR="00BB7517">
        <w:rPr>
          <w:szCs w:val="24"/>
        </w:rPr>
        <w:t xml:space="preserve"> an</w:t>
      </w:r>
      <w:r w:rsidRPr="00A67C76">
        <w:rPr>
          <w:szCs w:val="24"/>
        </w:rPr>
        <w:t xml:space="preserve"> incremental</w:t>
      </w:r>
      <w:r w:rsidR="001A546F" w:rsidRPr="00A67C76">
        <w:rPr>
          <w:szCs w:val="24"/>
        </w:rPr>
        <w:t xml:space="preserve"> benefit by reducing salinity levels along the north to south gradient in</w:t>
      </w:r>
      <w:r w:rsidRPr="00A67C76">
        <w:rPr>
          <w:szCs w:val="24"/>
        </w:rPr>
        <w:t xml:space="preserve"> the Coorong</w:t>
      </w:r>
      <w:r w:rsidR="001A546F" w:rsidRPr="00A67C76">
        <w:rPr>
          <w:szCs w:val="24"/>
        </w:rPr>
        <w:t xml:space="preserve">, often leading to an extension of habitat into the South Lagoon particularly for species with less salinity </w:t>
      </w:r>
      <w:r w:rsidRPr="00A67C76">
        <w:rPr>
          <w:szCs w:val="24"/>
        </w:rPr>
        <w:t xml:space="preserve">tolerances. </w:t>
      </w:r>
      <w:r w:rsidR="001A546F" w:rsidRPr="00A67C76">
        <w:rPr>
          <w:szCs w:val="24"/>
        </w:rPr>
        <w:t xml:space="preserve">Environmental watering </w:t>
      </w:r>
      <w:r w:rsidR="00D62B29" w:rsidRPr="00A67C76">
        <w:rPr>
          <w:szCs w:val="24"/>
        </w:rPr>
        <w:t xml:space="preserve">during the summer months or in years </w:t>
      </w:r>
      <w:r w:rsidR="00D62B29" w:rsidRPr="00A67C76">
        <w:t xml:space="preserve">with less barrage flows and higher salinity will provide a much larger effect of habitat change. Flow delivery during late spring/summer is important as this period corresponds to the spawning and recruitment season of most estuarine fish species in the Coorong. Environmental </w:t>
      </w:r>
      <w:r w:rsidR="00B461ED" w:rsidRPr="00A67C76">
        <w:t>flows</w:t>
      </w:r>
      <w:r w:rsidR="00D62B29" w:rsidRPr="00A67C76">
        <w:t xml:space="preserve"> could </w:t>
      </w:r>
      <w:r w:rsidR="00B461ED" w:rsidRPr="00A67C76">
        <w:t xml:space="preserve">potentially </w:t>
      </w:r>
      <w:r w:rsidR="00D62B29" w:rsidRPr="00A67C76">
        <w:t>help in maintaining favourable salinity gradient</w:t>
      </w:r>
      <w:r w:rsidR="00B461ED" w:rsidRPr="00A67C76">
        <w:t xml:space="preserve">, enhancing productivity and improving connectivity to facilitate fish recruitment.  </w:t>
      </w:r>
    </w:p>
    <w:p w:rsidR="0075365E" w:rsidRPr="00A67C76" w:rsidRDefault="0075365E" w:rsidP="0075365E">
      <w:pPr>
        <w:rPr>
          <w:b/>
        </w:rPr>
      </w:pPr>
      <w:r w:rsidRPr="00A67C76">
        <w:rPr>
          <w:b/>
        </w:rPr>
        <w:t xml:space="preserve">Future monitoring/research  </w:t>
      </w:r>
    </w:p>
    <w:p w:rsidR="007E4B27" w:rsidRPr="00A67C76" w:rsidRDefault="00300A40" w:rsidP="007E4B27">
      <w:pPr>
        <w:spacing w:before="0" w:after="0"/>
        <w:rPr>
          <w:szCs w:val="22"/>
        </w:rPr>
      </w:pPr>
      <w:r w:rsidRPr="00A67C76">
        <w:rPr>
          <w:rFonts w:eastAsiaTheme="minorHAnsi" w:cstheme="minorBidi"/>
          <w:color w:val="auto"/>
          <w:kern w:val="0"/>
          <w:szCs w:val="22"/>
        </w:rPr>
        <w:t xml:space="preserve">The preliminary fish habitat model together with the operational hydrodynamic model (CHM v2.1) provides a useful tool for broad evaluation and scenario modelling to assess the effect of environmental watering on fish habitat suitability in the Coorong. </w:t>
      </w:r>
      <w:r w:rsidR="00B5542A" w:rsidRPr="00A67C76">
        <w:rPr>
          <w:szCs w:val="22"/>
        </w:rPr>
        <w:t>In order for more comprehensive analysis and evaluation of the effect of environmental watering on fish habita</w:t>
      </w:r>
      <w:r w:rsidRPr="00A67C76">
        <w:rPr>
          <w:szCs w:val="22"/>
        </w:rPr>
        <w:t>t and populations</w:t>
      </w:r>
      <w:r w:rsidR="00B5542A" w:rsidRPr="00A67C76">
        <w:rPr>
          <w:szCs w:val="22"/>
        </w:rPr>
        <w:t xml:space="preserve">, more </w:t>
      </w:r>
      <w:r w:rsidR="007E4B27" w:rsidRPr="00A67C76">
        <w:rPr>
          <w:szCs w:val="22"/>
        </w:rPr>
        <w:t xml:space="preserve">complex fish models </w:t>
      </w:r>
      <w:r w:rsidR="00B5542A" w:rsidRPr="00A67C76">
        <w:rPr>
          <w:szCs w:val="22"/>
        </w:rPr>
        <w:t xml:space="preserve">are required. These </w:t>
      </w:r>
      <w:r w:rsidR="007E4B27" w:rsidRPr="00A67C76">
        <w:rPr>
          <w:szCs w:val="22"/>
        </w:rPr>
        <w:t>could be</w:t>
      </w:r>
      <w:r w:rsidR="00B5542A" w:rsidRPr="00A67C76">
        <w:rPr>
          <w:szCs w:val="22"/>
        </w:rPr>
        <w:t xml:space="preserve"> extended from the existing fish habitat model by including</w:t>
      </w:r>
      <w:r w:rsidR="00583910" w:rsidRPr="00A67C76">
        <w:rPr>
          <w:szCs w:val="22"/>
        </w:rPr>
        <w:t xml:space="preserve"> the</w:t>
      </w:r>
      <w:r w:rsidR="00B5542A" w:rsidRPr="00A67C76">
        <w:rPr>
          <w:szCs w:val="22"/>
        </w:rPr>
        <w:t xml:space="preserve"> </w:t>
      </w:r>
      <w:r w:rsidR="007E4B27" w:rsidRPr="00A67C76">
        <w:rPr>
          <w:szCs w:val="22"/>
        </w:rPr>
        <w:t>information</w:t>
      </w:r>
      <w:r w:rsidR="00583910" w:rsidRPr="00A67C76">
        <w:rPr>
          <w:szCs w:val="22"/>
        </w:rPr>
        <w:t xml:space="preserve"> of </w:t>
      </w:r>
      <w:r w:rsidR="00EC7B84" w:rsidRPr="00EC7B84">
        <w:rPr>
          <w:szCs w:val="22"/>
        </w:rPr>
        <w:t>life-history</w:t>
      </w:r>
      <w:r w:rsidR="00583910" w:rsidRPr="00A67C76">
        <w:rPr>
          <w:szCs w:val="22"/>
        </w:rPr>
        <w:t xml:space="preserve"> and flow</w:t>
      </w:r>
      <w:r w:rsidRPr="00A67C76">
        <w:rPr>
          <w:szCs w:val="22"/>
        </w:rPr>
        <w:t>/</w:t>
      </w:r>
      <w:r w:rsidR="00583910" w:rsidRPr="00A67C76">
        <w:rPr>
          <w:szCs w:val="22"/>
        </w:rPr>
        <w:t xml:space="preserve">salinity </w:t>
      </w:r>
      <w:r w:rsidRPr="00A67C76">
        <w:rPr>
          <w:szCs w:val="22"/>
        </w:rPr>
        <w:t xml:space="preserve">effects </w:t>
      </w:r>
      <w:r w:rsidR="00583910" w:rsidRPr="00A67C76">
        <w:rPr>
          <w:szCs w:val="22"/>
        </w:rPr>
        <w:t xml:space="preserve">on </w:t>
      </w:r>
      <w:r w:rsidRPr="00A67C76">
        <w:rPr>
          <w:szCs w:val="22"/>
        </w:rPr>
        <w:t xml:space="preserve">key </w:t>
      </w:r>
      <w:r w:rsidR="00583910" w:rsidRPr="00A67C76">
        <w:rPr>
          <w:szCs w:val="22"/>
        </w:rPr>
        <w:t xml:space="preserve">life </w:t>
      </w:r>
      <w:r w:rsidRPr="00A67C76">
        <w:rPr>
          <w:szCs w:val="22"/>
        </w:rPr>
        <w:t xml:space="preserve">stages and </w:t>
      </w:r>
      <w:r w:rsidR="00583910" w:rsidRPr="00A67C76">
        <w:rPr>
          <w:szCs w:val="22"/>
        </w:rPr>
        <w:t xml:space="preserve">processes of </w:t>
      </w:r>
      <w:r w:rsidR="007E4B27" w:rsidRPr="00A67C76">
        <w:rPr>
          <w:szCs w:val="22"/>
        </w:rPr>
        <w:t>different species/guilds</w:t>
      </w:r>
      <w:r w:rsidR="00583910" w:rsidRPr="00A67C76">
        <w:rPr>
          <w:szCs w:val="22"/>
        </w:rPr>
        <w:t>.</w:t>
      </w:r>
      <w:r w:rsidRPr="00A67C76">
        <w:rPr>
          <w:szCs w:val="22"/>
        </w:rPr>
        <w:t xml:space="preserve"> Therefore </w:t>
      </w:r>
      <w:r w:rsidR="00DB1E2E" w:rsidRPr="00A67C76">
        <w:rPr>
          <w:szCs w:val="22"/>
        </w:rPr>
        <w:t xml:space="preserve">it’s important to identify </w:t>
      </w:r>
      <w:r w:rsidRPr="00A67C76">
        <w:rPr>
          <w:szCs w:val="22"/>
        </w:rPr>
        <w:t>such information and</w:t>
      </w:r>
      <w:r w:rsidR="00DB1E2E" w:rsidRPr="00A67C76">
        <w:rPr>
          <w:szCs w:val="22"/>
        </w:rPr>
        <w:t xml:space="preserve"> fill </w:t>
      </w:r>
      <w:r w:rsidRPr="00A67C76">
        <w:rPr>
          <w:szCs w:val="22"/>
        </w:rPr>
        <w:t xml:space="preserve">knowledge </w:t>
      </w:r>
      <w:r w:rsidR="00DB1E2E" w:rsidRPr="00A67C76">
        <w:rPr>
          <w:szCs w:val="22"/>
        </w:rPr>
        <w:t>gaps</w:t>
      </w:r>
      <w:r w:rsidRPr="00A67C76">
        <w:rPr>
          <w:szCs w:val="22"/>
        </w:rPr>
        <w:t>.</w:t>
      </w:r>
      <w:r w:rsidR="00DB1E2E" w:rsidRPr="00A67C76">
        <w:rPr>
          <w:szCs w:val="22"/>
        </w:rPr>
        <w:t xml:space="preserve"> </w:t>
      </w:r>
      <w:r w:rsidR="00C242A2" w:rsidRPr="00A67C76">
        <w:rPr>
          <w:szCs w:val="22"/>
        </w:rPr>
        <w:t>Further investigation and data</w:t>
      </w:r>
      <w:r w:rsidR="00DB1E2E" w:rsidRPr="00A67C76">
        <w:rPr>
          <w:szCs w:val="22"/>
        </w:rPr>
        <w:t xml:space="preserve"> gathering</w:t>
      </w:r>
      <w:r w:rsidR="00C242A2" w:rsidRPr="00A67C76">
        <w:rPr>
          <w:szCs w:val="22"/>
        </w:rPr>
        <w:t xml:space="preserve"> </w:t>
      </w:r>
      <w:r w:rsidR="00DB1E2E" w:rsidRPr="00A67C76">
        <w:rPr>
          <w:szCs w:val="22"/>
        </w:rPr>
        <w:t xml:space="preserve">could be </w:t>
      </w:r>
      <w:r w:rsidR="00C242A2" w:rsidRPr="00A67C76">
        <w:rPr>
          <w:szCs w:val="22"/>
        </w:rPr>
        <w:t xml:space="preserve">achieved </w:t>
      </w:r>
      <w:r w:rsidR="00DB1E2E" w:rsidRPr="00A67C76">
        <w:rPr>
          <w:szCs w:val="22"/>
        </w:rPr>
        <w:t xml:space="preserve">through </w:t>
      </w:r>
      <w:r w:rsidR="00C242A2" w:rsidRPr="00A67C76">
        <w:rPr>
          <w:szCs w:val="22"/>
        </w:rPr>
        <w:t>e</w:t>
      </w:r>
      <w:r w:rsidR="00DB1E2E" w:rsidRPr="00A67C76">
        <w:rPr>
          <w:szCs w:val="22"/>
        </w:rPr>
        <w:t>cological monitoring of the effects of flow, including environmental water delivery, on fish assemblages and habitat in the Coorong</w:t>
      </w:r>
      <w:r w:rsidR="00C242A2" w:rsidRPr="00A67C76">
        <w:rPr>
          <w:szCs w:val="22"/>
        </w:rPr>
        <w:t xml:space="preserve">. </w:t>
      </w:r>
      <w:r w:rsidR="00DB1E2E" w:rsidRPr="00A67C76">
        <w:rPr>
          <w:szCs w:val="22"/>
        </w:rPr>
        <w:t xml:space="preserve"> </w:t>
      </w:r>
      <w:r w:rsidR="00C242A2" w:rsidRPr="00A67C76">
        <w:rPr>
          <w:szCs w:val="22"/>
        </w:rPr>
        <w:t xml:space="preserve">Such knowledge will not only inform </w:t>
      </w:r>
      <w:r w:rsidR="003D04ED" w:rsidRPr="00A67C76">
        <w:rPr>
          <w:szCs w:val="22"/>
        </w:rPr>
        <w:t xml:space="preserve">the future development of fish-flow response models but also </w:t>
      </w:r>
      <w:r w:rsidR="007E4B27" w:rsidRPr="00A67C76">
        <w:rPr>
          <w:szCs w:val="22"/>
        </w:rPr>
        <w:t xml:space="preserve">contribute to the system understanding of </w:t>
      </w:r>
      <w:r w:rsidR="00C242A2" w:rsidRPr="00A67C76">
        <w:rPr>
          <w:szCs w:val="22"/>
        </w:rPr>
        <w:t xml:space="preserve">the </w:t>
      </w:r>
      <w:r w:rsidR="003D04ED" w:rsidRPr="00A67C76">
        <w:rPr>
          <w:szCs w:val="22"/>
        </w:rPr>
        <w:t>flow related ecology, which will underpin e</w:t>
      </w:r>
      <w:r w:rsidR="007E4B27" w:rsidRPr="00A67C76">
        <w:rPr>
          <w:szCs w:val="22"/>
        </w:rPr>
        <w:t xml:space="preserve">nvironmental </w:t>
      </w:r>
      <w:r w:rsidR="003D04ED" w:rsidRPr="00A67C76">
        <w:rPr>
          <w:szCs w:val="22"/>
        </w:rPr>
        <w:t xml:space="preserve">water management </w:t>
      </w:r>
      <w:r w:rsidR="007E4B27" w:rsidRPr="00A67C76">
        <w:rPr>
          <w:szCs w:val="22"/>
        </w:rPr>
        <w:t>to maintain and improve ecosystem health and resilience in the Coorong.</w:t>
      </w:r>
    </w:p>
    <w:p w:rsidR="00FA7B84" w:rsidRDefault="00FA7B84" w:rsidP="0075365E"/>
    <w:p w:rsidR="00FA7B84" w:rsidRDefault="00FA7B84">
      <w:pPr>
        <w:spacing w:before="0" w:after="200" w:line="276" w:lineRule="auto"/>
      </w:pPr>
      <w:r>
        <w:br w:type="page"/>
      </w:r>
    </w:p>
    <w:p w:rsidR="003E2B6B" w:rsidRPr="00A67C76" w:rsidRDefault="009354B9" w:rsidP="00F41737">
      <w:pPr>
        <w:pStyle w:val="Heading1"/>
      </w:pPr>
      <w:bookmarkStart w:id="209" w:name="_Toc387843609"/>
      <w:r w:rsidRPr="00A67C76">
        <w:t>Re</w:t>
      </w:r>
      <w:r w:rsidR="008F2ED6" w:rsidRPr="00A67C76">
        <w:t>ferences</w:t>
      </w:r>
      <w:bookmarkEnd w:id="18"/>
      <w:bookmarkEnd w:id="19"/>
      <w:bookmarkEnd w:id="209"/>
    </w:p>
    <w:p w:rsidR="00860E0D" w:rsidRPr="00A67C76" w:rsidRDefault="00860E0D" w:rsidP="00860E0D">
      <w:pPr>
        <w:spacing w:line="240" w:lineRule="auto"/>
        <w:rPr>
          <w:rFonts w:cs="Segoe UI"/>
        </w:rPr>
      </w:pPr>
      <w:proofErr w:type="gramStart"/>
      <w:r w:rsidRPr="00A67C76">
        <w:t>Aldridge, K.T., Busch, B.D. and Hipsey, M.R. (2013).</w:t>
      </w:r>
      <w:proofErr w:type="gramEnd"/>
      <w:r w:rsidRPr="00A67C76">
        <w:t xml:space="preserve"> An assessment of the contribution of environmental water provisions to salt and nutrient dynamics in the lower Murray, November 2011-July 2012.</w:t>
      </w:r>
    </w:p>
    <w:p w:rsidR="00860E0D" w:rsidRPr="00A67C76" w:rsidRDefault="00860E0D" w:rsidP="00860E0D">
      <w:pPr>
        <w:spacing w:line="240" w:lineRule="auto"/>
      </w:pPr>
      <w:proofErr w:type="gramStart"/>
      <w:r w:rsidRPr="00A67C76">
        <w:t>Aldridge, K.T., Lamontagne, S., Deegan, B.M. and Brookes, J.D. (2011).</w:t>
      </w:r>
      <w:proofErr w:type="gramEnd"/>
      <w:r w:rsidRPr="00A67C76">
        <w:t xml:space="preserve"> </w:t>
      </w:r>
      <w:proofErr w:type="gramStart"/>
      <w:r w:rsidRPr="00A67C76">
        <w:t>Impact of a drought on nutrient concentrations in the Lower Lakes (Murray-Darling basin, Australia).</w:t>
      </w:r>
      <w:proofErr w:type="gramEnd"/>
      <w:r w:rsidRPr="00A67C76">
        <w:t xml:space="preserve"> </w:t>
      </w:r>
      <w:r w:rsidRPr="00A67C76">
        <w:rPr>
          <w:i/>
        </w:rPr>
        <w:t>Inland Waters</w:t>
      </w:r>
      <w:r w:rsidRPr="00A67C76">
        <w:t xml:space="preserve"> </w:t>
      </w:r>
      <w:r w:rsidRPr="00A67C76">
        <w:rPr>
          <w:b/>
        </w:rPr>
        <w:t>1</w:t>
      </w:r>
      <w:r w:rsidRPr="00A67C76">
        <w:t>, 159-176.</w:t>
      </w:r>
    </w:p>
    <w:p w:rsidR="00860E0D" w:rsidRPr="00A67C76" w:rsidRDefault="00860E0D" w:rsidP="00860E0D">
      <w:pPr>
        <w:spacing w:line="240" w:lineRule="auto"/>
      </w:pPr>
      <w:proofErr w:type="gramStart"/>
      <w:r w:rsidRPr="00A67C76">
        <w:t>Aldridge, K., Lorenz, Z., Oliver, R. and Brooks, J.J. (2012).</w:t>
      </w:r>
      <w:proofErr w:type="gramEnd"/>
      <w:r w:rsidRPr="00A67C76">
        <w:t xml:space="preserve"> </w:t>
      </w:r>
      <w:proofErr w:type="gramStart"/>
      <w:r w:rsidRPr="00A67C76">
        <w:t>Changes in water quality and phytoplankton communities in the lower Murray River in response to a low flow-high flow sequence.</w:t>
      </w:r>
      <w:proofErr w:type="gramEnd"/>
      <w:r w:rsidRPr="00A67C76">
        <w:t xml:space="preserve"> </w:t>
      </w:r>
      <w:proofErr w:type="gramStart"/>
      <w:r w:rsidRPr="00A67C76">
        <w:t>Goyder Institute for Water Research.</w:t>
      </w:r>
      <w:proofErr w:type="gramEnd"/>
      <w:r w:rsidRPr="00A67C76">
        <w:t xml:space="preserve"> Adelaide, Australia.</w:t>
      </w:r>
    </w:p>
    <w:p w:rsidR="00860E0D" w:rsidRPr="00A67C76" w:rsidRDefault="00860E0D" w:rsidP="00860E0D">
      <w:pPr>
        <w:spacing w:line="240" w:lineRule="auto"/>
      </w:pPr>
      <w:proofErr w:type="gramStart"/>
      <w:r w:rsidRPr="00A67C76">
        <w:t>Anstis, M. (2002).</w:t>
      </w:r>
      <w:proofErr w:type="gramEnd"/>
      <w:r w:rsidRPr="00A67C76">
        <w:t xml:space="preserve"> </w:t>
      </w:r>
      <w:r w:rsidRPr="00A67C76">
        <w:rPr>
          <w:i/>
        </w:rPr>
        <w:t>Tadpoles of South-eastern Australia: A Guide with Keys</w:t>
      </w:r>
      <w:r w:rsidRPr="00A67C76">
        <w:t xml:space="preserve">. </w:t>
      </w:r>
      <w:proofErr w:type="gramStart"/>
      <w:r w:rsidRPr="00A67C76">
        <w:t>Reed New Holland Pty Ltd. Sydney.</w:t>
      </w:r>
      <w:proofErr w:type="gramEnd"/>
    </w:p>
    <w:p w:rsidR="00860E0D" w:rsidRPr="00A67C76" w:rsidRDefault="00860E0D" w:rsidP="00860E0D">
      <w:pPr>
        <w:spacing w:line="240" w:lineRule="auto"/>
      </w:pPr>
      <w:proofErr w:type="gramStart"/>
      <w:r w:rsidRPr="00A67C76">
        <w:t>Arthington, A.H., Bunn, S.E., Poff, L.N. and Naiman, R.J. (2006).</w:t>
      </w:r>
      <w:proofErr w:type="gramEnd"/>
      <w:r w:rsidRPr="00A67C76">
        <w:t xml:space="preserve"> The challenge of providing environmental flow rules to sustain river ecosystems. </w:t>
      </w:r>
      <w:r w:rsidRPr="00A67C76">
        <w:rPr>
          <w:i/>
        </w:rPr>
        <w:t>Ecological Applications</w:t>
      </w:r>
      <w:r w:rsidRPr="00A67C76">
        <w:t xml:space="preserve"> </w:t>
      </w:r>
      <w:r w:rsidRPr="00A67C76">
        <w:rPr>
          <w:b/>
        </w:rPr>
        <w:t>16</w:t>
      </w:r>
      <w:r w:rsidRPr="00A67C76">
        <w:t xml:space="preserve">, 1311-1318. </w:t>
      </w:r>
    </w:p>
    <w:p w:rsidR="00860E0D" w:rsidRPr="00A67C76" w:rsidRDefault="00860E0D" w:rsidP="00860E0D">
      <w:pPr>
        <w:spacing w:line="240" w:lineRule="auto"/>
      </w:pPr>
      <w:r w:rsidRPr="00A67C76">
        <w:t xml:space="preserve">Baumgartner, L.J., Conallin, J., Wooden, I., Campbell, B., Gee, R., Robinson, W.A. and Mallen-Cooper, M. (2013). </w:t>
      </w:r>
      <w:proofErr w:type="gramStart"/>
      <w:r w:rsidRPr="00A67C76">
        <w:t>Using flow guilds of freshwater fish in an adaptive management framework to simplify environmental flow delivery for semi-arid riverine systems.</w:t>
      </w:r>
      <w:proofErr w:type="gramEnd"/>
      <w:r w:rsidRPr="00A67C76">
        <w:t xml:space="preserve"> </w:t>
      </w:r>
      <w:r w:rsidRPr="00A67C76">
        <w:rPr>
          <w:i/>
        </w:rPr>
        <w:t>Fish and Fisheries</w:t>
      </w:r>
      <w:r w:rsidRPr="00A67C76">
        <w:t xml:space="preserve"> (DOI: 10.1111/faf.12023).</w:t>
      </w:r>
    </w:p>
    <w:p w:rsidR="00860E0D" w:rsidRPr="00A67C76" w:rsidRDefault="00860E0D" w:rsidP="00860E0D">
      <w:pPr>
        <w:spacing w:line="240" w:lineRule="auto"/>
        <w:rPr>
          <w:rFonts w:cs="Segoe UI"/>
          <w:szCs w:val="24"/>
        </w:rPr>
      </w:pPr>
      <w:proofErr w:type="gramStart"/>
      <w:r w:rsidRPr="00A67C76">
        <w:rPr>
          <w:rFonts w:cs="Segoe UI"/>
          <w:szCs w:val="24"/>
        </w:rPr>
        <w:t>Blanch,</w:t>
      </w:r>
      <w:proofErr w:type="gramEnd"/>
      <w:r w:rsidRPr="00A67C76">
        <w:rPr>
          <w:rFonts w:cs="Segoe UI"/>
          <w:szCs w:val="24"/>
        </w:rPr>
        <w:t xml:space="preserve"> S.J., Walker, K.F. and Ganf, G.G. (2000). </w:t>
      </w:r>
      <w:proofErr w:type="gramStart"/>
      <w:r w:rsidRPr="00A67C76">
        <w:rPr>
          <w:rFonts w:cs="Segoe UI"/>
          <w:szCs w:val="24"/>
        </w:rPr>
        <w:t>Water regimes and littoral plants in four weir pools of the River Murray, Australia.</w:t>
      </w:r>
      <w:proofErr w:type="gramEnd"/>
      <w:r w:rsidRPr="00A67C76">
        <w:rPr>
          <w:rFonts w:cs="Segoe UI"/>
          <w:szCs w:val="24"/>
        </w:rPr>
        <w:t xml:space="preserve"> </w:t>
      </w:r>
      <w:proofErr w:type="gramStart"/>
      <w:r w:rsidRPr="00A67C76">
        <w:rPr>
          <w:rFonts w:cs="Segoe UI"/>
          <w:i/>
          <w:szCs w:val="24"/>
        </w:rPr>
        <w:t>Regulated Rivers: Research and Management</w:t>
      </w:r>
      <w:r w:rsidRPr="00A67C76">
        <w:rPr>
          <w:rFonts w:cs="Segoe UI"/>
          <w:szCs w:val="24"/>
        </w:rPr>
        <w:t xml:space="preserve"> </w:t>
      </w:r>
      <w:r w:rsidRPr="00A67C76">
        <w:rPr>
          <w:rFonts w:cs="Segoe UI"/>
          <w:b/>
          <w:szCs w:val="24"/>
        </w:rPr>
        <w:t>16</w:t>
      </w:r>
      <w:r w:rsidRPr="00A67C76">
        <w:rPr>
          <w:rFonts w:cs="Segoe UI"/>
          <w:szCs w:val="24"/>
        </w:rPr>
        <w:t>, 445–456.</w:t>
      </w:r>
      <w:proofErr w:type="gramEnd"/>
    </w:p>
    <w:p w:rsidR="00860E0D" w:rsidRPr="00A67C76" w:rsidRDefault="00860E0D" w:rsidP="00860E0D">
      <w:pPr>
        <w:spacing w:line="240" w:lineRule="auto"/>
      </w:pPr>
      <w:proofErr w:type="gramStart"/>
      <w:r w:rsidRPr="00A67C76">
        <w:t>Bradford, T.M., Morgan, M.J., Lorenz, Z., Hartley, D.M., Hardy, C.M. and Oliver, R.L. (2013).</w:t>
      </w:r>
      <w:proofErr w:type="gramEnd"/>
      <w:r w:rsidRPr="00A67C76">
        <w:t xml:space="preserve"> Micro-eukaryote community composition assessed by pyrosequencing is associated with light availability and phytoplankton primary production along a lowland river. </w:t>
      </w:r>
      <w:proofErr w:type="gramStart"/>
      <w:r w:rsidRPr="00A67C76">
        <w:rPr>
          <w:i/>
        </w:rPr>
        <w:t>Freshwater Biology</w:t>
      </w:r>
      <w:r w:rsidRPr="00A67C76">
        <w:t xml:space="preserve"> </w:t>
      </w:r>
      <w:r w:rsidRPr="00A67C76">
        <w:rPr>
          <w:b/>
        </w:rPr>
        <w:t>58</w:t>
      </w:r>
      <w:r w:rsidRPr="00A67C76">
        <w:t>, 2401–2413.</w:t>
      </w:r>
      <w:proofErr w:type="gramEnd"/>
    </w:p>
    <w:p w:rsidR="00860E0D" w:rsidRPr="00A67C76" w:rsidRDefault="00860E0D" w:rsidP="00860E0D">
      <w:pPr>
        <w:spacing w:line="240" w:lineRule="auto"/>
        <w:rPr>
          <w:szCs w:val="24"/>
        </w:rPr>
      </w:pPr>
      <w:proofErr w:type="gramStart"/>
      <w:r w:rsidRPr="00A67C76">
        <w:rPr>
          <w:szCs w:val="24"/>
        </w:rPr>
        <w:t>Brock, M.A. (1979).</w:t>
      </w:r>
      <w:proofErr w:type="gramEnd"/>
      <w:r w:rsidRPr="00A67C76">
        <w:rPr>
          <w:szCs w:val="24"/>
        </w:rPr>
        <w:t xml:space="preserve"> </w:t>
      </w:r>
      <w:proofErr w:type="gramStart"/>
      <w:r w:rsidRPr="00A67C76">
        <w:rPr>
          <w:szCs w:val="24"/>
        </w:rPr>
        <w:t>The ecology of salt lake hydrophytes.</w:t>
      </w:r>
      <w:proofErr w:type="gramEnd"/>
      <w:r w:rsidRPr="00A67C76">
        <w:rPr>
          <w:szCs w:val="24"/>
        </w:rPr>
        <w:t xml:space="preserve"> </w:t>
      </w:r>
      <w:proofErr w:type="gramStart"/>
      <w:r w:rsidRPr="00A67C76">
        <w:rPr>
          <w:szCs w:val="24"/>
        </w:rPr>
        <w:t>Ph.D. thesis, The University of Adelaide.</w:t>
      </w:r>
      <w:proofErr w:type="gramEnd"/>
    </w:p>
    <w:p w:rsidR="00860E0D" w:rsidRPr="00A67C76" w:rsidRDefault="00860E0D" w:rsidP="00860E0D">
      <w:pPr>
        <w:spacing w:line="240" w:lineRule="auto"/>
        <w:rPr>
          <w:szCs w:val="24"/>
        </w:rPr>
      </w:pPr>
      <w:proofErr w:type="gramStart"/>
      <w:r w:rsidRPr="00A67C76">
        <w:rPr>
          <w:szCs w:val="24"/>
        </w:rPr>
        <w:t>Brock, M.A. (1981).</w:t>
      </w:r>
      <w:proofErr w:type="gramEnd"/>
      <w:r w:rsidRPr="00A67C76">
        <w:rPr>
          <w:szCs w:val="24"/>
        </w:rPr>
        <w:t xml:space="preserve"> </w:t>
      </w:r>
      <w:proofErr w:type="gramStart"/>
      <w:r w:rsidRPr="00A67C76">
        <w:rPr>
          <w:szCs w:val="24"/>
        </w:rPr>
        <w:t>The ecology of halophytes in the south-east of South Australia.</w:t>
      </w:r>
      <w:proofErr w:type="gramEnd"/>
      <w:r w:rsidRPr="00A67C76">
        <w:rPr>
          <w:szCs w:val="24"/>
        </w:rPr>
        <w:t xml:space="preserve"> </w:t>
      </w:r>
      <w:r w:rsidRPr="00A67C76">
        <w:rPr>
          <w:i/>
          <w:szCs w:val="24"/>
        </w:rPr>
        <w:t>Hydrobiologia</w:t>
      </w:r>
      <w:r w:rsidRPr="00A67C76">
        <w:rPr>
          <w:szCs w:val="24"/>
        </w:rPr>
        <w:t xml:space="preserve"> </w:t>
      </w:r>
      <w:r w:rsidRPr="00A67C76">
        <w:rPr>
          <w:b/>
          <w:szCs w:val="24"/>
        </w:rPr>
        <w:t>81</w:t>
      </w:r>
      <w:r w:rsidRPr="00A67C76">
        <w:rPr>
          <w:szCs w:val="24"/>
        </w:rPr>
        <w:t>, 23-32.</w:t>
      </w:r>
    </w:p>
    <w:p w:rsidR="00860E0D" w:rsidRPr="00A67C76" w:rsidRDefault="00860E0D" w:rsidP="00860E0D">
      <w:pPr>
        <w:spacing w:line="240" w:lineRule="auto"/>
        <w:rPr>
          <w:szCs w:val="24"/>
        </w:rPr>
      </w:pPr>
      <w:proofErr w:type="gramStart"/>
      <w:r w:rsidRPr="00A67C76">
        <w:rPr>
          <w:szCs w:val="24"/>
        </w:rPr>
        <w:t>Brock, M.A. (1982a).</w:t>
      </w:r>
      <w:proofErr w:type="gramEnd"/>
      <w:r w:rsidRPr="00A67C76">
        <w:rPr>
          <w:szCs w:val="24"/>
        </w:rPr>
        <w:t xml:space="preserve"> </w:t>
      </w:r>
      <w:proofErr w:type="gramStart"/>
      <w:r w:rsidRPr="00A67C76">
        <w:rPr>
          <w:szCs w:val="24"/>
        </w:rPr>
        <w:t xml:space="preserve">Biology of the salinity tolerant genus </w:t>
      </w:r>
      <w:r w:rsidRPr="00A67C76">
        <w:rPr>
          <w:i/>
          <w:szCs w:val="24"/>
        </w:rPr>
        <w:t>Ruppia</w:t>
      </w:r>
      <w:r w:rsidRPr="00A67C76">
        <w:rPr>
          <w:szCs w:val="24"/>
        </w:rPr>
        <w:t xml:space="preserve"> L. in saline lakes in South Australia I. Morphological variation within and between species and ecophysiology.</w:t>
      </w:r>
      <w:proofErr w:type="gramEnd"/>
      <w:r w:rsidRPr="00A67C76">
        <w:rPr>
          <w:szCs w:val="24"/>
        </w:rPr>
        <w:t xml:space="preserve"> </w:t>
      </w:r>
      <w:r w:rsidRPr="00A67C76">
        <w:rPr>
          <w:i/>
          <w:szCs w:val="24"/>
        </w:rPr>
        <w:t>Aquatic Botany</w:t>
      </w:r>
      <w:r w:rsidRPr="00A67C76">
        <w:rPr>
          <w:szCs w:val="24"/>
        </w:rPr>
        <w:t xml:space="preserve"> </w:t>
      </w:r>
      <w:r w:rsidRPr="00A67C76">
        <w:rPr>
          <w:b/>
          <w:szCs w:val="24"/>
        </w:rPr>
        <w:t>13</w:t>
      </w:r>
      <w:r w:rsidRPr="00A67C76">
        <w:rPr>
          <w:szCs w:val="24"/>
        </w:rPr>
        <w:t>, 219-248.</w:t>
      </w:r>
    </w:p>
    <w:p w:rsidR="00860E0D" w:rsidRPr="00A67C76" w:rsidRDefault="00860E0D" w:rsidP="00860E0D">
      <w:pPr>
        <w:spacing w:line="240" w:lineRule="auto"/>
        <w:rPr>
          <w:szCs w:val="24"/>
        </w:rPr>
      </w:pPr>
      <w:proofErr w:type="gramStart"/>
      <w:r w:rsidRPr="00A67C76">
        <w:rPr>
          <w:szCs w:val="24"/>
        </w:rPr>
        <w:t>Brock, M.A. (1982b).</w:t>
      </w:r>
      <w:proofErr w:type="gramEnd"/>
      <w:r w:rsidRPr="00A67C76">
        <w:rPr>
          <w:szCs w:val="24"/>
        </w:rPr>
        <w:t xml:space="preserve"> </w:t>
      </w:r>
      <w:proofErr w:type="gramStart"/>
      <w:r w:rsidRPr="00A67C76">
        <w:rPr>
          <w:szCs w:val="24"/>
        </w:rPr>
        <w:t xml:space="preserve">Biology of the salinity tolerant genus </w:t>
      </w:r>
      <w:r w:rsidRPr="00A67C76">
        <w:rPr>
          <w:i/>
          <w:szCs w:val="24"/>
        </w:rPr>
        <w:t>Ruppia</w:t>
      </w:r>
      <w:r w:rsidRPr="00A67C76">
        <w:rPr>
          <w:szCs w:val="24"/>
        </w:rPr>
        <w:t xml:space="preserve"> L. in saline lakes in South Australia II.</w:t>
      </w:r>
      <w:proofErr w:type="gramEnd"/>
      <w:r w:rsidRPr="00A67C76">
        <w:rPr>
          <w:szCs w:val="24"/>
        </w:rPr>
        <w:t xml:space="preserve"> </w:t>
      </w:r>
      <w:proofErr w:type="gramStart"/>
      <w:r w:rsidRPr="00A67C76">
        <w:rPr>
          <w:szCs w:val="24"/>
        </w:rPr>
        <w:t>Population ecology and reproductive biology.</w:t>
      </w:r>
      <w:proofErr w:type="gramEnd"/>
      <w:r w:rsidRPr="00A67C76">
        <w:rPr>
          <w:szCs w:val="24"/>
        </w:rPr>
        <w:t xml:space="preserve"> </w:t>
      </w:r>
      <w:r w:rsidRPr="00A67C76">
        <w:rPr>
          <w:i/>
          <w:szCs w:val="24"/>
        </w:rPr>
        <w:t>Aquatic Botany</w:t>
      </w:r>
      <w:r w:rsidRPr="00A67C76">
        <w:rPr>
          <w:szCs w:val="24"/>
        </w:rPr>
        <w:t xml:space="preserve"> </w:t>
      </w:r>
      <w:r w:rsidRPr="00A67C76">
        <w:rPr>
          <w:b/>
          <w:szCs w:val="24"/>
        </w:rPr>
        <w:t>13</w:t>
      </w:r>
      <w:r w:rsidRPr="00A67C76">
        <w:rPr>
          <w:szCs w:val="24"/>
        </w:rPr>
        <w:t>, 249-268.</w:t>
      </w:r>
    </w:p>
    <w:p w:rsidR="00860E0D" w:rsidRPr="00A67C76" w:rsidRDefault="00860E0D" w:rsidP="00860E0D">
      <w:pPr>
        <w:spacing w:line="240" w:lineRule="auto"/>
      </w:pPr>
      <w:r w:rsidRPr="00A67C76">
        <w:t xml:space="preserve">Brookes, J.D., Lamontagne, S., Aldridge, K.T., S., B., Bissett, A., Bucater, L., Cheshire, A.C., Cook, P.L.M., Deegan, B.M., Dittmann, S., Fairweather, P.G., Fernandes, M.B., Ford, P.W., Geddes, M.C., Gillanders, B.M., Grigg, N.J., Haese, R.R., Krull, E., Langley, R.A., Lester, R.E., Loo, M., Munro, A.R., Noell, C.J., Nayar, S., Paton, D.C., Revill, A.T., Rogers, D.J., Rolston, A., Sharma, S.K., Short, D.A., Tanner, J.E., Webster, I.T., Wellman, N.R. and Ye, Q. (2009). </w:t>
      </w:r>
      <w:proofErr w:type="gramStart"/>
      <w:r w:rsidRPr="00A67C76">
        <w:t>An Ecosystem Assessment Framework to Guide Management of the Coorong.</w:t>
      </w:r>
      <w:proofErr w:type="gramEnd"/>
      <w:r w:rsidRPr="00A67C76">
        <w:t xml:space="preserve"> </w:t>
      </w:r>
      <w:proofErr w:type="gramStart"/>
      <w:r w:rsidRPr="00A67C76">
        <w:t>Final Report of the CLLAMMecology Research Cluster.</w:t>
      </w:r>
      <w:proofErr w:type="gramEnd"/>
      <w:r w:rsidRPr="00A67C76">
        <w:t xml:space="preserve"> CSIRO: Water for a Healthy Country National Research Flagship, Canberra.</w:t>
      </w:r>
    </w:p>
    <w:p w:rsidR="00860E0D" w:rsidRPr="00A67C76" w:rsidRDefault="00860E0D" w:rsidP="00860E0D">
      <w:pPr>
        <w:spacing w:line="240" w:lineRule="auto"/>
        <w:rPr>
          <w:bCs/>
        </w:rPr>
      </w:pPr>
      <w:proofErr w:type="gramStart"/>
      <w:r w:rsidRPr="00A67C76">
        <w:rPr>
          <w:bCs/>
        </w:rPr>
        <w:t>Bucater, L., Cheshire, K.J. and Ye, Q. (2009).</w:t>
      </w:r>
      <w:proofErr w:type="gramEnd"/>
      <w:r w:rsidRPr="00A67C76">
        <w:rPr>
          <w:bCs/>
        </w:rPr>
        <w:t xml:space="preserve"> Fish spawning in the Lower River Murray icon sites, South Australia: with reference to drought intervention monitoring. </w:t>
      </w:r>
      <w:proofErr w:type="gramStart"/>
      <w:r w:rsidRPr="00A67C76">
        <w:rPr>
          <w:bCs/>
        </w:rPr>
        <w:t>South Australian Research and Development Institute, Aquatic Sciences, No.</w:t>
      </w:r>
      <w:proofErr w:type="gramEnd"/>
      <w:r w:rsidRPr="00A67C76">
        <w:rPr>
          <w:bCs/>
        </w:rPr>
        <w:t xml:space="preserve"> </w:t>
      </w:r>
      <w:proofErr w:type="gramStart"/>
      <w:r w:rsidRPr="00A67C76">
        <w:rPr>
          <w:bCs/>
        </w:rPr>
        <w:t>SARDI Aquatic Sciences Publication No.</w:t>
      </w:r>
      <w:proofErr w:type="gramEnd"/>
      <w:r w:rsidRPr="00A67C76">
        <w:rPr>
          <w:bCs/>
        </w:rPr>
        <w:t xml:space="preserve"> </w:t>
      </w:r>
      <w:proofErr w:type="gramStart"/>
      <w:r w:rsidRPr="00A67C76">
        <w:rPr>
          <w:bCs/>
        </w:rPr>
        <w:t>F2009/000360-1, SARDI Research Report Series No. 377, Adelaide, SA.</w:t>
      </w:r>
      <w:proofErr w:type="gramEnd"/>
    </w:p>
    <w:p w:rsidR="00860E0D" w:rsidRPr="00A67C76" w:rsidRDefault="00860E0D" w:rsidP="00860E0D">
      <w:pPr>
        <w:spacing w:line="240" w:lineRule="auto"/>
        <w:rPr>
          <w:noProof/>
        </w:rPr>
      </w:pPr>
      <w:r w:rsidRPr="00A67C76">
        <w:rPr>
          <w:noProof/>
        </w:rPr>
        <w:t xml:space="preserve">Bunn, S. and Arthington, A.H. (2002). Basic principles and ecological consequences of altered flow regimes for aquatic biodiversity. </w:t>
      </w:r>
      <w:r w:rsidRPr="00A67C76">
        <w:rPr>
          <w:i/>
          <w:noProof/>
        </w:rPr>
        <w:t>Environmental management</w:t>
      </w:r>
      <w:r w:rsidRPr="00A67C76">
        <w:rPr>
          <w:noProof/>
        </w:rPr>
        <w:t xml:space="preserve"> </w:t>
      </w:r>
      <w:r w:rsidRPr="00A67C76">
        <w:rPr>
          <w:b/>
          <w:noProof/>
        </w:rPr>
        <w:t>30</w:t>
      </w:r>
      <w:r w:rsidRPr="00A67C76">
        <w:rPr>
          <w:noProof/>
        </w:rPr>
        <w:t xml:space="preserve">, 492-507. </w:t>
      </w:r>
    </w:p>
    <w:p w:rsidR="00860E0D" w:rsidRPr="00A67C76" w:rsidRDefault="00860E0D" w:rsidP="00860E0D">
      <w:pPr>
        <w:spacing w:line="240" w:lineRule="auto"/>
        <w:rPr>
          <w:rFonts w:cstheme="minorHAnsi"/>
        </w:rPr>
      </w:pPr>
      <w:proofErr w:type="gramStart"/>
      <w:r w:rsidRPr="00A67C76">
        <w:rPr>
          <w:rFonts w:cstheme="minorHAnsi"/>
        </w:rPr>
        <w:t>Carey, C. and Alexander, M. A. (2003).</w:t>
      </w:r>
      <w:proofErr w:type="gramEnd"/>
      <w:r w:rsidRPr="00A67C76">
        <w:rPr>
          <w:rFonts w:cstheme="minorHAnsi"/>
        </w:rPr>
        <w:t xml:space="preserve"> Climate change and amphibian declines: is there a link? </w:t>
      </w:r>
      <w:r w:rsidRPr="00A67C76">
        <w:rPr>
          <w:rFonts w:cstheme="minorHAnsi"/>
          <w:i/>
        </w:rPr>
        <w:t>Diversity and Distributions</w:t>
      </w:r>
      <w:r w:rsidRPr="00A67C76">
        <w:rPr>
          <w:rFonts w:cstheme="minorHAnsi"/>
        </w:rPr>
        <w:t xml:space="preserve"> </w:t>
      </w:r>
      <w:r w:rsidRPr="00A67C76">
        <w:rPr>
          <w:rFonts w:cstheme="minorHAnsi"/>
          <w:b/>
        </w:rPr>
        <w:t>9</w:t>
      </w:r>
      <w:r w:rsidRPr="00A67C76">
        <w:rPr>
          <w:rFonts w:cstheme="minorHAnsi"/>
        </w:rPr>
        <w:t>, 111–121.</w:t>
      </w:r>
    </w:p>
    <w:p w:rsidR="00860E0D" w:rsidRPr="00A67C76" w:rsidRDefault="00860E0D" w:rsidP="00860E0D">
      <w:pPr>
        <w:spacing w:line="240" w:lineRule="auto"/>
        <w:rPr>
          <w:noProof/>
        </w:rPr>
      </w:pPr>
      <w:r w:rsidRPr="00A67C76">
        <w:rPr>
          <w:noProof/>
        </w:rPr>
        <w:t xml:space="preserve">Castello, L. (2008). Lateral migration of </w:t>
      </w:r>
      <w:r w:rsidRPr="00A67C76">
        <w:rPr>
          <w:i/>
          <w:noProof/>
        </w:rPr>
        <w:t>Arapaima gigas</w:t>
      </w:r>
      <w:r w:rsidRPr="00A67C76">
        <w:rPr>
          <w:noProof/>
        </w:rPr>
        <w:t xml:space="preserve"> in floodplains of the Amazon. </w:t>
      </w:r>
      <w:r w:rsidRPr="00A67C76">
        <w:rPr>
          <w:i/>
          <w:noProof/>
        </w:rPr>
        <w:t>Ecology of Freshwater Fish</w:t>
      </w:r>
      <w:r w:rsidRPr="00A67C76">
        <w:rPr>
          <w:noProof/>
        </w:rPr>
        <w:t xml:space="preserve"> </w:t>
      </w:r>
      <w:r w:rsidRPr="00A67C76">
        <w:rPr>
          <w:b/>
          <w:noProof/>
        </w:rPr>
        <w:t>17</w:t>
      </w:r>
      <w:r w:rsidRPr="00A67C76">
        <w:rPr>
          <w:noProof/>
        </w:rPr>
        <w:t>, 38-46.</w:t>
      </w:r>
    </w:p>
    <w:p w:rsidR="00860E0D" w:rsidRPr="00A67C76" w:rsidRDefault="00860E0D" w:rsidP="00860E0D">
      <w:pPr>
        <w:spacing w:line="240" w:lineRule="auto"/>
        <w:rPr>
          <w:rFonts w:cs="Arial"/>
          <w:szCs w:val="24"/>
        </w:rPr>
      </w:pPr>
      <w:r w:rsidRPr="00A67C76">
        <w:rPr>
          <w:rFonts w:cs="Arial"/>
          <w:szCs w:val="24"/>
        </w:rPr>
        <w:t xml:space="preserve">Cheshire, K.J.M. (2010). Larval fish assemblages in the Lower River Murray, Australia: examining the influence of hydrology, habitat and food. </w:t>
      </w:r>
      <w:proofErr w:type="gramStart"/>
      <w:r w:rsidRPr="00A67C76">
        <w:rPr>
          <w:rFonts w:cs="Arial"/>
          <w:szCs w:val="24"/>
        </w:rPr>
        <w:t>PhD Thesis, University of Adelaide, Adelaide, South Australia.</w:t>
      </w:r>
      <w:proofErr w:type="gramEnd"/>
    </w:p>
    <w:p w:rsidR="00860E0D" w:rsidRPr="00A67C76" w:rsidRDefault="00860E0D" w:rsidP="00860E0D">
      <w:pPr>
        <w:spacing w:line="240" w:lineRule="auto"/>
        <w:rPr>
          <w:rFonts w:cs="Arial"/>
          <w:szCs w:val="24"/>
        </w:rPr>
      </w:pPr>
      <w:proofErr w:type="gramStart"/>
      <w:r w:rsidRPr="00A67C76">
        <w:rPr>
          <w:rFonts w:cs="Arial"/>
          <w:szCs w:val="24"/>
        </w:rPr>
        <w:t>Cheshire, K.J.M., Ye, Q., Wilson, P. and Bucater, L. (2012).</w:t>
      </w:r>
      <w:proofErr w:type="gramEnd"/>
      <w:r w:rsidRPr="00A67C76">
        <w:rPr>
          <w:rFonts w:cs="Arial"/>
          <w:szCs w:val="24"/>
        </w:rPr>
        <w:t xml:space="preserve"> From drought to flood: annual variation in larval fish assemblages in larval fish assemblages in a heavily regulated lowland temperate river. Goyder Institute for Water Research Technical Report Series No. 12/6. Adelaide, South Australia. ISSN: 1839-2725.</w:t>
      </w:r>
    </w:p>
    <w:p w:rsidR="00860E0D" w:rsidRPr="00A67C76" w:rsidRDefault="00860E0D" w:rsidP="00860E0D">
      <w:pPr>
        <w:spacing w:line="240" w:lineRule="auto"/>
        <w:rPr>
          <w:rFonts w:eastAsiaTheme="minorHAnsi" w:cs="Arial"/>
          <w:noProof/>
        </w:rPr>
      </w:pPr>
      <w:bookmarkStart w:id="210" w:name="_ENREF_5_3"/>
      <w:r w:rsidRPr="00A67C76">
        <w:rPr>
          <w:noProof/>
        </w:rPr>
        <w:t xml:space="preserve">Chow, S., Suzuki, S., Matsunaga, T., Lavery, S., Jeffs, A. and Takeyama, H. (2011). Investigation on natural diets of larval marine animals using peptide nucleic acid-directed polymerase chain reaction clamping. </w:t>
      </w:r>
      <w:r w:rsidRPr="00A67C76">
        <w:rPr>
          <w:i/>
          <w:noProof/>
        </w:rPr>
        <w:t xml:space="preserve">Marine Biotechnology </w:t>
      </w:r>
      <w:r w:rsidRPr="00A67C76">
        <w:rPr>
          <w:b/>
          <w:noProof/>
        </w:rPr>
        <w:t>13</w:t>
      </w:r>
      <w:r w:rsidRPr="00A67C76">
        <w:rPr>
          <w:noProof/>
        </w:rPr>
        <w:t>, 305-313.</w:t>
      </w:r>
    </w:p>
    <w:bookmarkEnd w:id="210"/>
    <w:p w:rsidR="00860E0D" w:rsidRPr="00A67C76" w:rsidRDefault="00860E0D" w:rsidP="00860E0D">
      <w:pPr>
        <w:spacing w:line="240" w:lineRule="auto"/>
      </w:pPr>
      <w:proofErr w:type="gramStart"/>
      <w:r w:rsidRPr="00A67C76">
        <w:t>Clarke, K.R. and Gorley, R.N. (2006).</w:t>
      </w:r>
      <w:proofErr w:type="gramEnd"/>
      <w:r w:rsidRPr="00A67C76">
        <w:t xml:space="preserve"> 'PRIMER v6: user manual.' (PRIMER-E: Plymouth, UK).</w:t>
      </w:r>
    </w:p>
    <w:p w:rsidR="00860E0D" w:rsidRPr="00A67C76" w:rsidRDefault="00860E0D" w:rsidP="00860E0D">
      <w:pPr>
        <w:spacing w:line="240" w:lineRule="auto"/>
      </w:pPr>
      <w:proofErr w:type="gramStart"/>
      <w:r w:rsidRPr="00A67C76">
        <w:t>Clarke, K. R. and Warwick, R. M. (2001).</w:t>
      </w:r>
      <w:proofErr w:type="gramEnd"/>
      <w:r w:rsidRPr="00A67C76">
        <w:t xml:space="preserve"> Change in Marine Communities: An Approach to Statistical Analysis and Interpretation. PRIMER-E Ltd: Plymouth, UK.</w:t>
      </w:r>
    </w:p>
    <w:p w:rsidR="00860E0D" w:rsidRPr="00A67C76" w:rsidRDefault="00860E0D" w:rsidP="00860E0D">
      <w:pPr>
        <w:spacing w:line="240" w:lineRule="auto"/>
      </w:pPr>
      <w:proofErr w:type="gramStart"/>
      <w:r w:rsidRPr="00A67C76">
        <w:t>Clunie, P., Ryan, T., James, K. and Cant, B. (2002).</w:t>
      </w:r>
      <w:proofErr w:type="gramEnd"/>
      <w:r w:rsidRPr="00A67C76">
        <w:t xml:space="preserve"> Implications for rivers from salinity hazards: scoping study. </w:t>
      </w:r>
      <w:proofErr w:type="gramStart"/>
      <w:r w:rsidRPr="00A67C76">
        <w:t>Department of Natural Resources and Environment, Murray Darling Basin Commission, Strategic Investigations and Riverine Program No.</w:t>
      </w:r>
      <w:proofErr w:type="gramEnd"/>
      <w:r w:rsidRPr="00A67C76">
        <w:t xml:space="preserve"> Project R2003, Melbourne, Australia.</w:t>
      </w:r>
    </w:p>
    <w:p w:rsidR="00860E0D" w:rsidRPr="00A67C76" w:rsidRDefault="00860E0D" w:rsidP="00860E0D">
      <w:pPr>
        <w:spacing w:line="240" w:lineRule="auto"/>
        <w:rPr>
          <w:noProof/>
          <w:lang w:eastAsia="en-AU"/>
        </w:rPr>
      </w:pPr>
      <w:r w:rsidRPr="00A67C76">
        <w:rPr>
          <w:noProof/>
          <w:lang w:eastAsia="en-AU"/>
        </w:rPr>
        <w:t xml:space="preserve">Conallin, A.J., Hillyard, K.A., Walker, K.F., Gillanders, B.M. and Smith, B.B. (2011). Offstream movements of fish during drought in a regulated lowland river. </w:t>
      </w:r>
      <w:r w:rsidRPr="00A67C76">
        <w:rPr>
          <w:i/>
          <w:noProof/>
          <w:lang w:eastAsia="en-AU"/>
        </w:rPr>
        <w:t>River Research and Applications</w:t>
      </w:r>
      <w:r w:rsidRPr="00A67C76">
        <w:rPr>
          <w:noProof/>
          <w:lang w:eastAsia="en-AU"/>
        </w:rPr>
        <w:t xml:space="preserve"> </w:t>
      </w:r>
      <w:r w:rsidRPr="00A67C76">
        <w:rPr>
          <w:b/>
          <w:noProof/>
          <w:lang w:eastAsia="en-AU"/>
        </w:rPr>
        <w:t>27</w:t>
      </w:r>
      <w:r w:rsidRPr="00A67C76">
        <w:rPr>
          <w:noProof/>
          <w:lang w:eastAsia="en-AU"/>
        </w:rPr>
        <w:t>, 1237-1252.</w:t>
      </w:r>
    </w:p>
    <w:p w:rsidR="00860E0D" w:rsidRPr="00A67C76" w:rsidRDefault="00860E0D" w:rsidP="00860E0D">
      <w:pPr>
        <w:spacing w:line="240" w:lineRule="auto"/>
        <w:rPr>
          <w:rFonts w:cs="Arial"/>
        </w:rPr>
      </w:pPr>
      <w:r w:rsidRPr="00A67C76">
        <w:rPr>
          <w:rFonts w:cs="Arial"/>
        </w:rPr>
        <w:t xml:space="preserve">Cook, P.L.M., Aldridge, K.T., Lamontagne, S. and Brookes, J.D. (2010). </w:t>
      </w:r>
      <w:proofErr w:type="gramStart"/>
      <w:r w:rsidRPr="00A67C76">
        <w:rPr>
          <w:rFonts w:cs="Arial"/>
        </w:rPr>
        <w:t>Retention of nitrogen, phosphorus and silicon in a large semi-arid riverine lake system.</w:t>
      </w:r>
      <w:proofErr w:type="gramEnd"/>
      <w:r w:rsidRPr="00A67C76">
        <w:rPr>
          <w:rFonts w:cs="Arial"/>
        </w:rPr>
        <w:t xml:space="preserve"> </w:t>
      </w:r>
      <w:r w:rsidRPr="00A67C76">
        <w:rPr>
          <w:rFonts w:cs="Arial"/>
          <w:i/>
        </w:rPr>
        <w:t>Biogeochem</w:t>
      </w:r>
      <w:r w:rsidRPr="00A67C76">
        <w:rPr>
          <w:rFonts w:cs="Arial"/>
        </w:rPr>
        <w:t xml:space="preserve"> </w:t>
      </w:r>
      <w:r w:rsidRPr="00A67C76">
        <w:rPr>
          <w:rFonts w:cs="Arial"/>
          <w:b/>
        </w:rPr>
        <w:t>99</w:t>
      </w:r>
      <w:r w:rsidRPr="00A67C76">
        <w:rPr>
          <w:rFonts w:cs="Arial"/>
        </w:rPr>
        <w:t>, 49-63.</w:t>
      </w:r>
    </w:p>
    <w:p w:rsidR="00860E0D" w:rsidRPr="00A67C76" w:rsidRDefault="00860E0D" w:rsidP="00860E0D">
      <w:pPr>
        <w:spacing w:line="240" w:lineRule="auto"/>
        <w:rPr>
          <w:rFonts w:cs="Arial"/>
        </w:rPr>
      </w:pPr>
      <w:proofErr w:type="gramStart"/>
      <w:r w:rsidRPr="00A67C76">
        <w:rPr>
          <w:rFonts w:cs="Arial"/>
        </w:rPr>
        <w:t>Coutteau, P., Geurden, I., Camara, M.R., Bergot, P. and Sorgeloos, P. (1997).</w:t>
      </w:r>
      <w:proofErr w:type="gramEnd"/>
      <w:r w:rsidRPr="00A67C76">
        <w:rPr>
          <w:rFonts w:cs="Arial"/>
        </w:rPr>
        <w:t xml:space="preserve"> Review on the dietary effects of phospholipids in fish and crustacean larviculture. </w:t>
      </w:r>
      <w:r w:rsidRPr="00A67C76">
        <w:rPr>
          <w:rFonts w:cs="Arial"/>
          <w:i/>
        </w:rPr>
        <w:t>Aquaculture</w:t>
      </w:r>
      <w:r w:rsidRPr="00A67C76">
        <w:rPr>
          <w:rFonts w:cs="Arial"/>
        </w:rPr>
        <w:t xml:space="preserve"> </w:t>
      </w:r>
      <w:r w:rsidRPr="00A67C76">
        <w:rPr>
          <w:rFonts w:cs="Arial"/>
          <w:b/>
        </w:rPr>
        <w:t>155</w:t>
      </w:r>
      <w:r w:rsidRPr="00A67C76">
        <w:rPr>
          <w:rFonts w:cs="Arial"/>
        </w:rPr>
        <w:t>, 149-164.</w:t>
      </w:r>
    </w:p>
    <w:p w:rsidR="00860E0D" w:rsidRPr="00A67C76" w:rsidRDefault="00860E0D" w:rsidP="00860E0D">
      <w:pPr>
        <w:spacing w:line="240" w:lineRule="auto"/>
        <w:rPr>
          <w:noProof/>
        </w:rPr>
      </w:pPr>
      <w:bookmarkStart w:id="211" w:name="_ENREF_5_4"/>
      <w:r w:rsidRPr="00A67C76">
        <w:rPr>
          <w:noProof/>
        </w:rPr>
        <w:t>Crawley, M.J. (2007). Generalised Linear Modelling, In ‘The R Book’. pp. 557-578. (John Wiley &amp; Sons: West Sussex)</w:t>
      </w:r>
    </w:p>
    <w:p w:rsidR="00860E0D" w:rsidRPr="00A67C76" w:rsidRDefault="00860E0D" w:rsidP="00860E0D">
      <w:pPr>
        <w:spacing w:line="240" w:lineRule="auto"/>
        <w:rPr>
          <w:noProof/>
        </w:rPr>
      </w:pPr>
      <w:r w:rsidRPr="00A67C76">
        <w:rPr>
          <w:noProof/>
        </w:rPr>
        <w:t xml:space="preserve">Creer, S., Fonseca, V.G., Porazinska, D.L., Giblin-Davis, R.M., Sung, W., Power, D.M., Packer, M., Carvalho, G.R., Blaxter, M.L., Lambshead, P.J.D. and Thomas, W.K. (2010). Ultrasequencing of the meiofaunal biosphere: Practice, pitfalls and promises. </w:t>
      </w:r>
      <w:r w:rsidRPr="00A67C76">
        <w:rPr>
          <w:i/>
          <w:noProof/>
        </w:rPr>
        <w:t>Molecular Ecology</w:t>
      </w:r>
      <w:r w:rsidRPr="00A67C76">
        <w:rPr>
          <w:noProof/>
        </w:rPr>
        <w:t xml:space="preserve"> </w:t>
      </w:r>
      <w:r w:rsidRPr="00A67C76">
        <w:rPr>
          <w:b/>
          <w:noProof/>
        </w:rPr>
        <w:t>19</w:t>
      </w:r>
      <w:r w:rsidRPr="00A67C76">
        <w:rPr>
          <w:noProof/>
        </w:rPr>
        <w:t xml:space="preserve">, 4-20. </w:t>
      </w:r>
    </w:p>
    <w:bookmarkEnd w:id="211"/>
    <w:p w:rsidR="00860E0D" w:rsidRPr="005E5EF5" w:rsidRDefault="00860E0D" w:rsidP="00860E0D">
      <w:pPr>
        <w:spacing w:line="240" w:lineRule="auto"/>
        <w:rPr>
          <w:rStyle w:val="IntenseEmphasis"/>
          <w:i w:val="0"/>
          <w:noProof/>
          <w:szCs w:val="22"/>
        </w:rPr>
      </w:pPr>
      <w:r w:rsidRPr="005E5EF5">
        <w:rPr>
          <w:rStyle w:val="IntenseEmphasis"/>
          <w:i w:val="0"/>
          <w:noProof/>
          <w:szCs w:val="22"/>
        </w:rPr>
        <w:t>CSIRO (2008). Water availability in the Murray-Darling Basin. Report to the Australian government from the CSIRO Murray-Darling Basin Sustainable Yields Project. CSIRO, Australia, 67 pp.</w:t>
      </w:r>
    </w:p>
    <w:p w:rsidR="00860E0D" w:rsidRPr="00B37C94" w:rsidRDefault="00860E0D" w:rsidP="00860E0D">
      <w:pPr>
        <w:spacing w:line="240" w:lineRule="auto"/>
        <w:rPr>
          <w:rFonts w:eastAsia="Arial Unicode MS" w:cs="Arial"/>
          <w:bCs/>
          <w:lang w:eastAsia="en-AU"/>
        </w:rPr>
      </w:pPr>
      <w:r w:rsidRPr="00024CD9">
        <w:rPr>
          <w:rStyle w:val="IntenseEmphasis"/>
          <w:i w:val="0"/>
          <w:noProof/>
          <w:szCs w:val="22"/>
        </w:rPr>
        <w:t xml:space="preserve">Cushing, D.H. (1990). Plankton priduction and year-class strength in fish populations: An updaate of the match/mismatch hypothesis. </w:t>
      </w:r>
      <w:r w:rsidRPr="00A67C76">
        <w:rPr>
          <w:rStyle w:val="IntenseEmphasis"/>
          <w:noProof/>
          <w:szCs w:val="22"/>
        </w:rPr>
        <w:t xml:space="preserve">Advances in Marine Biology </w:t>
      </w:r>
      <w:r w:rsidRPr="00A67C76">
        <w:rPr>
          <w:rStyle w:val="IntenseEmphasis"/>
          <w:b/>
          <w:noProof/>
          <w:szCs w:val="22"/>
        </w:rPr>
        <w:t>26</w:t>
      </w:r>
      <w:r w:rsidRPr="00A67C76">
        <w:rPr>
          <w:rStyle w:val="IntenseEmphasis"/>
          <w:noProof/>
          <w:szCs w:val="22"/>
        </w:rPr>
        <w:t xml:space="preserve">, </w:t>
      </w:r>
      <w:r w:rsidRPr="005E5EF5">
        <w:rPr>
          <w:rStyle w:val="IntenseEmphasis"/>
          <w:i w:val="0"/>
          <w:noProof/>
          <w:szCs w:val="22"/>
        </w:rPr>
        <w:t>249-293.</w:t>
      </w:r>
    </w:p>
    <w:p w:rsidR="00860E0D" w:rsidRPr="00A67C76" w:rsidRDefault="00860E0D" w:rsidP="00860E0D">
      <w:pPr>
        <w:spacing w:line="240" w:lineRule="auto"/>
        <w:rPr>
          <w:rFonts w:eastAsia="Arial Unicode MS" w:cs="Arial"/>
          <w:bCs/>
          <w:lang w:eastAsia="en-AU"/>
        </w:rPr>
      </w:pPr>
      <w:proofErr w:type="gramStart"/>
      <w:r w:rsidRPr="00A67C76">
        <w:rPr>
          <w:rFonts w:eastAsia="Arial Unicode MS" w:cs="Arial"/>
          <w:bCs/>
          <w:lang w:eastAsia="en-AU"/>
        </w:rPr>
        <w:t>Davies, P.E., Harris, J.H., Hillman, T.J. and Walker, T.F. (2008).</w:t>
      </w:r>
      <w:proofErr w:type="gramEnd"/>
      <w:r w:rsidRPr="00A67C76">
        <w:rPr>
          <w:rFonts w:eastAsia="Arial Unicode MS" w:cs="Arial"/>
          <w:bCs/>
          <w:lang w:eastAsia="en-AU"/>
        </w:rPr>
        <w:t xml:space="preserve"> ‘SRA Report 1: A report on the ecological health of rivers in the Murray –Darling Basin, 2004-2007’. </w:t>
      </w:r>
      <w:proofErr w:type="gramStart"/>
      <w:r w:rsidRPr="00A67C76">
        <w:rPr>
          <w:rFonts w:eastAsia="Arial Unicode MS" w:cs="Arial"/>
          <w:bCs/>
          <w:lang w:eastAsia="en-AU"/>
        </w:rPr>
        <w:t>Prepared by the Independent Sustainable Rivers Audit Group for the Murray-Darling Basin Commission: Canberra.</w:t>
      </w:r>
      <w:proofErr w:type="gramEnd"/>
      <w:r w:rsidRPr="00A67C76">
        <w:rPr>
          <w:rFonts w:eastAsia="Arial Unicode MS" w:cs="Arial"/>
          <w:bCs/>
          <w:lang w:eastAsia="en-AU"/>
        </w:rPr>
        <w:t xml:space="preserve"> </w:t>
      </w:r>
    </w:p>
    <w:p w:rsidR="000B7E74" w:rsidRDefault="000B7E74" w:rsidP="00860E0D">
      <w:pPr>
        <w:spacing w:line="240" w:lineRule="auto"/>
        <w:rPr>
          <w:bCs/>
        </w:rPr>
      </w:pPr>
      <w:proofErr w:type="gramStart"/>
      <w:r w:rsidRPr="000B7E74">
        <w:rPr>
          <w:bCs/>
        </w:rPr>
        <w:t>DEWNR (2013).</w:t>
      </w:r>
      <w:proofErr w:type="gramEnd"/>
      <w:r w:rsidRPr="000B7E74">
        <w:rPr>
          <w:bCs/>
        </w:rPr>
        <w:t xml:space="preserve"> 2013–14 Annual Environmental Watering Plan for the South Australian River Murray, Government of South Australia, through the Department of Environment, Water and Natural Resources, Adelaide.</w:t>
      </w:r>
    </w:p>
    <w:p w:rsidR="00611834" w:rsidRDefault="00611834" w:rsidP="00611834">
      <w:pPr>
        <w:spacing w:line="240" w:lineRule="auto"/>
      </w:pPr>
      <w:r w:rsidRPr="00414EDE">
        <w:t>Dostine</w:t>
      </w:r>
      <w:proofErr w:type="gramStart"/>
      <w:r w:rsidRPr="00414EDE">
        <w:t>,  P</w:t>
      </w:r>
      <w:proofErr w:type="gramEnd"/>
      <w:r w:rsidRPr="00414EDE">
        <w:t>. L.,  Reynolds,  S. J.,  Griffiths,  A. D., and   Gillespie,  G. R. (2013)</w:t>
      </w:r>
      <w:r>
        <w:t>.</w:t>
      </w:r>
      <w:r w:rsidRPr="00414EDE">
        <w:t xml:space="preserve"> Factors influencing detection probabilities of frogs in the monsoonal tropics of northern Australia: implications for the design of monitoring studies. </w:t>
      </w:r>
      <w:r w:rsidRPr="00414EDE">
        <w:rPr>
          <w:i/>
        </w:rPr>
        <w:t>Wildlife Research</w:t>
      </w:r>
      <w:r w:rsidRPr="00414EDE">
        <w:t xml:space="preserve"> </w:t>
      </w:r>
      <w:r w:rsidRPr="00414EDE">
        <w:rPr>
          <w:b/>
        </w:rPr>
        <w:t>40</w:t>
      </w:r>
      <w:r w:rsidRPr="00414EDE">
        <w:t>, 393–402</w:t>
      </w:r>
      <w:r>
        <w:t>.</w:t>
      </w:r>
    </w:p>
    <w:p w:rsidR="00860E0D" w:rsidRPr="00A67C76" w:rsidRDefault="00860E0D" w:rsidP="00860E0D">
      <w:pPr>
        <w:spacing w:line="240" w:lineRule="auto"/>
      </w:pPr>
      <w:proofErr w:type="gramStart"/>
      <w:r w:rsidRPr="00A67C76">
        <w:t>Earl, J. and Ye, Q. (</w:t>
      </w:r>
      <w:r w:rsidR="008F2924">
        <w:t>In P</w:t>
      </w:r>
      <w:r w:rsidR="00030FC1">
        <w:t>rep</w:t>
      </w:r>
      <w:r w:rsidRPr="00A67C76">
        <w:t>).</w:t>
      </w:r>
      <w:proofErr w:type="gramEnd"/>
      <w:r w:rsidRPr="00A67C76">
        <w:t xml:space="preserve"> </w:t>
      </w:r>
      <w:proofErr w:type="gramStart"/>
      <w:r w:rsidRPr="00A67C76">
        <w:t>The effect of flow variability on fish movements between the main-channel of the lower River Murray and connected wetlands in 2012/13.</w:t>
      </w:r>
      <w:proofErr w:type="gramEnd"/>
      <w:r w:rsidRPr="00A67C76">
        <w:t xml:space="preserve"> </w:t>
      </w:r>
      <w:proofErr w:type="gramStart"/>
      <w:r w:rsidRPr="00A67C76">
        <w:t>South Australian Research and Development Institute (Aquatic Sciences) Adelaide.</w:t>
      </w:r>
      <w:proofErr w:type="gramEnd"/>
    </w:p>
    <w:p w:rsidR="00860E0D" w:rsidRPr="00A67C76" w:rsidRDefault="00860E0D" w:rsidP="00860E0D">
      <w:pPr>
        <w:spacing w:line="240" w:lineRule="auto"/>
        <w:rPr>
          <w:rStyle w:val="IntenseEmphasis"/>
          <w:i w:val="0"/>
          <w:noProof/>
          <w:szCs w:val="22"/>
        </w:rPr>
      </w:pPr>
      <w:r w:rsidRPr="00753458">
        <w:rPr>
          <w:rStyle w:val="IntenseEmphasis"/>
          <w:i w:val="0"/>
          <w:noProof/>
          <w:szCs w:val="22"/>
        </w:rPr>
        <w:t>Ebner, B.C., Scholz, O. and Gawne, B. (2009). Golden perch Macquaria ambigua are flexible spawners in the Darling river, Australia.</w:t>
      </w:r>
      <w:r w:rsidRPr="00A67C76">
        <w:rPr>
          <w:rStyle w:val="IntenseEmphasis"/>
          <w:noProof/>
          <w:szCs w:val="22"/>
        </w:rPr>
        <w:t xml:space="preserve"> New Zealand Journal of Marine and Freshwater Research </w:t>
      </w:r>
      <w:r w:rsidRPr="00753458">
        <w:rPr>
          <w:rStyle w:val="IntenseEmphasis"/>
          <w:b/>
          <w:i w:val="0"/>
          <w:noProof/>
          <w:szCs w:val="22"/>
        </w:rPr>
        <w:t>43</w:t>
      </w:r>
      <w:r w:rsidRPr="00753458">
        <w:rPr>
          <w:rStyle w:val="IntenseEmphasis"/>
          <w:i w:val="0"/>
          <w:noProof/>
          <w:szCs w:val="22"/>
        </w:rPr>
        <w:t>, 571-578.</w:t>
      </w:r>
      <w:r w:rsidRPr="00A67C76">
        <w:rPr>
          <w:rStyle w:val="IntenseEmphasis"/>
          <w:noProof/>
          <w:szCs w:val="22"/>
        </w:rPr>
        <w:t xml:space="preserve"> </w:t>
      </w:r>
    </w:p>
    <w:p w:rsidR="00860E0D" w:rsidRPr="00A67C76" w:rsidRDefault="00860E0D" w:rsidP="00860E0D">
      <w:pPr>
        <w:spacing w:line="240" w:lineRule="auto"/>
        <w:rPr>
          <w:rStyle w:val="IntenseEmphasis"/>
          <w:i w:val="0"/>
          <w:noProof/>
          <w:szCs w:val="22"/>
        </w:rPr>
      </w:pPr>
      <w:r w:rsidRPr="00753458">
        <w:rPr>
          <w:rStyle w:val="IntenseEmphasis"/>
          <w:i w:val="0"/>
          <w:noProof/>
          <w:szCs w:val="22"/>
        </w:rPr>
        <w:t>Ferguson, G., Ward, T. M., Ye, Q., Geddes, M. C. and Gillanders, B. M. (2013). Impacts of drought, flow regime and fishing on the fish assemblage in southern Australia’s largest temperate estuary.</w:t>
      </w:r>
      <w:r w:rsidRPr="00A67C76">
        <w:rPr>
          <w:rStyle w:val="IntenseEmphasis"/>
          <w:noProof/>
          <w:szCs w:val="22"/>
        </w:rPr>
        <w:t xml:space="preserve"> </w:t>
      </w:r>
      <w:r w:rsidRPr="00753458">
        <w:rPr>
          <w:rStyle w:val="IntenseEmphasis"/>
          <w:noProof/>
          <w:szCs w:val="22"/>
        </w:rPr>
        <w:t>Estuaries and Coasts</w:t>
      </w:r>
      <w:r w:rsidRPr="00A67C76">
        <w:rPr>
          <w:rStyle w:val="IntenseEmphasis"/>
          <w:noProof/>
          <w:szCs w:val="22"/>
        </w:rPr>
        <w:t xml:space="preserve"> </w:t>
      </w:r>
      <w:r w:rsidRPr="00A67C76">
        <w:rPr>
          <w:rStyle w:val="IntenseEmphasis"/>
          <w:b/>
          <w:i w:val="0"/>
          <w:noProof/>
          <w:szCs w:val="22"/>
        </w:rPr>
        <w:t>36</w:t>
      </w:r>
      <w:r w:rsidR="00753458">
        <w:rPr>
          <w:rStyle w:val="IntenseEmphasis"/>
          <w:noProof/>
          <w:szCs w:val="22"/>
        </w:rPr>
        <w:t>, 737-</w:t>
      </w:r>
      <w:r w:rsidRPr="00A67C76">
        <w:rPr>
          <w:rStyle w:val="IntenseEmphasis"/>
          <w:noProof/>
          <w:szCs w:val="22"/>
        </w:rPr>
        <w:t>753.</w:t>
      </w:r>
    </w:p>
    <w:p w:rsidR="00860E0D" w:rsidRPr="00A67C76" w:rsidRDefault="00860E0D" w:rsidP="00860E0D">
      <w:pPr>
        <w:spacing w:line="240" w:lineRule="auto"/>
        <w:rPr>
          <w:szCs w:val="24"/>
        </w:rPr>
      </w:pPr>
      <w:proofErr w:type="gramStart"/>
      <w:r w:rsidRPr="00A67C76">
        <w:rPr>
          <w:szCs w:val="24"/>
        </w:rPr>
        <w:t>Fowler, A.J., McLeay, L. and Short, D.A. (1999).</w:t>
      </w:r>
      <w:proofErr w:type="gramEnd"/>
      <w:r w:rsidRPr="00A67C76">
        <w:rPr>
          <w:szCs w:val="24"/>
        </w:rPr>
        <w:t xml:space="preserve"> Reproductive mode and spawning information based on gonad analysis for the King George whiting (Percoidei: Sillainidae) from South Australia. </w:t>
      </w:r>
      <w:r w:rsidRPr="00A67C76">
        <w:rPr>
          <w:i/>
          <w:szCs w:val="24"/>
        </w:rPr>
        <w:t>Marine and Freshwater Research</w:t>
      </w:r>
      <w:r w:rsidRPr="00A67C76">
        <w:rPr>
          <w:szCs w:val="24"/>
        </w:rPr>
        <w:t xml:space="preserve"> </w:t>
      </w:r>
      <w:r w:rsidRPr="00A67C76">
        <w:rPr>
          <w:b/>
          <w:szCs w:val="24"/>
        </w:rPr>
        <w:t>50</w:t>
      </w:r>
      <w:r w:rsidRPr="00A67C76">
        <w:rPr>
          <w:szCs w:val="24"/>
        </w:rPr>
        <w:t xml:space="preserve">, 1-14. </w:t>
      </w:r>
    </w:p>
    <w:p w:rsidR="00860E0D" w:rsidRPr="00A67C76" w:rsidRDefault="00860E0D" w:rsidP="00860E0D">
      <w:pPr>
        <w:spacing w:line="240" w:lineRule="auto"/>
      </w:pPr>
      <w:proofErr w:type="gramStart"/>
      <w:r w:rsidRPr="00A67C76">
        <w:t>Frahn, K., Nicol, J. and Strawbridge, A. (2012).</w:t>
      </w:r>
      <w:proofErr w:type="gramEnd"/>
      <w:r w:rsidRPr="00A67C76">
        <w:t xml:space="preserve"> </w:t>
      </w:r>
      <w:proofErr w:type="gramStart"/>
      <w:r w:rsidRPr="00A67C76">
        <w:t xml:space="preserve">Current distribution and abundance of </w:t>
      </w:r>
      <w:r w:rsidRPr="00A67C76">
        <w:rPr>
          <w:i/>
        </w:rPr>
        <w:t>Ruppia tuberosa</w:t>
      </w:r>
      <w:r w:rsidRPr="00A67C76">
        <w:t xml:space="preserve"> in the Coorong.</w:t>
      </w:r>
      <w:proofErr w:type="gramEnd"/>
      <w:r w:rsidRPr="00A67C76">
        <w:t xml:space="preserve"> </w:t>
      </w:r>
      <w:proofErr w:type="gramStart"/>
      <w:r w:rsidRPr="00A67C76">
        <w:t>South Australian Research and Development Institute (Aquatic Sciences), Publication Number F2012/000074-1, Adelaide.</w:t>
      </w:r>
      <w:proofErr w:type="gramEnd"/>
    </w:p>
    <w:p w:rsidR="00860E0D" w:rsidRPr="00A67C76" w:rsidRDefault="00860E0D" w:rsidP="00860E0D">
      <w:pPr>
        <w:spacing w:line="240" w:lineRule="auto"/>
        <w:rPr>
          <w:szCs w:val="24"/>
        </w:rPr>
      </w:pPr>
      <w:r w:rsidRPr="00A67C76">
        <w:rPr>
          <w:szCs w:val="24"/>
        </w:rPr>
        <w:t xml:space="preserve">Freebairn, A. (1998). </w:t>
      </w:r>
      <w:proofErr w:type="gramStart"/>
      <w:r w:rsidRPr="00A67C76">
        <w:rPr>
          <w:szCs w:val="24"/>
        </w:rPr>
        <w:t>Monitoring of aquatic resources in the southern Coorong.</w:t>
      </w:r>
      <w:proofErr w:type="gramEnd"/>
      <w:r w:rsidRPr="00A67C76">
        <w:rPr>
          <w:szCs w:val="24"/>
        </w:rPr>
        <w:t xml:space="preserve"> </w:t>
      </w:r>
      <w:proofErr w:type="gramStart"/>
      <w:r w:rsidRPr="00A67C76">
        <w:rPr>
          <w:szCs w:val="24"/>
        </w:rPr>
        <w:t>The University of Adelaide, Adelaide.</w:t>
      </w:r>
      <w:proofErr w:type="gramEnd"/>
    </w:p>
    <w:p w:rsidR="00860E0D" w:rsidRPr="00A67C76" w:rsidRDefault="00860E0D" w:rsidP="00860E0D">
      <w:pPr>
        <w:spacing w:line="240" w:lineRule="auto"/>
        <w:rPr>
          <w:rFonts w:cs="Segoe UI"/>
          <w:szCs w:val="24"/>
        </w:rPr>
      </w:pPr>
      <w:r w:rsidRPr="00A67C76">
        <w:rPr>
          <w:rFonts w:cs="Segoe UI"/>
          <w:szCs w:val="24"/>
        </w:rPr>
        <w:t xml:space="preserve">Geddes, M.C. (1984a). </w:t>
      </w:r>
      <w:proofErr w:type="gramStart"/>
      <w:r w:rsidRPr="00A67C76">
        <w:rPr>
          <w:rFonts w:cs="Segoe UI"/>
          <w:szCs w:val="24"/>
        </w:rPr>
        <w:t>Limnology of Lake Alexandrina, Murray River, South Australia, and the effects of nutrients and light on the phytoplankton.</w:t>
      </w:r>
      <w:proofErr w:type="gramEnd"/>
      <w:r w:rsidRPr="00A67C76">
        <w:rPr>
          <w:rFonts w:cs="Segoe UI"/>
          <w:szCs w:val="24"/>
        </w:rPr>
        <w:t xml:space="preserve"> </w:t>
      </w:r>
      <w:r w:rsidRPr="00A67C76">
        <w:rPr>
          <w:rFonts w:cs="Segoe UI"/>
          <w:i/>
          <w:iCs/>
          <w:szCs w:val="24"/>
        </w:rPr>
        <w:t>Australian Journal of Marine and Freshwater Research</w:t>
      </w:r>
      <w:r w:rsidRPr="00A67C76">
        <w:rPr>
          <w:rFonts w:cs="Segoe UI"/>
          <w:szCs w:val="24"/>
        </w:rPr>
        <w:t xml:space="preserve"> </w:t>
      </w:r>
      <w:r w:rsidRPr="00A67C76">
        <w:rPr>
          <w:rFonts w:cs="Segoe UI"/>
          <w:b/>
          <w:bCs/>
          <w:szCs w:val="24"/>
        </w:rPr>
        <w:t>35</w:t>
      </w:r>
      <w:r w:rsidRPr="00A67C76">
        <w:rPr>
          <w:rFonts w:cs="Segoe UI"/>
          <w:szCs w:val="24"/>
        </w:rPr>
        <w:t>, 399-415.</w:t>
      </w:r>
    </w:p>
    <w:p w:rsidR="00860E0D" w:rsidRPr="00A67C76" w:rsidRDefault="00860E0D" w:rsidP="00860E0D">
      <w:pPr>
        <w:spacing w:line="240" w:lineRule="auto"/>
        <w:rPr>
          <w:color w:val="1F497D" w:themeColor="text2"/>
          <w:szCs w:val="24"/>
        </w:rPr>
      </w:pPr>
      <w:r w:rsidRPr="00A67C76">
        <w:rPr>
          <w:rFonts w:cs="Segoe UI"/>
          <w:szCs w:val="24"/>
        </w:rPr>
        <w:t xml:space="preserve">Geddes, M.C. (1984b). Seasonal studies on the zooplankton community of Lake Alexandrina, Murray River, South Australia, and the role of turbidity in determining zooplankton community structure. </w:t>
      </w:r>
      <w:r w:rsidRPr="00A67C76">
        <w:rPr>
          <w:rFonts w:cs="Segoe UI"/>
          <w:i/>
          <w:iCs/>
          <w:szCs w:val="24"/>
        </w:rPr>
        <w:t>Australian Journal of Marine and Freshwater Research</w:t>
      </w:r>
      <w:r w:rsidRPr="00A67C76">
        <w:rPr>
          <w:rFonts w:cs="Segoe UI"/>
          <w:szCs w:val="24"/>
        </w:rPr>
        <w:t xml:space="preserve"> </w:t>
      </w:r>
      <w:r w:rsidRPr="00A67C76">
        <w:rPr>
          <w:rFonts w:cs="Segoe UI"/>
          <w:b/>
          <w:bCs/>
          <w:szCs w:val="24"/>
        </w:rPr>
        <w:t>35</w:t>
      </w:r>
      <w:r w:rsidRPr="00A67C76">
        <w:rPr>
          <w:rFonts w:cs="Segoe UI"/>
          <w:szCs w:val="24"/>
        </w:rPr>
        <w:t>, 417-426.</w:t>
      </w:r>
    </w:p>
    <w:p w:rsidR="00860E0D" w:rsidRPr="00A67C76" w:rsidRDefault="00860E0D" w:rsidP="00860E0D">
      <w:pPr>
        <w:spacing w:line="240" w:lineRule="auto"/>
        <w:rPr>
          <w:szCs w:val="24"/>
        </w:rPr>
      </w:pPr>
      <w:r w:rsidRPr="00A67C76">
        <w:rPr>
          <w:szCs w:val="24"/>
        </w:rPr>
        <w:t xml:space="preserve">Geddes, M.C. (1987). </w:t>
      </w:r>
      <w:proofErr w:type="gramStart"/>
      <w:r w:rsidRPr="00A67C76">
        <w:rPr>
          <w:szCs w:val="24"/>
        </w:rPr>
        <w:t>Changes in salinity and in the distribution of macrophytes, macrobenthos and fish in the Coorong lagoons, South Australia, following a period of River Murray flow.</w:t>
      </w:r>
      <w:proofErr w:type="gramEnd"/>
      <w:r w:rsidRPr="00A67C76">
        <w:rPr>
          <w:szCs w:val="24"/>
        </w:rPr>
        <w:t xml:space="preserve"> </w:t>
      </w:r>
      <w:r w:rsidRPr="00A67C76">
        <w:rPr>
          <w:i/>
          <w:szCs w:val="24"/>
        </w:rPr>
        <w:t>Transactions of the Royal Society of South Australia</w:t>
      </w:r>
      <w:r w:rsidRPr="00A67C76">
        <w:rPr>
          <w:szCs w:val="24"/>
        </w:rPr>
        <w:t xml:space="preserve"> </w:t>
      </w:r>
      <w:r w:rsidRPr="00A67C76">
        <w:rPr>
          <w:b/>
          <w:szCs w:val="24"/>
        </w:rPr>
        <w:t>111</w:t>
      </w:r>
      <w:r w:rsidRPr="00A67C76">
        <w:rPr>
          <w:szCs w:val="24"/>
        </w:rPr>
        <w:t>, 173-181.</w:t>
      </w:r>
    </w:p>
    <w:p w:rsidR="00860E0D" w:rsidRPr="00A67C76" w:rsidRDefault="00860E0D" w:rsidP="00860E0D">
      <w:pPr>
        <w:spacing w:line="240" w:lineRule="auto"/>
        <w:rPr>
          <w:szCs w:val="24"/>
        </w:rPr>
      </w:pPr>
      <w:proofErr w:type="gramStart"/>
      <w:r w:rsidRPr="00A67C76">
        <w:rPr>
          <w:szCs w:val="24"/>
        </w:rPr>
        <w:t>Geddes, M.C. and Brock, M.A. (1977).</w:t>
      </w:r>
      <w:proofErr w:type="gramEnd"/>
      <w:r w:rsidRPr="00A67C76">
        <w:rPr>
          <w:szCs w:val="24"/>
        </w:rPr>
        <w:t xml:space="preserve"> </w:t>
      </w:r>
      <w:proofErr w:type="gramStart"/>
      <w:r w:rsidRPr="00A67C76">
        <w:rPr>
          <w:szCs w:val="24"/>
        </w:rPr>
        <w:t>Limnology of some lagoons in the southern Coorong.</w:t>
      </w:r>
      <w:proofErr w:type="gramEnd"/>
      <w:r w:rsidRPr="00A67C76">
        <w:rPr>
          <w:szCs w:val="24"/>
        </w:rPr>
        <w:t xml:space="preserve"> </w:t>
      </w:r>
      <w:proofErr w:type="gramStart"/>
      <w:r w:rsidRPr="00A67C76">
        <w:rPr>
          <w:szCs w:val="24"/>
        </w:rPr>
        <w:t>In 'The Southern Coorong and Lower Younghusband Peninsula of South Australia'.</w:t>
      </w:r>
      <w:proofErr w:type="gramEnd"/>
      <w:r w:rsidRPr="00A67C76">
        <w:rPr>
          <w:szCs w:val="24"/>
        </w:rPr>
        <w:t xml:space="preserve"> (Eds Gilbertson, D.D. and Foale, M.R.) pp. 47-54. (Nature Conservation Society of South Australia Inc.: Adelaide).</w:t>
      </w:r>
    </w:p>
    <w:p w:rsidR="00860E0D" w:rsidRPr="00A67C76" w:rsidRDefault="00860E0D" w:rsidP="00860E0D">
      <w:pPr>
        <w:spacing w:line="240" w:lineRule="auto"/>
        <w:rPr>
          <w:szCs w:val="24"/>
        </w:rPr>
      </w:pPr>
      <w:proofErr w:type="gramStart"/>
      <w:r w:rsidRPr="00A67C76">
        <w:rPr>
          <w:szCs w:val="24"/>
        </w:rPr>
        <w:t>Geddes, M.C. and Butler, A.J. (1984).</w:t>
      </w:r>
      <w:proofErr w:type="gramEnd"/>
      <w:r w:rsidRPr="00A67C76">
        <w:rPr>
          <w:szCs w:val="24"/>
        </w:rPr>
        <w:t xml:space="preserve"> </w:t>
      </w:r>
      <w:proofErr w:type="gramStart"/>
      <w:r w:rsidRPr="00A67C76">
        <w:rPr>
          <w:szCs w:val="24"/>
        </w:rPr>
        <w:t>Physiochemical and biological studies on the Coorong lagoons, South Australia, and the effect of salinity on the distribution of macrobenthos.</w:t>
      </w:r>
      <w:proofErr w:type="gramEnd"/>
      <w:r w:rsidRPr="00A67C76">
        <w:rPr>
          <w:szCs w:val="24"/>
        </w:rPr>
        <w:t xml:space="preserve"> </w:t>
      </w:r>
      <w:r w:rsidRPr="00A67C76">
        <w:rPr>
          <w:i/>
          <w:szCs w:val="24"/>
        </w:rPr>
        <w:t>Transactions of the Royal Society of South Australia</w:t>
      </w:r>
      <w:r w:rsidRPr="00A67C76">
        <w:rPr>
          <w:szCs w:val="24"/>
        </w:rPr>
        <w:t xml:space="preserve"> </w:t>
      </w:r>
      <w:r w:rsidRPr="00A67C76">
        <w:rPr>
          <w:b/>
          <w:szCs w:val="24"/>
        </w:rPr>
        <w:t>108</w:t>
      </w:r>
      <w:r w:rsidRPr="00A67C76">
        <w:rPr>
          <w:szCs w:val="24"/>
        </w:rPr>
        <w:t>, 51-62.</w:t>
      </w:r>
    </w:p>
    <w:p w:rsidR="00860E0D" w:rsidRPr="00A67C76" w:rsidRDefault="00860E0D" w:rsidP="00860E0D">
      <w:pPr>
        <w:spacing w:line="240" w:lineRule="auto"/>
        <w:rPr>
          <w:noProof/>
          <w:szCs w:val="24"/>
        </w:rPr>
      </w:pPr>
      <w:r w:rsidRPr="00A67C76">
        <w:rPr>
          <w:noProof/>
          <w:szCs w:val="24"/>
        </w:rPr>
        <w:t>Gehrig, S.L., Nicol, J.M., Frahn, K.A. and Marsland, K.B. (2012). Lower lakes vegetation condition monitoring – 2011/2012. South Australian Research and Development Institute (Aquatic Sciences), No. F2010/000370-4, Adelaide.</w:t>
      </w:r>
    </w:p>
    <w:p w:rsidR="00860E0D" w:rsidRPr="00A67C76" w:rsidRDefault="00860E0D" w:rsidP="00860E0D">
      <w:pPr>
        <w:spacing w:line="240" w:lineRule="auto"/>
      </w:pPr>
      <w:proofErr w:type="gramStart"/>
      <w:r w:rsidRPr="00A67C76">
        <w:t>Gilbertson, D.D. and Foale, M.R. (1977).</w:t>
      </w:r>
      <w:proofErr w:type="gramEnd"/>
      <w:r w:rsidRPr="00A67C76">
        <w:t xml:space="preserve"> </w:t>
      </w:r>
      <w:proofErr w:type="gramStart"/>
      <w:r w:rsidRPr="00A67C76">
        <w:t>The Coorong and lower Younghusband Peninsula of South Australia.</w:t>
      </w:r>
      <w:proofErr w:type="gramEnd"/>
      <w:r w:rsidRPr="00A67C76">
        <w:t xml:space="preserve"> </w:t>
      </w:r>
      <w:proofErr w:type="gramStart"/>
      <w:r w:rsidRPr="00A67C76">
        <w:t>Nature Conservation Society of South Australia, Adelaide.</w:t>
      </w:r>
      <w:proofErr w:type="gramEnd"/>
    </w:p>
    <w:p w:rsidR="00860E0D" w:rsidRPr="00A67C76" w:rsidRDefault="00860E0D" w:rsidP="00860E0D">
      <w:pPr>
        <w:spacing w:line="240" w:lineRule="auto"/>
        <w:rPr>
          <w:rFonts w:cs="Segoe UI"/>
          <w:noProof/>
          <w:szCs w:val="24"/>
        </w:rPr>
      </w:pPr>
      <w:r w:rsidRPr="00A67C76">
        <w:rPr>
          <w:rFonts w:cs="Segoe UI"/>
          <w:noProof/>
          <w:szCs w:val="24"/>
        </w:rPr>
        <w:t>Gonzalez, D., Scott, A. and Miles, M. (2011). Assessing the vulnerability of native vertebrate fauna under climate change to inform wetland and floodplain management of the River Murray in South Australia, Murray Bridge: South Australian Murray-Darling Basin Natural Resources Management Board.</w:t>
      </w:r>
    </w:p>
    <w:p w:rsidR="00860E0D" w:rsidRPr="00A67C76" w:rsidRDefault="00860E0D" w:rsidP="00860E0D">
      <w:pPr>
        <w:spacing w:line="240" w:lineRule="auto"/>
        <w:rPr>
          <w:rStyle w:val="IntenseEmphasis"/>
          <w:i w:val="0"/>
          <w:noProof/>
          <w:szCs w:val="22"/>
        </w:rPr>
      </w:pPr>
      <w:r w:rsidRPr="00A67C76">
        <w:rPr>
          <w:rStyle w:val="IntenseEmphasis"/>
          <w:i w:val="0"/>
          <w:noProof/>
          <w:szCs w:val="22"/>
        </w:rPr>
        <w:t>Graham, R. and Harris, J.H. (2005). Floodplain inundation and fish dynamics in the murray-darling basin. Current concepts and future research: A scoping study. Cooperative Research Centre for Freshwater Ecology, Canberra.</w:t>
      </w:r>
    </w:p>
    <w:p w:rsidR="00860E0D" w:rsidRPr="00A67C76" w:rsidRDefault="00860E0D" w:rsidP="00860E0D">
      <w:pPr>
        <w:spacing w:line="240" w:lineRule="auto"/>
        <w:rPr>
          <w:rFonts w:cs="Segoe UI"/>
          <w:szCs w:val="24"/>
        </w:rPr>
      </w:pPr>
      <w:r w:rsidRPr="00A67C76">
        <w:rPr>
          <w:rFonts w:cs="Segoe UI"/>
          <w:szCs w:val="24"/>
        </w:rPr>
        <w:t xml:space="preserve">Hammer, M. (2005). </w:t>
      </w:r>
      <w:proofErr w:type="gramStart"/>
      <w:r w:rsidRPr="00A67C76">
        <w:rPr>
          <w:rFonts w:cs="Segoe UI"/>
          <w:szCs w:val="24"/>
        </w:rPr>
        <w:t>Fish Survey Manual.</w:t>
      </w:r>
      <w:proofErr w:type="gramEnd"/>
      <w:r w:rsidRPr="00A67C76">
        <w:rPr>
          <w:rFonts w:cs="Segoe UI"/>
          <w:szCs w:val="24"/>
        </w:rPr>
        <w:t xml:space="preserve"> Native Fish Australia, South Australian Branch, Adelaide S.A.</w:t>
      </w:r>
    </w:p>
    <w:p w:rsidR="00860E0D" w:rsidRPr="00A67C76" w:rsidRDefault="00860E0D" w:rsidP="00860E0D">
      <w:pPr>
        <w:spacing w:line="240" w:lineRule="auto"/>
        <w:rPr>
          <w:lang w:eastAsia="en-AU"/>
        </w:rPr>
      </w:pPr>
      <w:proofErr w:type="gramStart"/>
      <w:r w:rsidRPr="00A67C76">
        <w:rPr>
          <w:lang w:eastAsia="en-AU"/>
        </w:rPr>
        <w:t>Hammer,</w:t>
      </w:r>
      <w:proofErr w:type="gramEnd"/>
      <w:r w:rsidRPr="00A67C76">
        <w:rPr>
          <w:lang w:eastAsia="en-AU"/>
        </w:rPr>
        <w:t xml:space="preserve"> M.P. and Walker, K.F. (2004). </w:t>
      </w:r>
      <w:proofErr w:type="gramStart"/>
      <w:r w:rsidRPr="00A67C76">
        <w:rPr>
          <w:lang w:eastAsia="en-AU"/>
        </w:rPr>
        <w:t>A catalogue of South Australian freshwater fishes, including new records, range extensions and translocations.</w:t>
      </w:r>
      <w:proofErr w:type="gramEnd"/>
      <w:r w:rsidRPr="00A67C76">
        <w:rPr>
          <w:lang w:eastAsia="en-AU"/>
        </w:rPr>
        <w:t xml:space="preserve"> </w:t>
      </w:r>
      <w:r w:rsidRPr="00A67C76">
        <w:rPr>
          <w:i/>
          <w:lang w:eastAsia="en-AU"/>
        </w:rPr>
        <w:t>Transactions of the Royal Society of South Australia</w:t>
      </w:r>
      <w:r w:rsidRPr="00A67C76">
        <w:rPr>
          <w:lang w:eastAsia="en-AU"/>
        </w:rPr>
        <w:t xml:space="preserve"> </w:t>
      </w:r>
      <w:r w:rsidRPr="00A67C76">
        <w:rPr>
          <w:b/>
          <w:lang w:eastAsia="en-AU"/>
        </w:rPr>
        <w:t>128</w:t>
      </w:r>
      <w:r w:rsidRPr="00A67C76">
        <w:rPr>
          <w:lang w:eastAsia="en-AU"/>
        </w:rPr>
        <w:t>, 85-97.</w:t>
      </w:r>
    </w:p>
    <w:p w:rsidR="00860E0D" w:rsidRPr="00A67C76" w:rsidRDefault="00860E0D" w:rsidP="00860E0D">
      <w:pPr>
        <w:spacing w:line="240" w:lineRule="auto"/>
        <w:rPr>
          <w:rStyle w:val="IntenseEmphasis"/>
          <w:i w:val="0"/>
          <w:noProof/>
          <w:szCs w:val="22"/>
        </w:rPr>
      </w:pPr>
      <w:r w:rsidRPr="00A67C76">
        <w:rPr>
          <w:rStyle w:val="IntenseEmphasis"/>
          <w:i w:val="0"/>
          <w:noProof/>
          <w:szCs w:val="22"/>
        </w:rPr>
        <w:t xml:space="preserve">Harris, J.H. and Gehrke, P.C. (1994). Modelling the relationship between streamflow and population recruitment to manage freshwater fisheries. </w:t>
      </w:r>
      <w:r w:rsidRPr="00A67C76">
        <w:rPr>
          <w:rStyle w:val="IntenseEmphasis"/>
          <w:noProof/>
          <w:szCs w:val="22"/>
        </w:rPr>
        <w:t>Australian Fisheries</w:t>
      </w:r>
      <w:r w:rsidRPr="00A67C76">
        <w:rPr>
          <w:rStyle w:val="IntenseEmphasis"/>
          <w:i w:val="0"/>
          <w:noProof/>
          <w:szCs w:val="22"/>
        </w:rPr>
        <w:t xml:space="preserve"> </w:t>
      </w:r>
      <w:r w:rsidRPr="00A67C76">
        <w:rPr>
          <w:rStyle w:val="IntenseEmphasis"/>
          <w:b/>
          <w:i w:val="0"/>
          <w:noProof/>
          <w:szCs w:val="22"/>
        </w:rPr>
        <w:t>6</w:t>
      </w:r>
      <w:r w:rsidRPr="00A67C76">
        <w:rPr>
          <w:rStyle w:val="IntenseEmphasis"/>
          <w:i w:val="0"/>
          <w:noProof/>
          <w:szCs w:val="22"/>
        </w:rPr>
        <w:t>, 28-30.</w:t>
      </w:r>
    </w:p>
    <w:p w:rsidR="00860E0D" w:rsidRPr="00A67C76" w:rsidRDefault="00860E0D" w:rsidP="00860E0D">
      <w:pPr>
        <w:spacing w:line="240" w:lineRule="auto"/>
        <w:rPr>
          <w:rFonts w:cstheme="minorHAnsi"/>
        </w:rPr>
      </w:pPr>
      <w:proofErr w:type="gramStart"/>
      <w:r w:rsidRPr="00A67C76">
        <w:rPr>
          <w:rFonts w:cstheme="minorHAnsi"/>
        </w:rPr>
        <w:t>Hart, B.T., Bailey, P., Edwards, R., Hortle, K., James, K., McMahon, A., Meredith, C. and Swadling, K. (1991).</w:t>
      </w:r>
      <w:proofErr w:type="gramEnd"/>
      <w:r w:rsidRPr="00A67C76">
        <w:rPr>
          <w:rFonts w:cstheme="minorHAnsi"/>
        </w:rPr>
        <w:t xml:space="preserve"> </w:t>
      </w:r>
      <w:proofErr w:type="gramStart"/>
      <w:r w:rsidRPr="00A67C76">
        <w:rPr>
          <w:rFonts w:cstheme="minorHAnsi"/>
        </w:rPr>
        <w:t>A review of the salt sensitivity of the Australian freshwater biota.</w:t>
      </w:r>
      <w:proofErr w:type="gramEnd"/>
      <w:r w:rsidRPr="00A67C76">
        <w:rPr>
          <w:rFonts w:cstheme="minorHAnsi"/>
        </w:rPr>
        <w:t xml:space="preserve"> </w:t>
      </w:r>
      <w:r w:rsidRPr="00A67C76">
        <w:rPr>
          <w:rFonts w:cstheme="minorHAnsi"/>
          <w:i/>
        </w:rPr>
        <w:t>Hydrobiologia</w:t>
      </w:r>
      <w:r w:rsidRPr="00A67C76">
        <w:rPr>
          <w:rFonts w:cstheme="minorHAnsi"/>
        </w:rPr>
        <w:t xml:space="preserve"> </w:t>
      </w:r>
      <w:r w:rsidRPr="00A67C76">
        <w:rPr>
          <w:rFonts w:cstheme="minorHAnsi"/>
          <w:b/>
        </w:rPr>
        <w:t>210</w:t>
      </w:r>
      <w:r w:rsidRPr="00A67C76">
        <w:rPr>
          <w:rFonts w:cstheme="minorHAnsi"/>
        </w:rPr>
        <w:t xml:space="preserve">, 105-144. </w:t>
      </w:r>
    </w:p>
    <w:p w:rsidR="00860E0D" w:rsidRPr="00A67C76" w:rsidRDefault="00860E0D" w:rsidP="00860E0D">
      <w:pPr>
        <w:spacing w:line="240" w:lineRule="auto"/>
        <w:rPr>
          <w:rFonts w:cstheme="minorHAnsi"/>
        </w:rPr>
      </w:pPr>
      <w:r w:rsidRPr="00A67C76">
        <w:rPr>
          <w:rFonts w:cstheme="minorHAnsi"/>
        </w:rPr>
        <w:t xml:space="preserve">Hazell, D. (2003). Frog ecology in modified Australian landscapes: a review. </w:t>
      </w:r>
      <w:r w:rsidRPr="00A67C76">
        <w:rPr>
          <w:rFonts w:cstheme="minorHAnsi"/>
          <w:i/>
        </w:rPr>
        <w:t>Wildlife Research</w:t>
      </w:r>
      <w:r w:rsidRPr="00A67C76">
        <w:rPr>
          <w:rFonts w:cstheme="minorHAnsi"/>
        </w:rPr>
        <w:t xml:space="preserve"> </w:t>
      </w:r>
      <w:r w:rsidRPr="00A67C76">
        <w:rPr>
          <w:rFonts w:cstheme="minorHAnsi"/>
          <w:b/>
        </w:rPr>
        <w:t>30</w:t>
      </w:r>
      <w:r w:rsidRPr="00A67C76">
        <w:rPr>
          <w:rFonts w:cstheme="minorHAnsi"/>
        </w:rPr>
        <w:t>, 193–205.</w:t>
      </w:r>
    </w:p>
    <w:p w:rsidR="00860E0D" w:rsidRPr="00A67C76" w:rsidRDefault="00860E0D" w:rsidP="00860E0D">
      <w:pPr>
        <w:spacing w:line="240" w:lineRule="auto"/>
        <w:rPr>
          <w:rFonts w:cstheme="minorHAnsi"/>
        </w:rPr>
      </w:pPr>
      <w:proofErr w:type="gramStart"/>
      <w:r w:rsidRPr="00A67C76">
        <w:rPr>
          <w:rFonts w:cstheme="minorHAnsi"/>
        </w:rPr>
        <w:t>Hazell, D., Cunningham, R., Lindenmayer, D., Mackey, B. and Osborne, W. (2001).</w:t>
      </w:r>
      <w:proofErr w:type="gramEnd"/>
      <w:r w:rsidRPr="00A67C76">
        <w:rPr>
          <w:rFonts w:cstheme="minorHAnsi"/>
        </w:rPr>
        <w:t xml:space="preserve"> Use of farm dams as frog habitat in an Australian agricultural landscape: factors affecting species richness and distribution. </w:t>
      </w:r>
      <w:r w:rsidRPr="00A67C76">
        <w:rPr>
          <w:rFonts w:cstheme="minorHAnsi"/>
          <w:i/>
        </w:rPr>
        <w:t>Biological Conservation</w:t>
      </w:r>
      <w:r w:rsidRPr="00A67C76">
        <w:rPr>
          <w:rFonts w:cstheme="minorHAnsi"/>
        </w:rPr>
        <w:t xml:space="preserve"> </w:t>
      </w:r>
      <w:r w:rsidRPr="00A67C76">
        <w:rPr>
          <w:rFonts w:cstheme="minorHAnsi"/>
          <w:b/>
        </w:rPr>
        <w:t>102</w:t>
      </w:r>
      <w:r w:rsidRPr="00A67C76">
        <w:rPr>
          <w:rFonts w:cstheme="minorHAnsi"/>
        </w:rPr>
        <w:t>, 155–169.</w:t>
      </w:r>
    </w:p>
    <w:p w:rsidR="0022038D" w:rsidRPr="00A67C76" w:rsidRDefault="00860E0D" w:rsidP="0022038D">
      <w:pPr>
        <w:spacing w:line="240" w:lineRule="auto"/>
        <w:rPr>
          <w:rFonts w:cs="Segoe UI"/>
          <w:szCs w:val="24"/>
        </w:rPr>
      </w:pPr>
      <w:proofErr w:type="gramStart"/>
      <w:r w:rsidRPr="00A67C76">
        <w:rPr>
          <w:rFonts w:cs="Segoe UI"/>
          <w:szCs w:val="24"/>
        </w:rPr>
        <w:t>Healy, M., Thompson, D. and Robertson, A. (1997).</w:t>
      </w:r>
      <w:proofErr w:type="gramEnd"/>
      <w:r w:rsidRPr="00A67C76">
        <w:rPr>
          <w:rFonts w:cs="Segoe UI"/>
          <w:szCs w:val="24"/>
        </w:rPr>
        <w:t xml:space="preserve"> Amphibian communities associated with billabong habitats on the Murrumbidgee Floodplain, Australia. </w:t>
      </w:r>
      <w:r w:rsidRPr="00A67C76">
        <w:rPr>
          <w:rFonts w:cs="Segoe UI"/>
          <w:i/>
          <w:szCs w:val="24"/>
        </w:rPr>
        <w:t>Australian Journal of Ecology</w:t>
      </w:r>
      <w:r w:rsidRPr="00A67C76">
        <w:rPr>
          <w:rFonts w:cs="Segoe UI"/>
          <w:szCs w:val="24"/>
        </w:rPr>
        <w:t xml:space="preserve"> </w:t>
      </w:r>
      <w:r w:rsidRPr="00A67C76">
        <w:rPr>
          <w:rFonts w:cs="Segoe UI"/>
          <w:b/>
          <w:szCs w:val="24"/>
        </w:rPr>
        <w:t>22</w:t>
      </w:r>
      <w:r w:rsidRPr="00A67C76">
        <w:rPr>
          <w:rFonts w:cs="Segoe UI"/>
          <w:szCs w:val="24"/>
        </w:rPr>
        <w:t>, 270 – 278</w:t>
      </w:r>
      <w:r w:rsidR="0022038D" w:rsidRPr="00A67C76">
        <w:rPr>
          <w:rFonts w:cs="Segoe UI"/>
          <w:szCs w:val="24"/>
        </w:rPr>
        <w:t>.</w:t>
      </w:r>
    </w:p>
    <w:p w:rsidR="0022038D" w:rsidRPr="00A67C76" w:rsidRDefault="0022038D" w:rsidP="00860E0D">
      <w:pPr>
        <w:spacing w:line="240" w:lineRule="auto"/>
        <w:rPr>
          <w:rFonts w:cs="Tahoma"/>
          <w:kern w:val="0"/>
          <w:szCs w:val="22"/>
        </w:rPr>
      </w:pPr>
      <w:proofErr w:type="gramStart"/>
      <w:r w:rsidRPr="00A67C76">
        <w:rPr>
          <w:rFonts w:cs="Tahoma"/>
          <w:kern w:val="0"/>
          <w:szCs w:val="22"/>
        </w:rPr>
        <w:t>Hip</w:t>
      </w:r>
      <w:r w:rsidR="00A32D23" w:rsidRPr="00A67C76">
        <w:rPr>
          <w:rFonts w:cs="Tahoma"/>
          <w:kern w:val="0"/>
          <w:szCs w:val="22"/>
        </w:rPr>
        <w:t>sey, M.R. and Busch, B.D. (2012</w:t>
      </w:r>
      <w:r w:rsidRPr="00A67C76">
        <w:rPr>
          <w:rFonts w:cs="Tahoma"/>
          <w:kern w:val="0"/>
          <w:szCs w:val="22"/>
        </w:rPr>
        <w:t>) Lower lakes water quality recovery dynamics.</w:t>
      </w:r>
      <w:proofErr w:type="gramEnd"/>
      <w:r w:rsidRPr="00A67C76">
        <w:rPr>
          <w:rFonts w:cs="Tahoma"/>
          <w:kern w:val="0"/>
          <w:szCs w:val="22"/>
        </w:rPr>
        <w:t xml:space="preserve"> </w:t>
      </w:r>
      <w:proofErr w:type="gramStart"/>
      <w:r w:rsidRPr="00A67C76">
        <w:rPr>
          <w:rFonts w:cs="Tahoma"/>
          <w:kern w:val="0"/>
          <w:szCs w:val="22"/>
        </w:rPr>
        <w:t>University of Western Australia, Perth.</w:t>
      </w:r>
      <w:proofErr w:type="gramEnd"/>
    </w:p>
    <w:p w:rsidR="00860E0D" w:rsidRPr="00A67C76" w:rsidRDefault="00860E0D" w:rsidP="00860E0D">
      <w:pPr>
        <w:spacing w:line="240" w:lineRule="auto"/>
        <w:rPr>
          <w:rFonts w:cs="Segoe UI"/>
          <w:szCs w:val="24"/>
        </w:rPr>
      </w:pPr>
      <w:proofErr w:type="gramStart"/>
      <w:r w:rsidRPr="00A67C76">
        <w:rPr>
          <w:rFonts w:cs="Segoe UI"/>
          <w:szCs w:val="24"/>
        </w:rPr>
        <w:t>Hoffmann, E.P., Wegener, I.K., Suitor, L., and Turner, R. (2014).</w:t>
      </w:r>
      <w:proofErr w:type="gramEnd"/>
      <w:r w:rsidRPr="00A67C76">
        <w:rPr>
          <w:rFonts w:cs="Segoe UI"/>
          <w:szCs w:val="24"/>
        </w:rPr>
        <w:t xml:space="preserve"> </w:t>
      </w:r>
      <w:proofErr w:type="gramStart"/>
      <w:r w:rsidRPr="00A67C76">
        <w:rPr>
          <w:rFonts w:cs="Segoe UI"/>
          <w:szCs w:val="24"/>
        </w:rPr>
        <w:t>Response of frog species to delivery of environmental water in the lower River Murray wetlands.</w:t>
      </w:r>
      <w:proofErr w:type="gramEnd"/>
      <w:r w:rsidRPr="00A67C76">
        <w:rPr>
          <w:rFonts w:cs="Segoe UI"/>
          <w:szCs w:val="24"/>
        </w:rPr>
        <w:t xml:space="preserve"> DEWNR Technical Report, Government of South Australia, through Department of Environment, Water and Natural Resources, Berri. </w:t>
      </w:r>
    </w:p>
    <w:p w:rsidR="00860E0D" w:rsidRPr="00A67C76" w:rsidRDefault="00860E0D" w:rsidP="00860E0D">
      <w:pPr>
        <w:spacing w:line="240" w:lineRule="auto"/>
        <w:rPr>
          <w:noProof/>
        </w:rPr>
      </w:pPr>
      <w:r w:rsidRPr="00A67C76">
        <w:rPr>
          <w:noProof/>
        </w:rPr>
        <w:t xml:space="preserve">Hohausová, E., Copp, G.H. and Jankovský, P. (2003). Movement of fish between a river and its backwater: diel activity and relation to environmental gradients. </w:t>
      </w:r>
      <w:r w:rsidRPr="00A67C76">
        <w:rPr>
          <w:i/>
          <w:noProof/>
        </w:rPr>
        <w:t>Ecology of Freshwater Fish</w:t>
      </w:r>
      <w:r w:rsidRPr="00A67C76">
        <w:rPr>
          <w:noProof/>
        </w:rPr>
        <w:t xml:space="preserve"> </w:t>
      </w:r>
      <w:r w:rsidRPr="00A67C76">
        <w:rPr>
          <w:b/>
          <w:noProof/>
        </w:rPr>
        <w:t>12</w:t>
      </w:r>
      <w:r w:rsidRPr="00A67C76">
        <w:rPr>
          <w:noProof/>
        </w:rPr>
        <w:t>, 107-117.</w:t>
      </w:r>
    </w:p>
    <w:p w:rsidR="00860E0D" w:rsidRPr="00A67C76" w:rsidRDefault="00860E0D" w:rsidP="00860E0D">
      <w:pPr>
        <w:spacing w:line="240" w:lineRule="auto"/>
        <w:rPr>
          <w:i/>
          <w:noProof/>
        </w:rPr>
      </w:pPr>
      <w:r w:rsidRPr="00753458">
        <w:rPr>
          <w:rStyle w:val="IntenseEmphasis"/>
          <w:i w:val="0"/>
          <w:noProof/>
          <w:szCs w:val="22"/>
        </w:rPr>
        <w:t xml:space="preserve">Humphries, P., King, A.J. and Koehn, J.D. (1999). Fish flows and flood plains: Links between freshwater fishes and their environment in the Murray-Darling river system, Australia. </w:t>
      </w:r>
      <w:r w:rsidRPr="00A67C76">
        <w:rPr>
          <w:rStyle w:val="IntenseEmphasis"/>
          <w:noProof/>
          <w:szCs w:val="22"/>
        </w:rPr>
        <w:t xml:space="preserve">Environmental Biology of Fishes </w:t>
      </w:r>
      <w:r w:rsidRPr="00753458">
        <w:rPr>
          <w:rStyle w:val="IntenseEmphasis"/>
          <w:b/>
          <w:i w:val="0"/>
          <w:noProof/>
          <w:szCs w:val="22"/>
        </w:rPr>
        <w:t>56</w:t>
      </w:r>
      <w:r w:rsidRPr="00753458">
        <w:rPr>
          <w:rStyle w:val="IntenseEmphasis"/>
          <w:i w:val="0"/>
          <w:noProof/>
          <w:szCs w:val="22"/>
        </w:rPr>
        <w:t>, 129-151.</w:t>
      </w:r>
    </w:p>
    <w:p w:rsidR="00860E0D" w:rsidRPr="00A67C76" w:rsidRDefault="00860E0D" w:rsidP="00860E0D">
      <w:pPr>
        <w:spacing w:line="240" w:lineRule="auto"/>
        <w:rPr>
          <w:noProof/>
        </w:rPr>
      </w:pPr>
      <w:r w:rsidRPr="00A67C76">
        <w:rPr>
          <w:noProof/>
        </w:rPr>
        <w:t xml:space="preserve">Jackson, D.A., Peres-Neto, P.R. and Olden, J.D. (2001). What controls who is where in freshwater fish communities – the roles of biotic, abiotic, and spatial factors. </w:t>
      </w:r>
      <w:r w:rsidRPr="00A67C76">
        <w:rPr>
          <w:i/>
          <w:noProof/>
        </w:rPr>
        <w:t>Canadian Journal of Fisheries and Aquatic Sciences</w:t>
      </w:r>
      <w:r w:rsidRPr="00A67C76">
        <w:rPr>
          <w:noProof/>
        </w:rPr>
        <w:t xml:space="preserve"> </w:t>
      </w:r>
      <w:r w:rsidRPr="00A67C76">
        <w:rPr>
          <w:b/>
          <w:noProof/>
        </w:rPr>
        <w:t>58</w:t>
      </w:r>
      <w:r w:rsidRPr="00A67C76">
        <w:rPr>
          <w:noProof/>
        </w:rPr>
        <w:t>, 157-170.</w:t>
      </w:r>
    </w:p>
    <w:p w:rsidR="00860E0D" w:rsidRPr="00A67C76" w:rsidRDefault="00860E0D" w:rsidP="00860E0D">
      <w:pPr>
        <w:spacing w:line="240" w:lineRule="auto"/>
        <w:rPr>
          <w:rFonts w:cs="Segoe UI"/>
          <w:szCs w:val="24"/>
        </w:rPr>
      </w:pPr>
      <w:proofErr w:type="gramStart"/>
      <w:r w:rsidRPr="00A67C76">
        <w:rPr>
          <w:rFonts w:cs="Segoe UI"/>
          <w:szCs w:val="24"/>
        </w:rPr>
        <w:t>Jansen, A. and Healy, M. (2003).</w:t>
      </w:r>
      <w:proofErr w:type="gramEnd"/>
      <w:r w:rsidRPr="00A67C76">
        <w:rPr>
          <w:rFonts w:cs="Segoe UI"/>
          <w:szCs w:val="24"/>
        </w:rPr>
        <w:t xml:space="preserve"> Frog communities and wetland condition: relationships with grazing by domestic livestock along an Australian floodplain river. </w:t>
      </w:r>
      <w:r w:rsidRPr="00A67C76">
        <w:rPr>
          <w:rFonts w:cs="Segoe UI"/>
          <w:i/>
          <w:szCs w:val="24"/>
        </w:rPr>
        <w:t>Biological Conservation</w:t>
      </w:r>
      <w:r w:rsidRPr="00A67C76">
        <w:rPr>
          <w:rFonts w:cs="Segoe UI"/>
          <w:szCs w:val="24"/>
        </w:rPr>
        <w:t xml:space="preserve"> </w:t>
      </w:r>
      <w:r w:rsidRPr="00A67C76">
        <w:rPr>
          <w:rFonts w:cs="Segoe UI"/>
          <w:b/>
          <w:szCs w:val="24"/>
        </w:rPr>
        <w:t>109,</w:t>
      </w:r>
      <w:r w:rsidRPr="00A67C76">
        <w:rPr>
          <w:rFonts w:cs="Segoe UI"/>
          <w:szCs w:val="24"/>
        </w:rPr>
        <w:t xml:space="preserve"> 207-219.</w:t>
      </w:r>
    </w:p>
    <w:p w:rsidR="00860E0D" w:rsidRPr="00A67C76" w:rsidRDefault="00860E0D" w:rsidP="00860E0D">
      <w:pPr>
        <w:spacing w:line="240" w:lineRule="auto"/>
        <w:rPr>
          <w:rFonts w:cs="Segoe UI"/>
          <w:szCs w:val="24"/>
        </w:rPr>
      </w:pPr>
      <w:proofErr w:type="gramStart"/>
      <w:r w:rsidRPr="00A67C76">
        <w:rPr>
          <w:rFonts w:cs="Segoe UI"/>
          <w:szCs w:val="24"/>
        </w:rPr>
        <w:t>Joehnk, K.D., Nicol, J. and Ye, Q. (2014).</w:t>
      </w:r>
      <w:proofErr w:type="gramEnd"/>
      <w:r w:rsidRPr="00A67C76">
        <w:rPr>
          <w:rFonts w:cs="Segoe UI"/>
          <w:szCs w:val="24"/>
        </w:rPr>
        <w:t xml:space="preserve"> </w:t>
      </w:r>
      <w:proofErr w:type="gramStart"/>
      <w:r w:rsidRPr="00A67C76">
        <w:rPr>
          <w:rFonts w:cs="Segoe UI"/>
          <w:szCs w:val="24"/>
        </w:rPr>
        <w:t xml:space="preserve">Hydrodynamic modelling and impact of environmental watering on </w:t>
      </w:r>
      <w:r w:rsidRPr="00A67C76">
        <w:rPr>
          <w:rFonts w:cs="Segoe UI"/>
          <w:i/>
          <w:szCs w:val="24"/>
        </w:rPr>
        <w:t>Ruppia tuberosa</w:t>
      </w:r>
      <w:r w:rsidRPr="00A67C76">
        <w:rPr>
          <w:rFonts w:cs="Segoe UI"/>
          <w:szCs w:val="24"/>
        </w:rPr>
        <w:t xml:space="preserve"> and fish habitats in the Coorong.</w:t>
      </w:r>
      <w:proofErr w:type="gramEnd"/>
      <w:r w:rsidRPr="00A67C76">
        <w:rPr>
          <w:rFonts w:cs="Segoe UI"/>
          <w:szCs w:val="24"/>
        </w:rPr>
        <w:t xml:space="preserve"> </w:t>
      </w:r>
      <w:proofErr w:type="gramStart"/>
      <w:r w:rsidR="0022038D" w:rsidRPr="00A67C76">
        <w:t>Water for a Healthy Country National Research Flagship, Canberra, Australia.</w:t>
      </w:r>
      <w:proofErr w:type="gramEnd"/>
      <w:r w:rsidR="0022038D" w:rsidRPr="00A67C76">
        <w:t xml:space="preserve"> </w:t>
      </w:r>
      <w:proofErr w:type="gramStart"/>
      <w:r w:rsidR="0022038D" w:rsidRPr="00A67C76">
        <w:rPr>
          <w:i/>
        </w:rPr>
        <w:t>In preparation.</w:t>
      </w:r>
      <w:proofErr w:type="gramEnd"/>
    </w:p>
    <w:p w:rsidR="00860E0D" w:rsidRPr="00A67C76" w:rsidRDefault="00860E0D" w:rsidP="00860E0D">
      <w:pPr>
        <w:spacing w:line="240" w:lineRule="auto"/>
        <w:rPr>
          <w:i/>
          <w:highlight w:val="yellow"/>
        </w:rPr>
      </w:pPr>
      <w:proofErr w:type="gramStart"/>
      <w:r w:rsidRPr="00A67C76">
        <w:t>Joehnk, K.D. and Webster, I.T. (2014).</w:t>
      </w:r>
      <w:proofErr w:type="gramEnd"/>
      <w:r w:rsidRPr="00A67C76">
        <w:t xml:space="preserve"> </w:t>
      </w:r>
      <w:proofErr w:type="gramStart"/>
      <w:r w:rsidRPr="00A67C76">
        <w:t>Hydrodynamic investigations of the Coorong – development and application strategy.</w:t>
      </w:r>
      <w:proofErr w:type="gramEnd"/>
      <w:r w:rsidRPr="00A67C76">
        <w:t xml:space="preserve"> Report for SA DEWNR. </w:t>
      </w:r>
      <w:proofErr w:type="gramStart"/>
      <w:r w:rsidRPr="00A67C76">
        <w:t>Water for a Healthy Country National Research Flagship, Canberra, Australia.</w:t>
      </w:r>
      <w:proofErr w:type="gramEnd"/>
      <w:r w:rsidRPr="00A67C76">
        <w:t xml:space="preserve"> </w:t>
      </w:r>
      <w:proofErr w:type="gramStart"/>
      <w:r w:rsidRPr="00A67C76">
        <w:rPr>
          <w:i/>
        </w:rPr>
        <w:t>In preparation.</w:t>
      </w:r>
      <w:proofErr w:type="gramEnd"/>
    </w:p>
    <w:p w:rsidR="00860E0D" w:rsidRPr="00A67C76" w:rsidRDefault="00860E0D" w:rsidP="00860E0D">
      <w:pPr>
        <w:spacing w:line="240" w:lineRule="auto"/>
        <w:rPr>
          <w:noProof/>
          <w:lang w:eastAsia="en-AU"/>
        </w:rPr>
      </w:pPr>
      <w:r w:rsidRPr="00A67C76">
        <w:rPr>
          <w:noProof/>
          <w:lang w:eastAsia="en-AU"/>
        </w:rPr>
        <w:t xml:space="preserve">Junk, W.J., Bayley, P.B. and Sparks, R.E. (1989). The flood pulse concept in river-floodplain systems. </w:t>
      </w:r>
      <w:r w:rsidRPr="00A67C76">
        <w:rPr>
          <w:i/>
          <w:noProof/>
          <w:lang w:eastAsia="en-AU"/>
        </w:rPr>
        <w:t>Canadian Special Publication of Fisheries and Aquatic Sciences</w:t>
      </w:r>
      <w:r w:rsidRPr="00A67C76">
        <w:rPr>
          <w:noProof/>
          <w:lang w:eastAsia="en-AU"/>
        </w:rPr>
        <w:t xml:space="preserve"> </w:t>
      </w:r>
      <w:r w:rsidRPr="00A67C76">
        <w:rPr>
          <w:b/>
          <w:noProof/>
          <w:lang w:eastAsia="en-AU"/>
        </w:rPr>
        <w:t>106</w:t>
      </w:r>
      <w:r w:rsidRPr="00A67C76">
        <w:rPr>
          <w:noProof/>
          <w:lang w:eastAsia="en-AU"/>
        </w:rPr>
        <w:t>, 110-127.</w:t>
      </w:r>
    </w:p>
    <w:p w:rsidR="00860E0D" w:rsidRPr="00753458" w:rsidRDefault="00860E0D" w:rsidP="00860E0D">
      <w:pPr>
        <w:spacing w:line="240" w:lineRule="auto"/>
        <w:rPr>
          <w:rStyle w:val="IntenseEmphasis"/>
          <w:i w:val="0"/>
          <w:noProof/>
          <w:szCs w:val="22"/>
        </w:rPr>
      </w:pPr>
      <w:bookmarkStart w:id="212" w:name="_ENREF_4_17"/>
      <w:r w:rsidRPr="00753458">
        <w:rPr>
          <w:rStyle w:val="IntenseEmphasis"/>
          <w:i w:val="0"/>
          <w:noProof/>
          <w:szCs w:val="22"/>
        </w:rPr>
        <w:t xml:space="preserve">Kelso, W.E. and Rutherford, D.A. (1996). Collection, preservation and identification of fish eggs and larvae. In Fisheries techniques. 2nd edn. (Eds. Murphy, B.R. and Willis, D.W.) pp. 255-302. (American Fisheries Society: Marysland). </w:t>
      </w:r>
    </w:p>
    <w:bookmarkEnd w:id="212"/>
    <w:p w:rsidR="00860E0D" w:rsidRPr="00A67C76" w:rsidRDefault="00860E0D" w:rsidP="00860E0D">
      <w:pPr>
        <w:spacing w:line="240" w:lineRule="auto"/>
        <w:rPr>
          <w:szCs w:val="24"/>
        </w:rPr>
      </w:pPr>
      <w:proofErr w:type="gramStart"/>
      <w:r w:rsidRPr="00A67C76">
        <w:rPr>
          <w:szCs w:val="24"/>
        </w:rPr>
        <w:t>Kim, D.H., Aldridge, K.T., Brookes, J.D. and Ganf, G.G. (2013).</w:t>
      </w:r>
      <w:proofErr w:type="gramEnd"/>
      <w:r w:rsidRPr="00A67C76">
        <w:rPr>
          <w:szCs w:val="24"/>
        </w:rPr>
        <w:t xml:space="preserve"> The effect of salinity on the germination of </w:t>
      </w:r>
      <w:r w:rsidRPr="00A67C76">
        <w:rPr>
          <w:i/>
          <w:szCs w:val="24"/>
        </w:rPr>
        <w:t>Ruppia tuberosa</w:t>
      </w:r>
      <w:r w:rsidRPr="00A67C76">
        <w:rPr>
          <w:szCs w:val="24"/>
        </w:rPr>
        <w:t xml:space="preserve"> and </w:t>
      </w:r>
      <w:r w:rsidRPr="00A67C76">
        <w:rPr>
          <w:i/>
          <w:szCs w:val="24"/>
        </w:rPr>
        <w:t>Ruppia megacarpa</w:t>
      </w:r>
      <w:r w:rsidRPr="00A67C76">
        <w:rPr>
          <w:szCs w:val="24"/>
        </w:rPr>
        <w:t xml:space="preserve"> and implications for the Coorong: a coastal lagoon of southern Australia. </w:t>
      </w:r>
      <w:r w:rsidRPr="00A67C76">
        <w:rPr>
          <w:i/>
          <w:szCs w:val="24"/>
        </w:rPr>
        <w:t>Aquatic Botany</w:t>
      </w:r>
      <w:r w:rsidRPr="00A67C76">
        <w:rPr>
          <w:szCs w:val="24"/>
        </w:rPr>
        <w:t xml:space="preserve"> </w:t>
      </w:r>
      <w:r w:rsidRPr="00A67C76">
        <w:rPr>
          <w:b/>
          <w:szCs w:val="24"/>
        </w:rPr>
        <w:t>111</w:t>
      </w:r>
      <w:r w:rsidRPr="00A67C76">
        <w:rPr>
          <w:szCs w:val="24"/>
        </w:rPr>
        <w:t>, 81-88.</w:t>
      </w:r>
    </w:p>
    <w:p w:rsidR="00860E0D" w:rsidRPr="00A67C76" w:rsidRDefault="00860E0D" w:rsidP="00860E0D">
      <w:pPr>
        <w:spacing w:line="240" w:lineRule="auto"/>
        <w:rPr>
          <w:rStyle w:val="IntenseEmphasis"/>
          <w:i w:val="0"/>
          <w:noProof/>
          <w:szCs w:val="22"/>
        </w:rPr>
      </w:pPr>
      <w:bookmarkStart w:id="213" w:name="_ENREF_4_19"/>
      <w:bookmarkStart w:id="214" w:name="_ENREF_4_18"/>
      <w:r w:rsidRPr="00753458">
        <w:rPr>
          <w:rStyle w:val="IntenseEmphasis"/>
          <w:i w:val="0"/>
          <w:noProof/>
          <w:szCs w:val="22"/>
        </w:rPr>
        <w:t>King, A.J. (2004). Density and distribution of potential prey for larval fish in the main channel of a floodplain river: Pelagic versus epibenthic meiofauna.</w:t>
      </w:r>
      <w:r w:rsidRPr="00A67C76">
        <w:rPr>
          <w:rStyle w:val="IntenseEmphasis"/>
          <w:noProof/>
          <w:szCs w:val="22"/>
        </w:rPr>
        <w:t xml:space="preserve"> River Research and Applications </w:t>
      </w:r>
      <w:r w:rsidRPr="00753458">
        <w:rPr>
          <w:rStyle w:val="IntenseEmphasis"/>
          <w:b/>
          <w:i w:val="0"/>
          <w:noProof/>
          <w:szCs w:val="22"/>
        </w:rPr>
        <w:t>20</w:t>
      </w:r>
      <w:r w:rsidRPr="00753458">
        <w:rPr>
          <w:rStyle w:val="IntenseEmphasis"/>
          <w:i w:val="0"/>
          <w:noProof/>
          <w:szCs w:val="22"/>
        </w:rPr>
        <w:t>, 883-897</w:t>
      </w:r>
      <w:r w:rsidRPr="00A67C76">
        <w:rPr>
          <w:rStyle w:val="IntenseEmphasis"/>
          <w:noProof/>
          <w:szCs w:val="22"/>
        </w:rPr>
        <w:t xml:space="preserve">. </w:t>
      </w:r>
    </w:p>
    <w:bookmarkEnd w:id="213"/>
    <w:p w:rsidR="00860E0D" w:rsidRPr="00A67C76" w:rsidRDefault="00860E0D" w:rsidP="00860E0D">
      <w:pPr>
        <w:spacing w:line="240" w:lineRule="auto"/>
        <w:rPr>
          <w:rStyle w:val="IntenseEmphasis"/>
          <w:i w:val="0"/>
          <w:noProof/>
          <w:szCs w:val="22"/>
        </w:rPr>
      </w:pPr>
      <w:r w:rsidRPr="00753458">
        <w:rPr>
          <w:rStyle w:val="IntenseEmphasis"/>
          <w:i w:val="0"/>
          <w:noProof/>
          <w:szCs w:val="22"/>
        </w:rPr>
        <w:t xml:space="preserve">King, A.J., Humphries, P. and Lake, P.S. (2003). Fish recruitment on floodplains: The roles of patterns of flooding and </w:t>
      </w:r>
      <w:r w:rsidR="00EC7B84" w:rsidRPr="00EC7B84">
        <w:rPr>
          <w:rStyle w:val="IntenseEmphasis"/>
          <w:i w:val="0"/>
          <w:noProof/>
          <w:szCs w:val="22"/>
        </w:rPr>
        <w:t>life-history</w:t>
      </w:r>
      <w:r w:rsidRPr="00753458">
        <w:rPr>
          <w:rStyle w:val="IntenseEmphasis"/>
          <w:i w:val="0"/>
          <w:noProof/>
          <w:szCs w:val="22"/>
        </w:rPr>
        <w:t xml:space="preserve"> characteristics.</w:t>
      </w:r>
      <w:r w:rsidRPr="00A67C76">
        <w:rPr>
          <w:rStyle w:val="IntenseEmphasis"/>
          <w:noProof/>
          <w:szCs w:val="22"/>
        </w:rPr>
        <w:t xml:space="preserve"> Canadian Journal of Fisheries and Aquatic Sciences </w:t>
      </w:r>
      <w:r w:rsidRPr="00753458">
        <w:rPr>
          <w:rStyle w:val="IntenseEmphasis"/>
          <w:b/>
          <w:i w:val="0"/>
          <w:noProof/>
          <w:szCs w:val="22"/>
        </w:rPr>
        <w:t>60</w:t>
      </w:r>
      <w:r w:rsidRPr="00753458">
        <w:rPr>
          <w:rStyle w:val="IntenseEmphasis"/>
          <w:i w:val="0"/>
          <w:noProof/>
          <w:szCs w:val="22"/>
        </w:rPr>
        <w:t>, 773-786.</w:t>
      </w:r>
      <w:r w:rsidRPr="00A67C76">
        <w:rPr>
          <w:rStyle w:val="IntenseEmphasis"/>
          <w:noProof/>
          <w:szCs w:val="22"/>
        </w:rPr>
        <w:t xml:space="preserve"> </w:t>
      </w:r>
    </w:p>
    <w:p w:rsidR="00860E0D" w:rsidRPr="00753458" w:rsidRDefault="00860E0D" w:rsidP="00860E0D">
      <w:pPr>
        <w:spacing w:line="240" w:lineRule="auto"/>
        <w:rPr>
          <w:rStyle w:val="IntenseEmphasis"/>
          <w:i w:val="0"/>
          <w:noProof/>
          <w:szCs w:val="22"/>
        </w:rPr>
      </w:pPr>
      <w:bookmarkStart w:id="215" w:name="_ENREF_4_20"/>
      <w:bookmarkEnd w:id="214"/>
      <w:r w:rsidRPr="00753458">
        <w:rPr>
          <w:rStyle w:val="IntenseEmphasis"/>
          <w:i w:val="0"/>
          <w:noProof/>
          <w:szCs w:val="22"/>
        </w:rPr>
        <w:t>King, A.J., Tonkin, Z. and Mahoney, J. (2007). Assessing the effectiveness of environmental flows on fish recruitment in Barmah-Millewa forest. Arthur Rylah Institute for Environmental Research, DSE, No. MDBC Project No. BMF 2004.09, Heidleberg, Vic.</w:t>
      </w:r>
    </w:p>
    <w:bookmarkEnd w:id="215"/>
    <w:p w:rsidR="00860E0D" w:rsidRPr="00A67C76" w:rsidRDefault="00860E0D" w:rsidP="00860E0D">
      <w:pPr>
        <w:spacing w:line="240" w:lineRule="auto"/>
      </w:pPr>
      <w:proofErr w:type="gramStart"/>
      <w:r w:rsidRPr="00A67C76">
        <w:t>King A.J., Tonkin Z. and Mahoney, J. (2009).</w:t>
      </w:r>
      <w:proofErr w:type="gramEnd"/>
      <w:r w:rsidRPr="00A67C76">
        <w:t xml:space="preserve"> Environmental flow enhances native fish spawning and recruitment in the Murray River, Australia. </w:t>
      </w:r>
      <w:r w:rsidRPr="00A67C76">
        <w:rPr>
          <w:i/>
          <w:iCs/>
        </w:rPr>
        <w:t>River Research</w:t>
      </w:r>
      <w:r w:rsidRPr="00A67C76">
        <w:rPr>
          <w:i/>
        </w:rPr>
        <w:t xml:space="preserve"> </w:t>
      </w:r>
      <w:r w:rsidRPr="00A67C76">
        <w:rPr>
          <w:i/>
          <w:iCs/>
        </w:rPr>
        <w:t>and Applications</w:t>
      </w:r>
      <w:r w:rsidRPr="00A67C76">
        <w:rPr>
          <w:iCs/>
        </w:rPr>
        <w:t xml:space="preserve"> </w:t>
      </w:r>
      <w:r w:rsidRPr="00A67C76">
        <w:rPr>
          <w:b/>
          <w:bCs/>
        </w:rPr>
        <w:t>25</w:t>
      </w:r>
      <w:r w:rsidRPr="00A67C76">
        <w:t xml:space="preserve">, 1205–1218. </w:t>
      </w:r>
    </w:p>
    <w:p w:rsidR="00860E0D" w:rsidRPr="00A67C76" w:rsidRDefault="00860E0D" w:rsidP="00860E0D">
      <w:pPr>
        <w:spacing w:line="240" w:lineRule="auto"/>
        <w:rPr>
          <w:noProof/>
        </w:rPr>
      </w:pPr>
      <w:r w:rsidRPr="00A67C76">
        <w:rPr>
          <w:noProof/>
        </w:rPr>
        <w:t xml:space="preserve">Kingsford, R.T. (2000). Ecological impacts of dams, water diversions and river management on floodplain wetlands in Australia. </w:t>
      </w:r>
      <w:r w:rsidRPr="00A67C76">
        <w:rPr>
          <w:i/>
          <w:noProof/>
        </w:rPr>
        <w:t>Austral Ecology</w:t>
      </w:r>
      <w:r w:rsidRPr="00A67C76">
        <w:rPr>
          <w:noProof/>
        </w:rPr>
        <w:t xml:space="preserve"> </w:t>
      </w:r>
      <w:r w:rsidRPr="00A67C76">
        <w:rPr>
          <w:b/>
          <w:noProof/>
        </w:rPr>
        <w:t>25</w:t>
      </w:r>
      <w:r w:rsidRPr="00A67C76">
        <w:rPr>
          <w:noProof/>
        </w:rPr>
        <w:t>, 109-127.</w:t>
      </w:r>
    </w:p>
    <w:p w:rsidR="00860E0D" w:rsidRPr="00A67C76" w:rsidRDefault="00860E0D" w:rsidP="00860E0D">
      <w:pPr>
        <w:spacing w:line="240" w:lineRule="auto"/>
      </w:pPr>
      <w:proofErr w:type="gramStart"/>
      <w:r w:rsidRPr="00A67C76">
        <w:t>Lane, S. J., Hamer, A.J., and Mahony, M.J. (2007).</w:t>
      </w:r>
      <w:proofErr w:type="gramEnd"/>
      <w:r w:rsidRPr="00A67C76">
        <w:t xml:space="preserve"> Habitat correlates of five amphibian species and of species-richness in a wetland system in New South Wales, Australia. </w:t>
      </w:r>
      <w:proofErr w:type="gramStart"/>
      <w:r w:rsidRPr="00A67C76">
        <w:rPr>
          <w:i/>
          <w:iCs/>
        </w:rPr>
        <w:t>Applied Herpetology</w:t>
      </w:r>
      <w:r w:rsidRPr="00A67C76">
        <w:t xml:space="preserve">, </w:t>
      </w:r>
      <w:r w:rsidRPr="00A67C76">
        <w:rPr>
          <w:b/>
          <w:iCs/>
        </w:rPr>
        <w:t>4</w:t>
      </w:r>
      <w:r w:rsidRPr="00A67C76">
        <w:t>, 65.</w:t>
      </w:r>
      <w:proofErr w:type="gramEnd"/>
    </w:p>
    <w:p w:rsidR="00860E0D" w:rsidRPr="00A67C76" w:rsidRDefault="00860E0D" w:rsidP="00860E0D">
      <w:pPr>
        <w:spacing w:line="240" w:lineRule="auto"/>
      </w:pPr>
      <w:proofErr w:type="gramStart"/>
      <w:r w:rsidRPr="00A67C76">
        <w:t>Lane, S. and Mahony, M. (2002).</w:t>
      </w:r>
      <w:proofErr w:type="gramEnd"/>
      <w:r w:rsidRPr="00A67C76">
        <w:t xml:space="preserve"> Larval Anurans with Synchronous and Asynchronous Development Periods: Contrasting Responses to Water Reduction and Predator Presence. </w:t>
      </w:r>
      <w:r w:rsidRPr="00A67C76">
        <w:rPr>
          <w:i/>
          <w:iCs/>
        </w:rPr>
        <w:t xml:space="preserve">Journal of Animal Ecology, </w:t>
      </w:r>
      <w:r w:rsidRPr="00A67C76">
        <w:rPr>
          <w:b/>
        </w:rPr>
        <w:t>71</w:t>
      </w:r>
      <w:r w:rsidRPr="00A67C76">
        <w:rPr>
          <w:b/>
          <w:bCs/>
        </w:rPr>
        <w:t xml:space="preserve">, </w:t>
      </w:r>
      <w:r w:rsidRPr="00A67C76">
        <w:t>780-792.</w:t>
      </w:r>
    </w:p>
    <w:p w:rsidR="00860E0D" w:rsidRPr="00A67C76" w:rsidRDefault="00860E0D" w:rsidP="00860E0D">
      <w:pPr>
        <w:spacing w:line="240" w:lineRule="auto"/>
      </w:pPr>
      <w:r w:rsidRPr="00A67C76">
        <w:t>Lauck, B</w:t>
      </w:r>
      <w:proofErr w:type="gramStart"/>
      <w:r w:rsidRPr="00A67C76">
        <w:t>,.</w:t>
      </w:r>
      <w:proofErr w:type="gramEnd"/>
      <w:r w:rsidRPr="00A67C76">
        <w:t xml:space="preserve"> </w:t>
      </w:r>
      <w:proofErr w:type="gramStart"/>
      <w:r w:rsidRPr="00A67C76">
        <w:t>Swain, R. and Barmuta, L. (2005).</w:t>
      </w:r>
      <w:proofErr w:type="gramEnd"/>
      <w:r w:rsidRPr="00A67C76">
        <w:t xml:space="preserve"> </w:t>
      </w:r>
      <w:proofErr w:type="gramStart"/>
      <w:r w:rsidRPr="00A67C76">
        <w:t xml:space="preserve">Breeding site characteristics regulating </w:t>
      </w:r>
      <w:r w:rsidR="00EC7B84" w:rsidRPr="00EC7B84">
        <w:t>life-history</w:t>
      </w:r>
      <w:r w:rsidRPr="00A67C76">
        <w:t xml:space="preserve"> traits of the brown tree frog, </w:t>
      </w:r>
      <w:r w:rsidRPr="00A67C76">
        <w:rPr>
          <w:i/>
        </w:rPr>
        <w:t>Litoria ewingi</w:t>
      </w:r>
      <w:r w:rsidRPr="00A67C76">
        <w:t>.</w:t>
      </w:r>
      <w:proofErr w:type="gramEnd"/>
      <w:r w:rsidRPr="00A67C76">
        <w:t xml:space="preserve"> </w:t>
      </w:r>
      <w:r w:rsidRPr="00A67C76">
        <w:rPr>
          <w:i/>
        </w:rPr>
        <w:t>Hydrobiologia</w:t>
      </w:r>
      <w:r w:rsidRPr="00A67C76">
        <w:t xml:space="preserve"> </w:t>
      </w:r>
      <w:r w:rsidRPr="00A67C76">
        <w:rPr>
          <w:b/>
        </w:rPr>
        <w:t>537</w:t>
      </w:r>
      <w:r w:rsidRPr="00A67C76">
        <w:t>, 135–146</w:t>
      </w:r>
    </w:p>
    <w:p w:rsidR="00860E0D" w:rsidRPr="00A67C76" w:rsidRDefault="00860E0D" w:rsidP="00860E0D">
      <w:pPr>
        <w:spacing w:line="240" w:lineRule="auto"/>
      </w:pPr>
      <w:r w:rsidRPr="00A67C76">
        <w:t xml:space="preserve">Leary, D.E. (1993). </w:t>
      </w:r>
      <w:proofErr w:type="gramStart"/>
      <w:r w:rsidRPr="00A67C76">
        <w:rPr>
          <w:i/>
        </w:rPr>
        <w:t>Ruppia tuberosa</w:t>
      </w:r>
      <w:r w:rsidRPr="00A67C76">
        <w:t xml:space="preserve"> in the South Lagoon of the Coorong.</w:t>
      </w:r>
      <w:proofErr w:type="gramEnd"/>
      <w:r w:rsidRPr="00A67C76">
        <w:t xml:space="preserve">  </w:t>
      </w:r>
      <w:proofErr w:type="gramStart"/>
      <w:r w:rsidRPr="00A67C76">
        <w:t>A preliminary commentary.</w:t>
      </w:r>
      <w:proofErr w:type="gramEnd"/>
      <w:r w:rsidRPr="00A67C76">
        <w:t xml:space="preserve"> </w:t>
      </w:r>
      <w:proofErr w:type="gramStart"/>
      <w:r w:rsidRPr="00A67C76">
        <w:t>The University of Adelaide, Adelaide.</w:t>
      </w:r>
      <w:proofErr w:type="gramEnd"/>
      <w:r w:rsidRPr="00A67C76">
        <w:t xml:space="preserve"> </w:t>
      </w:r>
    </w:p>
    <w:p w:rsidR="00860E0D" w:rsidRPr="00A67C76" w:rsidRDefault="00860E0D" w:rsidP="00860E0D">
      <w:pPr>
        <w:spacing w:line="240" w:lineRule="auto"/>
      </w:pPr>
      <w:proofErr w:type="gramStart"/>
      <w:r w:rsidRPr="00A67C76">
        <w:t>Lemckert, F., Mahony, M., Brassil, T. and Slatyer, C. (2006).</w:t>
      </w:r>
      <w:proofErr w:type="gramEnd"/>
      <w:r w:rsidRPr="00A67C76">
        <w:t xml:space="preserve"> The biology of the threatened Green-thighed Frog </w:t>
      </w:r>
      <w:r w:rsidRPr="00A67C76">
        <w:rPr>
          <w:i/>
          <w:iCs/>
        </w:rPr>
        <w:t>Litoria brevipalmata</w:t>
      </w:r>
      <w:r w:rsidRPr="00A67C76">
        <w:t xml:space="preserve"> (Anura</w:t>
      </w:r>
      <w:proofErr w:type="gramStart"/>
      <w:r w:rsidRPr="00A67C76">
        <w:t>:Hylidae</w:t>
      </w:r>
      <w:proofErr w:type="gramEnd"/>
      <w:r w:rsidRPr="00A67C76">
        <w:t xml:space="preserve">) in the central and mid-north coastal areas of New South Wales. </w:t>
      </w:r>
      <w:r w:rsidRPr="00A67C76">
        <w:rPr>
          <w:i/>
          <w:iCs/>
        </w:rPr>
        <w:t xml:space="preserve">Australian Zoologist </w:t>
      </w:r>
      <w:r w:rsidRPr="00A67C76">
        <w:rPr>
          <w:b/>
          <w:iCs/>
        </w:rPr>
        <w:t>33</w:t>
      </w:r>
      <w:r w:rsidRPr="00A67C76">
        <w:rPr>
          <w:iCs/>
        </w:rPr>
        <w:t>,</w:t>
      </w:r>
      <w:r w:rsidRPr="00A67C76">
        <w:t xml:space="preserve"> 337-344.</w:t>
      </w:r>
    </w:p>
    <w:p w:rsidR="00860E0D" w:rsidRPr="00A67C76" w:rsidRDefault="00860E0D" w:rsidP="00860E0D">
      <w:pPr>
        <w:spacing w:line="240" w:lineRule="auto"/>
        <w:rPr>
          <w:noProof/>
        </w:rPr>
      </w:pPr>
      <w:r w:rsidRPr="00A67C76">
        <w:rPr>
          <w:noProof/>
        </w:rPr>
        <w:t>Livore, J.P., Ye, Q., Bucater, L. and Short, D. (2013). Fish response to flow in the Coorong during 2012/13. South Australian Research and Development Institute (Aquatic Sciences), Adelaide. SARDI Publication No. F2013/000486-1. SARDI Research Report Series No. 732. 80pp.</w:t>
      </w:r>
    </w:p>
    <w:p w:rsidR="00860E0D" w:rsidRPr="00A67C76" w:rsidRDefault="00860E0D" w:rsidP="00860E0D">
      <w:pPr>
        <w:spacing w:line="240" w:lineRule="auto"/>
        <w:rPr>
          <w:noProof/>
        </w:rPr>
      </w:pPr>
      <w:r w:rsidRPr="00A67C76">
        <w:rPr>
          <w:noProof/>
        </w:rPr>
        <w:t xml:space="preserve">Lyon, J., Stuart, I., Ramsey, D. and O’Mahony, J. (2010). The effect of water level on lateral movements of fish between river and off-channel habitats and implications for management. </w:t>
      </w:r>
      <w:r w:rsidRPr="00A67C76">
        <w:rPr>
          <w:i/>
          <w:noProof/>
        </w:rPr>
        <w:t>Marine and Freshwater Research</w:t>
      </w:r>
      <w:r w:rsidRPr="00A67C76">
        <w:rPr>
          <w:noProof/>
        </w:rPr>
        <w:t xml:space="preserve"> </w:t>
      </w:r>
      <w:r w:rsidRPr="00A67C76">
        <w:rPr>
          <w:b/>
          <w:noProof/>
        </w:rPr>
        <w:t>61</w:t>
      </w:r>
      <w:r w:rsidRPr="00A67C76">
        <w:rPr>
          <w:noProof/>
        </w:rPr>
        <w:t>, 271-278.</w:t>
      </w:r>
    </w:p>
    <w:p w:rsidR="00860E0D" w:rsidRPr="00A67C76" w:rsidRDefault="00860E0D" w:rsidP="00860E0D">
      <w:pPr>
        <w:spacing w:line="240" w:lineRule="auto"/>
        <w:rPr>
          <w:noProof/>
          <w:lang w:eastAsia="en-AU"/>
        </w:rPr>
      </w:pPr>
      <w:r w:rsidRPr="00A67C76">
        <w:rPr>
          <w:noProof/>
          <w:lang w:eastAsia="en-AU"/>
        </w:rPr>
        <w:t xml:space="preserve">Lytle, D.A. and Poff, N.L. (2004). Adaptation to natural flow regimes. </w:t>
      </w:r>
      <w:r w:rsidRPr="00A67C76">
        <w:rPr>
          <w:i/>
          <w:noProof/>
          <w:lang w:eastAsia="en-AU"/>
        </w:rPr>
        <w:t xml:space="preserve">Trends in Ecology &amp; Evolution </w:t>
      </w:r>
      <w:r w:rsidRPr="00A67C76">
        <w:rPr>
          <w:b/>
          <w:noProof/>
          <w:lang w:eastAsia="en-AU"/>
        </w:rPr>
        <w:t>19</w:t>
      </w:r>
      <w:r w:rsidRPr="00A67C76">
        <w:rPr>
          <w:noProof/>
          <w:lang w:eastAsia="en-AU"/>
        </w:rPr>
        <w:t>, 94-100.</w:t>
      </w:r>
    </w:p>
    <w:p w:rsidR="00860E0D" w:rsidRPr="00A67C76" w:rsidRDefault="00860E0D" w:rsidP="00860E0D">
      <w:pPr>
        <w:spacing w:line="240" w:lineRule="auto"/>
        <w:rPr>
          <w:rFonts w:cs="Calibri"/>
        </w:rPr>
      </w:pPr>
      <w:proofErr w:type="gramStart"/>
      <w:r w:rsidRPr="00A67C76">
        <w:rPr>
          <w:rFonts w:cs="Calibri"/>
        </w:rPr>
        <w:t>McNally, R., Horrocks, G., Lada, H., Lake, P.S., Thompson, J.R. and Taylor, A.C. (2009).</w:t>
      </w:r>
      <w:proofErr w:type="gramEnd"/>
      <w:r w:rsidRPr="00A67C76">
        <w:rPr>
          <w:rFonts w:cs="Calibri"/>
        </w:rPr>
        <w:t xml:space="preserve"> Distribution of anuran amphibians in massively altered landscapes in south-eastern Australia: effects of climate change in an acidifying region. </w:t>
      </w:r>
      <w:r w:rsidRPr="00A67C76">
        <w:rPr>
          <w:rFonts w:cs="Calibri"/>
          <w:i/>
        </w:rPr>
        <w:t>Global Ecology and Biogeography</w:t>
      </w:r>
      <w:r w:rsidRPr="00A67C76">
        <w:rPr>
          <w:rFonts w:cs="Calibri"/>
        </w:rPr>
        <w:t xml:space="preserve"> </w:t>
      </w:r>
      <w:r w:rsidRPr="00A67C76">
        <w:rPr>
          <w:rFonts w:cs="Calibri"/>
          <w:b/>
        </w:rPr>
        <w:t>18</w:t>
      </w:r>
      <w:r w:rsidRPr="00A67C76">
        <w:rPr>
          <w:rFonts w:cs="Calibri"/>
        </w:rPr>
        <w:t>, 575-585.</w:t>
      </w:r>
    </w:p>
    <w:p w:rsidR="00860E0D" w:rsidRPr="00A67C76" w:rsidRDefault="00860E0D" w:rsidP="00860E0D">
      <w:pPr>
        <w:spacing w:line="240" w:lineRule="auto"/>
        <w:rPr>
          <w:rFonts w:cs="Calibri"/>
        </w:rPr>
      </w:pPr>
      <w:r w:rsidRPr="00A67C76">
        <w:rPr>
          <w:rFonts w:cs="Calibri"/>
        </w:rPr>
        <w:t xml:space="preserve">McNeil, D.G., Westergaard, S., Cheshire, K.J.M., Noell, C.J. and Ye, Q. (2013). Effects of hyper-saline conditions upon six estuarine fish species from the Coorong and Murray Mouth. </w:t>
      </w:r>
      <w:proofErr w:type="gramStart"/>
      <w:r w:rsidRPr="00A67C76">
        <w:rPr>
          <w:rFonts w:cs="Calibri"/>
        </w:rPr>
        <w:t>South Australian Research and Development Institute (Aquatic Sciences), Adelaide.</w:t>
      </w:r>
      <w:proofErr w:type="gramEnd"/>
      <w:r w:rsidRPr="00A67C76">
        <w:rPr>
          <w:rFonts w:cs="Calibri"/>
        </w:rPr>
        <w:t xml:space="preserve"> </w:t>
      </w:r>
      <w:proofErr w:type="gramStart"/>
      <w:r w:rsidRPr="00A67C76">
        <w:rPr>
          <w:rFonts w:cs="Calibri"/>
        </w:rPr>
        <w:t>SARDI Publication No.</w:t>
      </w:r>
      <w:proofErr w:type="gramEnd"/>
      <w:r w:rsidRPr="00A67C76">
        <w:rPr>
          <w:rFonts w:cs="Calibri"/>
        </w:rPr>
        <w:t xml:space="preserve"> </w:t>
      </w:r>
      <w:proofErr w:type="gramStart"/>
      <w:r w:rsidRPr="00A67C76">
        <w:rPr>
          <w:rFonts w:cs="Calibri"/>
        </w:rPr>
        <w:t>F2009/000014-4.</w:t>
      </w:r>
      <w:proofErr w:type="gramEnd"/>
      <w:r w:rsidRPr="00A67C76">
        <w:rPr>
          <w:rFonts w:cs="Calibri"/>
        </w:rPr>
        <w:t xml:space="preserve"> SARDI Research Report Series No. 700. 26pp.</w:t>
      </w:r>
    </w:p>
    <w:p w:rsidR="00860E0D" w:rsidRPr="00A67C76" w:rsidRDefault="00860E0D" w:rsidP="00860E0D">
      <w:pPr>
        <w:spacing w:line="240" w:lineRule="auto"/>
        <w:rPr>
          <w:noProof/>
        </w:rPr>
      </w:pPr>
      <w:r w:rsidRPr="00A67C76">
        <w:rPr>
          <w:noProof/>
        </w:rPr>
        <w:t xml:space="preserve">Maheshwari, B.L., Walker, K.F. and McMahon, T.A. (1995). Effects of regulation on the flow regime of the River Murray, Australia. </w:t>
      </w:r>
      <w:r w:rsidRPr="00A67C76">
        <w:rPr>
          <w:i/>
          <w:noProof/>
        </w:rPr>
        <w:t>Regulated Rivers: Research and Management</w:t>
      </w:r>
      <w:r w:rsidRPr="00A67C76">
        <w:rPr>
          <w:noProof/>
        </w:rPr>
        <w:t xml:space="preserve"> </w:t>
      </w:r>
      <w:r w:rsidRPr="00A67C76">
        <w:rPr>
          <w:b/>
          <w:noProof/>
        </w:rPr>
        <w:t>10</w:t>
      </w:r>
      <w:r w:rsidRPr="00A67C76">
        <w:rPr>
          <w:noProof/>
        </w:rPr>
        <w:t xml:space="preserve">, 15–38. </w:t>
      </w:r>
    </w:p>
    <w:p w:rsidR="00860E0D" w:rsidRPr="00A67C76" w:rsidRDefault="00860E0D" w:rsidP="00860E0D">
      <w:pPr>
        <w:spacing w:line="240" w:lineRule="auto"/>
        <w:rPr>
          <w:rStyle w:val="IntenseEmphasis"/>
          <w:i w:val="0"/>
          <w:noProof/>
          <w:szCs w:val="22"/>
        </w:rPr>
      </w:pPr>
      <w:r w:rsidRPr="00753458">
        <w:rPr>
          <w:rStyle w:val="IntenseEmphasis"/>
          <w:i w:val="0"/>
          <w:noProof/>
          <w:szCs w:val="22"/>
        </w:rPr>
        <w:t>Mallen-Cooper, M. and Stuart, I.G. (2003). Age, growth and non-flood recruitment of two potamodromous fishes in a large semi-arid/temperate river system.</w:t>
      </w:r>
      <w:r w:rsidRPr="00A67C76">
        <w:rPr>
          <w:rStyle w:val="IntenseEmphasis"/>
          <w:noProof/>
          <w:szCs w:val="22"/>
        </w:rPr>
        <w:t xml:space="preserve"> River Research and Applications </w:t>
      </w:r>
      <w:r w:rsidRPr="00753458">
        <w:rPr>
          <w:rStyle w:val="IntenseEmphasis"/>
          <w:b/>
          <w:i w:val="0"/>
          <w:noProof/>
          <w:szCs w:val="22"/>
        </w:rPr>
        <w:t>19</w:t>
      </w:r>
      <w:r w:rsidRPr="00753458">
        <w:rPr>
          <w:rStyle w:val="IntenseEmphasis"/>
          <w:i w:val="0"/>
          <w:noProof/>
          <w:szCs w:val="22"/>
        </w:rPr>
        <w:t>, 697-719.</w:t>
      </w:r>
      <w:r w:rsidRPr="00A67C76">
        <w:rPr>
          <w:rStyle w:val="IntenseEmphasis"/>
          <w:noProof/>
          <w:szCs w:val="22"/>
        </w:rPr>
        <w:t xml:space="preserve"> </w:t>
      </w:r>
    </w:p>
    <w:p w:rsidR="00860E0D" w:rsidRPr="00A67C76" w:rsidRDefault="00860E0D" w:rsidP="00860E0D">
      <w:pPr>
        <w:spacing w:line="240" w:lineRule="auto"/>
        <w:rPr>
          <w:rFonts w:cstheme="minorHAnsi"/>
          <w:noProof/>
        </w:rPr>
      </w:pPr>
      <w:r w:rsidRPr="00A67C76">
        <w:rPr>
          <w:rFonts w:cstheme="minorHAnsi"/>
          <w:noProof/>
        </w:rPr>
        <w:t>Mason, K. and Hillyard, K. (2011). Southern Bell Frog (</w:t>
      </w:r>
      <w:r w:rsidRPr="00A67C76">
        <w:rPr>
          <w:rFonts w:cstheme="minorHAnsi"/>
          <w:i/>
          <w:noProof/>
        </w:rPr>
        <w:t>Litoria raniformis</w:t>
      </w:r>
      <w:r w:rsidRPr="00A67C76">
        <w:rPr>
          <w:rFonts w:cstheme="minorHAnsi"/>
          <w:noProof/>
        </w:rPr>
        <w:t>) monitoring in the Goolwa River Murray Channel, Tributaries and Lakes Alexandrina and Albert, Murray Bridge: South Australian Murray Darling Basin Natural Resources Management Board.</w:t>
      </w:r>
    </w:p>
    <w:p w:rsidR="00860E0D" w:rsidRPr="00A67C76" w:rsidRDefault="00860E0D" w:rsidP="00860E0D">
      <w:pPr>
        <w:spacing w:line="240" w:lineRule="auto"/>
        <w:rPr>
          <w:rStyle w:val="IntenseEmphasis"/>
          <w:i w:val="0"/>
          <w:noProof/>
          <w:szCs w:val="22"/>
        </w:rPr>
      </w:pPr>
      <w:bookmarkStart w:id="216" w:name="_ENREF_4_24"/>
      <w:r w:rsidRPr="00A67C76">
        <w:rPr>
          <w:iCs/>
          <w:noProof/>
          <w:color w:val="auto"/>
        </w:rPr>
        <w:t>MDBA (2011). The living Murray annual environmental watering plan 2011–2012. MDBA Publication No. 170/11. Murray-Darling Basin Authority, Canberra.</w:t>
      </w:r>
    </w:p>
    <w:bookmarkEnd w:id="216"/>
    <w:p w:rsidR="00860E0D" w:rsidRPr="00A67C76" w:rsidRDefault="00860E0D" w:rsidP="00860E0D">
      <w:pPr>
        <w:spacing w:line="240" w:lineRule="auto"/>
        <w:rPr>
          <w:noProof/>
        </w:rPr>
      </w:pPr>
      <w:r w:rsidRPr="00A67C76">
        <w:rPr>
          <w:noProof/>
        </w:rPr>
        <w:t>MDBC (2013). Native Fish Strategy for the Murray-Darling Basin 2003-2013, MDBC Publication No. 25/04, ISBN 1 876830 61 1.</w:t>
      </w:r>
    </w:p>
    <w:p w:rsidR="00860E0D" w:rsidRPr="00A67C76" w:rsidRDefault="00860E0D" w:rsidP="00860E0D">
      <w:pPr>
        <w:spacing w:line="240" w:lineRule="auto"/>
        <w:rPr>
          <w:szCs w:val="24"/>
        </w:rPr>
      </w:pPr>
      <w:proofErr w:type="gramStart"/>
      <w:r w:rsidRPr="00A67C76">
        <w:rPr>
          <w:szCs w:val="24"/>
        </w:rPr>
        <w:t>Mosley, L.M., Zammit, B., Corkhill, E., Heneker, T.M., Hipsey, M.R., Skinner, D.S. and Aldridge, K.T. (2012).</w:t>
      </w:r>
      <w:proofErr w:type="gramEnd"/>
      <w:r w:rsidRPr="00A67C76">
        <w:rPr>
          <w:szCs w:val="24"/>
        </w:rPr>
        <w:t xml:space="preserve"> </w:t>
      </w:r>
      <w:proofErr w:type="gramStart"/>
      <w:r w:rsidRPr="00A67C76">
        <w:rPr>
          <w:szCs w:val="24"/>
        </w:rPr>
        <w:t>The impact of extreme low flows on the water quality of the lower Murray River and lakes, South Australia.</w:t>
      </w:r>
      <w:proofErr w:type="gramEnd"/>
      <w:r w:rsidRPr="00A67C76">
        <w:rPr>
          <w:szCs w:val="24"/>
        </w:rPr>
        <w:t xml:space="preserve"> </w:t>
      </w:r>
      <w:proofErr w:type="gramStart"/>
      <w:r w:rsidRPr="00A67C76">
        <w:rPr>
          <w:i/>
          <w:szCs w:val="24"/>
        </w:rPr>
        <w:t>Water Resources Management</w:t>
      </w:r>
      <w:r w:rsidRPr="00A67C76">
        <w:rPr>
          <w:szCs w:val="24"/>
        </w:rPr>
        <w:t xml:space="preserve"> </w:t>
      </w:r>
      <w:r w:rsidRPr="00A67C76">
        <w:rPr>
          <w:b/>
          <w:szCs w:val="24"/>
        </w:rPr>
        <w:t>26</w:t>
      </w:r>
      <w:r w:rsidRPr="00A67C76">
        <w:rPr>
          <w:szCs w:val="24"/>
        </w:rPr>
        <w:t>, 3923-3946.</w:t>
      </w:r>
      <w:proofErr w:type="gramEnd"/>
      <w:r w:rsidRPr="00A67C76">
        <w:rPr>
          <w:szCs w:val="24"/>
        </w:rPr>
        <w:t xml:space="preserve"> </w:t>
      </w:r>
    </w:p>
    <w:p w:rsidR="00860E0D" w:rsidRPr="00A67C76" w:rsidRDefault="00860E0D" w:rsidP="00860E0D">
      <w:pPr>
        <w:spacing w:line="240" w:lineRule="auto"/>
        <w:rPr>
          <w:szCs w:val="24"/>
        </w:rPr>
      </w:pPr>
      <w:r w:rsidRPr="00A67C76">
        <w:rPr>
          <w:szCs w:val="24"/>
        </w:rPr>
        <w:t xml:space="preserve">Nicol, J. (2005). </w:t>
      </w:r>
      <w:proofErr w:type="gramStart"/>
      <w:r w:rsidRPr="00A67C76">
        <w:rPr>
          <w:szCs w:val="24"/>
        </w:rPr>
        <w:t xml:space="preserve">The ecology of </w:t>
      </w:r>
      <w:r w:rsidRPr="00A67C76">
        <w:rPr>
          <w:i/>
          <w:szCs w:val="24"/>
        </w:rPr>
        <w:t>Ruppia</w:t>
      </w:r>
      <w:r w:rsidRPr="00A67C76">
        <w:rPr>
          <w:szCs w:val="24"/>
        </w:rPr>
        <w:t xml:space="preserve"> spp. in South Australia, with reference to the Coorong.</w:t>
      </w:r>
      <w:proofErr w:type="gramEnd"/>
      <w:r w:rsidRPr="00A67C76">
        <w:rPr>
          <w:szCs w:val="24"/>
        </w:rPr>
        <w:t xml:space="preserve">  </w:t>
      </w:r>
      <w:proofErr w:type="gramStart"/>
      <w:r w:rsidRPr="00A67C76">
        <w:rPr>
          <w:szCs w:val="24"/>
        </w:rPr>
        <w:t>A literature review.</w:t>
      </w:r>
      <w:proofErr w:type="gramEnd"/>
      <w:r w:rsidRPr="00A67C76">
        <w:rPr>
          <w:szCs w:val="24"/>
        </w:rPr>
        <w:t xml:space="preserve"> </w:t>
      </w:r>
      <w:proofErr w:type="gramStart"/>
      <w:r w:rsidRPr="00A67C76">
        <w:rPr>
          <w:szCs w:val="24"/>
        </w:rPr>
        <w:t>South Australian Research and Development Institute (Aquatic Sciences), SARDI Aquatic Sciences Publication No.</w:t>
      </w:r>
      <w:proofErr w:type="gramEnd"/>
      <w:r w:rsidRPr="00A67C76">
        <w:rPr>
          <w:szCs w:val="24"/>
        </w:rPr>
        <w:t xml:space="preserve"> RD 04/0247-2</w:t>
      </w:r>
    </w:p>
    <w:p w:rsidR="00860E0D" w:rsidRPr="00A67C76" w:rsidRDefault="00860E0D" w:rsidP="00860E0D">
      <w:pPr>
        <w:spacing w:line="240" w:lineRule="auto"/>
        <w:rPr>
          <w:noProof/>
          <w:szCs w:val="24"/>
        </w:rPr>
      </w:pPr>
      <w:r w:rsidRPr="00A67C76">
        <w:rPr>
          <w:noProof/>
          <w:szCs w:val="24"/>
        </w:rPr>
        <w:t>Nicol, J.M. (2010). Vegetation monitoring of River Murray Wetlands downstream of Lock 1. South Australian Research and Development Institute (Aquatic Sciences), F2009/000416-1, Adelaide.</w:t>
      </w:r>
    </w:p>
    <w:p w:rsidR="00860E0D" w:rsidRPr="00A67C76" w:rsidRDefault="00860E0D" w:rsidP="00860E0D">
      <w:pPr>
        <w:spacing w:line="240" w:lineRule="auto"/>
        <w:rPr>
          <w:rFonts w:cs="Arial"/>
          <w:szCs w:val="24"/>
        </w:rPr>
      </w:pPr>
      <w:r w:rsidRPr="00A67C76">
        <w:rPr>
          <w:noProof/>
          <w:szCs w:val="24"/>
        </w:rPr>
        <w:t xml:space="preserve">Nicol, J., Gehrig, S.L., Frahn, K.A. and Strawbridge, A.D. (2013). Resilience and resistance of aquatic plant communities downstream of lock 1 in the Murray River. Goyder Institute for Water Research, No. 13/5. Adelaide, South Australia. </w:t>
      </w:r>
      <w:r w:rsidRPr="00A67C76">
        <w:rPr>
          <w:rFonts w:cs="Arial"/>
          <w:szCs w:val="24"/>
        </w:rPr>
        <w:t>ISSN: 1839-2725.</w:t>
      </w:r>
    </w:p>
    <w:p w:rsidR="00860E0D" w:rsidRPr="00A67C76" w:rsidRDefault="00860E0D" w:rsidP="00860E0D">
      <w:pPr>
        <w:spacing w:line="240" w:lineRule="auto"/>
        <w:rPr>
          <w:noProof/>
          <w:szCs w:val="24"/>
        </w:rPr>
      </w:pPr>
      <w:r w:rsidRPr="00A67C76">
        <w:rPr>
          <w:noProof/>
          <w:szCs w:val="24"/>
        </w:rPr>
        <w:t>Noell, C.J., Ye, Q., Short, D., Bucater, L. and Wellman, N.R. (2009). Fish assemblages of the Murray Mouth and Coorong region, South Australia, during an extended drought period. CSIRO: Water for a Healthy Country National Research Flagship, Canberra.</w:t>
      </w:r>
    </w:p>
    <w:p w:rsidR="00860E0D" w:rsidRPr="00A67C76" w:rsidRDefault="00860E0D" w:rsidP="00860E0D">
      <w:pPr>
        <w:spacing w:line="240" w:lineRule="auto"/>
        <w:rPr>
          <w:noProof/>
        </w:rPr>
      </w:pPr>
      <w:r w:rsidRPr="00A67C76">
        <w:rPr>
          <w:noProof/>
        </w:rPr>
        <w:t xml:space="preserve">O'Rorke, R., Lavery, S. and Jeffs, A. (2012). Pcr enrichment techniques to identify the diet of predators. </w:t>
      </w:r>
      <w:r w:rsidRPr="00A67C76">
        <w:rPr>
          <w:i/>
          <w:noProof/>
        </w:rPr>
        <w:t>Molecular Ecology Resources</w:t>
      </w:r>
      <w:r w:rsidRPr="00A67C76">
        <w:rPr>
          <w:noProof/>
        </w:rPr>
        <w:t xml:space="preserve"> </w:t>
      </w:r>
      <w:r w:rsidRPr="00A67C76">
        <w:rPr>
          <w:b/>
          <w:noProof/>
        </w:rPr>
        <w:t>12</w:t>
      </w:r>
      <w:r w:rsidRPr="00A67C76">
        <w:rPr>
          <w:noProof/>
        </w:rPr>
        <w:t>, 5-17.</w:t>
      </w:r>
    </w:p>
    <w:p w:rsidR="00860E0D" w:rsidRPr="00A67C76" w:rsidRDefault="00860E0D" w:rsidP="00860E0D">
      <w:pPr>
        <w:spacing w:line="240" w:lineRule="auto"/>
        <w:rPr>
          <w:szCs w:val="24"/>
        </w:rPr>
      </w:pPr>
      <w:proofErr w:type="gramStart"/>
      <w:r w:rsidRPr="00A67C76">
        <w:rPr>
          <w:rFonts w:cs="Verdana"/>
          <w:szCs w:val="24"/>
        </w:rPr>
        <w:t>Overton, I.C., McEwan, K. and Sherrah, J.R. 2006.</w:t>
      </w:r>
      <w:proofErr w:type="gramEnd"/>
      <w:r w:rsidRPr="00A67C76">
        <w:rPr>
          <w:rFonts w:cs="Verdana"/>
          <w:szCs w:val="24"/>
        </w:rPr>
        <w:t xml:space="preserve"> </w:t>
      </w:r>
      <w:r w:rsidRPr="00A67C76">
        <w:rPr>
          <w:rFonts w:cs="Verdana"/>
          <w:i/>
          <w:iCs/>
          <w:szCs w:val="24"/>
        </w:rPr>
        <w:t xml:space="preserve">The River Murray Floodplain Inundation Model – Hume Dam to Lower Lakes </w:t>
      </w:r>
      <w:r w:rsidRPr="00A67C76">
        <w:rPr>
          <w:rFonts w:cs="Verdana"/>
          <w:szCs w:val="24"/>
        </w:rPr>
        <w:t>C SIRO Water for a Healthy Country Technical Report 2006, CSIRO, Canberra, 2006.</w:t>
      </w:r>
    </w:p>
    <w:p w:rsidR="00860E0D" w:rsidRPr="00A67C76" w:rsidRDefault="00860E0D" w:rsidP="00860E0D">
      <w:pPr>
        <w:spacing w:line="240" w:lineRule="auto"/>
        <w:rPr>
          <w:szCs w:val="24"/>
        </w:rPr>
      </w:pPr>
      <w:r w:rsidRPr="00A67C76">
        <w:rPr>
          <w:szCs w:val="24"/>
        </w:rPr>
        <w:t xml:space="preserve">Paton, D.C. (1996). </w:t>
      </w:r>
      <w:proofErr w:type="gramStart"/>
      <w:r w:rsidRPr="00A67C76">
        <w:rPr>
          <w:szCs w:val="24"/>
        </w:rPr>
        <w:t>Management of biotic resources in the Coorong.</w:t>
      </w:r>
      <w:proofErr w:type="gramEnd"/>
      <w:r w:rsidRPr="00A67C76">
        <w:rPr>
          <w:szCs w:val="24"/>
        </w:rPr>
        <w:t xml:space="preserve"> </w:t>
      </w:r>
      <w:r w:rsidRPr="00A67C76">
        <w:rPr>
          <w:i/>
          <w:szCs w:val="24"/>
        </w:rPr>
        <w:t>Xanthopus</w:t>
      </w:r>
      <w:r w:rsidRPr="00A67C76">
        <w:rPr>
          <w:szCs w:val="24"/>
        </w:rPr>
        <w:t xml:space="preserve"> </w:t>
      </w:r>
      <w:r w:rsidRPr="00A67C76">
        <w:rPr>
          <w:b/>
          <w:szCs w:val="24"/>
        </w:rPr>
        <w:t>15</w:t>
      </w:r>
      <w:r w:rsidRPr="00A67C76">
        <w:rPr>
          <w:szCs w:val="24"/>
        </w:rPr>
        <w:t>, 8-10.</w:t>
      </w:r>
    </w:p>
    <w:p w:rsidR="00860E0D" w:rsidRPr="00A67C76" w:rsidRDefault="00860E0D" w:rsidP="00860E0D">
      <w:pPr>
        <w:spacing w:line="240" w:lineRule="auto"/>
        <w:rPr>
          <w:szCs w:val="24"/>
        </w:rPr>
      </w:pPr>
      <w:r w:rsidRPr="00A67C76">
        <w:rPr>
          <w:szCs w:val="24"/>
        </w:rPr>
        <w:t xml:space="preserve">Paton, D.C. (2000). </w:t>
      </w:r>
      <w:proofErr w:type="gramStart"/>
      <w:r w:rsidRPr="00A67C76">
        <w:rPr>
          <w:szCs w:val="24"/>
        </w:rPr>
        <w:t>Monitoring aquatic resources in the southern Coorong in winter 1999.</w:t>
      </w:r>
      <w:proofErr w:type="gramEnd"/>
      <w:r w:rsidRPr="00A67C76">
        <w:rPr>
          <w:szCs w:val="24"/>
        </w:rPr>
        <w:t xml:space="preserve"> </w:t>
      </w:r>
      <w:proofErr w:type="gramStart"/>
      <w:r w:rsidRPr="00A67C76">
        <w:rPr>
          <w:szCs w:val="24"/>
        </w:rPr>
        <w:t>Department of Environment and Heritage, Mount Gambier.</w:t>
      </w:r>
      <w:proofErr w:type="gramEnd"/>
    </w:p>
    <w:p w:rsidR="00860E0D" w:rsidRPr="00A67C76" w:rsidRDefault="00860E0D" w:rsidP="00860E0D">
      <w:pPr>
        <w:spacing w:line="240" w:lineRule="auto"/>
        <w:rPr>
          <w:szCs w:val="24"/>
        </w:rPr>
      </w:pPr>
      <w:r w:rsidRPr="00A67C76">
        <w:rPr>
          <w:szCs w:val="24"/>
        </w:rPr>
        <w:t xml:space="preserve">Paton, D.C. (2001). </w:t>
      </w:r>
      <w:proofErr w:type="gramStart"/>
      <w:r w:rsidRPr="00A67C76">
        <w:rPr>
          <w:szCs w:val="24"/>
        </w:rPr>
        <w:t>Monitoring biotic resources in the Coorong, January 2001.</w:t>
      </w:r>
      <w:proofErr w:type="gramEnd"/>
      <w:r w:rsidRPr="00A67C76">
        <w:rPr>
          <w:szCs w:val="24"/>
        </w:rPr>
        <w:t xml:space="preserve"> </w:t>
      </w:r>
      <w:proofErr w:type="gramStart"/>
      <w:r w:rsidRPr="00A67C76">
        <w:rPr>
          <w:szCs w:val="24"/>
        </w:rPr>
        <w:t>The University of Adelaide, Adelaide.</w:t>
      </w:r>
      <w:proofErr w:type="gramEnd"/>
    </w:p>
    <w:p w:rsidR="00860E0D" w:rsidRPr="00A67C76" w:rsidRDefault="00860E0D" w:rsidP="00860E0D">
      <w:pPr>
        <w:spacing w:line="240" w:lineRule="auto"/>
        <w:rPr>
          <w:szCs w:val="24"/>
        </w:rPr>
      </w:pPr>
      <w:r w:rsidRPr="00A67C76">
        <w:rPr>
          <w:szCs w:val="24"/>
        </w:rPr>
        <w:t xml:space="preserve">Paton, D.C. (2002). </w:t>
      </w:r>
      <w:proofErr w:type="gramStart"/>
      <w:r w:rsidRPr="00A67C76">
        <w:rPr>
          <w:szCs w:val="24"/>
        </w:rPr>
        <w:t>Conserving the Coorong.</w:t>
      </w:r>
      <w:proofErr w:type="gramEnd"/>
      <w:r w:rsidRPr="00A67C76">
        <w:rPr>
          <w:szCs w:val="24"/>
        </w:rPr>
        <w:t xml:space="preserve"> 2002 annual report to Earthwatch. </w:t>
      </w:r>
      <w:proofErr w:type="gramStart"/>
      <w:r w:rsidRPr="00A67C76">
        <w:rPr>
          <w:szCs w:val="24"/>
        </w:rPr>
        <w:t>The University of Adelaide, Adelaide.</w:t>
      </w:r>
      <w:proofErr w:type="gramEnd"/>
    </w:p>
    <w:p w:rsidR="00860E0D" w:rsidRPr="00A67C76" w:rsidRDefault="00860E0D" w:rsidP="00860E0D">
      <w:pPr>
        <w:spacing w:line="240" w:lineRule="auto"/>
        <w:rPr>
          <w:szCs w:val="24"/>
        </w:rPr>
      </w:pPr>
      <w:r w:rsidRPr="00A67C76">
        <w:rPr>
          <w:szCs w:val="24"/>
        </w:rPr>
        <w:t xml:space="preserve">Paton, D.C. (2003). </w:t>
      </w:r>
      <w:proofErr w:type="gramStart"/>
      <w:r w:rsidRPr="00A67C76">
        <w:rPr>
          <w:szCs w:val="24"/>
        </w:rPr>
        <w:t>Conserving the Coorong.</w:t>
      </w:r>
      <w:proofErr w:type="gramEnd"/>
      <w:r w:rsidRPr="00A67C76">
        <w:rPr>
          <w:szCs w:val="24"/>
        </w:rPr>
        <w:t xml:space="preserve"> 2003 annual report to Earthwatch. </w:t>
      </w:r>
      <w:proofErr w:type="gramStart"/>
      <w:r w:rsidRPr="00A67C76">
        <w:rPr>
          <w:szCs w:val="24"/>
        </w:rPr>
        <w:t>The University of Adelaide, Adelaide.</w:t>
      </w:r>
      <w:proofErr w:type="gramEnd"/>
    </w:p>
    <w:p w:rsidR="00860E0D" w:rsidRPr="00A67C76" w:rsidRDefault="00860E0D" w:rsidP="00860E0D">
      <w:pPr>
        <w:spacing w:line="240" w:lineRule="auto"/>
        <w:rPr>
          <w:szCs w:val="24"/>
        </w:rPr>
      </w:pPr>
      <w:r w:rsidRPr="00A67C76">
        <w:rPr>
          <w:szCs w:val="24"/>
        </w:rPr>
        <w:t xml:space="preserve">Paton, D.C. (2005a). </w:t>
      </w:r>
      <w:proofErr w:type="gramStart"/>
      <w:r w:rsidRPr="00A67C76">
        <w:rPr>
          <w:szCs w:val="24"/>
        </w:rPr>
        <w:t>2005 winter monitoring of the southern Coorong.</w:t>
      </w:r>
      <w:proofErr w:type="gramEnd"/>
      <w:r w:rsidRPr="00A67C76">
        <w:rPr>
          <w:szCs w:val="24"/>
        </w:rPr>
        <w:t xml:space="preserve"> </w:t>
      </w:r>
      <w:proofErr w:type="gramStart"/>
      <w:r w:rsidRPr="00A67C76">
        <w:rPr>
          <w:szCs w:val="24"/>
        </w:rPr>
        <w:t>The University of Adelaide and South Australian Department of Water, Land and Biodiversity Conservation, Adelaide.</w:t>
      </w:r>
      <w:proofErr w:type="gramEnd"/>
    </w:p>
    <w:p w:rsidR="00860E0D" w:rsidRPr="00A67C76" w:rsidRDefault="00860E0D" w:rsidP="00860E0D">
      <w:pPr>
        <w:spacing w:line="240" w:lineRule="auto"/>
        <w:rPr>
          <w:szCs w:val="24"/>
        </w:rPr>
      </w:pPr>
      <w:r w:rsidRPr="00A67C76">
        <w:rPr>
          <w:szCs w:val="24"/>
        </w:rPr>
        <w:t xml:space="preserve">Paton, D.C. (2005b). </w:t>
      </w:r>
      <w:proofErr w:type="gramStart"/>
      <w:r w:rsidRPr="00A67C76">
        <w:rPr>
          <w:szCs w:val="24"/>
        </w:rPr>
        <w:t>Monitoring of biotic systems in the Coorong region 2004-2005.</w:t>
      </w:r>
      <w:proofErr w:type="gramEnd"/>
      <w:r w:rsidRPr="00A67C76">
        <w:rPr>
          <w:szCs w:val="24"/>
        </w:rPr>
        <w:t xml:space="preserve"> </w:t>
      </w:r>
      <w:proofErr w:type="gramStart"/>
      <w:r w:rsidRPr="00A67C76">
        <w:rPr>
          <w:szCs w:val="24"/>
        </w:rPr>
        <w:t>The University of Adelaide, Adelaide.</w:t>
      </w:r>
      <w:proofErr w:type="gramEnd"/>
    </w:p>
    <w:p w:rsidR="00860E0D" w:rsidRPr="00A67C76" w:rsidRDefault="00860E0D" w:rsidP="00860E0D">
      <w:pPr>
        <w:spacing w:line="240" w:lineRule="auto"/>
        <w:rPr>
          <w:szCs w:val="24"/>
        </w:rPr>
      </w:pPr>
      <w:proofErr w:type="gramStart"/>
      <w:r w:rsidRPr="00A67C76">
        <w:rPr>
          <w:szCs w:val="24"/>
        </w:rPr>
        <w:t>Paton, D.C., Bailey, C., Hill, B., Lewis, T. and Ziembicki, M. (2001).</w:t>
      </w:r>
      <w:proofErr w:type="gramEnd"/>
      <w:r w:rsidRPr="00A67C76">
        <w:rPr>
          <w:szCs w:val="24"/>
        </w:rPr>
        <w:t xml:space="preserve"> </w:t>
      </w:r>
      <w:proofErr w:type="gramStart"/>
      <w:r w:rsidRPr="00A67C76">
        <w:rPr>
          <w:szCs w:val="24"/>
        </w:rPr>
        <w:t>Study of the link between migratory bird numbers in the Coorong region, the composition of their mudflat habitat and the available food supply.</w:t>
      </w:r>
      <w:proofErr w:type="gramEnd"/>
      <w:r w:rsidRPr="00A67C76">
        <w:rPr>
          <w:szCs w:val="24"/>
        </w:rPr>
        <w:t xml:space="preserve"> Murray Darling Basin Commission, Canberra.</w:t>
      </w:r>
    </w:p>
    <w:p w:rsidR="00860E0D" w:rsidRPr="00A67C76" w:rsidRDefault="00860E0D" w:rsidP="00860E0D">
      <w:pPr>
        <w:spacing w:line="240" w:lineRule="auto"/>
        <w:rPr>
          <w:szCs w:val="24"/>
        </w:rPr>
      </w:pPr>
      <w:proofErr w:type="gramStart"/>
      <w:r w:rsidRPr="00A67C76">
        <w:rPr>
          <w:szCs w:val="24"/>
        </w:rPr>
        <w:t>Paton, D.C. and Rogers, D.J. (2008).</w:t>
      </w:r>
      <w:proofErr w:type="gramEnd"/>
      <w:r w:rsidRPr="00A67C76">
        <w:rPr>
          <w:szCs w:val="24"/>
        </w:rPr>
        <w:t xml:space="preserve"> </w:t>
      </w:r>
      <w:proofErr w:type="gramStart"/>
      <w:r w:rsidRPr="00A67C76">
        <w:rPr>
          <w:szCs w:val="24"/>
        </w:rPr>
        <w:t>2007 winter monitoring of the southern Coorong.</w:t>
      </w:r>
      <w:proofErr w:type="gramEnd"/>
      <w:r w:rsidRPr="00A67C76">
        <w:rPr>
          <w:szCs w:val="24"/>
        </w:rPr>
        <w:t xml:space="preserve"> School of Earth and Environmental Sciences, </w:t>
      </w:r>
      <w:proofErr w:type="gramStart"/>
      <w:r w:rsidRPr="00A67C76">
        <w:rPr>
          <w:szCs w:val="24"/>
        </w:rPr>
        <w:t>The</w:t>
      </w:r>
      <w:proofErr w:type="gramEnd"/>
      <w:r w:rsidRPr="00A67C76">
        <w:rPr>
          <w:szCs w:val="24"/>
        </w:rPr>
        <w:t xml:space="preserve"> University of Adelaide, Adelaide.</w:t>
      </w:r>
    </w:p>
    <w:p w:rsidR="00860E0D" w:rsidRPr="00A67C76" w:rsidRDefault="00860E0D" w:rsidP="00860E0D">
      <w:pPr>
        <w:spacing w:line="240" w:lineRule="auto"/>
        <w:rPr>
          <w:szCs w:val="24"/>
        </w:rPr>
      </w:pPr>
      <w:r w:rsidRPr="00A67C76">
        <w:rPr>
          <w:szCs w:val="24"/>
        </w:rPr>
        <w:t xml:space="preserve">Paton, P. (1982). </w:t>
      </w:r>
      <w:proofErr w:type="gramStart"/>
      <w:r w:rsidRPr="00A67C76">
        <w:rPr>
          <w:szCs w:val="24"/>
        </w:rPr>
        <w:t>Biota of the Coorong.</w:t>
      </w:r>
      <w:proofErr w:type="gramEnd"/>
      <w:r w:rsidRPr="00A67C76">
        <w:rPr>
          <w:szCs w:val="24"/>
        </w:rPr>
        <w:t xml:space="preserve"> </w:t>
      </w:r>
      <w:proofErr w:type="gramStart"/>
      <w:r w:rsidRPr="00A67C76">
        <w:rPr>
          <w:szCs w:val="24"/>
        </w:rPr>
        <w:t>A study for the Cardwell Buckingham Committee.</w:t>
      </w:r>
      <w:proofErr w:type="gramEnd"/>
      <w:r w:rsidRPr="00A67C76">
        <w:rPr>
          <w:szCs w:val="24"/>
        </w:rPr>
        <w:t xml:space="preserve"> </w:t>
      </w:r>
      <w:proofErr w:type="gramStart"/>
      <w:r w:rsidRPr="00A67C76">
        <w:rPr>
          <w:szCs w:val="24"/>
        </w:rPr>
        <w:t>Department of Environment and Planning, S.A.D.E.P. 55, Adelaide.</w:t>
      </w:r>
      <w:proofErr w:type="gramEnd"/>
    </w:p>
    <w:p w:rsidR="00860E0D" w:rsidRPr="00A67C76" w:rsidRDefault="00860E0D" w:rsidP="00860E0D">
      <w:pPr>
        <w:spacing w:line="240" w:lineRule="auto"/>
        <w:rPr>
          <w:noProof/>
        </w:rPr>
      </w:pPr>
      <w:bookmarkStart w:id="217" w:name="_ENREF_5_7"/>
      <w:r w:rsidRPr="00A67C76">
        <w:rPr>
          <w:noProof/>
        </w:rPr>
        <w:t xml:space="preserve">Pernthaler, J. and Posch, T. (2009). Microbial food webs. In Encyclopedia of inland waters. (Ed. GE Likens) pp. 244-251. (Academic Press Inc.). </w:t>
      </w:r>
    </w:p>
    <w:p w:rsidR="00860E0D" w:rsidRPr="00A67C76" w:rsidRDefault="00860E0D" w:rsidP="00860E0D">
      <w:pPr>
        <w:spacing w:line="240" w:lineRule="auto"/>
        <w:rPr>
          <w:rFonts w:cstheme="minorHAnsi"/>
        </w:rPr>
      </w:pPr>
      <w:proofErr w:type="gramStart"/>
      <w:r w:rsidRPr="00A67C76">
        <w:rPr>
          <w:rFonts w:cstheme="minorHAnsi"/>
        </w:rPr>
        <w:t>Piha, H., Luoto, M., Piha, M. and Merila, J. (2007).</w:t>
      </w:r>
      <w:proofErr w:type="gramEnd"/>
      <w:r w:rsidRPr="00A67C76">
        <w:rPr>
          <w:rFonts w:cstheme="minorHAnsi"/>
        </w:rPr>
        <w:t xml:space="preserve"> </w:t>
      </w:r>
      <w:proofErr w:type="gramStart"/>
      <w:r w:rsidRPr="00A67C76">
        <w:rPr>
          <w:rFonts w:cstheme="minorHAnsi"/>
        </w:rPr>
        <w:t>Anuran abundance and persistence in agricultural landscapes during a climatic extreme.</w:t>
      </w:r>
      <w:proofErr w:type="gramEnd"/>
      <w:r w:rsidRPr="00A67C76">
        <w:rPr>
          <w:rFonts w:cstheme="minorHAnsi"/>
        </w:rPr>
        <w:t xml:space="preserve"> </w:t>
      </w:r>
      <w:r w:rsidRPr="00A67C76">
        <w:rPr>
          <w:rFonts w:cstheme="minorHAnsi"/>
          <w:i/>
        </w:rPr>
        <w:t>Global Change Biology</w:t>
      </w:r>
      <w:r w:rsidRPr="00A67C76">
        <w:rPr>
          <w:rFonts w:cstheme="minorHAnsi"/>
        </w:rPr>
        <w:t xml:space="preserve"> </w:t>
      </w:r>
      <w:r w:rsidRPr="00A67C76">
        <w:rPr>
          <w:rFonts w:cstheme="minorHAnsi"/>
          <w:b/>
        </w:rPr>
        <w:t>13</w:t>
      </w:r>
      <w:r w:rsidRPr="00A67C76">
        <w:rPr>
          <w:rFonts w:cstheme="minorHAnsi"/>
        </w:rPr>
        <w:t>, 300–311.</w:t>
      </w:r>
    </w:p>
    <w:bookmarkEnd w:id="217"/>
    <w:p w:rsidR="00860E0D" w:rsidRPr="00A67C76" w:rsidRDefault="00860E0D" w:rsidP="00860E0D">
      <w:pPr>
        <w:spacing w:line="240" w:lineRule="auto"/>
        <w:rPr>
          <w:rFonts w:cstheme="minorHAnsi"/>
          <w:noProof/>
          <w:szCs w:val="24"/>
        </w:rPr>
      </w:pPr>
      <w:r w:rsidRPr="00A67C76">
        <w:rPr>
          <w:rFonts w:cstheme="minorHAnsi"/>
          <w:noProof/>
          <w:szCs w:val="24"/>
        </w:rPr>
        <w:t xml:space="preserve">Poff, N.L. and Allan, J.D. (1995). Functional organization of stream fish assemblages in relation to hydrological variability. </w:t>
      </w:r>
      <w:r w:rsidRPr="00A67C76">
        <w:rPr>
          <w:rFonts w:cstheme="minorHAnsi"/>
          <w:i/>
          <w:noProof/>
          <w:szCs w:val="24"/>
        </w:rPr>
        <w:t>Ecology</w:t>
      </w:r>
      <w:r w:rsidRPr="00A67C76">
        <w:rPr>
          <w:rFonts w:cstheme="minorHAnsi"/>
          <w:noProof/>
          <w:szCs w:val="24"/>
        </w:rPr>
        <w:t xml:space="preserve"> </w:t>
      </w:r>
      <w:r w:rsidRPr="00A67C76">
        <w:rPr>
          <w:rFonts w:cstheme="minorHAnsi"/>
          <w:b/>
          <w:noProof/>
          <w:szCs w:val="24"/>
        </w:rPr>
        <w:t>76</w:t>
      </w:r>
      <w:r w:rsidRPr="00A67C76">
        <w:rPr>
          <w:rFonts w:cstheme="minorHAnsi"/>
          <w:noProof/>
          <w:szCs w:val="24"/>
        </w:rPr>
        <w:t xml:space="preserve">, 606-627. </w:t>
      </w:r>
    </w:p>
    <w:p w:rsidR="00860E0D" w:rsidRPr="00A67C76" w:rsidRDefault="00860E0D" w:rsidP="00860E0D">
      <w:pPr>
        <w:spacing w:line="240" w:lineRule="auto"/>
        <w:rPr>
          <w:noProof/>
          <w:lang w:eastAsia="en-AU"/>
        </w:rPr>
      </w:pPr>
      <w:r w:rsidRPr="00A67C76">
        <w:rPr>
          <w:noProof/>
          <w:lang w:eastAsia="en-AU"/>
        </w:rPr>
        <w:t xml:space="preserve">Poff, N.L., Allan, J.D., Bain, M.B., Karr, J.R., Prestegaard, K.L., Richter, B.D., Sparks, R.E. and Stromberg, J.C. (1997). The natural flow regime: A paradigm for river conservation and restoration. </w:t>
      </w:r>
      <w:r w:rsidRPr="00A67C76">
        <w:rPr>
          <w:i/>
          <w:noProof/>
          <w:lang w:eastAsia="en-AU"/>
        </w:rPr>
        <w:t>BioScience</w:t>
      </w:r>
      <w:r w:rsidRPr="00A67C76">
        <w:rPr>
          <w:noProof/>
          <w:lang w:eastAsia="en-AU"/>
        </w:rPr>
        <w:t xml:space="preserve"> </w:t>
      </w:r>
      <w:r w:rsidRPr="00A67C76">
        <w:rPr>
          <w:b/>
          <w:noProof/>
          <w:lang w:eastAsia="en-AU"/>
        </w:rPr>
        <w:t>47</w:t>
      </w:r>
      <w:r w:rsidRPr="00A67C76">
        <w:rPr>
          <w:noProof/>
          <w:lang w:eastAsia="en-AU"/>
        </w:rPr>
        <w:t>, 769-784.</w:t>
      </w:r>
    </w:p>
    <w:p w:rsidR="00860E0D" w:rsidRPr="00A67C76" w:rsidRDefault="00860E0D" w:rsidP="00860E0D">
      <w:pPr>
        <w:spacing w:line="240" w:lineRule="auto"/>
        <w:rPr>
          <w:noProof/>
          <w:lang w:eastAsia="en-AU"/>
        </w:rPr>
      </w:pPr>
      <w:r w:rsidRPr="00A67C76">
        <w:rPr>
          <w:noProof/>
          <w:lang w:eastAsia="en-AU"/>
        </w:rPr>
        <w:t xml:space="preserve">Puckridge, J.T., Sheldon, F., Walker, K.F., and Boulton, A.J. (1998). Flow variability and the ecology of large rivers. </w:t>
      </w:r>
      <w:r w:rsidRPr="00A67C76">
        <w:rPr>
          <w:i/>
          <w:noProof/>
          <w:lang w:eastAsia="en-AU"/>
        </w:rPr>
        <w:t>Marine and Freshwater Research</w:t>
      </w:r>
      <w:r w:rsidRPr="00A67C76">
        <w:rPr>
          <w:noProof/>
          <w:lang w:eastAsia="en-AU"/>
        </w:rPr>
        <w:t xml:space="preserve"> </w:t>
      </w:r>
      <w:r w:rsidRPr="00A67C76">
        <w:rPr>
          <w:b/>
          <w:noProof/>
          <w:lang w:eastAsia="en-AU"/>
        </w:rPr>
        <w:t>49</w:t>
      </w:r>
      <w:r w:rsidRPr="00A67C76">
        <w:rPr>
          <w:noProof/>
          <w:lang w:eastAsia="en-AU"/>
        </w:rPr>
        <w:t>, 55-72.</w:t>
      </w:r>
    </w:p>
    <w:p w:rsidR="00860E0D" w:rsidRPr="00A67C76" w:rsidRDefault="00860E0D" w:rsidP="00860E0D">
      <w:pPr>
        <w:spacing w:line="240" w:lineRule="auto"/>
        <w:rPr>
          <w:rFonts w:cstheme="minorHAnsi"/>
        </w:rPr>
      </w:pPr>
      <w:proofErr w:type="gramStart"/>
      <w:r w:rsidRPr="00A67C76">
        <w:rPr>
          <w:rFonts w:cstheme="minorHAnsi"/>
        </w:rPr>
        <w:t>Pyke, G.H., White, A.W., Bishop, P.J. and Waldman, B. (2002).</w:t>
      </w:r>
      <w:proofErr w:type="gramEnd"/>
      <w:r w:rsidRPr="00A67C76">
        <w:rPr>
          <w:rFonts w:cstheme="minorHAnsi"/>
        </w:rPr>
        <w:t xml:space="preserve"> </w:t>
      </w:r>
      <w:proofErr w:type="gramStart"/>
      <w:r w:rsidRPr="00A67C76">
        <w:rPr>
          <w:rFonts w:cstheme="minorHAnsi"/>
        </w:rPr>
        <w:t xml:space="preserve">Habitat-use by the green and golden bell frog </w:t>
      </w:r>
      <w:r w:rsidRPr="00A67C76">
        <w:rPr>
          <w:rFonts w:cstheme="minorHAnsi"/>
          <w:i/>
        </w:rPr>
        <w:t>Litoria aurea</w:t>
      </w:r>
      <w:r w:rsidRPr="00A67C76">
        <w:rPr>
          <w:rFonts w:cstheme="minorHAnsi"/>
        </w:rPr>
        <w:t xml:space="preserve"> in Australia and New Zealand.</w:t>
      </w:r>
      <w:proofErr w:type="gramEnd"/>
      <w:r w:rsidRPr="00A67C76">
        <w:rPr>
          <w:rFonts w:cstheme="minorHAnsi"/>
        </w:rPr>
        <w:t xml:space="preserve"> </w:t>
      </w:r>
      <w:r w:rsidRPr="00A67C76">
        <w:rPr>
          <w:rFonts w:cstheme="minorHAnsi"/>
          <w:i/>
          <w:iCs/>
        </w:rPr>
        <w:t>Australian Zoologist</w:t>
      </w:r>
      <w:r w:rsidRPr="00A67C76">
        <w:rPr>
          <w:rFonts w:cstheme="minorHAnsi"/>
        </w:rPr>
        <w:t xml:space="preserve"> </w:t>
      </w:r>
      <w:r w:rsidRPr="00A67C76">
        <w:rPr>
          <w:rFonts w:cstheme="minorHAnsi"/>
          <w:b/>
        </w:rPr>
        <w:t>32</w:t>
      </w:r>
      <w:r w:rsidRPr="00A67C76">
        <w:rPr>
          <w:rFonts w:cstheme="minorHAnsi"/>
        </w:rPr>
        <w:t>, 12-31.</w:t>
      </w:r>
    </w:p>
    <w:p w:rsidR="00860E0D" w:rsidRPr="00A67C76" w:rsidRDefault="00860E0D" w:rsidP="00860E0D">
      <w:pPr>
        <w:spacing w:line="240" w:lineRule="auto"/>
      </w:pPr>
      <w:proofErr w:type="gramStart"/>
      <w:r w:rsidRPr="00A67C76">
        <w:t>Quast, C., Pruesse, E., Yilmaz, P., Gerken, J., Schweer, T., Yarza, P., Peplies J. and Glockner, F.O. (2012).</w:t>
      </w:r>
      <w:proofErr w:type="gramEnd"/>
      <w:r w:rsidRPr="00A67C76">
        <w:t xml:space="preserve"> The SILVA ribosomal RNA gene database project: improved data processing and web-based tools. </w:t>
      </w:r>
      <w:r w:rsidRPr="00A67C76">
        <w:rPr>
          <w:i/>
        </w:rPr>
        <w:t>Nucleic Acids Research</w:t>
      </w:r>
      <w:r w:rsidRPr="00A67C76">
        <w:t xml:space="preserve"> </w:t>
      </w:r>
      <w:r w:rsidRPr="00A67C76">
        <w:rPr>
          <w:b/>
        </w:rPr>
        <w:t>41</w:t>
      </w:r>
      <w:r w:rsidRPr="00A67C76">
        <w:t>, 590-596.</w:t>
      </w:r>
    </w:p>
    <w:p w:rsidR="00860E0D" w:rsidRPr="00A67C76" w:rsidRDefault="00860E0D" w:rsidP="00860E0D">
      <w:pPr>
        <w:spacing w:line="240" w:lineRule="auto"/>
        <w:rPr>
          <w:noProof/>
        </w:rPr>
      </w:pPr>
      <w:r w:rsidRPr="00A67C76">
        <w:rPr>
          <w:noProof/>
        </w:rPr>
        <w:t xml:space="preserve">Richter, B.D., Baumgartner, J.V., Powell, J. and Braun, D.P. (1996). A method for assessing hydrologic alteration within ecosystems. </w:t>
      </w:r>
      <w:r w:rsidRPr="00A67C76">
        <w:rPr>
          <w:i/>
          <w:noProof/>
        </w:rPr>
        <w:t>Conservation Biology</w:t>
      </w:r>
      <w:r w:rsidRPr="00A67C76">
        <w:rPr>
          <w:noProof/>
        </w:rPr>
        <w:t xml:space="preserve"> </w:t>
      </w:r>
      <w:r w:rsidRPr="00A67C76">
        <w:rPr>
          <w:b/>
          <w:noProof/>
        </w:rPr>
        <w:t>10</w:t>
      </w:r>
      <w:r w:rsidRPr="00A67C76">
        <w:rPr>
          <w:noProof/>
        </w:rPr>
        <w:t>, 1163-1174.</w:t>
      </w:r>
    </w:p>
    <w:p w:rsidR="00860E0D" w:rsidRPr="00A67C76" w:rsidRDefault="00860E0D" w:rsidP="00860E0D">
      <w:pPr>
        <w:spacing w:line="240" w:lineRule="auto"/>
        <w:rPr>
          <w:noProof/>
        </w:rPr>
      </w:pPr>
      <w:bookmarkStart w:id="218" w:name="_ENREF_5_8"/>
      <w:r w:rsidRPr="00A67C76">
        <w:rPr>
          <w:noProof/>
        </w:rPr>
        <w:t xml:space="preserve">Schmid-Araya, J.M. and Schmid, P.E. (2000). Trophic relationships: Integrating meiofauna into a realistic benthic food web. </w:t>
      </w:r>
      <w:r w:rsidRPr="00A67C76">
        <w:rPr>
          <w:i/>
          <w:noProof/>
        </w:rPr>
        <w:t>Freshwater Biology</w:t>
      </w:r>
      <w:r w:rsidRPr="00A67C76">
        <w:rPr>
          <w:noProof/>
        </w:rPr>
        <w:t xml:space="preserve"> </w:t>
      </w:r>
      <w:r w:rsidRPr="00A67C76">
        <w:rPr>
          <w:b/>
          <w:noProof/>
        </w:rPr>
        <w:t>44</w:t>
      </w:r>
      <w:r w:rsidRPr="00A67C76">
        <w:rPr>
          <w:noProof/>
        </w:rPr>
        <w:t>, 149-163.</w:t>
      </w:r>
    </w:p>
    <w:bookmarkEnd w:id="218"/>
    <w:p w:rsidR="00860E0D" w:rsidRPr="00A67C76" w:rsidRDefault="00860E0D" w:rsidP="00860E0D">
      <w:pPr>
        <w:spacing w:line="240" w:lineRule="auto"/>
      </w:pPr>
      <w:r w:rsidRPr="00A67C76">
        <w:t xml:space="preserve">Schultz, M.A. (2006) Distribution and detectability of the Golden Bell Frog </w:t>
      </w:r>
      <w:r w:rsidRPr="00A67C76">
        <w:rPr>
          <w:i/>
        </w:rPr>
        <w:t>Litoria raniformis</w:t>
      </w:r>
      <w:r w:rsidRPr="00A67C76">
        <w:t xml:space="preserve"> in the South Australian River Murray Corridor: Implications for Conservation and Management. </w:t>
      </w:r>
      <w:proofErr w:type="gramStart"/>
      <w:r w:rsidRPr="00A67C76">
        <w:t>Department for Environment and Heritage Adelaide, South Australia.</w:t>
      </w:r>
      <w:proofErr w:type="gramEnd"/>
      <w:r w:rsidRPr="00A67C76">
        <w:t xml:space="preserve"> Report to South Australian Murray Darling Basin Natural Resources Management Board. </w:t>
      </w:r>
    </w:p>
    <w:p w:rsidR="00860E0D" w:rsidRPr="00A67C76" w:rsidRDefault="00860E0D" w:rsidP="00860E0D">
      <w:pPr>
        <w:spacing w:line="240" w:lineRule="auto"/>
      </w:pPr>
      <w:r w:rsidRPr="00A67C76">
        <w:t xml:space="preserve">Shiel, R.J. (1985). </w:t>
      </w:r>
      <w:proofErr w:type="gramStart"/>
      <w:r w:rsidRPr="00A67C76">
        <w:t>Zooplankton of the Darling River system, Australia.</w:t>
      </w:r>
      <w:proofErr w:type="gramEnd"/>
      <w:r w:rsidRPr="00A67C76">
        <w:t xml:space="preserve"> </w:t>
      </w:r>
      <w:r w:rsidRPr="00A67C76">
        <w:rPr>
          <w:i/>
        </w:rPr>
        <w:t xml:space="preserve">Internationale Vereinigung für Theoretische und Angewandte Limnologie: Verhandlungen </w:t>
      </w:r>
      <w:r w:rsidRPr="00A67C76">
        <w:rPr>
          <w:b/>
        </w:rPr>
        <w:t>22</w:t>
      </w:r>
      <w:r w:rsidRPr="00A67C76">
        <w:t xml:space="preserve">, 2136-2140. </w:t>
      </w:r>
    </w:p>
    <w:p w:rsidR="00860E0D" w:rsidRPr="00A67C76" w:rsidRDefault="00860E0D" w:rsidP="00860E0D">
      <w:pPr>
        <w:spacing w:line="240" w:lineRule="auto"/>
        <w:rPr>
          <w:rStyle w:val="IntenseEmphasis"/>
          <w:i w:val="0"/>
          <w:noProof/>
          <w:szCs w:val="22"/>
        </w:rPr>
      </w:pPr>
      <w:bookmarkStart w:id="219" w:name="_ENREF_4_28"/>
      <w:r w:rsidRPr="00753458">
        <w:rPr>
          <w:rStyle w:val="IntenseEmphasis"/>
          <w:i w:val="0"/>
          <w:noProof/>
          <w:szCs w:val="22"/>
        </w:rPr>
        <w:t xml:space="preserve">Shiel, R.J., Walker , K.F. and Williams, W.D. (1982). Plankton of the lower River Murray, South Australia. </w:t>
      </w:r>
      <w:r w:rsidRPr="00A67C76">
        <w:rPr>
          <w:rStyle w:val="IntenseEmphasis"/>
          <w:noProof/>
          <w:szCs w:val="22"/>
        </w:rPr>
        <w:t xml:space="preserve">Australian Journal of Marine and Freshwater Research </w:t>
      </w:r>
      <w:r w:rsidRPr="00753458">
        <w:rPr>
          <w:rStyle w:val="IntenseEmphasis"/>
          <w:b/>
          <w:i w:val="0"/>
          <w:noProof/>
          <w:szCs w:val="22"/>
        </w:rPr>
        <w:t>33</w:t>
      </w:r>
      <w:r w:rsidRPr="00753458">
        <w:rPr>
          <w:rStyle w:val="IntenseEmphasis"/>
          <w:i w:val="0"/>
          <w:noProof/>
          <w:szCs w:val="22"/>
        </w:rPr>
        <w:t>, 301-327.</w:t>
      </w:r>
      <w:r w:rsidRPr="00A67C76">
        <w:rPr>
          <w:rStyle w:val="IntenseEmphasis"/>
          <w:noProof/>
          <w:szCs w:val="22"/>
        </w:rPr>
        <w:t xml:space="preserve"> </w:t>
      </w:r>
    </w:p>
    <w:bookmarkEnd w:id="219"/>
    <w:p w:rsidR="00860E0D" w:rsidRPr="00A67C76" w:rsidRDefault="00860E0D" w:rsidP="00860E0D">
      <w:pPr>
        <w:spacing w:line="240" w:lineRule="auto"/>
        <w:rPr>
          <w:rFonts w:eastAsia="Arial Unicode MS" w:cs="Arial"/>
          <w:bCs/>
          <w:lang w:eastAsia="en-AU"/>
        </w:rPr>
      </w:pPr>
      <w:proofErr w:type="gramStart"/>
      <w:r w:rsidRPr="00A67C76">
        <w:rPr>
          <w:rFonts w:eastAsia="Arial Unicode MS" w:cs="Arial"/>
          <w:bCs/>
          <w:lang w:eastAsia="en-AU"/>
        </w:rPr>
        <w:t>Smith, B.B. and Walker, K.F. (2004).</w:t>
      </w:r>
      <w:proofErr w:type="gramEnd"/>
      <w:r w:rsidRPr="00A67C76">
        <w:rPr>
          <w:rFonts w:eastAsia="Arial Unicode MS" w:cs="Arial"/>
          <w:bCs/>
          <w:lang w:eastAsia="en-AU"/>
        </w:rPr>
        <w:t xml:space="preserve"> </w:t>
      </w:r>
      <w:proofErr w:type="gramStart"/>
      <w:r w:rsidRPr="00A67C76">
        <w:rPr>
          <w:rFonts w:eastAsia="Arial Unicode MS" w:cs="Arial"/>
          <w:bCs/>
          <w:lang w:eastAsia="en-AU"/>
        </w:rPr>
        <w:t>Reproduction of common carp in South Australia, shown by young-of-the-year samples, gonadosomatic index and the histological staging of ovaries.</w:t>
      </w:r>
      <w:proofErr w:type="gramEnd"/>
      <w:r w:rsidRPr="00A67C76">
        <w:rPr>
          <w:rFonts w:eastAsia="Arial Unicode MS" w:cs="Arial"/>
          <w:bCs/>
          <w:lang w:eastAsia="en-AU"/>
        </w:rPr>
        <w:t xml:space="preserve"> </w:t>
      </w:r>
      <w:r w:rsidRPr="00A67C76">
        <w:rPr>
          <w:rFonts w:eastAsia="Arial Unicode MS" w:cs="Arial"/>
          <w:bCs/>
          <w:i/>
          <w:lang w:eastAsia="en-AU"/>
        </w:rPr>
        <w:t>Transactions of the Royal Society of South Australia</w:t>
      </w:r>
      <w:r w:rsidRPr="00A67C76">
        <w:rPr>
          <w:rFonts w:eastAsia="Arial Unicode MS" w:cs="Arial"/>
          <w:bCs/>
          <w:lang w:eastAsia="en-AU"/>
        </w:rPr>
        <w:t xml:space="preserve"> </w:t>
      </w:r>
      <w:r w:rsidRPr="00A67C76">
        <w:rPr>
          <w:rFonts w:eastAsia="Arial Unicode MS" w:cs="Arial"/>
          <w:b/>
          <w:bCs/>
          <w:lang w:eastAsia="en-AU"/>
        </w:rPr>
        <w:t>128</w:t>
      </w:r>
      <w:r w:rsidRPr="00A67C76">
        <w:rPr>
          <w:rFonts w:eastAsia="Arial Unicode MS" w:cs="Arial"/>
          <w:bCs/>
          <w:lang w:eastAsia="en-AU"/>
        </w:rPr>
        <w:t>, 249-257.</w:t>
      </w:r>
    </w:p>
    <w:p w:rsidR="00860E0D" w:rsidRPr="00A67C76" w:rsidRDefault="00860E0D" w:rsidP="00860E0D">
      <w:pPr>
        <w:spacing w:line="240" w:lineRule="auto"/>
        <w:rPr>
          <w:rFonts w:cstheme="minorHAnsi"/>
          <w:noProof/>
          <w:szCs w:val="24"/>
        </w:rPr>
      </w:pPr>
      <w:r w:rsidRPr="00A67C76">
        <w:rPr>
          <w:rFonts w:cstheme="minorHAnsi"/>
          <w:noProof/>
          <w:szCs w:val="24"/>
        </w:rPr>
        <w:t xml:space="preserve">Sparks, R.E., Nelson, J.C. and Yin, Y. (1998). Naturalization of the flood regime in regulated rivers. </w:t>
      </w:r>
      <w:r w:rsidRPr="00A67C76">
        <w:rPr>
          <w:rFonts w:cstheme="minorHAnsi"/>
          <w:i/>
          <w:noProof/>
          <w:szCs w:val="24"/>
        </w:rPr>
        <w:t>Bioscience</w:t>
      </w:r>
      <w:r w:rsidRPr="00A67C76">
        <w:rPr>
          <w:rFonts w:cstheme="minorHAnsi"/>
          <w:noProof/>
          <w:szCs w:val="24"/>
        </w:rPr>
        <w:t xml:space="preserve"> </w:t>
      </w:r>
      <w:r w:rsidRPr="00A67C76">
        <w:rPr>
          <w:rFonts w:cstheme="minorHAnsi"/>
          <w:b/>
          <w:noProof/>
          <w:szCs w:val="24"/>
        </w:rPr>
        <w:t>48</w:t>
      </w:r>
      <w:r w:rsidRPr="00A67C76">
        <w:rPr>
          <w:rFonts w:cstheme="minorHAnsi"/>
          <w:noProof/>
          <w:szCs w:val="24"/>
        </w:rPr>
        <w:t xml:space="preserve">, 706-720. </w:t>
      </w:r>
    </w:p>
    <w:p w:rsidR="00860E0D" w:rsidRPr="00A67C76" w:rsidRDefault="00860E0D" w:rsidP="00860E0D">
      <w:pPr>
        <w:spacing w:line="240" w:lineRule="auto"/>
        <w:rPr>
          <w:noProof/>
          <w:lang w:eastAsia="en-AU"/>
        </w:rPr>
      </w:pPr>
      <w:r w:rsidRPr="00A67C76">
        <w:rPr>
          <w:noProof/>
          <w:lang w:eastAsia="en-AU"/>
        </w:rPr>
        <w:t>Stuart, I.G. and Jones, M. (2006). Large, regulated forest floodplain is an ideal recruitment zone for non-native common carp (</w:t>
      </w:r>
      <w:r w:rsidRPr="00A67C76">
        <w:rPr>
          <w:i/>
          <w:noProof/>
          <w:lang w:eastAsia="en-AU"/>
        </w:rPr>
        <w:t>Cyprinus carpio</w:t>
      </w:r>
      <w:r w:rsidRPr="00A67C76">
        <w:rPr>
          <w:noProof/>
          <w:lang w:eastAsia="en-AU"/>
        </w:rPr>
        <w:t xml:space="preserve"> L.). </w:t>
      </w:r>
      <w:r w:rsidRPr="00A67C76">
        <w:rPr>
          <w:i/>
          <w:noProof/>
          <w:lang w:eastAsia="en-AU"/>
        </w:rPr>
        <w:t>Marine and Freshwater Research</w:t>
      </w:r>
      <w:r w:rsidRPr="00A67C76">
        <w:rPr>
          <w:noProof/>
          <w:lang w:eastAsia="en-AU"/>
        </w:rPr>
        <w:t xml:space="preserve"> </w:t>
      </w:r>
      <w:r w:rsidRPr="00A67C76">
        <w:rPr>
          <w:b/>
          <w:noProof/>
          <w:lang w:eastAsia="en-AU"/>
        </w:rPr>
        <w:t>57</w:t>
      </w:r>
      <w:r w:rsidRPr="00A67C76">
        <w:rPr>
          <w:noProof/>
          <w:lang w:eastAsia="en-AU"/>
        </w:rPr>
        <w:t>, 337-347.</w:t>
      </w:r>
    </w:p>
    <w:p w:rsidR="00860E0D" w:rsidRPr="00A67C76" w:rsidRDefault="00860E0D" w:rsidP="00860E0D">
      <w:pPr>
        <w:spacing w:line="240" w:lineRule="auto"/>
        <w:rPr>
          <w:noProof/>
          <w:lang w:eastAsia="en-AU"/>
        </w:rPr>
      </w:pPr>
      <w:proofErr w:type="gramStart"/>
      <w:r w:rsidRPr="00A67C76">
        <w:rPr>
          <w:rFonts w:eastAsia="Calibri" w:cstheme="minorHAnsi"/>
        </w:rPr>
        <w:t>Tarr, T.L. and Babbitt, K.J. (2002).</w:t>
      </w:r>
      <w:proofErr w:type="gramEnd"/>
      <w:r w:rsidRPr="00A67C76">
        <w:rPr>
          <w:rFonts w:eastAsia="Calibri" w:cstheme="minorHAnsi"/>
        </w:rPr>
        <w:t xml:space="preserve"> </w:t>
      </w:r>
      <w:proofErr w:type="gramStart"/>
      <w:r w:rsidRPr="00A67C76">
        <w:rPr>
          <w:rFonts w:eastAsia="Calibri" w:cstheme="minorHAnsi"/>
        </w:rPr>
        <w:t xml:space="preserve">Effects of habitat complexity and predator identity on predation of </w:t>
      </w:r>
      <w:r w:rsidRPr="00A67C76">
        <w:rPr>
          <w:rFonts w:eastAsia="Calibri" w:cstheme="minorHAnsi"/>
          <w:i/>
        </w:rPr>
        <w:t>Rana clamitans</w:t>
      </w:r>
      <w:r w:rsidRPr="00A67C76">
        <w:rPr>
          <w:rFonts w:eastAsia="Calibri" w:cstheme="minorHAnsi"/>
        </w:rPr>
        <w:t xml:space="preserve"> larvae.</w:t>
      </w:r>
      <w:proofErr w:type="gramEnd"/>
      <w:r w:rsidRPr="00A67C76">
        <w:rPr>
          <w:rFonts w:eastAsia="Calibri" w:cstheme="minorHAnsi"/>
        </w:rPr>
        <w:t xml:space="preserve"> </w:t>
      </w:r>
      <w:r w:rsidRPr="00A67C76">
        <w:rPr>
          <w:rFonts w:eastAsia="Calibri" w:cstheme="minorHAnsi"/>
          <w:i/>
        </w:rPr>
        <w:t>Amphibia Reptilia</w:t>
      </w:r>
      <w:r w:rsidRPr="00A67C76">
        <w:rPr>
          <w:rFonts w:eastAsia="Calibri" w:cstheme="minorHAnsi"/>
        </w:rPr>
        <w:t xml:space="preserve"> </w:t>
      </w:r>
      <w:r w:rsidRPr="00A67C76">
        <w:rPr>
          <w:rFonts w:eastAsia="Calibri" w:cstheme="minorHAnsi"/>
          <w:b/>
        </w:rPr>
        <w:t>23</w:t>
      </w:r>
      <w:r w:rsidRPr="00A67C76">
        <w:rPr>
          <w:rFonts w:eastAsia="Calibri" w:cstheme="minorHAnsi"/>
        </w:rPr>
        <w:t xml:space="preserve">, 13 – 20. </w:t>
      </w:r>
    </w:p>
    <w:p w:rsidR="00860E0D" w:rsidRPr="00A67C76" w:rsidRDefault="00860E0D" w:rsidP="00860E0D">
      <w:pPr>
        <w:spacing w:line="240" w:lineRule="auto"/>
        <w:rPr>
          <w:noProof/>
        </w:rPr>
      </w:pPr>
      <w:bookmarkStart w:id="220" w:name="_ENREF_4_29"/>
      <w:bookmarkStart w:id="221" w:name="_ENREF_5_9"/>
      <w:r w:rsidRPr="00A67C76">
        <w:rPr>
          <w:noProof/>
        </w:rPr>
        <w:t xml:space="preserve">Terahara, T., Chow, S., Kurogi, H., Lee, S.H., Tsukamoto, K., Mochioka, N., Tanaka, H. and Takeyama, H. (2011). Efficiency of peptide nucleic acid-directed pcr clamping and its application in the investigation of natural diets of the japanese eel </w:t>
      </w:r>
      <w:r w:rsidRPr="00A67C76">
        <w:rPr>
          <w:i/>
          <w:noProof/>
        </w:rPr>
        <w:t>Leptocephali</w:t>
      </w:r>
      <w:r w:rsidRPr="00A67C76">
        <w:rPr>
          <w:noProof/>
        </w:rPr>
        <w:t xml:space="preserve">. </w:t>
      </w:r>
      <w:r w:rsidRPr="00A67C76">
        <w:rPr>
          <w:i/>
          <w:noProof/>
        </w:rPr>
        <w:t>PLoS ONE</w:t>
      </w:r>
      <w:r w:rsidRPr="00A67C76">
        <w:rPr>
          <w:noProof/>
        </w:rPr>
        <w:t xml:space="preserve"> </w:t>
      </w:r>
      <w:r w:rsidRPr="00A67C76">
        <w:rPr>
          <w:b/>
          <w:noProof/>
        </w:rPr>
        <w:t>6</w:t>
      </w:r>
      <w:r w:rsidRPr="00A67C76">
        <w:rPr>
          <w:noProof/>
        </w:rPr>
        <w:t>. (DOI: 10.1371/journal.pone.0025715).</w:t>
      </w:r>
    </w:p>
    <w:bookmarkEnd w:id="220"/>
    <w:bookmarkEnd w:id="221"/>
    <w:p w:rsidR="00860E0D" w:rsidRPr="00A67C76" w:rsidRDefault="00860E0D" w:rsidP="00860E0D">
      <w:pPr>
        <w:spacing w:line="240" w:lineRule="auto"/>
      </w:pPr>
      <w:proofErr w:type="gramStart"/>
      <w:r w:rsidRPr="00A67C76">
        <w:t>Thompson, K. and Grime, J.P. (1979).</w:t>
      </w:r>
      <w:proofErr w:type="gramEnd"/>
      <w:r w:rsidRPr="00A67C76">
        <w:t xml:space="preserve"> Seasonal variation in the seed banks of herbaceous species in ten contrasting habitats. </w:t>
      </w:r>
      <w:r w:rsidRPr="00A67C76">
        <w:rPr>
          <w:i/>
        </w:rPr>
        <w:t>Journal of Ecology</w:t>
      </w:r>
      <w:r w:rsidRPr="00A67C76">
        <w:t xml:space="preserve"> </w:t>
      </w:r>
      <w:r w:rsidRPr="00A67C76">
        <w:rPr>
          <w:b/>
        </w:rPr>
        <w:t>67</w:t>
      </w:r>
      <w:r w:rsidRPr="00A67C76">
        <w:t>, 893-921.</w:t>
      </w:r>
    </w:p>
    <w:p w:rsidR="00860E0D" w:rsidRPr="00A67C76" w:rsidRDefault="00860E0D" w:rsidP="00860E0D">
      <w:pPr>
        <w:spacing w:line="240" w:lineRule="auto"/>
        <w:rPr>
          <w:rFonts w:cs="Arial"/>
        </w:rPr>
      </w:pPr>
      <w:r w:rsidRPr="00A67C76">
        <w:rPr>
          <w:rFonts w:cs="Arial"/>
        </w:rPr>
        <w:t xml:space="preserve">Tocher, D.R. (2010). </w:t>
      </w:r>
      <w:proofErr w:type="gramStart"/>
      <w:r w:rsidRPr="00A67C76">
        <w:rPr>
          <w:rFonts w:cs="Arial"/>
        </w:rPr>
        <w:t>Fatty acid requirements in ontogeny of marine and freshwater fish.</w:t>
      </w:r>
      <w:proofErr w:type="gramEnd"/>
      <w:r w:rsidRPr="00A67C76">
        <w:rPr>
          <w:rFonts w:cs="Arial"/>
        </w:rPr>
        <w:t xml:space="preserve"> </w:t>
      </w:r>
      <w:r w:rsidRPr="00A67C76">
        <w:rPr>
          <w:rFonts w:cs="Arial"/>
          <w:i/>
        </w:rPr>
        <w:t>Aquaculture Research</w:t>
      </w:r>
      <w:r w:rsidRPr="00A67C76">
        <w:rPr>
          <w:rFonts w:cs="Arial"/>
        </w:rPr>
        <w:t xml:space="preserve"> </w:t>
      </w:r>
      <w:r w:rsidRPr="00A67C76">
        <w:rPr>
          <w:rFonts w:cs="Arial"/>
          <w:b/>
        </w:rPr>
        <w:t>41</w:t>
      </w:r>
      <w:r w:rsidRPr="00A67C76">
        <w:rPr>
          <w:rFonts w:cs="Arial"/>
        </w:rPr>
        <w:t xml:space="preserve">, 717-732. </w:t>
      </w:r>
    </w:p>
    <w:p w:rsidR="00860E0D" w:rsidRPr="00A67C76" w:rsidRDefault="00860E0D" w:rsidP="00860E0D">
      <w:pPr>
        <w:spacing w:line="240" w:lineRule="auto"/>
        <w:rPr>
          <w:b/>
          <w:noProof/>
        </w:rPr>
      </w:pPr>
      <w:proofErr w:type="gramStart"/>
      <w:r w:rsidRPr="00A67C76">
        <w:rPr>
          <w:rFonts w:cs="Arial"/>
        </w:rPr>
        <w:t>Tocher, D.R., Bendiksen, E.A., Campbell, P.J. and Bell, J.G. (2008).</w:t>
      </w:r>
      <w:proofErr w:type="gramEnd"/>
      <w:r w:rsidRPr="00A67C76">
        <w:rPr>
          <w:rFonts w:cs="Arial"/>
        </w:rPr>
        <w:t xml:space="preserve"> </w:t>
      </w:r>
      <w:proofErr w:type="gramStart"/>
      <w:r w:rsidRPr="00A67C76">
        <w:rPr>
          <w:rFonts w:cs="Arial"/>
        </w:rPr>
        <w:t>The role of phospholipids in nutrition and metabolism of teleosts fish.</w:t>
      </w:r>
      <w:proofErr w:type="gramEnd"/>
      <w:r w:rsidRPr="00A67C76">
        <w:rPr>
          <w:rFonts w:cs="Arial"/>
        </w:rPr>
        <w:t xml:space="preserve"> </w:t>
      </w:r>
      <w:r w:rsidRPr="00A67C76">
        <w:rPr>
          <w:rFonts w:cs="Arial"/>
          <w:i/>
        </w:rPr>
        <w:t>Aquaculture</w:t>
      </w:r>
      <w:r w:rsidRPr="00A67C76">
        <w:rPr>
          <w:rFonts w:cs="Arial"/>
        </w:rPr>
        <w:t xml:space="preserve"> </w:t>
      </w:r>
      <w:r w:rsidRPr="00A67C76">
        <w:rPr>
          <w:rFonts w:cs="Arial"/>
          <w:b/>
        </w:rPr>
        <w:t>280</w:t>
      </w:r>
      <w:r w:rsidRPr="00A67C76">
        <w:rPr>
          <w:rFonts w:cs="Arial"/>
        </w:rPr>
        <w:t>, 21-34</w:t>
      </w:r>
    </w:p>
    <w:p w:rsidR="00860E0D" w:rsidRPr="00A67C76" w:rsidRDefault="00860E0D" w:rsidP="00860E0D">
      <w:pPr>
        <w:spacing w:line="240" w:lineRule="auto"/>
        <w:rPr>
          <w:noProof/>
        </w:rPr>
      </w:pPr>
      <w:r w:rsidRPr="00A67C76">
        <w:rPr>
          <w:noProof/>
        </w:rPr>
        <w:t xml:space="preserve">Tockner, K., and Stanford, J.A. (2002). Riverine flood plains: present state and future trends. </w:t>
      </w:r>
      <w:r w:rsidRPr="00A67C76">
        <w:rPr>
          <w:i/>
          <w:noProof/>
        </w:rPr>
        <w:t>Environmental Conservation</w:t>
      </w:r>
      <w:r w:rsidRPr="00A67C76">
        <w:rPr>
          <w:noProof/>
        </w:rPr>
        <w:t xml:space="preserve"> </w:t>
      </w:r>
      <w:r w:rsidRPr="00A67C76">
        <w:rPr>
          <w:b/>
          <w:noProof/>
        </w:rPr>
        <w:t>29</w:t>
      </w:r>
      <w:r w:rsidRPr="00A67C76">
        <w:rPr>
          <w:noProof/>
        </w:rPr>
        <w:t>, 308-330.</w:t>
      </w:r>
    </w:p>
    <w:p w:rsidR="00C957FC" w:rsidRDefault="00C957FC" w:rsidP="00860E0D">
      <w:pPr>
        <w:spacing w:line="240" w:lineRule="auto"/>
        <w:rPr>
          <w:rStyle w:val="IntenseEmphasis"/>
          <w:i w:val="0"/>
          <w:noProof/>
          <w:szCs w:val="22"/>
        </w:rPr>
      </w:pPr>
      <w:r>
        <w:rPr>
          <w:rStyle w:val="IntenseEmphasis"/>
          <w:i w:val="0"/>
          <w:noProof/>
          <w:szCs w:val="22"/>
        </w:rPr>
        <w:t xml:space="preserve">Tonkin, Z.D., Humphries, P. and Pridmore, P.A. (2006). Ontogney of feeding in two native and one alien fish species from the Murray–Darling Basin, Australia. </w:t>
      </w:r>
      <w:r w:rsidRPr="00C957FC">
        <w:rPr>
          <w:rStyle w:val="IntenseEmphasis"/>
          <w:noProof/>
          <w:szCs w:val="22"/>
        </w:rPr>
        <w:t>Environmental Biology of Fishes</w:t>
      </w:r>
      <w:r>
        <w:rPr>
          <w:rStyle w:val="IntenseEmphasis"/>
          <w:i w:val="0"/>
          <w:noProof/>
          <w:szCs w:val="22"/>
        </w:rPr>
        <w:t xml:space="preserve"> </w:t>
      </w:r>
      <w:r w:rsidRPr="00C957FC">
        <w:rPr>
          <w:rStyle w:val="IntenseEmphasis"/>
          <w:b/>
          <w:i w:val="0"/>
          <w:noProof/>
          <w:szCs w:val="22"/>
        </w:rPr>
        <w:t>76</w:t>
      </w:r>
      <w:r>
        <w:rPr>
          <w:rStyle w:val="IntenseEmphasis"/>
          <w:i w:val="0"/>
          <w:noProof/>
          <w:szCs w:val="22"/>
        </w:rPr>
        <w:t>, 303-315.</w:t>
      </w:r>
    </w:p>
    <w:p w:rsidR="00860E0D" w:rsidRPr="00C957FC" w:rsidRDefault="00860E0D" w:rsidP="00860E0D">
      <w:pPr>
        <w:spacing w:line="240" w:lineRule="auto"/>
        <w:rPr>
          <w:rStyle w:val="IntenseEmphasis"/>
          <w:i w:val="0"/>
          <w:noProof/>
          <w:szCs w:val="22"/>
        </w:rPr>
      </w:pPr>
      <w:r w:rsidRPr="00C957FC">
        <w:rPr>
          <w:rStyle w:val="IntenseEmphasis"/>
          <w:i w:val="0"/>
          <w:noProof/>
          <w:szCs w:val="22"/>
        </w:rPr>
        <w:t xml:space="preserve">Trippel, E.A. and Chambers, R.C. (1997). The early </w:t>
      </w:r>
      <w:r w:rsidR="00EC7B84" w:rsidRPr="00EC7B84">
        <w:rPr>
          <w:rStyle w:val="IntenseEmphasis"/>
          <w:i w:val="0"/>
          <w:noProof/>
          <w:szCs w:val="22"/>
        </w:rPr>
        <w:t>life-history</w:t>
      </w:r>
      <w:r w:rsidRPr="00C957FC">
        <w:rPr>
          <w:rStyle w:val="IntenseEmphasis"/>
          <w:i w:val="0"/>
          <w:noProof/>
          <w:szCs w:val="22"/>
        </w:rPr>
        <w:t xml:space="preserve"> of fishes and its role in recruitment processes. In: Early </w:t>
      </w:r>
      <w:r w:rsidR="00EC7B84" w:rsidRPr="00EC7B84">
        <w:rPr>
          <w:rStyle w:val="IntenseEmphasis"/>
          <w:i w:val="0"/>
          <w:noProof/>
          <w:szCs w:val="22"/>
        </w:rPr>
        <w:t>life-history</w:t>
      </w:r>
      <w:r w:rsidRPr="00C957FC">
        <w:rPr>
          <w:rStyle w:val="IntenseEmphasis"/>
          <w:i w:val="0"/>
          <w:noProof/>
          <w:szCs w:val="22"/>
        </w:rPr>
        <w:t xml:space="preserve"> and recruitment in fish populations. (Eds. Chambers, R.C. and Trippel, E.A.) pp. 21-32. (Chapman and Hall London, UK).</w:t>
      </w:r>
    </w:p>
    <w:p w:rsidR="00860E0D" w:rsidRPr="00A67C76" w:rsidRDefault="00860E0D" w:rsidP="00860E0D">
      <w:pPr>
        <w:spacing w:line="240" w:lineRule="auto"/>
        <w:rPr>
          <w:rFonts w:cs="Segoe UI"/>
          <w:szCs w:val="24"/>
        </w:rPr>
      </w:pPr>
      <w:r w:rsidRPr="00A67C76">
        <w:rPr>
          <w:rFonts w:cs="Segoe UI"/>
          <w:szCs w:val="24"/>
        </w:rPr>
        <w:t>Tucker, P. (2004). Your Wetland: Monitoring Manual – Data Collection. River Murray Catchment Water Management Board, Berri and Australian Landscape Trust, Renmark.</w:t>
      </w:r>
    </w:p>
    <w:p w:rsidR="00860E0D" w:rsidRDefault="00860E0D" w:rsidP="00860E0D">
      <w:pPr>
        <w:spacing w:line="240" w:lineRule="auto"/>
        <w:rPr>
          <w:rFonts w:cstheme="minorHAnsi"/>
          <w:noProof/>
        </w:rPr>
      </w:pPr>
      <w:r w:rsidRPr="00A67C76">
        <w:rPr>
          <w:rFonts w:cstheme="minorHAnsi"/>
          <w:noProof/>
        </w:rPr>
        <w:t>Turner, R., Suitor, L. and Marsland, K. (2011). Southern Bell Frog (</w:t>
      </w:r>
      <w:r w:rsidRPr="00A67C76">
        <w:rPr>
          <w:rFonts w:cstheme="minorHAnsi"/>
          <w:i/>
          <w:noProof/>
        </w:rPr>
        <w:t>Litoria raniformis</w:t>
      </w:r>
      <w:r w:rsidRPr="00A67C76">
        <w:rPr>
          <w:rFonts w:cstheme="minorHAnsi"/>
          <w:noProof/>
        </w:rPr>
        <w:t>) Census and Community Engagement Project in the lower River Murray, South Australia, Murrray Bridge: South Australian Murray-Darling Basin Natural Resources Management Board.</w:t>
      </w:r>
    </w:p>
    <w:p w:rsidR="00C82287" w:rsidRDefault="00C82287" w:rsidP="00860E0D">
      <w:pPr>
        <w:spacing w:line="240" w:lineRule="auto"/>
        <w:rPr>
          <w:rFonts w:cstheme="minorHAnsi"/>
          <w:noProof/>
        </w:rPr>
      </w:pPr>
      <w:r w:rsidRPr="00C82287">
        <w:rPr>
          <w:rFonts w:cstheme="minorHAnsi"/>
          <w:noProof/>
        </w:rPr>
        <w:t>Thwaites, L</w:t>
      </w:r>
      <w:r>
        <w:rPr>
          <w:rFonts w:cstheme="minorHAnsi"/>
          <w:noProof/>
        </w:rPr>
        <w:t>. and</w:t>
      </w:r>
      <w:r w:rsidRPr="00C82287">
        <w:rPr>
          <w:rFonts w:cstheme="minorHAnsi"/>
          <w:noProof/>
        </w:rPr>
        <w:t xml:space="preserve"> Fredberg, J</w:t>
      </w:r>
      <w:r>
        <w:rPr>
          <w:rFonts w:cstheme="minorHAnsi"/>
          <w:noProof/>
        </w:rPr>
        <w:t>.</w:t>
      </w:r>
      <w:r w:rsidRPr="00C82287">
        <w:rPr>
          <w:rFonts w:cstheme="minorHAnsi"/>
          <w:noProof/>
        </w:rPr>
        <w:t xml:space="preserve"> (2014)</w:t>
      </w:r>
      <w:r>
        <w:rPr>
          <w:rFonts w:cstheme="minorHAnsi"/>
          <w:noProof/>
        </w:rPr>
        <w:t>.</w:t>
      </w:r>
      <w:r w:rsidRPr="00C82287">
        <w:rPr>
          <w:rFonts w:cstheme="minorHAnsi"/>
          <w:noProof/>
        </w:rPr>
        <w:t xml:space="preserve"> The Response Patterns of Wetland Fish Communities Following Prolonged Drought and Widespread Flooding. Goyder Institute for Water Research Technical Report Series No. 14/9, Adelaide, South Australia. ISSN: 1839-2725 </w:t>
      </w:r>
    </w:p>
    <w:p w:rsidR="005E5EF5" w:rsidRPr="00A67C76" w:rsidRDefault="005E5EF5" w:rsidP="005E5EF5">
      <w:pPr>
        <w:spacing w:line="240" w:lineRule="auto"/>
        <w:rPr>
          <w:rFonts w:cstheme="minorHAnsi"/>
          <w:noProof/>
        </w:rPr>
      </w:pPr>
      <w:r>
        <w:rPr>
          <w:rFonts w:cstheme="minorHAnsi"/>
          <w:noProof/>
        </w:rPr>
        <w:t>Tyler, M.J. (1994). Australian Frogs – A natural history. Reed Books; Chatswood NSW.</w:t>
      </w:r>
    </w:p>
    <w:p w:rsidR="00860E0D" w:rsidRPr="00A67C76" w:rsidRDefault="00860E0D" w:rsidP="00860E0D">
      <w:pPr>
        <w:spacing w:line="240" w:lineRule="auto"/>
        <w:rPr>
          <w:rFonts w:eastAsia="Calibri" w:cs="Calibri"/>
        </w:rPr>
      </w:pPr>
      <w:proofErr w:type="gramStart"/>
      <w:r w:rsidRPr="00A67C76">
        <w:rPr>
          <w:rFonts w:eastAsia="Calibri" w:cs="Calibri"/>
        </w:rPr>
        <w:t>van</w:t>
      </w:r>
      <w:proofErr w:type="gramEnd"/>
      <w:r w:rsidRPr="00A67C76">
        <w:rPr>
          <w:rFonts w:eastAsia="Calibri" w:cs="Calibri"/>
        </w:rPr>
        <w:t xml:space="preserve"> der Valk, A. G., Squires, L., and Welling, C. H. (1994). </w:t>
      </w:r>
      <w:proofErr w:type="gramStart"/>
      <w:r w:rsidRPr="00A67C76">
        <w:rPr>
          <w:rFonts w:eastAsia="Calibri" w:cs="Calibri"/>
        </w:rPr>
        <w:t>Assessing the impacts of an increase in water level on wetland vegetation.</w:t>
      </w:r>
      <w:proofErr w:type="gramEnd"/>
      <w:r w:rsidRPr="00A67C76">
        <w:rPr>
          <w:rFonts w:eastAsia="Calibri" w:cs="Calibri"/>
        </w:rPr>
        <w:t xml:space="preserve"> </w:t>
      </w:r>
      <w:r w:rsidRPr="00A67C76">
        <w:rPr>
          <w:rFonts w:eastAsia="Calibri" w:cs="Calibri"/>
          <w:i/>
        </w:rPr>
        <w:t>Ecological Applications</w:t>
      </w:r>
      <w:r w:rsidRPr="00A67C76">
        <w:rPr>
          <w:rFonts w:eastAsia="Calibri" w:cs="Calibri"/>
        </w:rPr>
        <w:t xml:space="preserve"> </w:t>
      </w:r>
      <w:r w:rsidRPr="00A67C76">
        <w:rPr>
          <w:rFonts w:eastAsia="Calibri" w:cs="Calibri"/>
          <w:b/>
        </w:rPr>
        <w:t>4</w:t>
      </w:r>
      <w:r w:rsidRPr="00A67C76">
        <w:rPr>
          <w:rFonts w:eastAsia="Calibri" w:cs="Calibri"/>
        </w:rPr>
        <w:t>, 525–534.</w:t>
      </w:r>
    </w:p>
    <w:p w:rsidR="00860E0D" w:rsidRPr="00A67C76" w:rsidRDefault="00860E0D" w:rsidP="00860E0D">
      <w:pPr>
        <w:spacing w:line="240" w:lineRule="auto"/>
        <w:rPr>
          <w:rFonts w:eastAsia="Arial Unicode MS" w:cs="Arial"/>
          <w:bCs/>
          <w:lang w:eastAsia="en-AU"/>
        </w:rPr>
      </w:pPr>
      <w:proofErr w:type="gramStart"/>
      <w:r w:rsidRPr="00A67C76">
        <w:rPr>
          <w:rFonts w:eastAsia="Arial Unicode MS" w:cs="Arial"/>
          <w:bCs/>
          <w:lang w:eastAsia="en-AU"/>
        </w:rPr>
        <w:t>Vilizzi, L. and Walker, K. F. (1999).</w:t>
      </w:r>
      <w:proofErr w:type="gramEnd"/>
      <w:r w:rsidRPr="00A67C76">
        <w:rPr>
          <w:rFonts w:eastAsia="Arial Unicode MS" w:cs="Arial"/>
          <w:bCs/>
          <w:lang w:eastAsia="en-AU"/>
        </w:rPr>
        <w:t xml:space="preserve"> Age and growth of the common carp </w:t>
      </w:r>
      <w:r w:rsidRPr="00A67C76">
        <w:rPr>
          <w:rFonts w:eastAsia="Arial Unicode MS" w:cs="Arial"/>
          <w:bCs/>
          <w:i/>
          <w:lang w:eastAsia="en-AU"/>
        </w:rPr>
        <w:t>Cyprinus carpio</w:t>
      </w:r>
      <w:r w:rsidRPr="00A67C76">
        <w:rPr>
          <w:rFonts w:eastAsia="Arial Unicode MS" w:cs="Arial"/>
          <w:bCs/>
          <w:lang w:eastAsia="en-AU"/>
        </w:rPr>
        <w:t xml:space="preserve">, in the River Murray, Australia: Validation, consistency of age interpretation and growth models. </w:t>
      </w:r>
      <w:r w:rsidRPr="00A67C76">
        <w:rPr>
          <w:rFonts w:eastAsia="Arial Unicode MS" w:cs="Arial"/>
          <w:bCs/>
          <w:i/>
          <w:lang w:eastAsia="en-AU"/>
        </w:rPr>
        <w:t>Environmental Biology of Fishes</w:t>
      </w:r>
      <w:r w:rsidRPr="00A67C76">
        <w:rPr>
          <w:rFonts w:eastAsia="Arial Unicode MS" w:cs="Arial"/>
          <w:bCs/>
          <w:lang w:eastAsia="en-AU"/>
        </w:rPr>
        <w:t xml:space="preserve"> </w:t>
      </w:r>
      <w:r w:rsidRPr="00A67C76">
        <w:rPr>
          <w:rFonts w:eastAsia="Arial Unicode MS" w:cs="Arial"/>
          <w:b/>
          <w:bCs/>
          <w:lang w:eastAsia="en-AU"/>
        </w:rPr>
        <w:t>54</w:t>
      </w:r>
      <w:r w:rsidRPr="00A67C76">
        <w:rPr>
          <w:rFonts w:eastAsia="Arial Unicode MS" w:cs="Arial"/>
          <w:bCs/>
          <w:lang w:eastAsia="en-AU"/>
        </w:rPr>
        <w:t>, 77-106.</w:t>
      </w:r>
    </w:p>
    <w:p w:rsidR="00860E0D" w:rsidRPr="00A67C76" w:rsidRDefault="00860E0D" w:rsidP="00860E0D">
      <w:pPr>
        <w:spacing w:line="240" w:lineRule="auto"/>
      </w:pPr>
      <w:r w:rsidRPr="00A67C76">
        <w:t xml:space="preserve">Walker, K.F. (1985). </w:t>
      </w:r>
      <w:proofErr w:type="gramStart"/>
      <w:r w:rsidRPr="00A67C76">
        <w:t>A review of the ecological effects of river regulation in Australia.</w:t>
      </w:r>
      <w:proofErr w:type="gramEnd"/>
      <w:r w:rsidRPr="00A67C76">
        <w:t xml:space="preserve"> </w:t>
      </w:r>
      <w:r w:rsidRPr="00A67C76">
        <w:rPr>
          <w:i/>
        </w:rPr>
        <w:t>Hydrobiologia</w:t>
      </w:r>
      <w:r w:rsidRPr="00A67C76">
        <w:t xml:space="preserve"> </w:t>
      </w:r>
      <w:r w:rsidRPr="00A67C76">
        <w:rPr>
          <w:b/>
        </w:rPr>
        <w:t>125</w:t>
      </w:r>
      <w:r w:rsidRPr="00A67C76">
        <w:t xml:space="preserve">, 111-129. </w:t>
      </w:r>
    </w:p>
    <w:p w:rsidR="00860E0D" w:rsidRPr="00A67C76" w:rsidRDefault="00860E0D" w:rsidP="00860E0D">
      <w:pPr>
        <w:spacing w:line="240" w:lineRule="auto"/>
      </w:pPr>
      <w:r w:rsidRPr="00A67C76">
        <w:t>Walker, K.F. (2006). Serial weirs, cumulative effects: the lower River Murray, Australia. In: Ecology of Desert Rivers (Ed. R. Kingsford) pp. 248–279. Cambridge University Press, Cambridge.</w:t>
      </w:r>
    </w:p>
    <w:p w:rsidR="00860E0D" w:rsidRPr="00A67C76" w:rsidRDefault="00860E0D" w:rsidP="00860E0D">
      <w:pPr>
        <w:spacing w:line="240" w:lineRule="auto"/>
        <w:rPr>
          <w:noProof/>
        </w:rPr>
      </w:pPr>
      <w:r w:rsidRPr="00A67C76">
        <w:rPr>
          <w:noProof/>
        </w:rPr>
        <w:t xml:space="preserve">Walker, K.F., Sheldon, F. and Puckridge, J.T. (1995). An ecological perspective on dryland rivers. </w:t>
      </w:r>
      <w:r w:rsidRPr="00A67C76">
        <w:rPr>
          <w:i/>
          <w:noProof/>
        </w:rPr>
        <w:t>Regulated Rivers: Research &amp; Management</w:t>
      </w:r>
      <w:r w:rsidRPr="00A67C76">
        <w:rPr>
          <w:noProof/>
        </w:rPr>
        <w:t xml:space="preserve"> </w:t>
      </w:r>
      <w:r w:rsidRPr="00A67C76">
        <w:rPr>
          <w:b/>
          <w:noProof/>
        </w:rPr>
        <w:t>11</w:t>
      </w:r>
      <w:r w:rsidRPr="00A67C76">
        <w:rPr>
          <w:noProof/>
        </w:rPr>
        <w:t>, 85-104.</w:t>
      </w:r>
    </w:p>
    <w:p w:rsidR="00860E0D" w:rsidRPr="00A67C76" w:rsidRDefault="00860E0D" w:rsidP="00860E0D">
      <w:pPr>
        <w:spacing w:line="240" w:lineRule="auto"/>
        <w:rPr>
          <w:noProof/>
        </w:rPr>
      </w:pPr>
      <w:proofErr w:type="gramStart"/>
      <w:r w:rsidRPr="00A67C76">
        <w:t>Walker, K.F. and Thoms, M.C. (1993).</w:t>
      </w:r>
      <w:proofErr w:type="gramEnd"/>
      <w:r w:rsidRPr="00A67C76">
        <w:t xml:space="preserve"> </w:t>
      </w:r>
      <w:proofErr w:type="gramStart"/>
      <w:r w:rsidRPr="00A67C76">
        <w:t>Environmental effects of flow regulation on the lower river Murray, Australia.</w:t>
      </w:r>
      <w:proofErr w:type="gramEnd"/>
      <w:r w:rsidRPr="00A67C76">
        <w:t xml:space="preserve"> </w:t>
      </w:r>
      <w:proofErr w:type="gramStart"/>
      <w:r w:rsidRPr="00A67C76">
        <w:rPr>
          <w:i/>
        </w:rPr>
        <w:t>Regulated Rivers: Research and Management</w:t>
      </w:r>
      <w:r w:rsidRPr="00A67C76">
        <w:t xml:space="preserve"> </w:t>
      </w:r>
      <w:r w:rsidRPr="00A67C76">
        <w:rPr>
          <w:b/>
        </w:rPr>
        <w:t>8</w:t>
      </w:r>
      <w:r w:rsidRPr="00A67C76">
        <w:t>, 103-119.</w:t>
      </w:r>
      <w:proofErr w:type="gramEnd"/>
    </w:p>
    <w:p w:rsidR="00860E0D" w:rsidRPr="00A67C76" w:rsidRDefault="00860E0D" w:rsidP="00860E0D">
      <w:pPr>
        <w:spacing w:line="240" w:lineRule="auto"/>
        <w:rPr>
          <w:rFonts w:cs="Segoe UI"/>
          <w:szCs w:val="24"/>
        </w:rPr>
      </w:pPr>
      <w:r w:rsidRPr="00A67C76">
        <w:rPr>
          <w:rFonts w:cs="Segoe UI"/>
          <w:szCs w:val="24"/>
        </w:rPr>
        <w:t xml:space="preserve">Wassens, S. (2010). </w:t>
      </w:r>
      <w:proofErr w:type="gramStart"/>
      <w:r w:rsidRPr="00A67C76">
        <w:rPr>
          <w:rFonts w:cs="Segoe UI"/>
          <w:szCs w:val="24"/>
        </w:rPr>
        <w:t>Flooding regimes for frogs in lowland rivers of the Murray-Darling Basin, In ‘Ecosystem Response Modelling in the Murray–Darling Basin’.</w:t>
      </w:r>
      <w:proofErr w:type="gramEnd"/>
      <w:r w:rsidRPr="00A67C76">
        <w:rPr>
          <w:rFonts w:cs="Segoe UI"/>
          <w:szCs w:val="24"/>
        </w:rPr>
        <w:t xml:space="preserve"> </w:t>
      </w:r>
      <w:proofErr w:type="gramStart"/>
      <w:r w:rsidRPr="00A67C76">
        <w:rPr>
          <w:rFonts w:cs="Segoe UI"/>
          <w:szCs w:val="24"/>
        </w:rPr>
        <w:t>(Eds. Saintilan, N. and Overton, I.).</w:t>
      </w:r>
      <w:proofErr w:type="gramEnd"/>
      <w:r w:rsidRPr="00A67C76">
        <w:rPr>
          <w:rFonts w:cs="Segoe UI"/>
          <w:szCs w:val="24"/>
        </w:rPr>
        <w:t xml:space="preserve"> (CSIRO Publishing: Melbourne)</w:t>
      </w:r>
    </w:p>
    <w:p w:rsidR="00860E0D" w:rsidRPr="00A67C76" w:rsidRDefault="00860E0D" w:rsidP="00860E0D">
      <w:pPr>
        <w:spacing w:line="240" w:lineRule="auto"/>
        <w:rPr>
          <w:rFonts w:cstheme="minorHAnsi"/>
          <w:noProof/>
        </w:rPr>
      </w:pPr>
      <w:r w:rsidRPr="00A67C76">
        <w:rPr>
          <w:rFonts w:cstheme="minorHAnsi"/>
          <w:noProof/>
        </w:rPr>
        <w:t>Wassens, S. (2011). Frogs. In: Rogers, K. and Ralph, T. Eds. Floodplain Wetland Biota in the Murray-Darling Basin. Collingwood: CSIRO Publishing, pp. 253-274.</w:t>
      </w:r>
    </w:p>
    <w:p w:rsidR="00BF4523" w:rsidRDefault="00BF4523" w:rsidP="00860E0D">
      <w:pPr>
        <w:spacing w:line="240" w:lineRule="auto"/>
        <w:rPr>
          <w:rFonts w:cstheme="minorHAnsi"/>
          <w:noProof/>
        </w:rPr>
      </w:pPr>
    </w:p>
    <w:p w:rsidR="00860E0D" w:rsidRPr="00A67C76" w:rsidRDefault="00860E0D" w:rsidP="00860E0D">
      <w:pPr>
        <w:spacing w:line="240" w:lineRule="auto"/>
        <w:rPr>
          <w:rFonts w:cstheme="minorHAnsi"/>
        </w:rPr>
      </w:pPr>
      <w:r w:rsidRPr="00A67C76">
        <w:rPr>
          <w:rFonts w:cstheme="minorHAnsi"/>
          <w:noProof/>
        </w:rPr>
        <w:t>Wassens, S., Arnaiz, O. and Watts, R. (2007). Assessing the Diversity, Abundance and Hydrological Requirements of Frog Populations at 'Burrawang West' and 'Yarnel' Lagoons, Two Small Wetlands on Anabranch Creeks of the Mid-Lachlan River, canberra: Department of Environment and Climate Change.</w:t>
      </w:r>
    </w:p>
    <w:p w:rsidR="00860E0D" w:rsidRPr="00A67C76" w:rsidRDefault="00860E0D" w:rsidP="00860E0D">
      <w:pPr>
        <w:spacing w:line="240" w:lineRule="auto"/>
        <w:rPr>
          <w:rFonts w:cs="Segoe UI"/>
          <w:szCs w:val="24"/>
        </w:rPr>
      </w:pPr>
      <w:r w:rsidRPr="00A67C76">
        <w:rPr>
          <w:rFonts w:cs="Segoe UI"/>
          <w:szCs w:val="24"/>
        </w:rPr>
        <w:t xml:space="preserve">Wassens, S. and Maher, M. (2011). River regulation influences composition and distribution of inland frog communities. </w:t>
      </w:r>
      <w:r w:rsidRPr="00A67C76">
        <w:rPr>
          <w:rFonts w:cs="Segoe UI"/>
          <w:i/>
          <w:szCs w:val="24"/>
        </w:rPr>
        <w:t>River Research and Applications</w:t>
      </w:r>
      <w:r w:rsidRPr="00A67C76">
        <w:rPr>
          <w:rFonts w:cs="Segoe UI"/>
          <w:szCs w:val="24"/>
        </w:rPr>
        <w:t xml:space="preserve"> </w:t>
      </w:r>
      <w:r w:rsidRPr="00A67C76">
        <w:rPr>
          <w:rFonts w:cs="Segoe UI"/>
          <w:b/>
          <w:szCs w:val="24"/>
        </w:rPr>
        <w:t>27</w:t>
      </w:r>
      <w:r w:rsidRPr="00A67C76">
        <w:rPr>
          <w:rFonts w:cs="Segoe UI"/>
          <w:szCs w:val="24"/>
        </w:rPr>
        <w:t>, 238-246.</w:t>
      </w:r>
    </w:p>
    <w:p w:rsidR="00860E0D" w:rsidRPr="00A67C76" w:rsidRDefault="00860E0D" w:rsidP="00860E0D">
      <w:pPr>
        <w:spacing w:line="240" w:lineRule="auto"/>
        <w:rPr>
          <w:rFonts w:cstheme="minorHAnsi"/>
        </w:rPr>
      </w:pPr>
      <w:r w:rsidRPr="00A67C76">
        <w:rPr>
          <w:rFonts w:cstheme="minorHAnsi"/>
        </w:rPr>
        <w:t>Wassens, S., Watts, R. J., Jansen, A., and Roshier, D. (2008). Movement patterns of Southern Bell Frogs (</w:t>
      </w:r>
      <w:r w:rsidRPr="00A67C76">
        <w:rPr>
          <w:rFonts w:cstheme="minorHAnsi"/>
          <w:i/>
          <w:iCs/>
        </w:rPr>
        <w:t>Litoria raniformis</w:t>
      </w:r>
      <w:r w:rsidRPr="00A67C76">
        <w:rPr>
          <w:rFonts w:cstheme="minorHAnsi"/>
        </w:rPr>
        <w:t xml:space="preserve">) in response to flooding. </w:t>
      </w:r>
      <w:r w:rsidRPr="00A67C76">
        <w:rPr>
          <w:rFonts w:cstheme="minorHAnsi"/>
          <w:i/>
          <w:iCs/>
        </w:rPr>
        <w:t xml:space="preserve">Wildlife Research </w:t>
      </w:r>
      <w:r w:rsidRPr="00A67C76">
        <w:rPr>
          <w:rFonts w:cstheme="minorHAnsi"/>
          <w:b/>
        </w:rPr>
        <w:t>35</w:t>
      </w:r>
      <w:r w:rsidRPr="00A67C76">
        <w:rPr>
          <w:rFonts w:cstheme="minorHAnsi"/>
          <w:b/>
          <w:bCs/>
        </w:rPr>
        <w:t xml:space="preserve">, </w:t>
      </w:r>
      <w:r w:rsidRPr="00A67C76">
        <w:rPr>
          <w:rFonts w:cstheme="minorHAnsi"/>
        </w:rPr>
        <w:t>50-58.</w:t>
      </w:r>
    </w:p>
    <w:p w:rsidR="00860E0D" w:rsidRPr="00A67C76" w:rsidRDefault="00860E0D" w:rsidP="00860E0D">
      <w:pPr>
        <w:spacing w:line="240" w:lineRule="auto"/>
        <w:rPr>
          <w:noProof/>
        </w:rPr>
      </w:pPr>
      <w:r w:rsidRPr="00A67C76">
        <w:rPr>
          <w:noProof/>
        </w:rPr>
        <w:t>Webster, I.T. (2007). Hydrodynamic modelling of the Coorong. CSIRO, Adelaide.</w:t>
      </w:r>
    </w:p>
    <w:p w:rsidR="00860E0D" w:rsidRPr="00A67C76" w:rsidRDefault="00860E0D" w:rsidP="00860E0D">
      <w:pPr>
        <w:spacing w:line="240" w:lineRule="auto"/>
        <w:rPr>
          <w:noProof/>
        </w:rPr>
      </w:pPr>
      <w:r w:rsidRPr="00A67C76">
        <w:rPr>
          <w:noProof/>
        </w:rPr>
        <w:t>Webster, I.T. (2013). The application of hydrodynamic modelling to assess the impact of supplementary flow releases on Coorong water levels and salinities. Water for a Healthy Country National Research Flagship.</w:t>
      </w:r>
    </w:p>
    <w:p w:rsidR="00860E0D" w:rsidRPr="00A67C76" w:rsidRDefault="00860E0D" w:rsidP="00860E0D">
      <w:pPr>
        <w:spacing w:line="240" w:lineRule="auto"/>
        <w:rPr>
          <w:noProof/>
        </w:rPr>
      </w:pPr>
      <w:r w:rsidRPr="00A67C76">
        <w:rPr>
          <w:noProof/>
        </w:rPr>
        <w:t xml:space="preserve">Wedderburn, S., Hammer, M. and Bice, C. (2012). Shifts in small-bodied fish assemblages resulting from drought-induced water level recession in terminating lakes of the Murray-Darling Basin, Australia. </w:t>
      </w:r>
      <w:r w:rsidRPr="00A67C76">
        <w:rPr>
          <w:i/>
          <w:noProof/>
        </w:rPr>
        <w:t>Hydrobiologia</w:t>
      </w:r>
      <w:r w:rsidRPr="00A67C76">
        <w:rPr>
          <w:noProof/>
        </w:rPr>
        <w:t xml:space="preserve"> </w:t>
      </w:r>
      <w:r w:rsidRPr="00A67C76">
        <w:rPr>
          <w:b/>
          <w:noProof/>
        </w:rPr>
        <w:t>691</w:t>
      </w:r>
      <w:r w:rsidRPr="00A67C76">
        <w:rPr>
          <w:noProof/>
        </w:rPr>
        <w:t>, 35-46.</w:t>
      </w:r>
    </w:p>
    <w:p w:rsidR="00860E0D" w:rsidRPr="00A67C76" w:rsidRDefault="00860E0D" w:rsidP="00860E0D">
      <w:pPr>
        <w:spacing w:line="240" w:lineRule="auto"/>
        <w:rPr>
          <w:rStyle w:val="IntenseEmphasis"/>
          <w:i w:val="0"/>
          <w:noProof/>
          <w:szCs w:val="22"/>
        </w:rPr>
      </w:pPr>
      <w:r w:rsidRPr="00753458">
        <w:rPr>
          <w:rStyle w:val="IntenseEmphasis"/>
          <w:i w:val="0"/>
          <w:noProof/>
          <w:szCs w:val="22"/>
        </w:rPr>
        <w:t>Welcomme, R.L. (1985)</w:t>
      </w:r>
      <w:r w:rsidR="00753458" w:rsidRPr="00753458">
        <w:rPr>
          <w:rStyle w:val="IntenseEmphasis"/>
          <w:i w:val="0"/>
          <w:noProof/>
          <w:szCs w:val="22"/>
        </w:rPr>
        <w:t>.</w:t>
      </w:r>
      <w:r w:rsidRPr="00753458">
        <w:rPr>
          <w:rStyle w:val="IntenseEmphasis"/>
          <w:i w:val="0"/>
          <w:noProof/>
          <w:szCs w:val="22"/>
        </w:rPr>
        <w:t xml:space="preserve"> River fisheries. United Nations, No. 262, Rome.</w:t>
      </w:r>
    </w:p>
    <w:p w:rsidR="00860E0D" w:rsidRPr="00A67C76" w:rsidRDefault="00860E0D" w:rsidP="00860E0D">
      <w:pPr>
        <w:spacing w:line="240" w:lineRule="auto"/>
        <w:rPr>
          <w:rStyle w:val="IntenseEmphasis"/>
          <w:i w:val="0"/>
          <w:noProof/>
          <w:szCs w:val="22"/>
        </w:rPr>
      </w:pPr>
      <w:r w:rsidRPr="00753458">
        <w:rPr>
          <w:rStyle w:val="IntenseEmphasis"/>
          <w:i w:val="0"/>
          <w:noProof/>
          <w:szCs w:val="22"/>
        </w:rPr>
        <w:t>Whitfield, K. A. (1999). Ichthyofaunal assemblages in estuaries: a South African case study.</w:t>
      </w:r>
      <w:r w:rsidRPr="00A67C76">
        <w:rPr>
          <w:rStyle w:val="IntenseEmphasis"/>
          <w:noProof/>
          <w:szCs w:val="22"/>
        </w:rPr>
        <w:t xml:space="preserve"> </w:t>
      </w:r>
      <w:r w:rsidRPr="00753458">
        <w:rPr>
          <w:rStyle w:val="IntenseEmphasis"/>
          <w:noProof/>
          <w:szCs w:val="22"/>
        </w:rPr>
        <w:t>Reviews in Fish Biology and Fisheries</w:t>
      </w:r>
      <w:r w:rsidRPr="00A67C76">
        <w:rPr>
          <w:rStyle w:val="IntenseEmphasis"/>
          <w:noProof/>
          <w:szCs w:val="22"/>
        </w:rPr>
        <w:t xml:space="preserve"> </w:t>
      </w:r>
      <w:r w:rsidRPr="00A67C76">
        <w:rPr>
          <w:rStyle w:val="IntenseEmphasis"/>
          <w:b/>
          <w:i w:val="0"/>
          <w:noProof/>
          <w:szCs w:val="22"/>
        </w:rPr>
        <w:t>9</w:t>
      </w:r>
      <w:r w:rsidRPr="00A67C76">
        <w:rPr>
          <w:rStyle w:val="IntenseEmphasis"/>
          <w:noProof/>
          <w:szCs w:val="22"/>
        </w:rPr>
        <w:t xml:space="preserve">, </w:t>
      </w:r>
      <w:r w:rsidRPr="00753458">
        <w:rPr>
          <w:rStyle w:val="IntenseEmphasis"/>
          <w:i w:val="0"/>
          <w:noProof/>
          <w:szCs w:val="22"/>
        </w:rPr>
        <w:t>151-186</w:t>
      </w:r>
      <w:r w:rsidRPr="00A67C76">
        <w:rPr>
          <w:rStyle w:val="IntenseEmphasis"/>
          <w:noProof/>
          <w:szCs w:val="22"/>
        </w:rPr>
        <w:t>.</w:t>
      </w:r>
    </w:p>
    <w:p w:rsidR="00860E0D" w:rsidRPr="00A67C76" w:rsidRDefault="00860E0D" w:rsidP="00860E0D">
      <w:pPr>
        <w:spacing w:line="240" w:lineRule="auto"/>
      </w:pPr>
      <w:r w:rsidRPr="00A67C76">
        <w:t xml:space="preserve">Whipp, R. (2010). </w:t>
      </w:r>
      <w:proofErr w:type="gramStart"/>
      <w:r w:rsidRPr="00A67C76">
        <w:t xml:space="preserve">Decline of </w:t>
      </w:r>
      <w:r w:rsidRPr="00A67C76">
        <w:rPr>
          <w:i/>
        </w:rPr>
        <w:t>Ruppia</w:t>
      </w:r>
      <w:r w:rsidRPr="00A67C76">
        <w:t xml:space="preserve"> species in the Coorong lagoons, SA.</w:t>
      </w:r>
      <w:proofErr w:type="gramEnd"/>
      <w:r w:rsidRPr="00A67C76">
        <w:t xml:space="preserve"> </w:t>
      </w:r>
      <w:r w:rsidRPr="00A67C76">
        <w:rPr>
          <w:i/>
        </w:rPr>
        <w:t>Australasian Plant Conservation</w:t>
      </w:r>
      <w:r w:rsidRPr="00A67C76">
        <w:t xml:space="preserve"> </w:t>
      </w:r>
      <w:r w:rsidRPr="00A67C76">
        <w:rPr>
          <w:b/>
        </w:rPr>
        <w:t>19</w:t>
      </w:r>
      <w:r w:rsidRPr="00A67C76">
        <w:t>, 25-26.</w:t>
      </w:r>
    </w:p>
    <w:p w:rsidR="00860E0D" w:rsidRPr="00A67C76" w:rsidRDefault="00860E0D" w:rsidP="00860E0D">
      <w:pPr>
        <w:spacing w:line="240" w:lineRule="auto"/>
      </w:pPr>
      <w:r w:rsidRPr="00A67C76">
        <w:t xml:space="preserve">Womersley, H.B.S. (1975). </w:t>
      </w:r>
      <w:proofErr w:type="gramStart"/>
      <w:r w:rsidRPr="00A67C76">
        <w:t>Plant life in the Coorong Lagoons.</w:t>
      </w:r>
      <w:proofErr w:type="gramEnd"/>
      <w:r w:rsidRPr="00A67C76">
        <w:t xml:space="preserve"> </w:t>
      </w:r>
      <w:proofErr w:type="gramStart"/>
      <w:r w:rsidRPr="00A67C76">
        <w:t>In 'The Coorong'.</w:t>
      </w:r>
      <w:proofErr w:type="gramEnd"/>
      <w:r w:rsidRPr="00A67C76">
        <w:t xml:space="preserve"> (Ed. Noye, J.). (Department of Adult Education, </w:t>
      </w:r>
      <w:proofErr w:type="gramStart"/>
      <w:r w:rsidRPr="00A67C76">
        <w:t>The</w:t>
      </w:r>
      <w:proofErr w:type="gramEnd"/>
      <w:r w:rsidRPr="00A67C76">
        <w:t xml:space="preserve"> University of Adelaide: Adelaide).</w:t>
      </w:r>
    </w:p>
    <w:p w:rsidR="00860E0D" w:rsidRPr="00A67C76" w:rsidRDefault="00860E0D" w:rsidP="00860E0D">
      <w:pPr>
        <w:spacing w:line="240" w:lineRule="auto"/>
        <w:rPr>
          <w:noProof/>
          <w:szCs w:val="24"/>
        </w:rPr>
      </w:pPr>
      <w:r w:rsidRPr="00A67C76">
        <w:rPr>
          <w:noProof/>
          <w:szCs w:val="24"/>
        </w:rPr>
        <w:t>Ye, Q., Bucater, L., Short, D. and Livore, J. (2012). Fish response to barrage releases in 2011/12, and recovery following the recent drought in the Coorong. South Australian Research and Development Institute (Aquatic Sciences), Adelaide. SARDI Publication No. F2012/000357-1. SARDI Research Report Series No. 665. 81pp.</w:t>
      </w:r>
    </w:p>
    <w:p w:rsidR="00860E0D" w:rsidRPr="00A67C76" w:rsidRDefault="00860E0D" w:rsidP="00860E0D">
      <w:pPr>
        <w:spacing w:line="240" w:lineRule="auto"/>
        <w:rPr>
          <w:noProof/>
          <w:szCs w:val="24"/>
        </w:rPr>
      </w:pPr>
      <w:r w:rsidRPr="00A67C76">
        <w:rPr>
          <w:noProof/>
          <w:szCs w:val="24"/>
        </w:rPr>
        <w:t>Ye, Q., Bucater, L., Ferguson, G. and Short, D. (2011a). Coorong Fish Condition Monitoring 2008–2010: Population and Recruitment Status of the Black Bream (</w:t>
      </w:r>
      <w:r w:rsidRPr="00A67C76">
        <w:rPr>
          <w:i/>
          <w:noProof/>
          <w:szCs w:val="24"/>
        </w:rPr>
        <w:t>Acanthopagrus butcheri</w:t>
      </w:r>
      <w:r w:rsidRPr="00A67C76">
        <w:rPr>
          <w:noProof/>
          <w:szCs w:val="24"/>
        </w:rPr>
        <w:t>) and Greenback Flounder (</w:t>
      </w:r>
      <w:r w:rsidRPr="00A67C76">
        <w:rPr>
          <w:i/>
          <w:noProof/>
          <w:szCs w:val="24"/>
        </w:rPr>
        <w:t>Rhombosolea tapirina</w:t>
      </w:r>
      <w:r w:rsidRPr="00A67C76">
        <w:rPr>
          <w:noProof/>
          <w:szCs w:val="24"/>
        </w:rPr>
        <w:t>). South Australian Research and Development Institute (Aquatic Sciences), Adelaide.  SARDI Publication No. F2011/000331-1. SARDI Research Report Series No. 572. 55pp.</w:t>
      </w:r>
    </w:p>
    <w:p w:rsidR="00860E0D" w:rsidRPr="00A67C76" w:rsidRDefault="00860E0D" w:rsidP="00860E0D">
      <w:pPr>
        <w:spacing w:line="240" w:lineRule="auto"/>
        <w:rPr>
          <w:noProof/>
          <w:szCs w:val="24"/>
        </w:rPr>
      </w:pPr>
      <w:r w:rsidRPr="00A67C76">
        <w:rPr>
          <w:noProof/>
          <w:szCs w:val="24"/>
        </w:rPr>
        <w:t>Ye, Q., Bucater, L. and Short, D (2011b). Coorong fish intervention monitoring during barrage releases in 2010/11. South Australian Research and Development Institute (Aquatic Sciences), Adelaide. SARDI Publication No. F2011/000309-1. SARDI Research Report Series No. 559. 57pp.</w:t>
      </w:r>
    </w:p>
    <w:p w:rsidR="00EF09B5" w:rsidRDefault="00EF09B5">
      <w:pPr>
        <w:spacing w:before="0" w:after="200" w:line="276" w:lineRule="auto"/>
        <w:rPr>
          <w:noProof/>
          <w:szCs w:val="24"/>
        </w:rPr>
      </w:pPr>
      <w:r>
        <w:rPr>
          <w:noProof/>
          <w:szCs w:val="24"/>
        </w:rPr>
        <w:br w:type="page"/>
      </w:r>
    </w:p>
    <w:p w:rsidR="00860E0D" w:rsidRPr="00A67C76" w:rsidRDefault="00860E0D" w:rsidP="00860E0D">
      <w:pPr>
        <w:spacing w:line="240" w:lineRule="auto"/>
        <w:rPr>
          <w:noProof/>
          <w:szCs w:val="24"/>
        </w:rPr>
      </w:pPr>
      <w:r w:rsidRPr="00A67C76">
        <w:rPr>
          <w:noProof/>
          <w:szCs w:val="24"/>
        </w:rPr>
        <w:t>Ye, Q., Bucater, L. and Short, D. (2013a). Coorong fish condition monitoring 2008-2013: Black bream (</w:t>
      </w:r>
      <w:r w:rsidRPr="00A67C76">
        <w:rPr>
          <w:i/>
          <w:noProof/>
          <w:szCs w:val="24"/>
        </w:rPr>
        <w:t>Acanthopagrus butcheri</w:t>
      </w:r>
      <w:r w:rsidRPr="00A67C76">
        <w:rPr>
          <w:noProof/>
          <w:szCs w:val="24"/>
        </w:rPr>
        <w:t>), greenback flounder (</w:t>
      </w:r>
      <w:r w:rsidRPr="00A67C76">
        <w:rPr>
          <w:i/>
          <w:noProof/>
          <w:szCs w:val="24"/>
        </w:rPr>
        <w:t>Rhombosolea tapirina</w:t>
      </w:r>
      <w:r w:rsidRPr="00A67C76">
        <w:rPr>
          <w:noProof/>
          <w:szCs w:val="24"/>
        </w:rPr>
        <w:t>) and smallmouthed hardyhead (</w:t>
      </w:r>
      <w:r w:rsidRPr="00A67C76">
        <w:rPr>
          <w:i/>
          <w:noProof/>
          <w:szCs w:val="24"/>
        </w:rPr>
        <w:t>Atherinosoma microstoma</w:t>
      </w:r>
      <w:r w:rsidRPr="00A67C76">
        <w:rPr>
          <w:noProof/>
          <w:szCs w:val="24"/>
        </w:rPr>
        <w:t>) populations. South Australian Research and Development Institute (Aquatic Sciences), Adelaide. SARDI Publication No. F2011/000471-3. SARDI Research Report Series No. 748. 91pp.</w:t>
      </w:r>
    </w:p>
    <w:p w:rsidR="00860E0D" w:rsidRPr="005E5EF5" w:rsidRDefault="00860E0D" w:rsidP="00860E0D">
      <w:pPr>
        <w:spacing w:line="240" w:lineRule="auto"/>
        <w:rPr>
          <w:rStyle w:val="IntenseEmphasis"/>
          <w:i w:val="0"/>
          <w:noProof/>
          <w:szCs w:val="22"/>
        </w:rPr>
      </w:pPr>
      <w:r w:rsidRPr="005E5EF5">
        <w:rPr>
          <w:rStyle w:val="IntenseEmphasis"/>
          <w:i w:val="0"/>
          <w:noProof/>
          <w:szCs w:val="22"/>
        </w:rPr>
        <w:t>Ye, Q., Cheshire, K.J. and Fleer, D. (2008). Recruitment of golden perch and selected large-bodied fish species following the weir pool ma</w:t>
      </w:r>
      <w:r w:rsidRPr="00024CD9">
        <w:rPr>
          <w:rStyle w:val="IntenseEmphasis"/>
          <w:i w:val="0"/>
          <w:noProof/>
          <w:szCs w:val="22"/>
        </w:rPr>
        <w:t>nipulation in the River Murray, South Australia. South Australian Research and Development Institute (SARDI), Aquatic Sciences, No. SARDI research report series number: 303, SARDI Aquatic Sciences Publication Number F2008/000606-1, Adelaide, SA.</w:t>
      </w:r>
    </w:p>
    <w:p w:rsidR="00860E0D" w:rsidRPr="00A67C76" w:rsidRDefault="00860E0D" w:rsidP="00860E0D">
      <w:pPr>
        <w:spacing w:line="240" w:lineRule="auto"/>
        <w:rPr>
          <w:noProof/>
          <w:szCs w:val="24"/>
        </w:rPr>
      </w:pPr>
      <w:r w:rsidRPr="00A67C76">
        <w:rPr>
          <w:noProof/>
          <w:szCs w:val="24"/>
        </w:rPr>
        <w:t xml:space="preserve">Ye, Q., Livore, J., Aldridge, K., Bradford, T., Busch, B., Earl, J., Hipsey, M., Lorenz, Z., Oliver, R., Shiel, R., Suitor, L., Tan, L., Turner, R. and Wegener, I. (2013b). Monitoring the ecosystem responses to Commonwealth environmental water delivered to the lower River Murray in </w:t>
      </w:r>
      <w:r w:rsidR="00333041" w:rsidRPr="00A67C76">
        <w:rPr>
          <w:noProof/>
          <w:szCs w:val="24"/>
        </w:rPr>
        <w:t>2012</w:t>
      </w:r>
      <w:r w:rsidR="00FD328A" w:rsidRPr="00FD328A">
        <w:rPr>
          <w:noProof/>
          <w:szCs w:val="24"/>
        </w:rPr>
        <w:t>-13</w:t>
      </w:r>
      <w:r w:rsidRPr="00A67C76">
        <w:rPr>
          <w:noProof/>
          <w:szCs w:val="24"/>
        </w:rPr>
        <w:t>. Report 1, prepared for Commonwealth Environmental Water Office. South Australian Research and Development Institute, Aquatic Sciences.</w:t>
      </w:r>
    </w:p>
    <w:p w:rsidR="00860E0D" w:rsidRPr="00A67C76" w:rsidRDefault="00860E0D" w:rsidP="00860E0D">
      <w:pPr>
        <w:spacing w:line="240" w:lineRule="auto"/>
        <w:rPr>
          <w:noProof/>
          <w:szCs w:val="24"/>
        </w:rPr>
      </w:pPr>
      <w:r w:rsidRPr="00A67C76">
        <w:rPr>
          <w:noProof/>
          <w:szCs w:val="24"/>
        </w:rPr>
        <w:t>Ye, Q., Livore, J.P., Bucater, L.B., Cheshire, K.J.M. and Fleer, D. (2013c). Changes in larval fish assemblages related to Commonwealth environmental watering in the lower River Murray in 2011/12 with emphasis on golden perch. South Australian Research and Development Institute (Aquatic Sciences), Adelaide. SARDI Publication No. F2013/000293-1. SARDI Research Report Series No. 753. 43pp.</w:t>
      </w:r>
    </w:p>
    <w:p w:rsidR="00860E0D" w:rsidRPr="00A67C76" w:rsidRDefault="00860E0D" w:rsidP="00860E0D">
      <w:pPr>
        <w:spacing w:line="240" w:lineRule="auto"/>
        <w:rPr>
          <w:noProof/>
          <w:szCs w:val="24"/>
        </w:rPr>
      </w:pPr>
      <w:r w:rsidRPr="00A67C76">
        <w:rPr>
          <w:noProof/>
          <w:szCs w:val="24"/>
        </w:rPr>
        <w:t xml:space="preserve">Zampatti, B.P., Bice, C.M. and Jennings, P.R. (2010). Temporal variability in fish assemblage structure and recruitment in a freshwater-deprived estuary: The coorong, australia. </w:t>
      </w:r>
      <w:r w:rsidRPr="00A67C76">
        <w:rPr>
          <w:i/>
          <w:noProof/>
          <w:szCs w:val="24"/>
        </w:rPr>
        <w:t>Marine and Freshwater Research</w:t>
      </w:r>
      <w:r w:rsidRPr="00A67C76">
        <w:rPr>
          <w:noProof/>
          <w:szCs w:val="24"/>
        </w:rPr>
        <w:t xml:space="preserve"> </w:t>
      </w:r>
      <w:r w:rsidRPr="00A67C76">
        <w:rPr>
          <w:b/>
          <w:noProof/>
          <w:szCs w:val="24"/>
        </w:rPr>
        <w:t>61</w:t>
      </w:r>
      <w:r w:rsidRPr="00A67C76">
        <w:rPr>
          <w:noProof/>
          <w:szCs w:val="24"/>
        </w:rPr>
        <w:t>, 1298-1312.</w:t>
      </w:r>
    </w:p>
    <w:p w:rsidR="00860E0D" w:rsidRDefault="00860E0D" w:rsidP="00860E0D">
      <w:pPr>
        <w:spacing w:line="240" w:lineRule="auto"/>
        <w:rPr>
          <w:rStyle w:val="IntenseEmphasis"/>
          <w:noProof/>
          <w:szCs w:val="22"/>
        </w:rPr>
      </w:pPr>
      <w:bookmarkStart w:id="222" w:name="_ENREF_4_37"/>
      <w:r w:rsidRPr="005E5EF5">
        <w:rPr>
          <w:rStyle w:val="IntenseEmphasis"/>
          <w:i w:val="0"/>
          <w:noProof/>
          <w:szCs w:val="22"/>
        </w:rPr>
        <w:t xml:space="preserve">Zeug, S.C. and Winemiller, K.O. (2008). Relationships between hydrology, spatial heterogeneity, and fish recruitment dynamics in a temperate floodplain river. </w:t>
      </w:r>
      <w:r w:rsidRPr="00A67C76">
        <w:rPr>
          <w:rStyle w:val="IntenseEmphasis"/>
          <w:noProof/>
          <w:szCs w:val="22"/>
        </w:rPr>
        <w:t xml:space="preserve">River Research and Applications </w:t>
      </w:r>
      <w:r w:rsidRPr="005E5EF5">
        <w:rPr>
          <w:rStyle w:val="IntenseEmphasis"/>
          <w:b/>
          <w:i w:val="0"/>
          <w:noProof/>
          <w:szCs w:val="22"/>
        </w:rPr>
        <w:t>24</w:t>
      </w:r>
      <w:r w:rsidRPr="00611834">
        <w:rPr>
          <w:rStyle w:val="IntenseEmphasis"/>
          <w:i w:val="0"/>
          <w:noProof/>
          <w:szCs w:val="22"/>
        </w:rPr>
        <w:t xml:space="preserve">, 90-102. </w:t>
      </w:r>
    </w:p>
    <w:p w:rsidR="005E5EF5" w:rsidRDefault="005E5EF5" w:rsidP="005E5EF5">
      <w:pPr>
        <w:spacing w:line="240" w:lineRule="auto"/>
        <w:rPr>
          <w:noProof/>
        </w:rPr>
      </w:pPr>
      <w:r>
        <w:rPr>
          <w:noProof/>
        </w:rPr>
        <w:t>Zimmerman, B.L. (1994). Audio strip transects. In: Heyer, W.R., M.A Donnelly, R.W. McDiarmid, L.C. Hayek &amp; M.S. Foster, eds. Measuring and Monitoring Biological Diversity. Standard Methods for Amphibians. Smithsonian Institution Press, Washington, DC.</w:t>
      </w:r>
    </w:p>
    <w:p w:rsidR="00860E0D" w:rsidRPr="00A67C76" w:rsidRDefault="00860E0D" w:rsidP="00860E0D">
      <w:pPr>
        <w:spacing w:line="240" w:lineRule="auto"/>
        <w:rPr>
          <w:noProof/>
        </w:rPr>
      </w:pPr>
      <w:bookmarkStart w:id="223" w:name="_ENREF_5_10"/>
      <w:r w:rsidRPr="00A67C76">
        <w:rPr>
          <w:noProof/>
        </w:rPr>
        <w:t xml:space="preserve">Zingel, P., Paaver, T., Karus, K., Agasild, H. and Noges, T. (2012). Ciliates as the crucial food source of larval fish in a shallow eutrophic lake. </w:t>
      </w:r>
      <w:r w:rsidRPr="00A67C76">
        <w:rPr>
          <w:i/>
          <w:noProof/>
        </w:rPr>
        <w:t>Limnology and Oceanography</w:t>
      </w:r>
      <w:r w:rsidRPr="00A67C76">
        <w:rPr>
          <w:noProof/>
        </w:rPr>
        <w:t xml:space="preserve"> </w:t>
      </w:r>
      <w:r w:rsidRPr="00A67C76">
        <w:rPr>
          <w:b/>
          <w:noProof/>
        </w:rPr>
        <w:t>57</w:t>
      </w:r>
      <w:r w:rsidRPr="00A67C76">
        <w:rPr>
          <w:noProof/>
        </w:rPr>
        <w:t>, 1049-1056.</w:t>
      </w:r>
    </w:p>
    <w:p w:rsidR="00860E0D" w:rsidRPr="00A67C76" w:rsidRDefault="00860E0D" w:rsidP="00860E0D">
      <w:pPr>
        <w:spacing w:line="240" w:lineRule="auto"/>
        <w:rPr>
          <w:noProof/>
        </w:rPr>
      </w:pPr>
      <w:bookmarkStart w:id="224" w:name="_ENREF_5_11"/>
      <w:bookmarkEnd w:id="223"/>
      <w:r w:rsidRPr="00A67C76">
        <w:rPr>
          <w:noProof/>
        </w:rPr>
        <w:t xml:space="preserve">Zinger, L., Gobet, A. and Pommier, T. (2012). Two decades of describing the unseen majority of aquatic microbial diversity. </w:t>
      </w:r>
      <w:r w:rsidRPr="00A67C76">
        <w:rPr>
          <w:i/>
          <w:noProof/>
        </w:rPr>
        <w:t>Molecular Ecology</w:t>
      </w:r>
      <w:r w:rsidRPr="00A67C76">
        <w:rPr>
          <w:noProof/>
        </w:rPr>
        <w:t xml:space="preserve"> </w:t>
      </w:r>
      <w:r w:rsidRPr="00A67C76">
        <w:rPr>
          <w:b/>
          <w:noProof/>
        </w:rPr>
        <w:t>21</w:t>
      </w:r>
      <w:r w:rsidRPr="00A67C76">
        <w:rPr>
          <w:noProof/>
        </w:rPr>
        <w:t>, 1878-1896.</w:t>
      </w:r>
      <w:bookmarkEnd w:id="222"/>
      <w:bookmarkEnd w:id="224"/>
    </w:p>
    <w:p w:rsidR="00860E0D" w:rsidRPr="00A67C76" w:rsidRDefault="00860E0D" w:rsidP="00860E0D"/>
    <w:p w:rsidR="000C7DEF" w:rsidRPr="00A67C76" w:rsidRDefault="000C7DEF" w:rsidP="00C16ECF">
      <w:pPr>
        <w:spacing w:before="120" w:line="240" w:lineRule="auto"/>
        <w:rPr>
          <w:noProof/>
          <w:szCs w:val="22"/>
        </w:rPr>
      </w:pPr>
    </w:p>
    <w:p w:rsidR="004864FE" w:rsidRPr="00A67C76" w:rsidRDefault="004864FE" w:rsidP="004864FE">
      <w:pPr>
        <w:rPr>
          <w:highlight w:val="yellow"/>
        </w:rPr>
        <w:sectPr w:rsidR="004864FE" w:rsidRPr="00A67C76" w:rsidSect="00F020E5">
          <w:pgSz w:w="11900" w:h="16840" w:code="9"/>
          <w:pgMar w:top="1440" w:right="1440" w:bottom="1440" w:left="1440" w:header="709" w:footer="709" w:gutter="0"/>
          <w:cols w:space="708"/>
          <w:docGrid w:linePitch="360"/>
        </w:sectPr>
      </w:pPr>
    </w:p>
    <w:p w:rsidR="00F07368" w:rsidRPr="00A67C76" w:rsidRDefault="00F07368" w:rsidP="00F41737">
      <w:pPr>
        <w:pStyle w:val="Heading1"/>
      </w:pPr>
      <w:bookmarkStart w:id="225" w:name="_Toc387843610"/>
      <w:r w:rsidRPr="00A67C76">
        <w:t xml:space="preserve">Appendices </w:t>
      </w:r>
      <w:bookmarkEnd w:id="225"/>
    </w:p>
    <w:p w:rsidR="00CC4B06" w:rsidRPr="00A67C76" w:rsidRDefault="009E401F" w:rsidP="009E401F">
      <w:pPr>
        <w:pStyle w:val="Caption"/>
      </w:pPr>
      <w:bookmarkStart w:id="226" w:name="_Ref387840970"/>
      <w:bookmarkStart w:id="227" w:name="_Ref387840966"/>
      <w:bookmarkStart w:id="228" w:name="_Ref381790395"/>
      <w:bookmarkStart w:id="229" w:name="_Ref381790155"/>
      <w:proofErr w:type="gramStart"/>
      <w:r w:rsidRPr="00A67C76">
        <w:t xml:space="preserve">Appendix </w:t>
      </w:r>
      <w:proofErr w:type="gramEnd"/>
      <w:r w:rsidR="002E6077" w:rsidRPr="00A67C76">
        <w:fldChar w:fldCharType="begin"/>
      </w:r>
      <w:r w:rsidR="00621CBB" w:rsidRPr="00A67C76">
        <w:instrText xml:space="preserve"> SEQ Appendix \* ROMAN </w:instrText>
      </w:r>
      <w:r w:rsidR="002E6077" w:rsidRPr="00A67C76">
        <w:fldChar w:fldCharType="separate"/>
      </w:r>
      <w:r w:rsidR="009659F2">
        <w:rPr>
          <w:noProof/>
        </w:rPr>
        <w:t>I</w:t>
      </w:r>
      <w:r w:rsidR="002E6077" w:rsidRPr="00A67C76">
        <w:rPr>
          <w:noProof/>
        </w:rPr>
        <w:fldChar w:fldCharType="end"/>
      </w:r>
      <w:bookmarkEnd w:id="226"/>
      <w:proofErr w:type="gramStart"/>
      <w:r w:rsidR="001B5476" w:rsidRPr="00A67C76">
        <w:t>.</w:t>
      </w:r>
      <w:proofErr w:type="gramEnd"/>
      <w:r w:rsidR="008770C6" w:rsidRPr="00A67C76">
        <w:t xml:space="preserve"> </w:t>
      </w:r>
      <w:r w:rsidR="00CC4B06" w:rsidRPr="00A67C76">
        <w:t>Site information</w:t>
      </w:r>
      <w:r w:rsidR="00A02042" w:rsidRPr="00A67C76">
        <w:t xml:space="preserve"> for sampling tasks:  </w:t>
      </w:r>
      <w:r w:rsidR="00EF5FE6" w:rsidRPr="00A67C76">
        <w:t xml:space="preserve">GPS coordinates </w:t>
      </w:r>
      <w:r w:rsidR="00A02042" w:rsidRPr="00A67C76">
        <w:t>of sampling sites</w:t>
      </w:r>
      <w:r w:rsidR="00027AF6" w:rsidRPr="00A67C76">
        <w:t>.</w:t>
      </w:r>
      <w:bookmarkEnd w:id="227"/>
      <w:r w:rsidR="00CC4B06" w:rsidRPr="00A67C76">
        <w:t xml:space="preserve"> </w:t>
      </w:r>
    </w:p>
    <w:p w:rsidR="00A02042" w:rsidRPr="00A67C76" w:rsidRDefault="00A02042" w:rsidP="009E401F">
      <w:pPr>
        <w:rPr>
          <w:b/>
          <w:sz w:val="20"/>
        </w:rPr>
      </w:pPr>
      <w:r w:rsidRPr="00A67C76">
        <w:rPr>
          <w:b/>
          <w:sz w:val="20"/>
        </w:rPr>
        <w:t>Larval fish and food resources for fish</w:t>
      </w:r>
    </w:p>
    <w:tbl>
      <w:tblPr>
        <w:tblW w:w="0" w:type="auto"/>
        <w:tblInd w:w="87" w:type="dxa"/>
        <w:tblLook w:val="04A0"/>
      </w:tblPr>
      <w:tblGrid>
        <w:gridCol w:w="752"/>
        <w:gridCol w:w="1228"/>
        <w:gridCol w:w="1003"/>
        <w:gridCol w:w="1048"/>
      </w:tblGrid>
      <w:tr w:rsidR="00A02042" w:rsidRPr="00A67C76" w:rsidTr="00A02042">
        <w:trPr>
          <w:trHeight w:val="270"/>
        </w:trPr>
        <w:tc>
          <w:tcPr>
            <w:tcW w:w="0" w:type="auto"/>
            <w:tcBorders>
              <w:top w:val="single" w:sz="8" w:space="0" w:color="auto"/>
              <w:left w:val="nil"/>
              <w:bottom w:val="single" w:sz="8" w:space="0" w:color="auto"/>
              <w:right w:val="nil"/>
            </w:tcBorders>
            <w:shd w:val="clear" w:color="auto" w:fill="auto"/>
            <w:noWrap/>
            <w:vAlign w:val="bottom"/>
            <w:hideMark/>
          </w:tcPr>
          <w:p w:rsidR="00A02042" w:rsidRPr="00A67C76" w:rsidRDefault="00A02042" w:rsidP="00A02042">
            <w:pPr>
              <w:spacing w:after="0" w:line="240" w:lineRule="auto"/>
              <w:contextualSpacing/>
              <w:rPr>
                <w:rFonts w:cs="Arial"/>
                <w:b/>
                <w:bCs/>
                <w:kern w:val="0"/>
                <w:sz w:val="20"/>
              </w:rPr>
            </w:pPr>
            <w:r w:rsidRPr="00A67C76">
              <w:rPr>
                <w:rFonts w:cs="Calibri"/>
                <w:b/>
                <w:bCs/>
                <w:kern w:val="0"/>
                <w:sz w:val="20"/>
              </w:rPr>
              <w:t>Site</w:t>
            </w:r>
          </w:p>
        </w:tc>
        <w:tc>
          <w:tcPr>
            <w:tcW w:w="0" w:type="auto"/>
            <w:tcBorders>
              <w:top w:val="single" w:sz="8" w:space="0" w:color="auto"/>
              <w:left w:val="nil"/>
              <w:bottom w:val="single" w:sz="8" w:space="0" w:color="auto"/>
              <w:right w:val="nil"/>
            </w:tcBorders>
            <w:shd w:val="clear" w:color="auto" w:fill="auto"/>
            <w:noWrap/>
            <w:vAlign w:val="bottom"/>
            <w:hideMark/>
          </w:tcPr>
          <w:p w:rsidR="00A02042" w:rsidRPr="00A67C76" w:rsidRDefault="00A02042" w:rsidP="00A02042">
            <w:pPr>
              <w:spacing w:after="0" w:line="240" w:lineRule="auto"/>
              <w:contextualSpacing/>
              <w:rPr>
                <w:rFonts w:cs="Arial"/>
                <w:b/>
                <w:bCs/>
                <w:kern w:val="0"/>
                <w:sz w:val="20"/>
              </w:rPr>
            </w:pPr>
            <w:r w:rsidRPr="00A67C76">
              <w:rPr>
                <w:rFonts w:cs="Calibri"/>
                <w:b/>
                <w:bCs/>
                <w:kern w:val="0"/>
                <w:sz w:val="20"/>
              </w:rPr>
              <w:t>Region</w:t>
            </w:r>
          </w:p>
        </w:tc>
        <w:tc>
          <w:tcPr>
            <w:tcW w:w="0" w:type="auto"/>
            <w:tcBorders>
              <w:top w:val="single" w:sz="8" w:space="0" w:color="auto"/>
              <w:left w:val="nil"/>
              <w:bottom w:val="single" w:sz="8" w:space="0" w:color="auto"/>
              <w:right w:val="nil"/>
            </w:tcBorders>
            <w:shd w:val="clear" w:color="auto" w:fill="auto"/>
            <w:noWrap/>
            <w:vAlign w:val="bottom"/>
            <w:hideMark/>
          </w:tcPr>
          <w:p w:rsidR="00A02042" w:rsidRPr="00A67C76" w:rsidRDefault="00A02042" w:rsidP="00A02042">
            <w:pPr>
              <w:spacing w:after="0" w:line="240" w:lineRule="auto"/>
              <w:contextualSpacing/>
              <w:jc w:val="right"/>
              <w:rPr>
                <w:rFonts w:cs="Arial"/>
                <w:b/>
                <w:bCs/>
                <w:kern w:val="0"/>
                <w:sz w:val="20"/>
              </w:rPr>
            </w:pPr>
            <w:r w:rsidRPr="00A67C76">
              <w:rPr>
                <w:rFonts w:cs="Calibri"/>
                <w:b/>
                <w:bCs/>
                <w:kern w:val="0"/>
                <w:sz w:val="20"/>
              </w:rPr>
              <w:t>South</w:t>
            </w:r>
          </w:p>
        </w:tc>
        <w:tc>
          <w:tcPr>
            <w:tcW w:w="0" w:type="auto"/>
            <w:tcBorders>
              <w:top w:val="single" w:sz="8" w:space="0" w:color="auto"/>
              <w:left w:val="nil"/>
              <w:bottom w:val="single" w:sz="8" w:space="0" w:color="auto"/>
              <w:right w:val="nil"/>
            </w:tcBorders>
            <w:shd w:val="clear" w:color="auto" w:fill="auto"/>
            <w:noWrap/>
            <w:vAlign w:val="bottom"/>
            <w:hideMark/>
          </w:tcPr>
          <w:p w:rsidR="00A02042" w:rsidRPr="00A67C76" w:rsidRDefault="00A02042" w:rsidP="00A02042">
            <w:pPr>
              <w:spacing w:after="0" w:line="240" w:lineRule="auto"/>
              <w:contextualSpacing/>
              <w:jc w:val="right"/>
              <w:rPr>
                <w:rFonts w:cs="Arial"/>
                <w:b/>
                <w:bCs/>
                <w:kern w:val="0"/>
                <w:sz w:val="20"/>
              </w:rPr>
            </w:pPr>
            <w:r w:rsidRPr="00A67C76">
              <w:rPr>
                <w:rFonts w:cs="Calibri"/>
                <w:b/>
                <w:bCs/>
                <w:kern w:val="0"/>
                <w:sz w:val="20"/>
              </w:rPr>
              <w:t>East</w:t>
            </w:r>
          </w:p>
        </w:tc>
      </w:tr>
      <w:tr w:rsidR="00A02042" w:rsidRPr="00A67C76" w:rsidTr="00A02042">
        <w:trPr>
          <w:trHeight w:val="270"/>
        </w:trPr>
        <w:tc>
          <w:tcPr>
            <w:tcW w:w="0" w:type="auto"/>
            <w:tcBorders>
              <w:top w:val="nil"/>
              <w:left w:val="nil"/>
              <w:bottom w:val="nil"/>
              <w:right w:val="nil"/>
            </w:tcBorders>
            <w:shd w:val="clear" w:color="auto" w:fill="auto"/>
            <w:noWrap/>
            <w:vAlign w:val="bottom"/>
            <w:hideMark/>
          </w:tcPr>
          <w:p w:rsidR="00A02042" w:rsidRPr="00A67C76" w:rsidRDefault="00FD328A" w:rsidP="00A02042">
            <w:pPr>
              <w:spacing w:after="0" w:line="240" w:lineRule="auto"/>
              <w:contextualSpacing/>
              <w:rPr>
                <w:rFonts w:cs="Arial"/>
                <w:kern w:val="0"/>
                <w:sz w:val="20"/>
              </w:rPr>
            </w:pPr>
            <w:r w:rsidRPr="00FD328A">
              <w:rPr>
                <w:rFonts w:cs="Calibri"/>
                <w:kern w:val="0"/>
                <w:sz w:val="20"/>
              </w:rPr>
              <w:t>LK-1</w:t>
            </w:r>
          </w:p>
        </w:tc>
        <w:tc>
          <w:tcPr>
            <w:tcW w:w="0" w:type="auto"/>
            <w:tcBorders>
              <w:top w:val="nil"/>
              <w:left w:val="nil"/>
              <w:bottom w:val="nil"/>
              <w:right w:val="nil"/>
            </w:tcBorders>
            <w:shd w:val="clear" w:color="auto" w:fill="auto"/>
            <w:noWrap/>
            <w:vAlign w:val="bottom"/>
            <w:hideMark/>
          </w:tcPr>
          <w:p w:rsidR="00A02042" w:rsidRPr="00A67C76" w:rsidRDefault="00A02042" w:rsidP="00A02042">
            <w:pPr>
              <w:spacing w:after="0" w:line="240" w:lineRule="auto"/>
              <w:contextualSpacing/>
              <w:rPr>
                <w:rFonts w:cs="Arial"/>
                <w:kern w:val="0"/>
                <w:sz w:val="20"/>
              </w:rPr>
            </w:pPr>
            <w:r w:rsidRPr="00A67C76">
              <w:rPr>
                <w:rFonts w:cs="Calibri"/>
                <w:kern w:val="0"/>
                <w:sz w:val="20"/>
              </w:rPr>
              <w:t>Gorge</w:t>
            </w:r>
          </w:p>
        </w:tc>
        <w:tc>
          <w:tcPr>
            <w:tcW w:w="0" w:type="auto"/>
            <w:tcBorders>
              <w:top w:val="nil"/>
              <w:left w:val="nil"/>
              <w:bottom w:val="nil"/>
              <w:right w:val="nil"/>
            </w:tcBorders>
            <w:shd w:val="clear" w:color="auto" w:fill="auto"/>
            <w:noWrap/>
            <w:vAlign w:val="bottom"/>
            <w:hideMark/>
          </w:tcPr>
          <w:p w:rsidR="00A02042" w:rsidRPr="00A67C76" w:rsidRDefault="00A02042" w:rsidP="00A02042">
            <w:pPr>
              <w:spacing w:after="0" w:line="240" w:lineRule="auto"/>
              <w:contextualSpacing/>
              <w:jc w:val="right"/>
              <w:rPr>
                <w:rFonts w:cs="Arial"/>
                <w:color w:val="auto"/>
                <w:kern w:val="0"/>
                <w:sz w:val="20"/>
              </w:rPr>
            </w:pPr>
            <w:r w:rsidRPr="00A67C76">
              <w:rPr>
                <w:rFonts w:cs="Arial"/>
                <w:color w:val="auto"/>
                <w:kern w:val="0"/>
                <w:sz w:val="20"/>
              </w:rPr>
              <w:t>-34.3847</w:t>
            </w:r>
          </w:p>
        </w:tc>
        <w:tc>
          <w:tcPr>
            <w:tcW w:w="0" w:type="auto"/>
            <w:tcBorders>
              <w:top w:val="nil"/>
              <w:left w:val="nil"/>
              <w:bottom w:val="nil"/>
              <w:right w:val="nil"/>
            </w:tcBorders>
            <w:shd w:val="clear" w:color="auto" w:fill="auto"/>
            <w:noWrap/>
            <w:vAlign w:val="bottom"/>
            <w:hideMark/>
          </w:tcPr>
          <w:p w:rsidR="00A02042" w:rsidRPr="00A67C76" w:rsidRDefault="00A02042" w:rsidP="00A02042">
            <w:pPr>
              <w:spacing w:after="0" w:line="240" w:lineRule="auto"/>
              <w:contextualSpacing/>
              <w:jc w:val="right"/>
              <w:rPr>
                <w:rFonts w:cs="Arial"/>
                <w:color w:val="auto"/>
                <w:kern w:val="0"/>
                <w:sz w:val="20"/>
              </w:rPr>
            </w:pPr>
            <w:r w:rsidRPr="00A67C76">
              <w:rPr>
                <w:rFonts w:cs="Arial"/>
                <w:color w:val="auto"/>
                <w:kern w:val="0"/>
                <w:sz w:val="20"/>
              </w:rPr>
              <w:t>139.6225</w:t>
            </w:r>
          </w:p>
        </w:tc>
      </w:tr>
      <w:tr w:rsidR="00A02042" w:rsidRPr="00A67C76" w:rsidTr="00A02042">
        <w:trPr>
          <w:trHeight w:val="270"/>
        </w:trPr>
        <w:tc>
          <w:tcPr>
            <w:tcW w:w="0" w:type="auto"/>
            <w:tcBorders>
              <w:top w:val="nil"/>
              <w:left w:val="nil"/>
              <w:bottom w:val="nil"/>
              <w:right w:val="nil"/>
            </w:tcBorders>
            <w:shd w:val="clear" w:color="auto" w:fill="auto"/>
            <w:noWrap/>
            <w:vAlign w:val="bottom"/>
            <w:hideMark/>
          </w:tcPr>
          <w:p w:rsidR="00A02042" w:rsidRPr="00A67C76" w:rsidRDefault="00FD328A" w:rsidP="00A02042">
            <w:pPr>
              <w:spacing w:after="0" w:line="240" w:lineRule="auto"/>
              <w:contextualSpacing/>
              <w:rPr>
                <w:rFonts w:cs="Arial"/>
                <w:kern w:val="0"/>
                <w:sz w:val="20"/>
              </w:rPr>
            </w:pPr>
            <w:r w:rsidRPr="00FD328A">
              <w:rPr>
                <w:rFonts w:cs="Calibri"/>
                <w:kern w:val="0"/>
                <w:sz w:val="20"/>
              </w:rPr>
              <w:t>LK-6</w:t>
            </w:r>
          </w:p>
        </w:tc>
        <w:tc>
          <w:tcPr>
            <w:tcW w:w="0" w:type="auto"/>
            <w:tcBorders>
              <w:top w:val="nil"/>
              <w:left w:val="nil"/>
              <w:bottom w:val="nil"/>
              <w:right w:val="nil"/>
            </w:tcBorders>
            <w:shd w:val="clear" w:color="auto" w:fill="auto"/>
            <w:noWrap/>
            <w:vAlign w:val="bottom"/>
            <w:hideMark/>
          </w:tcPr>
          <w:p w:rsidR="00A02042" w:rsidRPr="00A67C76" w:rsidRDefault="00A02042" w:rsidP="00A02042">
            <w:pPr>
              <w:spacing w:after="0" w:line="240" w:lineRule="auto"/>
              <w:contextualSpacing/>
              <w:rPr>
                <w:rFonts w:cs="Arial"/>
                <w:kern w:val="0"/>
                <w:sz w:val="20"/>
              </w:rPr>
            </w:pPr>
            <w:r w:rsidRPr="00A67C76">
              <w:rPr>
                <w:rFonts w:cs="Calibri"/>
                <w:kern w:val="0"/>
                <w:sz w:val="20"/>
              </w:rPr>
              <w:t>Floodplain</w:t>
            </w:r>
          </w:p>
        </w:tc>
        <w:tc>
          <w:tcPr>
            <w:tcW w:w="0" w:type="auto"/>
            <w:tcBorders>
              <w:top w:val="nil"/>
              <w:left w:val="nil"/>
              <w:bottom w:val="nil"/>
              <w:right w:val="nil"/>
            </w:tcBorders>
            <w:shd w:val="clear" w:color="auto" w:fill="auto"/>
            <w:noWrap/>
            <w:vAlign w:val="bottom"/>
            <w:hideMark/>
          </w:tcPr>
          <w:p w:rsidR="00A02042" w:rsidRPr="00A67C76" w:rsidRDefault="00A02042" w:rsidP="00A02042">
            <w:pPr>
              <w:spacing w:after="0" w:line="240" w:lineRule="auto"/>
              <w:contextualSpacing/>
              <w:jc w:val="right"/>
              <w:rPr>
                <w:rFonts w:cs="Arial"/>
                <w:color w:val="auto"/>
                <w:kern w:val="0"/>
                <w:sz w:val="20"/>
              </w:rPr>
            </w:pPr>
            <w:r w:rsidRPr="00A67C76">
              <w:rPr>
                <w:rFonts w:cs="Arial"/>
                <w:color w:val="auto"/>
                <w:kern w:val="0"/>
                <w:sz w:val="20"/>
              </w:rPr>
              <w:t>-34.0171</w:t>
            </w:r>
          </w:p>
        </w:tc>
        <w:tc>
          <w:tcPr>
            <w:tcW w:w="0" w:type="auto"/>
            <w:tcBorders>
              <w:top w:val="nil"/>
              <w:left w:val="nil"/>
              <w:bottom w:val="nil"/>
              <w:right w:val="nil"/>
            </w:tcBorders>
            <w:shd w:val="clear" w:color="auto" w:fill="auto"/>
            <w:noWrap/>
            <w:vAlign w:val="bottom"/>
            <w:hideMark/>
          </w:tcPr>
          <w:p w:rsidR="00A02042" w:rsidRPr="00A67C76" w:rsidRDefault="00A02042" w:rsidP="00A02042">
            <w:pPr>
              <w:spacing w:after="0" w:line="240" w:lineRule="auto"/>
              <w:contextualSpacing/>
              <w:jc w:val="right"/>
              <w:rPr>
                <w:rFonts w:cs="Arial"/>
                <w:color w:val="auto"/>
                <w:kern w:val="0"/>
                <w:sz w:val="20"/>
              </w:rPr>
            </w:pPr>
            <w:r w:rsidRPr="00A67C76">
              <w:rPr>
                <w:rFonts w:cs="Arial"/>
                <w:color w:val="auto"/>
                <w:kern w:val="0"/>
                <w:sz w:val="20"/>
              </w:rPr>
              <w:t>140.8738</w:t>
            </w:r>
          </w:p>
        </w:tc>
      </w:tr>
      <w:tr w:rsidR="00A02042" w:rsidRPr="00A67C76" w:rsidTr="00A02042">
        <w:trPr>
          <w:trHeight w:val="285"/>
        </w:trPr>
        <w:tc>
          <w:tcPr>
            <w:tcW w:w="0" w:type="auto"/>
            <w:tcBorders>
              <w:top w:val="nil"/>
              <w:left w:val="nil"/>
              <w:bottom w:val="single" w:sz="8" w:space="0" w:color="auto"/>
              <w:right w:val="nil"/>
            </w:tcBorders>
            <w:shd w:val="clear" w:color="auto" w:fill="auto"/>
            <w:noWrap/>
            <w:vAlign w:val="bottom"/>
            <w:hideMark/>
          </w:tcPr>
          <w:p w:rsidR="00A02042" w:rsidRPr="00A67C76" w:rsidRDefault="00FD328A" w:rsidP="00A02042">
            <w:pPr>
              <w:spacing w:after="0" w:line="240" w:lineRule="auto"/>
              <w:contextualSpacing/>
              <w:rPr>
                <w:rFonts w:cs="Arial"/>
                <w:kern w:val="0"/>
                <w:sz w:val="20"/>
              </w:rPr>
            </w:pPr>
            <w:r w:rsidRPr="00FD328A">
              <w:rPr>
                <w:rFonts w:cs="Calibri"/>
                <w:kern w:val="0"/>
                <w:sz w:val="20"/>
              </w:rPr>
              <w:t>LK-6</w:t>
            </w:r>
            <w:r w:rsidR="00A02042" w:rsidRPr="00A67C76">
              <w:rPr>
                <w:rFonts w:cs="Calibri"/>
                <w:kern w:val="0"/>
                <w:sz w:val="20"/>
              </w:rPr>
              <w:t>A</w:t>
            </w:r>
          </w:p>
        </w:tc>
        <w:tc>
          <w:tcPr>
            <w:tcW w:w="0" w:type="auto"/>
            <w:tcBorders>
              <w:top w:val="nil"/>
              <w:left w:val="nil"/>
              <w:bottom w:val="single" w:sz="8" w:space="0" w:color="auto"/>
              <w:right w:val="nil"/>
            </w:tcBorders>
            <w:shd w:val="clear" w:color="auto" w:fill="auto"/>
            <w:noWrap/>
            <w:vAlign w:val="bottom"/>
            <w:hideMark/>
          </w:tcPr>
          <w:p w:rsidR="00A02042" w:rsidRPr="00A67C76" w:rsidRDefault="00A02042" w:rsidP="00A02042">
            <w:pPr>
              <w:spacing w:after="0" w:line="240" w:lineRule="auto"/>
              <w:contextualSpacing/>
              <w:rPr>
                <w:rFonts w:cs="Arial"/>
                <w:kern w:val="0"/>
                <w:sz w:val="20"/>
              </w:rPr>
            </w:pPr>
            <w:r w:rsidRPr="00A67C76">
              <w:rPr>
                <w:rFonts w:cs="Calibri"/>
                <w:kern w:val="0"/>
                <w:sz w:val="20"/>
              </w:rPr>
              <w:t>Floodplain</w:t>
            </w:r>
          </w:p>
        </w:tc>
        <w:tc>
          <w:tcPr>
            <w:tcW w:w="0" w:type="auto"/>
            <w:tcBorders>
              <w:top w:val="nil"/>
              <w:left w:val="nil"/>
              <w:bottom w:val="single" w:sz="8" w:space="0" w:color="auto"/>
              <w:right w:val="nil"/>
            </w:tcBorders>
            <w:shd w:val="clear" w:color="auto" w:fill="auto"/>
            <w:noWrap/>
            <w:vAlign w:val="bottom"/>
            <w:hideMark/>
          </w:tcPr>
          <w:p w:rsidR="00A02042" w:rsidRPr="00A67C76" w:rsidRDefault="00A02042" w:rsidP="00A02042">
            <w:pPr>
              <w:spacing w:after="0" w:line="240" w:lineRule="auto"/>
              <w:contextualSpacing/>
              <w:jc w:val="right"/>
              <w:rPr>
                <w:rFonts w:cs="Arial"/>
                <w:color w:val="auto"/>
                <w:kern w:val="0"/>
                <w:sz w:val="20"/>
              </w:rPr>
            </w:pPr>
            <w:r w:rsidRPr="00A67C76">
              <w:rPr>
                <w:rFonts w:cs="Arial"/>
                <w:color w:val="auto"/>
                <w:kern w:val="0"/>
                <w:sz w:val="20"/>
              </w:rPr>
              <w:t>-34.0142</w:t>
            </w:r>
          </w:p>
        </w:tc>
        <w:tc>
          <w:tcPr>
            <w:tcW w:w="0" w:type="auto"/>
            <w:tcBorders>
              <w:top w:val="nil"/>
              <w:left w:val="nil"/>
              <w:bottom w:val="single" w:sz="8" w:space="0" w:color="auto"/>
              <w:right w:val="nil"/>
            </w:tcBorders>
            <w:shd w:val="clear" w:color="auto" w:fill="auto"/>
            <w:noWrap/>
            <w:vAlign w:val="bottom"/>
            <w:hideMark/>
          </w:tcPr>
          <w:p w:rsidR="00A02042" w:rsidRPr="00A67C76" w:rsidRDefault="00A02042" w:rsidP="00A02042">
            <w:pPr>
              <w:spacing w:after="0" w:line="240" w:lineRule="auto"/>
              <w:contextualSpacing/>
              <w:jc w:val="right"/>
              <w:rPr>
                <w:rFonts w:cs="Arial"/>
                <w:color w:val="auto"/>
                <w:kern w:val="0"/>
                <w:sz w:val="20"/>
              </w:rPr>
            </w:pPr>
            <w:r w:rsidRPr="00A67C76">
              <w:rPr>
                <w:rFonts w:cs="Arial"/>
                <w:color w:val="auto"/>
                <w:kern w:val="0"/>
                <w:sz w:val="20"/>
              </w:rPr>
              <w:t>140.8581</w:t>
            </w:r>
          </w:p>
        </w:tc>
      </w:tr>
    </w:tbl>
    <w:p w:rsidR="000B3877" w:rsidRPr="00A67C76" w:rsidRDefault="000B3877" w:rsidP="00F41737">
      <w:pPr>
        <w:contextualSpacing/>
        <w:outlineLvl w:val="0"/>
      </w:pPr>
    </w:p>
    <w:p w:rsidR="00A02042" w:rsidRPr="00A67C76" w:rsidRDefault="00A02042" w:rsidP="009E401F">
      <w:pPr>
        <w:rPr>
          <w:b/>
          <w:sz w:val="20"/>
        </w:rPr>
      </w:pPr>
      <w:r w:rsidRPr="00A67C76">
        <w:rPr>
          <w:b/>
          <w:sz w:val="20"/>
        </w:rPr>
        <w:t>Dissolved and particulate material transport</w:t>
      </w:r>
    </w:p>
    <w:p w:rsidR="004F22E9" w:rsidRPr="00A67C76" w:rsidRDefault="004F22E9" w:rsidP="00A02042">
      <w:pPr>
        <w:contextualSpacing/>
        <w:rPr>
          <w:i/>
        </w:rPr>
      </w:pPr>
      <w:r w:rsidRPr="00A67C76">
        <w:rPr>
          <w:i/>
        </w:rPr>
        <w:t>Sampling sites</w:t>
      </w:r>
    </w:p>
    <w:tbl>
      <w:tblPr>
        <w:tblStyle w:val="LightList-Accent11"/>
        <w:tblW w:w="0" w:type="auto"/>
        <w:tblBorders>
          <w:top w:val="none" w:sz="0" w:space="0" w:color="auto"/>
          <w:left w:val="none" w:sz="0" w:space="0" w:color="auto"/>
          <w:bottom w:val="none" w:sz="0" w:space="0" w:color="auto"/>
          <w:right w:val="none" w:sz="0" w:space="0" w:color="auto"/>
        </w:tblBorders>
        <w:tblLook w:val="04A0"/>
      </w:tblPr>
      <w:tblGrid>
        <w:gridCol w:w="2040"/>
        <w:gridCol w:w="2814"/>
        <w:gridCol w:w="808"/>
        <w:gridCol w:w="1048"/>
        <w:gridCol w:w="992"/>
        <w:gridCol w:w="993"/>
      </w:tblGrid>
      <w:tr w:rsidR="00A02042" w:rsidRPr="00A67C76" w:rsidTr="003F7FFD">
        <w:trPr>
          <w:cnfStyle w:val="100000000000"/>
          <w:trHeight w:val="20"/>
        </w:trPr>
        <w:tc>
          <w:tcPr>
            <w:cnfStyle w:val="001000000000"/>
            <w:tcW w:w="0" w:type="auto"/>
            <w:tcBorders>
              <w:top w:val="single" w:sz="4" w:space="0" w:color="auto"/>
              <w:bottom w:val="single" w:sz="4" w:space="0" w:color="auto"/>
            </w:tcBorders>
            <w:shd w:val="clear" w:color="auto" w:fill="auto"/>
          </w:tcPr>
          <w:p w:rsidR="00A02042" w:rsidRPr="00A67C76" w:rsidRDefault="00A02042" w:rsidP="000B3877">
            <w:pPr>
              <w:spacing w:line="240" w:lineRule="auto"/>
              <w:contextualSpacing/>
            </w:pPr>
            <w:r w:rsidRPr="00A67C76">
              <w:t>Water body</w:t>
            </w:r>
          </w:p>
        </w:tc>
        <w:tc>
          <w:tcPr>
            <w:tcW w:w="0" w:type="auto"/>
            <w:tcBorders>
              <w:top w:val="single" w:sz="4" w:space="0" w:color="auto"/>
              <w:bottom w:val="single" w:sz="4" w:space="0" w:color="auto"/>
            </w:tcBorders>
            <w:shd w:val="clear" w:color="auto" w:fill="auto"/>
          </w:tcPr>
          <w:p w:rsidR="00A02042" w:rsidRPr="00A67C76" w:rsidRDefault="00A02042" w:rsidP="000B3877">
            <w:pPr>
              <w:spacing w:line="240" w:lineRule="auto"/>
              <w:contextualSpacing/>
              <w:cnfStyle w:val="100000000000"/>
            </w:pPr>
            <w:r w:rsidRPr="00A67C76">
              <w:t>Site name</w:t>
            </w:r>
          </w:p>
        </w:tc>
        <w:tc>
          <w:tcPr>
            <w:tcW w:w="0" w:type="auto"/>
            <w:tcBorders>
              <w:top w:val="single" w:sz="4" w:space="0" w:color="auto"/>
              <w:bottom w:val="single" w:sz="4" w:space="0" w:color="auto"/>
            </w:tcBorders>
            <w:shd w:val="clear" w:color="auto" w:fill="auto"/>
            <w:noWrap/>
            <w:hideMark/>
          </w:tcPr>
          <w:p w:rsidR="00A02042" w:rsidRPr="00A67C76" w:rsidRDefault="00A02042" w:rsidP="000B3877">
            <w:pPr>
              <w:spacing w:line="240" w:lineRule="auto"/>
              <w:contextualSpacing/>
              <w:cnfStyle w:val="100000000000"/>
            </w:pPr>
            <w:r w:rsidRPr="00A67C76">
              <w:t>Site ID</w:t>
            </w:r>
          </w:p>
        </w:tc>
        <w:tc>
          <w:tcPr>
            <w:tcW w:w="0" w:type="auto"/>
            <w:tcBorders>
              <w:top w:val="single" w:sz="4" w:space="0" w:color="auto"/>
              <w:bottom w:val="single" w:sz="4" w:space="0" w:color="auto"/>
            </w:tcBorders>
            <w:shd w:val="clear" w:color="auto" w:fill="auto"/>
            <w:noWrap/>
            <w:hideMark/>
          </w:tcPr>
          <w:p w:rsidR="00A02042" w:rsidRPr="00A67C76" w:rsidRDefault="00A02042" w:rsidP="000B3877">
            <w:pPr>
              <w:spacing w:line="240" w:lineRule="auto"/>
              <w:contextualSpacing/>
              <w:cnfStyle w:val="100000000000"/>
            </w:pPr>
            <w:r w:rsidRPr="00A67C76">
              <w:t>X</w:t>
            </w:r>
          </w:p>
        </w:tc>
        <w:tc>
          <w:tcPr>
            <w:tcW w:w="0" w:type="auto"/>
            <w:tcBorders>
              <w:top w:val="single" w:sz="4" w:space="0" w:color="auto"/>
              <w:bottom w:val="single" w:sz="4" w:space="0" w:color="auto"/>
            </w:tcBorders>
            <w:shd w:val="clear" w:color="auto" w:fill="auto"/>
            <w:noWrap/>
            <w:hideMark/>
          </w:tcPr>
          <w:p w:rsidR="00A02042" w:rsidRPr="00A67C76" w:rsidRDefault="00A02042" w:rsidP="000B3877">
            <w:pPr>
              <w:spacing w:line="240" w:lineRule="auto"/>
              <w:contextualSpacing/>
              <w:cnfStyle w:val="100000000000"/>
            </w:pPr>
            <w:r w:rsidRPr="00A67C76">
              <w:t>Y</w:t>
            </w:r>
          </w:p>
        </w:tc>
        <w:tc>
          <w:tcPr>
            <w:tcW w:w="0" w:type="auto"/>
            <w:tcBorders>
              <w:top w:val="single" w:sz="4" w:space="0" w:color="auto"/>
              <w:bottom w:val="single" w:sz="4" w:space="0" w:color="auto"/>
            </w:tcBorders>
            <w:shd w:val="clear" w:color="auto" w:fill="auto"/>
            <w:noWrap/>
            <w:hideMark/>
          </w:tcPr>
          <w:p w:rsidR="00A02042" w:rsidRPr="00A67C76" w:rsidRDefault="00A02042" w:rsidP="000B3877">
            <w:pPr>
              <w:spacing w:line="240" w:lineRule="auto"/>
              <w:contextualSpacing/>
              <w:cnfStyle w:val="100000000000"/>
            </w:pPr>
            <w:r w:rsidRPr="00A67C76">
              <w:t>Zone</w:t>
            </w:r>
          </w:p>
        </w:tc>
      </w:tr>
      <w:tr w:rsidR="00A02042" w:rsidRPr="00A67C76" w:rsidTr="003F7FFD">
        <w:trPr>
          <w:cnfStyle w:val="000000100000"/>
          <w:trHeight w:val="20"/>
        </w:trPr>
        <w:tc>
          <w:tcPr>
            <w:cnfStyle w:val="001000000000"/>
            <w:tcW w:w="0" w:type="auto"/>
            <w:vMerge w:val="restart"/>
            <w:tcBorders>
              <w:top w:val="single" w:sz="4" w:space="0" w:color="auto"/>
              <w:left w:val="none" w:sz="0" w:space="0" w:color="auto"/>
              <w:bottom w:val="none" w:sz="0" w:space="0" w:color="auto"/>
            </w:tcBorders>
            <w:shd w:val="clear" w:color="auto" w:fill="auto"/>
          </w:tcPr>
          <w:p w:rsidR="00A02042" w:rsidRPr="00A67C76" w:rsidRDefault="00A02042" w:rsidP="000B3877">
            <w:pPr>
              <w:spacing w:line="240" w:lineRule="auto"/>
              <w:contextualSpacing/>
            </w:pPr>
            <w:r w:rsidRPr="00A67C76">
              <w:t>Lower Murray River</w:t>
            </w:r>
          </w:p>
        </w:tc>
        <w:tc>
          <w:tcPr>
            <w:tcW w:w="0" w:type="auto"/>
            <w:tcBorders>
              <w:top w:val="single" w:sz="4" w:space="0" w:color="auto"/>
              <w:bottom w:val="none" w:sz="0" w:space="0" w:color="auto"/>
            </w:tcBorders>
            <w:shd w:val="clear" w:color="auto" w:fill="auto"/>
          </w:tcPr>
          <w:p w:rsidR="00A02042" w:rsidRPr="00A67C76" w:rsidRDefault="00A02042" w:rsidP="000B3877">
            <w:pPr>
              <w:spacing w:line="240" w:lineRule="auto"/>
              <w:contextualSpacing/>
              <w:cnfStyle w:val="000000100000"/>
            </w:pPr>
            <w:r w:rsidRPr="00A67C76">
              <w:t>Blanchetown (Lock 1)</w:t>
            </w:r>
          </w:p>
        </w:tc>
        <w:tc>
          <w:tcPr>
            <w:tcW w:w="0" w:type="auto"/>
            <w:tcBorders>
              <w:top w:val="single" w:sz="4" w:space="0" w:color="auto"/>
              <w:bottom w:val="none" w:sz="0" w:space="0" w:color="auto"/>
            </w:tcBorders>
            <w:shd w:val="clear" w:color="auto" w:fill="auto"/>
            <w:noWrap/>
            <w:hideMark/>
          </w:tcPr>
          <w:p w:rsidR="00A02042" w:rsidRPr="00A67C76" w:rsidRDefault="00A02042" w:rsidP="000B3877">
            <w:pPr>
              <w:spacing w:line="240" w:lineRule="auto"/>
              <w:contextualSpacing/>
              <w:cnfStyle w:val="000000100000"/>
            </w:pPr>
            <w:r w:rsidRPr="00A67C76">
              <w:t>RM-1</w:t>
            </w:r>
          </w:p>
        </w:tc>
        <w:tc>
          <w:tcPr>
            <w:tcW w:w="0" w:type="auto"/>
            <w:tcBorders>
              <w:top w:val="single" w:sz="4" w:space="0" w:color="auto"/>
              <w:bottom w:val="none" w:sz="0" w:space="0" w:color="auto"/>
            </w:tcBorders>
            <w:shd w:val="clear" w:color="auto" w:fill="auto"/>
            <w:noWrap/>
            <w:hideMark/>
          </w:tcPr>
          <w:p w:rsidR="00A02042" w:rsidRPr="00A67C76" w:rsidRDefault="00A02042" w:rsidP="000B3877">
            <w:pPr>
              <w:spacing w:line="240" w:lineRule="auto"/>
              <w:contextualSpacing/>
              <w:cnfStyle w:val="000000100000"/>
            </w:pPr>
            <w:r w:rsidRPr="00A67C76">
              <w:t>373768.9</w:t>
            </w:r>
          </w:p>
        </w:tc>
        <w:tc>
          <w:tcPr>
            <w:tcW w:w="0" w:type="auto"/>
            <w:tcBorders>
              <w:top w:val="single" w:sz="4" w:space="0" w:color="auto"/>
              <w:bottom w:val="none" w:sz="0" w:space="0" w:color="auto"/>
            </w:tcBorders>
            <w:shd w:val="clear" w:color="auto" w:fill="auto"/>
            <w:noWrap/>
            <w:hideMark/>
          </w:tcPr>
          <w:p w:rsidR="00A02042" w:rsidRPr="00A67C76" w:rsidRDefault="00A02042" w:rsidP="000B3877">
            <w:pPr>
              <w:spacing w:line="240" w:lineRule="auto"/>
              <w:contextualSpacing/>
              <w:cnfStyle w:val="000000100000"/>
            </w:pPr>
            <w:r w:rsidRPr="00A67C76">
              <w:t>6195837</w:t>
            </w:r>
          </w:p>
        </w:tc>
        <w:tc>
          <w:tcPr>
            <w:tcW w:w="0" w:type="auto"/>
            <w:tcBorders>
              <w:top w:val="single" w:sz="4" w:space="0" w:color="auto"/>
              <w:bottom w:val="none" w:sz="0" w:space="0" w:color="auto"/>
              <w:right w:val="none" w:sz="0" w:space="0" w:color="auto"/>
            </w:tcBorders>
            <w:shd w:val="clear" w:color="auto" w:fill="auto"/>
            <w:noWrap/>
            <w:hideMark/>
          </w:tcPr>
          <w:p w:rsidR="00A02042" w:rsidRPr="00A67C76" w:rsidRDefault="00A02042" w:rsidP="000B3877">
            <w:pPr>
              <w:spacing w:line="240" w:lineRule="auto"/>
              <w:contextualSpacing/>
              <w:cnfStyle w:val="000000100000"/>
            </w:pPr>
            <w:r w:rsidRPr="00A67C76">
              <w:t>UTM 54S</w:t>
            </w:r>
          </w:p>
        </w:tc>
      </w:tr>
      <w:tr w:rsidR="00A02042" w:rsidRPr="00A67C76" w:rsidTr="003F7FFD">
        <w:trPr>
          <w:trHeight w:val="20"/>
        </w:trPr>
        <w:tc>
          <w:tcPr>
            <w:cnfStyle w:val="001000000000"/>
            <w:tcW w:w="0" w:type="auto"/>
            <w:vMerge/>
            <w:tcBorders>
              <w:bottom w:val="single" w:sz="4" w:space="0" w:color="auto"/>
            </w:tcBorders>
            <w:shd w:val="clear" w:color="auto" w:fill="auto"/>
          </w:tcPr>
          <w:p w:rsidR="00A02042" w:rsidRPr="00A67C76" w:rsidRDefault="00A02042" w:rsidP="000B3877">
            <w:pPr>
              <w:spacing w:line="240" w:lineRule="auto"/>
              <w:contextualSpacing/>
            </w:pPr>
          </w:p>
        </w:tc>
        <w:tc>
          <w:tcPr>
            <w:tcW w:w="0" w:type="auto"/>
            <w:tcBorders>
              <w:bottom w:val="single" w:sz="4" w:space="0" w:color="auto"/>
            </w:tcBorders>
            <w:shd w:val="clear" w:color="auto" w:fill="auto"/>
          </w:tcPr>
          <w:p w:rsidR="00A02042" w:rsidRPr="00A67C76" w:rsidRDefault="00A02042" w:rsidP="000B3877">
            <w:pPr>
              <w:spacing w:line="240" w:lineRule="auto"/>
              <w:contextualSpacing/>
              <w:cnfStyle w:val="000000000000"/>
            </w:pPr>
            <w:r w:rsidRPr="00A67C76">
              <w:t>Wellington</w:t>
            </w:r>
          </w:p>
        </w:tc>
        <w:tc>
          <w:tcPr>
            <w:tcW w:w="0" w:type="auto"/>
            <w:tcBorders>
              <w:bottom w:val="single" w:sz="4" w:space="0" w:color="auto"/>
            </w:tcBorders>
            <w:shd w:val="clear" w:color="auto" w:fill="auto"/>
            <w:noWrap/>
            <w:hideMark/>
          </w:tcPr>
          <w:p w:rsidR="00A02042" w:rsidRPr="00A67C76" w:rsidRDefault="00A02042" w:rsidP="000B3877">
            <w:pPr>
              <w:spacing w:line="240" w:lineRule="auto"/>
              <w:contextualSpacing/>
              <w:cnfStyle w:val="000000000000"/>
            </w:pPr>
            <w:r w:rsidRPr="00A67C76">
              <w:t>RM-3</w:t>
            </w:r>
          </w:p>
        </w:tc>
        <w:tc>
          <w:tcPr>
            <w:tcW w:w="0" w:type="auto"/>
            <w:tcBorders>
              <w:bottom w:val="single" w:sz="4" w:space="0" w:color="auto"/>
            </w:tcBorders>
            <w:shd w:val="clear" w:color="auto" w:fill="auto"/>
            <w:noWrap/>
            <w:vAlign w:val="bottom"/>
          </w:tcPr>
          <w:p w:rsidR="00A02042" w:rsidRPr="00A67C76" w:rsidRDefault="00A02042" w:rsidP="000B3877">
            <w:pPr>
              <w:spacing w:line="240" w:lineRule="auto"/>
              <w:contextualSpacing/>
              <w:cnfStyle w:val="000000000000"/>
            </w:pPr>
            <w:r w:rsidRPr="00A67C76">
              <w:t>353152.5</w:t>
            </w:r>
          </w:p>
        </w:tc>
        <w:tc>
          <w:tcPr>
            <w:tcW w:w="0" w:type="auto"/>
            <w:tcBorders>
              <w:bottom w:val="single" w:sz="4" w:space="0" w:color="auto"/>
            </w:tcBorders>
            <w:shd w:val="clear" w:color="auto" w:fill="auto"/>
            <w:noWrap/>
            <w:vAlign w:val="bottom"/>
          </w:tcPr>
          <w:p w:rsidR="00A02042" w:rsidRPr="00A67C76" w:rsidRDefault="00A02042" w:rsidP="000B3877">
            <w:pPr>
              <w:spacing w:line="240" w:lineRule="auto"/>
              <w:contextualSpacing/>
              <w:cnfStyle w:val="000000000000"/>
            </w:pPr>
            <w:r w:rsidRPr="00A67C76">
              <w:t>6086654</w:t>
            </w:r>
          </w:p>
        </w:tc>
        <w:tc>
          <w:tcPr>
            <w:tcW w:w="0" w:type="auto"/>
            <w:tcBorders>
              <w:bottom w:val="single" w:sz="4" w:space="0" w:color="auto"/>
            </w:tcBorders>
            <w:shd w:val="clear" w:color="auto" w:fill="auto"/>
            <w:noWrap/>
            <w:hideMark/>
          </w:tcPr>
          <w:p w:rsidR="00A02042" w:rsidRPr="00A67C76" w:rsidRDefault="00A02042" w:rsidP="000B3877">
            <w:pPr>
              <w:spacing w:line="240" w:lineRule="auto"/>
              <w:contextualSpacing/>
              <w:cnfStyle w:val="000000000000"/>
            </w:pPr>
            <w:r w:rsidRPr="00A67C76">
              <w:t>UTM 54S</w:t>
            </w:r>
          </w:p>
        </w:tc>
      </w:tr>
      <w:tr w:rsidR="00A02042" w:rsidRPr="00A67C76" w:rsidTr="003F7FFD">
        <w:trPr>
          <w:cnfStyle w:val="000000100000"/>
          <w:trHeight w:val="20"/>
        </w:trPr>
        <w:tc>
          <w:tcPr>
            <w:cnfStyle w:val="001000000000"/>
            <w:tcW w:w="0" w:type="auto"/>
            <w:vMerge w:val="restart"/>
            <w:tcBorders>
              <w:top w:val="single" w:sz="4" w:space="0" w:color="auto"/>
              <w:left w:val="none" w:sz="0" w:space="0" w:color="auto"/>
              <w:bottom w:val="none" w:sz="0" w:space="0" w:color="auto"/>
            </w:tcBorders>
            <w:shd w:val="clear" w:color="auto" w:fill="auto"/>
          </w:tcPr>
          <w:p w:rsidR="00A02042" w:rsidRPr="00A67C76" w:rsidRDefault="00A02042" w:rsidP="000B3877">
            <w:pPr>
              <w:spacing w:line="240" w:lineRule="auto"/>
              <w:contextualSpacing/>
            </w:pPr>
            <w:r w:rsidRPr="00A67C76">
              <w:t>Lower Lakes</w:t>
            </w:r>
          </w:p>
        </w:tc>
        <w:tc>
          <w:tcPr>
            <w:tcW w:w="0" w:type="auto"/>
            <w:tcBorders>
              <w:top w:val="single" w:sz="4" w:space="0" w:color="auto"/>
              <w:bottom w:val="none" w:sz="0" w:space="0" w:color="auto"/>
            </w:tcBorders>
            <w:shd w:val="clear" w:color="auto" w:fill="auto"/>
          </w:tcPr>
          <w:p w:rsidR="00A02042" w:rsidRPr="00A67C76" w:rsidRDefault="00A02042" w:rsidP="000B3877">
            <w:pPr>
              <w:spacing w:line="240" w:lineRule="auto"/>
              <w:contextualSpacing/>
              <w:cnfStyle w:val="000000100000"/>
            </w:pPr>
            <w:r w:rsidRPr="00A67C76">
              <w:t>Lake Albert Middle</w:t>
            </w:r>
          </w:p>
        </w:tc>
        <w:tc>
          <w:tcPr>
            <w:tcW w:w="0" w:type="auto"/>
            <w:tcBorders>
              <w:top w:val="single" w:sz="4" w:space="0" w:color="auto"/>
              <w:bottom w:val="none" w:sz="0" w:space="0" w:color="auto"/>
            </w:tcBorders>
            <w:shd w:val="clear" w:color="auto" w:fill="auto"/>
            <w:noWrap/>
            <w:hideMark/>
          </w:tcPr>
          <w:p w:rsidR="00A02042" w:rsidRPr="00A67C76" w:rsidRDefault="00A02042" w:rsidP="000B3877">
            <w:pPr>
              <w:spacing w:line="240" w:lineRule="auto"/>
              <w:contextualSpacing/>
              <w:cnfStyle w:val="000000100000"/>
            </w:pPr>
            <w:r w:rsidRPr="00A67C76">
              <w:t>LAb2</w:t>
            </w:r>
          </w:p>
        </w:tc>
        <w:tc>
          <w:tcPr>
            <w:tcW w:w="0" w:type="auto"/>
            <w:tcBorders>
              <w:top w:val="single" w:sz="4" w:space="0" w:color="auto"/>
              <w:bottom w:val="none" w:sz="0" w:space="0" w:color="auto"/>
            </w:tcBorders>
            <w:shd w:val="clear" w:color="auto" w:fill="auto"/>
            <w:noWrap/>
            <w:hideMark/>
          </w:tcPr>
          <w:p w:rsidR="00A02042" w:rsidRPr="00A67C76" w:rsidRDefault="00A02042" w:rsidP="000B3877">
            <w:pPr>
              <w:spacing w:line="240" w:lineRule="auto"/>
              <w:contextualSpacing/>
              <w:cnfStyle w:val="000000100000"/>
            </w:pPr>
            <w:r w:rsidRPr="00A67C76">
              <w:t>346724.2</w:t>
            </w:r>
          </w:p>
        </w:tc>
        <w:tc>
          <w:tcPr>
            <w:tcW w:w="0" w:type="auto"/>
            <w:tcBorders>
              <w:top w:val="single" w:sz="4" w:space="0" w:color="auto"/>
              <w:bottom w:val="none" w:sz="0" w:space="0" w:color="auto"/>
            </w:tcBorders>
            <w:shd w:val="clear" w:color="auto" w:fill="auto"/>
            <w:noWrap/>
            <w:hideMark/>
          </w:tcPr>
          <w:p w:rsidR="00A02042" w:rsidRPr="00A67C76" w:rsidRDefault="00A02042" w:rsidP="000B3877">
            <w:pPr>
              <w:spacing w:line="240" w:lineRule="auto"/>
              <w:contextualSpacing/>
              <w:cnfStyle w:val="000000100000"/>
            </w:pPr>
            <w:r w:rsidRPr="00A67C76">
              <w:t>6056213</w:t>
            </w:r>
          </w:p>
        </w:tc>
        <w:tc>
          <w:tcPr>
            <w:tcW w:w="0" w:type="auto"/>
            <w:tcBorders>
              <w:top w:val="single" w:sz="4" w:space="0" w:color="auto"/>
              <w:bottom w:val="none" w:sz="0" w:space="0" w:color="auto"/>
              <w:right w:val="none" w:sz="0" w:space="0" w:color="auto"/>
            </w:tcBorders>
            <w:shd w:val="clear" w:color="auto" w:fill="auto"/>
            <w:noWrap/>
            <w:hideMark/>
          </w:tcPr>
          <w:p w:rsidR="00A02042" w:rsidRPr="00A67C76" w:rsidRDefault="00A02042" w:rsidP="000B3877">
            <w:pPr>
              <w:spacing w:line="240" w:lineRule="auto"/>
              <w:contextualSpacing/>
              <w:cnfStyle w:val="000000100000"/>
            </w:pPr>
            <w:r w:rsidRPr="00A67C76">
              <w:t>UTM 54S</w:t>
            </w:r>
          </w:p>
        </w:tc>
      </w:tr>
      <w:tr w:rsidR="00A02042" w:rsidRPr="00A67C76" w:rsidTr="003F7FFD">
        <w:trPr>
          <w:trHeight w:val="20"/>
        </w:trPr>
        <w:tc>
          <w:tcPr>
            <w:cnfStyle w:val="001000000000"/>
            <w:tcW w:w="0" w:type="auto"/>
            <w:vMerge/>
            <w:shd w:val="clear" w:color="auto" w:fill="auto"/>
          </w:tcPr>
          <w:p w:rsidR="00A02042" w:rsidRPr="00A67C76" w:rsidRDefault="00A02042" w:rsidP="000B3877">
            <w:pPr>
              <w:spacing w:line="240" w:lineRule="auto"/>
              <w:contextualSpacing/>
            </w:pPr>
          </w:p>
        </w:tc>
        <w:tc>
          <w:tcPr>
            <w:tcW w:w="0" w:type="auto"/>
            <w:shd w:val="clear" w:color="auto" w:fill="auto"/>
          </w:tcPr>
          <w:p w:rsidR="00A02042" w:rsidRPr="00A67C76" w:rsidRDefault="00A02042" w:rsidP="000B3877">
            <w:pPr>
              <w:spacing w:line="240" w:lineRule="auto"/>
              <w:contextualSpacing/>
              <w:cnfStyle w:val="000000000000"/>
            </w:pPr>
            <w:r w:rsidRPr="00A67C76">
              <w:t>Lake Alexandrina Opening</w:t>
            </w:r>
          </w:p>
        </w:tc>
        <w:tc>
          <w:tcPr>
            <w:tcW w:w="0" w:type="auto"/>
            <w:shd w:val="clear" w:color="auto" w:fill="auto"/>
            <w:noWrap/>
            <w:hideMark/>
          </w:tcPr>
          <w:p w:rsidR="00A02042" w:rsidRPr="00A67C76" w:rsidRDefault="00A02042" w:rsidP="000B3877">
            <w:pPr>
              <w:spacing w:line="240" w:lineRule="auto"/>
              <w:contextualSpacing/>
              <w:cnfStyle w:val="000000000000"/>
            </w:pPr>
            <w:r w:rsidRPr="00A67C76">
              <w:t>LAx1</w:t>
            </w:r>
          </w:p>
        </w:tc>
        <w:tc>
          <w:tcPr>
            <w:tcW w:w="0" w:type="auto"/>
            <w:shd w:val="clear" w:color="auto" w:fill="auto"/>
            <w:noWrap/>
            <w:hideMark/>
          </w:tcPr>
          <w:p w:rsidR="00A02042" w:rsidRPr="00A67C76" w:rsidRDefault="00A02042" w:rsidP="000B3877">
            <w:pPr>
              <w:spacing w:line="240" w:lineRule="auto"/>
              <w:contextualSpacing/>
              <w:cnfStyle w:val="000000000000"/>
            </w:pPr>
            <w:r w:rsidRPr="00A67C76">
              <w:t>348468.4</w:t>
            </w:r>
          </w:p>
        </w:tc>
        <w:tc>
          <w:tcPr>
            <w:tcW w:w="0" w:type="auto"/>
            <w:shd w:val="clear" w:color="auto" w:fill="auto"/>
            <w:noWrap/>
            <w:hideMark/>
          </w:tcPr>
          <w:p w:rsidR="00A02042" w:rsidRPr="00A67C76" w:rsidRDefault="00A02042" w:rsidP="000B3877">
            <w:pPr>
              <w:spacing w:line="240" w:lineRule="auto"/>
              <w:contextualSpacing/>
              <w:cnfStyle w:val="000000000000"/>
            </w:pPr>
            <w:r w:rsidRPr="00A67C76">
              <w:t>6080369</w:t>
            </w:r>
          </w:p>
        </w:tc>
        <w:tc>
          <w:tcPr>
            <w:tcW w:w="0" w:type="auto"/>
            <w:shd w:val="clear" w:color="auto" w:fill="auto"/>
            <w:noWrap/>
            <w:hideMark/>
          </w:tcPr>
          <w:p w:rsidR="00A02042" w:rsidRPr="00A67C76" w:rsidRDefault="00A02042" w:rsidP="000B3877">
            <w:pPr>
              <w:spacing w:line="240" w:lineRule="auto"/>
              <w:contextualSpacing/>
              <w:cnfStyle w:val="000000000000"/>
            </w:pPr>
            <w:r w:rsidRPr="00A67C76">
              <w:t>UTM 54S</w:t>
            </w:r>
          </w:p>
        </w:tc>
      </w:tr>
      <w:tr w:rsidR="00A02042" w:rsidRPr="00A67C76" w:rsidTr="003F7FFD">
        <w:trPr>
          <w:cnfStyle w:val="000000100000"/>
          <w:trHeight w:val="20"/>
        </w:trPr>
        <w:tc>
          <w:tcPr>
            <w:cnfStyle w:val="001000000000"/>
            <w:tcW w:w="0" w:type="auto"/>
            <w:vMerge/>
            <w:tcBorders>
              <w:top w:val="none" w:sz="0" w:space="0" w:color="auto"/>
              <w:left w:val="none" w:sz="0" w:space="0" w:color="auto"/>
              <w:bottom w:val="none" w:sz="0" w:space="0" w:color="auto"/>
            </w:tcBorders>
            <w:shd w:val="clear" w:color="auto" w:fill="auto"/>
          </w:tcPr>
          <w:p w:rsidR="00A02042" w:rsidRPr="00A67C76" w:rsidRDefault="00A02042" w:rsidP="000B3877">
            <w:pPr>
              <w:spacing w:line="240" w:lineRule="auto"/>
              <w:contextualSpacing/>
            </w:pPr>
          </w:p>
        </w:tc>
        <w:tc>
          <w:tcPr>
            <w:tcW w:w="0" w:type="auto"/>
            <w:tcBorders>
              <w:top w:val="none" w:sz="0" w:space="0" w:color="auto"/>
              <w:bottom w:val="none" w:sz="0" w:space="0" w:color="auto"/>
            </w:tcBorders>
            <w:shd w:val="clear" w:color="auto" w:fill="auto"/>
          </w:tcPr>
          <w:p w:rsidR="00A02042" w:rsidRPr="00A67C76" w:rsidRDefault="00A02042" w:rsidP="000B3877">
            <w:pPr>
              <w:spacing w:line="240" w:lineRule="auto"/>
              <w:contextualSpacing/>
              <w:cnfStyle w:val="000000100000"/>
            </w:pPr>
            <w:r w:rsidRPr="00A67C76">
              <w:t>Lake Alexandrina Middle</w:t>
            </w:r>
          </w:p>
        </w:tc>
        <w:tc>
          <w:tcPr>
            <w:tcW w:w="0" w:type="auto"/>
            <w:tcBorders>
              <w:top w:val="none" w:sz="0" w:space="0" w:color="auto"/>
              <w:bottom w:val="none" w:sz="0" w:space="0" w:color="auto"/>
            </w:tcBorders>
            <w:shd w:val="clear" w:color="auto" w:fill="auto"/>
            <w:noWrap/>
            <w:hideMark/>
          </w:tcPr>
          <w:p w:rsidR="00A02042" w:rsidRPr="00A67C76" w:rsidRDefault="00A02042" w:rsidP="000B3877">
            <w:pPr>
              <w:spacing w:line="240" w:lineRule="auto"/>
              <w:contextualSpacing/>
              <w:cnfStyle w:val="000000100000"/>
            </w:pPr>
            <w:r w:rsidRPr="00A67C76">
              <w:t>LAx4</w:t>
            </w:r>
          </w:p>
        </w:tc>
        <w:tc>
          <w:tcPr>
            <w:tcW w:w="0" w:type="auto"/>
            <w:tcBorders>
              <w:top w:val="none" w:sz="0" w:space="0" w:color="auto"/>
              <w:bottom w:val="none" w:sz="0" w:space="0" w:color="auto"/>
            </w:tcBorders>
            <w:shd w:val="clear" w:color="auto" w:fill="auto"/>
            <w:noWrap/>
            <w:hideMark/>
          </w:tcPr>
          <w:p w:rsidR="00A02042" w:rsidRPr="00A67C76" w:rsidRDefault="00A02042" w:rsidP="000B3877">
            <w:pPr>
              <w:spacing w:line="240" w:lineRule="auto"/>
              <w:contextualSpacing/>
              <w:cnfStyle w:val="000000100000"/>
            </w:pPr>
            <w:r w:rsidRPr="00A67C76">
              <w:t>331761.4</w:t>
            </w:r>
          </w:p>
        </w:tc>
        <w:tc>
          <w:tcPr>
            <w:tcW w:w="0" w:type="auto"/>
            <w:tcBorders>
              <w:top w:val="none" w:sz="0" w:space="0" w:color="auto"/>
              <w:bottom w:val="none" w:sz="0" w:space="0" w:color="auto"/>
            </w:tcBorders>
            <w:shd w:val="clear" w:color="auto" w:fill="auto"/>
            <w:noWrap/>
            <w:hideMark/>
          </w:tcPr>
          <w:p w:rsidR="00A02042" w:rsidRPr="00A67C76" w:rsidRDefault="00A02042" w:rsidP="000B3877">
            <w:pPr>
              <w:spacing w:line="240" w:lineRule="auto"/>
              <w:contextualSpacing/>
              <w:cnfStyle w:val="000000100000"/>
            </w:pPr>
            <w:r w:rsidRPr="00A67C76">
              <w:t>6077836</w:t>
            </w:r>
          </w:p>
        </w:tc>
        <w:tc>
          <w:tcPr>
            <w:tcW w:w="0" w:type="auto"/>
            <w:tcBorders>
              <w:top w:val="none" w:sz="0" w:space="0" w:color="auto"/>
              <w:bottom w:val="none" w:sz="0" w:space="0" w:color="auto"/>
              <w:right w:val="none" w:sz="0" w:space="0" w:color="auto"/>
            </w:tcBorders>
            <w:shd w:val="clear" w:color="auto" w:fill="auto"/>
            <w:noWrap/>
            <w:hideMark/>
          </w:tcPr>
          <w:p w:rsidR="00A02042" w:rsidRPr="00A67C76" w:rsidRDefault="00A02042" w:rsidP="000B3877">
            <w:pPr>
              <w:spacing w:line="240" w:lineRule="auto"/>
              <w:contextualSpacing/>
              <w:cnfStyle w:val="000000100000"/>
            </w:pPr>
            <w:r w:rsidRPr="00A67C76">
              <w:t>UTM 54S</w:t>
            </w:r>
          </w:p>
        </w:tc>
      </w:tr>
      <w:tr w:rsidR="00A02042" w:rsidRPr="00A67C76" w:rsidTr="003F7FFD">
        <w:trPr>
          <w:trHeight w:val="20"/>
        </w:trPr>
        <w:tc>
          <w:tcPr>
            <w:cnfStyle w:val="001000000000"/>
            <w:tcW w:w="0" w:type="auto"/>
            <w:vMerge/>
            <w:tcBorders>
              <w:bottom w:val="single" w:sz="4" w:space="0" w:color="auto"/>
            </w:tcBorders>
            <w:shd w:val="clear" w:color="auto" w:fill="auto"/>
          </w:tcPr>
          <w:p w:rsidR="00A02042" w:rsidRPr="00A67C76" w:rsidRDefault="00A02042" w:rsidP="000B3877">
            <w:pPr>
              <w:spacing w:line="240" w:lineRule="auto"/>
              <w:contextualSpacing/>
            </w:pPr>
          </w:p>
        </w:tc>
        <w:tc>
          <w:tcPr>
            <w:tcW w:w="0" w:type="auto"/>
            <w:tcBorders>
              <w:bottom w:val="single" w:sz="4" w:space="0" w:color="auto"/>
            </w:tcBorders>
            <w:shd w:val="clear" w:color="auto" w:fill="auto"/>
          </w:tcPr>
          <w:p w:rsidR="00A02042" w:rsidRPr="00A67C76" w:rsidRDefault="00A02042" w:rsidP="000B3877">
            <w:pPr>
              <w:spacing w:line="240" w:lineRule="auto"/>
              <w:contextualSpacing/>
              <w:cnfStyle w:val="000000000000"/>
            </w:pPr>
            <w:r w:rsidRPr="00A67C76">
              <w:t>Point McLeay</w:t>
            </w:r>
          </w:p>
        </w:tc>
        <w:tc>
          <w:tcPr>
            <w:tcW w:w="0" w:type="auto"/>
            <w:tcBorders>
              <w:bottom w:val="single" w:sz="4" w:space="0" w:color="auto"/>
            </w:tcBorders>
            <w:shd w:val="clear" w:color="auto" w:fill="auto"/>
            <w:noWrap/>
            <w:hideMark/>
          </w:tcPr>
          <w:p w:rsidR="00A02042" w:rsidRPr="00A67C76" w:rsidRDefault="00A02042" w:rsidP="000B3877">
            <w:pPr>
              <w:spacing w:line="240" w:lineRule="auto"/>
              <w:contextualSpacing/>
              <w:cnfStyle w:val="000000000000"/>
            </w:pPr>
            <w:r w:rsidRPr="00A67C76">
              <w:t>LAx5</w:t>
            </w:r>
          </w:p>
        </w:tc>
        <w:tc>
          <w:tcPr>
            <w:tcW w:w="0" w:type="auto"/>
            <w:tcBorders>
              <w:bottom w:val="single" w:sz="4" w:space="0" w:color="auto"/>
            </w:tcBorders>
            <w:shd w:val="clear" w:color="auto" w:fill="auto"/>
            <w:noWrap/>
            <w:hideMark/>
          </w:tcPr>
          <w:p w:rsidR="00A02042" w:rsidRPr="00A67C76" w:rsidRDefault="00A02042" w:rsidP="000B3877">
            <w:pPr>
              <w:spacing w:line="240" w:lineRule="auto"/>
              <w:contextualSpacing/>
              <w:cnfStyle w:val="000000000000"/>
            </w:pPr>
            <w:r w:rsidRPr="00A67C76">
              <w:t>324379.4</w:t>
            </w:r>
          </w:p>
        </w:tc>
        <w:tc>
          <w:tcPr>
            <w:tcW w:w="0" w:type="auto"/>
            <w:tcBorders>
              <w:bottom w:val="single" w:sz="4" w:space="0" w:color="auto"/>
            </w:tcBorders>
            <w:shd w:val="clear" w:color="auto" w:fill="auto"/>
            <w:noWrap/>
            <w:hideMark/>
          </w:tcPr>
          <w:p w:rsidR="00A02042" w:rsidRPr="00A67C76" w:rsidRDefault="00A02042" w:rsidP="000B3877">
            <w:pPr>
              <w:spacing w:line="240" w:lineRule="auto"/>
              <w:contextualSpacing/>
              <w:cnfStyle w:val="000000000000"/>
            </w:pPr>
            <w:r w:rsidRPr="00A67C76">
              <w:t>6068672</w:t>
            </w:r>
          </w:p>
        </w:tc>
        <w:tc>
          <w:tcPr>
            <w:tcW w:w="0" w:type="auto"/>
            <w:tcBorders>
              <w:bottom w:val="single" w:sz="4" w:space="0" w:color="auto"/>
            </w:tcBorders>
            <w:shd w:val="clear" w:color="auto" w:fill="auto"/>
            <w:noWrap/>
            <w:hideMark/>
          </w:tcPr>
          <w:p w:rsidR="00A02042" w:rsidRPr="00A67C76" w:rsidRDefault="00A02042" w:rsidP="000B3877">
            <w:pPr>
              <w:spacing w:line="240" w:lineRule="auto"/>
              <w:contextualSpacing/>
              <w:cnfStyle w:val="000000000000"/>
            </w:pPr>
            <w:r w:rsidRPr="00A67C76">
              <w:t>UTM 54S</w:t>
            </w:r>
          </w:p>
        </w:tc>
      </w:tr>
      <w:tr w:rsidR="00A02042" w:rsidRPr="00A67C76" w:rsidTr="003F7FFD">
        <w:trPr>
          <w:cnfStyle w:val="000000100000"/>
          <w:trHeight w:val="20"/>
        </w:trPr>
        <w:tc>
          <w:tcPr>
            <w:cnfStyle w:val="001000000000"/>
            <w:tcW w:w="0" w:type="auto"/>
            <w:vMerge w:val="restart"/>
            <w:tcBorders>
              <w:top w:val="single" w:sz="4" w:space="0" w:color="auto"/>
              <w:left w:val="none" w:sz="0" w:space="0" w:color="auto"/>
              <w:bottom w:val="single" w:sz="4" w:space="0" w:color="auto"/>
            </w:tcBorders>
            <w:shd w:val="clear" w:color="auto" w:fill="auto"/>
          </w:tcPr>
          <w:p w:rsidR="00A02042" w:rsidRPr="00A67C76" w:rsidRDefault="00A02042" w:rsidP="000B3877">
            <w:pPr>
              <w:spacing w:line="240" w:lineRule="auto"/>
              <w:contextualSpacing/>
            </w:pPr>
            <w:r w:rsidRPr="00A67C76">
              <w:t>Coorong</w:t>
            </w:r>
          </w:p>
        </w:tc>
        <w:tc>
          <w:tcPr>
            <w:tcW w:w="0" w:type="auto"/>
            <w:vMerge w:val="restart"/>
            <w:tcBorders>
              <w:top w:val="single" w:sz="4" w:space="0" w:color="auto"/>
            </w:tcBorders>
            <w:shd w:val="clear" w:color="auto" w:fill="auto"/>
          </w:tcPr>
          <w:p w:rsidR="00A02042" w:rsidRPr="00A67C76" w:rsidRDefault="00A02042" w:rsidP="000B3877">
            <w:pPr>
              <w:spacing w:line="240" w:lineRule="auto"/>
              <w:contextualSpacing/>
              <w:cnfStyle w:val="000000100000"/>
            </w:pPr>
            <w:r w:rsidRPr="00A67C76">
              <w:t>Goolwa Barrage</w:t>
            </w:r>
          </w:p>
          <w:p w:rsidR="00A02042" w:rsidRPr="00A67C76" w:rsidRDefault="00A02042" w:rsidP="000B3877">
            <w:pPr>
              <w:spacing w:line="240" w:lineRule="auto"/>
              <w:contextualSpacing/>
              <w:cnfStyle w:val="000000100000"/>
            </w:pPr>
            <w:r w:rsidRPr="00A67C76">
              <w:t>Murray Mouth</w:t>
            </w:r>
          </w:p>
        </w:tc>
        <w:tc>
          <w:tcPr>
            <w:tcW w:w="0" w:type="auto"/>
            <w:vMerge w:val="restart"/>
            <w:tcBorders>
              <w:top w:val="single" w:sz="4" w:space="0" w:color="auto"/>
            </w:tcBorders>
            <w:shd w:val="clear" w:color="auto" w:fill="auto"/>
            <w:noWrap/>
            <w:hideMark/>
          </w:tcPr>
          <w:p w:rsidR="00A02042" w:rsidRPr="00A67C76" w:rsidRDefault="00A02042" w:rsidP="000B3877">
            <w:pPr>
              <w:spacing w:line="240" w:lineRule="auto"/>
              <w:contextualSpacing/>
              <w:cnfStyle w:val="000000100000"/>
            </w:pPr>
            <w:r w:rsidRPr="00A67C76">
              <w:t>C - 1</w:t>
            </w:r>
          </w:p>
          <w:p w:rsidR="00A02042" w:rsidRPr="00A67C76" w:rsidRDefault="00A02042" w:rsidP="000B3877">
            <w:pPr>
              <w:spacing w:line="240" w:lineRule="auto"/>
              <w:contextualSpacing/>
              <w:cnfStyle w:val="000000100000"/>
            </w:pPr>
            <w:r w:rsidRPr="00A67C76">
              <w:t>C - 5</w:t>
            </w:r>
          </w:p>
        </w:tc>
        <w:tc>
          <w:tcPr>
            <w:tcW w:w="0" w:type="auto"/>
            <w:vMerge w:val="restart"/>
            <w:tcBorders>
              <w:top w:val="single" w:sz="4" w:space="0" w:color="auto"/>
            </w:tcBorders>
            <w:shd w:val="clear" w:color="auto" w:fill="auto"/>
            <w:noWrap/>
            <w:hideMark/>
          </w:tcPr>
          <w:p w:rsidR="00A02042" w:rsidRPr="00A67C76" w:rsidRDefault="00A02042" w:rsidP="000B3877">
            <w:pPr>
              <w:spacing w:line="240" w:lineRule="auto"/>
              <w:contextualSpacing/>
              <w:cnfStyle w:val="000000100000"/>
            </w:pPr>
            <w:r w:rsidRPr="00A67C76">
              <w:t>302100.7</w:t>
            </w:r>
          </w:p>
          <w:p w:rsidR="00A02042" w:rsidRPr="00A67C76" w:rsidRDefault="00A02042" w:rsidP="000B3877">
            <w:pPr>
              <w:spacing w:line="240" w:lineRule="auto"/>
              <w:contextualSpacing/>
              <w:cnfStyle w:val="000000100000"/>
            </w:pPr>
            <w:r w:rsidRPr="00A67C76">
              <w:t>308001.3</w:t>
            </w:r>
          </w:p>
        </w:tc>
        <w:tc>
          <w:tcPr>
            <w:tcW w:w="0" w:type="auto"/>
            <w:vMerge w:val="restart"/>
            <w:tcBorders>
              <w:top w:val="single" w:sz="4" w:space="0" w:color="auto"/>
            </w:tcBorders>
            <w:shd w:val="clear" w:color="auto" w:fill="auto"/>
            <w:noWrap/>
            <w:hideMark/>
          </w:tcPr>
          <w:p w:rsidR="00A02042" w:rsidRPr="00A67C76" w:rsidRDefault="00A02042" w:rsidP="000B3877">
            <w:pPr>
              <w:spacing w:line="240" w:lineRule="auto"/>
              <w:contextualSpacing/>
              <w:cnfStyle w:val="000000100000"/>
            </w:pPr>
            <w:r w:rsidRPr="00A67C76">
              <w:t>6066302</w:t>
            </w:r>
          </w:p>
          <w:p w:rsidR="00A02042" w:rsidRPr="00A67C76" w:rsidRDefault="00A02042" w:rsidP="000B3877">
            <w:pPr>
              <w:spacing w:line="240" w:lineRule="auto"/>
              <w:contextualSpacing/>
              <w:cnfStyle w:val="000000100000"/>
            </w:pPr>
            <w:r w:rsidRPr="00A67C76">
              <w:t>6063098</w:t>
            </w:r>
          </w:p>
        </w:tc>
        <w:tc>
          <w:tcPr>
            <w:tcW w:w="0" w:type="auto"/>
            <w:tcBorders>
              <w:top w:val="single" w:sz="4" w:space="0" w:color="auto"/>
              <w:bottom w:val="none" w:sz="0" w:space="0" w:color="auto"/>
              <w:right w:val="none" w:sz="0" w:space="0" w:color="auto"/>
            </w:tcBorders>
            <w:shd w:val="clear" w:color="auto" w:fill="auto"/>
            <w:noWrap/>
            <w:hideMark/>
          </w:tcPr>
          <w:p w:rsidR="00A02042" w:rsidRPr="00A67C76" w:rsidRDefault="00A02042" w:rsidP="000B3877">
            <w:pPr>
              <w:spacing w:line="240" w:lineRule="auto"/>
              <w:contextualSpacing/>
              <w:cnfStyle w:val="000000100000"/>
            </w:pPr>
            <w:r w:rsidRPr="00A67C76">
              <w:t>UTM 54S</w:t>
            </w:r>
          </w:p>
        </w:tc>
      </w:tr>
      <w:tr w:rsidR="00A02042" w:rsidRPr="00A67C76" w:rsidTr="003F7FFD">
        <w:trPr>
          <w:trHeight w:val="20"/>
        </w:trPr>
        <w:tc>
          <w:tcPr>
            <w:cnfStyle w:val="001000000000"/>
            <w:tcW w:w="0" w:type="auto"/>
            <w:vMerge/>
            <w:tcBorders>
              <w:bottom w:val="single" w:sz="4" w:space="0" w:color="auto"/>
            </w:tcBorders>
            <w:shd w:val="clear" w:color="auto" w:fill="auto"/>
          </w:tcPr>
          <w:p w:rsidR="00A02042" w:rsidRPr="00A67C76" w:rsidRDefault="00A02042" w:rsidP="000B3877">
            <w:pPr>
              <w:spacing w:line="240" w:lineRule="auto"/>
              <w:contextualSpacing/>
            </w:pPr>
          </w:p>
        </w:tc>
        <w:tc>
          <w:tcPr>
            <w:tcW w:w="0" w:type="auto"/>
            <w:vMerge/>
            <w:shd w:val="clear" w:color="auto" w:fill="auto"/>
          </w:tcPr>
          <w:p w:rsidR="00A02042" w:rsidRPr="00A67C76" w:rsidRDefault="00A02042" w:rsidP="000B3877">
            <w:pPr>
              <w:spacing w:line="240" w:lineRule="auto"/>
              <w:contextualSpacing/>
              <w:cnfStyle w:val="000000000000"/>
            </w:pPr>
          </w:p>
        </w:tc>
        <w:tc>
          <w:tcPr>
            <w:tcW w:w="0" w:type="auto"/>
            <w:vMerge/>
            <w:shd w:val="clear" w:color="auto" w:fill="auto"/>
            <w:noWrap/>
            <w:hideMark/>
          </w:tcPr>
          <w:p w:rsidR="00A02042" w:rsidRPr="00A67C76" w:rsidRDefault="00A02042" w:rsidP="000B3877">
            <w:pPr>
              <w:spacing w:line="240" w:lineRule="auto"/>
              <w:contextualSpacing/>
              <w:cnfStyle w:val="000000000000"/>
            </w:pPr>
          </w:p>
        </w:tc>
        <w:tc>
          <w:tcPr>
            <w:tcW w:w="0" w:type="auto"/>
            <w:vMerge/>
            <w:shd w:val="clear" w:color="auto" w:fill="auto"/>
            <w:noWrap/>
            <w:hideMark/>
          </w:tcPr>
          <w:p w:rsidR="00A02042" w:rsidRPr="00A67C76" w:rsidRDefault="00A02042" w:rsidP="000B3877">
            <w:pPr>
              <w:spacing w:line="240" w:lineRule="auto"/>
              <w:contextualSpacing/>
              <w:cnfStyle w:val="000000000000"/>
            </w:pPr>
          </w:p>
        </w:tc>
        <w:tc>
          <w:tcPr>
            <w:tcW w:w="0" w:type="auto"/>
            <w:vMerge/>
            <w:shd w:val="clear" w:color="auto" w:fill="auto"/>
            <w:noWrap/>
            <w:hideMark/>
          </w:tcPr>
          <w:p w:rsidR="00A02042" w:rsidRPr="00A67C76" w:rsidRDefault="00A02042" w:rsidP="000B3877">
            <w:pPr>
              <w:spacing w:line="240" w:lineRule="auto"/>
              <w:contextualSpacing/>
              <w:cnfStyle w:val="000000000000"/>
            </w:pPr>
          </w:p>
        </w:tc>
        <w:tc>
          <w:tcPr>
            <w:tcW w:w="0" w:type="auto"/>
            <w:shd w:val="clear" w:color="auto" w:fill="auto"/>
            <w:noWrap/>
            <w:hideMark/>
          </w:tcPr>
          <w:p w:rsidR="00A02042" w:rsidRPr="00A67C76" w:rsidRDefault="00A02042" w:rsidP="000B3877">
            <w:pPr>
              <w:spacing w:line="240" w:lineRule="auto"/>
              <w:contextualSpacing/>
              <w:cnfStyle w:val="000000000000"/>
            </w:pPr>
            <w:r w:rsidRPr="00A67C76">
              <w:t>UTM 54S</w:t>
            </w:r>
          </w:p>
        </w:tc>
      </w:tr>
      <w:tr w:rsidR="00A02042" w:rsidRPr="00A67C76" w:rsidTr="003F7FFD">
        <w:trPr>
          <w:cnfStyle w:val="000000100000"/>
          <w:trHeight w:val="20"/>
        </w:trPr>
        <w:tc>
          <w:tcPr>
            <w:cnfStyle w:val="001000000000"/>
            <w:tcW w:w="0" w:type="auto"/>
            <w:vMerge/>
            <w:tcBorders>
              <w:top w:val="none" w:sz="0" w:space="0" w:color="auto"/>
              <w:left w:val="none" w:sz="0" w:space="0" w:color="auto"/>
              <w:bottom w:val="single" w:sz="4" w:space="0" w:color="auto"/>
            </w:tcBorders>
            <w:shd w:val="clear" w:color="auto" w:fill="auto"/>
          </w:tcPr>
          <w:p w:rsidR="00A02042" w:rsidRPr="00A67C76" w:rsidRDefault="00A02042" w:rsidP="000B3877">
            <w:pPr>
              <w:spacing w:line="240" w:lineRule="auto"/>
              <w:contextualSpacing/>
            </w:pPr>
          </w:p>
        </w:tc>
        <w:tc>
          <w:tcPr>
            <w:tcW w:w="0" w:type="auto"/>
            <w:tcBorders>
              <w:top w:val="none" w:sz="0" w:space="0" w:color="auto"/>
              <w:bottom w:val="none" w:sz="0" w:space="0" w:color="auto"/>
            </w:tcBorders>
            <w:shd w:val="clear" w:color="auto" w:fill="auto"/>
          </w:tcPr>
          <w:p w:rsidR="00A02042" w:rsidRPr="00A67C76" w:rsidRDefault="00A02042" w:rsidP="000B3877">
            <w:pPr>
              <w:spacing w:line="240" w:lineRule="auto"/>
              <w:contextualSpacing/>
              <w:cnfStyle w:val="000000100000"/>
            </w:pPr>
            <w:r w:rsidRPr="00A67C76">
              <w:t>Ewe Island</w:t>
            </w:r>
          </w:p>
        </w:tc>
        <w:tc>
          <w:tcPr>
            <w:tcW w:w="0" w:type="auto"/>
            <w:tcBorders>
              <w:top w:val="none" w:sz="0" w:space="0" w:color="auto"/>
              <w:bottom w:val="none" w:sz="0" w:space="0" w:color="auto"/>
            </w:tcBorders>
            <w:shd w:val="clear" w:color="auto" w:fill="auto"/>
            <w:noWrap/>
            <w:hideMark/>
          </w:tcPr>
          <w:p w:rsidR="00A02042" w:rsidRPr="00A67C76" w:rsidRDefault="00A02042" w:rsidP="000B3877">
            <w:pPr>
              <w:spacing w:line="240" w:lineRule="auto"/>
              <w:contextualSpacing/>
              <w:cnfStyle w:val="000000100000"/>
            </w:pPr>
            <w:r w:rsidRPr="00A67C76">
              <w:t>C - 9</w:t>
            </w:r>
          </w:p>
        </w:tc>
        <w:tc>
          <w:tcPr>
            <w:tcW w:w="0" w:type="auto"/>
            <w:tcBorders>
              <w:top w:val="none" w:sz="0" w:space="0" w:color="auto"/>
              <w:bottom w:val="none" w:sz="0" w:space="0" w:color="auto"/>
            </w:tcBorders>
            <w:shd w:val="clear" w:color="auto" w:fill="auto"/>
            <w:noWrap/>
            <w:hideMark/>
          </w:tcPr>
          <w:p w:rsidR="00A02042" w:rsidRPr="00A67C76" w:rsidRDefault="00A02042" w:rsidP="000B3877">
            <w:pPr>
              <w:spacing w:line="240" w:lineRule="auto"/>
              <w:contextualSpacing/>
              <w:cnfStyle w:val="000000100000"/>
            </w:pPr>
            <w:r w:rsidRPr="00A67C76">
              <w:t>315228.9</w:t>
            </w:r>
          </w:p>
        </w:tc>
        <w:tc>
          <w:tcPr>
            <w:tcW w:w="0" w:type="auto"/>
            <w:tcBorders>
              <w:top w:val="none" w:sz="0" w:space="0" w:color="auto"/>
              <w:bottom w:val="none" w:sz="0" w:space="0" w:color="auto"/>
            </w:tcBorders>
            <w:shd w:val="clear" w:color="auto" w:fill="auto"/>
            <w:noWrap/>
            <w:hideMark/>
          </w:tcPr>
          <w:p w:rsidR="00A02042" w:rsidRPr="00A67C76" w:rsidRDefault="00A02042" w:rsidP="000B3877">
            <w:pPr>
              <w:spacing w:line="240" w:lineRule="auto"/>
              <w:contextualSpacing/>
              <w:cnfStyle w:val="000000100000"/>
            </w:pPr>
            <w:r w:rsidRPr="00A67C76">
              <w:t>6062110</w:t>
            </w:r>
          </w:p>
        </w:tc>
        <w:tc>
          <w:tcPr>
            <w:tcW w:w="0" w:type="auto"/>
            <w:tcBorders>
              <w:top w:val="none" w:sz="0" w:space="0" w:color="auto"/>
              <w:bottom w:val="none" w:sz="0" w:space="0" w:color="auto"/>
              <w:right w:val="none" w:sz="0" w:space="0" w:color="auto"/>
            </w:tcBorders>
            <w:shd w:val="clear" w:color="auto" w:fill="auto"/>
            <w:noWrap/>
            <w:hideMark/>
          </w:tcPr>
          <w:p w:rsidR="00A02042" w:rsidRPr="00A67C76" w:rsidRDefault="00A02042" w:rsidP="000B3877">
            <w:pPr>
              <w:spacing w:line="240" w:lineRule="auto"/>
              <w:contextualSpacing/>
              <w:cnfStyle w:val="000000100000"/>
            </w:pPr>
            <w:r w:rsidRPr="00A67C76">
              <w:t>UTM 54S</w:t>
            </w:r>
          </w:p>
        </w:tc>
      </w:tr>
      <w:tr w:rsidR="00A02042" w:rsidRPr="00A67C76" w:rsidTr="003F7FFD">
        <w:trPr>
          <w:trHeight w:val="20"/>
        </w:trPr>
        <w:tc>
          <w:tcPr>
            <w:cnfStyle w:val="001000000000"/>
            <w:tcW w:w="0" w:type="auto"/>
            <w:vMerge/>
            <w:tcBorders>
              <w:bottom w:val="single" w:sz="4" w:space="0" w:color="auto"/>
            </w:tcBorders>
            <w:shd w:val="clear" w:color="auto" w:fill="auto"/>
          </w:tcPr>
          <w:p w:rsidR="00A02042" w:rsidRPr="00A67C76" w:rsidRDefault="00A02042" w:rsidP="000B3877">
            <w:pPr>
              <w:spacing w:line="240" w:lineRule="auto"/>
              <w:contextualSpacing/>
            </w:pPr>
          </w:p>
        </w:tc>
        <w:tc>
          <w:tcPr>
            <w:tcW w:w="0" w:type="auto"/>
            <w:shd w:val="clear" w:color="auto" w:fill="auto"/>
          </w:tcPr>
          <w:p w:rsidR="00A02042" w:rsidRPr="00A67C76" w:rsidRDefault="00A02042" w:rsidP="000B3877">
            <w:pPr>
              <w:spacing w:line="240" w:lineRule="auto"/>
              <w:contextualSpacing/>
              <w:cnfStyle w:val="000000000000"/>
            </w:pPr>
            <w:r w:rsidRPr="00A67C76">
              <w:t>Mark Point</w:t>
            </w:r>
          </w:p>
        </w:tc>
        <w:tc>
          <w:tcPr>
            <w:tcW w:w="0" w:type="auto"/>
            <w:shd w:val="clear" w:color="auto" w:fill="auto"/>
            <w:noWrap/>
            <w:hideMark/>
          </w:tcPr>
          <w:p w:rsidR="00A02042" w:rsidRPr="00A67C76" w:rsidRDefault="00A02042" w:rsidP="000B3877">
            <w:pPr>
              <w:spacing w:line="240" w:lineRule="auto"/>
              <w:contextualSpacing/>
              <w:cnfStyle w:val="000000000000"/>
            </w:pPr>
            <w:r w:rsidRPr="00A67C76">
              <w:t>C - 11</w:t>
            </w:r>
          </w:p>
        </w:tc>
        <w:tc>
          <w:tcPr>
            <w:tcW w:w="0" w:type="auto"/>
            <w:shd w:val="clear" w:color="auto" w:fill="auto"/>
            <w:noWrap/>
            <w:hideMark/>
          </w:tcPr>
          <w:p w:rsidR="00A02042" w:rsidRPr="00A67C76" w:rsidRDefault="00A02042" w:rsidP="000B3877">
            <w:pPr>
              <w:spacing w:line="240" w:lineRule="auto"/>
              <w:contextualSpacing/>
              <w:cnfStyle w:val="000000000000"/>
            </w:pPr>
            <w:r w:rsidRPr="00A67C76">
              <w:t>325761.5</w:t>
            </w:r>
          </w:p>
        </w:tc>
        <w:tc>
          <w:tcPr>
            <w:tcW w:w="0" w:type="auto"/>
            <w:shd w:val="clear" w:color="auto" w:fill="auto"/>
            <w:noWrap/>
            <w:hideMark/>
          </w:tcPr>
          <w:p w:rsidR="00A02042" w:rsidRPr="00A67C76" w:rsidRDefault="00A02042" w:rsidP="000B3877">
            <w:pPr>
              <w:spacing w:line="240" w:lineRule="auto"/>
              <w:contextualSpacing/>
              <w:cnfStyle w:val="000000000000"/>
            </w:pPr>
            <w:r w:rsidRPr="00A67C76">
              <w:t>6054914</w:t>
            </w:r>
          </w:p>
        </w:tc>
        <w:tc>
          <w:tcPr>
            <w:tcW w:w="0" w:type="auto"/>
            <w:shd w:val="clear" w:color="auto" w:fill="auto"/>
            <w:noWrap/>
            <w:hideMark/>
          </w:tcPr>
          <w:p w:rsidR="00A02042" w:rsidRPr="00A67C76" w:rsidRDefault="00A02042" w:rsidP="000B3877">
            <w:pPr>
              <w:spacing w:line="240" w:lineRule="auto"/>
              <w:contextualSpacing/>
              <w:cnfStyle w:val="000000000000"/>
            </w:pPr>
            <w:r w:rsidRPr="00A67C76">
              <w:t>UTM 54S</w:t>
            </w:r>
          </w:p>
        </w:tc>
      </w:tr>
      <w:tr w:rsidR="00A02042" w:rsidRPr="00A67C76" w:rsidTr="003F7FFD">
        <w:trPr>
          <w:cnfStyle w:val="000000100000"/>
          <w:trHeight w:val="20"/>
        </w:trPr>
        <w:tc>
          <w:tcPr>
            <w:cnfStyle w:val="001000000000"/>
            <w:tcW w:w="0" w:type="auto"/>
            <w:vMerge/>
            <w:tcBorders>
              <w:top w:val="none" w:sz="0" w:space="0" w:color="auto"/>
              <w:left w:val="none" w:sz="0" w:space="0" w:color="auto"/>
              <w:bottom w:val="single" w:sz="4" w:space="0" w:color="auto"/>
            </w:tcBorders>
            <w:shd w:val="clear" w:color="auto" w:fill="auto"/>
          </w:tcPr>
          <w:p w:rsidR="00A02042" w:rsidRPr="00A67C76" w:rsidRDefault="00A02042" w:rsidP="000B3877">
            <w:pPr>
              <w:spacing w:line="240" w:lineRule="auto"/>
              <w:contextualSpacing/>
            </w:pPr>
          </w:p>
        </w:tc>
        <w:tc>
          <w:tcPr>
            <w:tcW w:w="0" w:type="auto"/>
            <w:tcBorders>
              <w:top w:val="none" w:sz="0" w:space="0" w:color="auto"/>
              <w:bottom w:val="single" w:sz="4" w:space="0" w:color="auto"/>
            </w:tcBorders>
            <w:shd w:val="clear" w:color="auto" w:fill="auto"/>
          </w:tcPr>
          <w:p w:rsidR="00A02042" w:rsidRPr="00A67C76" w:rsidRDefault="00A02042" w:rsidP="000B3877">
            <w:pPr>
              <w:spacing w:line="240" w:lineRule="auto"/>
              <w:contextualSpacing/>
              <w:cnfStyle w:val="000000100000"/>
            </w:pPr>
            <w:r w:rsidRPr="00A67C76">
              <w:t>Parnka Point</w:t>
            </w:r>
          </w:p>
        </w:tc>
        <w:tc>
          <w:tcPr>
            <w:tcW w:w="0" w:type="auto"/>
            <w:tcBorders>
              <w:top w:val="none" w:sz="0" w:space="0" w:color="auto"/>
              <w:bottom w:val="single" w:sz="4" w:space="0" w:color="auto"/>
            </w:tcBorders>
            <w:shd w:val="clear" w:color="auto" w:fill="auto"/>
            <w:noWrap/>
            <w:hideMark/>
          </w:tcPr>
          <w:p w:rsidR="00A02042" w:rsidRPr="00A67C76" w:rsidRDefault="00A02042" w:rsidP="000B3877">
            <w:pPr>
              <w:spacing w:line="240" w:lineRule="auto"/>
              <w:contextualSpacing/>
              <w:cnfStyle w:val="000000100000"/>
            </w:pPr>
            <w:r w:rsidRPr="00A67C76">
              <w:t>C - 12</w:t>
            </w:r>
          </w:p>
        </w:tc>
        <w:tc>
          <w:tcPr>
            <w:tcW w:w="0" w:type="auto"/>
            <w:tcBorders>
              <w:top w:val="none" w:sz="0" w:space="0" w:color="auto"/>
              <w:bottom w:val="single" w:sz="4" w:space="0" w:color="auto"/>
            </w:tcBorders>
            <w:shd w:val="clear" w:color="auto" w:fill="auto"/>
            <w:noWrap/>
            <w:hideMark/>
          </w:tcPr>
          <w:p w:rsidR="00A02042" w:rsidRPr="00A67C76" w:rsidRDefault="00A02042" w:rsidP="000B3877">
            <w:pPr>
              <w:spacing w:line="240" w:lineRule="auto"/>
              <w:contextualSpacing/>
              <w:cnfStyle w:val="000000100000"/>
            </w:pPr>
            <w:r w:rsidRPr="00A67C76">
              <w:t>355250.6</w:t>
            </w:r>
          </w:p>
        </w:tc>
        <w:tc>
          <w:tcPr>
            <w:tcW w:w="0" w:type="auto"/>
            <w:tcBorders>
              <w:top w:val="none" w:sz="0" w:space="0" w:color="auto"/>
              <w:bottom w:val="single" w:sz="4" w:space="0" w:color="auto"/>
            </w:tcBorders>
            <w:shd w:val="clear" w:color="auto" w:fill="auto"/>
            <w:noWrap/>
            <w:hideMark/>
          </w:tcPr>
          <w:p w:rsidR="00A02042" w:rsidRPr="00A67C76" w:rsidRDefault="00A02042" w:rsidP="000B3877">
            <w:pPr>
              <w:spacing w:line="240" w:lineRule="auto"/>
              <w:contextualSpacing/>
              <w:cnfStyle w:val="000000100000"/>
            </w:pPr>
            <w:r w:rsidRPr="00A67C76">
              <w:t>6025735</w:t>
            </w:r>
          </w:p>
        </w:tc>
        <w:tc>
          <w:tcPr>
            <w:tcW w:w="0" w:type="auto"/>
            <w:tcBorders>
              <w:top w:val="none" w:sz="0" w:space="0" w:color="auto"/>
              <w:bottom w:val="single" w:sz="4" w:space="0" w:color="auto"/>
              <w:right w:val="none" w:sz="0" w:space="0" w:color="auto"/>
            </w:tcBorders>
            <w:shd w:val="clear" w:color="auto" w:fill="auto"/>
            <w:noWrap/>
            <w:hideMark/>
          </w:tcPr>
          <w:p w:rsidR="00A02042" w:rsidRPr="00A67C76" w:rsidRDefault="00A02042" w:rsidP="000B3877">
            <w:pPr>
              <w:spacing w:line="240" w:lineRule="auto"/>
              <w:contextualSpacing/>
              <w:cnfStyle w:val="000000100000"/>
            </w:pPr>
            <w:r w:rsidRPr="00A67C76">
              <w:t>UTM 54S</w:t>
            </w:r>
          </w:p>
        </w:tc>
      </w:tr>
    </w:tbl>
    <w:p w:rsidR="00A02042" w:rsidRPr="00A67C76" w:rsidRDefault="00A02042" w:rsidP="00A02042">
      <w:pPr>
        <w:pStyle w:val="Caption"/>
      </w:pPr>
      <w:r w:rsidRPr="00A67C76">
        <w:t xml:space="preserve"> </w:t>
      </w:r>
    </w:p>
    <w:p w:rsidR="00A06128" w:rsidRPr="00A67C76" w:rsidRDefault="004F22E9" w:rsidP="009E401F">
      <w:pPr>
        <w:rPr>
          <w:sz w:val="20"/>
        </w:rPr>
      </w:pPr>
      <w:bookmarkStart w:id="230" w:name="_Toc356560697"/>
      <w:bookmarkStart w:id="231" w:name="_Toc356821949"/>
      <w:r w:rsidRPr="00A67C76">
        <w:rPr>
          <w:sz w:val="20"/>
        </w:rPr>
        <w:t>Additional sites and sources</w:t>
      </w:r>
    </w:p>
    <w:tbl>
      <w:tblPr>
        <w:tblStyle w:val="LightList-Accent11"/>
        <w:tblW w:w="0" w:type="auto"/>
        <w:tblBorders>
          <w:top w:val="none" w:sz="0" w:space="0" w:color="auto"/>
          <w:left w:val="none" w:sz="0" w:space="0" w:color="auto"/>
          <w:bottom w:val="none" w:sz="0" w:space="0" w:color="auto"/>
          <w:right w:val="none" w:sz="0" w:space="0" w:color="auto"/>
        </w:tblBorders>
        <w:tblLook w:val="04A0"/>
      </w:tblPr>
      <w:tblGrid>
        <w:gridCol w:w="1759"/>
        <w:gridCol w:w="1844"/>
        <w:gridCol w:w="5633"/>
      </w:tblGrid>
      <w:tr w:rsidR="00A06128" w:rsidRPr="00A67C76" w:rsidTr="00A06128">
        <w:trPr>
          <w:cnfStyle w:val="100000000000"/>
        </w:trPr>
        <w:tc>
          <w:tcPr>
            <w:cnfStyle w:val="001000000000"/>
            <w:tcW w:w="1779" w:type="dxa"/>
            <w:tcBorders>
              <w:top w:val="single" w:sz="4" w:space="0" w:color="auto"/>
              <w:bottom w:val="single" w:sz="4" w:space="0" w:color="auto"/>
            </w:tcBorders>
            <w:shd w:val="clear" w:color="auto" w:fill="auto"/>
          </w:tcPr>
          <w:p w:rsidR="00A06128" w:rsidRPr="00A67C76" w:rsidRDefault="00A06128" w:rsidP="000B3877">
            <w:pPr>
              <w:spacing w:line="240" w:lineRule="auto"/>
              <w:contextualSpacing/>
              <w:rPr>
                <w:color w:val="auto"/>
              </w:rPr>
            </w:pPr>
            <w:r w:rsidRPr="00A67C76">
              <w:rPr>
                <w:color w:val="auto"/>
              </w:rPr>
              <w:t>Data source</w:t>
            </w:r>
          </w:p>
        </w:tc>
        <w:tc>
          <w:tcPr>
            <w:tcW w:w="1874" w:type="dxa"/>
            <w:tcBorders>
              <w:top w:val="single" w:sz="4" w:space="0" w:color="auto"/>
              <w:bottom w:val="single" w:sz="4" w:space="0" w:color="auto"/>
            </w:tcBorders>
            <w:shd w:val="clear" w:color="auto" w:fill="auto"/>
          </w:tcPr>
          <w:p w:rsidR="00A06128" w:rsidRPr="00A67C76" w:rsidRDefault="00A06128" w:rsidP="000B3877">
            <w:pPr>
              <w:spacing w:line="240" w:lineRule="auto"/>
              <w:contextualSpacing/>
              <w:cnfStyle w:val="100000000000"/>
              <w:rPr>
                <w:color w:val="auto"/>
              </w:rPr>
            </w:pPr>
            <w:r w:rsidRPr="00A67C76">
              <w:rPr>
                <w:color w:val="auto"/>
              </w:rPr>
              <w:t>Sites</w:t>
            </w:r>
          </w:p>
        </w:tc>
        <w:tc>
          <w:tcPr>
            <w:tcW w:w="5923" w:type="dxa"/>
            <w:tcBorders>
              <w:top w:val="single" w:sz="4" w:space="0" w:color="auto"/>
              <w:bottom w:val="single" w:sz="4" w:space="0" w:color="auto"/>
            </w:tcBorders>
            <w:shd w:val="clear" w:color="auto" w:fill="auto"/>
          </w:tcPr>
          <w:p w:rsidR="00A06128" w:rsidRPr="00A67C76" w:rsidRDefault="00A06128" w:rsidP="000B3877">
            <w:pPr>
              <w:spacing w:line="240" w:lineRule="auto"/>
              <w:contextualSpacing/>
              <w:cnfStyle w:val="100000000000"/>
              <w:rPr>
                <w:color w:val="auto"/>
              </w:rPr>
            </w:pPr>
            <w:r w:rsidRPr="00A67C76">
              <w:rPr>
                <w:color w:val="auto"/>
              </w:rPr>
              <w:t xml:space="preserve">Sampling dates </w:t>
            </w:r>
          </w:p>
        </w:tc>
      </w:tr>
      <w:tr w:rsidR="00A06128" w:rsidRPr="00A67C76" w:rsidTr="00A06128">
        <w:trPr>
          <w:cnfStyle w:val="000000100000"/>
        </w:trPr>
        <w:tc>
          <w:tcPr>
            <w:cnfStyle w:val="001000000000"/>
            <w:tcW w:w="1779" w:type="dxa"/>
            <w:tcBorders>
              <w:top w:val="single" w:sz="4" w:space="0" w:color="auto"/>
              <w:left w:val="none" w:sz="0" w:space="0" w:color="auto"/>
              <w:bottom w:val="single" w:sz="4" w:space="0" w:color="auto"/>
            </w:tcBorders>
          </w:tcPr>
          <w:p w:rsidR="00A06128" w:rsidRPr="00A67C76" w:rsidRDefault="00A06128" w:rsidP="000B3877">
            <w:pPr>
              <w:spacing w:line="240" w:lineRule="auto"/>
              <w:contextualSpacing/>
              <w:rPr>
                <w:b w:val="0"/>
                <w:color w:val="auto"/>
              </w:rPr>
            </w:pPr>
            <w:r w:rsidRPr="00A67C76">
              <w:rPr>
                <w:b w:val="0"/>
                <w:color w:val="auto"/>
              </w:rPr>
              <w:t>CEWO</w:t>
            </w:r>
          </w:p>
        </w:tc>
        <w:tc>
          <w:tcPr>
            <w:tcW w:w="1874" w:type="dxa"/>
            <w:tcBorders>
              <w:top w:val="single" w:sz="4" w:space="0" w:color="auto"/>
              <w:bottom w:val="single" w:sz="4" w:space="0" w:color="auto"/>
            </w:tcBorders>
          </w:tcPr>
          <w:p w:rsidR="00A06128" w:rsidRPr="00A67C76" w:rsidRDefault="00A06128" w:rsidP="000B3877">
            <w:pPr>
              <w:spacing w:line="240" w:lineRule="auto"/>
              <w:contextualSpacing/>
              <w:cnfStyle w:val="000000100000"/>
              <w:rPr>
                <w:color w:val="auto"/>
              </w:rPr>
            </w:pPr>
            <w:r w:rsidRPr="00A67C76">
              <w:rPr>
                <w:color w:val="auto"/>
              </w:rPr>
              <w:t>Blanchetown</w:t>
            </w:r>
          </w:p>
        </w:tc>
        <w:tc>
          <w:tcPr>
            <w:tcW w:w="5923" w:type="dxa"/>
            <w:tcBorders>
              <w:top w:val="single" w:sz="4" w:space="0" w:color="auto"/>
              <w:bottom w:val="single" w:sz="4" w:space="0" w:color="auto"/>
              <w:right w:val="none" w:sz="0" w:space="0" w:color="auto"/>
            </w:tcBorders>
          </w:tcPr>
          <w:p w:rsidR="00A06128" w:rsidRPr="00A67C76" w:rsidRDefault="00A06128" w:rsidP="000B3877">
            <w:pPr>
              <w:spacing w:line="240" w:lineRule="auto"/>
              <w:contextualSpacing/>
              <w:cnfStyle w:val="000000100000"/>
              <w:rPr>
                <w:color w:val="auto"/>
              </w:rPr>
            </w:pPr>
            <w:r w:rsidRPr="00A67C76">
              <w:rPr>
                <w:color w:val="auto"/>
              </w:rPr>
              <w:t>30/10/2012, 29/11/2012, 13/12/2012, 10/01/2013, 01/02/2013, 28/02/2013, 03/04/2013</w:t>
            </w:r>
          </w:p>
        </w:tc>
      </w:tr>
      <w:tr w:rsidR="00A06128" w:rsidRPr="00A67C76" w:rsidTr="00A06128">
        <w:tc>
          <w:tcPr>
            <w:cnfStyle w:val="001000000000"/>
            <w:tcW w:w="1779" w:type="dxa"/>
            <w:tcBorders>
              <w:top w:val="single" w:sz="4" w:space="0" w:color="auto"/>
              <w:bottom w:val="single" w:sz="4" w:space="0" w:color="auto"/>
            </w:tcBorders>
          </w:tcPr>
          <w:p w:rsidR="00A06128" w:rsidRPr="00A67C76" w:rsidRDefault="00A06128" w:rsidP="000B3877">
            <w:pPr>
              <w:spacing w:line="240" w:lineRule="auto"/>
              <w:contextualSpacing/>
              <w:rPr>
                <w:b w:val="0"/>
                <w:color w:val="auto"/>
              </w:rPr>
            </w:pPr>
            <w:r w:rsidRPr="00A67C76">
              <w:rPr>
                <w:b w:val="0"/>
                <w:color w:val="auto"/>
              </w:rPr>
              <w:t>CEWO</w:t>
            </w:r>
          </w:p>
        </w:tc>
        <w:tc>
          <w:tcPr>
            <w:tcW w:w="1874" w:type="dxa"/>
            <w:tcBorders>
              <w:top w:val="single" w:sz="4" w:space="0" w:color="auto"/>
              <w:bottom w:val="single" w:sz="4" w:space="0" w:color="auto"/>
            </w:tcBorders>
          </w:tcPr>
          <w:p w:rsidR="00A06128" w:rsidRPr="00A67C76" w:rsidRDefault="00A06128" w:rsidP="000B3877">
            <w:pPr>
              <w:spacing w:line="240" w:lineRule="auto"/>
              <w:contextualSpacing/>
              <w:cnfStyle w:val="000000000000"/>
              <w:rPr>
                <w:color w:val="auto"/>
              </w:rPr>
            </w:pPr>
            <w:r w:rsidRPr="00A67C76">
              <w:rPr>
                <w:color w:val="auto"/>
              </w:rPr>
              <w:t>Coorong</w:t>
            </w:r>
          </w:p>
        </w:tc>
        <w:tc>
          <w:tcPr>
            <w:tcW w:w="5923" w:type="dxa"/>
            <w:tcBorders>
              <w:top w:val="single" w:sz="4" w:space="0" w:color="auto"/>
              <w:bottom w:val="single" w:sz="4" w:space="0" w:color="auto"/>
            </w:tcBorders>
          </w:tcPr>
          <w:p w:rsidR="00A06128" w:rsidRPr="00A67C76" w:rsidRDefault="00A06128" w:rsidP="000B3877">
            <w:pPr>
              <w:spacing w:line="240" w:lineRule="auto"/>
              <w:contextualSpacing/>
              <w:cnfStyle w:val="000000000000"/>
              <w:rPr>
                <w:color w:val="auto"/>
              </w:rPr>
            </w:pPr>
            <w:r w:rsidRPr="00A67C76">
              <w:rPr>
                <w:color w:val="auto"/>
              </w:rPr>
              <w:t>29/10/2012, 28/11/2012, 12/12/2012, 09/01/2013, 31/01/2013, 27/02/2013, 02/04/2013</w:t>
            </w:r>
          </w:p>
        </w:tc>
      </w:tr>
      <w:tr w:rsidR="00A06128" w:rsidRPr="00A67C76" w:rsidTr="00A06128">
        <w:trPr>
          <w:cnfStyle w:val="000000100000"/>
        </w:trPr>
        <w:tc>
          <w:tcPr>
            <w:cnfStyle w:val="001000000000"/>
            <w:tcW w:w="1779" w:type="dxa"/>
            <w:tcBorders>
              <w:top w:val="single" w:sz="4" w:space="0" w:color="auto"/>
              <w:left w:val="none" w:sz="0" w:space="0" w:color="auto"/>
              <w:bottom w:val="single" w:sz="4" w:space="0" w:color="auto"/>
            </w:tcBorders>
          </w:tcPr>
          <w:p w:rsidR="00A06128" w:rsidRPr="00A67C76" w:rsidRDefault="00A06128" w:rsidP="000B3877">
            <w:pPr>
              <w:spacing w:line="240" w:lineRule="auto"/>
              <w:contextualSpacing/>
              <w:rPr>
                <w:b w:val="0"/>
                <w:color w:val="auto"/>
              </w:rPr>
            </w:pPr>
            <w:r w:rsidRPr="00A67C76">
              <w:rPr>
                <w:b w:val="0"/>
                <w:color w:val="auto"/>
              </w:rPr>
              <w:t>SA Water</w:t>
            </w:r>
          </w:p>
        </w:tc>
        <w:tc>
          <w:tcPr>
            <w:tcW w:w="1874" w:type="dxa"/>
            <w:tcBorders>
              <w:top w:val="single" w:sz="4" w:space="0" w:color="auto"/>
              <w:bottom w:val="single" w:sz="4" w:space="0" w:color="auto"/>
            </w:tcBorders>
          </w:tcPr>
          <w:p w:rsidR="00A06128" w:rsidRPr="00A67C76" w:rsidRDefault="00A06128" w:rsidP="000B3877">
            <w:pPr>
              <w:spacing w:line="240" w:lineRule="auto"/>
              <w:contextualSpacing/>
              <w:cnfStyle w:val="000000100000"/>
              <w:rPr>
                <w:color w:val="auto"/>
              </w:rPr>
            </w:pPr>
            <w:r w:rsidRPr="00A67C76">
              <w:rPr>
                <w:color w:val="auto"/>
              </w:rPr>
              <w:t>Blanchetown and Wellington</w:t>
            </w:r>
          </w:p>
        </w:tc>
        <w:tc>
          <w:tcPr>
            <w:tcW w:w="5923" w:type="dxa"/>
            <w:tcBorders>
              <w:top w:val="single" w:sz="4" w:space="0" w:color="auto"/>
              <w:bottom w:val="single" w:sz="4" w:space="0" w:color="auto"/>
              <w:right w:val="none" w:sz="0" w:space="0" w:color="auto"/>
            </w:tcBorders>
          </w:tcPr>
          <w:p w:rsidR="00A06128" w:rsidRPr="00A67C76" w:rsidRDefault="00A06128" w:rsidP="000B3877">
            <w:pPr>
              <w:spacing w:line="240" w:lineRule="auto"/>
              <w:contextualSpacing/>
              <w:cnfStyle w:val="000000100000"/>
              <w:rPr>
                <w:color w:val="auto"/>
              </w:rPr>
            </w:pPr>
            <w:r w:rsidRPr="00A67C76">
              <w:rPr>
                <w:rFonts w:cs="Calibri"/>
                <w:color w:val="auto"/>
              </w:rPr>
              <w:t>28/06/2012, 26/07/2012, 23/08/2012, 20/09/2012, 18/10/2012, 14/11/2012, 12/12/2012, 10/01/2013, 7/02/2013, 7/03/2013, 4/04/2013, 30/04/2013, 29/05/2013, 26/06/2013</w:t>
            </w:r>
          </w:p>
        </w:tc>
      </w:tr>
      <w:tr w:rsidR="00A06128" w:rsidRPr="00A67C76" w:rsidTr="00A06128">
        <w:tc>
          <w:tcPr>
            <w:cnfStyle w:val="001000000000"/>
            <w:tcW w:w="1779" w:type="dxa"/>
            <w:tcBorders>
              <w:top w:val="single" w:sz="4" w:space="0" w:color="auto"/>
              <w:bottom w:val="single" w:sz="4" w:space="0" w:color="auto"/>
            </w:tcBorders>
          </w:tcPr>
          <w:p w:rsidR="00A06128" w:rsidRPr="00A67C76" w:rsidRDefault="00A06128" w:rsidP="000B3877">
            <w:pPr>
              <w:spacing w:line="240" w:lineRule="auto"/>
              <w:contextualSpacing/>
              <w:rPr>
                <w:b w:val="0"/>
                <w:color w:val="auto"/>
              </w:rPr>
            </w:pPr>
            <w:r w:rsidRPr="00A67C76">
              <w:rPr>
                <w:b w:val="0"/>
                <w:color w:val="auto"/>
              </w:rPr>
              <w:t>Murray Futures (DEWNR/EPA)</w:t>
            </w:r>
          </w:p>
        </w:tc>
        <w:tc>
          <w:tcPr>
            <w:tcW w:w="1874" w:type="dxa"/>
            <w:tcBorders>
              <w:top w:val="single" w:sz="4" w:space="0" w:color="auto"/>
              <w:bottom w:val="single" w:sz="4" w:space="0" w:color="auto"/>
            </w:tcBorders>
          </w:tcPr>
          <w:p w:rsidR="00A06128" w:rsidRPr="00A67C76" w:rsidRDefault="00A06128" w:rsidP="000B3877">
            <w:pPr>
              <w:spacing w:line="240" w:lineRule="auto"/>
              <w:contextualSpacing/>
              <w:cnfStyle w:val="000000000000"/>
              <w:rPr>
                <w:color w:val="auto"/>
              </w:rPr>
            </w:pPr>
            <w:r w:rsidRPr="00A67C76">
              <w:rPr>
                <w:color w:val="auto"/>
              </w:rPr>
              <w:t>Lower Lakes</w:t>
            </w:r>
          </w:p>
        </w:tc>
        <w:tc>
          <w:tcPr>
            <w:tcW w:w="5923" w:type="dxa"/>
            <w:tcBorders>
              <w:top w:val="single" w:sz="4" w:space="0" w:color="auto"/>
              <w:bottom w:val="single" w:sz="4" w:space="0" w:color="auto"/>
            </w:tcBorders>
          </w:tcPr>
          <w:p w:rsidR="00A06128" w:rsidRPr="00A67C76" w:rsidRDefault="00A06128" w:rsidP="000B3877">
            <w:pPr>
              <w:spacing w:line="240" w:lineRule="auto"/>
              <w:contextualSpacing/>
              <w:cnfStyle w:val="000000000000"/>
              <w:rPr>
                <w:color w:val="auto"/>
              </w:rPr>
            </w:pPr>
            <w:r w:rsidRPr="00A67C76">
              <w:rPr>
                <w:rFonts w:cs="Arial"/>
                <w:color w:val="auto"/>
              </w:rPr>
              <w:t>18/07/2012, 14/08/2012, 10/09/2012, 09/10/2012, 07/11/2012. 13/12/2012, 10/01/2013, 14/02/2013 19/03/2013 16/04/2013 28/05/201312/06/2013</w:t>
            </w:r>
          </w:p>
        </w:tc>
      </w:tr>
      <w:tr w:rsidR="00A06128" w:rsidRPr="00A67C76" w:rsidTr="00A06128">
        <w:trPr>
          <w:cnfStyle w:val="000000100000"/>
        </w:trPr>
        <w:tc>
          <w:tcPr>
            <w:cnfStyle w:val="001000000000"/>
            <w:tcW w:w="1779" w:type="dxa"/>
            <w:tcBorders>
              <w:top w:val="single" w:sz="4" w:space="0" w:color="auto"/>
              <w:left w:val="none" w:sz="0" w:space="0" w:color="auto"/>
              <w:bottom w:val="single" w:sz="4" w:space="0" w:color="auto"/>
            </w:tcBorders>
          </w:tcPr>
          <w:p w:rsidR="00A06128" w:rsidRPr="00A67C76" w:rsidRDefault="00A06128" w:rsidP="000B3877">
            <w:pPr>
              <w:spacing w:line="240" w:lineRule="auto"/>
              <w:contextualSpacing/>
              <w:rPr>
                <w:b w:val="0"/>
                <w:color w:val="auto"/>
              </w:rPr>
            </w:pPr>
            <w:r w:rsidRPr="00A67C76">
              <w:rPr>
                <w:b w:val="0"/>
                <w:color w:val="auto"/>
              </w:rPr>
              <w:t>Murray Futures (DEWNR/EPA)</w:t>
            </w:r>
          </w:p>
        </w:tc>
        <w:tc>
          <w:tcPr>
            <w:tcW w:w="1874" w:type="dxa"/>
            <w:tcBorders>
              <w:top w:val="single" w:sz="4" w:space="0" w:color="auto"/>
              <w:bottom w:val="single" w:sz="4" w:space="0" w:color="auto"/>
            </w:tcBorders>
          </w:tcPr>
          <w:p w:rsidR="00A06128" w:rsidRPr="00A67C76" w:rsidRDefault="00A06128" w:rsidP="000B3877">
            <w:pPr>
              <w:spacing w:line="240" w:lineRule="auto"/>
              <w:contextualSpacing/>
              <w:cnfStyle w:val="000000100000"/>
              <w:rPr>
                <w:color w:val="auto"/>
              </w:rPr>
            </w:pPr>
            <w:r w:rsidRPr="00A67C76">
              <w:rPr>
                <w:color w:val="auto"/>
              </w:rPr>
              <w:t>Coorong</w:t>
            </w:r>
          </w:p>
        </w:tc>
        <w:tc>
          <w:tcPr>
            <w:tcW w:w="5923" w:type="dxa"/>
            <w:tcBorders>
              <w:top w:val="single" w:sz="4" w:space="0" w:color="auto"/>
              <w:bottom w:val="single" w:sz="4" w:space="0" w:color="auto"/>
              <w:right w:val="none" w:sz="0" w:space="0" w:color="auto"/>
            </w:tcBorders>
          </w:tcPr>
          <w:p w:rsidR="00A06128" w:rsidRPr="00A67C76" w:rsidRDefault="00A06128" w:rsidP="000B3877">
            <w:pPr>
              <w:spacing w:line="240" w:lineRule="auto"/>
              <w:contextualSpacing/>
              <w:cnfStyle w:val="000000100000"/>
              <w:rPr>
                <w:color w:val="auto"/>
              </w:rPr>
            </w:pPr>
            <w:r w:rsidRPr="00A67C76">
              <w:rPr>
                <w:rFonts w:cs="Calibri"/>
                <w:color w:val="auto"/>
              </w:rPr>
              <w:t>12/09/2012 13/12/2012, 13/02/2013, 18/03/2013</w:t>
            </w:r>
          </w:p>
        </w:tc>
      </w:tr>
    </w:tbl>
    <w:p w:rsidR="00A06128" w:rsidRPr="00A67C76" w:rsidRDefault="00A06128" w:rsidP="00A06128">
      <w:pPr>
        <w:rPr>
          <w:sz w:val="20"/>
        </w:rPr>
      </w:pPr>
    </w:p>
    <w:bookmarkEnd w:id="230"/>
    <w:bookmarkEnd w:id="231"/>
    <w:p w:rsidR="00B139EC" w:rsidRPr="00A67C76" w:rsidRDefault="00B139EC" w:rsidP="009E401F">
      <w:pPr>
        <w:rPr>
          <w:b/>
          <w:szCs w:val="22"/>
        </w:rPr>
      </w:pPr>
      <w:r w:rsidRPr="00A67C76">
        <w:rPr>
          <w:b/>
          <w:szCs w:val="22"/>
        </w:rPr>
        <w:t>Lateral movements of fish</w:t>
      </w:r>
    </w:p>
    <w:p w:rsidR="00A02042" w:rsidRPr="00A67C76" w:rsidRDefault="00B139EC" w:rsidP="00A02042">
      <w:r w:rsidRPr="00A67C76">
        <w:rPr>
          <w:noProof/>
          <w:lang w:eastAsia="en-AU"/>
        </w:rPr>
        <w:drawing>
          <wp:inline distT="0" distB="0" distL="0" distR="0">
            <wp:extent cx="5652633" cy="4067503"/>
            <wp:effectExtent l="19050" t="0" r="5217" b="0"/>
            <wp:docPr id="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8150" cy="4064277"/>
                    </a:xfrm>
                    <a:prstGeom prst="rect">
                      <a:avLst/>
                    </a:prstGeom>
                    <a:noFill/>
                    <a:ln>
                      <a:noFill/>
                    </a:ln>
                  </pic:spPr>
                </pic:pic>
              </a:graphicData>
            </a:graphic>
          </wp:inline>
        </w:drawing>
      </w:r>
    </w:p>
    <w:tbl>
      <w:tblPr>
        <w:tblW w:w="5360" w:type="dxa"/>
        <w:tblInd w:w="87" w:type="dxa"/>
        <w:tblLook w:val="04A0"/>
      </w:tblPr>
      <w:tblGrid>
        <w:gridCol w:w="2020"/>
        <w:gridCol w:w="1240"/>
        <w:gridCol w:w="1140"/>
        <w:gridCol w:w="960"/>
      </w:tblGrid>
      <w:tr w:rsidR="00A02042" w:rsidRPr="00A67C76" w:rsidTr="00A02042">
        <w:trPr>
          <w:trHeight w:val="300"/>
        </w:trPr>
        <w:tc>
          <w:tcPr>
            <w:tcW w:w="2020" w:type="dxa"/>
            <w:tcBorders>
              <w:top w:val="single" w:sz="4" w:space="0" w:color="auto"/>
              <w:left w:val="nil"/>
              <w:bottom w:val="single" w:sz="4" w:space="0" w:color="auto"/>
              <w:right w:val="nil"/>
            </w:tcBorders>
            <w:shd w:val="clear" w:color="auto" w:fill="auto"/>
            <w:noWrap/>
            <w:vAlign w:val="bottom"/>
            <w:hideMark/>
          </w:tcPr>
          <w:p w:rsidR="00A02042" w:rsidRPr="00A67C76" w:rsidRDefault="00A02042" w:rsidP="00A02042">
            <w:pPr>
              <w:spacing w:after="0" w:line="240" w:lineRule="auto"/>
              <w:contextualSpacing/>
              <w:rPr>
                <w:rFonts w:cs="Calibri"/>
                <w:b/>
                <w:bCs/>
                <w:kern w:val="0"/>
                <w:sz w:val="20"/>
              </w:rPr>
            </w:pPr>
            <w:r w:rsidRPr="00A67C76">
              <w:rPr>
                <w:rFonts w:cs="Calibri"/>
                <w:b/>
                <w:bCs/>
                <w:kern w:val="0"/>
                <w:sz w:val="20"/>
              </w:rPr>
              <w:t>Site</w:t>
            </w:r>
          </w:p>
        </w:tc>
        <w:tc>
          <w:tcPr>
            <w:tcW w:w="1240" w:type="dxa"/>
            <w:tcBorders>
              <w:top w:val="single" w:sz="4" w:space="0" w:color="auto"/>
              <w:left w:val="nil"/>
              <w:bottom w:val="single" w:sz="4" w:space="0" w:color="auto"/>
              <w:right w:val="nil"/>
            </w:tcBorders>
            <w:shd w:val="clear" w:color="auto" w:fill="auto"/>
            <w:noWrap/>
            <w:vAlign w:val="bottom"/>
            <w:hideMark/>
          </w:tcPr>
          <w:p w:rsidR="00A02042" w:rsidRPr="00A67C76" w:rsidRDefault="00A02042" w:rsidP="00A02042">
            <w:pPr>
              <w:spacing w:after="0" w:line="240" w:lineRule="auto"/>
              <w:contextualSpacing/>
              <w:rPr>
                <w:rFonts w:cs="Calibri"/>
                <w:b/>
                <w:bCs/>
                <w:kern w:val="0"/>
                <w:sz w:val="20"/>
              </w:rPr>
            </w:pPr>
            <w:r w:rsidRPr="00A67C76">
              <w:rPr>
                <w:rFonts w:cs="Calibri"/>
                <w:b/>
                <w:bCs/>
                <w:kern w:val="0"/>
                <w:sz w:val="20"/>
              </w:rPr>
              <w:t>Region</w:t>
            </w:r>
          </w:p>
        </w:tc>
        <w:tc>
          <w:tcPr>
            <w:tcW w:w="1140" w:type="dxa"/>
            <w:tcBorders>
              <w:top w:val="single" w:sz="4" w:space="0" w:color="auto"/>
              <w:left w:val="nil"/>
              <w:bottom w:val="single" w:sz="4" w:space="0" w:color="auto"/>
              <w:right w:val="nil"/>
            </w:tcBorders>
            <w:shd w:val="clear" w:color="auto" w:fill="auto"/>
            <w:noWrap/>
            <w:vAlign w:val="bottom"/>
            <w:hideMark/>
          </w:tcPr>
          <w:p w:rsidR="00A02042" w:rsidRPr="00A67C76" w:rsidRDefault="00A02042" w:rsidP="00A02042">
            <w:pPr>
              <w:spacing w:after="0" w:line="240" w:lineRule="auto"/>
              <w:contextualSpacing/>
              <w:jc w:val="right"/>
              <w:rPr>
                <w:rFonts w:cs="Calibri"/>
                <w:b/>
                <w:bCs/>
                <w:kern w:val="0"/>
                <w:sz w:val="20"/>
              </w:rPr>
            </w:pPr>
            <w:r w:rsidRPr="00A67C76">
              <w:rPr>
                <w:rFonts w:cs="Calibri"/>
                <w:b/>
                <w:bCs/>
                <w:kern w:val="0"/>
                <w:sz w:val="20"/>
              </w:rPr>
              <w:t>South</w:t>
            </w:r>
          </w:p>
        </w:tc>
        <w:tc>
          <w:tcPr>
            <w:tcW w:w="960" w:type="dxa"/>
            <w:tcBorders>
              <w:top w:val="single" w:sz="4" w:space="0" w:color="auto"/>
              <w:left w:val="nil"/>
              <w:bottom w:val="single" w:sz="4" w:space="0" w:color="auto"/>
              <w:right w:val="nil"/>
            </w:tcBorders>
            <w:shd w:val="clear" w:color="auto" w:fill="auto"/>
            <w:noWrap/>
            <w:vAlign w:val="bottom"/>
            <w:hideMark/>
          </w:tcPr>
          <w:p w:rsidR="00A02042" w:rsidRPr="00A67C76" w:rsidRDefault="00A02042" w:rsidP="00A02042">
            <w:pPr>
              <w:spacing w:after="0" w:line="240" w:lineRule="auto"/>
              <w:contextualSpacing/>
              <w:jc w:val="right"/>
              <w:rPr>
                <w:rFonts w:cs="Calibri"/>
                <w:b/>
                <w:bCs/>
                <w:kern w:val="0"/>
                <w:sz w:val="20"/>
              </w:rPr>
            </w:pPr>
            <w:r w:rsidRPr="00A67C76">
              <w:rPr>
                <w:rFonts w:cs="Calibri"/>
                <w:b/>
                <w:bCs/>
                <w:kern w:val="0"/>
                <w:sz w:val="20"/>
              </w:rPr>
              <w:t>East</w:t>
            </w:r>
          </w:p>
        </w:tc>
      </w:tr>
      <w:tr w:rsidR="00A02042" w:rsidRPr="00A67C76" w:rsidTr="00A02042">
        <w:trPr>
          <w:trHeight w:val="300"/>
        </w:trPr>
        <w:tc>
          <w:tcPr>
            <w:tcW w:w="2020" w:type="dxa"/>
            <w:tcBorders>
              <w:top w:val="nil"/>
              <w:left w:val="nil"/>
              <w:bottom w:val="nil"/>
              <w:right w:val="nil"/>
            </w:tcBorders>
            <w:shd w:val="clear" w:color="auto" w:fill="auto"/>
            <w:noWrap/>
            <w:vAlign w:val="bottom"/>
            <w:hideMark/>
          </w:tcPr>
          <w:p w:rsidR="00A02042" w:rsidRPr="00A67C76" w:rsidRDefault="00A02042" w:rsidP="00A02042">
            <w:pPr>
              <w:spacing w:after="0" w:line="240" w:lineRule="auto"/>
              <w:contextualSpacing/>
              <w:rPr>
                <w:rFonts w:cs="Calibri"/>
                <w:kern w:val="0"/>
                <w:sz w:val="20"/>
              </w:rPr>
            </w:pPr>
            <w:r w:rsidRPr="00A67C76">
              <w:rPr>
                <w:rFonts w:cs="Calibri"/>
                <w:kern w:val="0"/>
                <w:sz w:val="20"/>
              </w:rPr>
              <w:t>Overland Corner</w:t>
            </w:r>
          </w:p>
        </w:tc>
        <w:tc>
          <w:tcPr>
            <w:tcW w:w="1240" w:type="dxa"/>
            <w:tcBorders>
              <w:top w:val="nil"/>
              <w:left w:val="nil"/>
              <w:bottom w:val="nil"/>
              <w:right w:val="nil"/>
            </w:tcBorders>
            <w:shd w:val="clear" w:color="auto" w:fill="auto"/>
            <w:noWrap/>
            <w:vAlign w:val="bottom"/>
            <w:hideMark/>
          </w:tcPr>
          <w:p w:rsidR="00A02042" w:rsidRPr="00A67C76" w:rsidRDefault="00A02042" w:rsidP="00A02042">
            <w:pPr>
              <w:spacing w:after="0" w:line="240" w:lineRule="auto"/>
              <w:contextualSpacing/>
              <w:rPr>
                <w:rFonts w:cs="Calibri"/>
                <w:kern w:val="0"/>
                <w:sz w:val="20"/>
              </w:rPr>
            </w:pPr>
            <w:r w:rsidRPr="00A67C76">
              <w:rPr>
                <w:rFonts w:cs="Calibri"/>
                <w:kern w:val="0"/>
                <w:sz w:val="20"/>
              </w:rPr>
              <w:t>Floodplain</w:t>
            </w:r>
          </w:p>
        </w:tc>
        <w:tc>
          <w:tcPr>
            <w:tcW w:w="1140" w:type="dxa"/>
            <w:tcBorders>
              <w:top w:val="nil"/>
              <w:left w:val="nil"/>
              <w:bottom w:val="nil"/>
              <w:right w:val="nil"/>
            </w:tcBorders>
            <w:shd w:val="clear" w:color="auto" w:fill="auto"/>
            <w:noWrap/>
            <w:vAlign w:val="bottom"/>
            <w:hideMark/>
          </w:tcPr>
          <w:p w:rsidR="00A02042" w:rsidRPr="00A67C76" w:rsidRDefault="00A02042" w:rsidP="00A02042">
            <w:pPr>
              <w:spacing w:after="0" w:line="240" w:lineRule="auto"/>
              <w:contextualSpacing/>
              <w:jc w:val="right"/>
              <w:rPr>
                <w:rFonts w:cs="Calibri"/>
                <w:kern w:val="0"/>
                <w:sz w:val="20"/>
              </w:rPr>
            </w:pPr>
            <w:r w:rsidRPr="00A67C76">
              <w:rPr>
                <w:rFonts w:cs="Calibri"/>
                <w:kern w:val="0"/>
                <w:sz w:val="20"/>
              </w:rPr>
              <w:t>34.093</w:t>
            </w:r>
          </w:p>
        </w:tc>
        <w:tc>
          <w:tcPr>
            <w:tcW w:w="960" w:type="dxa"/>
            <w:tcBorders>
              <w:top w:val="nil"/>
              <w:left w:val="nil"/>
              <w:bottom w:val="nil"/>
              <w:right w:val="nil"/>
            </w:tcBorders>
            <w:shd w:val="clear" w:color="auto" w:fill="auto"/>
            <w:noWrap/>
            <w:vAlign w:val="bottom"/>
            <w:hideMark/>
          </w:tcPr>
          <w:p w:rsidR="00A02042" w:rsidRPr="00A67C76" w:rsidRDefault="00A02042" w:rsidP="00A02042">
            <w:pPr>
              <w:spacing w:after="0" w:line="240" w:lineRule="auto"/>
              <w:contextualSpacing/>
              <w:jc w:val="right"/>
              <w:rPr>
                <w:rFonts w:cs="Calibri"/>
                <w:kern w:val="0"/>
                <w:sz w:val="20"/>
              </w:rPr>
            </w:pPr>
            <w:r w:rsidRPr="00A67C76">
              <w:rPr>
                <w:rFonts w:cs="Calibri"/>
                <w:kern w:val="0"/>
                <w:sz w:val="20"/>
              </w:rPr>
              <w:t>140.203</w:t>
            </w:r>
          </w:p>
        </w:tc>
      </w:tr>
      <w:tr w:rsidR="00A02042" w:rsidRPr="00A67C76" w:rsidTr="00A02042">
        <w:trPr>
          <w:trHeight w:val="300"/>
        </w:trPr>
        <w:tc>
          <w:tcPr>
            <w:tcW w:w="2020" w:type="dxa"/>
            <w:tcBorders>
              <w:top w:val="nil"/>
              <w:left w:val="nil"/>
              <w:bottom w:val="nil"/>
              <w:right w:val="nil"/>
            </w:tcBorders>
            <w:shd w:val="clear" w:color="auto" w:fill="auto"/>
            <w:noWrap/>
            <w:vAlign w:val="bottom"/>
            <w:hideMark/>
          </w:tcPr>
          <w:p w:rsidR="00A02042" w:rsidRPr="00A67C76" w:rsidRDefault="00A02042" w:rsidP="00A02042">
            <w:pPr>
              <w:spacing w:after="0" w:line="240" w:lineRule="auto"/>
              <w:contextualSpacing/>
              <w:rPr>
                <w:rFonts w:cs="Calibri"/>
                <w:kern w:val="0"/>
                <w:sz w:val="20"/>
              </w:rPr>
            </w:pPr>
            <w:r w:rsidRPr="00A67C76">
              <w:rPr>
                <w:rFonts w:cs="Calibri"/>
                <w:kern w:val="0"/>
                <w:sz w:val="20"/>
              </w:rPr>
              <w:t>Martins Bend</w:t>
            </w:r>
          </w:p>
        </w:tc>
        <w:tc>
          <w:tcPr>
            <w:tcW w:w="1240" w:type="dxa"/>
            <w:tcBorders>
              <w:top w:val="nil"/>
              <w:left w:val="nil"/>
              <w:bottom w:val="nil"/>
              <w:right w:val="nil"/>
            </w:tcBorders>
            <w:shd w:val="clear" w:color="auto" w:fill="auto"/>
            <w:noWrap/>
            <w:vAlign w:val="bottom"/>
            <w:hideMark/>
          </w:tcPr>
          <w:p w:rsidR="00A02042" w:rsidRPr="00A67C76" w:rsidRDefault="00A02042" w:rsidP="00A02042">
            <w:pPr>
              <w:spacing w:after="0" w:line="240" w:lineRule="auto"/>
              <w:contextualSpacing/>
              <w:rPr>
                <w:rFonts w:cs="Calibri"/>
                <w:kern w:val="0"/>
                <w:sz w:val="20"/>
              </w:rPr>
            </w:pPr>
            <w:r w:rsidRPr="00A67C76">
              <w:rPr>
                <w:rFonts w:cs="Calibri"/>
                <w:kern w:val="0"/>
                <w:sz w:val="20"/>
              </w:rPr>
              <w:t>Floodplain</w:t>
            </w:r>
          </w:p>
        </w:tc>
        <w:tc>
          <w:tcPr>
            <w:tcW w:w="1140" w:type="dxa"/>
            <w:tcBorders>
              <w:top w:val="nil"/>
              <w:left w:val="nil"/>
              <w:bottom w:val="nil"/>
              <w:right w:val="nil"/>
            </w:tcBorders>
            <w:shd w:val="clear" w:color="auto" w:fill="auto"/>
            <w:noWrap/>
            <w:vAlign w:val="bottom"/>
            <w:hideMark/>
          </w:tcPr>
          <w:p w:rsidR="00A02042" w:rsidRPr="00A67C76" w:rsidRDefault="00A02042" w:rsidP="00A02042">
            <w:pPr>
              <w:spacing w:after="0" w:line="240" w:lineRule="auto"/>
              <w:contextualSpacing/>
              <w:jc w:val="right"/>
              <w:rPr>
                <w:rFonts w:cs="Calibri"/>
                <w:kern w:val="0"/>
                <w:sz w:val="20"/>
              </w:rPr>
            </w:pPr>
            <w:r w:rsidRPr="00A67C76">
              <w:rPr>
                <w:rFonts w:cs="Calibri"/>
                <w:kern w:val="0"/>
                <w:sz w:val="20"/>
              </w:rPr>
              <w:t>34.176</w:t>
            </w:r>
          </w:p>
        </w:tc>
        <w:tc>
          <w:tcPr>
            <w:tcW w:w="960" w:type="dxa"/>
            <w:tcBorders>
              <w:top w:val="nil"/>
              <w:left w:val="nil"/>
              <w:bottom w:val="nil"/>
              <w:right w:val="nil"/>
            </w:tcBorders>
            <w:shd w:val="clear" w:color="auto" w:fill="auto"/>
            <w:noWrap/>
            <w:vAlign w:val="bottom"/>
            <w:hideMark/>
          </w:tcPr>
          <w:p w:rsidR="00A02042" w:rsidRPr="00A67C76" w:rsidRDefault="00A02042" w:rsidP="00A02042">
            <w:pPr>
              <w:spacing w:after="0" w:line="240" w:lineRule="auto"/>
              <w:contextualSpacing/>
              <w:jc w:val="right"/>
              <w:rPr>
                <w:rFonts w:cs="Calibri"/>
                <w:kern w:val="0"/>
                <w:sz w:val="20"/>
              </w:rPr>
            </w:pPr>
            <w:r w:rsidRPr="00A67C76">
              <w:rPr>
                <w:rFonts w:cs="Calibri"/>
                <w:kern w:val="0"/>
                <w:sz w:val="20"/>
              </w:rPr>
              <w:t>140.371</w:t>
            </w:r>
          </w:p>
        </w:tc>
      </w:tr>
      <w:tr w:rsidR="00A02042" w:rsidRPr="00A67C76" w:rsidTr="00A02042">
        <w:trPr>
          <w:trHeight w:val="300"/>
        </w:trPr>
        <w:tc>
          <w:tcPr>
            <w:tcW w:w="2020" w:type="dxa"/>
            <w:tcBorders>
              <w:top w:val="nil"/>
              <w:left w:val="nil"/>
              <w:bottom w:val="nil"/>
              <w:right w:val="nil"/>
            </w:tcBorders>
            <w:shd w:val="clear" w:color="auto" w:fill="auto"/>
            <w:noWrap/>
            <w:vAlign w:val="bottom"/>
            <w:hideMark/>
          </w:tcPr>
          <w:p w:rsidR="00A02042" w:rsidRPr="00A67C76" w:rsidRDefault="00A02042" w:rsidP="00A02042">
            <w:pPr>
              <w:spacing w:after="0" w:line="240" w:lineRule="auto"/>
              <w:contextualSpacing/>
              <w:rPr>
                <w:rFonts w:cs="Calibri"/>
                <w:kern w:val="0"/>
                <w:sz w:val="20"/>
              </w:rPr>
            </w:pPr>
            <w:r w:rsidRPr="00A67C76">
              <w:rPr>
                <w:rFonts w:cs="Calibri"/>
                <w:kern w:val="0"/>
                <w:sz w:val="20"/>
              </w:rPr>
              <w:t>Kroehns</w:t>
            </w:r>
          </w:p>
        </w:tc>
        <w:tc>
          <w:tcPr>
            <w:tcW w:w="1240" w:type="dxa"/>
            <w:tcBorders>
              <w:top w:val="nil"/>
              <w:left w:val="nil"/>
              <w:bottom w:val="nil"/>
              <w:right w:val="nil"/>
            </w:tcBorders>
            <w:shd w:val="clear" w:color="auto" w:fill="auto"/>
            <w:noWrap/>
            <w:vAlign w:val="bottom"/>
            <w:hideMark/>
          </w:tcPr>
          <w:p w:rsidR="00A02042" w:rsidRPr="00A67C76" w:rsidRDefault="00A02042" w:rsidP="00A02042">
            <w:pPr>
              <w:spacing w:after="0" w:line="240" w:lineRule="auto"/>
              <w:contextualSpacing/>
              <w:rPr>
                <w:rFonts w:cs="Calibri"/>
                <w:kern w:val="0"/>
                <w:sz w:val="20"/>
              </w:rPr>
            </w:pPr>
            <w:r w:rsidRPr="00A67C76">
              <w:rPr>
                <w:rFonts w:cs="Calibri"/>
                <w:kern w:val="0"/>
                <w:sz w:val="20"/>
              </w:rPr>
              <w:t>Gorge</w:t>
            </w:r>
          </w:p>
        </w:tc>
        <w:tc>
          <w:tcPr>
            <w:tcW w:w="1140" w:type="dxa"/>
            <w:tcBorders>
              <w:top w:val="nil"/>
              <w:left w:val="nil"/>
              <w:bottom w:val="nil"/>
              <w:right w:val="nil"/>
            </w:tcBorders>
            <w:shd w:val="clear" w:color="auto" w:fill="auto"/>
            <w:noWrap/>
            <w:vAlign w:val="bottom"/>
            <w:hideMark/>
          </w:tcPr>
          <w:p w:rsidR="00A02042" w:rsidRPr="00A67C76" w:rsidRDefault="00A02042" w:rsidP="00A02042">
            <w:pPr>
              <w:spacing w:after="0" w:line="240" w:lineRule="auto"/>
              <w:contextualSpacing/>
              <w:jc w:val="right"/>
              <w:rPr>
                <w:rFonts w:cs="Calibri"/>
                <w:kern w:val="0"/>
                <w:sz w:val="20"/>
              </w:rPr>
            </w:pPr>
            <w:r w:rsidRPr="00A67C76">
              <w:rPr>
                <w:rFonts w:cs="Calibri"/>
                <w:kern w:val="0"/>
                <w:sz w:val="20"/>
              </w:rPr>
              <w:t>34.424</w:t>
            </w:r>
          </w:p>
        </w:tc>
        <w:tc>
          <w:tcPr>
            <w:tcW w:w="960" w:type="dxa"/>
            <w:tcBorders>
              <w:top w:val="nil"/>
              <w:left w:val="nil"/>
              <w:bottom w:val="nil"/>
              <w:right w:val="nil"/>
            </w:tcBorders>
            <w:shd w:val="clear" w:color="auto" w:fill="auto"/>
            <w:noWrap/>
            <w:vAlign w:val="bottom"/>
            <w:hideMark/>
          </w:tcPr>
          <w:p w:rsidR="00A02042" w:rsidRPr="00A67C76" w:rsidRDefault="00A02042" w:rsidP="00A02042">
            <w:pPr>
              <w:spacing w:after="0" w:line="240" w:lineRule="auto"/>
              <w:contextualSpacing/>
              <w:jc w:val="right"/>
              <w:rPr>
                <w:rFonts w:cs="Calibri"/>
                <w:kern w:val="0"/>
                <w:sz w:val="20"/>
              </w:rPr>
            </w:pPr>
            <w:r w:rsidRPr="00A67C76">
              <w:rPr>
                <w:rFonts w:cs="Calibri"/>
                <w:kern w:val="0"/>
                <w:sz w:val="20"/>
              </w:rPr>
              <w:t>139.345</w:t>
            </w:r>
          </w:p>
        </w:tc>
      </w:tr>
      <w:tr w:rsidR="00A02042" w:rsidRPr="00A67C76" w:rsidTr="00A02042">
        <w:trPr>
          <w:trHeight w:val="300"/>
        </w:trPr>
        <w:tc>
          <w:tcPr>
            <w:tcW w:w="2020" w:type="dxa"/>
            <w:tcBorders>
              <w:top w:val="nil"/>
              <w:left w:val="nil"/>
              <w:bottom w:val="single" w:sz="4" w:space="0" w:color="auto"/>
              <w:right w:val="nil"/>
            </w:tcBorders>
            <w:shd w:val="clear" w:color="auto" w:fill="auto"/>
            <w:noWrap/>
            <w:vAlign w:val="bottom"/>
            <w:hideMark/>
          </w:tcPr>
          <w:p w:rsidR="00A02042" w:rsidRPr="00A67C76" w:rsidRDefault="00A02042" w:rsidP="00A02042">
            <w:pPr>
              <w:spacing w:after="0" w:line="240" w:lineRule="auto"/>
              <w:contextualSpacing/>
              <w:rPr>
                <w:rFonts w:cs="Calibri"/>
                <w:kern w:val="0"/>
                <w:sz w:val="20"/>
              </w:rPr>
            </w:pPr>
            <w:r w:rsidRPr="00A67C76">
              <w:rPr>
                <w:rFonts w:cs="Calibri"/>
                <w:kern w:val="0"/>
                <w:sz w:val="20"/>
              </w:rPr>
              <w:t>North Purnong</w:t>
            </w:r>
          </w:p>
        </w:tc>
        <w:tc>
          <w:tcPr>
            <w:tcW w:w="1240" w:type="dxa"/>
            <w:tcBorders>
              <w:top w:val="nil"/>
              <w:left w:val="nil"/>
              <w:bottom w:val="single" w:sz="4" w:space="0" w:color="auto"/>
              <w:right w:val="nil"/>
            </w:tcBorders>
            <w:shd w:val="clear" w:color="auto" w:fill="auto"/>
            <w:noWrap/>
            <w:vAlign w:val="bottom"/>
            <w:hideMark/>
          </w:tcPr>
          <w:p w:rsidR="00A02042" w:rsidRPr="00A67C76" w:rsidRDefault="00A02042" w:rsidP="00A02042">
            <w:pPr>
              <w:spacing w:after="0" w:line="240" w:lineRule="auto"/>
              <w:contextualSpacing/>
              <w:rPr>
                <w:rFonts w:cs="Calibri"/>
                <w:kern w:val="0"/>
                <w:sz w:val="20"/>
              </w:rPr>
            </w:pPr>
            <w:r w:rsidRPr="00A67C76">
              <w:rPr>
                <w:rFonts w:cs="Calibri"/>
                <w:kern w:val="0"/>
                <w:sz w:val="20"/>
              </w:rPr>
              <w:t>Gorge</w:t>
            </w:r>
          </w:p>
        </w:tc>
        <w:tc>
          <w:tcPr>
            <w:tcW w:w="1140" w:type="dxa"/>
            <w:tcBorders>
              <w:top w:val="nil"/>
              <w:left w:val="nil"/>
              <w:bottom w:val="single" w:sz="4" w:space="0" w:color="auto"/>
              <w:right w:val="nil"/>
            </w:tcBorders>
            <w:shd w:val="clear" w:color="auto" w:fill="auto"/>
            <w:noWrap/>
            <w:vAlign w:val="bottom"/>
            <w:hideMark/>
          </w:tcPr>
          <w:p w:rsidR="00A02042" w:rsidRPr="00A67C76" w:rsidRDefault="00A02042" w:rsidP="00A02042">
            <w:pPr>
              <w:spacing w:after="0" w:line="240" w:lineRule="auto"/>
              <w:contextualSpacing/>
              <w:jc w:val="right"/>
              <w:rPr>
                <w:rFonts w:cs="Calibri"/>
                <w:kern w:val="0"/>
                <w:sz w:val="20"/>
              </w:rPr>
            </w:pPr>
            <w:r w:rsidRPr="00A67C76">
              <w:rPr>
                <w:rFonts w:cs="Calibri"/>
                <w:kern w:val="0"/>
                <w:sz w:val="20"/>
              </w:rPr>
              <w:t>34.502</w:t>
            </w:r>
          </w:p>
        </w:tc>
        <w:tc>
          <w:tcPr>
            <w:tcW w:w="960" w:type="dxa"/>
            <w:tcBorders>
              <w:top w:val="nil"/>
              <w:left w:val="nil"/>
              <w:bottom w:val="single" w:sz="4" w:space="0" w:color="auto"/>
              <w:right w:val="nil"/>
            </w:tcBorders>
            <w:shd w:val="clear" w:color="auto" w:fill="auto"/>
            <w:noWrap/>
            <w:vAlign w:val="bottom"/>
            <w:hideMark/>
          </w:tcPr>
          <w:p w:rsidR="00A02042" w:rsidRPr="00A67C76" w:rsidRDefault="00A02042" w:rsidP="00A02042">
            <w:pPr>
              <w:spacing w:after="0" w:line="240" w:lineRule="auto"/>
              <w:contextualSpacing/>
              <w:jc w:val="right"/>
              <w:rPr>
                <w:rFonts w:cs="Calibri"/>
                <w:kern w:val="0"/>
                <w:sz w:val="20"/>
              </w:rPr>
            </w:pPr>
            <w:r w:rsidRPr="00A67C76">
              <w:rPr>
                <w:rFonts w:cs="Calibri"/>
                <w:kern w:val="0"/>
                <w:sz w:val="20"/>
              </w:rPr>
              <w:t>139.354</w:t>
            </w:r>
          </w:p>
        </w:tc>
      </w:tr>
    </w:tbl>
    <w:p w:rsidR="00A02042" w:rsidRPr="00A67C76" w:rsidRDefault="00A02042" w:rsidP="00A02042">
      <w:pPr>
        <w:pStyle w:val="Caption"/>
        <w:rPr>
          <w:b w:val="0"/>
        </w:rPr>
      </w:pPr>
    </w:p>
    <w:p w:rsidR="003F7FFD" w:rsidRPr="00A67C76" w:rsidRDefault="003F7FFD" w:rsidP="00CC4B06"/>
    <w:p w:rsidR="003F7FFD" w:rsidRPr="00A67C76" w:rsidRDefault="003F7FFD">
      <w:pPr>
        <w:spacing w:after="200" w:line="276" w:lineRule="auto"/>
      </w:pPr>
      <w:r w:rsidRPr="00A67C76">
        <w:br w:type="page"/>
      </w:r>
    </w:p>
    <w:p w:rsidR="00B139EC" w:rsidRPr="00A67C76" w:rsidRDefault="00B139EC" w:rsidP="009E401F">
      <w:pPr>
        <w:rPr>
          <w:b/>
        </w:rPr>
      </w:pPr>
      <w:r w:rsidRPr="00A67C76">
        <w:rPr>
          <w:b/>
        </w:rPr>
        <w:t>Frog response</w:t>
      </w:r>
    </w:p>
    <w:p w:rsidR="00B139EC" w:rsidRPr="00A67C76" w:rsidRDefault="003177B4" w:rsidP="00CC4B06">
      <w:r w:rsidRPr="00B96CE5">
        <w:rPr>
          <w:noProof/>
          <w:lang w:eastAsia="en-AU"/>
        </w:rPr>
        <w:drawing>
          <wp:inline distT="0" distB="0" distL="0" distR="0">
            <wp:extent cx="5677786" cy="4406140"/>
            <wp:effectExtent l="0" t="0" r="0" b="0"/>
            <wp:docPr id="90" name="Picture 90" descr="U:\Emily's Folder\Projects\CEWH\CEWSite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Emily's Folder\Projects\CEWH\CEWSitesMap.JPG"/>
                    <pic:cNvPicPr>
                      <a:picLocks noChangeAspect="1" noChangeArrowheads="1"/>
                    </pic:cNvPicPr>
                  </pic:nvPicPr>
                  <pic:blipFill rotWithShape="1">
                    <a:blip r:embed="rId9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681132" cy="440873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10"/>
        <w:gridCol w:w="3327"/>
        <w:gridCol w:w="1376"/>
        <w:gridCol w:w="1223"/>
      </w:tblGrid>
      <w:tr w:rsidR="003177B4" w:rsidRPr="00E45D08" w:rsidTr="00371000">
        <w:trPr>
          <w:trHeight w:val="300"/>
        </w:trPr>
        <w:tc>
          <w:tcPr>
            <w:tcW w:w="3356" w:type="dxa"/>
            <w:tcBorders>
              <w:top w:val="single" w:sz="4" w:space="0" w:color="auto"/>
              <w:bottom w:val="single" w:sz="4" w:space="0" w:color="auto"/>
            </w:tcBorders>
            <w:noWrap/>
            <w:hideMark/>
          </w:tcPr>
          <w:p w:rsidR="003177B4" w:rsidRPr="00E45D08" w:rsidRDefault="003177B4" w:rsidP="00371000">
            <w:pPr>
              <w:spacing w:before="0" w:after="0" w:line="240" w:lineRule="auto"/>
              <w:rPr>
                <w:b/>
                <w:sz w:val="20"/>
              </w:rPr>
            </w:pPr>
            <w:bookmarkStart w:id="232" w:name="_Ref382216790"/>
            <w:r w:rsidRPr="00E45D08">
              <w:rPr>
                <w:b/>
                <w:sz w:val="20"/>
              </w:rPr>
              <w:t>Geomorphic Region</w:t>
            </w:r>
          </w:p>
        </w:tc>
        <w:tc>
          <w:tcPr>
            <w:tcW w:w="3373" w:type="dxa"/>
            <w:tcBorders>
              <w:top w:val="single" w:sz="4" w:space="0" w:color="auto"/>
              <w:bottom w:val="single" w:sz="4" w:space="0" w:color="auto"/>
            </w:tcBorders>
            <w:noWrap/>
            <w:hideMark/>
          </w:tcPr>
          <w:p w:rsidR="003177B4" w:rsidRPr="00E45D08" w:rsidRDefault="003177B4" w:rsidP="00371000">
            <w:pPr>
              <w:spacing w:before="0" w:after="0" w:line="240" w:lineRule="auto"/>
              <w:rPr>
                <w:b/>
                <w:sz w:val="20"/>
              </w:rPr>
            </w:pPr>
            <w:r w:rsidRPr="00E45D08">
              <w:rPr>
                <w:b/>
                <w:sz w:val="20"/>
              </w:rPr>
              <w:t>Wetland</w:t>
            </w:r>
          </w:p>
        </w:tc>
        <w:tc>
          <w:tcPr>
            <w:tcW w:w="1393" w:type="dxa"/>
            <w:tcBorders>
              <w:top w:val="single" w:sz="4" w:space="0" w:color="auto"/>
              <w:bottom w:val="single" w:sz="4" w:space="0" w:color="auto"/>
            </w:tcBorders>
            <w:noWrap/>
            <w:hideMark/>
          </w:tcPr>
          <w:p w:rsidR="003177B4" w:rsidRPr="00E45D08" w:rsidRDefault="003177B4" w:rsidP="00371000">
            <w:pPr>
              <w:spacing w:before="0" w:after="0" w:line="240" w:lineRule="auto"/>
              <w:rPr>
                <w:b/>
                <w:sz w:val="20"/>
              </w:rPr>
            </w:pPr>
            <w:r w:rsidRPr="00E45D08">
              <w:rPr>
                <w:b/>
                <w:sz w:val="20"/>
              </w:rPr>
              <w:t>Easting</w:t>
            </w:r>
          </w:p>
        </w:tc>
        <w:tc>
          <w:tcPr>
            <w:tcW w:w="1238" w:type="dxa"/>
            <w:tcBorders>
              <w:top w:val="single" w:sz="4" w:space="0" w:color="auto"/>
              <w:bottom w:val="single" w:sz="4" w:space="0" w:color="auto"/>
            </w:tcBorders>
            <w:noWrap/>
            <w:hideMark/>
          </w:tcPr>
          <w:p w:rsidR="003177B4" w:rsidRPr="00E45D08" w:rsidRDefault="003177B4" w:rsidP="00371000">
            <w:pPr>
              <w:spacing w:before="0" w:after="0" w:line="240" w:lineRule="auto"/>
              <w:rPr>
                <w:b/>
                <w:sz w:val="20"/>
              </w:rPr>
            </w:pPr>
            <w:r w:rsidRPr="00E45D08">
              <w:rPr>
                <w:b/>
                <w:sz w:val="20"/>
              </w:rPr>
              <w:t>Northing</w:t>
            </w:r>
          </w:p>
        </w:tc>
      </w:tr>
      <w:tr w:rsidR="003177B4" w:rsidRPr="00E45D08" w:rsidTr="00371000">
        <w:trPr>
          <w:trHeight w:val="300"/>
        </w:trPr>
        <w:tc>
          <w:tcPr>
            <w:tcW w:w="3356" w:type="dxa"/>
            <w:vMerge w:val="restart"/>
            <w:tcBorders>
              <w:top w:val="single" w:sz="4" w:space="0" w:color="auto"/>
            </w:tcBorders>
            <w:noWrap/>
            <w:hideMark/>
          </w:tcPr>
          <w:p w:rsidR="003177B4" w:rsidRPr="00E45D08" w:rsidRDefault="003177B4" w:rsidP="00371000">
            <w:pPr>
              <w:spacing w:before="0" w:after="0" w:line="240" w:lineRule="auto"/>
              <w:rPr>
                <w:bCs/>
                <w:sz w:val="20"/>
              </w:rPr>
            </w:pPr>
            <w:r w:rsidRPr="00E45D08">
              <w:rPr>
                <w:bCs/>
                <w:sz w:val="20"/>
              </w:rPr>
              <w:t>Gorge</w:t>
            </w:r>
          </w:p>
        </w:tc>
        <w:tc>
          <w:tcPr>
            <w:tcW w:w="3373" w:type="dxa"/>
            <w:tcBorders>
              <w:top w:val="single" w:sz="4" w:space="0" w:color="auto"/>
            </w:tcBorders>
            <w:noWrap/>
            <w:hideMark/>
          </w:tcPr>
          <w:p w:rsidR="003177B4" w:rsidRPr="00E45D08" w:rsidRDefault="003177B4" w:rsidP="00371000">
            <w:pPr>
              <w:spacing w:before="0" w:after="0" w:line="240" w:lineRule="auto"/>
              <w:rPr>
                <w:bCs/>
                <w:sz w:val="20"/>
              </w:rPr>
            </w:pPr>
            <w:r w:rsidRPr="00E45D08">
              <w:rPr>
                <w:bCs/>
                <w:sz w:val="20"/>
              </w:rPr>
              <w:t>Akuna Wetland</w:t>
            </w:r>
          </w:p>
        </w:tc>
        <w:tc>
          <w:tcPr>
            <w:tcW w:w="1393" w:type="dxa"/>
            <w:tcBorders>
              <w:top w:val="single" w:sz="4" w:space="0" w:color="auto"/>
            </w:tcBorders>
            <w:noWrap/>
            <w:hideMark/>
          </w:tcPr>
          <w:p w:rsidR="003177B4" w:rsidRPr="00E45D08" w:rsidRDefault="003177B4" w:rsidP="00371000">
            <w:pPr>
              <w:spacing w:before="0" w:after="0" w:line="240" w:lineRule="auto"/>
              <w:rPr>
                <w:sz w:val="20"/>
              </w:rPr>
            </w:pPr>
            <w:r w:rsidRPr="00E45D08">
              <w:rPr>
                <w:sz w:val="20"/>
              </w:rPr>
              <w:t>430910</w:t>
            </w:r>
          </w:p>
        </w:tc>
        <w:tc>
          <w:tcPr>
            <w:tcW w:w="1238" w:type="dxa"/>
            <w:tcBorders>
              <w:top w:val="single" w:sz="4" w:space="0" w:color="auto"/>
            </w:tcBorders>
            <w:noWrap/>
            <w:hideMark/>
          </w:tcPr>
          <w:p w:rsidR="003177B4" w:rsidRPr="00E45D08" w:rsidRDefault="003177B4" w:rsidP="00371000">
            <w:pPr>
              <w:spacing w:before="0" w:after="0" w:line="240" w:lineRule="auto"/>
              <w:rPr>
                <w:sz w:val="20"/>
              </w:rPr>
            </w:pPr>
            <w:r w:rsidRPr="00E45D08">
              <w:rPr>
                <w:sz w:val="20"/>
              </w:rPr>
              <w:t>6218342</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Brenda Park Lagoon</w:t>
            </w:r>
          </w:p>
        </w:tc>
        <w:tc>
          <w:tcPr>
            <w:tcW w:w="1393" w:type="dxa"/>
            <w:noWrap/>
            <w:hideMark/>
          </w:tcPr>
          <w:p w:rsidR="003177B4" w:rsidRPr="00E45D08" w:rsidRDefault="003177B4" w:rsidP="00371000">
            <w:pPr>
              <w:spacing w:before="0" w:after="0" w:line="240" w:lineRule="auto"/>
              <w:rPr>
                <w:sz w:val="20"/>
              </w:rPr>
            </w:pPr>
            <w:r w:rsidRPr="00E45D08">
              <w:rPr>
                <w:sz w:val="20"/>
              </w:rPr>
              <w:t>377297</w:t>
            </w:r>
          </w:p>
        </w:tc>
        <w:tc>
          <w:tcPr>
            <w:tcW w:w="1238" w:type="dxa"/>
            <w:noWrap/>
            <w:hideMark/>
          </w:tcPr>
          <w:p w:rsidR="003177B4" w:rsidRPr="00E45D08" w:rsidRDefault="003177B4" w:rsidP="00371000">
            <w:pPr>
              <w:spacing w:before="0" w:after="0" w:line="240" w:lineRule="auto"/>
              <w:rPr>
                <w:sz w:val="20"/>
              </w:rPr>
            </w:pPr>
            <w:r w:rsidRPr="00E45D08">
              <w:rPr>
                <w:sz w:val="20"/>
              </w:rPr>
              <w:t>6227012</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Devon Downs - Connecting creek</w:t>
            </w:r>
          </w:p>
        </w:tc>
        <w:tc>
          <w:tcPr>
            <w:tcW w:w="1393" w:type="dxa"/>
            <w:noWrap/>
            <w:hideMark/>
          </w:tcPr>
          <w:p w:rsidR="003177B4" w:rsidRPr="00E45D08" w:rsidRDefault="003177B4" w:rsidP="00371000">
            <w:pPr>
              <w:spacing w:before="0" w:after="0" w:line="240" w:lineRule="auto"/>
              <w:rPr>
                <w:sz w:val="20"/>
              </w:rPr>
            </w:pPr>
            <w:r w:rsidRPr="00E45D08">
              <w:rPr>
                <w:sz w:val="20"/>
              </w:rPr>
              <w:t>373327</w:t>
            </w:r>
          </w:p>
        </w:tc>
        <w:tc>
          <w:tcPr>
            <w:tcW w:w="1238" w:type="dxa"/>
            <w:noWrap/>
            <w:hideMark/>
          </w:tcPr>
          <w:p w:rsidR="003177B4" w:rsidRPr="00E45D08" w:rsidRDefault="003177B4" w:rsidP="00371000">
            <w:pPr>
              <w:spacing w:before="0" w:after="0" w:line="240" w:lineRule="auto"/>
              <w:rPr>
                <w:sz w:val="20"/>
              </w:rPr>
            </w:pPr>
            <w:r w:rsidRPr="00E45D08">
              <w:rPr>
                <w:sz w:val="20"/>
              </w:rPr>
              <w:t>6161037</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Devon Downs North</w:t>
            </w:r>
          </w:p>
        </w:tc>
        <w:tc>
          <w:tcPr>
            <w:tcW w:w="1393" w:type="dxa"/>
            <w:noWrap/>
            <w:hideMark/>
          </w:tcPr>
          <w:p w:rsidR="003177B4" w:rsidRPr="00E45D08" w:rsidRDefault="003177B4" w:rsidP="00371000">
            <w:pPr>
              <w:spacing w:before="0" w:after="0" w:line="240" w:lineRule="auto"/>
              <w:rPr>
                <w:sz w:val="20"/>
              </w:rPr>
            </w:pPr>
            <w:r w:rsidRPr="00E45D08">
              <w:rPr>
                <w:sz w:val="20"/>
              </w:rPr>
              <w:t>376675</w:t>
            </w:r>
          </w:p>
        </w:tc>
        <w:tc>
          <w:tcPr>
            <w:tcW w:w="1238" w:type="dxa"/>
            <w:noWrap/>
            <w:hideMark/>
          </w:tcPr>
          <w:p w:rsidR="003177B4" w:rsidRPr="00E45D08" w:rsidRDefault="003177B4" w:rsidP="00371000">
            <w:pPr>
              <w:spacing w:before="0" w:after="0" w:line="240" w:lineRule="auto"/>
              <w:rPr>
                <w:sz w:val="20"/>
              </w:rPr>
            </w:pPr>
            <w:r w:rsidRPr="00E45D08">
              <w:rPr>
                <w:sz w:val="20"/>
              </w:rPr>
              <w:t>6164600</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Devon Downs South</w:t>
            </w:r>
          </w:p>
        </w:tc>
        <w:tc>
          <w:tcPr>
            <w:tcW w:w="1393" w:type="dxa"/>
            <w:noWrap/>
            <w:hideMark/>
          </w:tcPr>
          <w:p w:rsidR="003177B4" w:rsidRPr="00E45D08" w:rsidRDefault="003177B4" w:rsidP="00371000">
            <w:pPr>
              <w:spacing w:before="0" w:after="0" w:line="240" w:lineRule="auto"/>
              <w:rPr>
                <w:sz w:val="20"/>
              </w:rPr>
            </w:pPr>
            <w:r w:rsidRPr="00E45D08">
              <w:rPr>
                <w:sz w:val="20"/>
              </w:rPr>
              <w:t>372570</w:t>
            </w:r>
          </w:p>
        </w:tc>
        <w:tc>
          <w:tcPr>
            <w:tcW w:w="1238" w:type="dxa"/>
            <w:noWrap/>
            <w:hideMark/>
          </w:tcPr>
          <w:p w:rsidR="003177B4" w:rsidRPr="00E45D08" w:rsidRDefault="003177B4" w:rsidP="00371000">
            <w:pPr>
              <w:spacing w:before="0" w:after="0" w:line="240" w:lineRule="auto"/>
              <w:rPr>
                <w:sz w:val="20"/>
              </w:rPr>
            </w:pPr>
            <w:r w:rsidRPr="00E45D08">
              <w:rPr>
                <w:sz w:val="20"/>
              </w:rPr>
              <w:t>6161089</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Hart Lagoon</w:t>
            </w:r>
          </w:p>
        </w:tc>
        <w:tc>
          <w:tcPr>
            <w:tcW w:w="1393" w:type="dxa"/>
            <w:noWrap/>
            <w:hideMark/>
          </w:tcPr>
          <w:p w:rsidR="003177B4" w:rsidRPr="00E45D08" w:rsidRDefault="003177B4" w:rsidP="00371000">
            <w:pPr>
              <w:spacing w:before="0" w:after="0" w:line="240" w:lineRule="auto"/>
              <w:rPr>
                <w:sz w:val="20"/>
              </w:rPr>
            </w:pPr>
            <w:r w:rsidRPr="00E45D08">
              <w:rPr>
                <w:sz w:val="20"/>
              </w:rPr>
              <w:t>403506</w:t>
            </w:r>
          </w:p>
        </w:tc>
        <w:tc>
          <w:tcPr>
            <w:tcW w:w="1238" w:type="dxa"/>
            <w:noWrap/>
            <w:hideMark/>
          </w:tcPr>
          <w:p w:rsidR="003177B4" w:rsidRPr="00E45D08" w:rsidRDefault="003177B4" w:rsidP="00371000">
            <w:pPr>
              <w:spacing w:before="0" w:after="0" w:line="240" w:lineRule="auto"/>
              <w:rPr>
                <w:sz w:val="20"/>
              </w:rPr>
            </w:pPr>
            <w:r w:rsidRPr="00E45D08">
              <w:rPr>
                <w:sz w:val="20"/>
              </w:rPr>
              <w:t>6219042</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Markaranka</w:t>
            </w:r>
          </w:p>
        </w:tc>
        <w:tc>
          <w:tcPr>
            <w:tcW w:w="1393" w:type="dxa"/>
            <w:noWrap/>
            <w:hideMark/>
          </w:tcPr>
          <w:p w:rsidR="003177B4" w:rsidRPr="00E45D08" w:rsidRDefault="003177B4" w:rsidP="00371000">
            <w:pPr>
              <w:spacing w:before="0" w:after="0" w:line="240" w:lineRule="auto"/>
              <w:rPr>
                <w:sz w:val="20"/>
              </w:rPr>
            </w:pPr>
            <w:r w:rsidRPr="00E45D08">
              <w:rPr>
                <w:sz w:val="20"/>
              </w:rPr>
              <w:t>394824</w:t>
            </w:r>
          </w:p>
        </w:tc>
        <w:tc>
          <w:tcPr>
            <w:tcW w:w="1238" w:type="dxa"/>
            <w:noWrap/>
            <w:hideMark/>
          </w:tcPr>
          <w:p w:rsidR="003177B4" w:rsidRPr="00E45D08" w:rsidRDefault="003177B4" w:rsidP="00371000">
            <w:pPr>
              <w:spacing w:before="0" w:after="0" w:line="240" w:lineRule="auto"/>
              <w:rPr>
                <w:sz w:val="20"/>
              </w:rPr>
            </w:pPr>
            <w:r w:rsidRPr="00E45D08">
              <w:rPr>
                <w:sz w:val="20"/>
              </w:rPr>
              <w:t>6228970</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Molo Flat</w:t>
            </w:r>
          </w:p>
        </w:tc>
        <w:tc>
          <w:tcPr>
            <w:tcW w:w="1393" w:type="dxa"/>
            <w:noWrap/>
            <w:hideMark/>
          </w:tcPr>
          <w:p w:rsidR="003177B4" w:rsidRPr="00E45D08" w:rsidRDefault="003177B4" w:rsidP="00371000">
            <w:pPr>
              <w:spacing w:before="0" w:after="0" w:line="240" w:lineRule="auto"/>
              <w:rPr>
                <w:sz w:val="20"/>
              </w:rPr>
            </w:pPr>
            <w:r w:rsidRPr="00E45D08">
              <w:rPr>
                <w:sz w:val="20"/>
              </w:rPr>
              <w:t>390001</w:t>
            </w:r>
          </w:p>
        </w:tc>
        <w:tc>
          <w:tcPr>
            <w:tcW w:w="1238" w:type="dxa"/>
            <w:noWrap/>
            <w:hideMark/>
          </w:tcPr>
          <w:p w:rsidR="003177B4" w:rsidRPr="00E45D08" w:rsidRDefault="003177B4" w:rsidP="00371000">
            <w:pPr>
              <w:spacing w:before="0" w:after="0" w:line="240" w:lineRule="auto"/>
              <w:rPr>
                <w:sz w:val="20"/>
              </w:rPr>
            </w:pPr>
            <w:r w:rsidRPr="00E45D08">
              <w:rPr>
                <w:sz w:val="20"/>
              </w:rPr>
              <w:t>6230698</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Morgan Conservation Park</w:t>
            </w:r>
          </w:p>
        </w:tc>
        <w:tc>
          <w:tcPr>
            <w:tcW w:w="1393" w:type="dxa"/>
            <w:noWrap/>
            <w:hideMark/>
          </w:tcPr>
          <w:p w:rsidR="003177B4" w:rsidRPr="00E45D08" w:rsidRDefault="003177B4" w:rsidP="00371000">
            <w:pPr>
              <w:spacing w:before="0" w:after="0" w:line="240" w:lineRule="auto"/>
              <w:rPr>
                <w:sz w:val="20"/>
              </w:rPr>
            </w:pPr>
            <w:r w:rsidRPr="00E45D08">
              <w:rPr>
                <w:sz w:val="20"/>
              </w:rPr>
              <w:t>377984</w:t>
            </w:r>
          </w:p>
        </w:tc>
        <w:tc>
          <w:tcPr>
            <w:tcW w:w="1238" w:type="dxa"/>
            <w:noWrap/>
            <w:hideMark/>
          </w:tcPr>
          <w:p w:rsidR="003177B4" w:rsidRPr="00E45D08" w:rsidRDefault="003177B4" w:rsidP="00371000">
            <w:pPr>
              <w:spacing w:before="0" w:after="0" w:line="240" w:lineRule="auto"/>
              <w:rPr>
                <w:sz w:val="20"/>
              </w:rPr>
            </w:pPr>
            <w:r w:rsidRPr="00E45D08">
              <w:rPr>
                <w:sz w:val="20"/>
              </w:rPr>
              <w:t>6233094</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Morgan's Lagoon</w:t>
            </w:r>
          </w:p>
        </w:tc>
        <w:tc>
          <w:tcPr>
            <w:tcW w:w="1393" w:type="dxa"/>
            <w:noWrap/>
            <w:hideMark/>
          </w:tcPr>
          <w:p w:rsidR="003177B4" w:rsidRPr="00E45D08" w:rsidRDefault="003177B4" w:rsidP="00371000">
            <w:pPr>
              <w:spacing w:before="0" w:after="0" w:line="240" w:lineRule="auto"/>
              <w:rPr>
                <w:sz w:val="20"/>
              </w:rPr>
            </w:pPr>
            <w:r w:rsidRPr="00E45D08">
              <w:rPr>
                <w:sz w:val="20"/>
              </w:rPr>
              <w:t>370998</w:t>
            </w:r>
          </w:p>
        </w:tc>
        <w:tc>
          <w:tcPr>
            <w:tcW w:w="1238" w:type="dxa"/>
            <w:noWrap/>
            <w:hideMark/>
          </w:tcPr>
          <w:p w:rsidR="003177B4" w:rsidRPr="00E45D08" w:rsidRDefault="003177B4" w:rsidP="00371000">
            <w:pPr>
              <w:spacing w:before="0" w:after="0" w:line="240" w:lineRule="auto"/>
              <w:rPr>
                <w:sz w:val="20"/>
              </w:rPr>
            </w:pPr>
            <w:r w:rsidRPr="00E45D08">
              <w:rPr>
                <w:sz w:val="20"/>
              </w:rPr>
              <w:t>6183989</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Murbpook Lagoon</w:t>
            </w:r>
          </w:p>
        </w:tc>
        <w:tc>
          <w:tcPr>
            <w:tcW w:w="1393" w:type="dxa"/>
            <w:noWrap/>
            <w:hideMark/>
          </w:tcPr>
          <w:p w:rsidR="003177B4" w:rsidRPr="00E45D08" w:rsidRDefault="003177B4" w:rsidP="00371000">
            <w:pPr>
              <w:spacing w:before="0" w:after="0" w:line="240" w:lineRule="auto"/>
              <w:rPr>
                <w:sz w:val="20"/>
              </w:rPr>
            </w:pPr>
            <w:r w:rsidRPr="00E45D08">
              <w:rPr>
                <w:sz w:val="20"/>
              </w:rPr>
              <w:t>374135</w:t>
            </w:r>
          </w:p>
        </w:tc>
        <w:tc>
          <w:tcPr>
            <w:tcW w:w="1238" w:type="dxa"/>
            <w:noWrap/>
            <w:hideMark/>
          </w:tcPr>
          <w:p w:rsidR="003177B4" w:rsidRPr="00E45D08" w:rsidRDefault="003177B4" w:rsidP="00371000">
            <w:pPr>
              <w:spacing w:before="0" w:after="0" w:line="240" w:lineRule="auto"/>
              <w:rPr>
                <w:sz w:val="20"/>
              </w:rPr>
            </w:pPr>
            <w:r w:rsidRPr="00E45D08">
              <w:rPr>
                <w:sz w:val="20"/>
              </w:rPr>
              <w:t>6214060</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 xml:space="preserve">Nigra Creek </w:t>
            </w:r>
          </w:p>
        </w:tc>
        <w:tc>
          <w:tcPr>
            <w:tcW w:w="1393" w:type="dxa"/>
            <w:noWrap/>
            <w:hideMark/>
          </w:tcPr>
          <w:p w:rsidR="003177B4" w:rsidRPr="00E45D08" w:rsidRDefault="003177B4" w:rsidP="00371000">
            <w:pPr>
              <w:spacing w:before="0" w:after="0" w:line="240" w:lineRule="auto"/>
              <w:rPr>
                <w:sz w:val="20"/>
              </w:rPr>
            </w:pPr>
            <w:r w:rsidRPr="00E45D08">
              <w:rPr>
                <w:sz w:val="20"/>
              </w:rPr>
              <w:t>402327</w:t>
            </w:r>
          </w:p>
        </w:tc>
        <w:tc>
          <w:tcPr>
            <w:tcW w:w="1238" w:type="dxa"/>
            <w:noWrap/>
            <w:hideMark/>
          </w:tcPr>
          <w:p w:rsidR="003177B4" w:rsidRPr="00E45D08" w:rsidRDefault="003177B4" w:rsidP="00371000">
            <w:pPr>
              <w:spacing w:before="0" w:after="0" w:line="240" w:lineRule="auto"/>
              <w:rPr>
                <w:sz w:val="20"/>
              </w:rPr>
            </w:pPr>
            <w:r w:rsidRPr="00E45D08">
              <w:rPr>
                <w:sz w:val="20"/>
              </w:rPr>
              <w:t>6226919</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Nikalapko</w:t>
            </w:r>
          </w:p>
        </w:tc>
        <w:tc>
          <w:tcPr>
            <w:tcW w:w="1393" w:type="dxa"/>
            <w:noWrap/>
            <w:hideMark/>
          </w:tcPr>
          <w:p w:rsidR="003177B4" w:rsidRPr="00E45D08" w:rsidRDefault="003177B4" w:rsidP="00371000">
            <w:pPr>
              <w:spacing w:before="0" w:after="0" w:line="240" w:lineRule="auto"/>
              <w:rPr>
                <w:sz w:val="20"/>
              </w:rPr>
            </w:pPr>
            <w:r w:rsidRPr="00E45D08">
              <w:rPr>
                <w:sz w:val="20"/>
              </w:rPr>
              <w:t>388640</w:t>
            </w:r>
          </w:p>
        </w:tc>
        <w:tc>
          <w:tcPr>
            <w:tcW w:w="1238" w:type="dxa"/>
            <w:noWrap/>
            <w:hideMark/>
          </w:tcPr>
          <w:p w:rsidR="003177B4" w:rsidRPr="00E45D08" w:rsidRDefault="003177B4" w:rsidP="00371000">
            <w:pPr>
              <w:spacing w:before="0" w:after="0" w:line="240" w:lineRule="auto"/>
              <w:rPr>
                <w:sz w:val="20"/>
              </w:rPr>
            </w:pPr>
            <w:r w:rsidRPr="00E45D08">
              <w:rPr>
                <w:sz w:val="20"/>
              </w:rPr>
              <w:t>6231958</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Noonawirra</w:t>
            </w:r>
          </w:p>
        </w:tc>
        <w:tc>
          <w:tcPr>
            <w:tcW w:w="1393" w:type="dxa"/>
            <w:noWrap/>
            <w:hideMark/>
          </w:tcPr>
          <w:p w:rsidR="003177B4" w:rsidRPr="00E45D08" w:rsidRDefault="003177B4" w:rsidP="00371000">
            <w:pPr>
              <w:spacing w:before="0" w:after="0" w:line="240" w:lineRule="auto"/>
              <w:rPr>
                <w:sz w:val="20"/>
              </w:rPr>
            </w:pPr>
            <w:r w:rsidRPr="00E45D08">
              <w:rPr>
                <w:sz w:val="20"/>
              </w:rPr>
              <w:t>369033</w:t>
            </w:r>
          </w:p>
        </w:tc>
        <w:tc>
          <w:tcPr>
            <w:tcW w:w="1238" w:type="dxa"/>
            <w:noWrap/>
            <w:hideMark/>
          </w:tcPr>
          <w:p w:rsidR="003177B4" w:rsidRPr="00E45D08" w:rsidRDefault="003177B4" w:rsidP="00371000">
            <w:pPr>
              <w:spacing w:before="0" w:after="0" w:line="240" w:lineRule="auto"/>
              <w:rPr>
                <w:sz w:val="20"/>
              </w:rPr>
            </w:pPr>
            <w:r w:rsidRPr="00E45D08">
              <w:rPr>
                <w:sz w:val="20"/>
              </w:rPr>
              <w:t>6181809</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 xml:space="preserve">Overland Corner </w:t>
            </w:r>
          </w:p>
        </w:tc>
        <w:tc>
          <w:tcPr>
            <w:tcW w:w="1393" w:type="dxa"/>
            <w:noWrap/>
            <w:hideMark/>
          </w:tcPr>
          <w:p w:rsidR="003177B4" w:rsidRPr="00E45D08" w:rsidRDefault="003177B4" w:rsidP="00371000">
            <w:pPr>
              <w:spacing w:before="0" w:after="0" w:line="240" w:lineRule="auto"/>
              <w:rPr>
                <w:sz w:val="20"/>
              </w:rPr>
            </w:pPr>
            <w:r w:rsidRPr="00E45D08">
              <w:rPr>
                <w:sz w:val="20"/>
              </w:rPr>
              <w:t>438691</w:t>
            </w:r>
          </w:p>
        </w:tc>
        <w:tc>
          <w:tcPr>
            <w:tcW w:w="1238" w:type="dxa"/>
            <w:noWrap/>
            <w:hideMark/>
          </w:tcPr>
          <w:p w:rsidR="003177B4" w:rsidRPr="00E45D08" w:rsidRDefault="003177B4" w:rsidP="00371000">
            <w:pPr>
              <w:spacing w:before="0" w:after="0" w:line="240" w:lineRule="auto"/>
              <w:rPr>
                <w:sz w:val="20"/>
              </w:rPr>
            </w:pPr>
            <w:r w:rsidRPr="00E45D08">
              <w:rPr>
                <w:sz w:val="20"/>
              </w:rPr>
              <w:t>6220152</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Ramco Lagoon</w:t>
            </w:r>
          </w:p>
        </w:tc>
        <w:tc>
          <w:tcPr>
            <w:tcW w:w="1393" w:type="dxa"/>
            <w:noWrap/>
            <w:hideMark/>
          </w:tcPr>
          <w:p w:rsidR="003177B4" w:rsidRPr="00E45D08" w:rsidRDefault="003177B4" w:rsidP="00371000">
            <w:pPr>
              <w:spacing w:before="0" w:after="0" w:line="240" w:lineRule="auto"/>
              <w:rPr>
                <w:sz w:val="20"/>
              </w:rPr>
            </w:pPr>
            <w:r w:rsidRPr="00E45D08">
              <w:rPr>
                <w:sz w:val="20"/>
              </w:rPr>
              <w:t>399896</w:t>
            </w:r>
          </w:p>
        </w:tc>
        <w:tc>
          <w:tcPr>
            <w:tcW w:w="1238" w:type="dxa"/>
            <w:noWrap/>
            <w:hideMark/>
          </w:tcPr>
          <w:p w:rsidR="003177B4" w:rsidRPr="00E45D08" w:rsidRDefault="003177B4" w:rsidP="00371000">
            <w:pPr>
              <w:spacing w:before="0" w:after="0" w:line="240" w:lineRule="auto"/>
              <w:rPr>
                <w:sz w:val="20"/>
              </w:rPr>
            </w:pPr>
            <w:r w:rsidRPr="00E45D08">
              <w:rPr>
                <w:sz w:val="20"/>
              </w:rPr>
              <w:t>6219959</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Reedy Creek</w:t>
            </w:r>
          </w:p>
        </w:tc>
        <w:tc>
          <w:tcPr>
            <w:tcW w:w="1393" w:type="dxa"/>
            <w:noWrap/>
            <w:hideMark/>
          </w:tcPr>
          <w:p w:rsidR="003177B4" w:rsidRPr="00E45D08" w:rsidRDefault="003177B4" w:rsidP="00371000">
            <w:pPr>
              <w:spacing w:before="0" w:after="0" w:line="240" w:lineRule="auto"/>
              <w:rPr>
                <w:sz w:val="20"/>
              </w:rPr>
            </w:pPr>
            <w:r w:rsidRPr="00E45D08">
              <w:rPr>
                <w:sz w:val="20"/>
              </w:rPr>
              <w:t>338875</w:t>
            </w:r>
          </w:p>
        </w:tc>
        <w:tc>
          <w:tcPr>
            <w:tcW w:w="1238" w:type="dxa"/>
            <w:noWrap/>
            <w:hideMark/>
          </w:tcPr>
          <w:p w:rsidR="003177B4" w:rsidRPr="00E45D08" w:rsidRDefault="003177B4" w:rsidP="00371000">
            <w:pPr>
              <w:spacing w:before="0" w:after="0" w:line="240" w:lineRule="auto"/>
              <w:rPr>
                <w:sz w:val="20"/>
              </w:rPr>
            </w:pPr>
            <w:r w:rsidRPr="00E45D08">
              <w:rPr>
                <w:sz w:val="20"/>
              </w:rPr>
              <w:t>6132277</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Schillers Lagoon</w:t>
            </w:r>
          </w:p>
        </w:tc>
        <w:tc>
          <w:tcPr>
            <w:tcW w:w="1393" w:type="dxa"/>
            <w:noWrap/>
            <w:hideMark/>
          </w:tcPr>
          <w:p w:rsidR="003177B4" w:rsidRPr="00E45D08" w:rsidRDefault="003177B4" w:rsidP="00371000">
            <w:pPr>
              <w:spacing w:before="0" w:after="0" w:line="240" w:lineRule="auto"/>
              <w:rPr>
                <w:sz w:val="20"/>
              </w:rPr>
            </w:pPr>
            <w:r w:rsidRPr="00E45D08">
              <w:rPr>
                <w:sz w:val="20"/>
              </w:rPr>
              <w:t>400609</w:t>
            </w:r>
          </w:p>
        </w:tc>
        <w:tc>
          <w:tcPr>
            <w:tcW w:w="1238" w:type="dxa"/>
            <w:noWrap/>
            <w:hideMark/>
          </w:tcPr>
          <w:p w:rsidR="003177B4" w:rsidRPr="00E45D08" w:rsidRDefault="003177B4" w:rsidP="00371000">
            <w:pPr>
              <w:spacing w:before="0" w:after="0" w:line="240" w:lineRule="auto"/>
              <w:rPr>
                <w:sz w:val="20"/>
              </w:rPr>
            </w:pPr>
            <w:r w:rsidRPr="00E45D08">
              <w:rPr>
                <w:sz w:val="20"/>
              </w:rPr>
              <w:t>6228062</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Scotts Creek</w:t>
            </w:r>
          </w:p>
        </w:tc>
        <w:tc>
          <w:tcPr>
            <w:tcW w:w="1393" w:type="dxa"/>
            <w:noWrap/>
            <w:hideMark/>
          </w:tcPr>
          <w:p w:rsidR="003177B4" w:rsidRPr="00E45D08" w:rsidRDefault="003177B4" w:rsidP="00371000">
            <w:pPr>
              <w:spacing w:before="0" w:after="0" w:line="240" w:lineRule="auto"/>
              <w:rPr>
                <w:sz w:val="20"/>
              </w:rPr>
            </w:pPr>
            <w:r w:rsidRPr="00E45D08">
              <w:rPr>
                <w:sz w:val="20"/>
              </w:rPr>
              <w:t>377173</w:t>
            </w:r>
          </w:p>
        </w:tc>
        <w:tc>
          <w:tcPr>
            <w:tcW w:w="1238" w:type="dxa"/>
            <w:noWrap/>
            <w:hideMark/>
          </w:tcPr>
          <w:p w:rsidR="003177B4" w:rsidRPr="00E45D08" w:rsidRDefault="003177B4" w:rsidP="00371000">
            <w:pPr>
              <w:spacing w:before="0" w:after="0" w:line="240" w:lineRule="auto"/>
              <w:rPr>
                <w:sz w:val="20"/>
              </w:rPr>
            </w:pPr>
            <w:r w:rsidRPr="00E45D08">
              <w:rPr>
                <w:sz w:val="20"/>
              </w:rPr>
              <w:t>6226939</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Sugar Shack</w:t>
            </w:r>
          </w:p>
        </w:tc>
        <w:tc>
          <w:tcPr>
            <w:tcW w:w="1393" w:type="dxa"/>
            <w:noWrap/>
            <w:hideMark/>
          </w:tcPr>
          <w:p w:rsidR="003177B4" w:rsidRPr="00E45D08" w:rsidRDefault="003177B4" w:rsidP="00371000">
            <w:pPr>
              <w:spacing w:before="0" w:after="0" w:line="240" w:lineRule="auto"/>
              <w:rPr>
                <w:sz w:val="20"/>
              </w:rPr>
            </w:pPr>
            <w:r w:rsidRPr="00E45D08">
              <w:rPr>
                <w:sz w:val="20"/>
              </w:rPr>
              <w:t>371356</w:t>
            </w:r>
          </w:p>
        </w:tc>
        <w:tc>
          <w:tcPr>
            <w:tcW w:w="1238" w:type="dxa"/>
            <w:noWrap/>
            <w:hideMark/>
          </w:tcPr>
          <w:p w:rsidR="003177B4" w:rsidRPr="00E45D08" w:rsidRDefault="003177B4" w:rsidP="00371000">
            <w:pPr>
              <w:spacing w:before="0" w:after="0" w:line="240" w:lineRule="auto"/>
              <w:rPr>
                <w:sz w:val="20"/>
              </w:rPr>
            </w:pPr>
            <w:r w:rsidRPr="00E45D08">
              <w:rPr>
                <w:sz w:val="20"/>
              </w:rPr>
              <w:t>6177928</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Sweeney's Lagoon</w:t>
            </w:r>
          </w:p>
        </w:tc>
        <w:tc>
          <w:tcPr>
            <w:tcW w:w="1393" w:type="dxa"/>
            <w:noWrap/>
            <w:hideMark/>
          </w:tcPr>
          <w:p w:rsidR="003177B4" w:rsidRPr="00E45D08" w:rsidRDefault="003177B4" w:rsidP="00371000">
            <w:pPr>
              <w:spacing w:before="0" w:after="0" w:line="240" w:lineRule="auto"/>
              <w:rPr>
                <w:sz w:val="20"/>
              </w:rPr>
            </w:pPr>
            <w:r w:rsidRPr="00E45D08">
              <w:rPr>
                <w:sz w:val="20"/>
              </w:rPr>
              <w:t>373335</w:t>
            </w:r>
          </w:p>
        </w:tc>
        <w:tc>
          <w:tcPr>
            <w:tcW w:w="1238" w:type="dxa"/>
            <w:noWrap/>
            <w:hideMark/>
          </w:tcPr>
          <w:p w:rsidR="003177B4" w:rsidRPr="00E45D08" w:rsidRDefault="003177B4" w:rsidP="00371000">
            <w:pPr>
              <w:spacing w:before="0" w:after="0" w:line="240" w:lineRule="auto"/>
              <w:rPr>
                <w:sz w:val="20"/>
              </w:rPr>
            </w:pPr>
            <w:r w:rsidRPr="00E45D08">
              <w:rPr>
                <w:sz w:val="20"/>
              </w:rPr>
              <w:t>6195845</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Taylor's Flat</w:t>
            </w:r>
          </w:p>
        </w:tc>
        <w:tc>
          <w:tcPr>
            <w:tcW w:w="1393" w:type="dxa"/>
            <w:noWrap/>
            <w:hideMark/>
          </w:tcPr>
          <w:p w:rsidR="003177B4" w:rsidRPr="00E45D08" w:rsidRDefault="003177B4" w:rsidP="00371000">
            <w:pPr>
              <w:spacing w:before="0" w:after="0" w:line="240" w:lineRule="auto"/>
              <w:rPr>
                <w:sz w:val="20"/>
              </w:rPr>
            </w:pPr>
            <w:r w:rsidRPr="00E45D08">
              <w:rPr>
                <w:sz w:val="20"/>
              </w:rPr>
              <w:t>390681</w:t>
            </w:r>
          </w:p>
        </w:tc>
        <w:tc>
          <w:tcPr>
            <w:tcW w:w="1238" w:type="dxa"/>
            <w:noWrap/>
            <w:hideMark/>
          </w:tcPr>
          <w:p w:rsidR="003177B4" w:rsidRPr="00E45D08" w:rsidRDefault="003177B4" w:rsidP="00371000">
            <w:pPr>
              <w:spacing w:before="0" w:after="0" w:line="240" w:lineRule="auto"/>
              <w:rPr>
                <w:sz w:val="20"/>
              </w:rPr>
            </w:pPr>
            <w:r w:rsidRPr="00E45D08">
              <w:rPr>
                <w:sz w:val="20"/>
              </w:rPr>
              <w:t>6232711</w:t>
            </w:r>
          </w:p>
        </w:tc>
      </w:tr>
      <w:tr w:rsidR="003177B4" w:rsidRPr="00E45D08" w:rsidTr="00371000">
        <w:trPr>
          <w:trHeight w:val="300"/>
        </w:trPr>
        <w:tc>
          <w:tcPr>
            <w:tcW w:w="3356" w:type="dxa"/>
            <w:vMerge/>
            <w:tcBorders>
              <w:bottom w:val="single" w:sz="4" w:space="0" w:color="auto"/>
            </w:tcBorders>
            <w:hideMark/>
          </w:tcPr>
          <w:p w:rsidR="003177B4" w:rsidRPr="00E45D08" w:rsidRDefault="003177B4" w:rsidP="00371000">
            <w:pPr>
              <w:spacing w:before="0" w:after="0" w:line="240" w:lineRule="auto"/>
              <w:rPr>
                <w:bCs/>
                <w:sz w:val="20"/>
              </w:rPr>
            </w:pPr>
          </w:p>
        </w:tc>
        <w:tc>
          <w:tcPr>
            <w:tcW w:w="3373" w:type="dxa"/>
            <w:tcBorders>
              <w:bottom w:val="single" w:sz="4" w:space="0" w:color="auto"/>
            </w:tcBorders>
            <w:noWrap/>
            <w:hideMark/>
          </w:tcPr>
          <w:p w:rsidR="003177B4" w:rsidRPr="00E45D08" w:rsidRDefault="003177B4" w:rsidP="00371000">
            <w:pPr>
              <w:spacing w:before="0" w:after="0" w:line="240" w:lineRule="auto"/>
              <w:rPr>
                <w:bCs/>
                <w:sz w:val="20"/>
              </w:rPr>
            </w:pPr>
            <w:r w:rsidRPr="00E45D08">
              <w:rPr>
                <w:bCs/>
                <w:sz w:val="20"/>
              </w:rPr>
              <w:t>Wigley Reach</w:t>
            </w:r>
          </w:p>
        </w:tc>
        <w:tc>
          <w:tcPr>
            <w:tcW w:w="1393" w:type="dxa"/>
            <w:tcBorders>
              <w:bottom w:val="single" w:sz="4" w:space="0" w:color="auto"/>
            </w:tcBorders>
            <w:noWrap/>
            <w:hideMark/>
          </w:tcPr>
          <w:p w:rsidR="003177B4" w:rsidRPr="00E45D08" w:rsidRDefault="003177B4" w:rsidP="00371000">
            <w:pPr>
              <w:spacing w:before="0" w:after="0" w:line="240" w:lineRule="auto"/>
              <w:rPr>
                <w:sz w:val="20"/>
              </w:rPr>
            </w:pPr>
            <w:r w:rsidRPr="00E45D08">
              <w:rPr>
                <w:sz w:val="20"/>
              </w:rPr>
              <w:t>435317</w:t>
            </w:r>
          </w:p>
        </w:tc>
        <w:tc>
          <w:tcPr>
            <w:tcW w:w="1238" w:type="dxa"/>
            <w:tcBorders>
              <w:bottom w:val="single" w:sz="4" w:space="0" w:color="auto"/>
            </w:tcBorders>
            <w:noWrap/>
            <w:hideMark/>
          </w:tcPr>
          <w:p w:rsidR="003177B4" w:rsidRPr="00E45D08" w:rsidRDefault="003177B4" w:rsidP="00371000">
            <w:pPr>
              <w:spacing w:before="0" w:after="0" w:line="240" w:lineRule="auto"/>
              <w:rPr>
                <w:sz w:val="20"/>
              </w:rPr>
            </w:pPr>
            <w:r w:rsidRPr="00E45D08">
              <w:rPr>
                <w:sz w:val="20"/>
              </w:rPr>
              <w:t>6217012</w:t>
            </w:r>
          </w:p>
        </w:tc>
      </w:tr>
      <w:tr w:rsidR="003177B4" w:rsidRPr="00E45D08" w:rsidTr="00371000">
        <w:trPr>
          <w:trHeight w:val="300"/>
        </w:trPr>
        <w:tc>
          <w:tcPr>
            <w:tcW w:w="3356" w:type="dxa"/>
            <w:vMerge w:val="restart"/>
            <w:tcBorders>
              <w:top w:val="single" w:sz="4" w:space="0" w:color="auto"/>
            </w:tcBorders>
            <w:noWrap/>
            <w:hideMark/>
          </w:tcPr>
          <w:p w:rsidR="003177B4" w:rsidRPr="00E45D08" w:rsidRDefault="003177B4" w:rsidP="00371000">
            <w:pPr>
              <w:spacing w:before="0" w:after="0" w:line="240" w:lineRule="auto"/>
              <w:rPr>
                <w:bCs/>
                <w:sz w:val="20"/>
              </w:rPr>
            </w:pPr>
            <w:r>
              <w:rPr>
                <w:bCs/>
                <w:sz w:val="20"/>
              </w:rPr>
              <w:t>Floodplain (</w:t>
            </w:r>
            <w:r w:rsidRPr="00E45D08">
              <w:rPr>
                <w:bCs/>
                <w:sz w:val="20"/>
              </w:rPr>
              <w:t>Riverland</w:t>
            </w:r>
            <w:r>
              <w:rPr>
                <w:bCs/>
                <w:sz w:val="20"/>
              </w:rPr>
              <w:t>)</w:t>
            </w:r>
          </w:p>
        </w:tc>
        <w:tc>
          <w:tcPr>
            <w:tcW w:w="3373" w:type="dxa"/>
            <w:tcBorders>
              <w:top w:val="single" w:sz="4" w:space="0" w:color="auto"/>
            </w:tcBorders>
            <w:noWrap/>
            <w:hideMark/>
          </w:tcPr>
          <w:p w:rsidR="003177B4" w:rsidRPr="00E45D08" w:rsidRDefault="003177B4" w:rsidP="00371000">
            <w:pPr>
              <w:spacing w:before="0" w:after="0" w:line="240" w:lineRule="auto"/>
              <w:rPr>
                <w:bCs/>
                <w:sz w:val="20"/>
              </w:rPr>
            </w:pPr>
            <w:r w:rsidRPr="00E45D08">
              <w:rPr>
                <w:bCs/>
                <w:sz w:val="20"/>
              </w:rPr>
              <w:t>Beldora Wetland</w:t>
            </w:r>
          </w:p>
        </w:tc>
        <w:tc>
          <w:tcPr>
            <w:tcW w:w="1393" w:type="dxa"/>
            <w:tcBorders>
              <w:top w:val="single" w:sz="4" w:space="0" w:color="auto"/>
            </w:tcBorders>
            <w:noWrap/>
            <w:hideMark/>
          </w:tcPr>
          <w:p w:rsidR="003177B4" w:rsidRPr="00E45D08" w:rsidRDefault="003177B4" w:rsidP="00371000">
            <w:pPr>
              <w:spacing w:before="0" w:after="0" w:line="240" w:lineRule="auto"/>
              <w:rPr>
                <w:sz w:val="20"/>
              </w:rPr>
            </w:pPr>
            <w:r w:rsidRPr="00E45D08">
              <w:rPr>
                <w:sz w:val="20"/>
              </w:rPr>
              <w:t>444765</w:t>
            </w:r>
          </w:p>
        </w:tc>
        <w:tc>
          <w:tcPr>
            <w:tcW w:w="1238" w:type="dxa"/>
            <w:tcBorders>
              <w:top w:val="single" w:sz="4" w:space="0" w:color="auto"/>
            </w:tcBorders>
            <w:noWrap/>
            <w:hideMark/>
          </w:tcPr>
          <w:p w:rsidR="003177B4" w:rsidRPr="00E45D08" w:rsidRDefault="003177B4" w:rsidP="00371000">
            <w:pPr>
              <w:spacing w:before="0" w:after="0" w:line="240" w:lineRule="auto"/>
              <w:rPr>
                <w:sz w:val="20"/>
              </w:rPr>
            </w:pPr>
            <w:r w:rsidRPr="00E45D08">
              <w:rPr>
                <w:sz w:val="20"/>
              </w:rPr>
              <w:t>6200066</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Blackfellows Creek</w:t>
            </w:r>
          </w:p>
        </w:tc>
        <w:tc>
          <w:tcPr>
            <w:tcW w:w="1393" w:type="dxa"/>
            <w:noWrap/>
            <w:hideMark/>
          </w:tcPr>
          <w:p w:rsidR="003177B4" w:rsidRPr="00E45D08" w:rsidRDefault="003177B4" w:rsidP="00371000">
            <w:pPr>
              <w:spacing w:before="0" w:after="0" w:line="240" w:lineRule="auto"/>
              <w:rPr>
                <w:sz w:val="20"/>
              </w:rPr>
            </w:pPr>
            <w:r w:rsidRPr="00E45D08">
              <w:rPr>
                <w:sz w:val="20"/>
              </w:rPr>
              <w:t>443449</w:t>
            </w:r>
          </w:p>
        </w:tc>
        <w:tc>
          <w:tcPr>
            <w:tcW w:w="1238" w:type="dxa"/>
            <w:noWrap/>
            <w:hideMark/>
          </w:tcPr>
          <w:p w:rsidR="003177B4" w:rsidRPr="00E45D08" w:rsidRDefault="003177B4" w:rsidP="00371000">
            <w:pPr>
              <w:spacing w:before="0" w:after="0" w:line="240" w:lineRule="auto"/>
              <w:rPr>
                <w:sz w:val="20"/>
              </w:rPr>
            </w:pPr>
            <w:r w:rsidRPr="00E45D08">
              <w:rPr>
                <w:sz w:val="20"/>
              </w:rPr>
              <w:t>6205963</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Bookmark Creek</w:t>
            </w:r>
          </w:p>
        </w:tc>
        <w:tc>
          <w:tcPr>
            <w:tcW w:w="1393" w:type="dxa"/>
            <w:noWrap/>
            <w:hideMark/>
          </w:tcPr>
          <w:p w:rsidR="003177B4" w:rsidRPr="00E45D08" w:rsidRDefault="003177B4" w:rsidP="00371000">
            <w:pPr>
              <w:spacing w:before="0" w:after="0" w:line="240" w:lineRule="auto"/>
              <w:rPr>
                <w:sz w:val="20"/>
              </w:rPr>
            </w:pPr>
            <w:r w:rsidRPr="00E45D08">
              <w:rPr>
                <w:sz w:val="20"/>
              </w:rPr>
              <w:t>474900</w:t>
            </w:r>
          </w:p>
        </w:tc>
        <w:tc>
          <w:tcPr>
            <w:tcW w:w="1238" w:type="dxa"/>
            <w:noWrap/>
            <w:hideMark/>
          </w:tcPr>
          <w:p w:rsidR="003177B4" w:rsidRPr="00E45D08" w:rsidRDefault="003177B4" w:rsidP="00371000">
            <w:pPr>
              <w:spacing w:before="0" w:after="0" w:line="240" w:lineRule="auto"/>
              <w:rPr>
                <w:sz w:val="20"/>
              </w:rPr>
            </w:pPr>
            <w:r w:rsidRPr="00E45D08">
              <w:rPr>
                <w:sz w:val="20"/>
              </w:rPr>
              <w:t>6217601</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Bunyip Waterhole</w:t>
            </w:r>
          </w:p>
        </w:tc>
        <w:tc>
          <w:tcPr>
            <w:tcW w:w="1393" w:type="dxa"/>
            <w:noWrap/>
            <w:hideMark/>
          </w:tcPr>
          <w:p w:rsidR="003177B4" w:rsidRPr="00E45D08" w:rsidRDefault="003177B4" w:rsidP="00371000">
            <w:pPr>
              <w:spacing w:before="0" w:after="0" w:line="240" w:lineRule="auto"/>
              <w:rPr>
                <w:sz w:val="20"/>
              </w:rPr>
            </w:pPr>
            <w:r w:rsidRPr="00E45D08">
              <w:rPr>
                <w:sz w:val="20"/>
              </w:rPr>
              <w:t>489666</w:t>
            </w:r>
          </w:p>
        </w:tc>
        <w:tc>
          <w:tcPr>
            <w:tcW w:w="1238" w:type="dxa"/>
            <w:noWrap/>
            <w:hideMark/>
          </w:tcPr>
          <w:p w:rsidR="003177B4" w:rsidRPr="00E45D08" w:rsidRDefault="003177B4" w:rsidP="00371000">
            <w:pPr>
              <w:spacing w:before="0" w:after="0" w:line="240" w:lineRule="auto"/>
              <w:rPr>
                <w:sz w:val="20"/>
              </w:rPr>
            </w:pPr>
            <w:r w:rsidRPr="00E45D08">
              <w:rPr>
                <w:sz w:val="20"/>
              </w:rPr>
              <w:t>6241367</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Car Park Lagoons</w:t>
            </w:r>
          </w:p>
        </w:tc>
        <w:tc>
          <w:tcPr>
            <w:tcW w:w="1393" w:type="dxa"/>
            <w:noWrap/>
            <w:hideMark/>
          </w:tcPr>
          <w:p w:rsidR="003177B4" w:rsidRPr="00E45D08" w:rsidRDefault="003177B4" w:rsidP="00371000">
            <w:pPr>
              <w:spacing w:before="0" w:after="0" w:line="240" w:lineRule="auto"/>
              <w:rPr>
                <w:sz w:val="20"/>
              </w:rPr>
            </w:pPr>
            <w:r w:rsidRPr="00E45D08">
              <w:rPr>
                <w:sz w:val="20"/>
              </w:rPr>
              <w:t>456883</w:t>
            </w:r>
          </w:p>
        </w:tc>
        <w:tc>
          <w:tcPr>
            <w:tcW w:w="1238" w:type="dxa"/>
            <w:noWrap/>
            <w:hideMark/>
          </w:tcPr>
          <w:p w:rsidR="003177B4" w:rsidRPr="00E45D08" w:rsidRDefault="003177B4" w:rsidP="00371000">
            <w:pPr>
              <w:spacing w:before="0" w:after="0" w:line="240" w:lineRule="auto"/>
              <w:rPr>
                <w:sz w:val="20"/>
              </w:rPr>
            </w:pPr>
            <w:r w:rsidRPr="00E45D08">
              <w:rPr>
                <w:sz w:val="20"/>
              </w:rPr>
              <w:t>6197255</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Causeway Lagoon</w:t>
            </w:r>
          </w:p>
        </w:tc>
        <w:tc>
          <w:tcPr>
            <w:tcW w:w="1393" w:type="dxa"/>
            <w:noWrap/>
            <w:hideMark/>
          </w:tcPr>
          <w:p w:rsidR="003177B4" w:rsidRPr="00E45D08" w:rsidRDefault="003177B4" w:rsidP="00371000">
            <w:pPr>
              <w:spacing w:before="0" w:after="0" w:line="240" w:lineRule="auto"/>
              <w:rPr>
                <w:sz w:val="20"/>
              </w:rPr>
            </w:pPr>
            <w:r w:rsidRPr="00E45D08">
              <w:rPr>
                <w:sz w:val="20"/>
              </w:rPr>
              <w:t>462908</w:t>
            </w:r>
          </w:p>
        </w:tc>
        <w:tc>
          <w:tcPr>
            <w:tcW w:w="1238" w:type="dxa"/>
            <w:noWrap/>
            <w:hideMark/>
          </w:tcPr>
          <w:p w:rsidR="003177B4" w:rsidRPr="00E45D08" w:rsidRDefault="003177B4" w:rsidP="00371000">
            <w:pPr>
              <w:spacing w:before="0" w:after="0" w:line="240" w:lineRule="auto"/>
              <w:rPr>
                <w:sz w:val="20"/>
              </w:rPr>
            </w:pPr>
            <w:r w:rsidRPr="00E45D08">
              <w:rPr>
                <w:sz w:val="20"/>
              </w:rPr>
              <w:t>6203457</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Chowilla (Campsite 15)</w:t>
            </w:r>
          </w:p>
        </w:tc>
        <w:tc>
          <w:tcPr>
            <w:tcW w:w="1393" w:type="dxa"/>
            <w:noWrap/>
            <w:hideMark/>
          </w:tcPr>
          <w:p w:rsidR="003177B4" w:rsidRPr="00E45D08" w:rsidRDefault="003177B4" w:rsidP="00371000">
            <w:pPr>
              <w:spacing w:before="0" w:after="0" w:line="240" w:lineRule="auto"/>
              <w:rPr>
                <w:sz w:val="20"/>
              </w:rPr>
            </w:pPr>
            <w:r w:rsidRPr="00E45D08">
              <w:rPr>
                <w:sz w:val="20"/>
              </w:rPr>
              <w:t>488842</w:t>
            </w:r>
          </w:p>
        </w:tc>
        <w:tc>
          <w:tcPr>
            <w:tcW w:w="1238" w:type="dxa"/>
            <w:noWrap/>
            <w:hideMark/>
          </w:tcPr>
          <w:p w:rsidR="003177B4" w:rsidRPr="00E45D08" w:rsidRDefault="003177B4" w:rsidP="00371000">
            <w:pPr>
              <w:spacing w:before="0" w:after="0" w:line="240" w:lineRule="auto"/>
              <w:rPr>
                <w:sz w:val="20"/>
              </w:rPr>
            </w:pPr>
            <w:r w:rsidRPr="00E45D08">
              <w:rPr>
                <w:sz w:val="20"/>
              </w:rPr>
              <w:t>6243825</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Chowilla Creek/Bridge</w:t>
            </w:r>
          </w:p>
        </w:tc>
        <w:tc>
          <w:tcPr>
            <w:tcW w:w="1393" w:type="dxa"/>
            <w:noWrap/>
            <w:hideMark/>
          </w:tcPr>
          <w:p w:rsidR="003177B4" w:rsidRPr="00E45D08" w:rsidRDefault="003177B4" w:rsidP="00371000">
            <w:pPr>
              <w:spacing w:before="0" w:after="0" w:line="240" w:lineRule="auto"/>
              <w:rPr>
                <w:sz w:val="20"/>
              </w:rPr>
            </w:pPr>
            <w:r w:rsidRPr="00E45D08">
              <w:rPr>
                <w:sz w:val="20"/>
              </w:rPr>
              <w:t>489496</w:t>
            </w:r>
          </w:p>
        </w:tc>
        <w:tc>
          <w:tcPr>
            <w:tcW w:w="1238" w:type="dxa"/>
            <w:noWrap/>
            <w:hideMark/>
          </w:tcPr>
          <w:p w:rsidR="003177B4" w:rsidRPr="00E45D08" w:rsidRDefault="003177B4" w:rsidP="00371000">
            <w:pPr>
              <w:spacing w:before="0" w:after="0" w:line="240" w:lineRule="auto"/>
              <w:rPr>
                <w:sz w:val="20"/>
              </w:rPr>
            </w:pPr>
            <w:r w:rsidRPr="00E45D08">
              <w:rPr>
                <w:sz w:val="20"/>
              </w:rPr>
              <w:t>6241430</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Coppermine</w:t>
            </w:r>
          </w:p>
        </w:tc>
        <w:tc>
          <w:tcPr>
            <w:tcW w:w="1393" w:type="dxa"/>
            <w:noWrap/>
            <w:hideMark/>
          </w:tcPr>
          <w:p w:rsidR="003177B4" w:rsidRPr="00E45D08" w:rsidRDefault="003177B4" w:rsidP="00371000">
            <w:pPr>
              <w:spacing w:before="0" w:after="0" w:line="240" w:lineRule="auto"/>
              <w:rPr>
                <w:sz w:val="20"/>
              </w:rPr>
            </w:pPr>
            <w:r w:rsidRPr="00E45D08">
              <w:rPr>
                <w:sz w:val="20"/>
              </w:rPr>
              <w:t>485256</w:t>
            </w:r>
          </w:p>
        </w:tc>
        <w:tc>
          <w:tcPr>
            <w:tcW w:w="1238" w:type="dxa"/>
            <w:noWrap/>
            <w:hideMark/>
          </w:tcPr>
          <w:p w:rsidR="003177B4" w:rsidRPr="00E45D08" w:rsidRDefault="003177B4" w:rsidP="00371000">
            <w:pPr>
              <w:spacing w:before="0" w:after="0" w:line="240" w:lineRule="auto"/>
              <w:rPr>
                <w:sz w:val="20"/>
              </w:rPr>
            </w:pPr>
            <w:r w:rsidRPr="00E45D08">
              <w:rPr>
                <w:sz w:val="20"/>
              </w:rPr>
              <w:t>6240211</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Germein Swamp</w:t>
            </w:r>
          </w:p>
        </w:tc>
        <w:tc>
          <w:tcPr>
            <w:tcW w:w="1393" w:type="dxa"/>
            <w:noWrap/>
            <w:hideMark/>
          </w:tcPr>
          <w:p w:rsidR="003177B4" w:rsidRPr="00E45D08" w:rsidRDefault="003177B4" w:rsidP="00371000">
            <w:pPr>
              <w:spacing w:before="0" w:after="0" w:line="240" w:lineRule="auto"/>
              <w:rPr>
                <w:sz w:val="20"/>
              </w:rPr>
            </w:pPr>
            <w:r w:rsidRPr="00E45D08">
              <w:rPr>
                <w:sz w:val="20"/>
              </w:rPr>
              <w:t>443295</w:t>
            </w:r>
          </w:p>
        </w:tc>
        <w:tc>
          <w:tcPr>
            <w:tcW w:w="1238" w:type="dxa"/>
            <w:noWrap/>
            <w:hideMark/>
          </w:tcPr>
          <w:p w:rsidR="003177B4" w:rsidRPr="00E45D08" w:rsidRDefault="003177B4" w:rsidP="00371000">
            <w:pPr>
              <w:spacing w:before="0" w:after="0" w:line="240" w:lineRule="auto"/>
              <w:rPr>
                <w:sz w:val="20"/>
              </w:rPr>
            </w:pPr>
            <w:r w:rsidRPr="00E45D08">
              <w:rPr>
                <w:sz w:val="20"/>
              </w:rPr>
              <w:t>6206287</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 xml:space="preserve">Lake Littra </w:t>
            </w:r>
          </w:p>
        </w:tc>
        <w:tc>
          <w:tcPr>
            <w:tcW w:w="1393" w:type="dxa"/>
            <w:noWrap/>
            <w:hideMark/>
          </w:tcPr>
          <w:p w:rsidR="003177B4" w:rsidRPr="00E45D08" w:rsidRDefault="003177B4" w:rsidP="00371000">
            <w:pPr>
              <w:spacing w:before="0" w:after="0" w:line="240" w:lineRule="auto"/>
              <w:rPr>
                <w:sz w:val="20"/>
              </w:rPr>
            </w:pPr>
            <w:r w:rsidRPr="00E45D08">
              <w:rPr>
                <w:sz w:val="20"/>
              </w:rPr>
              <w:t>499558</w:t>
            </w:r>
          </w:p>
        </w:tc>
        <w:tc>
          <w:tcPr>
            <w:tcW w:w="1238" w:type="dxa"/>
            <w:noWrap/>
            <w:hideMark/>
          </w:tcPr>
          <w:p w:rsidR="003177B4" w:rsidRPr="00E45D08" w:rsidRDefault="003177B4" w:rsidP="00371000">
            <w:pPr>
              <w:spacing w:before="0" w:after="0" w:line="240" w:lineRule="auto"/>
              <w:rPr>
                <w:sz w:val="20"/>
              </w:rPr>
            </w:pPr>
            <w:r w:rsidRPr="00E45D08">
              <w:rPr>
                <w:sz w:val="20"/>
              </w:rPr>
              <w:t>6245360</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Little Duck Lagoon</w:t>
            </w:r>
          </w:p>
        </w:tc>
        <w:tc>
          <w:tcPr>
            <w:tcW w:w="1393" w:type="dxa"/>
            <w:noWrap/>
            <w:hideMark/>
          </w:tcPr>
          <w:p w:rsidR="003177B4" w:rsidRPr="00E45D08" w:rsidRDefault="003177B4" w:rsidP="00371000">
            <w:pPr>
              <w:spacing w:before="0" w:after="0" w:line="240" w:lineRule="auto"/>
              <w:rPr>
                <w:sz w:val="20"/>
              </w:rPr>
            </w:pPr>
            <w:r w:rsidRPr="00E45D08">
              <w:rPr>
                <w:sz w:val="20"/>
              </w:rPr>
              <w:t>462699</w:t>
            </w:r>
          </w:p>
        </w:tc>
        <w:tc>
          <w:tcPr>
            <w:tcW w:w="1238" w:type="dxa"/>
            <w:noWrap/>
            <w:hideMark/>
          </w:tcPr>
          <w:p w:rsidR="003177B4" w:rsidRPr="00E45D08" w:rsidRDefault="003177B4" w:rsidP="00371000">
            <w:pPr>
              <w:spacing w:before="0" w:after="0" w:line="240" w:lineRule="auto"/>
              <w:rPr>
                <w:sz w:val="20"/>
              </w:rPr>
            </w:pPr>
            <w:r w:rsidRPr="00E45D08">
              <w:rPr>
                <w:sz w:val="20"/>
              </w:rPr>
              <w:t>6203506</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Lock 6 Depression</w:t>
            </w:r>
          </w:p>
        </w:tc>
        <w:tc>
          <w:tcPr>
            <w:tcW w:w="1393" w:type="dxa"/>
            <w:noWrap/>
            <w:hideMark/>
          </w:tcPr>
          <w:p w:rsidR="003177B4" w:rsidRPr="00E45D08" w:rsidRDefault="003177B4" w:rsidP="00371000">
            <w:pPr>
              <w:spacing w:before="0" w:after="0" w:line="240" w:lineRule="auto"/>
              <w:rPr>
                <w:sz w:val="20"/>
              </w:rPr>
            </w:pPr>
            <w:r w:rsidRPr="00E45D08">
              <w:rPr>
                <w:sz w:val="20"/>
              </w:rPr>
              <w:t>490632</w:t>
            </w:r>
          </w:p>
        </w:tc>
        <w:tc>
          <w:tcPr>
            <w:tcW w:w="1238" w:type="dxa"/>
            <w:noWrap/>
            <w:hideMark/>
          </w:tcPr>
          <w:p w:rsidR="003177B4" w:rsidRPr="00E45D08" w:rsidRDefault="003177B4" w:rsidP="00371000">
            <w:pPr>
              <w:spacing w:before="0" w:after="0" w:line="240" w:lineRule="auto"/>
              <w:rPr>
                <w:sz w:val="20"/>
              </w:rPr>
            </w:pPr>
            <w:r w:rsidRPr="00E45D08">
              <w:rPr>
                <w:sz w:val="20"/>
              </w:rPr>
              <w:t>6238888</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Martins Bend</w:t>
            </w:r>
          </w:p>
        </w:tc>
        <w:tc>
          <w:tcPr>
            <w:tcW w:w="1393" w:type="dxa"/>
            <w:noWrap/>
            <w:hideMark/>
          </w:tcPr>
          <w:p w:rsidR="003177B4" w:rsidRPr="00E45D08" w:rsidRDefault="003177B4" w:rsidP="00371000">
            <w:pPr>
              <w:spacing w:before="0" w:after="0" w:line="240" w:lineRule="auto"/>
              <w:rPr>
                <w:sz w:val="20"/>
              </w:rPr>
            </w:pPr>
            <w:r w:rsidRPr="00E45D08">
              <w:rPr>
                <w:sz w:val="20"/>
              </w:rPr>
              <w:t>464500</w:t>
            </w:r>
          </w:p>
        </w:tc>
        <w:tc>
          <w:tcPr>
            <w:tcW w:w="1238" w:type="dxa"/>
            <w:noWrap/>
            <w:hideMark/>
          </w:tcPr>
          <w:p w:rsidR="003177B4" w:rsidRPr="00E45D08" w:rsidRDefault="003177B4" w:rsidP="00371000">
            <w:pPr>
              <w:spacing w:before="0" w:after="0" w:line="240" w:lineRule="auto"/>
              <w:rPr>
                <w:sz w:val="20"/>
              </w:rPr>
            </w:pPr>
            <w:r w:rsidRPr="00E45D08">
              <w:rPr>
                <w:sz w:val="20"/>
              </w:rPr>
              <w:t>6205531</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Monoman Creek/Bridge</w:t>
            </w:r>
          </w:p>
        </w:tc>
        <w:tc>
          <w:tcPr>
            <w:tcW w:w="1393" w:type="dxa"/>
            <w:noWrap/>
            <w:hideMark/>
          </w:tcPr>
          <w:p w:rsidR="003177B4" w:rsidRPr="00E45D08" w:rsidRDefault="003177B4" w:rsidP="00371000">
            <w:pPr>
              <w:spacing w:before="0" w:after="0" w:line="240" w:lineRule="auto"/>
              <w:rPr>
                <w:sz w:val="20"/>
              </w:rPr>
            </w:pPr>
            <w:r w:rsidRPr="00E45D08">
              <w:rPr>
                <w:sz w:val="20"/>
              </w:rPr>
              <w:t>488320</w:t>
            </w:r>
          </w:p>
        </w:tc>
        <w:tc>
          <w:tcPr>
            <w:tcW w:w="1238" w:type="dxa"/>
            <w:noWrap/>
            <w:hideMark/>
          </w:tcPr>
          <w:p w:rsidR="003177B4" w:rsidRPr="00E45D08" w:rsidRDefault="003177B4" w:rsidP="00371000">
            <w:pPr>
              <w:spacing w:before="0" w:after="0" w:line="240" w:lineRule="auto"/>
              <w:rPr>
                <w:sz w:val="20"/>
              </w:rPr>
            </w:pPr>
            <w:r w:rsidRPr="00E45D08">
              <w:rPr>
                <w:sz w:val="20"/>
              </w:rPr>
              <w:t>6242001</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Murtho Park/Wiela</w:t>
            </w:r>
          </w:p>
        </w:tc>
        <w:tc>
          <w:tcPr>
            <w:tcW w:w="1393" w:type="dxa"/>
            <w:noWrap/>
            <w:hideMark/>
          </w:tcPr>
          <w:p w:rsidR="003177B4" w:rsidRPr="00E45D08" w:rsidRDefault="003177B4" w:rsidP="00371000">
            <w:pPr>
              <w:spacing w:before="0" w:after="0" w:line="240" w:lineRule="auto"/>
              <w:rPr>
                <w:sz w:val="20"/>
              </w:rPr>
            </w:pPr>
            <w:r w:rsidRPr="00E45D08">
              <w:rPr>
                <w:sz w:val="20"/>
              </w:rPr>
              <w:t>484237</w:t>
            </w:r>
          </w:p>
        </w:tc>
        <w:tc>
          <w:tcPr>
            <w:tcW w:w="1238" w:type="dxa"/>
            <w:noWrap/>
            <w:hideMark/>
          </w:tcPr>
          <w:p w:rsidR="003177B4" w:rsidRPr="00E45D08" w:rsidRDefault="003177B4" w:rsidP="00371000">
            <w:pPr>
              <w:spacing w:before="0" w:after="0" w:line="240" w:lineRule="auto"/>
              <w:rPr>
                <w:sz w:val="20"/>
              </w:rPr>
            </w:pPr>
            <w:r w:rsidRPr="00E45D08">
              <w:rPr>
                <w:sz w:val="20"/>
              </w:rPr>
              <w:t>6232444</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Mussel Lagoons</w:t>
            </w:r>
          </w:p>
        </w:tc>
        <w:tc>
          <w:tcPr>
            <w:tcW w:w="1393" w:type="dxa"/>
            <w:noWrap/>
            <w:hideMark/>
          </w:tcPr>
          <w:p w:rsidR="003177B4" w:rsidRPr="00E45D08" w:rsidRDefault="003177B4" w:rsidP="00371000">
            <w:pPr>
              <w:spacing w:before="0" w:after="0" w:line="240" w:lineRule="auto"/>
              <w:rPr>
                <w:sz w:val="20"/>
              </w:rPr>
            </w:pPr>
            <w:r w:rsidRPr="00E45D08">
              <w:rPr>
                <w:sz w:val="20"/>
              </w:rPr>
              <w:t>442181</w:t>
            </w:r>
          </w:p>
        </w:tc>
        <w:tc>
          <w:tcPr>
            <w:tcW w:w="1238" w:type="dxa"/>
            <w:noWrap/>
            <w:hideMark/>
          </w:tcPr>
          <w:p w:rsidR="003177B4" w:rsidRPr="00E45D08" w:rsidRDefault="003177B4" w:rsidP="00371000">
            <w:pPr>
              <w:spacing w:before="0" w:after="0" w:line="240" w:lineRule="auto"/>
              <w:rPr>
                <w:sz w:val="20"/>
              </w:rPr>
            </w:pPr>
            <w:r w:rsidRPr="00E45D08">
              <w:rPr>
                <w:sz w:val="20"/>
              </w:rPr>
              <w:t>6206828</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Pilby Lagoon</w:t>
            </w:r>
          </w:p>
        </w:tc>
        <w:tc>
          <w:tcPr>
            <w:tcW w:w="1393" w:type="dxa"/>
            <w:noWrap/>
            <w:hideMark/>
          </w:tcPr>
          <w:p w:rsidR="003177B4" w:rsidRPr="00E45D08" w:rsidRDefault="003177B4" w:rsidP="00371000">
            <w:pPr>
              <w:spacing w:before="0" w:after="0" w:line="240" w:lineRule="auto"/>
              <w:rPr>
                <w:sz w:val="20"/>
              </w:rPr>
            </w:pPr>
            <w:r w:rsidRPr="00E45D08">
              <w:rPr>
                <w:sz w:val="20"/>
              </w:rPr>
              <w:t>490168</w:t>
            </w:r>
          </w:p>
        </w:tc>
        <w:tc>
          <w:tcPr>
            <w:tcW w:w="1238" w:type="dxa"/>
            <w:noWrap/>
            <w:hideMark/>
          </w:tcPr>
          <w:p w:rsidR="003177B4" w:rsidRPr="00E45D08" w:rsidRDefault="003177B4" w:rsidP="00371000">
            <w:pPr>
              <w:spacing w:before="0" w:after="0" w:line="240" w:lineRule="auto"/>
              <w:rPr>
                <w:sz w:val="20"/>
              </w:rPr>
            </w:pPr>
            <w:r w:rsidRPr="00E45D08">
              <w:rPr>
                <w:sz w:val="20"/>
              </w:rPr>
              <w:t>6238610</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Settlers Bend</w:t>
            </w:r>
          </w:p>
        </w:tc>
        <w:tc>
          <w:tcPr>
            <w:tcW w:w="1393" w:type="dxa"/>
            <w:noWrap/>
            <w:hideMark/>
          </w:tcPr>
          <w:p w:rsidR="003177B4" w:rsidRPr="00E45D08" w:rsidRDefault="003177B4" w:rsidP="00371000">
            <w:pPr>
              <w:spacing w:before="0" w:after="0" w:line="240" w:lineRule="auto"/>
              <w:rPr>
                <w:sz w:val="20"/>
              </w:rPr>
            </w:pPr>
            <w:r w:rsidRPr="00E45D08">
              <w:rPr>
                <w:sz w:val="20"/>
              </w:rPr>
              <w:t>465325</w:t>
            </w:r>
          </w:p>
        </w:tc>
        <w:tc>
          <w:tcPr>
            <w:tcW w:w="1238" w:type="dxa"/>
            <w:noWrap/>
            <w:hideMark/>
          </w:tcPr>
          <w:p w:rsidR="003177B4" w:rsidRPr="00E45D08" w:rsidRDefault="003177B4" w:rsidP="00371000">
            <w:pPr>
              <w:spacing w:before="0" w:after="0" w:line="240" w:lineRule="auto"/>
              <w:rPr>
                <w:sz w:val="20"/>
              </w:rPr>
            </w:pPr>
            <w:r w:rsidRPr="00E45D08">
              <w:rPr>
                <w:sz w:val="20"/>
              </w:rPr>
              <w:t>6205538</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Spectacle Lakes</w:t>
            </w:r>
          </w:p>
        </w:tc>
        <w:tc>
          <w:tcPr>
            <w:tcW w:w="1393" w:type="dxa"/>
            <w:noWrap/>
            <w:hideMark/>
          </w:tcPr>
          <w:p w:rsidR="003177B4" w:rsidRPr="00E45D08" w:rsidRDefault="003177B4" w:rsidP="00371000">
            <w:pPr>
              <w:spacing w:before="0" w:after="0" w:line="240" w:lineRule="auto"/>
              <w:rPr>
                <w:sz w:val="20"/>
              </w:rPr>
            </w:pPr>
            <w:r w:rsidRPr="00E45D08">
              <w:rPr>
                <w:sz w:val="20"/>
              </w:rPr>
              <w:t>444884</w:t>
            </w:r>
          </w:p>
        </w:tc>
        <w:tc>
          <w:tcPr>
            <w:tcW w:w="1238" w:type="dxa"/>
            <w:noWrap/>
            <w:hideMark/>
          </w:tcPr>
          <w:p w:rsidR="003177B4" w:rsidRPr="00E45D08" w:rsidRDefault="003177B4" w:rsidP="00371000">
            <w:pPr>
              <w:spacing w:before="0" w:after="0" w:line="240" w:lineRule="auto"/>
              <w:rPr>
                <w:sz w:val="20"/>
              </w:rPr>
            </w:pPr>
            <w:r w:rsidRPr="00E45D08">
              <w:rPr>
                <w:sz w:val="20"/>
              </w:rPr>
              <w:t>6200664</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Weila</w:t>
            </w:r>
          </w:p>
        </w:tc>
        <w:tc>
          <w:tcPr>
            <w:tcW w:w="1393" w:type="dxa"/>
            <w:noWrap/>
            <w:hideMark/>
          </w:tcPr>
          <w:p w:rsidR="003177B4" w:rsidRPr="00E45D08" w:rsidRDefault="003177B4" w:rsidP="00371000">
            <w:pPr>
              <w:spacing w:before="0" w:after="0" w:line="240" w:lineRule="auto"/>
              <w:rPr>
                <w:sz w:val="20"/>
              </w:rPr>
            </w:pPr>
            <w:r w:rsidRPr="00E45D08">
              <w:rPr>
                <w:sz w:val="20"/>
              </w:rPr>
              <w:t>487999</w:t>
            </w:r>
          </w:p>
        </w:tc>
        <w:tc>
          <w:tcPr>
            <w:tcW w:w="1238" w:type="dxa"/>
            <w:noWrap/>
            <w:hideMark/>
          </w:tcPr>
          <w:p w:rsidR="003177B4" w:rsidRPr="00E45D08" w:rsidRDefault="003177B4" w:rsidP="00371000">
            <w:pPr>
              <w:spacing w:before="0" w:after="0" w:line="240" w:lineRule="auto"/>
              <w:rPr>
                <w:sz w:val="20"/>
              </w:rPr>
            </w:pPr>
            <w:r w:rsidRPr="00E45D08">
              <w:rPr>
                <w:sz w:val="20"/>
              </w:rPr>
              <w:t>6235748</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Werta Wert</w:t>
            </w:r>
          </w:p>
        </w:tc>
        <w:tc>
          <w:tcPr>
            <w:tcW w:w="1393" w:type="dxa"/>
            <w:noWrap/>
            <w:hideMark/>
          </w:tcPr>
          <w:p w:rsidR="003177B4" w:rsidRPr="00E45D08" w:rsidRDefault="003177B4" w:rsidP="00371000">
            <w:pPr>
              <w:spacing w:before="0" w:after="0" w:line="240" w:lineRule="auto"/>
              <w:rPr>
                <w:sz w:val="20"/>
              </w:rPr>
            </w:pPr>
            <w:r w:rsidRPr="00E45D08">
              <w:rPr>
                <w:sz w:val="20"/>
              </w:rPr>
              <w:t>487706</w:t>
            </w:r>
          </w:p>
        </w:tc>
        <w:tc>
          <w:tcPr>
            <w:tcW w:w="1238" w:type="dxa"/>
            <w:noWrap/>
            <w:hideMark/>
          </w:tcPr>
          <w:p w:rsidR="003177B4" w:rsidRPr="00E45D08" w:rsidRDefault="003177B4" w:rsidP="00371000">
            <w:pPr>
              <w:spacing w:before="0" w:after="0" w:line="240" w:lineRule="auto"/>
              <w:rPr>
                <w:sz w:val="20"/>
              </w:rPr>
            </w:pPr>
            <w:r w:rsidRPr="00E45D08">
              <w:rPr>
                <w:sz w:val="20"/>
              </w:rPr>
              <w:t>6244737</w:t>
            </w:r>
          </w:p>
        </w:tc>
      </w:tr>
      <w:tr w:rsidR="003177B4" w:rsidRPr="00E45D08" w:rsidTr="00371000">
        <w:trPr>
          <w:trHeight w:val="300"/>
        </w:trPr>
        <w:tc>
          <w:tcPr>
            <w:tcW w:w="3356" w:type="dxa"/>
            <w:vMerge/>
            <w:tcBorders>
              <w:bottom w:val="single" w:sz="4" w:space="0" w:color="auto"/>
            </w:tcBorders>
            <w:hideMark/>
          </w:tcPr>
          <w:p w:rsidR="003177B4" w:rsidRPr="00E45D08" w:rsidRDefault="003177B4" w:rsidP="00371000">
            <w:pPr>
              <w:spacing w:before="0" w:after="0" w:line="240" w:lineRule="auto"/>
              <w:rPr>
                <w:bCs/>
                <w:sz w:val="20"/>
              </w:rPr>
            </w:pPr>
          </w:p>
        </w:tc>
        <w:tc>
          <w:tcPr>
            <w:tcW w:w="3373" w:type="dxa"/>
            <w:tcBorders>
              <w:bottom w:val="single" w:sz="4" w:space="0" w:color="auto"/>
            </w:tcBorders>
            <w:noWrap/>
            <w:hideMark/>
          </w:tcPr>
          <w:p w:rsidR="003177B4" w:rsidRPr="00E45D08" w:rsidRDefault="003177B4" w:rsidP="00371000">
            <w:pPr>
              <w:spacing w:before="0" w:after="0" w:line="240" w:lineRule="auto"/>
              <w:rPr>
                <w:bCs/>
                <w:sz w:val="20"/>
              </w:rPr>
            </w:pPr>
            <w:r w:rsidRPr="00E45D08">
              <w:rPr>
                <w:bCs/>
                <w:sz w:val="20"/>
              </w:rPr>
              <w:t>Yatco Lagoon</w:t>
            </w:r>
          </w:p>
        </w:tc>
        <w:tc>
          <w:tcPr>
            <w:tcW w:w="1393" w:type="dxa"/>
            <w:tcBorders>
              <w:bottom w:val="single" w:sz="4" w:space="0" w:color="auto"/>
            </w:tcBorders>
            <w:noWrap/>
            <w:hideMark/>
          </w:tcPr>
          <w:p w:rsidR="003177B4" w:rsidRPr="00E45D08" w:rsidRDefault="003177B4" w:rsidP="00371000">
            <w:pPr>
              <w:spacing w:before="0" w:after="0" w:line="240" w:lineRule="auto"/>
              <w:rPr>
                <w:sz w:val="20"/>
              </w:rPr>
            </w:pPr>
            <w:r w:rsidRPr="00E45D08">
              <w:rPr>
                <w:sz w:val="20"/>
              </w:rPr>
              <w:t>441244</w:t>
            </w:r>
          </w:p>
        </w:tc>
        <w:tc>
          <w:tcPr>
            <w:tcW w:w="1238" w:type="dxa"/>
            <w:tcBorders>
              <w:bottom w:val="single" w:sz="4" w:space="0" w:color="auto"/>
            </w:tcBorders>
            <w:noWrap/>
            <w:hideMark/>
          </w:tcPr>
          <w:p w:rsidR="003177B4" w:rsidRPr="00E45D08" w:rsidRDefault="003177B4" w:rsidP="00371000">
            <w:pPr>
              <w:spacing w:before="0" w:after="0" w:line="240" w:lineRule="auto"/>
              <w:rPr>
                <w:sz w:val="20"/>
              </w:rPr>
            </w:pPr>
            <w:r w:rsidRPr="00E45D08">
              <w:rPr>
                <w:sz w:val="20"/>
              </w:rPr>
              <w:t>6201482</w:t>
            </w:r>
          </w:p>
        </w:tc>
      </w:tr>
      <w:tr w:rsidR="003177B4" w:rsidRPr="00E45D08" w:rsidTr="00371000">
        <w:trPr>
          <w:trHeight w:val="300"/>
        </w:trPr>
        <w:tc>
          <w:tcPr>
            <w:tcW w:w="3356" w:type="dxa"/>
            <w:vMerge w:val="restart"/>
            <w:tcBorders>
              <w:top w:val="single" w:sz="4" w:space="0" w:color="auto"/>
            </w:tcBorders>
            <w:noWrap/>
            <w:hideMark/>
          </w:tcPr>
          <w:p w:rsidR="003177B4" w:rsidRPr="00E45D08" w:rsidRDefault="003177B4" w:rsidP="00371000">
            <w:pPr>
              <w:spacing w:before="0" w:after="0" w:line="240" w:lineRule="auto"/>
              <w:rPr>
                <w:bCs/>
                <w:sz w:val="20"/>
              </w:rPr>
            </w:pPr>
            <w:r>
              <w:rPr>
                <w:bCs/>
                <w:sz w:val="20"/>
              </w:rPr>
              <w:t>Swamplands (</w:t>
            </w:r>
            <w:r w:rsidRPr="00E45D08">
              <w:rPr>
                <w:bCs/>
                <w:sz w:val="20"/>
              </w:rPr>
              <w:t>Lower Murray Swamps</w:t>
            </w:r>
            <w:r>
              <w:rPr>
                <w:bCs/>
                <w:sz w:val="20"/>
              </w:rPr>
              <w:t>)</w:t>
            </w:r>
          </w:p>
        </w:tc>
        <w:tc>
          <w:tcPr>
            <w:tcW w:w="3373" w:type="dxa"/>
            <w:tcBorders>
              <w:top w:val="single" w:sz="4" w:space="0" w:color="auto"/>
            </w:tcBorders>
            <w:noWrap/>
            <w:hideMark/>
          </w:tcPr>
          <w:p w:rsidR="003177B4" w:rsidRPr="00E45D08" w:rsidRDefault="003177B4" w:rsidP="00371000">
            <w:pPr>
              <w:spacing w:before="0" w:after="0" w:line="240" w:lineRule="auto"/>
              <w:rPr>
                <w:bCs/>
                <w:sz w:val="20"/>
              </w:rPr>
            </w:pPr>
            <w:r w:rsidRPr="00E45D08">
              <w:rPr>
                <w:bCs/>
                <w:sz w:val="20"/>
              </w:rPr>
              <w:t>Jury Swamp</w:t>
            </w:r>
          </w:p>
        </w:tc>
        <w:tc>
          <w:tcPr>
            <w:tcW w:w="1393" w:type="dxa"/>
            <w:tcBorders>
              <w:top w:val="single" w:sz="4" w:space="0" w:color="auto"/>
            </w:tcBorders>
            <w:noWrap/>
            <w:hideMark/>
          </w:tcPr>
          <w:p w:rsidR="003177B4" w:rsidRPr="00E45D08" w:rsidRDefault="003177B4" w:rsidP="00371000">
            <w:pPr>
              <w:spacing w:before="0" w:after="0" w:line="240" w:lineRule="auto"/>
              <w:rPr>
                <w:sz w:val="20"/>
              </w:rPr>
            </w:pPr>
            <w:r w:rsidRPr="00E45D08">
              <w:rPr>
                <w:sz w:val="20"/>
              </w:rPr>
              <w:t>346550</w:t>
            </w:r>
          </w:p>
        </w:tc>
        <w:tc>
          <w:tcPr>
            <w:tcW w:w="1238" w:type="dxa"/>
            <w:tcBorders>
              <w:top w:val="single" w:sz="4" w:space="0" w:color="auto"/>
            </w:tcBorders>
            <w:noWrap/>
            <w:hideMark/>
          </w:tcPr>
          <w:p w:rsidR="003177B4" w:rsidRPr="00E45D08" w:rsidRDefault="003177B4" w:rsidP="00371000">
            <w:pPr>
              <w:spacing w:before="0" w:after="0" w:line="240" w:lineRule="auto"/>
              <w:rPr>
                <w:sz w:val="20"/>
              </w:rPr>
            </w:pPr>
            <w:r w:rsidRPr="00E45D08">
              <w:rPr>
                <w:sz w:val="20"/>
              </w:rPr>
              <w:t>6120022</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Riverglades</w:t>
            </w:r>
          </w:p>
        </w:tc>
        <w:tc>
          <w:tcPr>
            <w:tcW w:w="1393" w:type="dxa"/>
            <w:noWrap/>
            <w:hideMark/>
          </w:tcPr>
          <w:p w:rsidR="003177B4" w:rsidRPr="00E45D08" w:rsidRDefault="003177B4" w:rsidP="00371000">
            <w:pPr>
              <w:spacing w:before="0" w:after="0" w:line="240" w:lineRule="auto"/>
              <w:rPr>
                <w:sz w:val="20"/>
              </w:rPr>
            </w:pPr>
            <w:r w:rsidRPr="00E45D08">
              <w:rPr>
                <w:sz w:val="20"/>
              </w:rPr>
              <w:t>344782</w:t>
            </w:r>
          </w:p>
        </w:tc>
        <w:tc>
          <w:tcPr>
            <w:tcW w:w="1238" w:type="dxa"/>
            <w:noWrap/>
            <w:hideMark/>
          </w:tcPr>
          <w:p w:rsidR="003177B4" w:rsidRPr="00E45D08" w:rsidRDefault="003177B4" w:rsidP="00371000">
            <w:pPr>
              <w:spacing w:before="0" w:after="0" w:line="240" w:lineRule="auto"/>
              <w:rPr>
                <w:sz w:val="20"/>
              </w:rPr>
            </w:pPr>
            <w:r w:rsidRPr="00E45D08">
              <w:rPr>
                <w:sz w:val="20"/>
              </w:rPr>
              <w:t>6114560</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Rocky Gully</w:t>
            </w:r>
          </w:p>
        </w:tc>
        <w:tc>
          <w:tcPr>
            <w:tcW w:w="1393" w:type="dxa"/>
            <w:noWrap/>
            <w:hideMark/>
          </w:tcPr>
          <w:p w:rsidR="003177B4" w:rsidRPr="00E45D08" w:rsidRDefault="003177B4" w:rsidP="00371000">
            <w:pPr>
              <w:spacing w:before="0" w:after="0" w:line="240" w:lineRule="auto"/>
              <w:rPr>
                <w:sz w:val="20"/>
              </w:rPr>
            </w:pPr>
            <w:r w:rsidRPr="00E45D08">
              <w:rPr>
                <w:sz w:val="20"/>
              </w:rPr>
              <w:t>341562</w:t>
            </w:r>
          </w:p>
        </w:tc>
        <w:tc>
          <w:tcPr>
            <w:tcW w:w="1238" w:type="dxa"/>
            <w:noWrap/>
            <w:hideMark/>
          </w:tcPr>
          <w:p w:rsidR="003177B4" w:rsidRPr="00E45D08" w:rsidRDefault="003177B4" w:rsidP="00371000">
            <w:pPr>
              <w:spacing w:before="0" w:after="0" w:line="240" w:lineRule="auto"/>
              <w:rPr>
                <w:sz w:val="20"/>
              </w:rPr>
            </w:pPr>
            <w:r w:rsidRPr="00E45D08">
              <w:rPr>
                <w:sz w:val="20"/>
              </w:rPr>
              <w:t>6113366</w:t>
            </w:r>
          </w:p>
        </w:tc>
      </w:tr>
      <w:tr w:rsidR="003177B4" w:rsidRPr="00E45D08" w:rsidTr="00371000">
        <w:trPr>
          <w:trHeight w:val="300"/>
        </w:trPr>
        <w:tc>
          <w:tcPr>
            <w:tcW w:w="3356" w:type="dxa"/>
            <w:vMerge/>
            <w:hideMark/>
          </w:tcPr>
          <w:p w:rsidR="003177B4" w:rsidRPr="00E45D08" w:rsidRDefault="003177B4" w:rsidP="00371000">
            <w:pPr>
              <w:spacing w:before="0" w:after="0" w:line="240" w:lineRule="auto"/>
              <w:rPr>
                <w:bCs/>
                <w:sz w:val="20"/>
              </w:rPr>
            </w:pPr>
          </w:p>
        </w:tc>
        <w:tc>
          <w:tcPr>
            <w:tcW w:w="3373" w:type="dxa"/>
            <w:noWrap/>
            <w:hideMark/>
          </w:tcPr>
          <w:p w:rsidR="003177B4" w:rsidRPr="00E45D08" w:rsidRDefault="003177B4" w:rsidP="00371000">
            <w:pPr>
              <w:spacing w:before="0" w:after="0" w:line="240" w:lineRule="auto"/>
              <w:rPr>
                <w:bCs/>
                <w:sz w:val="20"/>
              </w:rPr>
            </w:pPr>
            <w:r w:rsidRPr="00E45D08">
              <w:rPr>
                <w:bCs/>
                <w:sz w:val="20"/>
              </w:rPr>
              <w:t>Swanport</w:t>
            </w:r>
          </w:p>
        </w:tc>
        <w:tc>
          <w:tcPr>
            <w:tcW w:w="1393" w:type="dxa"/>
            <w:noWrap/>
            <w:hideMark/>
          </w:tcPr>
          <w:p w:rsidR="003177B4" w:rsidRPr="00E45D08" w:rsidRDefault="003177B4" w:rsidP="00371000">
            <w:pPr>
              <w:spacing w:before="0" w:after="0" w:line="240" w:lineRule="auto"/>
              <w:rPr>
                <w:sz w:val="20"/>
              </w:rPr>
            </w:pPr>
            <w:r w:rsidRPr="00E45D08">
              <w:rPr>
                <w:sz w:val="20"/>
              </w:rPr>
              <w:t>346398</w:t>
            </w:r>
          </w:p>
        </w:tc>
        <w:tc>
          <w:tcPr>
            <w:tcW w:w="1238" w:type="dxa"/>
            <w:noWrap/>
            <w:hideMark/>
          </w:tcPr>
          <w:p w:rsidR="003177B4" w:rsidRPr="00E45D08" w:rsidRDefault="003177B4" w:rsidP="00371000">
            <w:pPr>
              <w:spacing w:before="0" w:after="0" w:line="240" w:lineRule="auto"/>
              <w:rPr>
                <w:sz w:val="20"/>
              </w:rPr>
            </w:pPr>
            <w:r w:rsidRPr="00E45D08">
              <w:rPr>
                <w:sz w:val="20"/>
              </w:rPr>
              <w:t>6109197</w:t>
            </w:r>
          </w:p>
        </w:tc>
      </w:tr>
      <w:tr w:rsidR="003177B4" w:rsidRPr="00E45D08" w:rsidTr="00371000">
        <w:trPr>
          <w:trHeight w:val="300"/>
        </w:trPr>
        <w:tc>
          <w:tcPr>
            <w:tcW w:w="3356" w:type="dxa"/>
            <w:vMerge/>
            <w:tcBorders>
              <w:bottom w:val="single" w:sz="4" w:space="0" w:color="auto"/>
            </w:tcBorders>
            <w:hideMark/>
          </w:tcPr>
          <w:p w:rsidR="003177B4" w:rsidRPr="00E45D08" w:rsidRDefault="003177B4" w:rsidP="00371000">
            <w:pPr>
              <w:spacing w:before="0" w:after="0" w:line="240" w:lineRule="auto"/>
              <w:rPr>
                <w:bCs/>
                <w:sz w:val="20"/>
              </w:rPr>
            </w:pPr>
          </w:p>
        </w:tc>
        <w:tc>
          <w:tcPr>
            <w:tcW w:w="3373" w:type="dxa"/>
            <w:tcBorders>
              <w:bottom w:val="single" w:sz="4" w:space="0" w:color="auto"/>
            </w:tcBorders>
            <w:noWrap/>
            <w:hideMark/>
          </w:tcPr>
          <w:p w:rsidR="003177B4" w:rsidRPr="00E45D08" w:rsidRDefault="003177B4" w:rsidP="00371000">
            <w:pPr>
              <w:spacing w:before="0" w:after="0" w:line="240" w:lineRule="auto"/>
              <w:rPr>
                <w:bCs/>
                <w:sz w:val="20"/>
              </w:rPr>
            </w:pPr>
            <w:r w:rsidRPr="00E45D08">
              <w:rPr>
                <w:bCs/>
                <w:sz w:val="20"/>
              </w:rPr>
              <w:t xml:space="preserve">Wall Flat </w:t>
            </w:r>
          </w:p>
        </w:tc>
        <w:tc>
          <w:tcPr>
            <w:tcW w:w="1393" w:type="dxa"/>
            <w:tcBorders>
              <w:bottom w:val="single" w:sz="4" w:space="0" w:color="auto"/>
            </w:tcBorders>
            <w:noWrap/>
            <w:hideMark/>
          </w:tcPr>
          <w:p w:rsidR="003177B4" w:rsidRPr="00E45D08" w:rsidRDefault="003177B4" w:rsidP="00371000">
            <w:pPr>
              <w:spacing w:before="0" w:after="0" w:line="240" w:lineRule="auto"/>
              <w:rPr>
                <w:sz w:val="20"/>
              </w:rPr>
            </w:pPr>
            <w:r w:rsidRPr="00E45D08">
              <w:rPr>
                <w:sz w:val="20"/>
              </w:rPr>
              <w:t>347273</w:t>
            </w:r>
          </w:p>
        </w:tc>
        <w:tc>
          <w:tcPr>
            <w:tcW w:w="1238" w:type="dxa"/>
            <w:tcBorders>
              <w:bottom w:val="single" w:sz="4" w:space="0" w:color="auto"/>
            </w:tcBorders>
            <w:noWrap/>
            <w:hideMark/>
          </w:tcPr>
          <w:p w:rsidR="003177B4" w:rsidRPr="00E45D08" w:rsidRDefault="003177B4" w:rsidP="00371000">
            <w:pPr>
              <w:spacing w:before="0" w:after="0" w:line="240" w:lineRule="auto"/>
              <w:rPr>
                <w:sz w:val="20"/>
              </w:rPr>
            </w:pPr>
            <w:r w:rsidRPr="00E45D08">
              <w:rPr>
                <w:sz w:val="20"/>
              </w:rPr>
              <w:t>6130103</w:t>
            </w:r>
          </w:p>
        </w:tc>
      </w:tr>
    </w:tbl>
    <w:p w:rsidR="000F32D6" w:rsidRPr="00A67C76" w:rsidRDefault="000F32D6" w:rsidP="00AD3B7F">
      <w:pPr>
        <w:pStyle w:val="Caption"/>
      </w:pPr>
    </w:p>
    <w:p w:rsidR="000B3877" w:rsidRPr="00A67C76" w:rsidRDefault="000B3877">
      <w:pPr>
        <w:spacing w:before="0" w:after="200" w:line="276" w:lineRule="auto"/>
        <w:rPr>
          <w:b/>
          <w:bCs/>
          <w:color w:val="auto"/>
          <w:sz w:val="20"/>
          <w:szCs w:val="18"/>
        </w:rPr>
      </w:pPr>
      <w:r w:rsidRPr="00A67C76">
        <w:br w:type="page"/>
      </w:r>
    </w:p>
    <w:p w:rsidR="00AD3B7F" w:rsidRPr="00A67C76" w:rsidRDefault="009E401F" w:rsidP="009E401F">
      <w:pPr>
        <w:pStyle w:val="Caption"/>
      </w:pPr>
      <w:bookmarkStart w:id="233" w:name="_Ref387841266"/>
      <w:bookmarkEnd w:id="228"/>
      <w:bookmarkEnd w:id="232"/>
      <w:proofErr w:type="gramStart"/>
      <w:r w:rsidRPr="00A67C76">
        <w:t xml:space="preserve">Appendix </w:t>
      </w:r>
      <w:proofErr w:type="gramEnd"/>
      <w:r w:rsidR="002E6077" w:rsidRPr="00A67C76">
        <w:fldChar w:fldCharType="begin"/>
      </w:r>
      <w:r w:rsidR="00621CBB" w:rsidRPr="00A67C76">
        <w:instrText xml:space="preserve"> SEQ Appendix \* ROMAN </w:instrText>
      </w:r>
      <w:r w:rsidR="002E6077" w:rsidRPr="00A67C76">
        <w:fldChar w:fldCharType="separate"/>
      </w:r>
      <w:r w:rsidR="009659F2">
        <w:rPr>
          <w:noProof/>
        </w:rPr>
        <w:t>II</w:t>
      </w:r>
      <w:r w:rsidR="002E6077" w:rsidRPr="00A67C76">
        <w:rPr>
          <w:noProof/>
        </w:rPr>
        <w:fldChar w:fldCharType="end"/>
      </w:r>
      <w:bookmarkEnd w:id="233"/>
      <w:proofErr w:type="gramStart"/>
      <w:r w:rsidR="00AD3B7F" w:rsidRPr="00A67C76">
        <w:t>.</w:t>
      </w:r>
      <w:proofErr w:type="gramEnd"/>
      <w:r w:rsidR="00AD3B7F" w:rsidRPr="00A67C76">
        <w:t xml:space="preserve"> </w:t>
      </w:r>
      <w:proofErr w:type="gramStart"/>
      <w:r w:rsidR="00AD3B7F" w:rsidRPr="00A67C76">
        <w:t xml:space="preserve">Pairwise tests of larval fish assemblages throughout </w:t>
      </w:r>
      <w:r w:rsidR="00333041" w:rsidRPr="00A67C76">
        <w:t>2012</w:t>
      </w:r>
      <w:r w:rsidR="00FD328A" w:rsidRPr="00FD328A">
        <w:t>-13</w:t>
      </w:r>
      <w:r w:rsidR="00AD3B7F" w:rsidRPr="00A67C76">
        <w:t xml:space="preserve"> sampling season for sites </w:t>
      </w:r>
      <w:r w:rsidR="00FD328A" w:rsidRPr="00FD328A">
        <w:t>LK-1</w:t>
      </w:r>
      <w:r w:rsidR="00AD3B7F" w:rsidRPr="00A67C76">
        <w:t xml:space="preserve">, </w:t>
      </w:r>
      <w:r w:rsidR="00FD328A" w:rsidRPr="00FD328A">
        <w:t>LK-6</w:t>
      </w:r>
      <w:r w:rsidR="00AD3B7F" w:rsidRPr="00A67C76">
        <w:t xml:space="preserve"> and </w:t>
      </w:r>
      <w:r w:rsidR="00FD328A" w:rsidRPr="00FD328A">
        <w:t>LK-6</w:t>
      </w:r>
      <w:r w:rsidR="00AD3B7F" w:rsidRPr="00A67C76">
        <w:t>A.</w:t>
      </w:r>
      <w:proofErr w:type="gramEnd"/>
      <w:r w:rsidR="00AD3B7F" w:rsidRPr="00A67C76">
        <w:t xml:space="preserve"> Figures in bold indicate significant differences.</w:t>
      </w:r>
    </w:p>
    <w:tbl>
      <w:tblPr>
        <w:tblW w:w="0" w:type="auto"/>
        <w:tblInd w:w="108" w:type="dxa"/>
        <w:tblLayout w:type="fixed"/>
        <w:tblLook w:val="04A0"/>
      </w:tblPr>
      <w:tblGrid>
        <w:gridCol w:w="1709"/>
        <w:gridCol w:w="1081"/>
        <w:gridCol w:w="1305"/>
        <w:gridCol w:w="1057"/>
      </w:tblGrid>
      <w:tr w:rsidR="00AD3B7F" w:rsidRPr="00A67C76" w:rsidTr="00EF5FE6">
        <w:trPr>
          <w:cantSplit/>
          <w:trHeight w:hRule="exact" w:val="283"/>
        </w:trPr>
        <w:tc>
          <w:tcPr>
            <w:tcW w:w="1709" w:type="dxa"/>
            <w:tcBorders>
              <w:top w:val="single" w:sz="4" w:space="0" w:color="auto"/>
              <w:left w:val="nil"/>
              <w:bottom w:val="single" w:sz="4" w:space="0" w:color="auto"/>
              <w:right w:val="nil"/>
            </w:tcBorders>
            <w:shd w:val="clear" w:color="auto" w:fill="auto"/>
            <w:noWrap/>
            <w:hideMark/>
          </w:tcPr>
          <w:p w:rsidR="00AD3B7F" w:rsidRPr="00EF5FE6" w:rsidRDefault="00AD3B7F" w:rsidP="00EF5FE6">
            <w:pPr>
              <w:spacing w:before="0" w:after="0" w:line="240" w:lineRule="auto"/>
              <w:rPr>
                <w:b/>
                <w:sz w:val="20"/>
              </w:rPr>
            </w:pPr>
            <w:r w:rsidRPr="00EF5FE6">
              <w:rPr>
                <w:b/>
                <w:sz w:val="20"/>
              </w:rPr>
              <w:t>Sites</w:t>
            </w:r>
          </w:p>
        </w:tc>
        <w:tc>
          <w:tcPr>
            <w:tcW w:w="1081" w:type="dxa"/>
            <w:tcBorders>
              <w:top w:val="single" w:sz="4" w:space="0" w:color="auto"/>
              <w:left w:val="nil"/>
              <w:bottom w:val="single" w:sz="4" w:space="0" w:color="auto"/>
              <w:right w:val="nil"/>
            </w:tcBorders>
            <w:shd w:val="clear" w:color="auto" w:fill="auto"/>
            <w:noWrap/>
            <w:hideMark/>
          </w:tcPr>
          <w:p w:rsidR="00AD3B7F" w:rsidRPr="00EF5FE6" w:rsidRDefault="00AD3B7F" w:rsidP="00EF5FE6">
            <w:pPr>
              <w:spacing w:before="0" w:after="0" w:line="240" w:lineRule="auto"/>
              <w:rPr>
                <w:b/>
                <w:sz w:val="20"/>
              </w:rPr>
            </w:pPr>
            <w:r w:rsidRPr="00EF5FE6">
              <w:rPr>
                <w:b/>
                <w:sz w:val="20"/>
              </w:rPr>
              <w:t>t</w:t>
            </w:r>
          </w:p>
        </w:tc>
        <w:tc>
          <w:tcPr>
            <w:tcW w:w="1305" w:type="dxa"/>
            <w:tcBorders>
              <w:top w:val="single" w:sz="4" w:space="0" w:color="auto"/>
              <w:left w:val="nil"/>
              <w:bottom w:val="single" w:sz="4" w:space="0" w:color="auto"/>
              <w:right w:val="nil"/>
            </w:tcBorders>
            <w:shd w:val="clear" w:color="auto" w:fill="auto"/>
            <w:noWrap/>
            <w:hideMark/>
          </w:tcPr>
          <w:p w:rsidR="00AD3B7F" w:rsidRPr="00EF5FE6" w:rsidRDefault="00AD3B7F" w:rsidP="00EF5FE6">
            <w:pPr>
              <w:spacing w:before="0" w:after="0" w:line="240" w:lineRule="auto"/>
              <w:rPr>
                <w:b/>
                <w:sz w:val="20"/>
              </w:rPr>
            </w:pPr>
            <w:r w:rsidRPr="00EF5FE6">
              <w:rPr>
                <w:b/>
                <w:sz w:val="20"/>
              </w:rPr>
              <w:t>P(perm)</w:t>
            </w:r>
          </w:p>
        </w:tc>
        <w:tc>
          <w:tcPr>
            <w:tcW w:w="1057" w:type="dxa"/>
            <w:tcBorders>
              <w:top w:val="single" w:sz="4" w:space="0" w:color="auto"/>
              <w:left w:val="nil"/>
              <w:bottom w:val="single" w:sz="4" w:space="0" w:color="auto"/>
              <w:right w:val="nil"/>
            </w:tcBorders>
            <w:shd w:val="clear" w:color="auto" w:fill="auto"/>
            <w:noWrap/>
            <w:hideMark/>
          </w:tcPr>
          <w:p w:rsidR="00AD3B7F" w:rsidRPr="00EF5FE6" w:rsidRDefault="00AD3B7F" w:rsidP="00EF5FE6">
            <w:pPr>
              <w:spacing w:before="0" w:after="0" w:line="240" w:lineRule="auto"/>
              <w:rPr>
                <w:b/>
                <w:sz w:val="20"/>
              </w:rPr>
            </w:pPr>
            <w:r w:rsidRPr="00EF5FE6">
              <w:rPr>
                <w:b/>
                <w:sz w:val="20"/>
              </w:rPr>
              <w:t>perms</w:t>
            </w:r>
          </w:p>
        </w:tc>
      </w:tr>
      <w:tr w:rsidR="00AD3B7F" w:rsidRPr="00A67C76" w:rsidTr="00EF5FE6">
        <w:trPr>
          <w:cantSplit/>
          <w:trHeight w:hRule="exact" w:val="283"/>
        </w:trPr>
        <w:tc>
          <w:tcPr>
            <w:tcW w:w="1709" w:type="dxa"/>
            <w:tcBorders>
              <w:top w:val="nil"/>
              <w:left w:val="nil"/>
              <w:bottom w:val="nil"/>
              <w:right w:val="nil"/>
            </w:tcBorders>
            <w:shd w:val="clear" w:color="auto" w:fill="auto"/>
            <w:noWrap/>
            <w:hideMark/>
          </w:tcPr>
          <w:p w:rsidR="00AD3B7F" w:rsidRPr="00A67C76" w:rsidRDefault="00FD328A" w:rsidP="00EF5FE6">
            <w:pPr>
              <w:spacing w:before="0" w:after="0" w:line="240" w:lineRule="auto"/>
              <w:contextualSpacing/>
              <w:rPr>
                <w:sz w:val="20"/>
              </w:rPr>
            </w:pPr>
            <w:r w:rsidRPr="00FD328A">
              <w:rPr>
                <w:sz w:val="20"/>
              </w:rPr>
              <w:t>LK-1</w:t>
            </w:r>
            <w:r w:rsidR="00AD3B7F" w:rsidRPr="00A67C76">
              <w:rPr>
                <w:sz w:val="20"/>
              </w:rPr>
              <w:t xml:space="preserve"> vs </w:t>
            </w:r>
            <w:r w:rsidRPr="00FD328A">
              <w:rPr>
                <w:sz w:val="20"/>
              </w:rPr>
              <w:t>LK-6</w:t>
            </w:r>
          </w:p>
        </w:tc>
        <w:tc>
          <w:tcPr>
            <w:tcW w:w="1081" w:type="dxa"/>
            <w:tcBorders>
              <w:top w:val="nil"/>
              <w:left w:val="nil"/>
              <w:bottom w:val="nil"/>
              <w:right w:val="nil"/>
            </w:tcBorders>
            <w:shd w:val="clear" w:color="auto" w:fill="auto"/>
            <w:noWrap/>
            <w:hideMark/>
          </w:tcPr>
          <w:p w:rsidR="00AD3B7F" w:rsidRPr="00A67C76" w:rsidRDefault="00AD3B7F" w:rsidP="00EF5FE6">
            <w:pPr>
              <w:spacing w:before="0" w:after="0" w:line="240" w:lineRule="auto"/>
              <w:contextualSpacing/>
              <w:rPr>
                <w:sz w:val="20"/>
              </w:rPr>
            </w:pPr>
            <w:r w:rsidRPr="00A67C76">
              <w:rPr>
                <w:sz w:val="20"/>
              </w:rPr>
              <w:t>2.4182</w:t>
            </w:r>
          </w:p>
        </w:tc>
        <w:tc>
          <w:tcPr>
            <w:tcW w:w="1305" w:type="dxa"/>
            <w:tcBorders>
              <w:top w:val="nil"/>
              <w:left w:val="nil"/>
              <w:bottom w:val="nil"/>
              <w:right w:val="nil"/>
            </w:tcBorders>
            <w:shd w:val="clear" w:color="auto" w:fill="auto"/>
            <w:noWrap/>
            <w:hideMark/>
          </w:tcPr>
          <w:p w:rsidR="00AD3B7F" w:rsidRPr="00A67C76" w:rsidRDefault="00AD3B7F" w:rsidP="00EF5FE6">
            <w:pPr>
              <w:spacing w:before="0" w:after="0" w:line="240" w:lineRule="auto"/>
              <w:contextualSpacing/>
              <w:rPr>
                <w:b/>
                <w:bCs/>
                <w:sz w:val="20"/>
              </w:rPr>
            </w:pPr>
            <w:r w:rsidRPr="00A67C76">
              <w:rPr>
                <w:b/>
                <w:bCs/>
                <w:sz w:val="20"/>
              </w:rPr>
              <w:t>0.001</w:t>
            </w:r>
          </w:p>
        </w:tc>
        <w:tc>
          <w:tcPr>
            <w:tcW w:w="1057" w:type="dxa"/>
            <w:tcBorders>
              <w:top w:val="nil"/>
              <w:left w:val="nil"/>
              <w:bottom w:val="nil"/>
              <w:right w:val="nil"/>
            </w:tcBorders>
            <w:shd w:val="clear" w:color="auto" w:fill="auto"/>
            <w:noWrap/>
            <w:hideMark/>
          </w:tcPr>
          <w:p w:rsidR="00AD3B7F" w:rsidRPr="00A67C76" w:rsidRDefault="00AD3B7F" w:rsidP="00EF5FE6">
            <w:pPr>
              <w:spacing w:before="0" w:after="0" w:line="240" w:lineRule="auto"/>
              <w:contextualSpacing/>
              <w:rPr>
                <w:sz w:val="20"/>
              </w:rPr>
            </w:pPr>
            <w:r w:rsidRPr="00A67C76">
              <w:rPr>
                <w:sz w:val="20"/>
              </w:rPr>
              <w:t>998</w:t>
            </w:r>
          </w:p>
        </w:tc>
      </w:tr>
      <w:tr w:rsidR="00AD3B7F" w:rsidRPr="00A67C76" w:rsidTr="00EF5FE6">
        <w:trPr>
          <w:cantSplit/>
          <w:trHeight w:hRule="exact" w:val="283"/>
        </w:trPr>
        <w:tc>
          <w:tcPr>
            <w:tcW w:w="1709" w:type="dxa"/>
            <w:tcBorders>
              <w:top w:val="nil"/>
              <w:left w:val="nil"/>
              <w:bottom w:val="nil"/>
              <w:right w:val="nil"/>
            </w:tcBorders>
            <w:shd w:val="clear" w:color="auto" w:fill="auto"/>
            <w:noWrap/>
            <w:hideMark/>
          </w:tcPr>
          <w:p w:rsidR="00AD3B7F" w:rsidRPr="00A67C76" w:rsidRDefault="00FD328A" w:rsidP="00EF5FE6">
            <w:pPr>
              <w:spacing w:before="0" w:after="0" w:line="240" w:lineRule="auto"/>
              <w:contextualSpacing/>
              <w:rPr>
                <w:sz w:val="20"/>
              </w:rPr>
            </w:pPr>
            <w:r w:rsidRPr="00FD328A">
              <w:rPr>
                <w:sz w:val="20"/>
              </w:rPr>
              <w:t>LK-1</w:t>
            </w:r>
            <w:r w:rsidR="00AD3B7F" w:rsidRPr="00A67C76">
              <w:rPr>
                <w:sz w:val="20"/>
              </w:rPr>
              <w:t xml:space="preserve"> vs </w:t>
            </w:r>
            <w:r w:rsidRPr="00FD328A">
              <w:rPr>
                <w:sz w:val="20"/>
              </w:rPr>
              <w:t>LK-6</w:t>
            </w:r>
            <w:r w:rsidR="00AD3B7F" w:rsidRPr="00A67C76">
              <w:rPr>
                <w:sz w:val="20"/>
              </w:rPr>
              <w:t>A</w:t>
            </w:r>
          </w:p>
        </w:tc>
        <w:tc>
          <w:tcPr>
            <w:tcW w:w="1081" w:type="dxa"/>
            <w:tcBorders>
              <w:top w:val="nil"/>
              <w:left w:val="nil"/>
              <w:bottom w:val="nil"/>
              <w:right w:val="nil"/>
            </w:tcBorders>
            <w:shd w:val="clear" w:color="auto" w:fill="auto"/>
            <w:noWrap/>
            <w:hideMark/>
          </w:tcPr>
          <w:p w:rsidR="00AD3B7F" w:rsidRPr="00A67C76" w:rsidRDefault="00AD3B7F" w:rsidP="00EF5FE6">
            <w:pPr>
              <w:spacing w:before="0" w:after="0" w:line="240" w:lineRule="auto"/>
              <w:contextualSpacing/>
              <w:rPr>
                <w:sz w:val="20"/>
              </w:rPr>
            </w:pPr>
            <w:r w:rsidRPr="00A67C76">
              <w:rPr>
                <w:sz w:val="20"/>
              </w:rPr>
              <w:t>2.5652</w:t>
            </w:r>
          </w:p>
        </w:tc>
        <w:tc>
          <w:tcPr>
            <w:tcW w:w="1305" w:type="dxa"/>
            <w:tcBorders>
              <w:top w:val="nil"/>
              <w:left w:val="nil"/>
              <w:bottom w:val="nil"/>
              <w:right w:val="nil"/>
            </w:tcBorders>
            <w:shd w:val="clear" w:color="auto" w:fill="auto"/>
            <w:noWrap/>
            <w:hideMark/>
          </w:tcPr>
          <w:p w:rsidR="00AD3B7F" w:rsidRPr="00A67C76" w:rsidRDefault="00AD3B7F" w:rsidP="00EF5FE6">
            <w:pPr>
              <w:spacing w:before="0" w:after="0" w:line="240" w:lineRule="auto"/>
              <w:contextualSpacing/>
              <w:rPr>
                <w:b/>
                <w:bCs/>
                <w:sz w:val="20"/>
              </w:rPr>
            </w:pPr>
            <w:r w:rsidRPr="00A67C76">
              <w:rPr>
                <w:b/>
                <w:bCs/>
                <w:sz w:val="20"/>
              </w:rPr>
              <w:t>0.001</w:t>
            </w:r>
          </w:p>
        </w:tc>
        <w:tc>
          <w:tcPr>
            <w:tcW w:w="1057" w:type="dxa"/>
            <w:tcBorders>
              <w:top w:val="nil"/>
              <w:left w:val="nil"/>
              <w:bottom w:val="nil"/>
              <w:right w:val="nil"/>
            </w:tcBorders>
            <w:shd w:val="clear" w:color="auto" w:fill="auto"/>
            <w:noWrap/>
            <w:hideMark/>
          </w:tcPr>
          <w:p w:rsidR="00AD3B7F" w:rsidRPr="00A67C76" w:rsidRDefault="00AD3B7F" w:rsidP="00EF5FE6">
            <w:pPr>
              <w:spacing w:before="0" w:after="0" w:line="240" w:lineRule="auto"/>
              <w:contextualSpacing/>
              <w:rPr>
                <w:sz w:val="20"/>
              </w:rPr>
            </w:pPr>
            <w:r w:rsidRPr="00A67C76">
              <w:rPr>
                <w:sz w:val="20"/>
              </w:rPr>
              <w:t>999</w:t>
            </w:r>
          </w:p>
        </w:tc>
      </w:tr>
      <w:tr w:rsidR="00AD3B7F" w:rsidRPr="00A67C76" w:rsidTr="00EF5FE6">
        <w:trPr>
          <w:cantSplit/>
          <w:trHeight w:hRule="exact" w:val="283"/>
        </w:trPr>
        <w:tc>
          <w:tcPr>
            <w:tcW w:w="1709" w:type="dxa"/>
            <w:tcBorders>
              <w:top w:val="nil"/>
              <w:left w:val="nil"/>
              <w:bottom w:val="single" w:sz="4" w:space="0" w:color="auto"/>
              <w:right w:val="nil"/>
            </w:tcBorders>
            <w:shd w:val="clear" w:color="auto" w:fill="auto"/>
            <w:noWrap/>
            <w:hideMark/>
          </w:tcPr>
          <w:p w:rsidR="00AD3B7F" w:rsidRPr="00A67C76" w:rsidRDefault="00FD328A" w:rsidP="00EF5FE6">
            <w:pPr>
              <w:spacing w:before="0" w:after="0" w:line="240" w:lineRule="auto"/>
              <w:contextualSpacing/>
              <w:rPr>
                <w:sz w:val="20"/>
              </w:rPr>
            </w:pPr>
            <w:r w:rsidRPr="00FD328A">
              <w:rPr>
                <w:sz w:val="20"/>
              </w:rPr>
              <w:t>LK-6</w:t>
            </w:r>
            <w:r w:rsidR="00AD3B7F" w:rsidRPr="00A67C76">
              <w:rPr>
                <w:sz w:val="20"/>
              </w:rPr>
              <w:t xml:space="preserve"> vs </w:t>
            </w:r>
            <w:r w:rsidRPr="00FD328A">
              <w:rPr>
                <w:sz w:val="20"/>
              </w:rPr>
              <w:t>LK-6</w:t>
            </w:r>
            <w:r w:rsidR="00AD3B7F" w:rsidRPr="00A67C76">
              <w:rPr>
                <w:sz w:val="20"/>
              </w:rPr>
              <w:t>A</w:t>
            </w:r>
          </w:p>
        </w:tc>
        <w:tc>
          <w:tcPr>
            <w:tcW w:w="1081" w:type="dxa"/>
            <w:tcBorders>
              <w:top w:val="nil"/>
              <w:left w:val="nil"/>
              <w:bottom w:val="single" w:sz="4" w:space="0" w:color="auto"/>
              <w:right w:val="nil"/>
            </w:tcBorders>
            <w:shd w:val="clear" w:color="auto" w:fill="auto"/>
            <w:noWrap/>
            <w:hideMark/>
          </w:tcPr>
          <w:p w:rsidR="00AD3B7F" w:rsidRPr="00A67C76" w:rsidRDefault="00AD3B7F" w:rsidP="00EF5FE6">
            <w:pPr>
              <w:spacing w:before="0" w:after="0" w:line="240" w:lineRule="auto"/>
              <w:contextualSpacing/>
              <w:rPr>
                <w:sz w:val="20"/>
              </w:rPr>
            </w:pPr>
            <w:r w:rsidRPr="00A67C76">
              <w:rPr>
                <w:sz w:val="20"/>
              </w:rPr>
              <w:t>1.5045</w:t>
            </w:r>
          </w:p>
        </w:tc>
        <w:tc>
          <w:tcPr>
            <w:tcW w:w="1305" w:type="dxa"/>
            <w:tcBorders>
              <w:top w:val="nil"/>
              <w:left w:val="nil"/>
              <w:bottom w:val="single" w:sz="4" w:space="0" w:color="auto"/>
              <w:right w:val="nil"/>
            </w:tcBorders>
            <w:shd w:val="clear" w:color="auto" w:fill="auto"/>
            <w:noWrap/>
            <w:hideMark/>
          </w:tcPr>
          <w:p w:rsidR="00AD3B7F" w:rsidRPr="00A67C76" w:rsidRDefault="00AD3B7F" w:rsidP="00EF5FE6">
            <w:pPr>
              <w:spacing w:before="0" w:after="0" w:line="240" w:lineRule="auto"/>
              <w:contextualSpacing/>
              <w:rPr>
                <w:sz w:val="20"/>
              </w:rPr>
            </w:pPr>
            <w:r w:rsidRPr="00A67C76">
              <w:rPr>
                <w:sz w:val="20"/>
              </w:rPr>
              <w:t>0.061</w:t>
            </w:r>
          </w:p>
        </w:tc>
        <w:tc>
          <w:tcPr>
            <w:tcW w:w="1057" w:type="dxa"/>
            <w:tcBorders>
              <w:top w:val="nil"/>
              <w:left w:val="nil"/>
              <w:bottom w:val="single" w:sz="4" w:space="0" w:color="auto"/>
              <w:right w:val="nil"/>
            </w:tcBorders>
            <w:shd w:val="clear" w:color="auto" w:fill="auto"/>
            <w:noWrap/>
            <w:hideMark/>
          </w:tcPr>
          <w:p w:rsidR="00AD3B7F" w:rsidRPr="00A67C76" w:rsidRDefault="00AD3B7F" w:rsidP="00EF5FE6">
            <w:pPr>
              <w:spacing w:before="0" w:after="0" w:line="240" w:lineRule="auto"/>
              <w:contextualSpacing/>
              <w:rPr>
                <w:sz w:val="20"/>
              </w:rPr>
            </w:pPr>
            <w:r w:rsidRPr="00A67C76">
              <w:rPr>
                <w:sz w:val="20"/>
              </w:rPr>
              <w:t>999</w:t>
            </w:r>
          </w:p>
        </w:tc>
      </w:tr>
    </w:tbl>
    <w:p w:rsidR="00AD3B7F" w:rsidRPr="00A67C76" w:rsidRDefault="009E401F" w:rsidP="009E401F">
      <w:pPr>
        <w:pStyle w:val="Caption"/>
      </w:pPr>
      <w:bookmarkStart w:id="234" w:name="_Ref387841296"/>
      <w:proofErr w:type="gramStart"/>
      <w:r w:rsidRPr="00A67C76">
        <w:t xml:space="preserve">Appendix </w:t>
      </w:r>
      <w:proofErr w:type="gramEnd"/>
      <w:r w:rsidR="002E6077" w:rsidRPr="00A67C76">
        <w:fldChar w:fldCharType="begin"/>
      </w:r>
      <w:r w:rsidR="00621CBB" w:rsidRPr="00A67C76">
        <w:instrText xml:space="preserve"> SEQ Appendix \* ROMAN </w:instrText>
      </w:r>
      <w:r w:rsidR="002E6077" w:rsidRPr="00A67C76">
        <w:fldChar w:fldCharType="separate"/>
      </w:r>
      <w:r w:rsidR="009659F2">
        <w:rPr>
          <w:noProof/>
        </w:rPr>
        <w:t>III</w:t>
      </w:r>
      <w:r w:rsidR="002E6077" w:rsidRPr="00A67C76">
        <w:rPr>
          <w:noProof/>
        </w:rPr>
        <w:fldChar w:fldCharType="end"/>
      </w:r>
      <w:bookmarkEnd w:id="234"/>
      <w:proofErr w:type="gramStart"/>
      <w:r w:rsidR="00AD3B7F" w:rsidRPr="00A67C76">
        <w:t>.</w:t>
      </w:r>
      <w:proofErr w:type="gramEnd"/>
      <w:r w:rsidR="00AD3B7F" w:rsidRPr="00A67C76">
        <w:t xml:space="preserve"> PERMANOVA results of zooplankton assemblage compared across 10 trips, 3 sites and 2 diel (day v. night).</w:t>
      </w:r>
      <w:r w:rsidR="00AD3B7F" w:rsidRPr="00A67C76">
        <w:rPr>
          <w:rFonts w:eastAsiaTheme="minorHAnsi"/>
        </w:rPr>
        <w:t xml:space="preserve"> </w:t>
      </w:r>
      <w:r w:rsidR="00AD3B7F" w:rsidRPr="00A67C76">
        <w:t>Bold indicates significant P values.</w:t>
      </w:r>
    </w:p>
    <w:tbl>
      <w:tblPr>
        <w:tblW w:w="6380" w:type="dxa"/>
        <w:tblInd w:w="93" w:type="dxa"/>
        <w:tblLook w:val="04A0"/>
      </w:tblPr>
      <w:tblGrid>
        <w:gridCol w:w="2560"/>
        <w:gridCol w:w="549"/>
        <w:gridCol w:w="960"/>
        <w:gridCol w:w="1191"/>
        <w:gridCol w:w="1120"/>
      </w:tblGrid>
      <w:tr w:rsidR="00AD3B7F" w:rsidRPr="00A67C76" w:rsidTr="00EF5FE6">
        <w:trPr>
          <w:trHeight w:val="300"/>
        </w:trPr>
        <w:tc>
          <w:tcPr>
            <w:tcW w:w="2560" w:type="dxa"/>
            <w:tcBorders>
              <w:top w:val="single" w:sz="4" w:space="0" w:color="auto"/>
              <w:left w:val="nil"/>
              <w:bottom w:val="single" w:sz="4" w:space="0" w:color="auto"/>
              <w:right w:val="nil"/>
            </w:tcBorders>
            <w:shd w:val="clear" w:color="auto" w:fill="auto"/>
            <w:noWrap/>
            <w:hideMark/>
          </w:tcPr>
          <w:p w:rsidR="00AD3B7F" w:rsidRPr="00A67C76" w:rsidRDefault="00AD3B7F" w:rsidP="00EF5FE6">
            <w:pPr>
              <w:spacing w:before="0" w:after="0" w:line="240" w:lineRule="auto"/>
              <w:contextualSpacing/>
              <w:rPr>
                <w:rFonts w:cs="Calibri"/>
                <w:b/>
                <w:sz w:val="20"/>
                <w:lang w:eastAsia="en-AU"/>
              </w:rPr>
            </w:pPr>
            <w:r w:rsidRPr="00A67C76">
              <w:rPr>
                <w:rFonts w:cs="Calibri"/>
                <w:b/>
                <w:sz w:val="20"/>
                <w:lang w:eastAsia="en-AU"/>
              </w:rPr>
              <w:t>Source</w:t>
            </w:r>
          </w:p>
        </w:tc>
        <w:tc>
          <w:tcPr>
            <w:tcW w:w="549" w:type="dxa"/>
            <w:tcBorders>
              <w:top w:val="single" w:sz="4" w:space="0" w:color="auto"/>
              <w:left w:val="nil"/>
              <w:bottom w:val="single" w:sz="4" w:space="0" w:color="auto"/>
              <w:right w:val="nil"/>
            </w:tcBorders>
            <w:shd w:val="clear" w:color="auto" w:fill="auto"/>
            <w:noWrap/>
            <w:hideMark/>
          </w:tcPr>
          <w:p w:rsidR="00AD3B7F" w:rsidRPr="00A67C76" w:rsidRDefault="00AD3B7F" w:rsidP="00EF5FE6">
            <w:pPr>
              <w:spacing w:before="0" w:after="0" w:line="240" w:lineRule="auto"/>
              <w:contextualSpacing/>
              <w:jc w:val="center"/>
              <w:rPr>
                <w:rFonts w:cs="Calibri"/>
                <w:b/>
                <w:i/>
                <w:iCs/>
                <w:sz w:val="20"/>
                <w:lang w:eastAsia="en-AU"/>
              </w:rPr>
            </w:pPr>
            <w:r w:rsidRPr="00A67C76">
              <w:rPr>
                <w:rFonts w:cs="Calibri"/>
                <w:b/>
                <w:i/>
                <w:iCs/>
                <w:sz w:val="20"/>
                <w:lang w:eastAsia="en-AU"/>
              </w:rPr>
              <w:t>df</w:t>
            </w:r>
          </w:p>
        </w:tc>
        <w:tc>
          <w:tcPr>
            <w:tcW w:w="960" w:type="dxa"/>
            <w:tcBorders>
              <w:top w:val="single" w:sz="4" w:space="0" w:color="auto"/>
              <w:left w:val="nil"/>
              <w:bottom w:val="single" w:sz="4" w:space="0" w:color="auto"/>
              <w:right w:val="nil"/>
            </w:tcBorders>
            <w:shd w:val="clear" w:color="auto" w:fill="auto"/>
            <w:noWrap/>
            <w:hideMark/>
          </w:tcPr>
          <w:p w:rsidR="00AD3B7F" w:rsidRPr="00A67C76" w:rsidRDefault="00AD3B7F" w:rsidP="00EF5FE6">
            <w:pPr>
              <w:spacing w:before="0" w:after="0" w:line="240" w:lineRule="auto"/>
              <w:contextualSpacing/>
              <w:jc w:val="center"/>
              <w:rPr>
                <w:rFonts w:cs="Calibri"/>
                <w:b/>
                <w:sz w:val="20"/>
                <w:lang w:eastAsia="en-AU"/>
              </w:rPr>
            </w:pPr>
            <w:r w:rsidRPr="00A67C76">
              <w:rPr>
                <w:rFonts w:cs="Calibri"/>
                <w:b/>
                <w:sz w:val="20"/>
                <w:lang w:eastAsia="en-AU"/>
              </w:rPr>
              <w:t>MS</w:t>
            </w:r>
          </w:p>
        </w:tc>
        <w:tc>
          <w:tcPr>
            <w:tcW w:w="1191" w:type="dxa"/>
            <w:tcBorders>
              <w:top w:val="single" w:sz="4" w:space="0" w:color="auto"/>
              <w:left w:val="nil"/>
              <w:bottom w:val="single" w:sz="4" w:space="0" w:color="auto"/>
              <w:right w:val="nil"/>
            </w:tcBorders>
            <w:shd w:val="clear" w:color="auto" w:fill="auto"/>
            <w:noWrap/>
            <w:hideMark/>
          </w:tcPr>
          <w:p w:rsidR="00AD3B7F" w:rsidRPr="00A67C76" w:rsidRDefault="00AD3B7F" w:rsidP="00EF5FE6">
            <w:pPr>
              <w:spacing w:before="0" w:after="0" w:line="240" w:lineRule="auto"/>
              <w:contextualSpacing/>
              <w:jc w:val="center"/>
              <w:rPr>
                <w:rFonts w:cs="Calibri"/>
                <w:b/>
                <w:sz w:val="20"/>
                <w:lang w:eastAsia="en-AU"/>
              </w:rPr>
            </w:pPr>
            <w:r w:rsidRPr="00A67C76">
              <w:rPr>
                <w:rFonts w:cs="Calibri"/>
                <w:b/>
                <w:sz w:val="20"/>
                <w:lang w:eastAsia="en-AU"/>
              </w:rPr>
              <w:t>Pseudo-F</w:t>
            </w:r>
          </w:p>
        </w:tc>
        <w:tc>
          <w:tcPr>
            <w:tcW w:w="1120" w:type="dxa"/>
            <w:tcBorders>
              <w:top w:val="single" w:sz="4" w:space="0" w:color="auto"/>
              <w:left w:val="nil"/>
              <w:bottom w:val="single" w:sz="4" w:space="0" w:color="auto"/>
              <w:right w:val="nil"/>
            </w:tcBorders>
            <w:shd w:val="clear" w:color="auto" w:fill="auto"/>
            <w:noWrap/>
            <w:hideMark/>
          </w:tcPr>
          <w:p w:rsidR="00AD3B7F" w:rsidRPr="00A67C76" w:rsidRDefault="00AD3B7F" w:rsidP="00EF5FE6">
            <w:pPr>
              <w:spacing w:before="0" w:after="0" w:line="240" w:lineRule="auto"/>
              <w:contextualSpacing/>
              <w:jc w:val="center"/>
              <w:rPr>
                <w:rFonts w:cs="Calibri"/>
                <w:b/>
                <w:sz w:val="20"/>
                <w:lang w:eastAsia="en-AU"/>
              </w:rPr>
            </w:pPr>
            <w:r w:rsidRPr="00A67C76">
              <w:rPr>
                <w:rFonts w:cs="Calibri"/>
                <w:b/>
                <w:sz w:val="20"/>
                <w:lang w:eastAsia="en-AU"/>
              </w:rPr>
              <w:t>P(perm)</w:t>
            </w:r>
          </w:p>
        </w:tc>
      </w:tr>
      <w:tr w:rsidR="00AD3B7F" w:rsidRPr="00A67C76" w:rsidTr="00EA303E">
        <w:trPr>
          <w:trHeight w:val="300"/>
        </w:trPr>
        <w:tc>
          <w:tcPr>
            <w:tcW w:w="2560"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20"/>
                <w:lang w:eastAsia="en-AU"/>
              </w:rPr>
            </w:pPr>
            <w:r w:rsidRPr="00A67C76">
              <w:rPr>
                <w:rFonts w:cs="Calibri"/>
                <w:sz w:val="20"/>
                <w:lang w:eastAsia="en-AU"/>
              </w:rPr>
              <w:t>Trip</w:t>
            </w:r>
          </w:p>
        </w:tc>
        <w:tc>
          <w:tcPr>
            <w:tcW w:w="549"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20"/>
                <w:lang w:eastAsia="en-AU"/>
              </w:rPr>
            </w:pPr>
            <w:r w:rsidRPr="00A67C76">
              <w:rPr>
                <w:rFonts w:cs="Calibri"/>
                <w:sz w:val="20"/>
                <w:lang w:eastAsia="en-AU"/>
              </w:rPr>
              <w:t>9</w:t>
            </w:r>
          </w:p>
        </w:tc>
        <w:tc>
          <w:tcPr>
            <w:tcW w:w="960"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20"/>
                <w:lang w:eastAsia="en-AU"/>
              </w:rPr>
            </w:pPr>
            <w:r w:rsidRPr="00A67C76">
              <w:rPr>
                <w:rFonts w:cs="Calibri"/>
                <w:sz w:val="20"/>
                <w:lang w:eastAsia="en-AU"/>
              </w:rPr>
              <w:t>13086</w:t>
            </w:r>
          </w:p>
        </w:tc>
        <w:tc>
          <w:tcPr>
            <w:tcW w:w="1191"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20"/>
                <w:lang w:eastAsia="en-AU"/>
              </w:rPr>
            </w:pPr>
            <w:r w:rsidRPr="00A67C76">
              <w:rPr>
                <w:rFonts w:cs="Calibri"/>
                <w:sz w:val="20"/>
                <w:lang w:eastAsia="en-AU"/>
              </w:rPr>
              <w:t>6.7225</w:t>
            </w:r>
          </w:p>
        </w:tc>
        <w:tc>
          <w:tcPr>
            <w:tcW w:w="1120"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b/>
                <w:bCs/>
                <w:sz w:val="20"/>
                <w:lang w:eastAsia="en-AU"/>
              </w:rPr>
            </w:pPr>
            <w:r w:rsidRPr="00A67C76">
              <w:rPr>
                <w:rFonts w:cs="Calibri"/>
                <w:b/>
                <w:bCs/>
                <w:sz w:val="20"/>
                <w:lang w:eastAsia="en-AU"/>
              </w:rPr>
              <w:t>0.001</w:t>
            </w:r>
          </w:p>
        </w:tc>
      </w:tr>
      <w:tr w:rsidR="00AD3B7F" w:rsidRPr="00A67C76" w:rsidTr="00EA303E">
        <w:trPr>
          <w:trHeight w:val="300"/>
        </w:trPr>
        <w:tc>
          <w:tcPr>
            <w:tcW w:w="2560"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20"/>
                <w:lang w:eastAsia="en-AU"/>
              </w:rPr>
            </w:pPr>
            <w:r w:rsidRPr="00A67C76">
              <w:rPr>
                <w:rFonts w:cs="Calibri"/>
                <w:sz w:val="20"/>
                <w:lang w:eastAsia="en-AU"/>
              </w:rPr>
              <w:t>Site</w:t>
            </w:r>
          </w:p>
        </w:tc>
        <w:tc>
          <w:tcPr>
            <w:tcW w:w="549"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20"/>
                <w:lang w:eastAsia="en-AU"/>
              </w:rPr>
            </w:pPr>
            <w:r w:rsidRPr="00A67C76">
              <w:rPr>
                <w:rFonts w:cs="Calibri"/>
                <w:sz w:val="20"/>
                <w:lang w:eastAsia="en-AU"/>
              </w:rPr>
              <w:t>2</w:t>
            </w:r>
          </w:p>
        </w:tc>
        <w:tc>
          <w:tcPr>
            <w:tcW w:w="960"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20"/>
                <w:lang w:eastAsia="en-AU"/>
              </w:rPr>
            </w:pPr>
            <w:r w:rsidRPr="00A67C76">
              <w:rPr>
                <w:rFonts w:cs="Calibri"/>
                <w:sz w:val="20"/>
                <w:lang w:eastAsia="en-AU"/>
              </w:rPr>
              <w:t>5800</w:t>
            </w:r>
          </w:p>
        </w:tc>
        <w:tc>
          <w:tcPr>
            <w:tcW w:w="1191"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20"/>
                <w:lang w:eastAsia="en-AU"/>
              </w:rPr>
            </w:pPr>
            <w:r w:rsidRPr="00A67C76">
              <w:rPr>
                <w:rFonts w:cs="Calibri"/>
                <w:sz w:val="20"/>
                <w:lang w:eastAsia="en-AU"/>
              </w:rPr>
              <w:t>2.9799</w:t>
            </w:r>
          </w:p>
        </w:tc>
        <w:tc>
          <w:tcPr>
            <w:tcW w:w="1120"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b/>
                <w:bCs/>
                <w:sz w:val="20"/>
                <w:lang w:eastAsia="en-AU"/>
              </w:rPr>
            </w:pPr>
            <w:r w:rsidRPr="00A67C76">
              <w:rPr>
                <w:rFonts w:cs="Calibri"/>
                <w:b/>
                <w:bCs/>
                <w:sz w:val="20"/>
                <w:lang w:eastAsia="en-AU"/>
              </w:rPr>
              <w:t>0.013</w:t>
            </w:r>
          </w:p>
        </w:tc>
      </w:tr>
      <w:tr w:rsidR="00AD3B7F" w:rsidRPr="00A67C76" w:rsidTr="00EA303E">
        <w:trPr>
          <w:trHeight w:val="300"/>
        </w:trPr>
        <w:tc>
          <w:tcPr>
            <w:tcW w:w="2560"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20"/>
                <w:lang w:eastAsia="en-AU"/>
              </w:rPr>
            </w:pPr>
            <w:r w:rsidRPr="00A67C76">
              <w:rPr>
                <w:rFonts w:cs="Calibri"/>
                <w:sz w:val="20"/>
                <w:lang w:eastAsia="en-AU"/>
              </w:rPr>
              <w:t>Diel</w:t>
            </w:r>
          </w:p>
        </w:tc>
        <w:tc>
          <w:tcPr>
            <w:tcW w:w="549"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20"/>
                <w:lang w:eastAsia="en-AU"/>
              </w:rPr>
            </w:pPr>
            <w:r w:rsidRPr="00A67C76">
              <w:rPr>
                <w:rFonts w:cs="Calibri"/>
                <w:sz w:val="20"/>
                <w:lang w:eastAsia="en-AU"/>
              </w:rPr>
              <w:t>1</w:t>
            </w:r>
          </w:p>
        </w:tc>
        <w:tc>
          <w:tcPr>
            <w:tcW w:w="960"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20"/>
                <w:lang w:eastAsia="en-AU"/>
              </w:rPr>
            </w:pPr>
            <w:r w:rsidRPr="00A67C76">
              <w:rPr>
                <w:rFonts w:cs="Calibri"/>
                <w:sz w:val="20"/>
                <w:lang w:eastAsia="en-AU"/>
              </w:rPr>
              <w:t>766</w:t>
            </w:r>
          </w:p>
        </w:tc>
        <w:tc>
          <w:tcPr>
            <w:tcW w:w="1191"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20"/>
                <w:lang w:eastAsia="en-AU"/>
              </w:rPr>
            </w:pPr>
            <w:r w:rsidRPr="00A67C76">
              <w:rPr>
                <w:rFonts w:cs="Calibri"/>
                <w:sz w:val="20"/>
                <w:lang w:eastAsia="en-AU"/>
              </w:rPr>
              <w:t>1.4462</w:t>
            </w:r>
          </w:p>
        </w:tc>
        <w:tc>
          <w:tcPr>
            <w:tcW w:w="1120"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20"/>
                <w:lang w:eastAsia="en-AU"/>
              </w:rPr>
            </w:pPr>
            <w:r w:rsidRPr="00A67C76">
              <w:rPr>
                <w:rFonts w:cs="Calibri"/>
                <w:sz w:val="20"/>
                <w:lang w:eastAsia="en-AU"/>
              </w:rPr>
              <w:t>0.149</w:t>
            </w:r>
          </w:p>
        </w:tc>
      </w:tr>
      <w:tr w:rsidR="00AD3B7F" w:rsidRPr="00A67C76" w:rsidTr="00EA303E">
        <w:trPr>
          <w:trHeight w:val="300"/>
        </w:trPr>
        <w:tc>
          <w:tcPr>
            <w:tcW w:w="2560"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20"/>
                <w:lang w:eastAsia="en-AU"/>
              </w:rPr>
            </w:pPr>
            <w:r w:rsidRPr="00A67C76">
              <w:rPr>
                <w:rFonts w:cs="Calibri"/>
                <w:sz w:val="20"/>
                <w:lang w:eastAsia="en-AU"/>
              </w:rPr>
              <w:t>Trip x Site</w:t>
            </w:r>
          </w:p>
        </w:tc>
        <w:tc>
          <w:tcPr>
            <w:tcW w:w="549"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20"/>
                <w:lang w:eastAsia="en-AU"/>
              </w:rPr>
            </w:pPr>
            <w:r w:rsidRPr="00A67C76">
              <w:rPr>
                <w:rFonts w:cs="Calibri"/>
                <w:sz w:val="20"/>
                <w:lang w:eastAsia="en-AU"/>
              </w:rPr>
              <w:t>18</w:t>
            </w:r>
          </w:p>
        </w:tc>
        <w:tc>
          <w:tcPr>
            <w:tcW w:w="960"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20"/>
                <w:lang w:eastAsia="en-AU"/>
              </w:rPr>
            </w:pPr>
            <w:r w:rsidRPr="00A67C76">
              <w:rPr>
                <w:rFonts w:cs="Calibri"/>
                <w:sz w:val="20"/>
                <w:lang w:eastAsia="en-AU"/>
              </w:rPr>
              <w:t>1946</w:t>
            </w:r>
          </w:p>
        </w:tc>
        <w:tc>
          <w:tcPr>
            <w:tcW w:w="1191"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20"/>
                <w:lang w:eastAsia="en-AU"/>
              </w:rPr>
            </w:pPr>
            <w:r w:rsidRPr="00A67C76">
              <w:rPr>
                <w:rFonts w:cs="Calibri"/>
                <w:sz w:val="20"/>
                <w:lang w:eastAsia="en-AU"/>
              </w:rPr>
              <w:t>5.1850</w:t>
            </w:r>
          </w:p>
        </w:tc>
        <w:tc>
          <w:tcPr>
            <w:tcW w:w="1120"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b/>
                <w:bCs/>
                <w:sz w:val="20"/>
                <w:lang w:eastAsia="en-AU"/>
              </w:rPr>
            </w:pPr>
            <w:r w:rsidRPr="00A67C76">
              <w:rPr>
                <w:rFonts w:cs="Calibri"/>
                <w:b/>
                <w:bCs/>
                <w:sz w:val="20"/>
                <w:lang w:eastAsia="en-AU"/>
              </w:rPr>
              <w:t>0.001</w:t>
            </w:r>
          </w:p>
        </w:tc>
      </w:tr>
      <w:tr w:rsidR="00AD3B7F" w:rsidRPr="00A67C76" w:rsidTr="00EA303E">
        <w:trPr>
          <w:trHeight w:val="300"/>
        </w:trPr>
        <w:tc>
          <w:tcPr>
            <w:tcW w:w="2560"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20"/>
                <w:lang w:eastAsia="en-AU"/>
              </w:rPr>
            </w:pPr>
            <w:r w:rsidRPr="00A67C76">
              <w:rPr>
                <w:rFonts w:cs="Calibri"/>
                <w:sz w:val="20"/>
                <w:lang w:eastAsia="en-AU"/>
              </w:rPr>
              <w:t>Trip x Diel</w:t>
            </w:r>
          </w:p>
        </w:tc>
        <w:tc>
          <w:tcPr>
            <w:tcW w:w="549"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20"/>
                <w:lang w:eastAsia="en-AU"/>
              </w:rPr>
            </w:pPr>
            <w:r w:rsidRPr="00A67C76">
              <w:rPr>
                <w:rFonts w:cs="Calibri"/>
                <w:sz w:val="20"/>
                <w:lang w:eastAsia="en-AU"/>
              </w:rPr>
              <w:t>9</w:t>
            </w:r>
          </w:p>
        </w:tc>
        <w:tc>
          <w:tcPr>
            <w:tcW w:w="960"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20"/>
                <w:lang w:eastAsia="en-AU"/>
              </w:rPr>
            </w:pPr>
            <w:r w:rsidRPr="00A67C76">
              <w:rPr>
                <w:rFonts w:cs="Calibri"/>
                <w:sz w:val="20"/>
                <w:lang w:eastAsia="en-AU"/>
              </w:rPr>
              <w:t>628</w:t>
            </w:r>
          </w:p>
        </w:tc>
        <w:tc>
          <w:tcPr>
            <w:tcW w:w="1191"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20"/>
                <w:lang w:eastAsia="en-AU"/>
              </w:rPr>
            </w:pPr>
            <w:r w:rsidRPr="00A67C76">
              <w:rPr>
                <w:rFonts w:cs="Calibri"/>
                <w:sz w:val="20"/>
                <w:lang w:eastAsia="en-AU"/>
              </w:rPr>
              <w:t>1.4349</w:t>
            </w:r>
          </w:p>
        </w:tc>
        <w:tc>
          <w:tcPr>
            <w:tcW w:w="1120"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20"/>
                <w:lang w:eastAsia="en-AU"/>
              </w:rPr>
            </w:pPr>
            <w:r w:rsidRPr="00A67C76">
              <w:rPr>
                <w:rFonts w:cs="Calibri"/>
                <w:sz w:val="20"/>
                <w:lang w:eastAsia="en-AU"/>
              </w:rPr>
              <w:t>0.072</w:t>
            </w:r>
          </w:p>
        </w:tc>
      </w:tr>
      <w:tr w:rsidR="00AD3B7F" w:rsidRPr="00A67C76" w:rsidTr="00EA303E">
        <w:trPr>
          <w:trHeight w:val="300"/>
        </w:trPr>
        <w:tc>
          <w:tcPr>
            <w:tcW w:w="2560"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20"/>
                <w:lang w:eastAsia="en-AU"/>
              </w:rPr>
            </w:pPr>
            <w:r w:rsidRPr="00A67C76">
              <w:rPr>
                <w:rFonts w:cs="Calibri"/>
                <w:sz w:val="20"/>
                <w:lang w:eastAsia="en-AU"/>
              </w:rPr>
              <w:t>Site x Diel</w:t>
            </w:r>
          </w:p>
        </w:tc>
        <w:tc>
          <w:tcPr>
            <w:tcW w:w="549"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20"/>
                <w:lang w:eastAsia="en-AU"/>
              </w:rPr>
            </w:pPr>
            <w:r w:rsidRPr="00A67C76">
              <w:rPr>
                <w:rFonts w:cs="Calibri"/>
                <w:sz w:val="20"/>
                <w:lang w:eastAsia="en-AU"/>
              </w:rPr>
              <w:t>2</w:t>
            </w:r>
          </w:p>
        </w:tc>
        <w:tc>
          <w:tcPr>
            <w:tcW w:w="960"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20"/>
                <w:lang w:eastAsia="en-AU"/>
              </w:rPr>
            </w:pPr>
            <w:r w:rsidRPr="00A67C76">
              <w:rPr>
                <w:rFonts w:cs="Calibri"/>
                <w:sz w:val="20"/>
                <w:lang w:eastAsia="en-AU"/>
              </w:rPr>
              <w:t>204</w:t>
            </w:r>
          </w:p>
        </w:tc>
        <w:tc>
          <w:tcPr>
            <w:tcW w:w="1191"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20"/>
                <w:lang w:eastAsia="en-AU"/>
              </w:rPr>
            </w:pPr>
            <w:r w:rsidRPr="00A67C76">
              <w:rPr>
                <w:rFonts w:cs="Calibri"/>
                <w:sz w:val="20"/>
                <w:lang w:eastAsia="en-AU"/>
              </w:rPr>
              <w:t>0.4668</w:t>
            </w:r>
          </w:p>
        </w:tc>
        <w:tc>
          <w:tcPr>
            <w:tcW w:w="1120"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20"/>
                <w:lang w:eastAsia="en-AU"/>
              </w:rPr>
            </w:pPr>
            <w:r w:rsidRPr="00A67C76">
              <w:rPr>
                <w:rFonts w:cs="Calibri"/>
                <w:sz w:val="20"/>
                <w:lang w:eastAsia="en-AU"/>
              </w:rPr>
              <w:t>0.934</w:t>
            </w:r>
          </w:p>
        </w:tc>
      </w:tr>
      <w:tr w:rsidR="00AD3B7F" w:rsidRPr="00A67C76" w:rsidTr="00EA303E">
        <w:trPr>
          <w:trHeight w:val="300"/>
        </w:trPr>
        <w:tc>
          <w:tcPr>
            <w:tcW w:w="2560"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20"/>
                <w:lang w:eastAsia="en-AU"/>
              </w:rPr>
            </w:pPr>
            <w:r w:rsidRPr="00A67C76">
              <w:rPr>
                <w:rFonts w:cs="Calibri"/>
                <w:sz w:val="20"/>
                <w:lang w:eastAsia="en-AU"/>
              </w:rPr>
              <w:t>Trip x Site x Diel</w:t>
            </w:r>
          </w:p>
        </w:tc>
        <w:tc>
          <w:tcPr>
            <w:tcW w:w="549"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20"/>
                <w:lang w:eastAsia="en-AU"/>
              </w:rPr>
            </w:pPr>
            <w:r w:rsidRPr="00A67C76">
              <w:rPr>
                <w:rFonts w:cs="Calibri"/>
                <w:sz w:val="20"/>
                <w:lang w:eastAsia="en-AU"/>
              </w:rPr>
              <w:t>18</w:t>
            </w:r>
          </w:p>
        </w:tc>
        <w:tc>
          <w:tcPr>
            <w:tcW w:w="960"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20"/>
                <w:lang w:eastAsia="en-AU"/>
              </w:rPr>
            </w:pPr>
            <w:r w:rsidRPr="00A67C76">
              <w:rPr>
                <w:rFonts w:cs="Calibri"/>
                <w:sz w:val="20"/>
                <w:lang w:eastAsia="en-AU"/>
              </w:rPr>
              <w:t>437</w:t>
            </w:r>
          </w:p>
        </w:tc>
        <w:tc>
          <w:tcPr>
            <w:tcW w:w="1191"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20"/>
                <w:lang w:eastAsia="en-AU"/>
              </w:rPr>
            </w:pPr>
            <w:r w:rsidRPr="00A67C76">
              <w:rPr>
                <w:rFonts w:cs="Calibri"/>
                <w:sz w:val="20"/>
                <w:lang w:eastAsia="en-AU"/>
              </w:rPr>
              <w:t>1.1658</w:t>
            </w:r>
          </w:p>
        </w:tc>
        <w:tc>
          <w:tcPr>
            <w:tcW w:w="1120"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20"/>
                <w:lang w:eastAsia="en-AU"/>
              </w:rPr>
            </w:pPr>
            <w:r w:rsidRPr="00A67C76">
              <w:rPr>
                <w:rFonts w:cs="Calibri"/>
                <w:sz w:val="20"/>
                <w:lang w:eastAsia="en-AU"/>
              </w:rPr>
              <w:t>0.146</w:t>
            </w:r>
          </w:p>
        </w:tc>
      </w:tr>
      <w:tr w:rsidR="00AD3B7F" w:rsidRPr="00A67C76" w:rsidTr="00EA303E">
        <w:trPr>
          <w:trHeight w:val="300"/>
        </w:trPr>
        <w:tc>
          <w:tcPr>
            <w:tcW w:w="2560" w:type="dxa"/>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rPr>
                <w:rFonts w:cs="Calibri"/>
                <w:sz w:val="20"/>
                <w:lang w:eastAsia="en-AU"/>
              </w:rPr>
            </w:pPr>
            <w:r w:rsidRPr="00A67C76">
              <w:rPr>
                <w:rFonts w:cs="Calibri"/>
                <w:sz w:val="20"/>
                <w:lang w:eastAsia="en-AU"/>
              </w:rPr>
              <w:t>Res</w:t>
            </w:r>
          </w:p>
        </w:tc>
        <w:tc>
          <w:tcPr>
            <w:tcW w:w="549" w:type="dxa"/>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20"/>
                <w:lang w:eastAsia="en-AU"/>
              </w:rPr>
            </w:pPr>
            <w:r w:rsidRPr="00A67C76">
              <w:rPr>
                <w:rFonts w:cs="Calibri"/>
                <w:sz w:val="20"/>
                <w:lang w:eastAsia="en-AU"/>
              </w:rPr>
              <w:t>120</w:t>
            </w:r>
          </w:p>
        </w:tc>
        <w:tc>
          <w:tcPr>
            <w:tcW w:w="960" w:type="dxa"/>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20"/>
                <w:lang w:eastAsia="en-AU"/>
              </w:rPr>
            </w:pPr>
            <w:r w:rsidRPr="00A67C76">
              <w:rPr>
                <w:rFonts w:cs="Calibri"/>
                <w:sz w:val="20"/>
                <w:lang w:eastAsia="en-AU"/>
              </w:rPr>
              <w:t>375</w:t>
            </w:r>
          </w:p>
        </w:tc>
        <w:tc>
          <w:tcPr>
            <w:tcW w:w="1191" w:type="dxa"/>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rPr>
                <w:rFonts w:cs="Calibri"/>
                <w:sz w:val="20"/>
                <w:lang w:eastAsia="en-AU"/>
              </w:rPr>
            </w:pPr>
            <w:r w:rsidRPr="00A67C76">
              <w:rPr>
                <w:rFonts w:cs="Calibri"/>
                <w:sz w:val="20"/>
                <w:lang w:eastAsia="en-AU"/>
              </w:rPr>
              <w:t xml:space="preserve">        </w:t>
            </w:r>
          </w:p>
        </w:tc>
        <w:tc>
          <w:tcPr>
            <w:tcW w:w="1120" w:type="dxa"/>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rPr>
                <w:rFonts w:cs="Calibri"/>
                <w:sz w:val="20"/>
                <w:lang w:eastAsia="en-AU"/>
              </w:rPr>
            </w:pPr>
            <w:r w:rsidRPr="00A67C76">
              <w:rPr>
                <w:rFonts w:cs="Calibri"/>
                <w:sz w:val="20"/>
                <w:lang w:eastAsia="en-AU"/>
              </w:rPr>
              <w:t xml:space="preserve">       </w:t>
            </w:r>
          </w:p>
        </w:tc>
      </w:tr>
    </w:tbl>
    <w:p w:rsidR="00AD3B7F" w:rsidRPr="00A67C76" w:rsidRDefault="009E401F" w:rsidP="009E401F">
      <w:pPr>
        <w:pStyle w:val="Caption"/>
      </w:pPr>
      <w:bookmarkStart w:id="235" w:name="_Ref387841332"/>
      <w:proofErr w:type="gramStart"/>
      <w:r w:rsidRPr="00A67C76">
        <w:t xml:space="preserve">Appendix </w:t>
      </w:r>
      <w:proofErr w:type="gramEnd"/>
      <w:r w:rsidR="002E6077" w:rsidRPr="00A67C76">
        <w:fldChar w:fldCharType="begin"/>
      </w:r>
      <w:r w:rsidR="00621CBB" w:rsidRPr="00A67C76">
        <w:instrText xml:space="preserve"> SEQ Appendix \* ROMAN </w:instrText>
      </w:r>
      <w:r w:rsidR="002E6077" w:rsidRPr="00A67C76">
        <w:fldChar w:fldCharType="separate"/>
      </w:r>
      <w:r w:rsidR="009659F2">
        <w:rPr>
          <w:noProof/>
        </w:rPr>
        <w:t>IV</w:t>
      </w:r>
      <w:r w:rsidR="002E6077" w:rsidRPr="00A67C76">
        <w:rPr>
          <w:noProof/>
        </w:rPr>
        <w:fldChar w:fldCharType="end"/>
      </w:r>
      <w:bookmarkEnd w:id="235"/>
      <w:proofErr w:type="gramStart"/>
      <w:r w:rsidR="00AD3B7F" w:rsidRPr="00A67C76">
        <w:t>.</w:t>
      </w:r>
      <w:proofErr w:type="gramEnd"/>
      <w:r w:rsidR="00AD3B7F" w:rsidRPr="00A67C76">
        <w:t xml:space="preserve"> </w:t>
      </w:r>
      <w:proofErr w:type="gramStart"/>
      <w:r w:rsidR="00AD3B7F" w:rsidRPr="00A67C76">
        <w:t>Pair-wise comparison of zooplankton assemblages between sites across all trips.</w:t>
      </w:r>
      <w:proofErr w:type="gramEnd"/>
      <w:r w:rsidR="00AD3B7F" w:rsidRPr="00A67C76">
        <w:t xml:space="preserve"> Bold indicates significant P values. </w:t>
      </w:r>
    </w:p>
    <w:tbl>
      <w:tblPr>
        <w:tblW w:w="9998" w:type="dxa"/>
        <w:tblInd w:w="93" w:type="dxa"/>
        <w:tblLook w:val="04A0"/>
      </w:tblPr>
      <w:tblGrid>
        <w:gridCol w:w="1149"/>
        <w:gridCol w:w="567"/>
        <w:gridCol w:w="919"/>
        <w:gridCol w:w="74"/>
        <w:gridCol w:w="198"/>
        <w:gridCol w:w="74"/>
        <w:gridCol w:w="578"/>
        <w:gridCol w:w="80"/>
        <w:gridCol w:w="839"/>
        <w:gridCol w:w="74"/>
        <w:gridCol w:w="198"/>
        <w:gridCol w:w="74"/>
        <w:gridCol w:w="642"/>
        <w:gridCol w:w="80"/>
        <w:gridCol w:w="839"/>
        <w:gridCol w:w="74"/>
        <w:gridCol w:w="198"/>
        <w:gridCol w:w="74"/>
        <w:gridCol w:w="499"/>
        <w:gridCol w:w="80"/>
        <w:gridCol w:w="839"/>
        <w:gridCol w:w="74"/>
        <w:gridCol w:w="198"/>
        <w:gridCol w:w="74"/>
        <w:gridCol w:w="500"/>
        <w:gridCol w:w="74"/>
        <w:gridCol w:w="923"/>
        <w:gridCol w:w="74"/>
      </w:tblGrid>
      <w:tr w:rsidR="00AD3B7F" w:rsidRPr="00A67C76" w:rsidTr="00F103A5">
        <w:trPr>
          <w:trHeight w:val="20"/>
        </w:trPr>
        <w:tc>
          <w:tcPr>
            <w:tcW w:w="1149" w:type="dxa"/>
            <w:tcBorders>
              <w:top w:val="single" w:sz="4" w:space="0" w:color="auto"/>
              <w:left w:val="nil"/>
              <w:bottom w:val="single" w:sz="4" w:space="0" w:color="auto"/>
              <w:right w:val="nil"/>
            </w:tcBorders>
            <w:shd w:val="clear" w:color="auto" w:fill="auto"/>
            <w:noWrap/>
            <w:vAlign w:val="bottom"/>
            <w:hideMark/>
          </w:tcPr>
          <w:p w:rsidR="00AD3B7F" w:rsidRPr="00A67C76" w:rsidRDefault="00AD3B7F" w:rsidP="00EF5FE6">
            <w:pPr>
              <w:spacing w:before="0" w:after="0" w:line="240" w:lineRule="auto"/>
              <w:contextualSpacing/>
              <w:rPr>
                <w:rFonts w:cs="Calibri"/>
                <w:b/>
                <w:sz w:val="20"/>
                <w:lang w:eastAsia="en-AU"/>
              </w:rPr>
            </w:pPr>
            <w:r w:rsidRPr="00A67C76">
              <w:rPr>
                <w:rFonts w:cs="Calibri"/>
                <w:b/>
                <w:sz w:val="20"/>
                <w:lang w:eastAsia="en-AU"/>
              </w:rPr>
              <w:t>Trip</w:t>
            </w:r>
          </w:p>
        </w:tc>
        <w:tc>
          <w:tcPr>
            <w:tcW w:w="1492" w:type="dxa"/>
            <w:gridSpan w:val="3"/>
            <w:tcBorders>
              <w:top w:val="single" w:sz="4" w:space="0" w:color="auto"/>
              <w:left w:val="nil"/>
              <w:bottom w:val="single" w:sz="4" w:space="0" w:color="auto"/>
              <w:right w:val="nil"/>
            </w:tcBorders>
            <w:shd w:val="clear" w:color="auto" w:fill="auto"/>
            <w:noWrap/>
            <w:vAlign w:val="bottom"/>
            <w:hideMark/>
          </w:tcPr>
          <w:p w:rsidR="00AD3B7F" w:rsidRPr="00A67C76" w:rsidRDefault="00AD3B7F" w:rsidP="00EF5FE6">
            <w:pPr>
              <w:spacing w:before="0" w:after="0" w:line="240" w:lineRule="auto"/>
              <w:contextualSpacing/>
              <w:jc w:val="center"/>
              <w:rPr>
                <w:rFonts w:cs="Calibri"/>
                <w:b/>
                <w:sz w:val="20"/>
                <w:lang w:eastAsia="en-AU"/>
              </w:rPr>
            </w:pPr>
            <w:r w:rsidRPr="00A67C76">
              <w:rPr>
                <w:rFonts w:cs="Calibri"/>
                <w:b/>
                <w:sz w:val="20"/>
                <w:lang w:eastAsia="en-AU"/>
              </w:rPr>
              <w:t>1</w:t>
            </w:r>
          </w:p>
        </w:tc>
        <w:tc>
          <w:tcPr>
            <w:tcW w:w="272" w:type="dxa"/>
            <w:gridSpan w:val="2"/>
            <w:tcBorders>
              <w:top w:val="single" w:sz="4" w:space="0" w:color="auto"/>
              <w:left w:val="nil"/>
              <w:bottom w:val="single" w:sz="4" w:space="0" w:color="auto"/>
              <w:right w:val="nil"/>
            </w:tcBorders>
            <w:shd w:val="clear" w:color="auto" w:fill="auto"/>
            <w:noWrap/>
            <w:vAlign w:val="bottom"/>
            <w:hideMark/>
          </w:tcPr>
          <w:p w:rsidR="00AD3B7F" w:rsidRPr="00A67C76" w:rsidRDefault="00AD3B7F" w:rsidP="00EF5FE6">
            <w:pPr>
              <w:spacing w:before="0" w:after="0" w:line="240" w:lineRule="auto"/>
              <w:contextualSpacing/>
              <w:rPr>
                <w:rFonts w:cs="Calibri"/>
                <w:b/>
                <w:sz w:val="20"/>
                <w:lang w:eastAsia="en-AU"/>
              </w:rPr>
            </w:pPr>
            <w:r w:rsidRPr="00A67C76">
              <w:rPr>
                <w:rFonts w:cs="Calibri"/>
                <w:b/>
                <w:sz w:val="20"/>
                <w:lang w:eastAsia="en-AU"/>
              </w:rPr>
              <w:t> </w:t>
            </w:r>
          </w:p>
        </w:tc>
        <w:tc>
          <w:tcPr>
            <w:tcW w:w="1571" w:type="dxa"/>
            <w:gridSpan w:val="4"/>
            <w:tcBorders>
              <w:top w:val="single" w:sz="4" w:space="0" w:color="auto"/>
              <w:left w:val="nil"/>
              <w:bottom w:val="single" w:sz="4" w:space="0" w:color="auto"/>
              <w:right w:val="nil"/>
            </w:tcBorders>
            <w:shd w:val="clear" w:color="auto" w:fill="auto"/>
            <w:noWrap/>
            <w:vAlign w:val="bottom"/>
            <w:hideMark/>
          </w:tcPr>
          <w:p w:rsidR="00AD3B7F" w:rsidRPr="00A67C76" w:rsidRDefault="00AD3B7F" w:rsidP="00EF5FE6">
            <w:pPr>
              <w:spacing w:before="0" w:after="0" w:line="240" w:lineRule="auto"/>
              <w:contextualSpacing/>
              <w:jc w:val="center"/>
              <w:rPr>
                <w:rFonts w:cs="Calibri"/>
                <w:b/>
                <w:sz w:val="20"/>
                <w:lang w:eastAsia="en-AU"/>
              </w:rPr>
            </w:pPr>
            <w:r w:rsidRPr="00A67C76">
              <w:rPr>
                <w:rFonts w:cs="Calibri"/>
                <w:b/>
                <w:sz w:val="20"/>
                <w:lang w:eastAsia="en-AU"/>
              </w:rPr>
              <w:t>2</w:t>
            </w:r>
          </w:p>
        </w:tc>
        <w:tc>
          <w:tcPr>
            <w:tcW w:w="272" w:type="dxa"/>
            <w:gridSpan w:val="2"/>
            <w:tcBorders>
              <w:top w:val="single" w:sz="4" w:space="0" w:color="auto"/>
              <w:left w:val="nil"/>
              <w:bottom w:val="single" w:sz="4" w:space="0" w:color="auto"/>
              <w:right w:val="nil"/>
            </w:tcBorders>
            <w:shd w:val="clear" w:color="auto" w:fill="auto"/>
            <w:noWrap/>
            <w:vAlign w:val="bottom"/>
            <w:hideMark/>
          </w:tcPr>
          <w:p w:rsidR="00AD3B7F" w:rsidRPr="00A67C76" w:rsidRDefault="00AD3B7F" w:rsidP="00EF5FE6">
            <w:pPr>
              <w:spacing w:before="0" w:after="0" w:line="240" w:lineRule="auto"/>
              <w:contextualSpacing/>
              <w:rPr>
                <w:rFonts w:cs="Calibri"/>
                <w:b/>
                <w:sz w:val="20"/>
                <w:lang w:eastAsia="en-AU"/>
              </w:rPr>
            </w:pPr>
            <w:r w:rsidRPr="00A67C76">
              <w:rPr>
                <w:rFonts w:cs="Calibri"/>
                <w:b/>
                <w:sz w:val="20"/>
                <w:lang w:eastAsia="en-AU"/>
              </w:rPr>
              <w:t> </w:t>
            </w:r>
          </w:p>
        </w:tc>
        <w:tc>
          <w:tcPr>
            <w:tcW w:w="1635" w:type="dxa"/>
            <w:gridSpan w:val="4"/>
            <w:tcBorders>
              <w:top w:val="single" w:sz="4" w:space="0" w:color="auto"/>
              <w:left w:val="nil"/>
              <w:bottom w:val="single" w:sz="4" w:space="0" w:color="auto"/>
              <w:right w:val="nil"/>
            </w:tcBorders>
            <w:shd w:val="clear" w:color="auto" w:fill="auto"/>
            <w:noWrap/>
            <w:vAlign w:val="bottom"/>
            <w:hideMark/>
          </w:tcPr>
          <w:p w:rsidR="00AD3B7F" w:rsidRPr="00A67C76" w:rsidRDefault="00AD3B7F" w:rsidP="00EF5FE6">
            <w:pPr>
              <w:spacing w:before="0" w:after="0" w:line="240" w:lineRule="auto"/>
              <w:contextualSpacing/>
              <w:jc w:val="center"/>
              <w:rPr>
                <w:rFonts w:cs="Calibri"/>
                <w:b/>
                <w:sz w:val="20"/>
                <w:lang w:eastAsia="en-AU"/>
              </w:rPr>
            </w:pPr>
            <w:r w:rsidRPr="00A67C76">
              <w:rPr>
                <w:rFonts w:cs="Calibri"/>
                <w:b/>
                <w:sz w:val="20"/>
                <w:lang w:eastAsia="en-AU"/>
              </w:rPr>
              <w:t>3</w:t>
            </w:r>
          </w:p>
        </w:tc>
        <w:tc>
          <w:tcPr>
            <w:tcW w:w="272" w:type="dxa"/>
            <w:gridSpan w:val="2"/>
            <w:tcBorders>
              <w:top w:val="single" w:sz="4" w:space="0" w:color="auto"/>
              <w:left w:val="nil"/>
              <w:bottom w:val="single" w:sz="4" w:space="0" w:color="auto"/>
              <w:right w:val="nil"/>
            </w:tcBorders>
            <w:shd w:val="clear" w:color="auto" w:fill="auto"/>
            <w:noWrap/>
            <w:vAlign w:val="bottom"/>
            <w:hideMark/>
          </w:tcPr>
          <w:p w:rsidR="00AD3B7F" w:rsidRPr="00A67C76" w:rsidRDefault="00AD3B7F" w:rsidP="00EF5FE6">
            <w:pPr>
              <w:spacing w:before="0" w:after="0" w:line="240" w:lineRule="auto"/>
              <w:contextualSpacing/>
              <w:rPr>
                <w:rFonts w:cs="Calibri"/>
                <w:b/>
                <w:sz w:val="20"/>
                <w:lang w:eastAsia="en-AU"/>
              </w:rPr>
            </w:pPr>
            <w:r w:rsidRPr="00A67C76">
              <w:rPr>
                <w:rFonts w:cs="Calibri"/>
                <w:b/>
                <w:sz w:val="20"/>
                <w:lang w:eastAsia="en-AU"/>
              </w:rPr>
              <w:t> </w:t>
            </w:r>
          </w:p>
        </w:tc>
        <w:tc>
          <w:tcPr>
            <w:tcW w:w="1492" w:type="dxa"/>
            <w:gridSpan w:val="4"/>
            <w:tcBorders>
              <w:top w:val="single" w:sz="4" w:space="0" w:color="auto"/>
              <w:left w:val="nil"/>
              <w:bottom w:val="single" w:sz="4" w:space="0" w:color="auto"/>
              <w:right w:val="nil"/>
            </w:tcBorders>
            <w:shd w:val="clear" w:color="auto" w:fill="auto"/>
            <w:noWrap/>
            <w:vAlign w:val="bottom"/>
            <w:hideMark/>
          </w:tcPr>
          <w:p w:rsidR="00AD3B7F" w:rsidRPr="00A67C76" w:rsidRDefault="00AD3B7F" w:rsidP="00EF5FE6">
            <w:pPr>
              <w:spacing w:before="0" w:after="0" w:line="240" w:lineRule="auto"/>
              <w:contextualSpacing/>
              <w:jc w:val="center"/>
              <w:rPr>
                <w:rFonts w:cs="Calibri"/>
                <w:b/>
                <w:sz w:val="20"/>
                <w:lang w:eastAsia="en-AU"/>
              </w:rPr>
            </w:pPr>
            <w:r w:rsidRPr="00A67C76">
              <w:rPr>
                <w:rFonts w:cs="Calibri"/>
                <w:b/>
                <w:sz w:val="20"/>
                <w:lang w:eastAsia="en-AU"/>
              </w:rPr>
              <w:t>4</w:t>
            </w:r>
          </w:p>
        </w:tc>
        <w:tc>
          <w:tcPr>
            <w:tcW w:w="272" w:type="dxa"/>
            <w:gridSpan w:val="2"/>
            <w:tcBorders>
              <w:top w:val="single" w:sz="4" w:space="0" w:color="auto"/>
              <w:left w:val="nil"/>
              <w:bottom w:val="single" w:sz="4" w:space="0" w:color="auto"/>
              <w:right w:val="nil"/>
            </w:tcBorders>
            <w:shd w:val="clear" w:color="auto" w:fill="auto"/>
            <w:noWrap/>
            <w:vAlign w:val="bottom"/>
            <w:hideMark/>
          </w:tcPr>
          <w:p w:rsidR="00AD3B7F" w:rsidRPr="00A67C76" w:rsidRDefault="00AD3B7F" w:rsidP="00EF5FE6">
            <w:pPr>
              <w:spacing w:before="0" w:after="0" w:line="240" w:lineRule="auto"/>
              <w:contextualSpacing/>
              <w:rPr>
                <w:rFonts w:cs="Calibri"/>
                <w:b/>
                <w:sz w:val="20"/>
                <w:lang w:eastAsia="en-AU"/>
              </w:rPr>
            </w:pPr>
            <w:r w:rsidRPr="00A67C76">
              <w:rPr>
                <w:rFonts w:cs="Calibri"/>
                <w:b/>
                <w:sz w:val="20"/>
                <w:lang w:eastAsia="en-AU"/>
              </w:rPr>
              <w:t> </w:t>
            </w:r>
          </w:p>
        </w:tc>
        <w:tc>
          <w:tcPr>
            <w:tcW w:w="1571" w:type="dxa"/>
            <w:gridSpan w:val="4"/>
            <w:tcBorders>
              <w:top w:val="single" w:sz="4" w:space="0" w:color="auto"/>
              <w:left w:val="nil"/>
              <w:bottom w:val="single" w:sz="4" w:space="0" w:color="auto"/>
              <w:right w:val="nil"/>
            </w:tcBorders>
            <w:shd w:val="clear" w:color="auto" w:fill="auto"/>
            <w:noWrap/>
            <w:vAlign w:val="bottom"/>
            <w:hideMark/>
          </w:tcPr>
          <w:p w:rsidR="00AD3B7F" w:rsidRPr="00A67C76" w:rsidRDefault="00AD3B7F" w:rsidP="00EF5FE6">
            <w:pPr>
              <w:spacing w:before="0" w:after="0" w:line="240" w:lineRule="auto"/>
              <w:contextualSpacing/>
              <w:jc w:val="center"/>
              <w:rPr>
                <w:rFonts w:cs="Calibri"/>
                <w:b/>
                <w:sz w:val="20"/>
                <w:lang w:eastAsia="en-AU"/>
              </w:rPr>
            </w:pPr>
            <w:r w:rsidRPr="00A67C76">
              <w:rPr>
                <w:rFonts w:cs="Calibri"/>
                <w:b/>
                <w:sz w:val="20"/>
                <w:lang w:eastAsia="en-AU"/>
              </w:rPr>
              <w:t>5</w:t>
            </w:r>
          </w:p>
        </w:tc>
      </w:tr>
      <w:tr w:rsidR="00AD3B7F" w:rsidRPr="00A67C76" w:rsidTr="00F103A5">
        <w:trPr>
          <w:trHeight w:val="20"/>
        </w:trPr>
        <w:tc>
          <w:tcPr>
            <w:tcW w:w="1149"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20"/>
                <w:lang w:eastAsia="en-AU"/>
              </w:rPr>
            </w:pPr>
          </w:p>
        </w:tc>
        <w:tc>
          <w:tcPr>
            <w:tcW w:w="567"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20"/>
                <w:lang w:eastAsia="en-AU"/>
              </w:rPr>
            </w:pPr>
          </w:p>
        </w:tc>
        <w:tc>
          <w:tcPr>
            <w:tcW w:w="925"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20"/>
                <w:lang w:eastAsia="en-AU"/>
              </w:rPr>
            </w:pP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20"/>
                <w:lang w:eastAsia="en-AU"/>
              </w:rPr>
            </w:pPr>
          </w:p>
        </w:tc>
        <w:tc>
          <w:tcPr>
            <w:tcW w:w="658"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20"/>
                <w:lang w:eastAsia="en-AU"/>
              </w:rPr>
            </w:pPr>
          </w:p>
        </w:tc>
        <w:tc>
          <w:tcPr>
            <w:tcW w:w="913"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20"/>
                <w:lang w:eastAsia="en-AU"/>
              </w:rPr>
            </w:pP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20"/>
                <w:lang w:eastAsia="en-AU"/>
              </w:rPr>
            </w:pPr>
          </w:p>
        </w:tc>
        <w:tc>
          <w:tcPr>
            <w:tcW w:w="72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20"/>
                <w:lang w:eastAsia="en-AU"/>
              </w:rPr>
            </w:pPr>
          </w:p>
        </w:tc>
        <w:tc>
          <w:tcPr>
            <w:tcW w:w="913"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20"/>
                <w:lang w:eastAsia="en-AU"/>
              </w:rPr>
            </w:pP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20"/>
                <w:lang w:eastAsia="en-AU"/>
              </w:rPr>
            </w:pPr>
          </w:p>
        </w:tc>
        <w:tc>
          <w:tcPr>
            <w:tcW w:w="579"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20"/>
                <w:lang w:eastAsia="en-AU"/>
              </w:rPr>
            </w:pPr>
          </w:p>
        </w:tc>
        <w:tc>
          <w:tcPr>
            <w:tcW w:w="913"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20"/>
                <w:lang w:eastAsia="en-AU"/>
              </w:rPr>
            </w:pP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20"/>
                <w:lang w:eastAsia="en-AU"/>
              </w:rPr>
            </w:pPr>
          </w:p>
        </w:tc>
        <w:tc>
          <w:tcPr>
            <w:tcW w:w="574"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20"/>
                <w:lang w:eastAsia="en-AU"/>
              </w:rPr>
            </w:pPr>
          </w:p>
        </w:tc>
        <w:tc>
          <w:tcPr>
            <w:tcW w:w="997"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20"/>
                <w:lang w:eastAsia="en-AU"/>
              </w:rPr>
            </w:pPr>
          </w:p>
        </w:tc>
      </w:tr>
      <w:tr w:rsidR="00AD3B7F" w:rsidRPr="00A67C76" w:rsidTr="00F103A5">
        <w:trPr>
          <w:gridAfter w:val="1"/>
          <w:wAfter w:w="74" w:type="dxa"/>
          <w:trHeight w:val="20"/>
        </w:trPr>
        <w:tc>
          <w:tcPr>
            <w:tcW w:w="1149"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r w:rsidRPr="00A67C76">
              <w:rPr>
                <w:rFonts w:cs="Calibri"/>
                <w:sz w:val="18"/>
                <w:szCs w:val="18"/>
                <w:lang w:eastAsia="en-AU"/>
              </w:rPr>
              <w:t>Sites</w:t>
            </w:r>
          </w:p>
        </w:tc>
        <w:tc>
          <w:tcPr>
            <w:tcW w:w="567" w:type="dxa"/>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jc w:val="center"/>
              <w:rPr>
                <w:rFonts w:cs="Calibri"/>
                <w:sz w:val="18"/>
                <w:szCs w:val="18"/>
                <w:lang w:eastAsia="en-AU"/>
              </w:rPr>
            </w:pPr>
            <w:r w:rsidRPr="00A67C76">
              <w:rPr>
                <w:rFonts w:cs="Calibri"/>
                <w:sz w:val="18"/>
                <w:szCs w:val="18"/>
                <w:lang w:eastAsia="en-AU"/>
              </w:rPr>
              <w:t>t</w:t>
            </w:r>
          </w:p>
        </w:tc>
        <w:tc>
          <w:tcPr>
            <w:tcW w:w="851" w:type="dxa"/>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jc w:val="center"/>
              <w:rPr>
                <w:rFonts w:cs="Calibri"/>
                <w:sz w:val="18"/>
                <w:szCs w:val="18"/>
                <w:lang w:eastAsia="en-AU"/>
              </w:rPr>
            </w:pPr>
            <w:r w:rsidRPr="00A67C76">
              <w:rPr>
                <w:rFonts w:cs="Calibri"/>
                <w:sz w:val="18"/>
                <w:szCs w:val="18"/>
                <w:lang w:eastAsia="en-AU"/>
              </w:rPr>
              <w:t>P(perm)</w:t>
            </w: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center"/>
              <w:rPr>
                <w:rFonts w:cs="Calibri"/>
                <w:sz w:val="18"/>
                <w:szCs w:val="18"/>
                <w:lang w:eastAsia="en-AU"/>
              </w:rPr>
            </w:pPr>
          </w:p>
        </w:tc>
        <w:tc>
          <w:tcPr>
            <w:tcW w:w="652" w:type="dxa"/>
            <w:gridSpan w:val="2"/>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r w:rsidRPr="00A67C76">
              <w:rPr>
                <w:rFonts w:cs="Calibri"/>
                <w:sz w:val="18"/>
                <w:szCs w:val="18"/>
                <w:lang w:eastAsia="en-AU"/>
              </w:rPr>
              <w:t xml:space="preserve">     t</w:t>
            </w:r>
          </w:p>
        </w:tc>
        <w:tc>
          <w:tcPr>
            <w:tcW w:w="919" w:type="dxa"/>
            <w:gridSpan w:val="2"/>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jc w:val="center"/>
              <w:rPr>
                <w:rFonts w:cs="Calibri"/>
                <w:sz w:val="18"/>
                <w:szCs w:val="18"/>
                <w:lang w:eastAsia="en-AU"/>
              </w:rPr>
            </w:pPr>
            <w:r w:rsidRPr="00A67C76">
              <w:rPr>
                <w:rFonts w:cs="Calibri"/>
                <w:sz w:val="18"/>
                <w:szCs w:val="18"/>
                <w:lang w:eastAsia="en-AU"/>
              </w:rPr>
              <w:t>P(perm)</w:t>
            </w: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center"/>
              <w:rPr>
                <w:rFonts w:cs="Calibri"/>
                <w:sz w:val="18"/>
                <w:szCs w:val="18"/>
                <w:lang w:eastAsia="en-AU"/>
              </w:rPr>
            </w:pPr>
          </w:p>
        </w:tc>
        <w:tc>
          <w:tcPr>
            <w:tcW w:w="716" w:type="dxa"/>
            <w:gridSpan w:val="2"/>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r w:rsidRPr="00A67C76">
              <w:rPr>
                <w:rFonts w:cs="Calibri"/>
                <w:sz w:val="18"/>
                <w:szCs w:val="18"/>
                <w:lang w:eastAsia="en-AU"/>
              </w:rPr>
              <w:t xml:space="preserve">      t</w:t>
            </w:r>
          </w:p>
        </w:tc>
        <w:tc>
          <w:tcPr>
            <w:tcW w:w="919" w:type="dxa"/>
            <w:gridSpan w:val="2"/>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jc w:val="center"/>
              <w:rPr>
                <w:rFonts w:cs="Calibri"/>
                <w:sz w:val="18"/>
                <w:szCs w:val="18"/>
                <w:lang w:eastAsia="en-AU"/>
              </w:rPr>
            </w:pPr>
            <w:r w:rsidRPr="00A67C76">
              <w:rPr>
                <w:rFonts w:cs="Calibri"/>
                <w:sz w:val="18"/>
                <w:szCs w:val="18"/>
                <w:lang w:eastAsia="en-AU"/>
              </w:rPr>
              <w:t>P(perm)</w:t>
            </w: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center"/>
              <w:rPr>
                <w:rFonts w:cs="Calibri"/>
                <w:sz w:val="18"/>
                <w:szCs w:val="18"/>
                <w:lang w:eastAsia="en-AU"/>
              </w:rPr>
            </w:pPr>
          </w:p>
        </w:tc>
        <w:tc>
          <w:tcPr>
            <w:tcW w:w="573" w:type="dxa"/>
            <w:gridSpan w:val="2"/>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r w:rsidRPr="00A67C76">
              <w:rPr>
                <w:rFonts w:cs="Calibri"/>
                <w:sz w:val="18"/>
                <w:szCs w:val="18"/>
                <w:lang w:eastAsia="en-AU"/>
              </w:rPr>
              <w:t xml:space="preserve">     t</w:t>
            </w:r>
          </w:p>
        </w:tc>
        <w:tc>
          <w:tcPr>
            <w:tcW w:w="919" w:type="dxa"/>
            <w:gridSpan w:val="2"/>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jc w:val="center"/>
              <w:rPr>
                <w:rFonts w:cs="Calibri"/>
                <w:sz w:val="18"/>
                <w:szCs w:val="18"/>
                <w:lang w:eastAsia="en-AU"/>
              </w:rPr>
            </w:pPr>
            <w:r w:rsidRPr="00A67C76">
              <w:rPr>
                <w:rFonts w:cs="Calibri"/>
                <w:sz w:val="18"/>
                <w:szCs w:val="18"/>
                <w:lang w:eastAsia="en-AU"/>
              </w:rPr>
              <w:t>P(perm)</w:t>
            </w: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center"/>
              <w:rPr>
                <w:rFonts w:cs="Calibri"/>
                <w:sz w:val="18"/>
                <w:szCs w:val="18"/>
                <w:lang w:eastAsia="en-AU"/>
              </w:rPr>
            </w:pPr>
          </w:p>
        </w:tc>
        <w:tc>
          <w:tcPr>
            <w:tcW w:w="574" w:type="dxa"/>
            <w:gridSpan w:val="2"/>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r w:rsidRPr="00A67C76">
              <w:rPr>
                <w:rFonts w:cs="Calibri"/>
                <w:sz w:val="18"/>
                <w:szCs w:val="18"/>
                <w:lang w:eastAsia="en-AU"/>
              </w:rPr>
              <w:t xml:space="preserve">     t</w:t>
            </w:r>
          </w:p>
        </w:tc>
        <w:tc>
          <w:tcPr>
            <w:tcW w:w="997" w:type="dxa"/>
            <w:gridSpan w:val="2"/>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jc w:val="center"/>
              <w:rPr>
                <w:rFonts w:cs="Calibri"/>
                <w:sz w:val="18"/>
                <w:szCs w:val="18"/>
                <w:lang w:eastAsia="en-AU"/>
              </w:rPr>
            </w:pPr>
            <w:r w:rsidRPr="00A67C76">
              <w:rPr>
                <w:rFonts w:cs="Calibri"/>
                <w:sz w:val="18"/>
                <w:szCs w:val="18"/>
                <w:lang w:eastAsia="en-AU"/>
              </w:rPr>
              <w:t>P(perm)</w:t>
            </w:r>
          </w:p>
        </w:tc>
      </w:tr>
      <w:tr w:rsidR="00AD3B7F" w:rsidRPr="00A67C76" w:rsidTr="00F103A5">
        <w:trPr>
          <w:gridAfter w:val="1"/>
          <w:wAfter w:w="74" w:type="dxa"/>
          <w:trHeight w:val="20"/>
        </w:trPr>
        <w:tc>
          <w:tcPr>
            <w:tcW w:w="1149" w:type="dxa"/>
            <w:tcBorders>
              <w:top w:val="nil"/>
              <w:left w:val="nil"/>
              <w:bottom w:val="nil"/>
              <w:right w:val="nil"/>
            </w:tcBorders>
            <w:shd w:val="clear" w:color="auto" w:fill="auto"/>
            <w:noWrap/>
            <w:vAlign w:val="bottom"/>
            <w:hideMark/>
          </w:tcPr>
          <w:p w:rsidR="00AD3B7F" w:rsidRPr="00A67C76" w:rsidRDefault="00FD328A" w:rsidP="000B3877">
            <w:pPr>
              <w:spacing w:line="240" w:lineRule="auto"/>
              <w:contextualSpacing/>
              <w:rPr>
                <w:rFonts w:cs="Calibri"/>
                <w:sz w:val="18"/>
                <w:szCs w:val="18"/>
                <w:lang w:eastAsia="en-AU"/>
              </w:rPr>
            </w:pPr>
            <w:r w:rsidRPr="00FD328A">
              <w:rPr>
                <w:rFonts w:cs="Calibri"/>
                <w:sz w:val="18"/>
                <w:szCs w:val="18"/>
                <w:lang w:eastAsia="en-AU"/>
              </w:rPr>
              <w:t>LK-1</w:t>
            </w:r>
            <w:r w:rsidR="00AD3B7F" w:rsidRPr="00A67C76">
              <w:rPr>
                <w:rFonts w:cs="Calibri"/>
                <w:sz w:val="18"/>
                <w:szCs w:val="18"/>
                <w:lang w:eastAsia="en-AU"/>
              </w:rPr>
              <w:t xml:space="preserve">, </w:t>
            </w:r>
            <w:r w:rsidRPr="00FD328A">
              <w:rPr>
                <w:rFonts w:cs="Calibri"/>
                <w:sz w:val="18"/>
                <w:szCs w:val="18"/>
                <w:lang w:eastAsia="en-AU"/>
              </w:rPr>
              <w:t>LK-6</w:t>
            </w:r>
          </w:p>
        </w:tc>
        <w:tc>
          <w:tcPr>
            <w:tcW w:w="567" w:type="dxa"/>
            <w:tcBorders>
              <w:top w:val="nil"/>
              <w:left w:val="nil"/>
              <w:bottom w:val="nil"/>
              <w:right w:val="nil"/>
            </w:tcBorders>
            <w:shd w:val="clear" w:color="auto" w:fill="auto"/>
            <w:noWrap/>
            <w:vAlign w:val="bottom"/>
            <w:hideMark/>
          </w:tcPr>
          <w:p w:rsidR="00AD3B7F" w:rsidRPr="00A67C76" w:rsidRDefault="00AD3B7F" w:rsidP="00F103A5">
            <w:pPr>
              <w:spacing w:line="240" w:lineRule="auto"/>
              <w:contextualSpacing/>
              <w:jc w:val="right"/>
              <w:rPr>
                <w:rFonts w:cs="Calibri"/>
                <w:sz w:val="18"/>
                <w:szCs w:val="18"/>
                <w:lang w:eastAsia="en-AU"/>
              </w:rPr>
            </w:pPr>
            <w:r w:rsidRPr="00A67C76">
              <w:rPr>
                <w:rFonts w:cs="Calibri"/>
                <w:sz w:val="18"/>
                <w:szCs w:val="18"/>
                <w:lang w:eastAsia="en-AU"/>
              </w:rPr>
              <w:t>2.52</w:t>
            </w:r>
          </w:p>
        </w:tc>
        <w:tc>
          <w:tcPr>
            <w:tcW w:w="851"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b/>
                <w:bCs/>
                <w:sz w:val="18"/>
                <w:szCs w:val="18"/>
                <w:lang w:eastAsia="en-AU"/>
              </w:rPr>
            </w:pPr>
            <w:r w:rsidRPr="00A67C76">
              <w:rPr>
                <w:rFonts w:cs="Calibri"/>
                <w:b/>
                <w:bCs/>
                <w:sz w:val="18"/>
                <w:szCs w:val="18"/>
                <w:lang w:eastAsia="en-AU"/>
              </w:rPr>
              <w:t>0.005</w:t>
            </w: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652" w:type="dxa"/>
            <w:gridSpan w:val="2"/>
            <w:tcBorders>
              <w:top w:val="nil"/>
              <w:left w:val="nil"/>
              <w:bottom w:val="nil"/>
              <w:right w:val="nil"/>
            </w:tcBorders>
            <w:shd w:val="clear" w:color="auto" w:fill="auto"/>
            <w:noWrap/>
            <w:vAlign w:val="bottom"/>
            <w:hideMark/>
          </w:tcPr>
          <w:p w:rsidR="00AD3B7F" w:rsidRPr="00A67C76" w:rsidRDefault="00AD3B7F" w:rsidP="00F103A5">
            <w:pPr>
              <w:spacing w:line="240" w:lineRule="auto"/>
              <w:contextualSpacing/>
              <w:jc w:val="right"/>
              <w:rPr>
                <w:rFonts w:cs="Calibri"/>
                <w:sz w:val="18"/>
                <w:szCs w:val="18"/>
                <w:lang w:eastAsia="en-AU"/>
              </w:rPr>
            </w:pPr>
            <w:r w:rsidRPr="00A67C76">
              <w:rPr>
                <w:rFonts w:cs="Calibri"/>
                <w:sz w:val="18"/>
                <w:szCs w:val="18"/>
                <w:lang w:eastAsia="en-AU"/>
              </w:rPr>
              <w:t>2.58</w:t>
            </w:r>
          </w:p>
        </w:tc>
        <w:tc>
          <w:tcPr>
            <w:tcW w:w="919"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b/>
                <w:bCs/>
                <w:sz w:val="18"/>
                <w:szCs w:val="18"/>
                <w:lang w:eastAsia="en-AU"/>
              </w:rPr>
            </w:pPr>
            <w:r w:rsidRPr="00A67C76">
              <w:rPr>
                <w:rFonts w:cs="Calibri"/>
                <w:b/>
                <w:bCs/>
                <w:sz w:val="18"/>
                <w:szCs w:val="18"/>
                <w:lang w:eastAsia="en-AU"/>
              </w:rPr>
              <w:t>0.002</w:t>
            </w: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716" w:type="dxa"/>
            <w:gridSpan w:val="2"/>
            <w:tcBorders>
              <w:top w:val="nil"/>
              <w:left w:val="nil"/>
              <w:bottom w:val="nil"/>
              <w:right w:val="nil"/>
            </w:tcBorders>
            <w:shd w:val="clear" w:color="auto" w:fill="auto"/>
            <w:noWrap/>
            <w:vAlign w:val="bottom"/>
            <w:hideMark/>
          </w:tcPr>
          <w:p w:rsidR="00AD3B7F" w:rsidRPr="00A67C76" w:rsidRDefault="00AD3B7F" w:rsidP="00F103A5">
            <w:pPr>
              <w:spacing w:line="240" w:lineRule="auto"/>
              <w:contextualSpacing/>
              <w:jc w:val="right"/>
              <w:rPr>
                <w:rFonts w:cs="Calibri"/>
                <w:sz w:val="18"/>
                <w:szCs w:val="18"/>
                <w:lang w:eastAsia="en-AU"/>
              </w:rPr>
            </w:pPr>
            <w:r w:rsidRPr="00A67C76">
              <w:rPr>
                <w:rFonts w:cs="Calibri"/>
                <w:sz w:val="18"/>
                <w:szCs w:val="18"/>
                <w:lang w:eastAsia="en-AU"/>
              </w:rPr>
              <w:t>2.48</w:t>
            </w:r>
          </w:p>
        </w:tc>
        <w:tc>
          <w:tcPr>
            <w:tcW w:w="919"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b/>
                <w:bCs/>
                <w:sz w:val="18"/>
                <w:szCs w:val="18"/>
                <w:lang w:eastAsia="en-AU"/>
              </w:rPr>
            </w:pPr>
            <w:r w:rsidRPr="00A67C76">
              <w:rPr>
                <w:rFonts w:cs="Calibri"/>
                <w:b/>
                <w:bCs/>
                <w:sz w:val="18"/>
                <w:szCs w:val="18"/>
                <w:lang w:eastAsia="en-AU"/>
              </w:rPr>
              <w:t>0.003</w:t>
            </w: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573" w:type="dxa"/>
            <w:gridSpan w:val="2"/>
            <w:tcBorders>
              <w:top w:val="nil"/>
              <w:left w:val="nil"/>
              <w:bottom w:val="nil"/>
              <w:right w:val="nil"/>
            </w:tcBorders>
            <w:shd w:val="clear" w:color="auto" w:fill="auto"/>
            <w:noWrap/>
            <w:vAlign w:val="bottom"/>
            <w:hideMark/>
          </w:tcPr>
          <w:p w:rsidR="00AD3B7F" w:rsidRPr="00A67C76" w:rsidRDefault="00AD3B7F" w:rsidP="00F103A5">
            <w:pPr>
              <w:spacing w:line="240" w:lineRule="auto"/>
              <w:contextualSpacing/>
              <w:jc w:val="right"/>
              <w:rPr>
                <w:rFonts w:cs="Calibri"/>
                <w:sz w:val="18"/>
                <w:szCs w:val="18"/>
                <w:lang w:eastAsia="en-AU"/>
              </w:rPr>
            </w:pPr>
            <w:r w:rsidRPr="00A67C76">
              <w:rPr>
                <w:rFonts w:cs="Calibri"/>
                <w:sz w:val="18"/>
                <w:szCs w:val="18"/>
                <w:lang w:eastAsia="en-AU"/>
              </w:rPr>
              <w:t>2.54</w:t>
            </w:r>
          </w:p>
        </w:tc>
        <w:tc>
          <w:tcPr>
            <w:tcW w:w="919"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b/>
                <w:bCs/>
                <w:sz w:val="18"/>
                <w:szCs w:val="18"/>
                <w:lang w:eastAsia="en-AU"/>
              </w:rPr>
            </w:pPr>
            <w:r w:rsidRPr="00A67C76">
              <w:rPr>
                <w:rFonts w:cs="Calibri"/>
                <w:b/>
                <w:bCs/>
                <w:sz w:val="18"/>
                <w:szCs w:val="18"/>
                <w:lang w:eastAsia="en-AU"/>
              </w:rPr>
              <w:t>0.002</w:t>
            </w: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574" w:type="dxa"/>
            <w:gridSpan w:val="2"/>
            <w:tcBorders>
              <w:top w:val="nil"/>
              <w:left w:val="nil"/>
              <w:bottom w:val="nil"/>
              <w:right w:val="nil"/>
            </w:tcBorders>
            <w:shd w:val="clear" w:color="auto" w:fill="auto"/>
            <w:noWrap/>
            <w:vAlign w:val="bottom"/>
            <w:hideMark/>
          </w:tcPr>
          <w:p w:rsidR="00AD3B7F" w:rsidRPr="00A67C76" w:rsidRDefault="00AD3B7F" w:rsidP="00F103A5">
            <w:pPr>
              <w:spacing w:line="240" w:lineRule="auto"/>
              <w:contextualSpacing/>
              <w:jc w:val="right"/>
              <w:rPr>
                <w:rFonts w:cs="Calibri"/>
                <w:sz w:val="18"/>
                <w:szCs w:val="18"/>
                <w:lang w:eastAsia="en-AU"/>
              </w:rPr>
            </w:pPr>
            <w:r w:rsidRPr="00A67C76">
              <w:rPr>
                <w:rFonts w:cs="Calibri"/>
                <w:sz w:val="18"/>
                <w:szCs w:val="18"/>
                <w:lang w:eastAsia="en-AU"/>
              </w:rPr>
              <w:t>2.38</w:t>
            </w:r>
          </w:p>
        </w:tc>
        <w:tc>
          <w:tcPr>
            <w:tcW w:w="997"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b/>
                <w:bCs/>
                <w:sz w:val="18"/>
                <w:szCs w:val="18"/>
                <w:lang w:eastAsia="en-AU"/>
              </w:rPr>
            </w:pPr>
            <w:r w:rsidRPr="00A67C76">
              <w:rPr>
                <w:rFonts w:cs="Calibri"/>
                <w:b/>
                <w:bCs/>
                <w:sz w:val="18"/>
                <w:szCs w:val="18"/>
                <w:lang w:eastAsia="en-AU"/>
              </w:rPr>
              <w:t>0.002</w:t>
            </w:r>
          </w:p>
        </w:tc>
      </w:tr>
      <w:tr w:rsidR="00AD3B7F" w:rsidRPr="00A67C76" w:rsidTr="00F103A5">
        <w:trPr>
          <w:gridAfter w:val="1"/>
          <w:wAfter w:w="74" w:type="dxa"/>
          <w:trHeight w:val="20"/>
        </w:trPr>
        <w:tc>
          <w:tcPr>
            <w:tcW w:w="1149" w:type="dxa"/>
            <w:tcBorders>
              <w:top w:val="nil"/>
              <w:left w:val="nil"/>
              <w:bottom w:val="nil"/>
              <w:right w:val="nil"/>
            </w:tcBorders>
            <w:shd w:val="clear" w:color="auto" w:fill="auto"/>
            <w:noWrap/>
            <w:vAlign w:val="bottom"/>
            <w:hideMark/>
          </w:tcPr>
          <w:p w:rsidR="00AD3B7F" w:rsidRPr="00A67C76" w:rsidRDefault="00FD328A" w:rsidP="000B3877">
            <w:pPr>
              <w:spacing w:line="240" w:lineRule="auto"/>
              <w:contextualSpacing/>
              <w:rPr>
                <w:rFonts w:cs="Calibri"/>
                <w:sz w:val="18"/>
                <w:szCs w:val="18"/>
                <w:lang w:eastAsia="en-AU"/>
              </w:rPr>
            </w:pPr>
            <w:r w:rsidRPr="00FD328A">
              <w:rPr>
                <w:rFonts w:cs="Calibri"/>
                <w:sz w:val="18"/>
                <w:szCs w:val="18"/>
                <w:lang w:eastAsia="en-AU"/>
              </w:rPr>
              <w:t>LK-1</w:t>
            </w:r>
            <w:r w:rsidR="00AD3B7F" w:rsidRPr="00A67C76">
              <w:rPr>
                <w:rFonts w:cs="Calibri"/>
                <w:sz w:val="18"/>
                <w:szCs w:val="18"/>
                <w:lang w:eastAsia="en-AU"/>
              </w:rPr>
              <w:t xml:space="preserve">, </w:t>
            </w:r>
            <w:r w:rsidRPr="00FD328A">
              <w:rPr>
                <w:rFonts w:cs="Calibri"/>
                <w:sz w:val="18"/>
                <w:szCs w:val="18"/>
                <w:lang w:eastAsia="en-AU"/>
              </w:rPr>
              <w:t>LK-6</w:t>
            </w:r>
            <w:r w:rsidR="00AD3B7F" w:rsidRPr="00A67C76">
              <w:rPr>
                <w:rFonts w:cs="Calibri"/>
                <w:sz w:val="18"/>
                <w:szCs w:val="18"/>
                <w:lang w:eastAsia="en-AU"/>
              </w:rPr>
              <w:t>A</w:t>
            </w:r>
          </w:p>
        </w:tc>
        <w:tc>
          <w:tcPr>
            <w:tcW w:w="567" w:type="dxa"/>
            <w:tcBorders>
              <w:top w:val="nil"/>
              <w:left w:val="nil"/>
              <w:bottom w:val="nil"/>
              <w:right w:val="nil"/>
            </w:tcBorders>
            <w:shd w:val="clear" w:color="auto" w:fill="auto"/>
            <w:noWrap/>
            <w:vAlign w:val="bottom"/>
            <w:hideMark/>
          </w:tcPr>
          <w:p w:rsidR="00AD3B7F" w:rsidRPr="00A67C76" w:rsidRDefault="00AD3B7F" w:rsidP="00F103A5">
            <w:pPr>
              <w:spacing w:line="240" w:lineRule="auto"/>
              <w:contextualSpacing/>
              <w:jc w:val="right"/>
              <w:rPr>
                <w:rFonts w:cs="Calibri"/>
                <w:sz w:val="18"/>
                <w:szCs w:val="18"/>
                <w:lang w:eastAsia="en-AU"/>
              </w:rPr>
            </w:pPr>
            <w:r w:rsidRPr="00A67C76">
              <w:rPr>
                <w:rFonts w:cs="Calibri"/>
                <w:sz w:val="18"/>
                <w:szCs w:val="18"/>
                <w:lang w:eastAsia="en-AU"/>
              </w:rPr>
              <w:t>2.59</w:t>
            </w:r>
          </w:p>
        </w:tc>
        <w:tc>
          <w:tcPr>
            <w:tcW w:w="851"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b/>
                <w:bCs/>
                <w:sz w:val="18"/>
                <w:szCs w:val="18"/>
                <w:lang w:eastAsia="en-AU"/>
              </w:rPr>
            </w:pPr>
            <w:r w:rsidRPr="00A67C76">
              <w:rPr>
                <w:rFonts w:cs="Calibri"/>
                <w:b/>
                <w:bCs/>
                <w:sz w:val="18"/>
                <w:szCs w:val="18"/>
                <w:lang w:eastAsia="en-AU"/>
              </w:rPr>
              <w:t>0.009</w:t>
            </w: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652" w:type="dxa"/>
            <w:gridSpan w:val="2"/>
            <w:tcBorders>
              <w:top w:val="nil"/>
              <w:left w:val="nil"/>
              <w:bottom w:val="nil"/>
              <w:right w:val="nil"/>
            </w:tcBorders>
            <w:shd w:val="clear" w:color="auto" w:fill="auto"/>
            <w:noWrap/>
            <w:vAlign w:val="bottom"/>
            <w:hideMark/>
          </w:tcPr>
          <w:p w:rsidR="00AD3B7F" w:rsidRPr="00A67C76" w:rsidRDefault="00AD3B7F" w:rsidP="00F103A5">
            <w:pPr>
              <w:spacing w:line="240" w:lineRule="auto"/>
              <w:contextualSpacing/>
              <w:jc w:val="right"/>
              <w:rPr>
                <w:rFonts w:cs="Calibri"/>
                <w:sz w:val="18"/>
                <w:szCs w:val="18"/>
                <w:lang w:eastAsia="en-AU"/>
              </w:rPr>
            </w:pPr>
            <w:r w:rsidRPr="00A67C76">
              <w:rPr>
                <w:rFonts w:cs="Calibri"/>
                <w:sz w:val="18"/>
                <w:szCs w:val="18"/>
                <w:lang w:eastAsia="en-AU"/>
              </w:rPr>
              <w:t>2.51</w:t>
            </w:r>
          </w:p>
        </w:tc>
        <w:tc>
          <w:tcPr>
            <w:tcW w:w="919"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b/>
                <w:bCs/>
                <w:sz w:val="18"/>
                <w:szCs w:val="18"/>
                <w:lang w:eastAsia="en-AU"/>
              </w:rPr>
            </w:pPr>
            <w:r w:rsidRPr="00A67C76">
              <w:rPr>
                <w:rFonts w:cs="Calibri"/>
                <w:b/>
                <w:bCs/>
                <w:sz w:val="18"/>
                <w:szCs w:val="18"/>
                <w:lang w:eastAsia="en-AU"/>
              </w:rPr>
              <w:t>0.001</w:t>
            </w: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716" w:type="dxa"/>
            <w:gridSpan w:val="2"/>
            <w:tcBorders>
              <w:top w:val="nil"/>
              <w:left w:val="nil"/>
              <w:bottom w:val="nil"/>
              <w:right w:val="nil"/>
            </w:tcBorders>
            <w:shd w:val="clear" w:color="auto" w:fill="auto"/>
            <w:noWrap/>
            <w:vAlign w:val="bottom"/>
            <w:hideMark/>
          </w:tcPr>
          <w:p w:rsidR="00AD3B7F" w:rsidRPr="00A67C76" w:rsidRDefault="00AD3B7F" w:rsidP="00F103A5">
            <w:pPr>
              <w:spacing w:line="240" w:lineRule="auto"/>
              <w:contextualSpacing/>
              <w:jc w:val="right"/>
              <w:rPr>
                <w:rFonts w:cs="Calibri"/>
                <w:sz w:val="18"/>
                <w:szCs w:val="18"/>
                <w:lang w:eastAsia="en-AU"/>
              </w:rPr>
            </w:pPr>
            <w:r w:rsidRPr="00A67C76">
              <w:rPr>
                <w:rFonts w:cs="Calibri"/>
                <w:sz w:val="18"/>
                <w:szCs w:val="18"/>
                <w:lang w:eastAsia="en-AU"/>
              </w:rPr>
              <w:t>2.62</w:t>
            </w:r>
          </w:p>
        </w:tc>
        <w:tc>
          <w:tcPr>
            <w:tcW w:w="919"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b/>
                <w:bCs/>
                <w:sz w:val="18"/>
                <w:szCs w:val="18"/>
                <w:lang w:eastAsia="en-AU"/>
              </w:rPr>
            </w:pPr>
            <w:r w:rsidRPr="00A67C76">
              <w:rPr>
                <w:rFonts w:cs="Calibri"/>
                <w:b/>
                <w:bCs/>
                <w:sz w:val="18"/>
                <w:szCs w:val="18"/>
                <w:lang w:eastAsia="en-AU"/>
              </w:rPr>
              <w:t>0.003</w:t>
            </w: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573" w:type="dxa"/>
            <w:gridSpan w:val="2"/>
            <w:tcBorders>
              <w:top w:val="nil"/>
              <w:left w:val="nil"/>
              <w:bottom w:val="nil"/>
              <w:right w:val="nil"/>
            </w:tcBorders>
            <w:shd w:val="clear" w:color="auto" w:fill="auto"/>
            <w:noWrap/>
            <w:vAlign w:val="bottom"/>
            <w:hideMark/>
          </w:tcPr>
          <w:p w:rsidR="00AD3B7F" w:rsidRPr="00A67C76" w:rsidRDefault="00AD3B7F" w:rsidP="00F103A5">
            <w:pPr>
              <w:spacing w:line="240" w:lineRule="auto"/>
              <w:contextualSpacing/>
              <w:jc w:val="right"/>
              <w:rPr>
                <w:rFonts w:cs="Calibri"/>
                <w:sz w:val="18"/>
                <w:szCs w:val="18"/>
                <w:lang w:eastAsia="en-AU"/>
              </w:rPr>
            </w:pPr>
            <w:r w:rsidRPr="00A67C76">
              <w:rPr>
                <w:rFonts w:cs="Calibri"/>
                <w:sz w:val="18"/>
                <w:szCs w:val="18"/>
                <w:lang w:eastAsia="en-AU"/>
              </w:rPr>
              <w:t>2.77</w:t>
            </w:r>
          </w:p>
        </w:tc>
        <w:tc>
          <w:tcPr>
            <w:tcW w:w="919"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b/>
                <w:bCs/>
                <w:sz w:val="18"/>
                <w:szCs w:val="18"/>
                <w:lang w:eastAsia="en-AU"/>
              </w:rPr>
            </w:pPr>
            <w:r w:rsidRPr="00A67C76">
              <w:rPr>
                <w:rFonts w:cs="Calibri"/>
                <w:b/>
                <w:bCs/>
                <w:sz w:val="18"/>
                <w:szCs w:val="18"/>
                <w:lang w:eastAsia="en-AU"/>
              </w:rPr>
              <w:t>0.003</w:t>
            </w: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574" w:type="dxa"/>
            <w:gridSpan w:val="2"/>
            <w:tcBorders>
              <w:top w:val="nil"/>
              <w:left w:val="nil"/>
              <w:bottom w:val="nil"/>
              <w:right w:val="nil"/>
            </w:tcBorders>
            <w:shd w:val="clear" w:color="auto" w:fill="auto"/>
            <w:noWrap/>
            <w:vAlign w:val="bottom"/>
            <w:hideMark/>
          </w:tcPr>
          <w:p w:rsidR="00AD3B7F" w:rsidRPr="00A67C76" w:rsidRDefault="00AD3B7F" w:rsidP="00F103A5">
            <w:pPr>
              <w:spacing w:line="240" w:lineRule="auto"/>
              <w:contextualSpacing/>
              <w:jc w:val="right"/>
              <w:rPr>
                <w:rFonts w:cs="Calibri"/>
                <w:sz w:val="18"/>
                <w:szCs w:val="18"/>
                <w:lang w:eastAsia="en-AU"/>
              </w:rPr>
            </w:pPr>
            <w:r w:rsidRPr="00A67C76">
              <w:rPr>
                <w:rFonts w:cs="Calibri"/>
                <w:sz w:val="18"/>
                <w:szCs w:val="18"/>
                <w:lang w:eastAsia="en-AU"/>
              </w:rPr>
              <w:t>2.40</w:t>
            </w:r>
          </w:p>
        </w:tc>
        <w:tc>
          <w:tcPr>
            <w:tcW w:w="997"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b/>
                <w:bCs/>
                <w:sz w:val="18"/>
                <w:szCs w:val="18"/>
                <w:lang w:eastAsia="en-AU"/>
              </w:rPr>
            </w:pPr>
            <w:r w:rsidRPr="00A67C76">
              <w:rPr>
                <w:rFonts w:cs="Calibri"/>
                <w:b/>
                <w:bCs/>
                <w:sz w:val="18"/>
                <w:szCs w:val="18"/>
                <w:lang w:eastAsia="en-AU"/>
              </w:rPr>
              <w:t>0.006</w:t>
            </w:r>
          </w:p>
        </w:tc>
      </w:tr>
      <w:tr w:rsidR="00AD3B7F" w:rsidRPr="00A67C76" w:rsidTr="00F103A5">
        <w:trPr>
          <w:gridAfter w:val="1"/>
          <w:wAfter w:w="74" w:type="dxa"/>
          <w:trHeight w:val="20"/>
        </w:trPr>
        <w:tc>
          <w:tcPr>
            <w:tcW w:w="1149" w:type="dxa"/>
            <w:tcBorders>
              <w:top w:val="nil"/>
              <w:left w:val="nil"/>
              <w:bottom w:val="single" w:sz="4" w:space="0" w:color="auto"/>
              <w:right w:val="nil"/>
            </w:tcBorders>
            <w:shd w:val="clear" w:color="auto" w:fill="auto"/>
            <w:noWrap/>
            <w:vAlign w:val="bottom"/>
            <w:hideMark/>
          </w:tcPr>
          <w:p w:rsidR="00AD3B7F" w:rsidRPr="00A67C76" w:rsidRDefault="00FD328A" w:rsidP="000B3877">
            <w:pPr>
              <w:spacing w:line="240" w:lineRule="auto"/>
              <w:contextualSpacing/>
              <w:rPr>
                <w:rFonts w:cs="Calibri"/>
                <w:sz w:val="18"/>
                <w:szCs w:val="18"/>
                <w:lang w:eastAsia="en-AU"/>
              </w:rPr>
            </w:pPr>
            <w:r w:rsidRPr="00FD328A">
              <w:rPr>
                <w:rFonts w:cs="Calibri"/>
                <w:sz w:val="18"/>
                <w:szCs w:val="18"/>
                <w:lang w:eastAsia="en-AU"/>
              </w:rPr>
              <w:t>LK-6</w:t>
            </w:r>
            <w:r w:rsidR="00AD3B7F" w:rsidRPr="00A67C76">
              <w:rPr>
                <w:rFonts w:cs="Calibri"/>
                <w:sz w:val="18"/>
                <w:szCs w:val="18"/>
                <w:lang w:eastAsia="en-AU"/>
              </w:rPr>
              <w:t xml:space="preserve">, </w:t>
            </w:r>
            <w:r w:rsidRPr="00FD328A">
              <w:rPr>
                <w:rFonts w:cs="Calibri"/>
                <w:sz w:val="18"/>
                <w:szCs w:val="18"/>
                <w:lang w:eastAsia="en-AU"/>
              </w:rPr>
              <w:t>LK-6</w:t>
            </w:r>
            <w:r w:rsidR="00AD3B7F" w:rsidRPr="00A67C76">
              <w:rPr>
                <w:rFonts w:cs="Calibri"/>
                <w:sz w:val="18"/>
                <w:szCs w:val="18"/>
                <w:lang w:eastAsia="en-AU"/>
              </w:rPr>
              <w:t>A</w:t>
            </w:r>
          </w:p>
        </w:tc>
        <w:tc>
          <w:tcPr>
            <w:tcW w:w="567" w:type="dxa"/>
            <w:tcBorders>
              <w:top w:val="nil"/>
              <w:left w:val="nil"/>
              <w:bottom w:val="single" w:sz="4" w:space="0" w:color="auto"/>
              <w:right w:val="nil"/>
            </w:tcBorders>
            <w:shd w:val="clear" w:color="auto" w:fill="auto"/>
            <w:noWrap/>
            <w:vAlign w:val="bottom"/>
            <w:hideMark/>
          </w:tcPr>
          <w:p w:rsidR="00AD3B7F" w:rsidRPr="00A67C76" w:rsidRDefault="00AD3B7F" w:rsidP="00F103A5">
            <w:pPr>
              <w:spacing w:line="240" w:lineRule="auto"/>
              <w:contextualSpacing/>
              <w:jc w:val="right"/>
              <w:rPr>
                <w:rFonts w:cs="Calibri"/>
                <w:sz w:val="18"/>
                <w:szCs w:val="18"/>
                <w:lang w:eastAsia="en-AU"/>
              </w:rPr>
            </w:pPr>
            <w:r w:rsidRPr="00A67C76">
              <w:rPr>
                <w:rFonts w:cs="Calibri"/>
                <w:sz w:val="18"/>
                <w:szCs w:val="18"/>
                <w:lang w:eastAsia="en-AU"/>
              </w:rPr>
              <w:t>1.40</w:t>
            </w:r>
          </w:p>
        </w:tc>
        <w:tc>
          <w:tcPr>
            <w:tcW w:w="851" w:type="dxa"/>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jc w:val="right"/>
              <w:rPr>
                <w:rFonts w:cs="Calibri"/>
                <w:b/>
                <w:bCs/>
                <w:sz w:val="18"/>
                <w:szCs w:val="18"/>
                <w:lang w:eastAsia="en-AU"/>
              </w:rPr>
            </w:pPr>
            <w:r w:rsidRPr="00A67C76">
              <w:rPr>
                <w:rFonts w:cs="Calibri"/>
                <w:b/>
                <w:bCs/>
                <w:sz w:val="18"/>
                <w:szCs w:val="18"/>
                <w:lang w:eastAsia="en-AU"/>
              </w:rPr>
              <w:t>0.004</w:t>
            </w:r>
          </w:p>
        </w:tc>
        <w:tc>
          <w:tcPr>
            <w:tcW w:w="272" w:type="dxa"/>
            <w:gridSpan w:val="2"/>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r w:rsidRPr="00A67C76">
              <w:rPr>
                <w:rFonts w:cs="Calibri"/>
                <w:sz w:val="18"/>
                <w:szCs w:val="18"/>
                <w:lang w:eastAsia="en-AU"/>
              </w:rPr>
              <w:t> </w:t>
            </w:r>
          </w:p>
        </w:tc>
        <w:tc>
          <w:tcPr>
            <w:tcW w:w="652" w:type="dxa"/>
            <w:gridSpan w:val="2"/>
            <w:tcBorders>
              <w:top w:val="nil"/>
              <w:left w:val="nil"/>
              <w:bottom w:val="single" w:sz="4" w:space="0" w:color="auto"/>
              <w:right w:val="nil"/>
            </w:tcBorders>
            <w:shd w:val="clear" w:color="auto" w:fill="auto"/>
            <w:noWrap/>
            <w:vAlign w:val="bottom"/>
            <w:hideMark/>
          </w:tcPr>
          <w:p w:rsidR="00AD3B7F" w:rsidRPr="00A67C76" w:rsidRDefault="00AD3B7F" w:rsidP="00F103A5">
            <w:pPr>
              <w:spacing w:line="240" w:lineRule="auto"/>
              <w:contextualSpacing/>
              <w:jc w:val="right"/>
              <w:rPr>
                <w:rFonts w:cs="Calibri"/>
                <w:sz w:val="18"/>
                <w:szCs w:val="18"/>
                <w:lang w:eastAsia="en-AU"/>
              </w:rPr>
            </w:pPr>
            <w:r w:rsidRPr="00A67C76">
              <w:rPr>
                <w:rFonts w:cs="Calibri"/>
                <w:sz w:val="18"/>
                <w:szCs w:val="18"/>
                <w:lang w:eastAsia="en-AU"/>
              </w:rPr>
              <w:t>1.27</w:t>
            </w:r>
          </w:p>
        </w:tc>
        <w:tc>
          <w:tcPr>
            <w:tcW w:w="919" w:type="dxa"/>
            <w:gridSpan w:val="2"/>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18"/>
                <w:szCs w:val="18"/>
                <w:lang w:eastAsia="en-AU"/>
              </w:rPr>
            </w:pPr>
            <w:r w:rsidRPr="00A67C76">
              <w:rPr>
                <w:rFonts w:cs="Calibri"/>
                <w:sz w:val="18"/>
                <w:szCs w:val="18"/>
                <w:lang w:eastAsia="en-AU"/>
              </w:rPr>
              <w:t>0.075</w:t>
            </w:r>
          </w:p>
        </w:tc>
        <w:tc>
          <w:tcPr>
            <w:tcW w:w="272" w:type="dxa"/>
            <w:gridSpan w:val="2"/>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r w:rsidRPr="00A67C76">
              <w:rPr>
                <w:rFonts w:cs="Calibri"/>
                <w:sz w:val="18"/>
                <w:szCs w:val="18"/>
                <w:lang w:eastAsia="en-AU"/>
              </w:rPr>
              <w:t> </w:t>
            </w:r>
          </w:p>
        </w:tc>
        <w:tc>
          <w:tcPr>
            <w:tcW w:w="716" w:type="dxa"/>
            <w:gridSpan w:val="2"/>
            <w:tcBorders>
              <w:top w:val="nil"/>
              <w:left w:val="nil"/>
              <w:bottom w:val="single" w:sz="4" w:space="0" w:color="auto"/>
              <w:right w:val="nil"/>
            </w:tcBorders>
            <w:shd w:val="clear" w:color="auto" w:fill="auto"/>
            <w:noWrap/>
            <w:vAlign w:val="bottom"/>
            <w:hideMark/>
          </w:tcPr>
          <w:p w:rsidR="00AD3B7F" w:rsidRPr="00A67C76" w:rsidRDefault="00AD3B7F" w:rsidP="00F103A5">
            <w:pPr>
              <w:spacing w:line="240" w:lineRule="auto"/>
              <w:contextualSpacing/>
              <w:jc w:val="right"/>
              <w:rPr>
                <w:rFonts w:cs="Calibri"/>
                <w:sz w:val="18"/>
                <w:szCs w:val="18"/>
                <w:lang w:eastAsia="en-AU"/>
              </w:rPr>
            </w:pPr>
            <w:r w:rsidRPr="00A67C76">
              <w:rPr>
                <w:rFonts w:cs="Calibri"/>
                <w:sz w:val="18"/>
                <w:szCs w:val="18"/>
                <w:lang w:eastAsia="en-AU"/>
              </w:rPr>
              <w:t>0.98</w:t>
            </w:r>
          </w:p>
        </w:tc>
        <w:tc>
          <w:tcPr>
            <w:tcW w:w="919" w:type="dxa"/>
            <w:gridSpan w:val="2"/>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18"/>
                <w:szCs w:val="18"/>
                <w:lang w:eastAsia="en-AU"/>
              </w:rPr>
            </w:pPr>
            <w:r w:rsidRPr="00A67C76">
              <w:rPr>
                <w:rFonts w:cs="Calibri"/>
                <w:sz w:val="18"/>
                <w:szCs w:val="18"/>
                <w:lang w:eastAsia="en-AU"/>
              </w:rPr>
              <w:t>0.481</w:t>
            </w:r>
          </w:p>
        </w:tc>
        <w:tc>
          <w:tcPr>
            <w:tcW w:w="272" w:type="dxa"/>
            <w:gridSpan w:val="2"/>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r w:rsidRPr="00A67C76">
              <w:rPr>
                <w:rFonts w:cs="Calibri"/>
                <w:sz w:val="18"/>
                <w:szCs w:val="18"/>
                <w:lang w:eastAsia="en-AU"/>
              </w:rPr>
              <w:t> </w:t>
            </w:r>
          </w:p>
        </w:tc>
        <w:tc>
          <w:tcPr>
            <w:tcW w:w="573" w:type="dxa"/>
            <w:gridSpan w:val="2"/>
            <w:tcBorders>
              <w:top w:val="nil"/>
              <w:left w:val="nil"/>
              <w:bottom w:val="single" w:sz="4" w:space="0" w:color="auto"/>
              <w:right w:val="nil"/>
            </w:tcBorders>
            <w:shd w:val="clear" w:color="auto" w:fill="auto"/>
            <w:noWrap/>
            <w:vAlign w:val="bottom"/>
            <w:hideMark/>
          </w:tcPr>
          <w:p w:rsidR="00AD3B7F" w:rsidRPr="00A67C76" w:rsidRDefault="00AD3B7F" w:rsidP="00F103A5">
            <w:pPr>
              <w:spacing w:line="240" w:lineRule="auto"/>
              <w:contextualSpacing/>
              <w:jc w:val="right"/>
              <w:rPr>
                <w:rFonts w:cs="Calibri"/>
                <w:sz w:val="18"/>
                <w:szCs w:val="18"/>
                <w:lang w:eastAsia="en-AU"/>
              </w:rPr>
            </w:pPr>
            <w:r w:rsidRPr="00A67C76">
              <w:rPr>
                <w:rFonts w:cs="Calibri"/>
                <w:sz w:val="18"/>
                <w:szCs w:val="18"/>
                <w:lang w:eastAsia="en-AU"/>
              </w:rPr>
              <w:t>1.17</w:t>
            </w:r>
          </w:p>
        </w:tc>
        <w:tc>
          <w:tcPr>
            <w:tcW w:w="919" w:type="dxa"/>
            <w:gridSpan w:val="2"/>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18"/>
                <w:szCs w:val="18"/>
                <w:lang w:eastAsia="en-AU"/>
              </w:rPr>
            </w:pPr>
            <w:r w:rsidRPr="00A67C76">
              <w:rPr>
                <w:rFonts w:cs="Calibri"/>
                <w:sz w:val="18"/>
                <w:szCs w:val="18"/>
                <w:lang w:eastAsia="en-AU"/>
              </w:rPr>
              <w:t>0.143</w:t>
            </w:r>
          </w:p>
        </w:tc>
        <w:tc>
          <w:tcPr>
            <w:tcW w:w="272" w:type="dxa"/>
            <w:gridSpan w:val="2"/>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r w:rsidRPr="00A67C76">
              <w:rPr>
                <w:rFonts w:cs="Calibri"/>
                <w:sz w:val="18"/>
                <w:szCs w:val="18"/>
                <w:lang w:eastAsia="en-AU"/>
              </w:rPr>
              <w:t> </w:t>
            </w:r>
          </w:p>
        </w:tc>
        <w:tc>
          <w:tcPr>
            <w:tcW w:w="574" w:type="dxa"/>
            <w:gridSpan w:val="2"/>
            <w:tcBorders>
              <w:top w:val="nil"/>
              <w:left w:val="nil"/>
              <w:bottom w:val="single" w:sz="4" w:space="0" w:color="auto"/>
              <w:right w:val="nil"/>
            </w:tcBorders>
            <w:shd w:val="clear" w:color="auto" w:fill="auto"/>
            <w:noWrap/>
            <w:vAlign w:val="bottom"/>
            <w:hideMark/>
          </w:tcPr>
          <w:p w:rsidR="00AD3B7F" w:rsidRPr="00A67C76" w:rsidRDefault="00AD3B7F" w:rsidP="00F103A5">
            <w:pPr>
              <w:spacing w:line="240" w:lineRule="auto"/>
              <w:contextualSpacing/>
              <w:jc w:val="right"/>
              <w:rPr>
                <w:rFonts w:cs="Calibri"/>
                <w:sz w:val="18"/>
                <w:szCs w:val="18"/>
                <w:lang w:eastAsia="en-AU"/>
              </w:rPr>
            </w:pPr>
            <w:r w:rsidRPr="00A67C76">
              <w:rPr>
                <w:rFonts w:cs="Calibri"/>
                <w:sz w:val="18"/>
                <w:szCs w:val="18"/>
                <w:lang w:eastAsia="en-AU"/>
              </w:rPr>
              <w:t>1.33</w:t>
            </w:r>
          </w:p>
        </w:tc>
        <w:tc>
          <w:tcPr>
            <w:tcW w:w="997" w:type="dxa"/>
            <w:gridSpan w:val="2"/>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jc w:val="right"/>
              <w:rPr>
                <w:rFonts w:cs="Calibri"/>
                <w:b/>
                <w:bCs/>
                <w:sz w:val="18"/>
                <w:szCs w:val="18"/>
                <w:lang w:eastAsia="en-AU"/>
              </w:rPr>
            </w:pPr>
            <w:r w:rsidRPr="00A67C76">
              <w:rPr>
                <w:rFonts w:cs="Calibri"/>
                <w:b/>
                <w:bCs/>
                <w:sz w:val="18"/>
                <w:szCs w:val="18"/>
                <w:lang w:eastAsia="en-AU"/>
              </w:rPr>
              <w:t>0.026</w:t>
            </w:r>
          </w:p>
        </w:tc>
      </w:tr>
      <w:tr w:rsidR="00AD3B7F" w:rsidRPr="00A67C76" w:rsidTr="00F103A5">
        <w:trPr>
          <w:gridAfter w:val="1"/>
          <w:wAfter w:w="74" w:type="dxa"/>
          <w:trHeight w:val="20"/>
        </w:trPr>
        <w:tc>
          <w:tcPr>
            <w:tcW w:w="1149"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567"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851"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65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919"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716"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919"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573"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919"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574"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997"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r>
      <w:tr w:rsidR="00AD3B7F" w:rsidRPr="00A67C76" w:rsidTr="00F103A5">
        <w:trPr>
          <w:gridAfter w:val="1"/>
          <w:wAfter w:w="74" w:type="dxa"/>
          <w:trHeight w:val="20"/>
        </w:trPr>
        <w:tc>
          <w:tcPr>
            <w:tcW w:w="1149" w:type="dxa"/>
            <w:tcBorders>
              <w:top w:val="single" w:sz="4" w:space="0" w:color="auto"/>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rPr>
                <w:rFonts w:cs="Calibri"/>
                <w:b/>
                <w:sz w:val="18"/>
                <w:szCs w:val="18"/>
                <w:lang w:eastAsia="en-AU"/>
              </w:rPr>
            </w:pPr>
            <w:r w:rsidRPr="00A67C76">
              <w:rPr>
                <w:rFonts w:cs="Calibri"/>
                <w:b/>
                <w:sz w:val="18"/>
                <w:szCs w:val="18"/>
                <w:lang w:eastAsia="en-AU"/>
              </w:rPr>
              <w:t>Trip</w:t>
            </w:r>
          </w:p>
        </w:tc>
        <w:tc>
          <w:tcPr>
            <w:tcW w:w="1418" w:type="dxa"/>
            <w:gridSpan w:val="2"/>
            <w:tcBorders>
              <w:top w:val="single" w:sz="4" w:space="0" w:color="auto"/>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jc w:val="center"/>
              <w:rPr>
                <w:rFonts w:cs="Calibri"/>
                <w:b/>
                <w:sz w:val="18"/>
                <w:szCs w:val="18"/>
                <w:lang w:eastAsia="en-AU"/>
              </w:rPr>
            </w:pPr>
            <w:r w:rsidRPr="00A67C76">
              <w:rPr>
                <w:rFonts w:cs="Calibri"/>
                <w:b/>
                <w:sz w:val="18"/>
                <w:szCs w:val="18"/>
                <w:lang w:eastAsia="en-AU"/>
              </w:rPr>
              <w:t>6</w:t>
            </w:r>
          </w:p>
        </w:tc>
        <w:tc>
          <w:tcPr>
            <w:tcW w:w="272" w:type="dxa"/>
            <w:gridSpan w:val="2"/>
            <w:tcBorders>
              <w:top w:val="single" w:sz="4" w:space="0" w:color="auto"/>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rPr>
                <w:rFonts w:cs="Calibri"/>
                <w:b/>
                <w:sz w:val="18"/>
                <w:szCs w:val="18"/>
                <w:lang w:eastAsia="en-AU"/>
              </w:rPr>
            </w:pPr>
            <w:r w:rsidRPr="00A67C76">
              <w:rPr>
                <w:rFonts w:cs="Calibri"/>
                <w:b/>
                <w:sz w:val="18"/>
                <w:szCs w:val="18"/>
                <w:lang w:eastAsia="en-AU"/>
              </w:rPr>
              <w:t> </w:t>
            </w:r>
          </w:p>
        </w:tc>
        <w:tc>
          <w:tcPr>
            <w:tcW w:w="1571" w:type="dxa"/>
            <w:gridSpan w:val="4"/>
            <w:tcBorders>
              <w:top w:val="single" w:sz="4" w:space="0" w:color="auto"/>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jc w:val="center"/>
              <w:rPr>
                <w:rFonts w:cs="Calibri"/>
                <w:b/>
                <w:sz w:val="18"/>
                <w:szCs w:val="18"/>
                <w:lang w:eastAsia="en-AU"/>
              </w:rPr>
            </w:pPr>
            <w:r w:rsidRPr="00A67C76">
              <w:rPr>
                <w:rFonts w:cs="Calibri"/>
                <w:b/>
                <w:sz w:val="18"/>
                <w:szCs w:val="18"/>
                <w:lang w:eastAsia="en-AU"/>
              </w:rPr>
              <w:t>7</w:t>
            </w:r>
          </w:p>
        </w:tc>
        <w:tc>
          <w:tcPr>
            <w:tcW w:w="272" w:type="dxa"/>
            <w:gridSpan w:val="2"/>
            <w:tcBorders>
              <w:top w:val="single" w:sz="4" w:space="0" w:color="auto"/>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rPr>
                <w:rFonts w:cs="Calibri"/>
                <w:b/>
                <w:sz w:val="18"/>
                <w:szCs w:val="18"/>
                <w:lang w:eastAsia="en-AU"/>
              </w:rPr>
            </w:pPr>
            <w:r w:rsidRPr="00A67C76">
              <w:rPr>
                <w:rFonts w:cs="Calibri"/>
                <w:b/>
                <w:sz w:val="18"/>
                <w:szCs w:val="18"/>
                <w:lang w:eastAsia="en-AU"/>
              </w:rPr>
              <w:t> </w:t>
            </w:r>
          </w:p>
        </w:tc>
        <w:tc>
          <w:tcPr>
            <w:tcW w:w="1635" w:type="dxa"/>
            <w:gridSpan w:val="4"/>
            <w:tcBorders>
              <w:top w:val="single" w:sz="4" w:space="0" w:color="auto"/>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jc w:val="center"/>
              <w:rPr>
                <w:rFonts w:cs="Calibri"/>
                <w:b/>
                <w:sz w:val="18"/>
                <w:szCs w:val="18"/>
                <w:lang w:eastAsia="en-AU"/>
              </w:rPr>
            </w:pPr>
            <w:r w:rsidRPr="00A67C76">
              <w:rPr>
                <w:rFonts w:cs="Calibri"/>
                <w:b/>
                <w:sz w:val="18"/>
                <w:szCs w:val="18"/>
                <w:lang w:eastAsia="en-AU"/>
              </w:rPr>
              <w:t>8</w:t>
            </w:r>
          </w:p>
        </w:tc>
        <w:tc>
          <w:tcPr>
            <w:tcW w:w="272" w:type="dxa"/>
            <w:gridSpan w:val="2"/>
            <w:tcBorders>
              <w:top w:val="single" w:sz="4" w:space="0" w:color="auto"/>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rPr>
                <w:rFonts w:cs="Calibri"/>
                <w:b/>
                <w:sz w:val="18"/>
                <w:szCs w:val="18"/>
                <w:lang w:eastAsia="en-AU"/>
              </w:rPr>
            </w:pPr>
            <w:r w:rsidRPr="00A67C76">
              <w:rPr>
                <w:rFonts w:cs="Calibri"/>
                <w:b/>
                <w:sz w:val="18"/>
                <w:szCs w:val="18"/>
                <w:lang w:eastAsia="en-AU"/>
              </w:rPr>
              <w:t> </w:t>
            </w:r>
          </w:p>
        </w:tc>
        <w:tc>
          <w:tcPr>
            <w:tcW w:w="1492" w:type="dxa"/>
            <w:gridSpan w:val="4"/>
            <w:tcBorders>
              <w:top w:val="single" w:sz="4" w:space="0" w:color="auto"/>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jc w:val="center"/>
              <w:rPr>
                <w:rFonts w:cs="Calibri"/>
                <w:b/>
                <w:sz w:val="18"/>
                <w:szCs w:val="18"/>
                <w:lang w:eastAsia="en-AU"/>
              </w:rPr>
            </w:pPr>
            <w:r w:rsidRPr="00A67C76">
              <w:rPr>
                <w:rFonts w:cs="Calibri"/>
                <w:b/>
                <w:sz w:val="18"/>
                <w:szCs w:val="18"/>
                <w:lang w:eastAsia="en-AU"/>
              </w:rPr>
              <w:t>9</w:t>
            </w:r>
          </w:p>
        </w:tc>
        <w:tc>
          <w:tcPr>
            <w:tcW w:w="272" w:type="dxa"/>
            <w:gridSpan w:val="2"/>
            <w:tcBorders>
              <w:top w:val="single" w:sz="4" w:space="0" w:color="auto"/>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rPr>
                <w:rFonts w:cs="Calibri"/>
                <w:b/>
                <w:sz w:val="18"/>
                <w:szCs w:val="18"/>
                <w:lang w:eastAsia="en-AU"/>
              </w:rPr>
            </w:pPr>
            <w:r w:rsidRPr="00A67C76">
              <w:rPr>
                <w:rFonts w:cs="Calibri"/>
                <w:b/>
                <w:sz w:val="18"/>
                <w:szCs w:val="18"/>
                <w:lang w:eastAsia="en-AU"/>
              </w:rPr>
              <w:t> </w:t>
            </w:r>
          </w:p>
        </w:tc>
        <w:tc>
          <w:tcPr>
            <w:tcW w:w="1571" w:type="dxa"/>
            <w:gridSpan w:val="4"/>
            <w:tcBorders>
              <w:top w:val="single" w:sz="4" w:space="0" w:color="auto"/>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jc w:val="center"/>
              <w:rPr>
                <w:rFonts w:cs="Calibri"/>
                <w:b/>
                <w:sz w:val="18"/>
                <w:szCs w:val="18"/>
                <w:lang w:eastAsia="en-AU"/>
              </w:rPr>
            </w:pPr>
            <w:r w:rsidRPr="00A67C76">
              <w:rPr>
                <w:rFonts w:cs="Calibri"/>
                <w:b/>
                <w:sz w:val="18"/>
                <w:szCs w:val="18"/>
                <w:lang w:eastAsia="en-AU"/>
              </w:rPr>
              <w:t>10</w:t>
            </w:r>
          </w:p>
        </w:tc>
      </w:tr>
      <w:tr w:rsidR="00AD3B7F" w:rsidRPr="00A67C76" w:rsidTr="00F103A5">
        <w:trPr>
          <w:gridAfter w:val="1"/>
          <w:wAfter w:w="74" w:type="dxa"/>
          <w:trHeight w:val="20"/>
        </w:trPr>
        <w:tc>
          <w:tcPr>
            <w:tcW w:w="1149"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567"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851"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65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919"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716"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919"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573"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919"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574"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997"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r>
      <w:tr w:rsidR="00AD3B7F" w:rsidRPr="00A67C76" w:rsidTr="00F103A5">
        <w:trPr>
          <w:gridAfter w:val="1"/>
          <w:wAfter w:w="74" w:type="dxa"/>
          <w:trHeight w:val="20"/>
        </w:trPr>
        <w:tc>
          <w:tcPr>
            <w:tcW w:w="1149"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r w:rsidRPr="00A67C76">
              <w:rPr>
                <w:rFonts w:cs="Calibri"/>
                <w:sz w:val="18"/>
                <w:szCs w:val="18"/>
                <w:lang w:eastAsia="en-AU"/>
              </w:rPr>
              <w:t>Sites</w:t>
            </w:r>
          </w:p>
        </w:tc>
        <w:tc>
          <w:tcPr>
            <w:tcW w:w="567" w:type="dxa"/>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r w:rsidRPr="00A67C76">
              <w:rPr>
                <w:rFonts w:cs="Calibri"/>
                <w:sz w:val="18"/>
                <w:szCs w:val="18"/>
                <w:lang w:eastAsia="en-AU"/>
              </w:rPr>
              <w:t xml:space="preserve">     t</w:t>
            </w:r>
          </w:p>
        </w:tc>
        <w:tc>
          <w:tcPr>
            <w:tcW w:w="851" w:type="dxa"/>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jc w:val="center"/>
              <w:rPr>
                <w:rFonts w:cs="Calibri"/>
                <w:sz w:val="18"/>
                <w:szCs w:val="18"/>
                <w:lang w:eastAsia="en-AU"/>
              </w:rPr>
            </w:pPr>
            <w:r w:rsidRPr="00A67C76">
              <w:rPr>
                <w:rFonts w:cs="Calibri"/>
                <w:sz w:val="18"/>
                <w:szCs w:val="18"/>
                <w:lang w:eastAsia="en-AU"/>
              </w:rPr>
              <w:t>P(perm)</w:t>
            </w: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center"/>
              <w:rPr>
                <w:rFonts w:cs="Calibri"/>
                <w:sz w:val="18"/>
                <w:szCs w:val="18"/>
                <w:lang w:eastAsia="en-AU"/>
              </w:rPr>
            </w:pPr>
          </w:p>
        </w:tc>
        <w:tc>
          <w:tcPr>
            <w:tcW w:w="652" w:type="dxa"/>
            <w:gridSpan w:val="2"/>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r w:rsidRPr="00A67C76">
              <w:rPr>
                <w:rFonts w:cs="Calibri"/>
                <w:sz w:val="18"/>
                <w:szCs w:val="18"/>
                <w:lang w:eastAsia="en-AU"/>
              </w:rPr>
              <w:t xml:space="preserve">      t</w:t>
            </w:r>
          </w:p>
        </w:tc>
        <w:tc>
          <w:tcPr>
            <w:tcW w:w="919" w:type="dxa"/>
            <w:gridSpan w:val="2"/>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jc w:val="center"/>
              <w:rPr>
                <w:rFonts w:cs="Calibri"/>
                <w:sz w:val="18"/>
                <w:szCs w:val="18"/>
                <w:lang w:eastAsia="en-AU"/>
              </w:rPr>
            </w:pPr>
            <w:r w:rsidRPr="00A67C76">
              <w:rPr>
                <w:rFonts w:cs="Calibri"/>
                <w:sz w:val="18"/>
                <w:szCs w:val="18"/>
                <w:lang w:eastAsia="en-AU"/>
              </w:rPr>
              <w:t>P(perm)</w:t>
            </w: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center"/>
              <w:rPr>
                <w:rFonts w:cs="Calibri"/>
                <w:sz w:val="18"/>
                <w:szCs w:val="18"/>
                <w:lang w:eastAsia="en-AU"/>
              </w:rPr>
            </w:pPr>
          </w:p>
        </w:tc>
        <w:tc>
          <w:tcPr>
            <w:tcW w:w="716" w:type="dxa"/>
            <w:gridSpan w:val="2"/>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r w:rsidRPr="00A67C76">
              <w:rPr>
                <w:rFonts w:cs="Calibri"/>
                <w:sz w:val="18"/>
                <w:szCs w:val="18"/>
                <w:lang w:eastAsia="en-AU"/>
              </w:rPr>
              <w:t xml:space="preserve">     t</w:t>
            </w:r>
          </w:p>
        </w:tc>
        <w:tc>
          <w:tcPr>
            <w:tcW w:w="919" w:type="dxa"/>
            <w:gridSpan w:val="2"/>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jc w:val="center"/>
              <w:rPr>
                <w:rFonts w:cs="Calibri"/>
                <w:sz w:val="18"/>
                <w:szCs w:val="18"/>
                <w:lang w:eastAsia="en-AU"/>
              </w:rPr>
            </w:pPr>
            <w:r w:rsidRPr="00A67C76">
              <w:rPr>
                <w:rFonts w:cs="Calibri"/>
                <w:sz w:val="18"/>
                <w:szCs w:val="18"/>
                <w:lang w:eastAsia="en-AU"/>
              </w:rPr>
              <w:t>P(perm)</w:t>
            </w: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center"/>
              <w:rPr>
                <w:rFonts w:cs="Calibri"/>
                <w:sz w:val="18"/>
                <w:szCs w:val="18"/>
                <w:lang w:eastAsia="en-AU"/>
              </w:rPr>
            </w:pPr>
          </w:p>
        </w:tc>
        <w:tc>
          <w:tcPr>
            <w:tcW w:w="573" w:type="dxa"/>
            <w:gridSpan w:val="2"/>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r w:rsidRPr="00A67C76">
              <w:rPr>
                <w:rFonts w:cs="Calibri"/>
                <w:sz w:val="18"/>
                <w:szCs w:val="18"/>
                <w:lang w:eastAsia="en-AU"/>
              </w:rPr>
              <w:t xml:space="preserve">     t</w:t>
            </w:r>
          </w:p>
        </w:tc>
        <w:tc>
          <w:tcPr>
            <w:tcW w:w="919" w:type="dxa"/>
            <w:gridSpan w:val="2"/>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jc w:val="center"/>
              <w:rPr>
                <w:rFonts w:cs="Calibri"/>
                <w:sz w:val="18"/>
                <w:szCs w:val="18"/>
                <w:lang w:eastAsia="en-AU"/>
              </w:rPr>
            </w:pPr>
            <w:r w:rsidRPr="00A67C76">
              <w:rPr>
                <w:rFonts w:cs="Calibri"/>
                <w:sz w:val="18"/>
                <w:szCs w:val="18"/>
                <w:lang w:eastAsia="en-AU"/>
              </w:rPr>
              <w:t>P(perm)</w:t>
            </w: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center"/>
              <w:rPr>
                <w:rFonts w:cs="Calibri"/>
                <w:sz w:val="18"/>
                <w:szCs w:val="18"/>
                <w:lang w:eastAsia="en-AU"/>
              </w:rPr>
            </w:pPr>
          </w:p>
        </w:tc>
        <w:tc>
          <w:tcPr>
            <w:tcW w:w="574" w:type="dxa"/>
            <w:gridSpan w:val="2"/>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r w:rsidRPr="00A67C76">
              <w:rPr>
                <w:rFonts w:cs="Calibri"/>
                <w:sz w:val="18"/>
                <w:szCs w:val="18"/>
                <w:lang w:eastAsia="en-AU"/>
              </w:rPr>
              <w:t xml:space="preserve">     t</w:t>
            </w:r>
          </w:p>
        </w:tc>
        <w:tc>
          <w:tcPr>
            <w:tcW w:w="997" w:type="dxa"/>
            <w:gridSpan w:val="2"/>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jc w:val="center"/>
              <w:rPr>
                <w:rFonts w:cs="Calibri"/>
                <w:sz w:val="18"/>
                <w:szCs w:val="18"/>
                <w:lang w:eastAsia="en-AU"/>
              </w:rPr>
            </w:pPr>
            <w:r w:rsidRPr="00A67C76">
              <w:rPr>
                <w:rFonts w:cs="Calibri"/>
                <w:sz w:val="18"/>
                <w:szCs w:val="18"/>
                <w:lang w:eastAsia="en-AU"/>
              </w:rPr>
              <w:t>P(perm)</w:t>
            </w:r>
          </w:p>
        </w:tc>
      </w:tr>
      <w:tr w:rsidR="00AD3B7F" w:rsidRPr="00A67C76" w:rsidTr="00F103A5">
        <w:trPr>
          <w:gridAfter w:val="1"/>
          <w:wAfter w:w="74" w:type="dxa"/>
          <w:trHeight w:val="20"/>
        </w:trPr>
        <w:tc>
          <w:tcPr>
            <w:tcW w:w="1149" w:type="dxa"/>
            <w:tcBorders>
              <w:top w:val="nil"/>
              <w:left w:val="nil"/>
              <w:bottom w:val="nil"/>
              <w:right w:val="nil"/>
            </w:tcBorders>
            <w:shd w:val="clear" w:color="auto" w:fill="auto"/>
            <w:noWrap/>
            <w:vAlign w:val="bottom"/>
            <w:hideMark/>
          </w:tcPr>
          <w:p w:rsidR="00AD3B7F" w:rsidRPr="00A67C76" w:rsidRDefault="00FD328A" w:rsidP="000B3877">
            <w:pPr>
              <w:spacing w:line="240" w:lineRule="auto"/>
              <w:contextualSpacing/>
              <w:rPr>
                <w:rFonts w:cs="Calibri"/>
                <w:sz w:val="18"/>
                <w:szCs w:val="18"/>
                <w:lang w:eastAsia="en-AU"/>
              </w:rPr>
            </w:pPr>
            <w:r w:rsidRPr="00FD328A">
              <w:rPr>
                <w:rFonts w:cs="Calibri"/>
                <w:sz w:val="18"/>
                <w:szCs w:val="18"/>
                <w:lang w:eastAsia="en-AU"/>
              </w:rPr>
              <w:t>LK-1</w:t>
            </w:r>
            <w:r w:rsidR="00AD3B7F" w:rsidRPr="00A67C76">
              <w:rPr>
                <w:rFonts w:cs="Calibri"/>
                <w:sz w:val="18"/>
                <w:szCs w:val="18"/>
                <w:lang w:eastAsia="en-AU"/>
              </w:rPr>
              <w:t xml:space="preserve">, </w:t>
            </w:r>
            <w:r w:rsidRPr="00FD328A">
              <w:rPr>
                <w:rFonts w:cs="Calibri"/>
                <w:sz w:val="18"/>
                <w:szCs w:val="18"/>
                <w:lang w:eastAsia="en-AU"/>
              </w:rPr>
              <w:t>LK-6</w:t>
            </w:r>
          </w:p>
        </w:tc>
        <w:tc>
          <w:tcPr>
            <w:tcW w:w="567" w:type="dxa"/>
            <w:tcBorders>
              <w:top w:val="nil"/>
              <w:left w:val="nil"/>
              <w:bottom w:val="nil"/>
              <w:right w:val="nil"/>
            </w:tcBorders>
            <w:shd w:val="clear" w:color="auto" w:fill="auto"/>
            <w:noWrap/>
            <w:vAlign w:val="bottom"/>
            <w:hideMark/>
          </w:tcPr>
          <w:p w:rsidR="00AD3B7F" w:rsidRPr="00A67C76" w:rsidRDefault="00AD3B7F" w:rsidP="00F103A5">
            <w:pPr>
              <w:spacing w:line="240" w:lineRule="auto"/>
              <w:contextualSpacing/>
              <w:jc w:val="right"/>
              <w:rPr>
                <w:rFonts w:cs="Calibri"/>
                <w:sz w:val="18"/>
                <w:szCs w:val="18"/>
                <w:lang w:eastAsia="en-AU"/>
              </w:rPr>
            </w:pPr>
            <w:r w:rsidRPr="00A67C76">
              <w:rPr>
                <w:rFonts w:cs="Calibri"/>
                <w:sz w:val="18"/>
                <w:szCs w:val="18"/>
                <w:lang w:eastAsia="en-AU"/>
              </w:rPr>
              <w:t>2.46</w:t>
            </w:r>
          </w:p>
        </w:tc>
        <w:tc>
          <w:tcPr>
            <w:tcW w:w="851"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b/>
                <w:bCs/>
                <w:sz w:val="18"/>
                <w:szCs w:val="18"/>
                <w:lang w:eastAsia="en-AU"/>
              </w:rPr>
            </w:pPr>
            <w:r w:rsidRPr="00A67C76">
              <w:rPr>
                <w:rFonts w:cs="Calibri"/>
                <w:b/>
                <w:bCs/>
                <w:sz w:val="18"/>
                <w:szCs w:val="18"/>
                <w:lang w:eastAsia="en-AU"/>
              </w:rPr>
              <w:t>0.002</w:t>
            </w: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652" w:type="dxa"/>
            <w:gridSpan w:val="2"/>
            <w:tcBorders>
              <w:top w:val="nil"/>
              <w:left w:val="nil"/>
              <w:bottom w:val="nil"/>
              <w:right w:val="nil"/>
            </w:tcBorders>
            <w:shd w:val="clear" w:color="auto" w:fill="auto"/>
            <w:noWrap/>
            <w:vAlign w:val="bottom"/>
            <w:hideMark/>
          </w:tcPr>
          <w:p w:rsidR="00AD3B7F" w:rsidRPr="00A67C76" w:rsidRDefault="00AD3B7F" w:rsidP="00F103A5">
            <w:pPr>
              <w:spacing w:line="240" w:lineRule="auto"/>
              <w:contextualSpacing/>
              <w:jc w:val="right"/>
              <w:rPr>
                <w:rFonts w:cs="Calibri"/>
                <w:sz w:val="18"/>
                <w:szCs w:val="18"/>
                <w:lang w:eastAsia="en-AU"/>
              </w:rPr>
            </w:pPr>
            <w:r w:rsidRPr="00A67C76">
              <w:rPr>
                <w:rFonts w:cs="Calibri"/>
                <w:sz w:val="18"/>
                <w:szCs w:val="18"/>
                <w:lang w:eastAsia="en-AU"/>
              </w:rPr>
              <w:t>2.68</w:t>
            </w:r>
          </w:p>
        </w:tc>
        <w:tc>
          <w:tcPr>
            <w:tcW w:w="919"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b/>
                <w:bCs/>
                <w:sz w:val="18"/>
                <w:szCs w:val="18"/>
                <w:lang w:eastAsia="en-AU"/>
              </w:rPr>
            </w:pPr>
            <w:r w:rsidRPr="00A67C76">
              <w:rPr>
                <w:rFonts w:cs="Calibri"/>
                <w:b/>
                <w:bCs/>
                <w:sz w:val="18"/>
                <w:szCs w:val="18"/>
                <w:lang w:eastAsia="en-AU"/>
              </w:rPr>
              <w:t>0.001</w:t>
            </w: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716" w:type="dxa"/>
            <w:gridSpan w:val="2"/>
            <w:tcBorders>
              <w:top w:val="nil"/>
              <w:left w:val="nil"/>
              <w:bottom w:val="nil"/>
              <w:right w:val="nil"/>
            </w:tcBorders>
            <w:shd w:val="clear" w:color="auto" w:fill="auto"/>
            <w:noWrap/>
            <w:vAlign w:val="bottom"/>
            <w:hideMark/>
          </w:tcPr>
          <w:p w:rsidR="00AD3B7F" w:rsidRPr="00A67C76" w:rsidRDefault="00AD3B7F" w:rsidP="00F103A5">
            <w:pPr>
              <w:spacing w:line="240" w:lineRule="auto"/>
              <w:contextualSpacing/>
              <w:jc w:val="right"/>
              <w:rPr>
                <w:rFonts w:cs="Calibri"/>
                <w:sz w:val="18"/>
                <w:szCs w:val="18"/>
                <w:lang w:eastAsia="en-AU"/>
              </w:rPr>
            </w:pPr>
            <w:r w:rsidRPr="00A67C76">
              <w:rPr>
                <w:rFonts w:cs="Calibri"/>
                <w:sz w:val="18"/>
                <w:szCs w:val="18"/>
                <w:lang w:eastAsia="en-AU"/>
              </w:rPr>
              <w:t>3.75</w:t>
            </w:r>
          </w:p>
        </w:tc>
        <w:tc>
          <w:tcPr>
            <w:tcW w:w="919"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b/>
                <w:bCs/>
                <w:sz w:val="18"/>
                <w:szCs w:val="18"/>
                <w:lang w:eastAsia="en-AU"/>
              </w:rPr>
            </w:pPr>
            <w:r w:rsidRPr="00A67C76">
              <w:rPr>
                <w:rFonts w:cs="Calibri"/>
                <w:b/>
                <w:bCs/>
                <w:sz w:val="18"/>
                <w:szCs w:val="18"/>
                <w:lang w:eastAsia="en-AU"/>
              </w:rPr>
              <w:t>0.004</w:t>
            </w: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573" w:type="dxa"/>
            <w:gridSpan w:val="2"/>
            <w:tcBorders>
              <w:top w:val="nil"/>
              <w:left w:val="nil"/>
              <w:bottom w:val="nil"/>
              <w:right w:val="nil"/>
            </w:tcBorders>
            <w:shd w:val="clear" w:color="auto" w:fill="auto"/>
            <w:noWrap/>
            <w:vAlign w:val="bottom"/>
            <w:hideMark/>
          </w:tcPr>
          <w:p w:rsidR="00AD3B7F" w:rsidRPr="00A67C76" w:rsidRDefault="00AD3B7F" w:rsidP="00F103A5">
            <w:pPr>
              <w:spacing w:line="240" w:lineRule="auto"/>
              <w:contextualSpacing/>
              <w:jc w:val="right"/>
              <w:rPr>
                <w:rFonts w:cs="Calibri"/>
                <w:sz w:val="18"/>
                <w:szCs w:val="18"/>
                <w:lang w:eastAsia="en-AU"/>
              </w:rPr>
            </w:pPr>
            <w:r w:rsidRPr="00A67C76">
              <w:rPr>
                <w:rFonts w:cs="Calibri"/>
                <w:sz w:val="18"/>
                <w:szCs w:val="18"/>
                <w:lang w:eastAsia="en-AU"/>
              </w:rPr>
              <w:t>4.17</w:t>
            </w:r>
          </w:p>
        </w:tc>
        <w:tc>
          <w:tcPr>
            <w:tcW w:w="919"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b/>
                <w:bCs/>
                <w:sz w:val="18"/>
                <w:szCs w:val="18"/>
                <w:lang w:eastAsia="en-AU"/>
              </w:rPr>
            </w:pPr>
            <w:r w:rsidRPr="00A67C76">
              <w:rPr>
                <w:rFonts w:cs="Calibri"/>
                <w:b/>
                <w:bCs/>
                <w:sz w:val="18"/>
                <w:szCs w:val="18"/>
                <w:lang w:eastAsia="en-AU"/>
              </w:rPr>
              <w:t>0.007</w:t>
            </w: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574" w:type="dxa"/>
            <w:gridSpan w:val="2"/>
            <w:tcBorders>
              <w:top w:val="nil"/>
              <w:left w:val="nil"/>
              <w:bottom w:val="nil"/>
              <w:right w:val="nil"/>
            </w:tcBorders>
            <w:shd w:val="clear" w:color="auto" w:fill="auto"/>
            <w:noWrap/>
            <w:vAlign w:val="bottom"/>
            <w:hideMark/>
          </w:tcPr>
          <w:p w:rsidR="00AD3B7F" w:rsidRPr="00A67C76" w:rsidRDefault="00AD3B7F" w:rsidP="00F103A5">
            <w:pPr>
              <w:spacing w:line="240" w:lineRule="auto"/>
              <w:contextualSpacing/>
              <w:jc w:val="right"/>
              <w:rPr>
                <w:rFonts w:cs="Calibri"/>
                <w:sz w:val="18"/>
                <w:szCs w:val="18"/>
                <w:lang w:eastAsia="en-AU"/>
              </w:rPr>
            </w:pPr>
            <w:r w:rsidRPr="00A67C76">
              <w:rPr>
                <w:rFonts w:cs="Calibri"/>
                <w:sz w:val="18"/>
                <w:szCs w:val="18"/>
                <w:lang w:eastAsia="en-AU"/>
              </w:rPr>
              <w:t>2.65</w:t>
            </w:r>
          </w:p>
        </w:tc>
        <w:tc>
          <w:tcPr>
            <w:tcW w:w="997"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b/>
                <w:bCs/>
                <w:sz w:val="18"/>
                <w:szCs w:val="18"/>
                <w:lang w:eastAsia="en-AU"/>
              </w:rPr>
            </w:pPr>
            <w:r w:rsidRPr="00A67C76">
              <w:rPr>
                <w:rFonts w:cs="Calibri"/>
                <w:b/>
                <w:bCs/>
                <w:sz w:val="18"/>
                <w:szCs w:val="18"/>
                <w:lang w:eastAsia="en-AU"/>
              </w:rPr>
              <w:t>0.004</w:t>
            </w:r>
          </w:p>
        </w:tc>
      </w:tr>
      <w:tr w:rsidR="00AD3B7F" w:rsidRPr="00A67C76" w:rsidTr="00F103A5">
        <w:trPr>
          <w:gridAfter w:val="1"/>
          <w:wAfter w:w="74" w:type="dxa"/>
          <w:trHeight w:val="20"/>
        </w:trPr>
        <w:tc>
          <w:tcPr>
            <w:tcW w:w="1149" w:type="dxa"/>
            <w:tcBorders>
              <w:top w:val="nil"/>
              <w:left w:val="nil"/>
              <w:bottom w:val="nil"/>
              <w:right w:val="nil"/>
            </w:tcBorders>
            <w:shd w:val="clear" w:color="auto" w:fill="auto"/>
            <w:noWrap/>
            <w:vAlign w:val="bottom"/>
            <w:hideMark/>
          </w:tcPr>
          <w:p w:rsidR="00AD3B7F" w:rsidRPr="00A67C76" w:rsidRDefault="00FD328A" w:rsidP="000B3877">
            <w:pPr>
              <w:spacing w:line="240" w:lineRule="auto"/>
              <w:contextualSpacing/>
              <w:rPr>
                <w:rFonts w:cs="Calibri"/>
                <w:sz w:val="18"/>
                <w:szCs w:val="18"/>
                <w:lang w:eastAsia="en-AU"/>
              </w:rPr>
            </w:pPr>
            <w:r w:rsidRPr="00FD328A">
              <w:rPr>
                <w:rFonts w:cs="Calibri"/>
                <w:sz w:val="18"/>
                <w:szCs w:val="18"/>
                <w:lang w:eastAsia="en-AU"/>
              </w:rPr>
              <w:t>LK-1</w:t>
            </w:r>
            <w:r w:rsidR="00AD3B7F" w:rsidRPr="00A67C76">
              <w:rPr>
                <w:rFonts w:cs="Calibri"/>
                <w:sz w:val="18"/>
                <w:szCs w:val="18"/>
                <w:lang w:eastAsia="en-AU"/>
              </w:rPr>
              <w:t xml:space="preserve">, </w:t>
            </w:r>
            <w:r w:rsidRPr="00FD328A">
              <w:rPr>
                <w:rFonts w:cs="Calibri"/>
                <w:sz w:val="18"/>
                <w:szCs w:val="18"/>
                <w:lang w:eastAsia="en-AU"/>
              </w:rPr>
              <w:t>LK-6</w:t>
            </w:r>
            <w:r w:rsidR="00AD3B7F" w:rsidRPr="00A67C76">
              <w:rPr>
                <w:rFonts w:cs="Calibri"/>
                <w:sz w:val="18"/>
                <w:szCs w:val="18"/>
                <w:lang w:eastAsia="en-AU"/>
              </w:rPr>
              <w:t>A</w:t>
            </w:r>
          </w:p>
        </w:tc>
        <w:tc>
          <w:tcPr>
            <w:tcW w:w="567" w:type="dxa"/>
            <w:tcBorders>
              <w:top w:val="nil"/>
              <w:left w:val="nil"/>
              <w:bottom w:val="nil"/>
              <w:right w:val="nil"/>
            </w:tcBorders>
            <w:shd w:val="clear" w:color="auto" w:fill="auto"/>
            <w:noWrap/>
            <w:vAlign w:val="bottom"/>
            <w:hideMark/>
          </w:tcPr>
          <w:p w:rsidR="00AD3B7F" w:rsidRPr="00A67C76" w:rsidRDefault="00AD3B7F" w:rsidP="00F103A5">
            <w:pPr>
              <w:spacing w:line="240" w:lineRule="auto"/>
              <w:contextualSpacing/>
              <w:jc w:val="right"/>
              <w:rPr>
                <w:rFonts w:cs="Calibri"/>
                <w:sz w:val="18"/>
                <w:szCs w:val="18"/>
                <w:lang w:eastAsia="en-AU"/>
              </w:rPr>
            </w:pPr>
            <w:r w:rsidRPr="00A67C76">
              <w:rPr>
                <w:rFonts w:cs="Calibri"/>
                <w:sz w:val="18"/>
                <w:szCs w:val="18"/>
                <w:lang w:eastAsia="en-AU"/>
              </w:rPr>
              <w:t>2.73</w:t>
            </w:r>
          </w:p>
        </w:tc>
        <w:tc>
          <w:tcPr>
            <w:tcW w:w="851" w:type="dxa"/>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b/>
                <w:bCs/>
                <w:sz w:val="18"/>
                <w:szCs w:val="18"/>
                <w:lang w:eastAsia="en-AU"/>
              </w:rPr>
            </w:pPr>
            <w:r w:rsidRPr="00A67C76">
              <w:rPr>
                <w:rFonts w:cs="Calibri"/>
                <w:b/>
                <w:bCs/>
                <w:sz w:val="18"/>
                <w:szCs w:val="18"/>
                <w:lang w:eastAsia="en-AU"/>
              </w:rPr>
              <w:t>0.001</w:t>
            </w: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652" w:type="dxa"/>
            <w:gridSpan w:val="2"/>
            <w:tcBorders>
              <w:top w:val="nil"/>
              <w:left w:val="nil"/>
              <w:bottom w:val="nil"/>
              <w:right w:val="nil"/>
            </w:tcBorders>
            <w:shd w:val="clear" w:color="auto" w:fill="auto"/>
            <w:noWrap/>
            <w:vAlign w:val="bottom"/>
            <w:hideMark/>
          </w:tcPr>
          <w:p w:rsidR="00AD3B7F" w:rsidRPr="00A67C76" w:rsidRDefault="00AD3B7F" w:rsidP="00F103A5">
            <w:pPr>
              <w:spacing w:line="240" w:lineRule="auto"/>
              <w:contextualSpacing/>
              <w:jc w:val="right"/>
              <w:rPr>
                <w:rFonts w:cs="Calibri"/>
                <w:sz w:val="18"/>
                <w:szCs w:val="18"/>
                <w:lang w:eastAsia="en-AU"/>
              </w:rPr>
            </w:pPr>
            <w:r w:rsidRPr="00A67C76">
              <w:rPr>
                <w:rFonts w:cs="Calibri"/>
                <w:sz w:val="18"/>
                <w:szCs w:val="18"/>
                <w:lang w:eastAsia="en-AU"/>
              </w:rPr>
              <w:t>3.11</w:t>
            </w:r>
          </w:p>
        </w:tc>
        <w:tc>
          <w:tcPr>
            <w:tcW w:w="919"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b/>
                <w:bCs/>
                <w:sz w:val="18"/>
                <w:szCs w:val="18"/>
                <w:lang w:eastAsia="en-AU"/>
              </w:rPr>
            </w:pPr>
            <w:r w:rsidRPr="00A67C76">
              <w:rPr>
                <w:rFonts w:cs="Calibri"/>
                <w:b/>
                <w:bCs/>
                <w:sz w:val="18"/>
                <w:szCs w:val="18"/>
                <w:lang w:eastAsia="en-AU"/>
              </w:rPr>
              <w:t>0.003</w:t>
            </w: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716" w:type="dxa"/>
            <w:gridSpan w:val="2"/>
            <w:tcBorders>
              <w:top w:val="nil"/>
              <w:left w:val="nil"/>
              <w:bottom w:val="nil"/>
              <w:right w:val="nil"/>
            </w:tcBorders>
            <w:shd w:val="clear" w:color="auto" w:fill="auto"/>
            <w:noWrap/>
            <w:vAlign w:val="bottom"/>
            <w:hideMark/>
          </w:tcPr>
          <w:p w:rsidR="00AD3B7F" w:rsidRPr="00A67C76" w:rsidRDefault="00AD3B7F" w:rsidP="00F103A5">
            <w:pPr>
              <w:spacing w:line="240" w:lineRule="auto"/>
              <w:contextualSpacing/>
              <w:jc w:val="right"/>
              <w:rPr>
                <w:rFonts w:cs="Calibri"/>
                <w:sz w:val="18"/>
                <w:szCs w:val="18"/>
                <w:lang w:eastAsia="en-AU"/>
              </w:rPr>
            </w:pPr>
            <w:r w:rsidRPr="00A67C76">
              <w:rPr>
                <w:rFonts w:cs="Calibri"/>
                <w:sz w:val="18"/>
                <w:szCs w:val="18"/>
                <w:lang w:eastAsia="en-AU"/>
              </w:rPr>
              <w:t>4.11</w:t>
            </w:r>
          </w:p>
        </w:tc>
        <w:tc>
          <w:tcPr>
            <w:tcW w:w="919"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b/>
                <w:bCs/>
                <w:sz w:val="18"/>
                <w:szCs w:val="18"/>
                <w:lang w:eastAsia="en-AU"/>
              </w:rPr>
            </w:pPr>
            <w:r w:rsidRPr="00A67C76">
              <w:rPr>
                <w:rFonts w:cs="Calibri"/>
                <w:b/>
                <w:bCs/>
                <w:sz w:val="18"/>
                <w:szCs w:val="18"/>
                <w:lang w:eastAsia="en-AU"/>
              </w:rPr>
              <w:t>0.001</w:t>
            </w: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573" w:type="dxa"/>
            <w:gridSpan w:val="2"/>
            <w:tcBorders>
              <w:top w:val="nil"/>
              <w:left w:val="nil"/>
              <w:bottom w:val="nil"/>
              <w:right w:val="nil"/>
            </w:tcBorders>
            <w:shd w:val="clear" w:color="auto" w:fill="auto"/>
            <w:noWrap/>
            <w:vAlign w:val="bottom"/>
            <w:hideMark/>
          </w:tcPr>
          <w:p w:rsidR="00AD3B7F" w:rsidRPr="00A67C76" w:rsidRDefault="00AD3B7F" w:rsidP="00F103A5">
            <w:pPr>
              <w:spacing w:line="240" w:lineRule="auto"/>
              <w:contextualSpacing/>
              <w:jc w:val="right"/>
              <w:rPr>
                <w:rFonts w:cs="Calibri"/>
                <w:sz w:val="18"/>
                <w:szCs w:val="18"/>
                <w:lang w:eastAsia="en-AU"/>
              </w:rPr>
            </w:pPr>
            <w:r w:rsidRPr="00A67C76">
              <w:rPr>
                <w:rFonts w:cs="Calibri"/>
                <w:sz w:val="18"/>
                <w:szCs w:val="18"/>
                <w:lang w:eastAsia="en-AU"/>
              </w:rPr>
              <w:t>3.73</w:t>
            </w:r>
          </w:p>
        </w:tc>
        <w:tc>
          <w:tcPr>
            <w:tcW w:w="919"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b/>
                <w:bCs/>
                <w:sz w:val="18"/>
                <w:szCs w:val="18"/>
                <w:lang w:eastAsia="en-AU"/>
              </w:rPr>
            </w:pPr>
            <w:r w:rsidRPr="00A67C76">
              <w:rPr>
                <w:rFonts w:cs="Calibri"/>
                <w:b/>
                <w:bCs/>
                <w:sz w:val="18"/>
                <w:szCs w:val="18"/>
                <w:lang w:eastAsia="en-AU"/>
              </w:rPr>
              <w:t>0.002</w:t>
            </w:r>
          </w:p>
        </w:tc>
        <w:tc>
          <w:tcPr>
            <w:tcW w:w="272"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p>
        </w:tc>
        <w:tc>
          <w:tcPr>
            <w:tcW w:w="574" w:type="dxa"/>
            <w:gridSpan w:val="2"/>
            <w:tcBorders>
              <w:top w:val="nil"/>
              <w:left w:val="nil"/>
              <w:bottom w:val="nil"/>
              <w:right w:val="nil"/>
            </w:tcBorders>
            <w:shd w:val="clear" w:color="auto" w:fill="auto"/>
            <w:noWrap/>
            <w:vAlign w:val="bottom"/>
            <w:hideMark/>
          </w:tcPr>
          <w:p w:rsidR="00AD3B7F" w:rsidRPr="00A67C76" w:rsidRDefault="00AD3B7F" w:rsidP="00F103A5">
            <w:pPr>
              <w:spacing w:line="240" w:lineRule="auto"/>
              <w:contextualSpacing/>
              <w:jc w:val="right"/>
              <w:rPr>
                <w:rFonts w:cs="Calibri"/>
                <w:sz w:val="18"/>
                <w:szCs w:val="18"/>
                <w:lang w:eastAsia="en-AU"/>
              </w:rPr>
            </w:pPr>
            <w:r w:rsidRPr="00A67C76">
              <w:rPr>
                <w:rFonts w:cs="Calibri"/>
                <w:sz w:val="18"/>
                <w:szCs w:val="18"/>
                <w:lang w:eastAsia="en-AU"/>
              </w:rPr>
              <w:t>2.85</w:t>
            </w:r>
          </w:p>
        </w:tc>
        <w:tc>
          <w:tcPr>
            <w:tcW w:w="997" w:type="dxa"/>
            <w:gridSpan w:val="2"/>
            <w:tcBorders>
              <w:top w:val="nil"/>
              <w:left w:val="nil"/>
              <w:bottom w:val="nil"/>
              <w:right w:val="nil"/>
            </w:tcBorders>
            <w:shd w:val="clear" w:color="auto" w:fill="auto"/>
            <w:noWrap/>
            <w:vAlign w:val="bottom"/>
            <w:hideMark/>
          </w:tcPr>
          <w:p w:rsidR="00AD3B7F" w:rsidRPr="00A67C76" w:rsidRDefault="00AD3B7F" w:rsidP="000B3877">
            <w:pPr>
              <w:spacing w:line="240" w:lineRule="auto"/>
              <w:contextualSpacing/>
              <w:jc w:val="right"/>
              <w:rPr>
                <w:rFonts w:cs="Calibri"/>
                <w:b/>
                <w:bCs/>
                <w:sz w:val="18"/>
                <w:szCs w:val="18"/>
                <w:lang w:eastAsia="en-AU"/>
              </w:rPr>
            </w:pPr>
            <w:r w:rsidRPr="00A67C76">
              <w:rPr>
                <w:rFonts w:cs="Calibri"/>
                <w:b/>
                <w:bCs/>
                <w:sz w:val="18"/>
                <w:szCs w:val="18"/>
                <w:lang w:eastAsia="en-AU"/>
              </w:rPr>
              <w:t>0.004</w:t>
            </w:r>
          </w:p>
        </w:tc>
      </w:tr>
      <w:tr w:rsidR="00AD3B7F" w:rsidRPr="00A67C76" w:rsidTr="00F103A5">
        <w:trPr>
          <w:gridAfter w:val="1"/>
          <w:wAfter w:w="74" w:type="dxa"/>
          <w:trHeight w:val="20"/>
        </w:trPr>
        <w:tc>
          <w:tcPr>
            <w:tcW w:w="1149" w:type="dxa"/>
            <w:tcBorders>
              <w:top w:val="nil"/>
              <w:left w:val="nil"/>
              <w:bottom w:val="single" w:sz="4" w:space="0" w:color="auto"/>
              <w:right w:val="nil"/>
            </w:tcBorders>
            <w:shd w:val="clear" w:color="auto" w:fill="auto"/>
            <w:noWrap/>
            <w:vAlign w:val="bottom"/>
            <w:hideMark/>
          </w:tcPr>
          <w:p w:rsidR="00AD3B7F" w:rsidRPr="00A67C76" w:rsidRDefault="00FD328A" w:rsidP="000B3877">
            <w:pPr>
              <w:spacing w:line="240" w:lineRule="auto"/>
              <w:contextualSpacing/>
              <w:rPr>
                <w:rFonts w:cs="Calibri"/>
                <w:sz w:val="18"/>
                <w:szCs w:val="18"/>
                <w:lang w:eastAsia="en-AU"/>
              </w:rPr>
            </w:pPr>
            <w:r w:rsidRPr="00FD328A">
              <w:rPr>
                <w:rFonts w:cs="Calibri"/>
                <w:sz w:val="18"/>
                <w:szCs w:val="18"/>
                <w:lang w:eastAsia="en-AU"/>
              </w:rPr>
              <w:t>LK-6</w:t>
            </w:r>
            <w:r w:rsidR="00AD3B7F" w:rsidRPr="00A67C76">
              <w:rPr>
                <w:rFonts w:cs="Calibri"/>
                <w:sz w:val="18"/>
                <w:szCs w:val="18"/>
                <w:lang w:eastAsia="en-AU"/>
              </w:rPr>
              <w:t xml:space="preserve">, </w:t>
            </w:r>
            <w:r w:rsidRPr="00FD328A">
              <w:rPr>
                <w:rFonts w:cs="Calibri"/>
                <w:sz w:val="18"/>
                <w:szCs w:val="18"/>
                <w:lang w:eastAsia="en-AU"/>
              </w:rPr>
              <w:t>LK-6</w:t>
            </w:r>
            <w:r w:rsidR="00AD3B7F" w:rsidRPr="00A67C76">
              <w:rPr>
                <w:rFonts w:cs="Calibri"/>
                <w:sz w:val="18"/>
                <w:szCs w:val="18"/>
                <w:lang w:eastAsia="en-AU"/>
              </w:rPr>
              <w:t>A</w:t>
            </w:r>
          </w:p>
        </w:tc>
        <w:tc>
          <w:tcPr>
            <w:tcW w:w="567" w:type="dxa"/>
            <w:tcBorders>
              <w:top w:val="nil"/>
              <w:left w:val="nil"/>
              <w:bottom w:val="single" w:sz="4" w:space="0" w:color="auto"/>
              <w:right w:val="nil"/>
            </w:tcBorders>
            <w:shd w:val="clear" w:color="auto" w:fill="auto"/>
            <w:noWrap/>
            <w:vAlign w:val="bottom"/>
            <w:hideMark/>
          </w:tcPr>
          <w:p w:rsidR="00AD3B7F" w:rsidRPr="00A67C76" w:rsidRDefault="00AD3B7F" w:rsidP="00F103A5">
            <w:pPr>
              <w:spacing w:line="240" w:lineRule="auto"/>
              <w:contextualSpacing/>
              <w:jc w:val="right"/>
              <w:rPr>
                <w:rFonts w:cs="Calibri"/>
                <w:sz w:val="18"/>
                <w:szCs w:val="18"/>
                <w:lang w:eastAsia="en-AU"/>
              </w:rPr>
            </w:pPr>
            <w:r w:rsidRPr="00A67C76">
              <w:rPr>
                <w:rFonts w:cs="Calibri"/>
                <w:sz w:val="18"/>
                <w:szCs w:val="18"/>
                <w:lang w:eastAsia="en-AU"/>
              </w:rPr>
              <w:t>1.22</w:t>
            </w:r>
          </w:p>
        </w:tc>
        <w:tc>
          <w:tcPr>
            <w:tcW w:w="851" w:type="dxa"/>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18"/>
                <w:szCs w:val="18"/>
                <w:lang w:eastAsia="en-AU"/>
              </w:rPr>
            </w:pPr>
            <w:r w:rsidRPr="00A67C76">
              <w:rPr>
                <w:rFonts w:cs="Calibri"/>
                <w:sz w:val="18"/>
                <w:szCs w:val="18"/>
                <w:lang w:eastAsia="en-AU"/>
              </w:rPr>
              <w:t>0.081</w:t>
            </w:r>
          </w:p>
        </w:tc>
        <w:tc>
          <w:tcPr>
            <w:tcW w:w="272" w:type="dxa"/>
            <w:gridSpan w:val="2"/>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r w:rsidRPr="00A67C76">
              <w:rPr>
                <w:rFonts w:cs="Calibri"/>
                <w:sz w:val="18"/>
                <w:szCs w:val="18"/>
                <w:lang w:eastAsia="en-AU"/>
              </w:rPr>
              <w:t> </w:t>
            </w:r>
          </w:p>
        </w:tc>
        <w:tc>
          <w:tcPr>
            <w:tcW w:w="652" w:type="dxa"/>
            <w:gridSpan w:val="2"/>
            <w:tcBorders>
              <w:top w:val="nil"/>
              <w:left w:val="nil"/>
              <w:bottom w:val="single" w:sz="4" w:space="0" w:color="auto"/>
              <w:right w:val="nil"/>
            </w:tcBorders>
            <w:shd w:val="clear" w:color="auto" w:fill="auto"/>
            <w:noWrap/>
            <w:vAlign w:val="bottom"/>
            <w:hideMark/>
          </w:tcPr>
          <w:p w:rsidR="00AD3B7F" w:rsidRPr="00A67C76" w:rsidRDefault="00AD3B7F" w:rsidP="00F103A5">
            <w:pPr>
              <w:spacing w:line="240" w:lineRule="auto"/>
              <w:contextualSpacing/>
              <w:jc w:val="right"/>
              <w:rPr>
                <w:rFonts w:cs="Calibri"/>
                <w:sz w:val="18"/>
                <w:szCs w:val="18"/>
                <w:lang w:eastAsia="en-AU"/>
              </w:rPr>
            </w:pPr>
            <w:r w:rsidRPr="00A67C76">
              <w:rPr>
                <w:rFonts w:cs="Calibri"/>
                <w:sz w:val="18"/>
                <w:szCs w:val="18"/>
                <w:lang w:eastAsia="en-AU"/>
              </w:rPr>
              <w:t>0.97</w:t>
            </w:r>
          </w:p>
        </w:tc>
        <w:tc>
          <w:tcPr>
            <w:tcW w:w="919" w:type="dxa"/>
            <w:gridSpan w:val="2"/>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18"/>
                <w:szCs w:val="18"/>
                <w:lang w:eastAsia="en-AU"/>
              </w:rPr>
            </w:pPr>
            <w:r w:rsidRPr="00A67C76">
              <w:rPr>
                <w:rFonts w:cs="Calibri"/>
                <w:sz w:val="18"/>
                <w:szCs w:val="18"/>
                <w:lang w:eastAsia="en-AU"/>
              </w:rPr>
              <w:t>0.516</w:t>
            </w:r>
          </w:p>
        </w:tc>
        <w:tc>
          <w:tcPr>
            <w:tcW w:w="272" w:type="dxa"/>
            <w:gridSpan w:val="2"/>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r w:rsidRPr="00A67C76">
              <w:rPr>
                <w:rFonts w:cs="Calibri"/>
                <w:sz w:val="18"/>
                <w:szCs w:val="18"/>
                <w:lang w:eastAsia="en-AU"/>
              </w:rPr>
              <w:t> </w:t>
            </w:r>
          </w:p>
        </w:tc>
        <w:tc>
          <w:tcPr>
            <w:tcW w:w="716" w:type="dxa"/>
            <w:gridSpan w:val="2"/>
            <w:tcBorders>
              <w:top w:val="nil"/>
              <w:left w:val="nil"/>
              <w:bottom w:val="single" w:sz="4" w:space="0" w:color="auto"/>
              <w:right w:val="nil"/>
            </w:tcBorders>
            <w:shd w:val="clear" w:color="auto" w:fill="auto"/>
            <w:noWrap/>
            <w:vAlign w:val="bottom"/>
            <w:hideMark/>
          </w:tcPr>
          <w:p w:rsidR="00AD3B7F" w:rsidRPr="00A67C76" w:rsidRDefault="00AD3B7F" w:rsidP="00F103A5">
            <w:pPr>
              <w:spacing w:line="240" w:lineRule="auto"/>
              <w:contextualSpacing/>
              <w:jc w:val="right"/>
              <w:rPr>
                <w:rFonts w:cs="Calibri"/>
                <w:sz w:val="18"/>
                <w:szCs w:val="18"/>
                <w:lang w:eastAsia="en-AU"/>
              </w:rPr>
            </w:pPr>
            <w:r w:rsidRPr="00A67C76">
              <w:rPr>
                <w:rFonts w:cs="Calibri"/>
                <w:sz w:val="18"/>
                <w:szCs w:val="18"/>
                <w:lang w:eastAsia="en-AU"/>
              </w:rPr>
              <w:t>1.28</w:t>
            </w:r>
          </w:p>
        </w:tc>
        <w:tc>
          <w:tcPr>
            <w:tcW w:w="919" w:type="dxa"/>
            <w:gridSpan w:val="2"/>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jc w:val="right"/>
              <w:rPr>
                <w:rFonts w:cs="Calibri"/>
                <w:sz w:val="18"/>
                <w:szCs w:val="18"/>
                <w:lang w:eastAsia="en-AU"/>
              </w:rPr>
            </w:pPr>
            <w:r w:rsidRPr="00A67C76">
              <w:rPr>
                <w:rFonts w:cs="Calibri"/>
                <w:sz w:val="18"/>
                <w:szCs w:val="18"/>
                <w:lang w:eastAsia="en-AU"/>
              </w:rPr>
              <w:t>0.084</w:t>
            </w:r>
          </w:p>
        </w:tc>
        <w:tc>
          <w:tcPr>
            <w:tcW w:w="272" w:type="dxa"/>
            <w:gridSpan w:val="2"/>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r w:rsidRPr="00A67C76">
              <w:rPr>
                <w:rFonts w:cs="Calibri"/>
                <w:sz w:val="18"/>
                <w:szCs w:val="18"/>
                <w:lang w:eastAsia="en-AU"/>
              </w:rPr>
              <w:t> </w:t>
            </w:r>
          </w:p>
        </w:tc>
        <w:tc>
          <w:tcPr>
            <w:tcW w:w="573" w:type="dxa"/>
            <w:gridSpan w:val="2"/>
            <w:tcBorders>
              <w:top w:val="nil"/>
              <w:left w:val="nil"/>
              <w:bottom w:val="single" w:sz="4" w:space="0" w:color="auto"/>
              <w:right w:val="nil"/>
            </w:tcBorders>
            <w:shd w:val="clear" w:color="auto" w:fill="auto"/>
            <w:noWrap/>
            <w:vAlign w:val="bottom"/>
            <w:hideMark/>
          </w:tcPr>
          <w:p w:rsidR="00AD3B7F" w:rsidRPr="00A67C76" w:rsidRDefault="00AD3B7F" w:rsidP="00F103A5">
            <w:pPr>
              <w:spacing w:line="240" w:lineRule="auto"/>
              <w:contextualSpacing/>
              <w:jc w:val="right"/>
              <w:rPr>
                <w:rFonts w:cs="Calibri"/>
                <w:sz w:val="18"/>
                <w:szCs w:val="18"/>
                <w:lang w:eastAsia="en-AU"/>
              </w:rPr>
            </w:pPr>
            <w:r w:rsidRPr="00A67C76">
              <w:rPr>
                <w:rFonts w:cs="Calibri"/>
                <w:sz w:val="18"/>
                <w:szCs w:val="18"/>
                <w:lang w:eastAsia="en-AU"/>
              </w:rPr>
              <w:t>1.70</w:t>
            </w:r>
          </w:p>
        </w:tc>
        <w:tc>
          <w:tcPr>
            <w:tcW w:w="919" w:type="dxa"/>
            <w:gridSpan w:val="2"/>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jc w:val="right"/>
              <w:rPr>
                <w:rFonts w:cs="Calibri"/>
                <w:b/>
                <w:bCs/>
                <w:sz w:val="18"/>
                <w:szCs w:val="18"/>
                <w:lang w:eastAsia="en-AU"/>
              </w:rPr>
            </w:pPr>
            <w:r w:rsidRPr="00A67C76">
              <w:rPr>
                <w:rFonts w:cs="Calibri"/>
                <w:b/>
                <w:bCs/>
                <w:sz w:val="18"/>
                <w:szCs w:val="18"/>
                <w:lang w:eastAsia="en-AU"/>
              </w:rPr>
              <w:t>0.003</w:t>
            </w:r>
          </w:p>
        </w:tc>
        <w:tc>
          <w:tcPr>
            <w:tcW w:w="272" w:type="dxa"/>
            <w:gridSpan w:val="2"/>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rPr>
                <w:rFonts w:cs="Calibri"/>
                <w:sz w:val="18"/>
                <w:szCs w:val="18"/>
                <w:lang w:eastAsia="en-AU"/>
              </w:rPr>
            </w:pPr>
            <w:r w:rsidRPr="00A67C76">
              <w:rPr>
                <w:rFonts w:cs="Calibri"/>
                <w:sz w:val="18"/>
                <w:szCs w:val="18"/>
                <w:lang w:eastAsia="en-AU"/>
              </w:rPr>
              <w:t> </w:t>
            </w:r>
          </w:p>
        </w:tc>
        <w:tc>
          <w:tcPr>
            <w:tcW w:w="574" w:type="dxa"/>
            <w:gridSpan w:val="2"/>
            <w:tcBorders>
              <w:top w:val="nil"/>
              <w:left w:val="nil"/>
              <w:bottom w:val="single" w:sz="4" w:space="0" w:color="auto"/>
              <w:right w:val="nil"/>
            </w:tcBorders>
            <w:shd w:val="clear" w:color="auto" w:fill="auto"/>
            <w:noWrap/>
            <w:vAlign w:val="bottom"/>
            <w:hideMark/>
          </w:tcPr>
          <w:p w:rsidR="00AD3B7F" w:rsidRPr="00A67C76" w:rsidRDefault="00AD3B7F" w:rsidP="00F103A5">
            <w:pPr>
              <w:spacing w:line="240" w:lineRule="auto"/>
              <w:contextualSpacing/>
              <w:jc w:val="right"/>
              <w:rPr>
                <w:rFonts w:cs="Calibri"/>
                <w:sz w:val="18"/>
                <w:szCs w:val="18"/>
                <w:lang w:eastAsia="en-AU"/>
              </w:rPr>
            </w:pPr>
            <w:r w:rsidRPr="00A67C76">
              <w:rPr>
                <w:rFonts w:cs="Calibri"/>
                <w:sz w:val="18"/>
                <w:szCs w:val="18"/>
                <w:lang w:eastAsia="en-AU"/>
              </w:rPr>
              <w:t>1.53</w:t>
            </w:r>
          </w:p>
        </w:tc>
        <w:tc>
          <w:tcPr>
            <w:tcW w:w="997" w:type="dxa"/>
            <w:gridSpan w:val="2"/>
            <w:tcBorders>
              <w:top w:val="nil"/>
              <w:left w:val="nil"/>
              <w:bottom w:val="single" w:sz="4" w:space="0" w:color="auto"/>
              <w:right w:val="nil"/>
            </w:tcBorders>
            <w:shd w:val="clear" w:color="auto" w:fill="auto"/>
            <w:noWrap/>
            <w:vAlign w:val="bottom"/>
            <w:hideMark/>
          </w:tcPr>
          <w:p w:rsidR="00AD3B7F" w:rsidRPr="00A67C76" w:rsidRDefault="00AD3B7F" w:rsidP="000B3877">
            <w:pPr>
              <w:spacing w:line="240" w:lineRule="auto"/>
              <w:contextualSpacing/>
              <w:jc w:val="right"/>
              <w:rPr>
                <w:rFonts w:cs="Calibri"/>
                <w:b/>
                <w:bCs/>
                <w:sz w:val="18"/>
                <w:szCs w:val="18"/>
                <w:lang w:eastAsia="en-AU"/>
              </w:rPr>
            </w:pPr>
            <w:r w:rsidRPr="00A67C76">
              <w:rPr>
                <w:rFonts w:cs="Calibri"/>
                <w:b/>
                <w:bCs/>
                <w:sz w:val="18"/>
                <w:szCs w:val="18"/>
                <w:lang w:eastAsia="en-AU"/>
              </w:rPr>
              <w:t>0.011</w:t>
            </w:r>
          </w:p>
        </w:tc>
      </w:tr>
    </w:tbl>
    <w:p w:rsidR="00EF09B5" w:rsidRDefault="00EF09B5" w:rsidP="009E401F">
      <w:pPr>
        <w:pStyle w:val="Caption"/>
      </w:pPr>
      <w:bookmarkStart w:id="236" w:name="_Ref387841361"/>
      <w:bookmarkStart w:id="237" w:name="_Ref381791706"/>
    </w:p>
    <w:p w:rsidR="00EF09B5" w:rsidRDefault="00EF09B5">
      <w:pPr>
        <w:spacing w:before="0" w:after="200" w:line="276" w:lineRule="auto"/>
        <w:rPr>
          <w:b/>
          <w:bCs/>
          <w:color w:val="auto"/>
          <w:sz w:val="20"/>
          <w:szCs w:val="18"/>
        </w:rPr>
      </w:pPr>
      <w:r>
        <w:br w:type="page"/>
      </w:r>
    </w:p>
    <w:p w:rsidR="000549C3" w:rsidRPr="00A67C76" w:rsidRDefault="009E401F" w:rsidP="009E401F">
      <w:pPr>
        <w:pStyle w:val="Caption"/>
      </w:pPr>
      <w:proofErr w:type="gramStart"/>
      <w:r w:rsidRPr="00A67C76">
        <w:t xml:space="preserve">Appendix </w:t>
      </w:r>
      <w:proofErr w:type="gramEnd"/>
      <w:r w:rsidR="002E6077" w:rsidRPr="00A67C76">
        <w:fldChar w:fldCharType="begin"/>
      </w:r>
      <w:r w:rsidR="00621CBB" w:rsidRPr="00A67C76">
        <w:instrText xml:space="preserve"> SEQ Appendix \* ROMAN </w:instrText>
      </w:r>
      <w:r w:rsidR="002E6077" w:rsidRPr="00A67C76">
        <w:fldChar w:fldCharType="separate"/>
      </w:r>
      <w:r w:rsidR="009659F2">
        <w:rPr>
          <w:noProof/>
        </w:rPr>
        <w:t>V</w:t>
      </w:r>
      <w:r w:rsidR="002E6077" w:rsidRPr="00A67C76">
        <w:rPr>
          <w:noProof/>
        </w:rPr>
        <w:fldChar w:fldCharType="end"/>
      </w:r>
      <w:bookmarkEnd w:id="236"/>
      <w:proofErr w:type="gramStart"/>
      <w:r w:rsidR="00B96C04" w:rsidRPr="00A67C76">
        <w:t>.</w:t>
      </w:r>
      <w:proofErr w:type="gramEnd"/>
      <w:r w:rsidR="000549C3" w:rsidRPr="00A67C76">
        <w:t xml:space="preserve"> </w:t>
      </w:r>
      <w:r w:rsidR="00B96C04" w:rsidRPr="00A67C76">
        <w:t>Results of the two-factor PERMANOVAs for a) Overland Corner and b) Kroehns, comparing fish assemblages (4th root transformed) between flow phases and direction of fish movement (e.g. in or out of wetlands from the main channel) in the Lower Murray River in 2012</w:t>
      </w:r>
      <w:r w:rsidR="008F40EC" w:rsidRPr="00A67C76">
        <w:t>-</w:t>
      </w:r>
      <w:r w:rsidR="00B96C04" w:rsidRPr="00A67C76">
        <w:t>13. Bold p values are significant.</w:t>
      </w:r>
    </w:p>
    <w:p w:rsidR="00B96C04" w:rsidRPr="00A67C76" w:rsidRDefault="00B96C04" w:rsidP="00807938">
      <w:pPr>
        <w:pStyle w:val="ListParagraph"/>
        <w:numPr>
          <w:ilvl w:val="0"/>
          <w:numId w:val="14"/>
        </w:numPr>
      </w:pPr>
      <w:r w:rsidRPr="00A67C76">
        <w:t>Overland Corner – Floodplain region</w:t>
      </w:r>
    </w:p>
    <w:tbl>
      <w:tblPr>
        <w:tblStyle w:val="TableGrid"/>
        <w:tblW w:w="6768" w:type="dxa"/>
        <w:jc w:val="center"/>
        <w:tblInd w:w="2802" w:type="dxa"/>
        <w:tblBorders>
          <w:left w:val="none" w:sz="0" w:space="0" w:color="auto"/>
          <w:right w:val="none" w:sz="0" w:space="0" w:color="auto"/>
          <w:insideV w:val="none" w:sz="0" w:space="0" w:color="auto"/>
        </w:tblBorders>
        <w:tblLayout w:type="fixed"/>
        <w:tblLook w:val="04A0"/>
      </w:tblPr>
      <w:tblGrid>
        <w:gridCol w:w="2418"/>
        <w:gridCol w:w="558"/>
        <w:gridCol w:w="1418"/>
        <w:gridCol w:w="1276"/>
        <w:gridCol w:w="1098"/>
      </w:tblGrid>
      <w:tr w:rsidR="00B96C04" w:rsidRPr="00A67C76" w:rsidTr="00AD6162">
        <w:trPr>
          <w:jc w:val="center"/>
        </w:trPr>
        <w:tc>
          <w:tcPr>
            <w:tcW w:w="2418" w:type="dxa"/>
            <w:tcBorders>
              <w:top w:val="single" w:sz="4" w:space="0" w:color="auto"/>
              <w:left w:val="nil"/>
              <w:bottom w:val="single" w:sz="4" w:space="0" w:color="auto"/>
              <w:right w:val="nil"/>
            </w:tcBorders>
            <w:hideMark/>
          </w:tcPr>
          <w:p w:rsidR="00B96C04" w:rsidRPr="00A67C76" w:rsidRDefault="00B96C04" w:rsidP="000B3877">
            <w:pPr>
              <w:spacing w:line="240" w:lineRule="auto"/>
              <w:contextualSpacing/>
              <w:jc w:val="both"/>
              <w:rPr>
                <w:rFonts w:ascii="Garamond" w:hAnsi="Garamond"/>
                <w:b/>
                <w:sz w:val="20"/>
                <w:lang w:eastAsia="en-AU"/>
              </w:rPr>
            </w:pPr>
            <w:r w:rsidRPr="00A67C76">
              <w:rPr>
                <w:b/>
                <w:sz w:val="20"/>
                <w:lang w:eastAsia="en-AU"/>
              </w:rPr>
              <w:t>Source</w:t>
            </w:r>
          </w:p>
        </w:tc>
        <w:tc>
          <w:tcPr>
            <w:tcW w:w="558" w:type="dxa"/>
            <w:tcBorders>
              <w:top w:val="single" w:sz="4" w:space="0" w:color="auto"/>
              <w:left w:val="nil"/>
              <w:bottom w:val="single" w:sz="4" w:space="0" w:color="auto"/>
              <w:right w:val="nil"/>
            </w:tcBorders>
            <w:hideMark/>
          </w:tcPr>
          <w:p w:rsidR="00B96C04" w:rsidRPr="00A67C76" w:rsidRDefault="00B96C04" w:rsidP="000B3877">
            <w:pPr>
              <w:spacing w:line="240" w:lineRule="auto"/>
              <w:contextualSpacing/>
              <w:jc w:val="center"/>
              <w:rPr>
                <w:rFonts w:ascii="Garamond" w:hAnsi="Garamond"/>
                <w:b/>
                <w:sz w:val="20"/>
                <w:lang w:eastAsia="en-AU"/>
              </w:rPr>
            </w:pPr>
            <w:r w:rsidRPr="00A67C76">
              <w:rPr>
                <w:b/>
                <w:sz w:val="20"/>
                <w:lang w:eastAsia="en-AU"/>
              </w:rPr>
              <w:t>df</w:t>
            </w:r>
          </w:p>
        </w:tc>
        <w:tc>
          <w:tcPr>
            <w:tcW w:w="1418" w:type="dxa"/>
            <w:tcBorders>
              <w:top w:val="single" w:sz="4" w:space="0" w:color="auto"/>
              <w:left w:val="nil"/>
              <w:bottom w:val="single" w:sz="4" w:space="0" w:color="auto"/>
              <w:right w:val="nil"/>
            </w:tcBorders>
            <w:hideMark/>
          </w:tcPr>
          <w:p w:rsidR="00B96C04" w:rsidRPr="00A67C76" w:rsidRDefault="00B96C04" w:rsidP="000B3877">
            <w:pPr>
              <w:spacing w:line="240" w:lineRule="auto"/>
              <w:contextualSpacing/>
              <w:jc w:val="center"/>
              <w:rPr>
                <w:rFonts w:ascii="Garamond" w:hAnsi="Garamond"/>
                <w:b/>
                <w:sz w:val="20"/>
                <w:lang w:eastAsia="en-AU"/>
              </w:rPr>
            </w:pPr>
            <w:r w:rsidRPr="00A67C76">
              <w:rPr>
                <w:b/>
                <w:sz w:val="20"/>
                <w:lang w:eastAsia="en-AU"/>
              </w:rPr>
              <w:t>MS</w:t>
            </w:r>
          </w:p>
        </w:tc>
        <w:tc>
          <w:tcPr>
            <w:tcW w:w="1276" w:type="dxa"/>
            <w:tcBorders>
              <w:top w:val="single" w:sz="4" w:space="0" w:color="auto"/>
              <w:left w:val="nil"/>
              <w:bottom w:val="single" w:sz="4" w:space="0" w:color="auto"/>
              <w:right w:val="nil"/>
            </w:tcBorders>
            <w:hideMark/>
          </w:tcPr>
          <w:p w:rsidR="00B96C04" w:rsidRPr="00A67C76" w:rsidRDefault="00B96C04" w:rsidP="000B3877">
            <w:pPr>
              <w:spacing w:line="240" w:lineRule="auto"/>
              <w:contextualSpacing/>
              <w:jc w:val="center"/>
              <w:rPr>
                <w:rFonts w:ascii="Garamond" w:hAnsi="Garamond"/>
                <w:b/>
                <w:sz w:val="20"/>
                <w:lang w:eastAsia="en-AU"/>
              </w:rPr>
            </w:pPr>
            <w:r w:rsidRPr="00A67C76">
              <w:rPr>
                <w:b/>
                <w:sz w:val="20"/>
                <w:lang w:eastAsia="en-AU"/>
              </w:rPr>
              <w:t>Pseudo-F</w:t>
            </w:r>
          </w:p>
        </w:tc>
        <w:tc>
          <w:tcPr>
            <w:tcW w:w="1098" w:type="dxa"/>
            <w:tcBorders>
              <w:top w:val="single" w:sz="4" w:space="0" w:color="auto"/>
              <w:left w:val="nil"/>
              <w:bottom w:val="single" w:sz="4" w:space="0" w:color="auto"/>
              <w:right w:val="nil"/>
            </w:tcBorders>
            <w:hideMark/>
          </w:tcPr>
          <w:p w:rsidR="00B96C04" w:rsidRPr="00A67C76" w:rsidRDefault="00B96C04" w:rsidP="000B3877">
            <w:pPr>
              <w:spacing w:line="240" w:lineRule="auto"/>
              <w:contextualSpacing/>
              <w:jc w:val="center"/>
              <w:rPr>
                <w:rFonts w:ascii="Garamond" w:hAnsi="Garamond"/>
                <w:b/>
                <w:sz w:val="20"/>
                <w:lang w:eastAsia="en-AU"/>
              </w:rPr>
            </w:pPr>
            <w:r w:rsidRPr="00A67C76">
              <w:rPr>
                <w:b/>
                <w:sz w:val="20"/>
                <w:lang w:eastAsia="en-AU"/>
              </w:rPr>
              <w:t>P(perm)</w:t>
            </w:r>
          </w:p>
        </w:tc>
      </w:tr>
      <w:tr w:rsidR="00B96C04" w:rsidRPr="00A67C76" w:rsidTr="00AD6162">
        <w:trPr>
          <w:jc w:val="center"/>
        </w:trPr>
        <w:tc>
          <w:tcPr>
            <w:tcW w:w="2418" w:type="dxa"/>
            <w:tcBorders>
              <w:top w:val="single" w:sz="4" w:space="0" w:color="auto"/>
              <w:left w:val="nil"/>
              <w:bottom w:val="single" w:sz="4" w:space="0" w:color="auto"/>
              <w:right w:val="nil"/>
            </w:tcBorders>
            <w:hideMark/>
          </w:tcPr>
          <w:p w:rsidR="00B96C04" w:rsidRPr="00A67C76" w:rsidRDefault="00B96C04" w:rsidP="000B3877">
            <w:pPr>
              <w:spacing w:line="240" w:lineRule="auto"/>
              <w:contextualSpacing/>
              <w:rPr>
                <w:rFonts w:ascii="Garamond" w:hAnsi="Garamond"/>
                <w:sz w:val="20"/>
                <w:lang w:eastAsia="en-AU"/>
              </w:rPr>
            </w:pPr>
            <w:r w:rsidRPr="00A67C76">
              <w:rPr>
                <w:sz w:val="20"/>
                <w:lang w:eastAsia="en-AU"/>
              </w:rPr>
              <w:t xml:space="preserve">Flow phase </w:t>
            </w:r>
          </w:p>
          <w:p w:rsidR="00B96C04" w:rsidRPr="00A67C76" w:rsidRDefault="00B96C04" w:rsidP="000B3877">
            <w:pPr>
              <w:spacing w:line="240" w:lineRule="auto"/>
              <w:contextualSpacing/>
              <w:rPr>
                <w:rFonts w:ascii="Times New Roman" w:hAnsi="Times New Roman"/>
                <w:sz w:val="20"/>
                <w:lang w:eastAsia="en-AU"/>
              </w:rPr>
            </w:pPr>
            <w:r w:rsidRPr="00A67C76">
              <w:rPr>
                <w:sz w:val="20"/>
                <w:lang w:eastAsia="en-AU"/>
              </w:rPr>
              <w:t xml:space="preserve">Direction </w:t>
            </w:r>
          </w:p>
          <w:p w:rsidR="00B96C04" w:rsidRPr="00A67C76" w:rsidRDefault="00AD6162" w:rsidP="000B3877">
            <w:pPr>
              <w:spacing w:line="240" w:lineRule="auto"/>
              <w:contextualSpacing/>
              <w:rPr>
                <w:sz w:val="20"/>
                <w:lang w:eastAsia="en-AU"/>
              </w:rPr>
            </w:pPr>
            <w:r w:rsidRPr="00A67C76">
              <w:rPr>
                <w:sz w:val="20"/>
                <w:lang w:eastAsia="en-AU"/>
              </w:rPr>
              <w:t xml:space="preserve">Flow phase x </w:t>
            </w:r>
            <w:r w:rsidR="00B96C04" w:rsidRPr="00A67C76">
              <w:rPr>
                <w:sz w:val="20"/>
                <w:lang w:eastAsia="en-AU"/>
              </w:rPr>
              <w:t>Direction</w:t>
            </w:r>
          </w:p>
          <w:p w:rsidR="00B96C04" w:rsidRPr="00A67C76" w:rsidRDefault="00B96C04" w:rsidP="000B3877">
            <w:pPr>
              <w:spacing w:line="240" w:lineRule="auto"/>
              <w:contextualSpacing/>
              <w:jc w:val="both"/>
              <w:rPr>
                <w:rFonts w:ascii="Garamond" w:hAnsi="Garamond"/>
                <w:sz w:val="20"/>
                <w:lang w:eastAsia="en-AU"/>
              </w:rPr>
            </w:pPr>
            <w:r w:rsidRPr="00A67C76">
              <w:rPr>
                <w:sz w:val="20"/>
                <w:lang w:eastAsia="en-AU"/>
              </w:rPr>
              <w:t>Residuals</w:t>
            </w:r>
          </w:p>
        </w:tc>
        <w:tc>
          <w:tcPr>
            <w:tcW w:w="558" w:type="dxa"/>
            <w:tcBorders>
              <w:top w:val="single" w:sz="4" w:space="0" w:color="auto"/>
              <w:left w:val="nil"/>
              <w:bottom w:val="single" w:sz="4" w:space="0" w:color="auto"/>
              <w:right w:val="nil"/>
            </w:tcBorders>
            <w:hideMark/>
          </w:tcPr>
          <w:p w:rsidR="00B96C04" w:rsidRPr="00A67C76" w:rsidRDefault="00B96C04" w:rsidP="000B3877">
            <w:pPr>
              <w:spacing w:line="240" w:lineRule="auto"/>
              <w:contextualSpacing/>
              <w:jc w:val="center"/>
              <w:rPr>
                <w:rFonts w:ascii="Garamond" w:hAnsi="Garamond"/>
                <w:sz w:val="20"/>
                <w:lang w:eastAsia="en-AU"/>
              </w:rPr>
            </w:pPr>
            <w:r w:rsidRPr="00A67C76">
              <w:rPr>
                <w:sz w:val="20"/>
                <w:lang w:eastAsia="en-AU"/>
              </w:rPr>
              <w:t>5</w:t>
            </w:r>
          </w:p>
          <w:p w:rsidR="00B96C04" w:rsidRPr="00A67C76" w:rsidRDefault="00B96C04" w:rsidP="000B3877">
            <w:pPr>
              <w:spacing w:line="240" w:lineRule="auto"/>
              <w:contextualSpacing/>
              <w:jc w:val="center"/>
              <w:rPr>
                <w:rFonts w:ascii="Times New Roman" w:hAnsi="Times New Roman"/>
                <w:sz w:val="20"/>
                <w:lang w:eastAsia="en-AU"/>
              </w:rPr>
            </w:pPr>
            <w:r w:rsidRPr="00A67C76">
              <w:rPr>
                <w:sz w:val="20"/>
                <w:lang w:eastAsia="en-AU"/>
              </w:rPr>
              <w:t>1</w:t>
            </w:r>
          </w:p>
          <w:p w:rsidR="00B96C04" w:rsidRPr="00A67C76" w:rsidRDefault="00B96C04" w:rsidP="000B3877">
            <w:pPr>
              <w:spacing w:line="240" w:lineRule="auto"/>
              <w:contextualSpacing/>
              <w:jc w:val="center"/>
              <w:rPr>
                <w:sz w:val="20"/>
                <w:lang w:eastAsia="en-AU"/>
              </w:rPr>
            </w:pPr>
            <w:r w:rsidRPr="00A67C76">
              <w:rPr>
                <w:sz w:val="20"/>
                <w:lang w:eastAsia="en-AU"/>
              </w:rPr>
              <w:t>5</w:t>
            </w:r>
          </w:p>
          <w:p w:rsidR="00B96C04" w:rsidRPr="00A67C76" w:rsidRDefault="00B96C04" w:rsidP="000B3877">
            <w:pPr>
              <w:spacing w:line="240" w:lineRule="auto"/>
              <w:contextualSpacing/>
              <w:jc w:val="center"/>
              <w:rPr>
                <w:rFonts w:ascii="Garamond" w:hAnsi="Garamond"/>
                <w:sz w:val="20"/>
                <w:lang w:eastAsia="en-AU"/>
              </w:rPr>
            </w:pPr>
            <w:r w:rsidRPr="00A67C76">
              <w:rPr>
                <w:sz w:val="20"/>
                <w:lang w:eastAsia="en-AU"/>
              </w:rPr>
              <w:t>24</w:t>
            </w:r>
          </w:p>
        </w:tc>
        <w:tc>
          <w:tcPr>
            <w:tcW w:w="1418" w:type="dxa"/>
            <w:tcBorders>
              <w:top w:val="single" w:sz="4" w:space="0" w:color="auto"/>
              <w:left w:val="nil"/>
              <w:bottom w:val="single" w:sz="4" w:space="0" w:color="auto"/>
              <w:right w:val="nil"/>
            </w:tcBorders>
            <w:hideMark/>
          </w:tcPr>
          <w:p w:rsidR="00B96C04" w:rsidRPr="00A67C76" w:rsidRDefault="00B96C04" w:rsidP="000B3877">
            <w:pPr>
              <w:spacing w:line="240" w:lineRule="auto"/>
              <w:contextualSpacing/>
              <w:jc w:val="center"/>
              <w:rPr>
                <w:rFonts w:ascii="Garamond" w:hAnsi="Garamond"/>
                <w:sz w:val="20"/>
                <w:lang w:eastAsia="en-AU"/>
              </w:rPr>
            </w:pPr>
            <w:r w:rsidRPr="00A67C76">
              <w:rPr>
                <w:sz w:val="20"/>
                <w:lang w:eastAsia="en-AU"/>
              </w:rPr>
              <w:t>4939</w:t>
            </w:r>
          </w:p>
          <w:p w:rsidR="00B96C04" w:rsidRPr="00A67C76" w:rsidRDefault="00B96C04" w:rsidP="000B3877">
            <w:pPr>
              <w:spacing w:line="240" w:lineRule="auto"/>
              <w:contextualSpacing/>
              <w:jc w:val="center"/>
              <w:rPr>
                <w:rFonts w:ascii="Times New Roman" w:hAnsi="Times New Roman"/>
                <w:sz w:val="20"/>
                <w:lang w:eastAsia="en-AU"/>
              </w:rPr>
            </w:pPr>
            <w:r w:rsidRPr="00A67C76">
              <w:rPr>
                <w:sz w:val="20"/>
                <w:lang w:eastAsia="en-AU"/>
              </w:rPr>
              <w:t>1405.6</w:t>
            </w:r>
          </w:p>
          <w:p w:rsidR="00B96C04" w:rsidRPr="00A67C76" w:rsidRDefault="00B96C04" w:rsidP="000B3877">
            <w:pPr>
              <w:spacing w:line="240" w:lineRule="auto"/>
              <w:contextualSpacing/>
              <w:jc w:val="center"/>
              <w:rPr>
                <w:sz w:val="20"/>
                <w:lang w:eastAsia="en-AU"/>
              </w:rPr>
            </w:pPr>
            <w:r w:rsidRPr="00A67C76">
              <w:rPr>
                <w:sz w:val="20"/>
                <w:lang w:eastAsia="en-AU"/>
              </w:rPr>
              <w:t>597.08</w:t>
            </w:r>
          </w:p>
          <w:p w:rsidR="00B96C04" w:rsidRPr="00A67C76" w:rsidRDefault="00B96C04" w:rsidP="000B3877">
            <w:pPr>
              <w:spacing w:line="240" w:lineRule="auto"/>
              <w:contextualSpacing/>
              <w:jc w:val="center"/>
              <w:rPr>
                <w:rFonts w:ascii="Garamond" w:hAnsi="Garamond"/>
                <w:sz w:val="20"/>
                <w:lang w:eastAsia="en-AU"/>
              </w:rPr>
            </w:pPr>
            <w:r w:rsidRPr="00A67C76">
              <w:rPr>
                <w:sz w:val="20"/>
                <w:lang w:eastAsia="en-AU"/>
              </w:rPr>
              <w:t>348.42</w:t>
            </w:r>
          </w:p>
        </w:tc>
        <w:tc>
          <w:tcPr>
            <w:tcW w:w="1276" w:type="dxa"/>
            <w:tcBorders>
              <w:top w:val="single" w:sz="4" w:space="0" w:color="auto"/>
              <w:left w:val="nil"/>
              <w:bottom w:val="single" w:sz="4" w:space="0" w:color="auto"/>
              <w:right w:val="nil"/>
            </w:tcBorders>
            <w:hideMark/>
          </w:tcPr>
          <w:p w:rsidR="00B96C04" w:rsidRPr="00A67C76" w:rsidRDefault="00B96C04" w:rsidP="000B3877">
            <w:pPr>
              <w:spacing w:line="240" w:lineRule="auto"/>
              <w:contextualSpacing/>
              <w:jc w:val="center"/>
              <w:rPr>
                <w:rFonts w:ascii="Garamond" w:hAnsi="Garamond"/>
                <w:sz w:val="20"/>
                <w:lang w:eastAsia="en-AU"/>
              </w:rPr>
            </w:pPr>
            <w:r w:rsidRPr="00A67C76">
              <w:rPr>
                <w:sz w:val="20"/>
                <w:lang w:eastAsia="en-AU"/>
              </w:rPr>
              <w:t>14.175</w:t>
            </w:r>
          </w:p>
          <w:p w:rsidR="00B96C04" w:rsidRPr="00A67C76" w:rsidRDefault="00B96C04" w:rsidP="000B3877">
            <w:pPr>
              <w:spacing w:line="240" w:lineRule="auto"/>
              <w:contextualSpacing/>
              <w:jc w:val="center"/>
              <w:rPr>
                <w:rFonts w:ascii="Times New Roman" w:hAnsi="Times New Roman"/>
                <w:sz w:val="20"/>
                <w:lang w:eastAsia="en-AU"/>
              </w:rPr>
            </w:pPr>
            <w:r w:rsidRPr="00A67C76">
              <w:rPr>
                <w:sz w:val="20"/>
                <w:lang w:eastAsia="en-AU"/>
              </w:rPr>
              <w:t>4.034</w:t>
            </w:r>
          </w:p>
          <w:p w:rsidR="00B96C04" w:rsidRPr="00A67C76" w:rsidRDefault="00B96C04" w:rsidP="000B3877">
            <w:pPr>
              <w:spacing w:line="240" w:lineRule="auto"/>
              <w:contextualSpacing/>
              <w:jc w:val="center"/>
              <w:rPr>
                <w:rFonts w:ascii="Garamond" w:hAnsi="Garamond"/>
                <w:sz w:val="20"/>
                <w:lang w:eastAsia="en-AU"/>
              </w:rPr>
            </w:pPr>
            <w:r w:rsidRPr="00A67C76">
              <w:rPr>
                <w:sz w:val="20"/>
                <w:lang w:eastAsia="en-AU"/>
              </w:rPr>
              <w:t>1.714</w:t>
            </w:r>
          </w:p>
        </w:tc>
        <w:tc>
          <w:tcPr>
            <w:tcW w:w="1098" w:type="dxa"/>
            <w:tcBorders>
              <w:top w:val="single" w:sz="4" w:space="0" w:color="auto"/>
              <w:left w:val="nil"/>
              <w:bottom w:val="single" w:sz="4" w:space="0" w:color="auto"/>
              <w:right w:val="nil"/>
            </w:tcBorders>
            <w:hideMark/>
          </w:tcPr>
          <w:p w:rsidR="00B96C04" w:rsidRPr="00A67C76" w:rsidRDefault="00B96C04" w:rsidP="000B3877">
            <w:pPr>
              <w:spacing w:line="240" w:lineRule="auto"/>
              <w:contextualSpacing/>
              <w:jc w:val="center"/>
              <w:rPr>
                <w:rFonts w:ascii="Garamond" w:hAnsi="Garamond"/>
                <w:b/>
                <w:sz w:val="20"/>
                <w:lang w:eastAsia="en-AU"/>
              </w:rPr>
            </w:pPr>
            <w:r w:rsidRPr="00A67C76">
              <w:rPr>
                <w:b/>
                <w:sz w:val="20"/>
                <w:lang w:eastAsia="en-AU"/>
              </w:rPr>
              <w:t>0.001</w:t>
            </w:r>
          </w:p>
          <w:p w:rsidR="00B96C04" w:rsidRPr="00A67C76" w:rsidRDefault="00B96C04" w:rsidP="000B3877">
            <w:pPr>
              <w:spacing w:line="240" w:lineRule="auto"/>
              <w:contextualSpacing/>
              <w:jc w:val="center"/>
              <w:rPr>
                <w:rFonts w:ascii="Times New Roman" w:hAnsi="Times New Roman"/>
                <w:b/>
                <w:sz w:val="20"/>
                <w:lang w:eastAsia="en-AU"/>
              </w:rPr>
            </w:pPr>
            <w:r w:rsidRPr="00A67C76">
              <w:rPr>
                <w:b/>
                <w:sz w:val="20"/>
                <w:lang w:eastAsia="en-AU"/>
              </w:rPr>
              <w:t>0.006</w:t>
            </w:r>
          </w:p>
          <w:p w:rsidR="00B96C04" w:rsidRPr="00A67C76" w:rsidRDefault="00B96C04" w:rsidP="000B3877">
            <w:pPr>
              <w:spacing w:line="240" w:lineRule="auto"/>
              <w:contextualSpacing/>
              <w:jc w:val="center"/>
              <w:rPr>
                <w:rFonts w:ascii="Garamond" w:hAnsi="Garamond"/>
                <w:sz w:val="20"/>
                <w:lang w:eastAsia="en-AU"/>
              </w:rPr>
            </w:pPr>
            <w:r w:rsidRPr="00A67C76">
              <w:rPr>
                <w:sz w:val="20"/>
                <w:lang w:eastAsia="en-AU"/>
              </w:rPr>
              <w:t>0.059</w:t>
            </w:r>
          </w:p>
        </w:tc>
      </w:tr>
    </w:tbl>
    <w:p w:rsidR="00B96C04" w:rsidRPr="00A67C76" w:rsidRDefault="00B96C04" w:rsidP="00807938">
      <w:pPr>
        <w:pStyle w:val="ListParagraph"/>
        <w:numPr>
          <w:ilvl w:val="0"/>
          <w:numId w:val="14"/>
        </w:numPr>
      </w:pPr>
      <w:r w:rsidRPr="00A67C76">
        <w:t>Kroehns – Gorge region</w:t>
      </w:r>
    </w:p>
    <w:tbl>
      <w:tblPr>
        <w:tblStyle w:val="TableGrid"/>
        <w:tblW w:w="6768" w:type="dxa"/>
        <w:jc w:val="center"/>
        <w:tblInd w:w="2802" w:type="dxa"/>
        <w:tblBorders>
          <w:left w:val="none" w:sz="0" w:space="0" w:color="auto"/>
          <w:right w:val="none" w:sz="0" w:space="0" w:color="auto"/>
          <w:insideV w:val="none" w:sz="0" w:space="0" w:color="auto"/>
        </w:tblBorders>
        <w:tblLayout w:type="fixed"/>
        <w:tblLook w:val="04A0"/>
      </w:tblPr>
      <w:tblGrid>
        <w:gridCol w:w="2418"/>
        <w:gridCol w:w="558"/>
        <w:gridCol w:w="1418"/>
        <w:gridCol w:w="1276"/>
        <w:gridCol w:w="1098"/>
      </w:tblGrid>
      <w:tr w:rsidR="00B96C04" w:rsidRPr="00A67C76" w:rsidTr="00AD6162">
        <w:trPr>
          <w:jc w:val="center"/>
        </w:trPr>
        <w:tc>
          <w:tcPr>
            <w:tcW w:w="2418" w:type="dxa"/>
            <w:tcBorders>
              <w:top w:val="single" w:sz="4" w:space="0" w:color="auto"/>
              <w:left w:val="nil"/>
              <w:bottom w:val="single" w:sz="4" w:space="0" w:color="auto"/>
              <w:right w:val="nil"/>
            </w:tcBorders>
            <w:hideMark/>
          </w:tcPr>
          <w:p w:rsidR="00B96C04" w:rsidRPr="00A67C76" w:rsidRDefault="00B96C04" w:rsidP="000B3877">
            <w:pPr>
              <w:spacing w:line="240" w:lineRule="auto"/>
              <w:contextualSpacing/>
              <w:jc w:val="both"/>
              <w:rPr>
                <w:rFonts w:ascii="Garamond" w:hAnsi="Garamond"/>
                <w:b/>
                <w:sz w:val="20"/>
                <w:lang w:eastAsia="en-AU"/>
              </w:rPr>
            </w:pPr>
            <w:r w:rsidRPr="00A67C76">
              <w:rPr>
                <w:b/>
                <w:sz w:val="20"/>
                <w:lang w:eastAsia="en-AU"/>
              </w:rPr>
              <w:t>Source</w:t>
            </w:r>
          </w:p>
        </w:tc>
        <w:tc>
          <w:tcPr>
            <w:tcW w:w="558" w:type="dxa"/>
            <w:tcBorders>
              <w:top w:val="single" w:sz="4" w:space="0" w:color="auto"/>
              <w:left w:val="nil"/>
              <w:bottom w:val="single" w:sz="4" w:space="0" w:color="auto"/>
              <w:right w:val="nil"/>
            </w:tcBorders>
            <w:hideMark/>
          </w:tcPr>
          <w:p w:rsidR="00B96C04" w:rsidRPr="00A67C76" w:rsidRDefault="00B96C04" w:rsidP="000B3877">
            <w:pPr>
              <w:spacing w:line="240" w:lineRule="auto"/>
              <w:contextualSpacing/>
              <w:jc w:val="center"/>
              <w:rPr>
                <w:rFonts w:ascii="Garamond" w:hAnsi="Garamond"/>
                <w:b/>
                <w:sz w:val="20"/>
                <w:lang w:eastAsia="en-AU"/>
              </w:rPr>
            </w:pPr>
            <w:r w:rsidRPr="00A67C76">
              <w:rPr>
                <w:b/>
                <w:sz w:val="20"/>
                <w:lang w:eastAsia="en-AU"/>
              </w:rPr>
              <w:t>df</w:t>
            </w:r>
          </w:p>
        </w:tc>
        <w:tc>
          <w:tcPr>
            <w:tcW w:w="1418" w:type="dxa"/>
            <w:tcBorders>
              <w:top w:val="single" w:sz="4" w:space="0" w:color="auto"/>
              <w:left w:val="nil"/>
              <w:bottom w:val="single" w:sz="4" w:space="0" w:color="auto"/>
              <w:right w:val="nil"/>
            </w:tcBorders>
            <w:hideMark/>
          </w:tcPr>
          <w:p w:rsidR="00B96C04" w:rsidRPr="00A67C76" w:rsidRDefault="00B96C04" w:rsidP="000B3877">
            <w:pPr>
              <w:spacing w:line="240" w:lineRule="auto"/>
              <w:contextualSpacing/>
              <w:jc w:val="center"/>
              <w:rPr>
                <w:rFonts w:ascii="Garamond" w:hAnsi="Garamond"/>
                <w:b/>
                <w:sz w:val="20"/>
                <w:lang w:eastAsia="en-AU"/>
              </w:rPr>
            </w:pPr>
            <w:r w:rsidRPr="00A67C76">
              <w:rPr>
                <w:b/>
                <w:sz w:val="20"/>
                <w:lang w:eastAsia="en-AU"/>
              </w:rPr>
              <w:t>MS</w:t>
            </w:r>
          </w:p>
        </w:tc>
        <w:tc>
          <w:tcPr>
            <w:tcW w:w="1276" w:type="dxa"/>
            <w:tcBorders>
              <w:top w:val="single" w:sz="4" w:space="0" w:color="auto"/>
              <w:left w:val="nil"/>
              <w:bottom w:val="single" w:sz="4" w:space="0" w:color="auto"/>
              <w:right w:val="nil"/>
            </w:tcBorders>
            <w:hideMark/>
          </w:tcPr>
          <w:p w:rsidR="00B96C04" w:rsidRPr="00A67C76" w:rsidRDefault="00B96C04" w:rsidP="000B3877">
            <w:pPr>
              <w:spacing w:line="240" w:lineRule="auto"/>
              <w:contextualSpacing/>
              <w:jc w:val="center"/>
              <w:rPr>
                <w:rFonts w:ascii="Garamond" w:hAnsi="Garamond"/>
                <w:b/>
                <w:sz w:val="20"/>
                <w:lang w:eastAsia="en-AU"/>
              </w:rPr>
            </w:pPr>
            <w:r w:rsidRPr="00A67C76">
              <w:rPr>
                <w:b/>
                <w:sz w:val="20"/>
                <w:lang w:eastAsia="en-AU"/>
              </w:rPr>
              <w:t>Pseudo-F</w:t>
            </w:r>
          </w:p>
        </w:tc>
        <w:tc>
          <w:tcPr>
            <w:tcW w:w="1098" w:type="dxa"/>
            <w:tcBorders>
              <w:top w:val="single" w:sz="4" w:space="0" w:color="auto"/>
              <w:left w:val="nil"/>
              <w:bottom w:val="single" w:sz="4" w:space="0" w:color="auto"/>
              <w:right w:val="nil"/>
            </w:tcBorders>
            <w:hideMark/>
          </w:tcPr>
          <w:p w:rsidR="00B96C04" w:rsidRPr="00A67C76" w:rsidRDefault="00B96C04" w:rsidP="000B3877">
            <w:pPr>
              <w:spacing w:line="240" w:lineRule="auto"/>
              <w:contextualSpacing/>
              <w:jc w:val="center"/>
              <w:rPr>
                <w:rFonts w:ascii="Garamond" w:hAnsi="Garamond"/>
                <w:b/>
                <w:sz w:val="20"/>
                <w:lang w:eastAsia="en-AU"/>
              </w:rPr>
            </w:pPr>
            <w:r w:rsidRPr="00A67C76">
              <w:rPr>
                <w:b/>
                <w:sz w:val="20"/>
                <w:lang w:eastAsia="en-AU"/>
              </w:rPr>
              <w:t>P(perm)</w:t>
            </w:r>
          </w:p>
        </w:tc>
      </w:tr>
      <w:tr w:rsidR="00B96C04" w:rsidRPr="00A67C76" w:rsidTr="00AD6162">
        <w:trPr>
          <w:jc w:val="center"/>
        </w:trPr>
        <w:tc>
          <w:tcPr>
            <w:tcW w:w="2418" w:type="dxa"/>
            <w:tcBorders>
              <w:top w:val="single" w:sz="4" w:space="0" w:color="auto"/>
              <w:left w:val="nil"/>
              <w:bottom w:val="single" w:sz="4" w:space="0" w:color="auto"/>
              <w:right w:val="nil"/>
            </w:tcBorders>
            <w:hideMark/>
          </w:tcPr>
          <w:p w:rsidR="00B96C04" w:rsidRPr="00A67C76" w:rsidRDefault="00B96C04" w:rsidP="000B3877">
            <w:pPr>
              <w:spacing w:line="240" w:lineRule="auto"/>
              <w:contextualSpacing/>
              <w:rPr>
                <w:rFonts w:ascii="Garamond" w:hAnsi="Garamond"/>
                <w:sz w:val="20"/>
                <w:lang w:eastAsia="en-AU"/>
              </w:rPr>
            </w:pPr>
            <w:r w:rsidRPr="00A67C76">
              <w:rPr>
                <w:sz w:val="20"/>
                <w:lang w:eastAsia="en-AU"/>
              </w:rPr>
              <w:t xml:space="preserve">Flow phase </w:t>
            </w:r>
          </w:p>
          <w:p w:rsidR="00B96C04" w:rsidRPr="00A67C76" w:rsidRDefault="00B96C04" w:rsidP="000B3877">
            <w:pPr>
              <w:spacing w:line="240" w:lineRule="auto"/>
              <w:contextualSpacing/>
              <w:rPr>
                <w:rFonts w:ascii="Times New Roman" w:hAnsi="Times New Roman"/>
                <w:sz w:val="20"/>
                <w:lang w:eastAsia="en-AU"/>
              </w:rPr>
            </w:pPr>
            <w:r w:rsidRPr="00A67C76">
              <w:rPr>
                <w:sz w:val="20"/>
                <w:lang w:eastAsia="en-AU"/>
              </w:rPr>
              <w:t xml:space="preserve">Direction </w:t>
            </w:r>
          </w:p>
          <w:p w:rsidR="00B96C04" w:rsidRPr="00A67C76" w:rsidRDefault="00B96C04" w:rsidP="000B3877">
            <w:pPr>
              <w:spacing w:line="240" w:lineRule="auto"/>
              <w:contextualSpacing/>
              <w:rPr>
                <w:sz w:val="20"/>
                <w:lang w:eastAsia="en-AU"/>
              </w:rPr>
            </w:pPr>
            <w:r w:rsidRPr="00A67C76">
              <w:rPr>
                <w:sz w:val="20"/>
                <w:lang w:eastAsia="en-AU"/>
              </w:rPr>
              <w:t>Flow phase x Direction</w:t>
            </w:r>
          </w:p>
          <w:p w:rsidR="00B96C04" w:rsidRPr="00A67C76" w:rsidRDefault="00B96C04" w:rsidP="000B3877">
            <w:pPr>
              <w:spacing w:line="240" w:lineRule="auto"/>
              <w:contextualSpacing/>
              <w:jc w:val="both"/>
              <w:rPr>
                <w:rFonts w:ascii="Garamond" w:hAnsi="Garamond"/>
                <w:sz w:val="20"/>
                <w:lang w:eastAsia="en-AU"/>
              </w:rPr>
            </w:pPr>
            <w:r w:rsidRPr="00A67C76">
              <w:rPr>
                <w:sz w:val="20"/>
                <w:lang w:eastAsia="en-AU"/>
              </w:rPr>
              <w:t>Residuals</w:t>
            </w:r>
          </w:p>
        </w:tc>
        <w:tc>
          <w:tcPr>
            <w:tcW w:w="558" w:type="dxa"/>
            <w:tcBorders>
              <w:top w:val="single" w:sz="4" w:space="0" w:color="auto"/>
              <w:left w:val="nil"/>
              <w:bottom w:val="single" w:sz="4" w:space="0" w:color="auto"/>
              <w:right w:val="nil"/>
            </w:tcBorders>
            <w:hideMark/>
          </w:tcPr>
          <w:p w:rsidR="00B96C04" w:rsidRPr="00A67C76" w:rsidRDefault="00B96C04" w:rsidP="000B3877">
            <w:pPr>
              <w:spacing w:line="240" w:lineRule="auto"/>
              <w:contextualSpacing/>
              <w:jc w:val="center"/>
              <w:rPr>
                <w:rFonts w:ascii="Garamond" w:hAnsi="Garamond"/>
                <w:sz w:val="20"/>
                <w:lang w:eastAsia="en-AU"/>
              </w:rPr>
            </w:pPr>
            <w:r w:rsidRPr="00A67C76">
              <w:rPr>
                <w:sz w:val="20"/>
                <w:lang w:eastAsia="en-AU"/>
              </w:rPr>
              <w:t>5</w:t>
            </w:r>
          </w:p>
          <w:p w:rsidR="00B96C04" w:rsidRPr="00A67C76" w:rsidRDefault="00B96C04" w:rsidP="000B3877">
            <w:pPr>
              <w:spacing w:line="240" w:lineRule="auto"/>
              <w:contextualSpacing/>
              <w:jc w:val="center"/>
              <w:rPr>
                <w:rFonts w:ascii="Times New Roman" w:hAnsi="Times New Roman"/>
                <w:sz w:val="20"/>
                <w:lang w:eastAsia="en-AU"/>
              </w:rPr>
            </w:pPr>
            <w:r w:rsidRPr="00A67C76">
              <w:rPr>
                <w:sz w:val="20"/>
                <w:lang w:eastAsia="en-AU"/>
              </w:rPr>
              <w:t>1</w:t>
            </w:r>
          </w:p>
          <w:p w:rsidR="00B96C04" w:rsidRPr="00A67C76" w:rsidRDefault="00B96C04" w:rsidP="000B3877">
            <w:pPr>
              <w:spacing w:line="240" w:lineRule="auto"/>
              <w:contextualSpacing/>
              <w:jc w:val="center"/>
              <w:rPr>
                <w:sz w:val="20"/>
                <w:lang w:eastAsia="en-AU"/>
              </w:rPr>
            </w:pPr>
            <w:r w:rsidRPr="00A67C76">
              <w:rPr>
                <w:sz w:val="20"/>
                <w:lang w:eastAsia="en-AU"/>
              </w:rPr>
              <w:t>5</w:t>
            </w:r>
          </w:p>
          <w:p w:rsidR="00B96C04" w:rsidRPr="00A67C76" w:rsidRDefault="00B96C04" w:rsidP="000B3877">
            <w:pPr>
              <w:spacing w:line="240" w:lineRule="auto"/>
              <w:contextualSpacing/>
              <w:jc w:val="center"/>
              <w:rPr>
                <w:rFonts w:ascii="Garamond" w:hAnsi="Garamond"/>
                <w:sz w:val="20"/>
                <w:lang w:eastAsia="en-AU"/>
              </w:rPr>
            </w:pPr>
            <w:r w:rsidRPr="00A67C76">
              <w:rPr>
                <w:sz w:val="20"/>
                <w:lang w:eastAsia="en-AU"/>
              </w:rPr>
              <w:t>24</w:t>
            </w:r>
          </w:p>
        </w:tc>
        <w:tc>
          <w:tcPr>
            <w:tcW w:w="1418" w:type="dxa"/>
            <w:tcBorders>
              <w:top w:val="single" w:sz="4" w:space="0" w:color="auto"/>
              <w:left w:val="nil"/>
              <w:bottom w:val="single" w:sz="4" w:space="0" w:color="auto"/>
              <w:right w:val="nil"/>
            </w:tcBorders>
            <w:hideMark/>
          </w:tcPr>
          <w:p w:rsidR="00B96C04" w:rsidRPr="00A67C76" w:rsidRDefault="00B96C04" w:rsidP="000B3877">
            <w:pPr>
              <w:spacing w:line="240" w:lineRule="auto"/>
              <w:contextualSpacing/>
              <w:jc w:val="center"/>
              <w:rPr>
                <w:rFonts w:ascii="Garamond" w:hAnsi="Garamond"/>
                <w:sz w:val="20"/>
                <w:lang w:eastAsia="en-AU"/>
              </w:rPr>
            </w:pPr>
            <w:r w:rsidRPr="00A67C76">
              <w:rPr>
                <w:sz w:val="20"/>
                <w:lang w:eastAsia="en-AU"/>
              </w:rPr>
              <w:t>4022.3</w:t>
            </w:r>
          </w:p>
          <w:p w:rsidR="00B96C04" w:rsidRPr="00A67C76" w:rsidRDefault="00B96C04" w:rsidP="000B3877">
            <w:pPr>
              <w:spacing w:line="240" w:lineRule="auto"/>
              <w:contextualSpacing/>
              <w:jc w:val="center"/>
              <w:rPr>
                <w:rFonts w:ascii="Times New Roman" w:hAnsi="Times New Roman"/>
                <w:sz w:val="20"/>
                <w:lang w:eastAsia="en-AU"/>
              </w:rPr>
            </w:pPr>
            <w:r w:rsidRPr="00A67C76">
              <w:rPr>
                <w:sz w:val="20"/>
                <w:lang w:eastAsia="en-AU"/>
              </w:rPr>
              <w:t>75.56</w:t>
            </w:r>
          </w:p>
          <w:p w:rsidR="00B96C04" w:rsidRPr="00A67C76" w:rsidRDefault="00B96C04" w:rsidP="000B3877">
            <w:pPr>
              <w:spacing w:line="240" w:lineRule="auto"/>
              <w:contextualSpacing/>
              <w:jc w:val="center"/>
              <w:rPr>
                <w:sz w:val="20"/>
                <w:lang w:eastAsia="en-AU"/>
              </w:rPr>
            </w:pPr>
            <w:r w:rsidRPr="00A67C76">
              <w:rPr>
                <w:sz w:val="20"/>
                <w:lang w:eastAsia="en-AU"/>
              </w:rPr>
              <w:t>433.23</w:t>
            </w:r>
          </w:p>
          <w:p w:rsidR="00B96C04" w:rsidRPr="00A67C76" w:rsidRDefault="00B96C04" w:rsidP="000B3877">
            <w:pPr>
              <w:spacing w:line="240" w:lineRule="auto"/>
              <w:contextualSpacing/>
              <w:jc w:val="center"/>
              <w:rPr>
                <w:rFonts w:ascii="Garamond" w:hAnsi="Garamond"/>
                <w:sz w:val="20"/>
                <w:lang w:eastAsia="en-AU"/>
              </w:rPr>
            </w:pPr>
            <w:r w:rsidRPr="00A67C76">
              <w:rPr>
                <w:sz w:val="20"/>
                <w:lang w:eastAsia="en-AU"/>
              </w:rPr>
              <w:t>226.5</w:t>
            </w:r>
          </w:p>
        </w:tc>
        <w:tc>
          <w:tcPr>
            <w:tcW w:w="1276" w:type="dxa"/>
            <w:tcBorders>
              <w:top w:val="single" w:sz="4" w:space="0" w:color="auto"/>
              <w:left w:val="nil"/>
              <w:bottom w:val="single" w:sz="4" w:space="0" w:color="auto"/>
              <w:right w:val="nil"/>
            </w:tcBorders>
            <w:hideMark/>
          </w:tcPr>
          <w:p w:rsidR="00B96C04" w:rsidRPr="00A67C76" w:rsidRDefault="00B96C04" w:rsidP="000B3877">
            <w:pPr>
              <w:spacing w:line="240" w:lineRule="auto"/>
              <w:contextualSpacing/>
              <w:jc w:val="center"/>
              <w:rPr>
                <w:rFonts w:ascii="Garamond" w:hAnsi="Garamond"/>
                <w:sz w:val="20"/>
                <w:lang w:eastAsia="en-AU"/>
              </w:rPr>
            </w:pPr>
            <w:r w:rsidRPr="00A67C76">
              <w:rPr>
                <w:sz w:val="20"/>
                <w:lang w:eastAsia="en-AU"/>
              </w:rPr>
              <w:t>17.76</w:t>
            </w:r>
          </w:p>
          <w:p w:rsidR="00B96C04" w:rsidRPr="00A67C76" w:rsidRDefault="00B96C04" w:rsidP="000B3877">
            <w:pPr>
              <w:spacing w:line="240" w:lineRule="auto"/>
              <w:contextualSpacing/>
              <w:jc w:val="center"/>
              <w:rPr>
                <w:rFonts w:ascii="Times New Roman" w:hAnsi="Times New Roman"/>
                <w:sz w:val="20"/>
                <w:lang w:eastAsia="en-AU"/>
              </w:rPr>
            </w:pPr>
            <w:r w:rsidRPr="00A67C76">
              <w:rPr>
                <w:sz w:val="20"/>
                <w:lang w:eastAsia="en-AU"/>
              </w:rPr>
              <w:t>0.334</w:t>
            </w:r>
          </w:p>
          <w:p w:rsidR="00B96C04" w:rsidRPr="00A67C76" w:rsidRDefault="00B96C04" w:rsidP="000B3877">
            <w:pPr>
              <w:spacing w:line="240" w:lineRule="auto"/>
              <w:contextualSpacing/>
              <w:jc w:val="center"/>
              <w:rPr>
                <w:rFonts w:ascii="Garamond" w:hAnsi="Garamond"/>
                <w:sz w:val="20"/>
                <w:lang w:eastAsia="en-AU"/>
              </w:rPr>
            </w:pPr>
            <w:r w:rsidRPr="00A67C76">
              <w:rPr>
                <w:sz w:val="20"/>
                <w:lang w:eastAsia="en-AU"/>
              </w:rPr>
              <w:t>1.913</w:t>
            </w:r>
          </w:p>
        </w:tc>
        <w:tc>
          <w:tcPr>
            <w:tcW w:w="1098" w:type="dxa"/>
            <w:tcBorders>
              <w:top w:val="single" w:sz="4" w:space="0" w:color="auto"/>
              <w:left w:val="nil"/>
              <w:bottom w:val="single" w:sz="4" w:space="0" w:color="auto"/>
              <w:right w:val="nil"/>
            </w:tcBorders>
            <w:hideMark/>
          </w:tcPr>
          <w:p w:rsidR="00B96C04" w:rsidRPr="00A67C76" w:rsidRDefault="00B96C04" w:rsidP="000B3877">
            <w:pPr>
              <w:spacing w:line="240" w:lineRule="auto"/>
              <w:contextualSpacing/>
              <w:jc w:val="center"/>
              <w:rPr>
                <w:rFonts w:ascii="Garamond" w:hAnsi="Garamond"/>
                <w:b/>
                <w:sz w:val="20"/>
                <w:lang w:eastAsia="en-AU"/>
              </w:rPr>
            </w:pPr>
            <w:r w:rsidRPr="00A67C76">
              <w:rPr>
                <w:b/>
                <w:sz w:val="20"/>
                <w:lang w:eastAsia="en-AU"/>
              </w:rPr>
              <w:t>0.002</w:t>
            </w:r>
          </w:p>
          <w:p w:rsidR="00B96C04" w:rsidRPr="00A67C76" w:rsidRDefault="00B96C04" w:rsidP="000B3877">
            <w:pPr>
              <w:spacing w:line="240" w:lineRule="auto"/>
              <w:contextualSpacing/>
              <w:jc w:val="center"/>
              <w:rPr>
                <w:rFonts w:ascii="Times New Roman" w:hAnsi="Times New Roman"/>
                <w:sz w:val="20"/>
                <w:lang w:eastAsia="en-AU"/>
              </w:rPr>
            </w:pPr>
            <w:r w:rsidRPr="00A67C76">
              <w:rPr>
                <w:sz w:val="20"/>
                <w:lang w:eastAsia="en-AU"/>
              </w:rPr>
              <w:t>0.834</w:t>
            </w:r>
          </w:p>
          <w:p w:rsidR="00B96C04" w:rsidRPr="00A67C76" w:rsidRDefault="00B96C04" w:rsidP="000B3877">
            <w:pPr>
              <w:spacing w:line="240" w:lineRule="auto"/>
              <w:contextualSpacing/>
              <w:jc w:val="center"/>
              <w:rPr>
                <w:rFonts w:ascii="Garamond" w:hAnsi="Garamond"/>
                <w:sz w:val="20"/>
                <w:lang w:eastAsia="en-AU"/>
              </w:rPr>
            </w:pPr>
            <w:r w:rsidRPr="00A67C76">
              <w:rPr>
                <w:sz w:val="20"/>
                <w:lang w:eastAsia="en-AU"/>
              </w:rPr>
              <w:t>0.539</w:t>
            </w:r>
          </w:p>
        </w:tc>
      </w:tr>
    </w:tbl>
    <w:p w:rsidR="000B3877" w:rsidRPr="00A67C76" w:rsidRDefault="000B3877" w:rsidP="00AD3B7F">
      <w:pPr>
        <w:pStyle w:val="Caption"/>
      </w:pPr>
      <w:bookmarkStart w:id="238" w:name="_Ref382216996"/>
    </w:p>
    <w:p w:rsidR="00EF09B5" w:rsidRDefault="00EF09B5">
      <w:pPr>
        <w:spacing w:before="0" w:after="200" w:line="276" w:lineRule="auto"/>
        <w:rPr>
          <w:b/>
          <w:bCs/>
          <w:color w:val="auto"/>
          <w:sz w:val="20"/>
          <w:szCs w:val="18"/>
        </w:rPr>
      </w:pPr>
      <w:bookmarkStart w:id="239" w:name="_Ref387841373"/>
      <w:bookmarkEnd w:id="229"/>
      <w:bookmarkEnd w:id="237"/>
      <w:bookmarkEnd w:id="238"/>
      <w:r>
        <w:br w:type="page"/>
      </w:r>
    </w:p>
    <w:p w:rsidR="00EA303E" w:rsidRPr="00A67C76" w:rsidRDefault="009E401F" w:rsidP="009E401F">
      <w:pPr>
        <w:pStyle w:val="Caption"/>
      </w:pPr>
      <w:proofErr w:type="gramStart"/>
      <w:r w:rsidRPr="00A67C76">
        <w:t xml:space="preserve">Appendix </w:t>
      </w:r>
      <w:proofErr w:type="gramEnd"/>
      <w:r w:rsidR="002E6077" w:rsidRPr="00A67C76">
        <w:fldChar w:fldCharType="begin"/>
      </w:r>
      <w:r w:rsidR="00621CBB" w:rsidRPr="00A67C76">
        <w:instrText xml:space="preserve"> SEQ Appendix \* ROMAN </w:instrText>
      </w:r>
      <w:r w:rsidR="002E6077" w:rsidRPr="00A67C76">
        <w:fldChar w:fldCharType="separate"/>
      </w:r>
      <w:r w:rsidR="009659F2">
        <w:rPr>
          <w:noProof/>
        </w:rPr>
        <w:t>VI</w:t>
      </w:r>
      <w:r w:rsidR="002E6077" w:rsidRPr="00A67C76">
        <w:rPr>
          <w:noProof/>
        </w:rPr>
        <w:fldChar w:fldCharType="end"/>
      </w:r>
      <w:bookmarkEnd w:id="239"/>
      <w:proofErr w:type="gramStart"/>
      <w:r w:rsidR="00AD3B7F" w:rsidRPr="00A67C76">
        <w:t>.</w:t>
      </w:r>
      <w:proofErr w:type="gramEnd"/>
      <w:r w:rsidR="00EA303E" w:rsidRPr="00A67C76">
        <w:t xml:space="preserve"> Comparison of the size distributions (TL, mm) for key fish species detected moving into and out of wetlands at </w:t>
      </w:r>
      <w:r w:rsidR="00B96C04" w:rsidRPr="00A67C76">
        <w:t xml:space="preserve">a) </w:t>
      </w:r>
      <w:r w:rsidR="00EA303E" w:rsidRPr="00A67C76">
        <w:t xml:space="preserve">Overland Corner  and </w:t>
      </w:r>
      <w:r w:rsidR="00B96C04" w:rsidRPr="00A67C76">
        <w:t xml:space="preserve">b) </w:t>
      </w:r>
      <w:r w:rsidR="00EA303E" w:rsidRPr="00A67C76">
        <w:t xml:space="preserve">Kroehns (BOTTOM) in </w:t>
      </w:r>
      <w:r w:rsidR="00333041" w:rsidRPr="00A67C76">
        <w:t>2012</w:t>
      </w:r>
      <w:r w:rsidR="00FD328A" w:rsidRPr="00FD328A">
        <w:t>-13</w:t>
      </w:r>
      <w:r w:rsidR="00EA303E" w:rsidRPr="00A67C76">
        <w:t xml:space="preserve">. Shown for each direction, are sample sizes (n), mean (±SD) total fish length and the Kolmogrov-Smirnov Z statistic. Where significant differences were detected the direction larger fish were moving is also shown. Significant p values highlighted in bold. </w:t>
      </w:r>
    </w:p>
    <w:p w:rsidR="00EA303E" w:rsidRPr="00A67C76" w:rsidRDefault="00EA303E" w:rsidP="00807938">
      <w:pPr>
        <w:pStyle w:val="ListParagraph"/>
        <w:numPr>
          <w:ilvl w:val="0"/>
          <w:numId w:val="14"/>
        </w:numPr>
      </w:pPr>
      <w:r w:rsidRPr="00A67C76">
        <w:t>Overland Corner – Floodplain region</w:t>
      </w:r>
    </w:p>
    <w:tbl>
      <w:tblPr>
        <w:tblStyle w:val="TableGrid"/>
        <w:tblpPr w:leftFromText="180" w:rightFromText="180" w:vertAnchor="text" w:horzAnchor="margin" w:tblpY="21"/>
        <w:tblW w:w="9444" w:type="dxa"/>
        <w:tblBorders>
          <w:left w:val="none" w:sz="0" w:space="0" w:color="auto"/>
          <w:right w:val="none" w:sz="0" w:space="0" w:color="auto"/>
          <w:insideV w:val="none" w:sz="0" w:space="0" w:color="auto"/>
        </w:tblBorders>
        <w:tblLayout w:type="fixed"/>
        <w:tblLook w:val="04A0"/>
      </w:tblPr>
      <w:tblGrid>
        <w:gridCol w:w="2518"/>
        <w:gridCol w:w="561"/>
        <w:gridCol w:w="1273"/>
        <w:gridCol w:w="566"/>
        <w:gridCol w:w="1273"/>
        <w:gridCol w:w="886"/>
        <w:gridCol w:w="886"/>
        <w:gridCol w:w="1481"/>
      </w:tblGrid>
      <w:tr w:rsidR="00EA303E" w:rsidRPr="00A67C76" w:rsidTr="00EA303E">
        <w:trPr>
          <w:trHeight w:val="335"/>
        </w:trPr>
        <w:tc>
          <w:tcPr>
            <w:tcW w:w="2518" w:type="dxa"/>
          </w:tcPr>
          <w:p w:rsidR="00EA303E" w:rsidRPr="00A67C76" w:rsidRDefault="00EA303E" w:rsidP="000B3877">
            <w:pPr>
              <w:spacing w:line="240" w:lineRule="auto"/>
              <w:contextualSpacing/>
              <w:rPr>
                <w:b/>
                <w:sz w:val="20"/>
              </w:rPr>
            </w:pPr>
          </w:p>
        </w:tc>
        <w:tc>
          <w:tcPr>
            <w:tcW w:w="1834" w:type="dxa"/>
            <w:gridSpan w:val="2"/>
          </w:tcPr>
          <w:p w:rsidR="00EA303E" w:rsidRPr="00A67C76" w:rsidRDefault="00EA303E" w:rsidP="000B3877">
            <w:pPr>
              <w:spacing w:line="240" w:lineRule="auto"/>
              <w:contextualSpacing/>
              <w:jc w:val="center"/>
              <w:rPr>
                <w:b/>
                <w:sz w:val="20"/>
              </w:rPr>
            </w:pPr>
            <w:r w:rsidRPr="00A67C76">
              <w:rPr>
                <w:b/>
                <w:sz w:val="20"/>
              </w:rPr>
              <w:t>IN</w:t>
            </w:r>
          </w:p>
        </w:tc>
        <w:tc>
          <w:tcPr>
            <w:tcW w:w="1839" w:type="dxa"/>
            <w:gridSpan w:val="2"/>
          </w:tcPr>
          <w:p w:rsidR="00EA303E" w:rsidRPr="00A67C76" w:rsidRDefault="00EA303E" w:rsidP="000B3877">
            <w:pPr>
              <w:spacing w:line="240" w:lineRule="auto"/>
              <w:contextualSpacing/>
              <w:jc w:val="center"/>
              <w:rPr>
                <w:b/>
                <w:sz w:val="20"/>
              </w:rPr>
            </w:pPr>
            <w:r w:rsidRPr="00A67C76">
              <w:rPr>
                <w:b/>
                <w:sz w:val="20"/>
              </w:rPr>
              <w:t>OUT</w:t>
            </w:r>
          </w:p>
        </w:tc>
        <w:tc>
          <w:tcPr>
            <w:tcW w:w="886" w:type="dxa"/>
          </w:tcPr>
          <w:p w:rsidR="00EA303E" w:rsidRPr="00A67C76" w:rsidRDefault="00EA303E" w:rsidP="000B3877">
            <w:pPr>
              <w:spacing w:line="240" w:lineRule="auto"/>
              <w:contextualSpacing/>
              <w:jc w:val="center"/>
              <w:rPr>
                <w:b/>
                <w:sz w:val="20"/>
              </w:rPr>
            </w:pPr>
          </w:p>
        </w:tc>
        <w:tc>
          <w:tcPr>
            <w:tcW w:w="886" w:type="dxa"/>
          </w:tcPr>
          <w:p w:rsidR="00EA303E" w:rsidRPr="00A67C76" w:rsidRDefault="00EA303E" w:rsidP="000B3877">
            <w:pPr>
              <w:spacing w:line="240" w:lineRule="auto"/>
              <w:contextualSpacing/>
              <w:jc w:val="center"/>
              <w:rPr>
                <w:b/>
                <w:i/>
                <w:sz w:val="20"/>
              </w:rPr>
            </w:pPr>
          </w:p>
        </w:tc>
        <w:tc>
          <w:tcPr>
            <w:tcW w:w="1481" w:type="dxa"/>
            <w:vMerge w:val="restart"/>
          </w:tcPr>
          <w:p w:rsidR="00EA303E" w:rsidRPr="00A67C76" w:rsidRDefault="00EA303E" w:rsidP="000B3877">
            <w:pPr>
              <w:spacing w:line="240" w:lineRule="auto"/>
              <w:contextualSpacing/>
              <w:jc w:val="center"/>
              <w:rPr>
                <w:i/>
                <w:sz w:val="20"/>
              </w:rPr>
            </w:pPr>
            <w:r w:rsidRPr="00A67C76">
              <w:rPr>
                <w:b/>
                <w:i/>
                <w:sz w:val="20"/>
              </w:rPr>
              <w:t>Directional movement of larger fish</w:t>
            </w:r>
          </w:p>
        </w:tc>
      </w:tr>
      <w:tr w:rsidR="00EA303E" w:rsidRPr="00A67C76" w:rsidTr="00EA303E">
        <w:trPr>
          <w:trHeight w:val="335"/>
        </w:trPr>
        <w:tc>
          <w:tcPr>
            <w:tcW w:w="2518" w:type="dxa"/>
          </w:tcPr>
          <w:p w:rsidR="00EA303E" w:rsidRPr="00A67C76" w:rsidRDefault="00EA303E" w:rsidP="000B3877">
            <w:pPr>
              <w:spacing w:line="240" w:lineRule="auto"/>
              <w:contextualSpacing/>
              <w:rPr>
                <w:b/>
                <w:sz w:val="20"/>
              </w:rPr>
            </w:pPr>
            <w:r w:rsidRPr="00A67C76">
              <w:rPr>
                <w:b/>
                <w:sz w:val="20"/>
              </w:rPr>
              <w:t>Species</w:t>
            </w:r>
          </w:p>
        </w:tc>
        <w:tc>
          <w:tcPr>
            <w:tcW w:w="561" w:type="dxa"/>
          </w:tcPr>
          <w:p w:rsidR="00EA303E" w:rsidRPr="00A67C76" w:rsidRDefault="00EA303E" w:rsidP="000B3877">
            <w:pPr>
              <w:spacing w:line="240" w:lineRule="auto"/>
              <w:contextualSpacing/>
              <w:jc w:val="center"/>
              <w:rPr>
                <w:b/>
                <w:sz w:val="20"/>
              </w:rPr>
            </w:pPr>
            <w:r w:rsidRPr="00A67C76">
              <w:rPr>
                <w:b/>
                <w:sz w:val="20"/>
              </w:rPr>
              <w:t>n</w:t>
            </w:r>
          </w:p>
        </w:tc>
        <w:tc>
          <w:tcPr>
            <w:tcW w:w="1273" w:type="dxa"/>
          </w:tcPr>
          <w:p w:rsidR="00EA303E" w:rsidRPr="00A67C76" w:rsidRDefault="00EA303E" w:rsidP="000B3877">
            <w:pPr>
              <w:spacing w:line="240" w:lineRule="auto"/>
              <w:contextualSpacing/>
              <w:jc w:val="center"/>
              <w:rPr>
                <w:b/>
                <w:sz w:val="20"/>
              </w:rPr>
            </w:pPr>
            <w:r w:rsidRPr="00A67C76">
              <w:rPr>
                <w:b/>
                <w:sz w:val="20"/>
              </w:rPr>
              <w:t>Mean ±SD</w:t>
            </w:r>
          </w:p>
        </w:tc>
        <w:tc>
          <w:tcPr>
            <w:tcW w:w="566" w:type="dxa"/>
          </w:tcPr>
          <w:p w:rsidR="00EA303E" w:rsidRPr="00A67C76" w:rsidRDefault="00EA303E" w:rsidP="000B3877">
            <w:pPr>
              <w:spacing w:line="240" w:lineRule="auto"/>
              <w:contextualSpacing/>
              <w:jc w:val="center"/>
              <w:rPr>
                <w:b/>
                <w:sz w:val="20"/>
              </w:rPr>
            </w:pPr>
            <w:r w:rsidRPr="00A67C76">
              <w:rPr>
                <w:b/>
                <w:sz w:val="20"/>
              </w:rPr>
              <w:t>n</w:t>
            </w:r>
          </w:p>
        </w:tc>
        <w:tc>
          <w:tcPr>
            <w:tcW w:w="1273" w:type="dxa"/>
          </w:tcPr>
          <w:p w:rsidR="00EA303E" w:rsidRPr="00A67C76" w:rsidRDefault="00EA303E" w:rsidP="000B3877">
            <w:pPr>
              <w:spacing w:line="240" w:lineRule="auto"/>
              <w:contextualSpacing/>
              <w:jc w:val="center"/>
              <w:rPr>
                <w:b/>
                <w:sz w:val="20"/>
              </w:rPr>
            </w:pPr>
            <w:r w:rsidRPr="00A67C76">
              <w:rPr>
                <w:b/>
                <w:sz w:val="20"/>
              </w:rPr>
              <w:t>Mean ±SD</w:t>
            </w:r>
          </w:p>
        </w:tc>
        <w:tc>
          <w:tcPr>
            <w:tcW w:w="886" w:type="dxa"/>
          </w:tcPr>
          <w:p w:rsidR="00EA303E" w:rsidRPr="00A67C76" w:rsidRDefault="00EA303E" w:rsidP="000B3877">
            <w:pPr>
              <w:spacing w:line="240" w:lineRule="auto"/>
              <w:contextualSpacing/>
              <w:jc w:val="center"/>
              <w:rPr>
                <w:b/>
                <w:sz w:val="20"/>
              </w:rPr>
            </w:pPr>
            <w:r w:rsidRPr="00A67C76">
              <w:rPr>
                <w:b/>
                <w:sz w:val="20"/>
              </w:rPr>
              <w:t>KS</w:t>
            </w:r>
          </w:p>
        </w:tc>
        <w:tc>
          <w:tcPr>
            <w:tcW w:w="886" w:type="dxa"/>
          </w:tcPr>
          <w:p w:rsidR="00EA303E" w:rsidRPr="00A67C76" w:rsidRDefault="00EA303E" w:rsidP="000B3877">
            <w:pPr>
              <w:spacing w:line="240" w:lineRule="auto"/>
              <w:contextualSpacing/>
              <w:jc w:val="center"/>
              <w:rPr>
                <w:b/>
                <w:sz w:val="20"/>
              </w:rPr>
            </w:pPr>
            <w:r w:rsidRPr="00A67C76">
              <w:rPr>
                <w:b/>
                <w:i/>
                <w:sz w:val="20"/>
              </w:rPr>
              <w:t>p</w:t>
            </w:r>
          </w:p>
        </w:tc>
        <w:tc>
          <w:tcPr>
            <w:tcW w:w="1481" w:type="dxa"/>
            <w:vMerge/>
          </w:tcPr>
          <w:p w:rsidR="00EA303E" w:rsidRPr="00A67C76" w:rsidRDefault="00EA303E" w:rsidP="000B3877">
            <w:pPr>
              <w:spacing w:line="240" w:lineRule="auto"/>
              <w:contextualSpacing/>
              <w:jc w:val="center"/>
              <w:rPr>
                <w:sz w:val="20"/>
              </w:rPr>
            </w:pPr>
          </w:p>
        </w:tc>
      </w:tr>
      <w:tr w:rsidR="00EA303E" w:rsidRPr="00A67C76" w:rsidTr="00EA303E">
        <w:trPr>
          <w:trHeight w:val="1941"/>
        </w:trPr>
        <w:tc>
          <w:tcPr>
            <w:tcW w:w="2518" w:type="dxa"/>
          </w:tcPr>
          <w:p w:rsidR="00EA303E" w:rsidRPr="00A67C76" w:rsidRDefault="00EA303E" w:rsidP="000B3877">
            <w:pPr>
              <w:spacing w:line="240" w:lineRule="auto"/>
              <w:contextualSpacing/>
              <w:rPr>
                <w:sz w:val="20"/>
              </w:rPr>
            </w:pPr>
            <w:r w:rsidRPr="00A67C76">
              <w:rPr>
                <w:sz w:val="20"/>
              </w:rPr>
              <w:t>Golden Perch</w:t>
            </w:r>
          </w:p>
          <w:p w:rsidR="00EA303E" w:rsidRPr="00A67C76" w:rsidRDefault="00EA303E" w:rsidP="000B3877">
            <w:pPr>
              <w:spacing w:line="240" w:lineRule="auto"/>
              <w:contextualSpacing/>
              <w:rPr>
                <w:sz w:val="20"/>
              </w:rPr>
            </w:pPr>
            <w:r w:rsidRPr="00A67C76">
              <w:rPr>
                <w:sz w:val="20"/>
              </w:rPr>
              <w:t>Common carp</w:t>
            </w:r>
          </w:p>
          <w:p w:rsidR="00EA303E" w:rsidRPr="00A67C76" w:rsidRDefault="00EA303E" w:rsidP="000B3877">
            <w:pPr>
              <w:spacing w:line="240" w:lineRule="auto"/>
              <w:contextualSpacing/>
              <w:rPr>
                <w:sz w:val="20"/>
              </w:rPr>
            </w:pPr>
            <w:r w:rsidRPr="00A67C76">
              <w:rPr>
                <w:sz w:val="20"/>
              </w:rPr>
              <w:t>Carp gudgeon</w:t>
            </w:r>
          </w:p>
          <w:p w:rsidR="00EA303E" w:rsidRPr="00A67C76" w:rsidRDefault="00EA303E" w:rsidP="000B3877">
            <w:pPr>
              <w:spacing w:line="240" w:lineRule="auto"/>
              <w:contextualSpacing/>
              <w:rPr>
                <w:sz w:val="20"/>
              </w:rPr>
            </w:pPr>
            <w:r w:rsidRPr="00A67C76">
              <w:rPr>
                <w:sz w:val="20"/>
              </w:rPr>
              <w:t>Bony herring</w:t>
            </w:r>
          </w:p>
          <w:p w:rsidR="00EA303E" w:rsidRPr="00A67C76" w:rsidRDefault="00EA303E" w:rsidP="000B3877">
            <w:pPr>
              <w:spacing w:line="240" w:lineRule="auto"/>
              <w:contextualSpacing/>
              <w:rPr>
                <w:sz w:val="20"/>
              </w:rPr>
            </w:pPr>
            <w:r w:rsidRPr="00A67C76">
              <w:rPr>
                <w:sz w:val="20"/>
              </w:rPr>
              <w:t>Australian smelt</w:t>
            </w:r>
          </w:p>
          <w:p w:rsidR="00EA303E" w:rsidRPr="00A67C76" w:rsidRDefault="00EA303E" w:rsidP="000B3877">
            <w:pPr>
              <w:spacing w:line="240" w:lineRule="auto"/>
              <w:contextualSpacing/>
              <w:rPr>
                <w:sz w:val="20"/>
              </w:rPr>
            </w:pPr>
            <w:r w:rsidRPr="00A67C76">
              <w:rPr>
                <w:sz w:val="20"/>
              </w:rPr>
              <w:t>Flat-headed gudgeon</w:t>
            </w:r>
          </w:p>
        </w:tc>
        <w:tc>
          <w:tcPr>
            <w:tcW w:w="561" w:type="dxa"/>
          </w:tcPr>
          <w:p w:rsidR="00EA303E" w:rsidRPr="00A67C76" w:rsidRDefault="00EA303E" w:rsidP="000B3877">
            <w:pPr>
              <w:spacing w:line="240" w:lineRule="auto"/>
              <w:contextualSpacing/>
              <w:jc w:val="center"/>
              <w:rPr>
                <w:sz w:val="20"/>
              </w:rPr>
            </w:pPr>
            <w:r w:rsidRPr="00A67C76">
              <w:rPr>
                <w:sz w:val="20"/>
              </w:rPr>
              <w:t>13</w:t>
            </w:r>
          </w:p>
          <w:p w:rsidR="00EA303E" w:rsidRPr="00A67C76" w:rsidRDefault="00EA303E" w:rsidP="000B3877">
            <w:pPr>
              <w:spacing w:line="240" w:lineRule="auto"/>
              <w:contextualSpacing/>
              <w:jc w:val="center"/>
              <w:rPr>
                <w:sz w:val="20"/>
              </w:rPr>
            </w:pPr>
            <w:r w:rsidRPr="00A67C76">
              <w:rPr>
                <w:sz w:val="20"/>
              </w:rPr>
              <w:t>298</w:t>
            </w:r>
          </w:p>
          <w:p w:rsidR="00EA303E" w:rsidRPr="00A67C76" w:rsidRDefault="00EA303E" w:rsidP="000B3877">
            <w:pPr>
              <w:spacing w:line="240" w:lineRule="auto"/>
              <w:contextualSpacing/>
              <w:jc w:val="center"/>
              <w:rPr>
                <w:sz w:val="20"/>
              </w:rPr>
            </w:pPr>
            <w:r w:rsidRPr="00A67C76">
              <w:rPr>
                <w:sz w:val="20"/>
              </w:rPr>
              <w:t>422</w:t>
            </w:r>
          </w:p>
          <w:p w:rsidR="00EA303E" w:rsidRPr="00A67C76" w:rsidRDefault="00EA303E" w:rsidP="000B3877">
            <w:pPr>
              <w:spacing w:line="240" w:lineRule="auto"/>
              <w:contextualSpacing/>
              <w:jc w:val="center"/>
              <w:rPr>
                <w:sz w:val="20"/>
              </w:rPr>
            </w:pPr>
            <w:r w:rsidRPr="00A67C76">
              <w:rPr>
                <w:sz w:val="20"/>
              </w:rPr>
              <w:t>206</w:t>
            </w:r>
          </w:p>
          <w:p w:rsidR="00EA303E" w:rsidRPr="00A67C76" w:rsidRDefault="00EA303E" w:rsidP="000B3877">
            <w:pPr>
              <w:spacing w:line="240" w:lineRule="auto"/>
              <w:contextualSpacing/>
              <w:jc w:val="center"/>
              <w:rPr>
                <w:sz w:val="20"/>
              </w:rPr>
            </w:pPr>
            <w:r w:rsidRPr="00A67C76">
              <w:rPr>
                <w:sz w:val="20"/>
              </w:rPr>
              <w:t>86</w:t>
            </w:r>
          </w:p>
          <w:p w:rsidR="00EA303E" w:rsidRPr="00A67C76" w:rsidRDefault="00EA303E" w:rsidP="000B3877">
            <w:pPr>
              <w:spacing w:line="240" w:lineRule="auto"/>
              <w:contextualSpacing/>
              <w:jc w:val="center"/>
              <w:rPr>
                <w:sz w:val="20"/>
              </w:rPr>
            </w:pPr>
            <w:r w:rsidRPr="00A67C76">
              <w:rPr>
                <w:sz w:val="20"/>
              </w:rPr>
              <w:t>183</w:t>
            </w:r>
          </w:p>
        </w:tc>
        <w:tc>
          <w:tcPr>
            <w:tcW w:w="1273" w:type="dxa"/>
          </w:tcPr>
          <w:p w:rsidR="00EA303E" w:rsidRPr="00A67C76" w:rsidRDefault="00EA303E" w:rsidP="000B3877">
            <w:pPr>
              <w:spacing w:line="240" w:lineRule="auto"/>
              <w:contextualSpacing/>
              <w:jc w:val="center"/>
              <w:rPr>
                <w:sz w:val="20"/>
              </w:rPr>
            </w:pPr>
            <w:r w:rsidRPr="00A67C76">
              <w:rPr>
                <w:sz w:val="20"/>
              </w:rPr>
              <w:t>174±104</w:t>
            </w:r>
          </w:p>
          <w:p w:rsidR="00EA303E" w:rsidRPr="00A67C76" w:rsidRDefault="00EA303E" w:rsidP="000B3877">
            <w:pPr>
              <w:spacing w:line="240" w:lineRule="auto"/>
              <w:contextualSpacing/>
              <w:jc w:val="center"/>
              <w:rPr>
                <w:sz w:val="20"/>
              </w:rPr>
            </w:pPr>
            <w:r w:rsidRPr="00A67C76">
              <w:rPr>
                <w:sz w:val="20"/>
              </w:rPr>
              <w:t>62±69</w:t>
            </w:r>
          </w:p>
          <w:p w:rsidR="00EA303E" w:rsidRPr="00A67C76" w:rsidRDefault="00EA303E" w:rsidP="000B3877">
            <w:pPr>
              <w:spacing w:line="240" w:lineRule="auto"/>
              <w:contextualSpacing/>
              <w:jc w:val="center"/>
              <w:rPr>
                <w:sz w:val="20"/>
              </w:rPr>
            </w:pPr>
            <w:r w:rsidRPr="00A67C76">
              <w:rPr>
                <w:sz w:val="20"/>
              </w:rPr>
              <w:t>32±7</w:t>
            </w:r>
          </w:p>
          <w:p w:rsidR="00EA303E" w:rsidRPr="00A67C76" w:rsidRDefault="00EA303E" w:rsidP="000B3877">
            <w:pPr>
              <w:spacing w:line="240" w:lineRule="auto"/>
              <w:contextualSpacing/>
              <w:jc w:val="center"/>
              <w:rPr>
                <w:sz w:val="20"/>
              </w:rPr>
            </w:pPr>
            <w:r w:rsidRPr="00A67C76">
              <w:rPr>
                <w:sz w:val="20"/>
              </w:rPr>
              <w:t>132±90</w:t>
            </w:r>
          </w:p>
          <w:p w:rsidR="00EA303E" w:rsidRPr="00A67C76" w:rsidRDefault="00EA303E" w:rsidP="000B3877">
            <w:pPr>
              <w:spacing w:line="240" w:lineRule="auto"/>
              <w:contextualSpacing/>
              <w:jc w:val="center"/>
              <w:rPr>
                <w:sz w:val="20"/>
              </w:rPr>
            </w:pPr>
            <w:r w:rsidRPr="00A67C76">
              <w:rPr>
                <w:sz w:val="20"/>
              </w:rPr>
              <w:t>53±16</w:t>
            </w:r>
          </w:p>
          <w:p w:rsidR="00EA303E" w:rsidRPr="00A67C76" w:rsidRDefault="00EA303E" w:rsidP="000B3877">
            <w:pPr>
              <w:spacing w:line="240" w:lineRule="auto"/>
              <w:contextualSpacing/>
              <w:jc w:val="center"/>
              <w:rPr>
                <w:sz w:val="20"/>
              </w:rPr>
            </w:pPr>
            <w:r w:rsidRPr="00A67C76">
              <w:rPr>
                <w:sz w:val="20"/>
              </w:rPr>
              <w:t>38±11</w:t>
            </w:r>
          </w:p>
        </w:tc>
        <w:tc>
          <w:tcPr>
            <w:tcW w:w="566" w:type="dxa"/>
          </w:tcPr>
          <w:p w:rsidR="00EA303E" w:rsidRPr="00A67C76" w:rsidRDefault="00EA303E" w:rsidP="000B3877">
            <w:pPr>
              <w:spacing w:line="240" w:lineRule="auto"/>
              <w:contextualSpacing/>
              <w:jc w:val="center"/>
              <w:rPr>
                <w:sz w:val="20"/>
              </w:rPr>
            </w:pPr>
            <w:r w:rsidRPr="00A67C76">
              <w:rPr>
                <w:sz w:val="20"/>
              </w:rPr>
              <w:t>19</w:t>
            </w:r>
          </w:p>
          <w:p w:rsidR="00EA303E" w:rsidRPr="00A67C76" w:rsidRDefault="00EA303E" w:rsidP="000B3877">
            <w:pPr>
              <w:spacing w:line="240" w:lineRule="auto"/>
              <w:contextualSpacing/>
              <w:jc w:val="center"/>
              <w:rPr>
                <w:sz w:val="20"/>
              </w:rPr>
            </w:pPr>
            <w:r w:rsidRPr="00A67C76">
              <w:rPr>
                <w:sz w:val="20"/>
              </w:rPr>
              <w:t>235</w:t>
            </w:r>
          </w:p>
          <w:p w:rsidR="00EA303E" w:rsidRPr="00A67C76" w:rsidRDefault="00EA303E" w:rsidP="000B3877">
            <w:pPr>
              <w:spacing w:line="240" w:lineRule="auto"/>
              <w:contextualSpacing/>
              <w:jc w:val="center"/>
              <w:rPr>
                <w:sz w:val="20"/>
              </w:rPr>
            </w:pPr>
            <w:r w:rsidRPr="00A67C76">
              <w:rPr>
                <w:sz w:val="20"/>
              </w:rPr>
              <w:t>414</w:t>
            </w:r>
          </w:p>
          <w:p w:rsidR="00EA303E" w:rsidRPr="00A67C76" w:rsidRDefault="00EA303E" w:rsidP="000B3877">
            <w:pPr>
              <w:spacing w:line="240" w:lineRule="auto"/>
              <w:contextualSpacing/>
              <w:jc w:val="center"/>
              <w:rPr>
                <w:sz w:val="20"/>
              </w:rPr>
            </w:pPr>
            <w:r w:rsidRPr="00A67C76">
              <w:rPr>
                <w:sz w:val="20"/>
              </w:rPr>
              <w:t>218</w:t>
            </w:r>
          </w:p>
          <w:p w:rsidR="00EA303E" w:rsidRPr="00A67C76" w:rsidRDefault="00EA303E" w:rsidP="000B3877">
            <w:pPr>
              <w:spacing w:line="240" w:lineRule="auto"/>
              <w:contextualSpacing/>
              <w:jc w:val="center"/>
              <w:rPr>
                <w:sz w:val="20"/>
              </w:rPr>
            </w:pPr>
            <w:r w:rsidRPr="00A67C76">
              <w:rPr>
                <w:sz w:val="20"/>
              </w:rPr>
              <w:t>174</w:t>
            </w:r>
          </w:p>
          <w:p w:rsidR="00EA303E" w:rsidRPr="00A67C76" w:rsidRDefault="00EA303E" w:rsidP="000B3877">
            <w:pPr>
              <w:spacing w:line="240" w:lineRule="auto"/>
              <w:contextualSpacing/>
              <w:jc w:val="center"/>
              <w:rPr>
                <w:sz w:val="20"/>
              </w:rPr>
            </w:pPr>
            <w:r w:rsidRPr="00A67C76">
              <w:rPr>
                <w:sz w:val="20"/>
              </w:rPr>
              <w:t>195</w:t>
            </w:r>
          </w:p>
        </w:tc>
        <w:tc>
          <w:tcPr>
            <w:tcW w:w="1273" w:type="dxa"/>
          </w:tcPr>
          <w:p w:rsidR="00EA303E" w:rsidRPr="00A67C76" w:rsidRDefault="00EA303E" w:rsidP="000B3877">
            <w:pPr>
              <w:spacing w:line="240" w:lineRule="auto"/>
              <w:contextualSpacing/>
              <w:jc w:val="center"/>
              <w:rPr>
                <w:sz w:val="20"/>
              </w:rPr>
            </w:pPr>
            <w:r w:rsidRPr="00A67C76">
              <w:rPr>
                <w:sz w:val="20"/>
              </w:rPr>
              <w:t>130±56</w:t>
            </w:r>
          </w:p>
          <w:p w:rsidR="00EA303E" w:rsidRPr="00A67C76" w:rsidRDefault="00EA303E" w:rsidP="000B3877">
            <w:pPr>
              <w:spacing w:line="240" w:lineRule="auto"/>
              <w:contextualSpacing/>
              <w:jc w:val="center"/>
              <w:rPr>
                <w:sz w:val="20"/>
              </w:rPr>
            </w:pPr>
            <w:r w:rsidRPr="00A67C76">
              <w:rPr>
                <w:sz w:val="20"/>
              </w:rPr>
              <w:t>56±58</w:t>
            </w:r>
          </w:p>
          <w:p w:rsidR="00EA303E" w:rsidRPr="00A67C76" w:rsidRDefault="00EA303E" w:rsidP="000B3877">
            <w:pPr>
              <w:spacing w:line="240" w:lineRule="auto"/>
              <w:contextualSpacing/>
              <w:jc w:val="center"/>
              <w:rPr>
                <w:sz w:val="20"/>
              </w:rPr>
            </w:pPr>
            <w:r w:rsidRPr="00A67C76">
              <w:rPr>
                <w:sz w:val="20"/>
              </w:rPr>
              <w:t>33±7</w:t>
            </w:r>
          </w:p>
          <w:p w:rsidR="00EA303E" w:rsidRPr="00A67C76" w:rsidRDefault="00EA303E" w:rsidP="000B3877">
            <w:pPr>
              <w:spacing w:line="240" w:lineRule="auto"/>
              <w:contextualSpacing/>
              <w:jc w:val="center"/>
              <w:rPr>
                <w:sz w:val="20"/>
              </w:rPr>
            </w:pPr>
            <w:r w:rsidRPr="00A67C76">
              <w:rPr>
                <w:sz w:val="20"/>
              </w:rPr>
              <w:t>112±67</w:t>
            </w:r>
          </w:p>
          <w:p w:rsidR="00EA303E" w:rsidRPr="00A67C76" w:rsidRDefault="00EA303E" w:rsidP="000B3877">
            <w:pPr>
              <w:spacing w:line="240" w:lineRule="auto"/>
              <w:contextualSpacing/>
              <w:jc w:val="center"/>
              <w:rPr>
                <w:sz w:val="20"/>
              </w:rPr>
            </w:pPr>
            <w:r w:rsidRPr="00A67C76">
              <w:rPr>
                <w:sz w:val="20"/>
              </w:rPr>
              <w:t>53±15</w:t>
            </w:r>
          </w:p>
          <w:p w:rsidR="00EA303E" w:rsidRPr="00A67C76" w:rsidRDefault="00EA303E" w:rsidP="000B3877">
            <w:pPr>
              <w:spacing w:line="240" w:lineRule="auto"/>
              <w:contextualSpacing/>
              <w:jc w:val="center"/>
              <w:rPr>
                <w:sz w:val="20"/>
              </w:rPr>
            </w:pPr>
            <w:r w:rsidRPr="00A67C76">
              <w:rPr>
                <w:sz w:val="20"/>
              </w:rPr>
              <w:t>36±10</w:t>
            </w:r>
          </w:p>
        </w:tc>
        <w:tc>
          <w:tcPr>
            <w:tcW w:w="886" w:type="dxa"/>
          </w:tcPr>
          <w:p w:rsidR="00EA303E" w:rsidRPr="00A67C76" w:rsidRDefault="00EA303E" w:rsidP="000B3877">
            <w:pPr>
              <w:spacing w:line="240" w:lineRule="auto"/>
              <w:contextualSpacing/>
              <w:jc w:val="center"/>
              <w:rPr>
                <w:sz w:val="20"/>
              </w:rPr>
            </w:pPr>
            <w:r w:rsidRPr="00A67C76">
              <w:rPr>
                <w:sz w:val="20"/>
              </w:rPr>
              <w:t>0.71</w:t>
            </w:r>
          </w:p>
          <w:p w:rsidR="00EA303E" w:rsidRPr="00A67C76" w:rsidRDefault="00EA303E" w:rsidP="000B3877">
            <w:pPr>
              <w:spacing w:line="240" w:lineRule="auto"/>
              <w:contextualSpacing/>
              <w:jc w:val="center"/>
              <w:rPr>
                <w:sz w:val="20"/>
              </w:rPr>
            </w:pPr>
            <w:r w:rsidRPr="00A67C76">
              <w:rPr>
                <w:sz w:val="20"/>
              </w:rPr>
              <w:t>1.39</w:t>
            </w:r>
          </w:p>
          <w:p w:rsidR="00EA303E" w:rsidRPr="00A67C76" w:rsidRDefault="00EA303E" w:rsidP="000B3877">
            <w:pPr>
              <w:spacing w:line="240" w:lineRule="auto"/>
              <w:contextualSpacing/>
              <w:jc w:val="center"/>
              <w:rPr>
                <w:sz w:val="20"/>
              </w:rPr>
            </w:pPr>
            <w:r w:rsidRPr="00A67C76">
              <w:rPr>
                <w:sz w:val="20"/>
              </w:rPr>
              <w:t>1.12</w:t>
            </w:r>
          </w:p>
          <w:p w:rsidR="00EA303E" w:rsidRPr="00A67C76" w:rsidRDefault="00EA303E" w:rsidP="000B3877">
            <w:pPr>
              <w:spacing w:line="240" w:lineRule="auto"/>
              <w:contextualSpacing/>
              <w:jc w:val="center"/>
              <w:rPr>
                <w:sz w:val="20"/>
              </w:rPr>
            </w:pPr>
            <w:r w:rsidRPr="00A67C76">
              <w:rPr>
                <w:sz w:val="20"/>
              </w:rPr>
              <w:t>1.41</w:t>
            </w:r>
          </w:p>
          <w:p w:rsidR="00EA303E" w:rsidRPr="00A67C76" w:rsidRDefault="00EA303E" w:rsidP="000B3877">
            <w:pPr>
              <w:spacing w:line="240" w:lineRule="auto"/>
              <w:contextualSpacing/>
              <w:jc w:val="center"/>
              <w:rPr>
                <w:sz w:val="20"/>
              </w:rPr>
            </w:pPr>
            <w:r w:rsidRPr="00A67C76">
              <w:rPr>
                <w:sz w:val="20"/>
              </w:rPr>
              <w:t>1.12</w:t>
            </w:r>
          </w:p>
          <w:p w:rsidR="00EA303E" w:rsidRPr="00A67C76" w:rsidRDefault="00EA303E" w:rsidP="000B3877">
            <w:pPr>
              <w:spacing w:line="240" w:lineRule="auto"/>
              <w:contextualSpacing/>
              <w:jc w:val="center"/>
              <w:rPr>
                <w:sz w:val="20"/>
              </w:rPr>
            </w:pPr>
            <w:r w:rsidRPr="00A67C76">
              <w:rPr>
                <w:sz w:val="20"/>
              </w:rPr>
              <w:t>1.06</w:t>
            </w:r>
          </w:p>
        </w:tc>
        <w:tc>
          <w:tcPr>
            <w:tcW w:w="886" w:type="dxa"/>
          </w:tcPr>
          <w:p w:rsidR="00EA303E" w:rsidRPr="00A67C76" w:rsidRDefault="00EA303E" w:rsidP="000B3877">
            <w:pPr>
              <w:spacing w:line="240" w:lineRule="auto"/>
              <w:contextualSpacing/>
              <w:jc w:val="center"/>
              <w:rPr>
                <w:sz w:val="20"/>
              </w:rPr>
            </w:pPr>
            <w:r w:rsidRPr="00A67C76">
              <w:rPr>
                <w:sz w:val="20"/>
              </w:rPr>
              <w:t>0.697</w:t>
            </w:r>
          </w:p>
          <w:p w:rsidR="00EA303E" w:rsidRPr="00A67C76" w:rsidRDefault="00EA303E" w:rsidP="000B3877">
            <w:pPr>
              <w:spacing w:line="240" w:lineRule="auto"/>
              <w:contextualSpacing/>
              <w:jc w:val="center"/>
              <w:rPr>
                <w:b/>
                <w:sz w:val="20"/>
              </w:rPr>
            </w:pPr>
            <w:r w:rsidRPr="00A67C76">
              <w:rPr>
                <w:b/>
                <w:sz w:val="20"/>
              </w:rPr>
              <w:t>0.041</w:t>
            </w:r>
          </w:p>
          <w:p w:rsidR="00EA303E" w:rsidRPr="00A67C76" w:rsidRDefault="00EA303E" w:rsidP="000B3877">
            <w:pPr>
              <w:spacing w:line="240" w:lineRule="auto"/>
              <w:contextualSpacing/>
              <w:jc w:val="center"/>
              <w:rPr>
                <w:sz w:val="20"/>
              </w:rPr>
            </w:pPr>
            <w:r w:rsidRPr="00A67C76">
              <w:rPr>
                <w:sz w:val="20"/>
              </w:rPr>
              <w:t>0.164</w:t>
            </w:r>
          </w:p>
          <w:p w:rsidR="00EA303E" w:rsidRPr="00A67C76" w:rsidRDefault="00EA303E" w:rsidP="000B3877">
            <w:pPr>
              <w:spacing w:line="240" w:lineRule="auto"/>
              <w:contextualSpacing/>
              <w:jc w:val="center"/>
              <w:rPr>
                <w:b/>
                <w:sz w:val="20"/>
              </w:rPr>
            </w:pPr>
            <w:r w:rsidRPr="00A67C76">
              <w:rPr>
                <w:b/>
                <w:sz w:val="20"/>
              </w:rPr>
              <w:t>0.038</w:t>
            </w:r>
          </w:p>
          <w:p w:rsidR="00EA303E" w:rsidRPr="00A67C76" w:rsidRDefault="00EA303E" w:rsidP="000B3877">
            <w:pPr>
              <w:spacing w:line="240" w:lineRule="auto"/>
              <w:contextualSpacing/>
              <w:jc w:val="center"/>
              <w:rPr>
                <w:sz w:val="20"/>
              </w:rPr>
            </w:pPr>
            <w:r w:rsidRPr="00A67C76">
              <w:rPr>
                <w:sz w:val="20"/>
              </w:rPr>
              <w:t>0.162</w:t>
            </w:r>
          </w:p>
          <w:p w:rsidR="00EA303E" w:rsidRPr="00A67C76" w:rsidRDefault="00EA303E" w:rsidP="000B3877">
            <w:pPr>
              <w:spacing w:line="240" w:lineRule="auto"/>
              <w:contextualSpacing/>
              <w:jc w:val="center"/>
              <w:rPr>
                <w:sz w:val="20"/>
              </w:rPr>
            </w:pPr>
            <w:r w:rsidRPr="00A67C76">
              <w:rPr>
                <w:sz w:val="20"/>
              </w:rPr>
              <w:t>0.209</w:t>
            </w:r>
          </w:p>
        </w:tc>
        <w:tc>
          <w:tcPr>
            <w:tcW w:w="1481" w:type="dxa"/>
          </w:tcPr>
          <w:p w:rsidR="00EA303E" w:rsidRPr="00A67C76" w:rsidRDefault="00EA303E" w:rsidP="000B3877">
            <w:pPr>
              <w:spacing w:line="240" w:lineRule="auto"/>
              <w:contextualSpacing/>
              <w:jc w:val="center"/>
              <w:rPr>
                <w:sz w:val="20"/>
              </w:rPr>
            </w:pPr>
            <w:r w:rsidRPr="00A67C76">
              <w:rPr>
                <w:sz w:val="20"/>
              </w:rPr>
              <w:t>-</w:t>
            </w:r>
          </w:p>
          <w:p w:rsidR="00EA303E" w:rsidRPr="00A67C76" w:rsidRDefault="00EA303E" w:rsidP="000B3877">
            <w:pPr>
              <w:spacing w:line="240" w:lineRule="auto"/>
              <w:contextualSpacing/>
              <w:jc w:val="center"/>
              <w:rPr>
                <w:sz w:val="20"/>
              </w:rPr>
            </w:pPr>
            <w:r w:rsidRPr="00A67C76">
              <w:rPr>
                <w:sz w:val="20"/>
              </w:rPr>
              <w:t>IN</w:t>
            </w:r>
          </w:p>
          <w:p w:rsidR="00EA303E" w:rsidRPr="00A67C76" w:rsidRDefault="00EA303E" w:rsidP="000B3877">
            <w:pPr>
              <w:spacing w:line="240" w:lineRule="auto"/>
              <w:contextualSpacing/>
              <w:jc w:val="center"/>
              <w:rPr>
                <w:sz w:val="20"/>
              </w:rPr>
            </w:pPr>
            <w:r w:rsidRPr="00A67C76">
              <w:rPr>
                <w:sz w:val="20"/>
              </w:rPr>
              <w:t>-</w:t>
            </w:r>
          </w:p>
          <w:p w:rsidR="00EA303E" w:rsidRPr="00A67C76" w:rsidRDefault="00EA303E" w:rsidP="000B3877">
            <w:pPr>
              <w:spacing w:line="240" w:lineRule="auto"/>
              <w:contextualSpacing/>
              <w:jc w:val="center"/>
              <w:rPr>
                <w:sz w:val="20"/>
              </w:rPr>
            </w:pPr>
            <w:r w:rsidRPr="00A67C76">
              <w:rPr>
                <w:sz w:val="20"/>
              </w:rPr>
              <w:t>IN</w:t>
            </w:r>
          </w:p>
          <w:p w:rsidR="00EA303E" w:rsidRPr="00A67C76" w:rsidRDefault="00EA303E" w:rsidP="000B3877">
            <w:pPr>
              <w:spacing w:line="240" w:lineRule="auto"/>
              <w:contextualSpacing/>
              <w:jc w:val="center"/>
              <w:rPr>
                <w:sz w:val="20"/>
              </w:rPr>
            </w:pPr>
            <w:r w:rsidRPr="00A67C76">
              <w:rPr>
                <w:sz w:val="20"/>
              </w:rPr>
              <w:t>-</w:t>
            </w:r>
          </w:p>
          <w:p w:rsidR="00EA303E" w:rsidRPr="00A67C76" w:rsidRDefault="00EA303E" w:rsidP="000B3877">
            <w:pPr>
              <w:spacing w:line="240" w:lineRule="auto"/>
              <w:contextualSpacing/>
              <w:jc w:val="center"/>
              <w:rPr>
                <w:sz w:val="20"/>
              </w:rPr>
            </w:pPr>
            <w:r w:rsidRPr="00A67C76">
              <w:rPr>
                <w:sz w:val="20"/>
              </w:rPr>
              <w:t>-</w:t>
            </w:r>
          </w:p>
        </w:tc>
      </w:tr>
    </w:tbl>
    <w:p w:rsidR="00EA303E" w:rsidRPr="00A67C76" w:rsidRDefault="00EA303E" w:rsidP="00EA303E"/>
    <w:p w:rsidR="00EA303E" w:rsidRPr="00A67C76" w:rsidRDefault="00EA303E" w:rsidP="00807938">
      <w:pPr>
        <w:pStyle w:val="ListParagraph"/>
        <w:numPr>
          <w:ilvl w:val="0"/>
          <w:numId w:val="14"/>
        </w:numPr>
      </w:pPr>
      <w:r w:rsidRPr="00A67C76">
        <w:t>Kroehns – Gorge region</w:t>
      </w:r>
    </w:p>
    <w:tbl>
      <w:tblPr>
        <w:tblStyle w:val="TableGrid"/>
        <w:tblW w:w="9464" w:type="dxa"/>
        <w:tblBorders>
          <w:left w:val="none" w:sz="0" w:space="0" w:color="auto"/>
          <w:right w:val="none" w:sz="0" w:space="0" w:color="auto"/>
          <w:insideV w:val="none" w:sz="0" w:space="0" w:color="auto"/>
        </w:tblBorders>
        <w:tblLayout w:type="fixed"/>
        <w:tblLook w:val="04A0"/>
      </w:tblPr>
      <w:tblGrid>
        <w:gridCol w:w="2660"/>
        <w:gridCol w:w="567"/>
        <w:gridCol w:w="1276"/>
        <w:gridCol w:w="567"/>
        <w:gridCol w:w="1275"/>
        <w:gridCol w:w="747"/>
        <w:gridCol w:w="888"/>
        <w:gridCol w:w="1484"/>
      </w:tblGrid>
      <w:tr w:rsidR="00EA303E" w:rsidRPr="00A67C76" w:rsidTr="00EA303E">
        <w:tc>
          <w:tcPr>
            <w:tcW w:w="2660" w:type="dxa"/>
          </w:tcPr>
          <w:p w:rsidR="00EA303E" w:rsidRPr="00A67C76" w:rsidRDefault="00EA303E" w:rsidP="000B3877">
            <w:pPr>
              <w:spacing w:line="240" w:lineRule="auto"/>
              <w:contextualSpacing/>
              <w:rPr>
                <w:b/>
                <w:sz w:val="20"/>
              </w:rPr>
            </w:pPr>
          </w:p>
        </w:tc>
        <w:tc>
          <w:tcPr>
            <w:tcW w:w="1843" w:type="dxa"/>
            <w:gridSpan w:val="2"/>
          </w:tcPr>
          <w:p w:rsidR="00EA303E" w:rsidRPr="00A67C76" w:rsidRDefault="00EA303E" w:rsidP="000B3877">
            <w:pPr>
              <w:spacing w:line="240" w:lineRule="auto"/>
              <w:contextualSpacing/>
              <w:jc w:val="center"/>
              <w:rPr>
                <w:b/>
                <w:sz w:val="20"/>
              </w:rPr>
            </w:pPr>
            <w:r w:rsidRPr="00A67C76">
              <w:rPr>
                <w:b/>
                <w:sz w:val="20"/>
              </w:rPr>
              <w:t>IN</w:t>
            </w:r>
          </w:p>
        </w:tc>
        <w:tc>
          <w:tcPr>
            <w:tcW w:w="1842" w:type="dxa"/>
            <w:gridSpan w:val="2"/>
          </w:tcPr>
          <w:p w:rsidR="00EA303E" w:rsidRPr="00A67C76" w:rsidRDefault="00EA303E" w:rsidP="000B3877">
            <w:pPr>
              <w:spacing w:line="240" w:lineRule="auto"/>
              <w:contextualSpacing/>
              <w:jc w:val="center"/>
              <w:rPr>
                <w:b/>
                <w:sz w:val="20"/>
              </w:rPr>
            </w:pPr>
            <w:r w:rsidRPr="00A67C76">
              <w:rPr>
                <w:b/>
                <w:sz w:val="20"/>
              </w:rPr>
              <w:t>OUT</w:t>
            </w:r>
          </w:p>
        </w:tc>
        <w:tc>
          <w:tcPr>
            <w:tcW w:w="747" w:type="dxa"/>
          </w:tcPr>
          <w:p w:rsidR="00EA303E" w:rsidRPr="00A67C76" w:rsidRDefault="00EA303E" w:rsidP="000B3877">
            <w:pPr>
              <w:spacing w:line="240" w:lineRule="auto"/>
              <w:contextualSpacing/>
              <w:jc w:val="center"/>
              <w:rPr>
                <w:b/>
                <w:sz w:val="20"/>
              </w:rPr>
            </w:pPr>
          </w:p>
        </w:tc>
        <w:tc>
          <w:tcPr>
            <w:tcW w:w="888" w:type="dxa"/>
          </w:tcPr>
          <w:p w:rsidR="00EA303E" w:rsidRPr="00A67C76" w:rsidRDefault="00EA303E" w:rsidP="000B3877">
            <w:pPr>
              <w:spacing w:line="240" w:lineRule="auto"/>
              <w:contextualSpacing/>
              <w:jc w:val="center"/>
              <w:rPr>
                <w:b/>
                <w:i/>
                <w:sz w:val="20"/>
              </w:rPr>
            </w:pPr>
          </w:p>
        </w:tc>
        <w:tc>
          <w:tcPr>
            <w:tcW w:w="1484" w:type="dxa"/>
            <w:vMerge w:val="restart"/>
          </w:tcPr>
          <w:p w:rsidR="00EA303E" w:rsidRPr="00A67C76" w:rsidRDefault="00EA303E" w:rsidP="000B3877">
            <w:pPr>
              <w:spacing w:line="240" w:lineRule="auto"/>
              <w:contextualSpacing/>
              <w:jc w:val="center"/>
              <w:rPr>
                <w:i/>
                <w:sz w:val="20"/>
              </w:rPr>
            </w:pPr>
            <w:r w:rsidRPr="00A67C76">
              <w:rPr>
                <w:b/>
                <w:i/>
                <w:sz w:val="20"/>
              </w:rPr>
              <w:t>Directional movement of larger fish</w:t>
            </w:r>
          </w:p>
        </w:tc>
      </w:tr>
      <w:tr w:rsidR="00EA303E" w:rsidRPr="00A67C76" w:rsidTr="00EA303E">
        <w:tc>
          <w:tcPr>
            <w:tcW w:w="2660" w:type="dxa"/>
          </w:tcPr>
          <w:p w:rsidR="00EA303E" w:rsidRPr="00A67C76" w:rsidRDefault="00EA303E" w:rsidP="000B3877">
            <w:pPr>
              <w:spacing w:line="240" w:lineRule="auto"/>
              <w:contextualSpacing/>
              <w:rPr>
                <w:b/>
                <w:sz w:val="20"/>
              </w:rPr>
            </w:pPr>
            <w:r w:rsidRPr="00A67C76">
              <w:rPr>
                <w:b/>
                <w:sz w:val="20"/>
              </w:rPr>
              <w:t>Species</w:t>
            </w:r>
          </w:p>
        </w:tc>
        <w:tc>
          <w:tcPr>
            <w:tcW w:w="567" w:type="dxa"/>
          </w:tcPr>
          <w:p w:rsidR="00EA303E" w:rsidRPr="00A67C76" w:rsidRDefault="00EA303E" w:rsidP="000B3877">
            <w:pPr>
              <w:spacing w:line="240" w:lineRule="auto"/>
              <w:contextualSpacing/>
              <w:jc w:val="center"/>
              <w:rPr>
                <w:b/>
                <w:sz w:val="20"/>
              </w:rPr>
            </w:pPr>
            <w:r w:rsidRPr="00A67C76">
              <w:rPr>
                <w:b/>
                <w:sz w:val="20"/>
              </w:rPr>
              <w:t>n</w:t>
            </w:r>
          </w:p>
        </w:tc>
        <w:tc>
          <w:tcPr>
            <w:tcW w:w="1276" w:type="dxa"/>
          </w:tcPr>
          <w:p w:rsidR="00EA303E" w:rsidRPr="00A67C76" w:rsidRDefault="00EA303E" w:rsidP="000B3877">
            <w:pPr>
              <w:spacing w:line="240" w:lineRule="auto"/>
              <w:contextualSpacing/>
              <w:jc w:val="center"/>
              <w:rPr>
                <w:b/>
                <w:sz w:val="20"/>
              </w:rPr>
            </w:pPr>
            <w:r w:rsidRPr="00A67C76">
              <w:rPr>
                <w:b/>
                <w:sz w:val="20"/>
              </w:rPr>
              <w:t>Mean ±SD</w:t>
            </w:r>
          </w:p>
        </w:tc>
        <w:tc>
          <w:tcPr>
            <w:tcW w:w="567" w:type="dxa"/>
          </w:tcPr>
          <w:p w:rsidR="00EA303E" w:rsidRPr="00A67C76" w:rsidRDefault="00EA303E" w:rsidP="000B3877">
            <w:pPr>
              <w:spacing w:line="240" w:lineRule="auto"/>
              <w:contextualSpacing/>
              <w:jc w:val="center"/>
              <w:rPr>
                <w:b/>
                <w:sz w:val="20"/>
              </w:rPr>
            </w:pPr>
            <w:r w:rsidRPr="00A67C76">
              <w:rPr>
                <w:b/>
                <w:sz w:val="20"/>
              </w:rPr>
              <w:t>n</w:t>
            </w:r>
          </w:p>
        </w:tc>
        <w:tc>
          <w:tcPr>
            <w:tcW w:w="1275" w:type="dxa"/>
          </w:tcPr>
          <w:p w:rsidR="00EA303E" w:rsidRPr="00A67C76" w:rsidRDefault="00EA303E" w:rsidP="000B3877">
            <w:pPr>
              <w:spacing w:line="240" w:lineRule="auto"/>
              <w:contextualSpacing/>
              <w:jc w:val="center"/>
              <w:rPr>
                <w:b/>
                <w:sz w:val="20"/>
              </w:rPr>
            </w:pPr>
            <w:r w:rsidRPr="00A67C76">
              <w:rPr>
                <w:b/>
                <w:sz w:val="20"/>
              </w:rPr>
              <w:t>Mean ±SD</w:t>
            </w:r>
          </w:p>
        </w:tc>
        <w:tc>
          <w:tcPr>
            <w:tcW w:w="747" w:type="dxa"/>
          </w:tcPr>
          <w:p w:rsidR="00EA303E" w:rsidRPr="00A67C76" w:rsidRDefault="00EA303E" w:rsidP="000B3877">
            <w:pPr>
              <w:spacing w:line="240" w:lineRule="auto"/>
              <w:contextualSpacing/>
              <w:jc w:val="center"/>
              <w:rPr>
                <w:b/>
                <w:sz w:val="20"/>
              </w:rPr>
            </w:pPr>
            <w:r w:rsidRPr="00A67C76">
              <w:rPr>
                <w:b/>
                <w:sz w:val="20"/>
              </w:rPr>
              <w:t>KS</w:t>
            </w:r>
          </w:p>
        </w:tc>
        <w:tc>
          <w:tcPr>
            <w:tcW w:w="888" w:type="dxa"/>
          </w:tcPr>
          <w:p w:rsidR="00EA303E" w:rsidRPr="00A67C76" w:rsidRDefault="00EA303E" w:rsidP="000B3877">
            <w:pPr>
              <w:spacing w:line="240" w:lineRule="auto"/>
              <w:contextualSpacing/>
              <w:jc w:val="center"/>
              <w:rPr>
                <w:b/>
                <w:sz w:val="20"/>
              </w:rPr>
            </w:pPr>
            <w:r w:rsidRPr="00A67C76">
              <w:rPr>
                <w:b/>
                <w:i/>
                <w:sz w:val="20"/>
              </w:rPr>
              <w:t>p</w:t>
            </w:r>
          </w:p>
        </w:tc>
        <w:tc>
          <w:tcPr>
            <w:tcW w:w="1484" w:type="dxa"/>
            <w:vMerge/>
          </w:tcPr>
          <w:p w:rsidR="00EA303E" w:rsidRPr="00A67C76" w:rsidRDefault="00EA303E" w:rsidP="000B3877">
            <w:pPr>
              <w:spacing w:line="240" w:lineRule="auto"/>
              <w:contextualSpacing/>
              <w:jc w:val="center"/>
              <w:rPr>
                <w:sz w:val="20"/>
              </w:rPr>
            </w:pPr>
          </w:p>
        </w:tc>
      </w:tr>
      <w:tr w:rsidR="00EA303E" w:rsidRPr="00A67C76" w:rsidTr="00EA303E">
        <w:tc>
          <w:tcPr>
            <w:tcW w:w="2660" w:type="dxa"/>
          </w:tcPr>
          <w:p w:rsidR="00EA303E" w:rsidRPr="00A67C76" w:rsidRDefault="00EA303E" w:rsidP="000B3877">
            <w:pPr>
              <w:spacing w:line="240" w:lineRule="auto"/>
              <w:contextualSpacing/>
              <w:rPr>
                <w:sz w:val="20"/>
              </w:rPr>
            </w:pPr>
            <w:r w:rsidRPr="00A67C76">
              <w:rPr>
                <w:sz w:val="20"/>
              </w:rPr>
              <w:t>Golden Perch</w:t>
            </w:r>
          </w:p>
          <w:p w:rsidR="00EA303E" w:rsidRPr="00A67C76" w:rsidRDefault="00EA303E" w:rsidP="000B3877">
            <w:pPr>
              <w:spacing w:line="240" w:lineRule="auto"/>
              <w:contextualSpacing/>
              <w:rPr>
                <w:sz w:val="20"/>
              </w:rPr>
            </w:pPr>
            <w:r w:rsidRPr="00A67C76">
              <w:rPr>
                <w:sz w:val="20"/>
              </w:rPr>
              <w:t>Common carp</w:t>
            </w:r>
          </w:p>
          <w:p w:rsidR="00EA303E" w:rsidRPr="00A67C76" w:rsidRDefault="00EA303E" w:rsidP="000B3877">
            <w:pPr>
              <w:spacing w:line="240" w:lineRule="auto"/>
              <w:contextualSpacing/>
              <w:rPr>
                <w:sz w:val="20"/>
              </w:rPr>
            </w:pPr>
            <w:r w:rsidRPr="00A67C76">
              <w:rPr>
                <w:sz w:val="20"/>
              </w:rPr>
              <w:t>Carp gudgeon</w:t>
            </w:r>
          </w:p>
          <w:p w:rsidR="00EA303E" w:rsidRPr="00A67C76" w:rsidRDefault="00EA303E" w:rsidP="000B3877">
            <w:pPr>
              <w:spacing w:line="240" w:lineRule="auto"/>
              <w:contextualSpacing/>
              <w:rPr>
                <w:sz w:val="20"/>
              </w:rPr>
            </w:pPr>
            <w:r w:rsidRPr="00A67C76">
              <w:rPr>
                <w:sz w:val="20"/>
              </w:rPr>
              <w:t>Bony herring</w:t>
            </w:r>
          </w:p>
          <w:p w:rsidR="00EA303E" w:rsidRPr="00A67C76" w:rsidRDefault="00EA303E" w:rsidP="000B3877">
            <w:pPr>
              <w:spacing w:line="240" w:lineRule="auto"/>
              <w:contextualSpacing/>
              <w:rPr>
                <w:sz w:val="20"/>
              </w:rPr>
            </w:pPr>
            <w:r w:rsidRPr="00A67C76">
              <w:rPr>
                <w:sz w:val="20"/>
              </w:rPr>
              <w:t>Unspecked hardyhead</w:t>
            </w:r>
          </w:p>
          <w:p w:rsidR="00EA303E" w:rsidRPr="00A67C76" w:rsidRDefault="00EA303E" w:rsidP="000B3877">
            <w:pPr>
              <w:spacing w:line="240" w:lineRule="auto"/>
              <w:contextualSpacing/>
              <w:rPr>
                <w:sz w:val="20"/>
              </w:rPr>
            </w:pPr>
            <w:r w:rsidRPr="00A67C76">
              <w:rPr>
                <w:sz w:val="20"/>
              </w:rPr>
              <w:t>Flat-headed gudgeon</w:t>
            </w:r>
          </w:p>
          <w:p w:rsidR="00EA303E" w:rsidRPr="00A67C76" w:rsidRDefault="00EA303E" w:rsidP="000B3877">
            <w:pPr>
              <w:spacing w:line="240" w:lineRule="auto"/>
              <w:contextualSpacing/>
              <w:rPr>
                <w:sz w:val="20"/>
              </w:rPr>
            </w:pPr>
            <w:r w:rsidRPr="00A67C76">
              <w:rPr>
                <w:sz w:val="20"/>
              </w:rPr>
              <w:t>Australian smelt</w:t>
            </w:r>
          </w:p>
        </w:tc>
        <w:tc>
          <w:tcPr>
            <w:tcW w:w="567" w:type="dxa"/>
          </w:tcPr>
          <w:p w:rsidR="00EA303E" w:rsidRPr="00A67C76" w:rsidRDefault="00EA303E" w:rsidP="000B3877">
            <w:pPr>
              <w:spacing w:line="240" w:lineRule="auto"/>
              <w:contextualSpacing/>
              <w:jc w:val="center"/>
              <w:rPr>
                <w:sz w:val="20"/>
              </w:rPr>
            </w:pPr>
            <w:r w:rsidRPr="00A67C76">
              <w:rPr>
                <w:sz w:val="20"/>
              </w:rPr>
              <w:t>63</w:t>
            </w:r>
          </w:p>
          <w:p w:rsidR="00EA303E" w:rsidRPr="00A67C76" w:rsidRDefault="00EA303E" w:rsidP="000B3877">
            <w:pPr>
              <w:spacing w:line="240" w:lineRule="auto"/>
              <w:contextualSpacing/>
              <w:jc w:val="center"/>
              <w:rPr>
                <w:sz w:val="20"/>
              </w:rPr>
            </w:pPr>
            <w:r w:rsidRPr="00A67C76">
              <w:rPr>
                <w:sz w:val="20"/>
              </w:rPr>
              <w:t>454</w:t>
            </w:r>
          </w:p>
          <w:p w:rsidR="00EA303E" w:rsidRPr="00A67C76" w:rsidRDefault="00EA303E" w:rsidP="000B3877">
            <w:pPr>
              <w:spacing w:line="240" w:lineRule="auto"/>
              <w:contextualSpacing/>
              <w:jc w:val="center"/>
              <w:rPr>
                <w:sz w:val="20"/>
              </w:rPr>
            </w:pPr>
            <w:r w:rsidRPr="00A67C76">
              <w:rPr>
                <w:sz w:val="20"/>
              </w:rPr>
              <w:t>470</w:t>
            </w:r>
          </w:p>
          <w:p w:rsidR="00EA303E" w:rsidRPr="00A67C76" w:rsidRDefault="00EA303E" w:rsidP="000B3877">
            <w:pPr>
              <w:spacing w:line="240" w:lineRule="auto"/>
              <w:contextualSpacing/>
              <w:jc w:val="center"/>
              <w:rPr>
                <w:sz w:val="20"/>
              </w:rPr>
            </w:pPr>
            <w:r w:rsidRPr="00A67C76">
              <w:rPr>
                <w:sz w:val="20"/>
              </w:rPr>
              <w:t>226</w:t>
            </w:r>
          </w:p>
          <w:p w:rsidR="00EA303E" w:rsidRPr="00A67C76" w:rsidRDefault="00EA303E" w:rsidP="000B3877">
            <w:pPr>
              <w:spacing w:line="240" w:lineRule="auto"/>
              <w:contextualSpacing/>
              <w:jc w:val="center"/>
              <w:rPr>
                <w:sz w:val="20"/>
              </w:rPr>
            </w:pPr>
            <w:r w:rsidRPr="00A67C76">
              <w:rPr>
                <w:sz w:val="20"/>
              </w:rPr>
              <w:t>289</w:t>
            </w:r>
          </w:p>
          <w:p w:rsidR="00EA303E" w:rsidRPr="00A67C76" w:rsidRDefault="00EA303E" w:rsidP="000B3877">
            <w:pPr>
              <w:spacing w:line="240" w:lineRule="auto"/>
              <w:contextualSpacing/>
              <w:jc w:val="center"/>
              <w:rPr>
                <w:sz w:val="20"/>
              </w:rPr>
            </w:pPr>
            <w:r w:rsidRPr="00A67C76">
              <w:rPr>
                <w:sz w:val="20"/>
              </w:rPr>
              <w:t>329</w:t>
            </w:r>
          </w:p>
          <w:p w:rsidR="00EA303E" w:rsidRPr="00A67C76" w:rsidRDefault="00EA303E" w:rsidP="000B3877">
            <w:pPr>
              <w:spacing w:line="240" w:lineRule="auto"/>
              <w:contextualSpacing/>
              <w:jc w:val="center"/>
              <w:rPr>
                <w:sz w:val="20"/>
              </w:rPr>
            </w:pPr>
            <w:r w:rsidRPr="00A67C76">
              <w:rPr>
                <w:sz w:val="20"/>
              </w:rPr>
              <w:t>150</w:t>
            </w:r>
          </w:p>
        </w:tc>
        <w:tc>
          <w:tcPr>
            <w:tcW w:w="1276" w:type="dxa"/>
          </w:tcPr>
          <w:p w:rsidR="00EA303E" w:rsidRPr="00A67C76" w:rsidRDefault="00EA303E" w:rsidP="000B3877">
            <w:pPr>
              <w:spacing w:line="240" w:lineRule="auto"/>
              <w:contextualSpacing/>
              <w:jc w:val="center"/>
              <w:rPr>
                <w:sz w:val="20"/>
              </w:rPr>
            </w:pPr>
            <w:r w:rsidRPr="00A67C76">
              <w:rPr>
                <w:sz w:val="20"/>
              </w:rPr>
              <w:t>104±29</w:t>
            </w:r>
          </w:p>
          <w:p w:rsidR="00EA303E" w:rsidRPr="00A67C76" w:rsidRDefault="00EA303E" w:rsidP="000B3877">
            <w:pPr>
              <w:spacing w:line="240" w:lineRule="auto"/>
              <w:contextualSpacing/>
              <w:jc w:val="center"/>
              <w:rPr>
                <w:sz w:val="20"/>
              </w:rPr>
            </w:pPr>
            <w:r w:rsidRPr="00A67C76">
              <w:rPr>
                <w:sz w:val="20"/>
              </w:rPr>
              <w:t>101±90</w:t>
            </w:r>
          </w:p>
          <w:p w:rsidR="00EA303E" w:rsidRPr="00A67C76" w:rsidRDefault="00EA303E" w:rsidP="000B3877">
            <w:pPr>
              <w:spacing w:line="240" w:lineRule="auto"/>
              <w:contextualSpacing/>
              <w:jc w:val="center"/>
              <w:rPr>
                <w:sz w:val="20"/>
              </w:rPr>
            </w:pPr>
            <w:r w:rsidRPr="00A67C76">
              <w:rPr>
                <w:sz w:val="20"/>
              </w:rPr>
              <w:t>35±15</w:t>
            </w:r>
          </w:p>
          <w:p w:rsidR="00EA303E" w:rsidRPr="00A67C76" w:rsidRDefault="00EA303E" w:rsidP="000B3877">
            <w:pPr>
              <w:spacing w:line="240" w:lineRule="auto"/>
              <w:contextualSpacing/>
              <w:jc w:val="center"/>
              <w:rPr>
                <w:sz w:val="20"/>
              </w:rPr>
            </w:pPr>
            <w:r w:rsidRPr="00A67C76">
              <w:rPr>
                <w:sz w:val="20"/>
              </w:rPr>
              <w:t>162±90</w:t>
            </w:r>
          </w:p>
          <w:p w:rsidR="00EA303E" w:rsidRPr="00A67C76" w:rsidRDefault="00EA303E" w:rsidP="000B3877">
            <w:pPr>
              <w:spacing w:line="240" w:lineRule="auto"/>
              <w:contextualSpacing/>
              <w:jc w:val="center"/>
              <w:rPr>
                <w:sz w:val="20"/>
              </w:rPr>
            </w:pPr>
            <w:r w:rsidRPr="00A67C76">
              <w:rPr>
                <w:sz w:val="20"/>
              </w:rPr>
              <w:t>39±11</w:t>
            </w:r>
          </w:p>
          <w:p w:rsidR="00EA303E" w:rsidRPr="00A67C76" w:rsidRDefault="00EA303E" w:rsidP="000B3877">
            <w:pPr>
              <w:spacing w:line="240" w:lineRule="auto"/>
              <w:contextualSpacing/>
              <w:jc w:val="center"/>
              <w:rPr>
                <w:sz w:val="20"/>
              </w:rPr>
            </w:pPr>
            <w:r w:rsidRPr="00A67C76">
              <w:rPr>
                <w:sz w:val="20"/>
              </w:rPr>
              <w:t>37±10</w:t>
            </w:r>
          </w:p>
          <w:p w:rsidR="00EA303E" w:rsidRPr="00A67C76" w:rsidRDefault="00EA303E" w:rsidP="000B3877">
            <w:pPr>
              <w:spacing w:line="240" w:lineRule="auto"/>
              <w:contextualSpacing/>
              <w:jc w:val="center"/>
              <w:rPr>
                <w:sz w:val="20"/>
              </w:rPr>
            </w:pPr>
            <w:r w:rsidRPr="00A67C76">
              <w:rPr>
                <w:sz w:val="20"/>
              </w:rPr>
              <w:t>61±10</w:t>
            </w:r>
          </w:p>
        </w:tc>
        <w:tc>
          <w:tcPr>
            <w:tcW w:w="567" w:type="dxa"/>
          </w:tcPr>
          <w:p w:rsidR="00EA303E" w:rsidRPr="00A67C76" w:rsidRDefault="00EA303E" w:rsidP="000B3877">
            <w:pPr>
              <w:spacing w:line="240" w:lineRule="auto"/>
              <w:contextualSpacing/>
              <w:jc w:val="center"/>
              <w:rPr>
                <w:sz w:val="20"/>
              </w:rPr>
            </w:pPr>
            <w:r w:rsidRPr="00A67C76">
              <w:rPr>
                <w:sz w:val="20"/>
              </w:rPr>
              <w:t>46</w:t>
            </w:r>
          </w:p>
          <w:p w:rsidR="00EA303E" w:rsidRPr="00A67C76" w:rsidRDefault="00EA303E" w:rsidP="000B3877">
            <w:pPr>
              <w:spacing w:line="240" w:lineRule="auto"/>
              <w:contextualSpacing/>
              <w:jc w:val="center"/>
              <w:rPr>
                <w:sz w:val="20"/>
              </w:rPr>
            </w:pPr>
            <w:r w:rsidRPr="00A67C76">
              <w:rPr>
                <w:sz w:val="20"/>
              </w:rPr>
              <w:t>479</w:t>
            </w:r>
          </w:p>
          <w:p w:rsidR="00EA303E" w:rsidRPr="00A67C76" w:rsidRDefault="00EA303E" w:rsidP="000B3877">
            <w:pPr>
              <w:spacing w:line="240" w:lineRule="auto"/>
              <w:contextualSpacing/>
              <w:jc w:val="center"/>
              <w:rPr>
                <w:sz w:val="20"/>
              </w:rPr>
            </w:pPr>
            <w:r w:rsidRPr="00A67C76">
              <w:rPr>
                <w:sz w:val="20"/>
              </w:rPr>
              <w:t>473</w:t>
            </w:r>
          </w:p>
          <w:p w:rsidR="00EA303E" w:rsidRPr="00A67C76" w:rsidRDefault="00EA303E" w:rsidP="000B3877">
            <w:pPr>
              <w:spacing w:line="240" w:lineRule="auto"/>
              <w:contextualSpacing/>
              <w:jc w:val="center"/>
              <w:rPr>
                <w:sz w:val="20"/>
              </w:rPr>
            </w:pPr>
            <w:r w:rsidRPr="00A67C76">
              <w:rPr>
                <w:sz w:val="20"/>
              </w:rPr>
              <w:t>262</w:t>
            </w:r>
          </w:p>
          <w:p w:rsidR="00EA303E" w:rsidRPr="00A67C76" w:rsidRDefault="00EA303E" w:rsidP="000B3877">
            <w:pPr>
              <w:spacing w:line="240" w:lineRule="auto"/>
              <w:contextualSpacing/>
              <w:jc w:val="center"/>
              <w:rPr>
                <w:sz w:val="20"/>
              </w:rPr>
            </w:pPr>
            <w:r w:rsidRPr="00A67C76">
              <w:rPr>
                <w:sz w:val="20"/>
              </w:rPr>
              <w:t>287</w:t>
            </w:r>
          </w:p>
          <w:p w:rsidR="00EA303E" w:rsidRPr="00A67C76" w:rsidRDefault="00EA303E" w:rsidP="000B3877">
            <w:pPr>
              <w:spacing w:line="240" w:lineRule="auto"/>
              <w:contextualSpacing/>
              <w:jc w:val="center"/>
              <w:rPr>
                <w:sz w:val="20"/>
              </w:rPr>
            </w:pPr>
            <w:r w:rsidRPr="00A67C76">
              <w:rPr>
                <w:sz w:val="20"/>
              </w:rPr>
              <w:t>352</w:t>
            </w:r>
          </w:p>
          <w:p w:rsidR="00EA303E" w:rsidRPr="00A67C76" w:rsidRDefault="00EA303E" w:rsidP="000B3877">
            <w:pPr>
              <w:spacing w:line="240" w:lineRule="auto"/>
              <w:contextualSpacing/>
              <w:jc w:val="center"/>
              <w:rPr>
                <w:sz w:val="20"/>
              </w:rPr>
            </w:pPr>
            <w:r w:rsidRPr="00A67C76">
              <w:rPr>
                <w:sz w:val="20"/>
              </w:rPr>
              <w:t>166</w:t>
            </w:r>
          </w:p>
        </w:tc>
        <w:tc>
          <w:tcPr>
            <w:tcW w:w="1275" w:type="dxa"/>
          </w:tcPr>
          <w:p w:rsidR="00EA303E" w:rsidRPr="00A67C76" w:rsidRDefault="00EA303E" w:rsidP="000B3877">
            <w:pPr>
              <w:spacing w:line="240" w:lineRule="auto"/>
              <w:contextualSpacing/>
              <w:jc w:val="center"/>
              <w:rPr>
                <w:sz w:val="20"/>
              </w:rPr>
            </w:pPr>
            <w:r w:rsidRPr="00A67C76">
              <w:rPr>
                <w:sz w:val="20"/>
              </w:rPr>
              <w:t>122±48</w:t>
            </w:r>
          </w:p>
          <w:p w:rsidR="00EA303E" w:rsidRPr="00A67C76" w:rsidRDefault="00EA303E" w:rsidP="000B3877">
            <w:pPr>
              <w:spacing w:line="240" w:lineRule="auto"/>
              <w:contextualSpacing/>
              <w:jc w:val="center"/>
              <w:rPr>
                <w:sz w:val="20"/>
              </w:rPr>
            </w:pPr>
            <w:r w:rsidRPr="00A67C76">
              <w:rPr>
                <w:sz w:val="20"/>
              </w:rPr>
              <w:t>121±81</w:t>
            </w:r>
          </w:p>
          <w:p w:rsidR="00EA303E" w:rsidRPr="00A67C76" w:rsidRDefault="00EA303E" w:rsidP="000B3877">
            <w:pPr>
              <w:spacing w:line="240" w:lineRule="auto"/>
              <w:contextualSpacing/>
              <w:jc w:val="center"/>
              <w:rPr>
                <w:sz w:val="20"/>
              </w:rPr>
            </w:pPr>
            <w:r w:rsidRPr="00A67C76">
              <w:rPr>
                <w:sz w:val="20"/>
              </w:rPr>
              <w:t>35±7</w:t>
            </w:r>
          </w:p>
          <w:p w:rsidR="00EA303E" w:rsidRPr="00A67C76" w:rsidRDefault="00EA303E" w:rsidP="000B3877">
            <w:pPr>
              <w:spacing w:line="240" w:lineRule="auto"/>
              <w:contextualSpacing/>
              <w:jc w:val="center"/>
              <w:rPr>
                <w:sz w:val="20"/>
              </w:rPr>
            </w:pPr>
            <w:r w:rsidRPr="00A67C76">
              <w:rPr>
                <w:sz w:val="20"/>
              </w:rPr>
              <w:t>202±73</w:t>
            </w:r>
          </w:p>
          <w:p w:rsidR="00EA303E" w:rsidRPr="00A67C76" w:rsidRDefault="00EA303E" w:rsidP="000B3877">
            <w:pPr>
              <w:spacing w:line="240" w:lineRule="auto"/>
              <w:contextualSpacing/>
              <w:jc w:val="center"/>
              <w:rPr>
                <w:sz w:val="20"/>
              </w:rPr>
            </w:pPr>
            <w:r w:rsidRPr="00A67C76">
              <w:rPr>
                <w:sz w:val="20"/>
              </w:rPr>
              <w:t>40±10</w:t>
            </w:r>
          </w:p>
          <w:p w:rsidR="00EA303E" w:rsidRPr="00A67C76" w:rsidRDefault="00EA303E" w:rsidP="000B3877">
            <w:pPr>
              <w:spacing w:line="240" w:lineRule="auto"/>
              <w:contextualSpacing/>
              <w:jc w:val="center"/>
              <w:rPr>
                <w:sz w:val="20"/>
              </w:rPr>
            </w:pPr>
            <w:r w:rsidRPr="00A67C76">
              <w:rPr>
                <w:sz w:val="20"/>
              </w:rPr>
              <w:t>37±11</w:t>
            </w:r>
          </w:p>
          <w:p w:rsidR="00EA303E" w:rsidRPr="00A67C76" w:rsidRDefault="00EA303E" w:rsidP="000B3877">
            <w:pPr>
              <w:spacing w:line="240" w:lineRule="auto"/>
              <w:contextualSpacing/>
              <w:jc w:val="center"/>
              <w:rPr>
                <w:sz w:val="20"/>
              </w:rPr>
            </w:pPr>
            <w:r w:rsidRPr="00A67C76">
              <w:rPr>
                <w:sz w:val="20"/>
              </w:rPr>
              <w:t>61±11</w:t>
            </w:r>
          </w:p>
        </w:tc>
        <w:tc>
          <w:tcPr>
            <w:tcW w:w="747" w:type="dxa"/>
          </w:tcPr>
          <w:p w:rsidR="00EA303E" w:rsidRPr="00A67C76" w:rsidRDefault="00EA303E" w:rsidP="000B3877">
            <w:pPr>
              <w:spacing w:line="240" w:lineRule="auto"/>
              <w:contextualSpacing/>
              <w:jc w:val="center"/>
              <w:rPr>
                <w:sz w:val="20"/>
              </w:rPr>
            </w:pPr>
            <w:r w:rsidRPr="00A67C76">
              <w:rPr>
                <w:sz w:val="20"/>
              </w:rPr>
              <w:t>1.25</w:t>
            </w:r>
          </w:p>
          <w:p w:rsidR="00EA303E" w:rsidRPr="00A67C76" w:rsidRDefault="00EA303E" w:rsidP="000B3877">
            <w:pPr>
              <w:spacing w:line="240" w:lineRule="auto"/>
              <w:contextualSpacing/>
              <w:jc w:val="center"/>
              <w:rPr>
                <w:sz w:val="20"/>
              </w:rPr>
            </w:pPr>
            <w:r w:rsidRPr="00A67C76">
              <w:rPr>
                <w:sz w:val="20"/>
              </w:rPr>
              <w:t>2.83</w:t>
            </w:r>
          </w:p>
          <w:p w:rsidR="00EA303E" w:rsidRPr="00A67C76" w:rsidRDefault="00EA303E" w:rsidP="000B3877">
            <w:pPr>
              <w:spacing w:line="240" w:lineRule="auto"/>
              <w:contextualSpacing/>
              <w:jc w:val="center"/>
              <w:rPr>
                <w:sz w:val="20"/>
              </w:rPr>
            </w:pPr>
            <w:r w:rsidRPr="00A67C76">
              <w:rPr>
                <w:sz w:val="20"/>
              </w:rPr>
              <w:t>0.85</w:t>
            </w:r>
          </w:p>
          <w:p w:rsidR="00EA303E" w:rsidRPr="00A67C76" w:rsidRDefault="00EA303E" w:rsidP="000B3877">
            <w:pPr>
              <w:spacing w:line="240" w:lineRule="auto"/>
              <w:contextualSpacing/>
              <w:jc w:val="center"/>
              <w:rPr>
                <w:sz w:val="20"/>
              </w:rPr>
            </w:pPr>
            <w:r w:rsidRPr="00A67C76">
              <w:rPr>
                <w:sz w:val="20"/>
              </w:rPr>
              <w:t>2.9</w:t>
            </w:r>
          </w:p>
          <w:p w:rsidR="00EA303E" w:rsidRPr="00A67C76" w:rsidRDefault="00EA303E" w:rsidP="000B3877">
            <w:pPr>
              <w:spacing w:line="240" w:lineRule="auto"/>
              <w:contextualSpacing/>
              <w:jc w:val="center"/>
              <w:rPr>
                <w:sz w:val="20"/>
              </w:rPr>
            </w:pPr>
            <w:r w:rsidRPr="00A67C76">
              <w:rPr>
                <w:sz w:val="20"/>
              </w:rPr>
              <w:t>0.91</w:t>
            </w:r>
          </w:p>
          <w:p w:rsidR="00EA303E" w:rsidRPr="00A67C76" w:rsidRDefault="00EA303E" w:rsidP="000B3877">
            <w:pPr>
              <w:spacing w:line="240" w:lineRule="auto"/>
              <w:contextualSpacing/>
              <w:jc w:val="center"/>
              <w:rPr>
                <w:sz w:val="20"/>
              </w:rPr>
            </w:pPr>
            <w:r w:rsidRPr="00A67C76">
              <w:rPr>
                <w:sz w:val="20"/>
              </w:rPr>
              <w:t>0.54</w:t>
            </w:r>
          </w:p>
          <w:p w:rsidR="00EA303E" w:rsidRPr="00A67C76" w:rsidRDefault="00EA303E" w:rsidP="000B3877">
            <w:pPr>
              <w:spacing w:line="240" w:lineRule="auto"/>
              <w:contextualSpacing/>
              <w:jc w:val="center"/>
              <w:rPr>
                <w:sz w:val="20"/>
              </w:rPr>
            </w:pPr>
            <w:r w:rsidRPr="00A67C76">
              <w:rPr>
                <w:sz w:val="20"/>
              </w:rPr>
              <w:t>0.5</w:t>
            </w:r>
          </w:p>
        </w:tc>
        <w:tc>
          <w:tcPr>
            <w:tcW w:w="888" w:type="dxa"/>
          </w:tcPr>
          <w:p w:rsidR="00EA303E" w:rsidRPr="00A67C76" w:rsidRDefault="00EA303E" w:rsidP="000B3877">
            <w:pPr>
              <w:spacing w:line="240" w:lineRule="auto"/>
              <w:contextualSpacing/>
              <w:jc w:val="center"/>
              <w:rPr>
                <w:sz w:val="20"/>
              </w:rPr>
            </w:pPr>
            <w:r w:rsidRPr="00A67C76">
              <w:rPr>
                <w:sz w:val="20"/>
              </w:rPr>
              <w:t>0.088</w:t>
            </w:r>
          </w:p>
          <w:p w:rsidR="00EA303E" w:rsidRPr="00A67C76" w:rsidRDefault="00EA303E" w:rsidP="000B3877">
            <w:pPr>
              <w:spacing w:line="240" w:lineRule="auto"/>
              <w:contextualSpacing/>
              <w:jc w:val="center"/>
              <w:rPr>
                <w:b/>
                <w:sz w:val="20"/>
              </w:rPr>
            </w:pPr>
            <w:r w:rsidRPr="00A67C76">
              <w:rPr>
                <w:b/>
                <w:sz w:val="20"/>
              </w:rPr>
              <w:t>&lt;0.001</w:t>
            </w:r>
          </w:p>
          <w:p w:rsidR="00EA303E" w:rsidRPr="00A67C76" w:rsidRDefault="00EA303E" w:rsidP="000B3877">
            <w:pPr>
              <w:spacing w:line="240" w:lineRule="auto"/>
              <w:contextualSpacing/>
              <w:jc w:val="center"/>
              <w:rPr>
                <w:sz w:val="20"/>
              </w:rPr>
            </w:pPr>
            <w:r w:rsidRPr="00A67C76">
              <w:rPr>
                <w:sz w:val="20"/>
              </w:rPr>
              <w:t>0.459</w:t>
            </w:r>
          </w:p>
          <w:p w:rsidR="00EA303E" w:rsidRPr="00A67C76" w:rsidRDefault="00EA303E" w:rsidP="000B3877">
            <w:pPr>
              <w:spacing w:line="240" w:lineRule="auto"/>
              <w:contextualSpacing/>
              <w:jc w:val="center"/>
              <w:rPr>
                <w:b/>
                <w:sz w:val="20"/>
              </w:rPr>
            </w:pPr>
            <w:r w:rsidRPr="00A67C76">
              <w:rPr>
                <w:b/>
                <w:sz w:val="20"/>
              </w:rPr>
              <w:t>&lt;0.001</w:t>
            </w:r>
          </w:p>
          <w:p w:rsidR="00EA303E" w:rsidRPr="00A67C76" w:rsidRDefault="00EA303E" w:rsidP="000B3877">
            <w:pPr>
              <w:spacing w:line="240" w:lineRule="auto"/>
              <w:contextualSpacing/>
              <w:jc w:val="center"/>
              <w:rPr>
                <w:sz w:val="20"/>
              </w:rPr>
            </w:pPr>
            <w:r w:rsidRPr="00A67C76">
              <w:rPr>
                <w:sz w:val="20"/>
              </w:rPr>
              <w:t>0.381</w:t>
            </w:r>
          </w:p>
          <w:p w:rsidR="00EA303E" w:rsidRPr="00A67C76" w:rsidRDefault="00EA303E" w:rsidP="000B3877">
            <w:pPr>
              <w:spacing w:line="240" w:lineRule="auto"/>
              <w:contextualSpacing/>
              <w:jc w:val="center"/>
              <w:rPr>
                <w:sz w:val="20"/>
              </w:rPr>
            </w:pPr>
            <w:r w:rsidRPr="00A67C76">
              <w:rPr>
                <w:sz w:val="20"/>
              </w:rPr>
              <w:t>0.930</w:t>
            </w:r>
          </w:p>
          <w:p w:rsidR="00EA303E" w:rsidRPr="00A67C76" w:rsidRDefault="00EA303E" w:rsidP="000B3877">
            <w:pPr>
              <w:spacing w:line="240" w:lineRule="auto"/>
              <w:contextualSpacing/>
              <w:jc w:val="center"/>
              <w:rPr>
                <w:sz w:val="20"/>
              </w:rPr>
            </w:pPr>
            <w:r w:rsidRPr="00A67C76">
              <w:rPr>
                <w:sz w:val="20"/>
              </w:rPr>
              <w:t>0.964</w:t>
            </w:r>
          </w:p>
        </w:tc>
        <w:tc>
          <w:tcPr>
            <w:tcW w:w="1484" w:type="dxa"/>
          </w:tcPr>
          <w:p w:rsidR="00EA303E" w:rsidRPr="00A67C76" w:rsidRDefault="00EA303E" w:rsidP="000B3877">
            <w:pPr>
              <w:spacing w:line="240" w:lineRule="auto"/>
              <w:contextualSpacing/>
              <w:jc w:val="center"/>
              <w:rPr>
                <w:sz w:val="20"/>
              </w:rPr>
            </w:pPr>
            <w:r w:rsidRPr="00A67C76">
              <w:rPr>
                <w:sz w:val="20"/>
              </w:rPr>
              <w:t>-</w:t>
            </w:r>
          </w:p>
          <w:p w:rsidR="00EA303E" w:rsidRPr="00A67C76" w:rsidRDefault="00EA303E" w:rsidP="000B3877">
            <w:pPr>
              <w:spacing w:line="240" w:lineRule="auto"/>
              <w:contextualSpacing/>
              <w:jc w:val="center"/>
              <w:rPr>
                <w:sz w:val="20"/>
              </w:rPr>
            </w:pPr>
            <w:r w:rsidRPr="00A67C76">
              <w:rPr>
                <w:sz w:val="20"/>
              </w:rPr>
              <w:t>OUT</w:t>
            </w:r>
          </w:p>
          <w:p w:rsidR="00EA303E" w:rsidRPr="00A67C76" w:rsidRDefault="00EA303E" w:rsidP="000B3877">
            <w:pPr>
              <w:spacing w:line="240" w:lineRule="auto"/>
              <w:contextualSpacing/>
              <w:jc w:val="center"/>
              <w:rPr>
                <w:sz w:val="20"/>
              </w:rPr>
            </w:pPr>
            <w:r w:rsidRPr="00A67C76">
              <w:rPr>
                <w:sz w:val="20"/>
              </w:rPr>
              <w:t>-</w:t>
            </w:r>
          </w:p>
          <w:p w:rsidR="00EA303E" w:rsidRPr="00A67C76" w:rsidRDefault="00EA303E" w:rsidP="000B3877">
            <w:pPr>
              <w:spacing w:line="240" w:lineRule="auto"/>
              <w:contextualSpacing/>
              <w:jc w:val="center"/>
              <w:rPr>
                <w:sz w:val="20"/>
              </w:rPr>
            </w:pPr>
            <w:r w:rsidRPr="00A67C76">
              <w:rPr>
                <w:sz w:val="20"/>
              </w:rPr>
              <w:t>OUT</w:t>
            </w:r>
          </w:p>
          <w:p w:rsidR="00EA303E" w:rsidRPr="00A67C76" w:rsidRDefault="00EA303E" w:rsidP="000B3877">
            <w:pPr>
              <w:spacing w:line="240" w:lineRule="auto"/>
              <w:contextualSpacing/>
              <w:jc w:val="center"/>
              <w:rPr>
                <w:sz w:val="20"/>
              </w:rPr>
            </w:pPr>
            <w:r w:rsidRPr="00A67C76">
              <w:rPr>
                <w:sz w:val="20"/>
              </w:rPr>
              <w:t>-</w:t>
            </w:r>
          </w:p>
          <w:p w:rsidR="00EA303E" w:rsidRPr="00A67C76" w:rsidRDefault="00EA303E" w:rsidP="000B3877">
            <w:pPr>
              <w:spacing w:line="240" w:lineRule="auto"/>
              <w:contextualSpacing/>
              <w:jc w:val="center"/>
              <w:rPr>
                <w:sz w:val="20"/>
              </w:rPr>
            </w:pPr>
            <w:r w:rsidRPr="00A67C76">
              <w:rPr>
                <w:sz w:val="20"/>
              </w:rPr>
              <w:t>-</w:t>
            </w:r>
          </w:p>
          <w:p w:rsidR="00EA303E" w:rsidRPr="00A67C76" w:rsidRDefault="00EA303E" w:rsidP="000B3877">
            <w:pPr>
              <w:spacing w:line="240" w:lineRule="auto"/>
              <w:contextualSpacing/>
              <w:jc w:val="center"/>
              <w:rPr>
                <w:sz w:val="20"/>
              </w:rPr>
            </w:pPr>
            <w:r w:rsidRPr="00A67C76">
              <w:rPr>
                <w:sz w:val="20"/>
              </w:rPr>
              <w:t>-</w:t>
            </w:r>
          </w:p>
        </w:tc>
      </w:tr>
    </w:tbl>
    <w:p w:rsidR="00EA303E" w:rsidRPr="00A67C76" w:rsidRDefault="00EA303E" w:rsidP="00EA303E"/>
    <w:p w:rsidR="00EF09B5" w:rsidRDefault="00EF09B5">
      <w:pPr>
        <w:spacing w:before="0" w:after="200" w:line="276" w:lineRule="auto"/>
        <w:rPr>
          <w:b/>
          <w:bCs/>
          <w:color w:val="auto"/>
          <w:sz w:val="20"/>
          <w:szCs w:val="18"/>
        </w:rPr>
      </w:pPr>
      <w:bookmarkStart w:id="240" w:name="_Ref387841416"/>
      <w:r>
        <w:br w:type="page"/>
      </w:r>
    </w:p>
    <w:p w:rsidR="00EA303E" w:rsidRPr="00A67C76" w:rsidRDefault="009E401F" w:rsidP="009E401F">
      <w:pPr>
        <w:pStyle w:val="Caption"/>
      </w:pPr>
      <w:proofErr w:type="gramStart"/>
      <w:r w:rsidRPr="00A67C76">
        <w:t xml:space="preserve">Appendix </w:t>
      </w:r>
      <w:proofErr w:type="gramEnd"/>
      <w:r w:rsidR="002E6077" w:rsidRPr="00A67C76">
        <w:fldChar w:fldCharType="begin"/>
      </w:r>
      <w:r w:rsidR="00621CBB" w:rsidRPr="00A67C76">
        <w:instrText xml:space="preserve"> SEQ Appendix \* ROMAN </w:instrText>
      </w:r>
      <w:r w:rsidR="002E6077" w:rsidRPr="00A67C76">
        <w:fldChar w:fldCharType="separate"/>
      </w:r>
      <w:r w:rsidR="009659F2">
        <w:rPr>
          <w:noProof/>
        </w:rPr>
        <w:t>VII</w:t>
      </w:r>
      <w:r w:rsidR="002E6077" w:rsidRPr="00A67C76">
        <w:rPr>
          <w:noProof/>
        </w:rPr>
        <w:fldChar w:fldCharType="end"/>
      </w:r>
      <w:bookmarkEnd w:id="240"/>
      <w:proofErr w:type="gramStart"/>
      <w:r w:rsidR="00AD3B7F" w:rsidRPr="00A67C76">
        <w:t>.</w:t>
      </w:r>
      <w:proofErr w:type="gramEnd"/>
      <w:r w:rsidR="00AD3B7F" w:rsidRPr="00A67C76">
        <w:t xml:space="preserve"> </w:t>
      </w:r>
      <w:r w:rsidR="00EA303E" w:rsidRPr="00A67C76">
        <w:t xml:space="preserve">DistLM sequential results indicating which environmental variables significantly contributed most to the relationship with the multivariate assemblage data clouds (data for </w:t>
      </w:r>
      <w:r w:rsidR="00A41CC6">
        <w:t xml:space="preserve">fish </w:t>
      </w:r>
      <w:r w:rsidR="00EA303E" w:rsidRPr="00A67C76">
        <w:t xml:space="preserve">assemblages moving in and out of wetlands) for each wetland in </w:t>
      </w:r>
      <w:r w:rsidR="00333041" w:rsidRPr="00A67C76">
        <w:t>2012</w:t>
      </w:r>
      <w:r w:rsidR="00FD328A" w:rsidRPr="00FD328A">
        <w:t>-13</w:t>
      </w:r>
      <w:r w:rsidR="00EA303E" w:rsidRPr="00A67C76">
        <w:t>.</w:t>
      </w:r>
    </w:p>
    <w:tbl>
      <w:tblPr>
        <w:tblStyle w:val="TableGrid"/>
        <w:tblW w:w="9498" w:type="dxa"/>
        <w:tblInd w:w="-318" w:type="dxa"/>
        <w:tblBorders>
          <w:left w:val="none" w:sz="0" w:space="0" w:color="auto"/>
          <w:right w:val="none" w:sz="0" w:space="0" w:color="auto"/>
          <w:insideV w:val="none" w:sz="0" w:space="0" w:color="auto"/>
        </w:tblBorders>
        <w:tblLook w:val="04A0"/>
      </w:tblPr>
      <w:tblGrid>
        <w:gridCol w:w="1135"/>
        <w:gridCol w:w="2410"/>
        <w:gridCol w:w="1843"/>
        <w:gridCol w:w="1842"/>
        <w:gridCol w:w="2268"/>
      </w:tblGrid>
      <w:tr w:rsidR="00EA303E" w:rsidRPr="00A67C76" w:rsidTr="00EA303E">
        <w:tc>
          <w:tcPr>
            <w:tcW w:w="1135" w:type="dxa"/>
          </w:tcPr>
          <w:p w:rsidR="00EA303E" w:rsidRPr="00A67C76" w:rsidRDefault="00EA303E" w:rsidP="000B3877">
            <w:pPr>
              <w:spacing w:line="240" w:lineRule="auto"/>
              <w:contextualSpacing/>
              <w:rPr>
                <w:b/>
                <w:sz w:val="20"/>
              </w:rPr>
            </w:pPr>
          </w:p>
        </w:tc>
        <w:tc>
          <w:tcPr>
            <w:tcW w:w="2410" w:type="dxa"/>
          </w:tcPr>
          <w:p w:rsidR="00EA303E" w:rsidRPr="00A67C76" w:rsidRDefault="00EA303E" w:rsidP="000B3877">
            <w:pPr>
              <w:spacing w:line="240" w:lineRule="auto"/>
              <w:contextualSpacing/>
              <w:rPr>
                <w:b/>
                <w:sz w:val="20"/>
              </w:rPr>
            </w:pPr>
            <w:r w:rsidRPr="00A67C76">
              <w:rPr>
                <w:b/>
                <w:sz w:val="20"/>
              </w:rPr>
              <w:t>Variable</w:t>
            </w:r>
          </w:p>
        </w:tc>
        <w:tc>
          <w:tcPr>
            <w:tcW w:w="1843" w:type="dxa"/>
          </w:tcPr>
          <w:p w:rsidR="00EA303E" w:rsidRPr="00A67C76" w:rsidRDefault="00EA303E" w:rsidP="000B3877">
            <w:pPr>
              <w:spacing w:line="240" w:lineRule="auto"/>
              <w:contextualSpacing/>
              <w:jc w:val="center"/>
              <w:rPr>
                <w:b/>
                <w:sz w:val="20"/>
              </w:rPr>
            </w:pPr>
            <w:r w:rsidRPr="00A67C76">
              <w:rPr>
                <w:b/>
                <w:sz w:val="20"/>
              </w:rPr>
              <w:t>Pseudo-F</w:t>
            </w:r>
          </w:p>
        </w:tc>
        <w:tc>
          <w:tcPr>
            <w:tcW w:w="1842" w:type="dxa"/>
          </w:tcPr>
          <w:p w:rsidR="00EA303E" w:rsidRPr="00A67C76" w:rsidRDefault="00EA303E" w:rsidP="000B3877">
            <w:pPr>
              <w:spacing w:line="240" w:lineRule="auto"/>
              <w:contextualSpacing/>
              <w:jc w:val="center"/>
              <w:rPr>
                <w:b/>
                <w:sz w:val="20"/>
              </w:rPr>
            </w:pPr>
            <w:r w:rsidRPr="00A67C76">
              <w:rPr>
                <w:b/>
                <w:sz w:val="20"/>
              </w:rPr>
              <w:t>P-value</w:t>
            </w:r>
          </w:p>
        </w:tc>
        <w:tc>
          <w:tcPr>
            <w:tcW w:w="2268" w:type="dxa"/>
          </w:tcPr>
          <w:p w:rsidR="00EA303E" w:rsidRPr="00A67C76" w:rsidRDefault="00EA303E" w:rsidP="000B3877">
            <w:pPr>
              <w:spacing w:line="240" w:lineRule="auto"/>
              <w:contextualSpacing/>
              <w:jc w:val="center"/>
              <w:rPr>
                <w:b/>
                <w:sz w:val="20"/>
              </w:rPr>
            </w:pPr>
            <w:r w:rsidRPr="00A67C76">
              <w:rPr>
                <w:b/>
                <w:sz w:val="20"/>
              </w:rPr>
              <w:t>Cumulative variation explained</w:t>
            </w:r>
          </w:p>
        </w:tc>
      </w:tr>
      <w:tr w:rsidR="00EA303E" w:rsidRPr="00A67C76" w:rsidTr="00EA303E">
        <w:tc>
          <w:tcPr>
            <w:tcW w:w="1135" w:type="dxa"/>
          </w:tcPr>
          <w:p w:rsidR="00EA303E" w:rsidRPr="00A67C76" w:rsidRDefault="00EA303E" w:rsidP="000B3877">
            <w:pPr>
              <w:spacing w:line="240" w:lineRule="auto"/>
              <w:contextualSpacing/>
              <w:rPr>
                <w:b/>
                <w:sz w:val="20"/>
              </w:rPr>
            </w:pPr>
            <w:r w:rsidRPr="00A67C76">
              <w:rPr>
                <w:b/>
                <w:sz w:val="20"/>
              </w:rPr>
              <w:t>Overland Corner</w:t>
            </w:r>
          </w:p>
          <w:p w:rsidR="00EA303E" w:rsidRPr="00A67C76" w:rsidRDefault="00EA303E" w:rsidP="000B3877">
            <w:pPr>
              <w:spacing w:line="240" w:lineRule="auto"/>
              <w:contextualSpacing/>
              <w:rPr>
                <w:b/>
                <w:sz w:val="20"/>
              </w:rPr>
            </w:pPr>
          </w:p>
        </w:tc>
        <w:tc>
          <w:tcPr>
            <w:tcW w:w="2410" w:type="dxa"/>
          </w:tcPr>
          <w:p w:rsidR="00EA303E" w:rsidRPr="00A67C76" w:rsidRDefault="00EA303E" w:rsidP="000B3877">
            <w:pPr>
              <w:spacing w:line="240" w:lineRule="auto"/>
              <w:contextualSpacing/>
              <w:rPr>
                <w:sz w:val="20"/>
              </w:rPr>
            </w:pPr>
            <w:r w:rsidRPr="00A67C76">
              <w:rPr>
                <w:sz w:val="20"/>
              </w:rPr>
              <w:t>Flow discharge</w:t>
            </w:r>
          </w:p>
          <w:p w:rsidR="00EA303E" w:rsidRPr="00A67C76" w:rsidRDefault="00EA303E" w:rsidP="000B3877">
            <w:pPr>
              <w:spacing w:line="240" w:lineRule="auto"/>
              <w:contextualSpacing/>
              <w:rPr>
                <w:sz w:val="20"/>
              </w:rPr>
            </w:pPr>
            <w:r w:rsidRPr="00A67C76">
              <w:rPr>
                <w:sz w:val="20"/>
              </w:rPr>
              <w:t>Conductivity</w:t>
            </w:r>
          </w:p>
          <w:p w:rsidR="00EA303E" w:rsidRPr="00A67C76" w:rsidRDefault="00EA303E" w:rsidP="000B3877">
            <w:pPr>
              <w:spacing w:line="240" w:lineRule="auto"/>
              <w:contextualSpacing/>
              <w:rPr>
                <w:sz w:val="20"/>
              </w:rPr>
            </w:pPr>
            <w:r w:rsidRPr="00A67C76">
              <w:rPr>
                <w:sz w:val="20"/>
              </w:rPr>
              <w:t>pH</w:t>
            </w:r>
          </w:p>
          <w:p w:rsidR="00EA303E" w:rsidRPr="00A67C76" w:rsidRDefault="00EA303E" w:rsidP="000B3877">
            <w:pPr>
              <w:spacing w:line="240" w:lineRule="auto"/>
              <w:contextualSpacing/>
              <w:rPr>
                <w:sz w:val="20"/>
              </w:rPr>
            </w:pPr>
            <w:r w:rsidRPr="00A67C76">
              <w:rPr>
                <w:sz w:val="20"/>
              </w:rPr>
              <w:t>Dissolved oxygen</w:t>
            </w:r>
          </w:p>
          <w:p w:rsidR="00EA303E" w:rsidRPr="00A67C76" w:rsidRDefault="00EA303E" w:rsidP="000B3877">
            <w:pPr>
              <w:spacing w:line="240" w:lineRule="auto"/>
              <w:contextualSpacing/>
              <w:rPr>
                <w:sz w:val="20"/>
              </w:rPr>
            </w:pPr>
            <w:r w:rsidRPr="00A67C76">
              <w:rPr>
                <w:sz w:val="20"/>
              </w:rPr>
              <w:t>Temperature</w:t>
            </w:r>
          </w:p>
          <w:p w:rsidR="00EA303E" w:rsidRPr="00A67C76" w:rsidRDefault="00EA303E" w:rsidP="000B3877">
            <w:pPr>
              <w:spacing w:line="240" w:lineRule="auto"/>
              <w:contextualSpacing/>
              <w:rPr>
                <w:sz w:val="20"/>
              </w:rPr>
            </w:pPr>
            <w:r w:rsidRPr="00A67C76">
              <w:rPr>
                <w:sz w:val="20"/>
              </w:rPr>
              <w:t>Wetland surface area</w:t>
            </w:r>
          </w:p>
          <w:p w:rsidR="00EA303E" w:rsidRPr="00A67C76" w:rsidRDefault="00EA303E" w:rsidP="000B3877">
            <w:pPr>
              <w:spacing w:line="240" w:lineRule="auto"/>
              <w:contextualSpacing/>
              <w:rPr>
                <w:sz w:val="20"/>
              </w:rPr>
            </w:pPr>
            <w:r w:rsidRPr="00A67C76">
              <w:rPr>
                <w:sz w:val="20"/>
              </w:rPr>
              <w:t>Relative water level</w:t>
            </w:r>
          </w:p>
        </w:tc>
        <w:tc>
          <w:tcPr>
            <w:tcW w:w="1843" w:type="dxa"/>
          </w:tcPr>
          <w:p w:rsidR="00EA303E" w:rsidRPr="00A67C76" w:rsidRDefault="00EA303E" w:rsidP="000B3877">
            <w:pPr>
              <w:spacing w:line="240" w:lineRule="auto"/>
              <w:contextualSpacing/>
              <w:jc w:val="center"/>
              <w:rPr>
                <w:sz w:val="20"/>
              </w:rPr>
            </w:pPr>
            <w:r w:rsidRPr="00A67C76">
              <w:rPr>
                <w:sz w:val="20"/>
              </w:rPr>
              <w:t>27.707</w:t>
            </w:r>
          </w:p>
          <w:p w:rsidR="00EA303E" w:rsidRPr="00A67C76" w:rsidRDefault="00EA303E" w:rsidP="000B3877">
            <w:pPr>
              <w:spacing w:line="240" w:lineRule="auto"/>
              <w:contextualSpacing/>
              <w:jc w:val="center"/>
              <w:rPr>
                <w:sz w:val="20"/>
              </w:rPr>
            </w:pPr>
            <w:r w:rsidRPr="00A67C76">
              <w:rPr>
                <w:sz w:val="20"/>
              </w:rPr>
              <w:t>2.616</w:t>
            </w:r>
          </w:p>
          <w:p w:rsidR="00EA303E" w:rsidRPr="00A67C76" w:rsidRDefault="00EA303E" w:rsidP="000B3877">
            <w:pPr>
              <w:spacing w:line="240" w:lineRule="auto"/>
              <w:contextualSpacing/>
              <w:jc w:val="center"/>
              <w:rPr>
                <w:sz w:val="20"/>
              </w:rPr>
            </w:pPr>
            <w:r w:rsidRPr="00A67C76">
              <w:rPr>
                <w:sz w:val="20"/>
              </w:rPr>
              <w:t>2.768</w:t>
            </w:r>
          </w:p>
          <w:p w:rsidR="00EA303E" w:rsidRPr="00A67C76" w:rsidRDefault="00EA303E" w:rsidP="000B3877">
            <w:pPr>
              <w:spacing w:line="240" w:lineRule="auto"/>
              <w:contextualSpacing/>
              <w:jc w:val="center"/>
              <w:rPr>
                <w:sz w:val="20"/>
              </w:rPr>
            </w:pPr>
            <w:r w:rsidRPr="00A67C76">
              <w:rPr>
                <w:sz w:val="20"/>
              </w:rPr>
              <w:t>2.689</w:t>
            </w:r>
          </w:p>
          <w:p w:rsidR="00EA303E" w:rsidRPr="00A67C76" w:rsidRDefault="00EA303E" w:rsidP="000B3877">
            <w:pPr>
              <w:spacing w:line="240" w:lineRule="auto"/>
              <w:contextualSpacing/>
              <w:jc w:val="center"/>
              <w:rPr>
                <w:sz w:val="20"/>
              </w:rPr>
            </w:pPr>
            <w:r w:rsidRPr="00A67C76">
              <w:rPr>
                <w:sz w:val="20"/>
              </w:rPr>
              <w:t>2.311</w:t>
            </w:r>
          </w:p>
          <w:p w:rsidR="00EA303E" w:rsidRPr="00A67C76" w:rsidRDefault="00EA303E" w:rsidP="000B3877">
            <w:pPr>
              <w:spacing w:line="240" w:lineRule="auto"/>
              <w:contextualSpacing/>
              <w:jc w:val="center"/>
              <w:rPr>
                <w:sz w:val="20"/>
              </w:rPr>
            </w:pPr>
            <w:r w:rsidRPr="00A67C76">
              <w:rPr>
                <w:sz w:val="20"/>
              </w:rPr>
              <w:t>2.532</w:t>
            </w:r>
          </w:p>
          <w:p w:rsidR="00EA303E" w:rsidRPr="00A67C76" w:rsidRDefault="00EA303E" w:rsidP="000B3877">
            <w:pPr>
              <w:spacing w:line="240" w:lineRule="auto"/>
              <w:contextualSpacing/>
              <w:jc w:val="center"/>
              <w:rPr>
                <w:sz w:val="20"/>
              </w:rPr>
            </w:pPr>
            <w:r w:rsidRPr="00A67C76">
              <w:rPr>
                <w:sz w:val="20"/>
              </w:rPr>
              <w:t>0.739</w:t>
            </w:r>
          </w:p>
        </w:tc>
        <w:tc>
          <w:tcPr>
            <w:tcW w:w="1842" w:type="dxa"/>
          </w:tcPr>
          <w:p w:rsidR="00EA303E" w:rsidRPr="00A67C76" w:rsidRDefault="00EA303E" w:rsidP="000B3877">
            <w:pPr>
              <w:spacing w:line="240" w:lineRule="auto"/>
              <w:contextualSpacing/>
              <w:jc w:val="center"/>
              <w:rPr>
                <w:b/>
                <w:sz w:val="20"/>
              </w:rPr>
            </w:pPr>
            <w:r w:rsidRPr="00A67C76">
              <w:rPr>
                <w:b/>
                <w:sz w:val="20"/>
              </w:rPr>
              <w:t>0.001</w:t>
            </w:r>
          </w:p>
          <w:p w:rsidR="00EA303E" w:rsidRPr="00A67C76" w:rsidRDefault="00EA303E" w:rsidP="000B3877">
            <w:pPr>
              <w:spacing w:line="240" w:lineRule="auto"/>
              <w:contextualSpacing/>
              <w:jc w:val="center"/>
              <w:rPr>
                <w:b/>
                <w:sz w:val="20"/>
              </w:rPr>
            </w:pPr>
            <w:r w:rsidRPr="00A67C76">
              <w:rPr>
                <w:b/>
                <w:sz w:val="20"/>
              </w:rPr>
              <w:t>0.042</w:t>
            </w:r>
          </w:p>
          <w:p w:rsidR="00EA303E" w:rsidRPr="00A67C76" w:rsidRDefault="00EA303E" w:rsidP="000B3877">
            <w:pPr>
              <w:spacing w:line="240" w:lineRule="auto"/>
              <w:contextualSpacing/>
              <w:jc w:val="center"/>
              <w:rPr>
                <w:b/>
                <w:sz w:val="20"/>
              </w:rPr>
            </w:pPr>
            <w:r w:rsidRPr="00A67C76">
              <w:rPr>
                <w:b/>
                <w:sz w:val="20"/>
              </w:rPr>
              <w:t>0.023</w:t>
            </w:r>
          </w:p>
          <w:p w:rsidR="00EA303E" w:rsidRPr="00A67C76" w:rsidRDefault="00EA303E" w:rsidP="000B3877">
            <w:pPr>
              <w:spacing w:line="240" w:lineRule="auto"/>
              <w:contextualSpacing/>
              <w:jc w:val="center"/>
              <w:rPr>
                <w:b/>
                <w:sz w:val="20"/>
              </w:rPr>
            </w:pPr>
            <w:r w:rsidRPr="00A67C76">
              <w:rPr>
                <w:b/>
                <w:sz w:val="20"/>
              </w:rPr>
              <w:t>0.027</w:t>
            </w:r>
          </w:p>
          <w:p w:rsidR="00EA303E" w:rsidRPr="00A67C76" w:rsidRDefault="00EA303E" w:rsidP="000B3877">
            <w:pPr>
              <w:spacing w:line="240" w:lineRule="auto"/>
              <w:contextualSpacing/>
              <w:jc w:val="center"/>
              <w:rPr>
                <w:b/>
                <w:sz w:val="20"/>
              </w:rPr>
            </w:pPr>
            <w:r w:rsidRPr="00A67C76">
              <w:rPr>
                <w:b/>
                <w:sz w:val="20"/>
              </w:rPr>
              <w:t>0.042</w:t>
            </w:r>
          </w:p>
          <w:p w:rsidR="00EA303E" w:rsidRPr="00A67C76" w:rsidRDefault="00EA303E" w:rsidP="000B3877">
            <w:pPr>
              <w:spacing w:line="240" w:lineRule="auto"/>
              <w:contextualSpacing/>
              <w:jc w:val="center"/>
              <w:rPr>
                <w:sz w:val="20"/>
              </w:rPr>
            </w:pPr>
            <w:r w:rsidRPr="00A67C76">
              <w:rPr>
                <w:sz w:val="20"/>
              </w:rPr>
              <w:t>0.052</w:t>
            </w:r>
          </w:p>
          <w:p w:rsidR="00EA303E" w:rsidRPr="00A67C76" w:rsidRDefault="00EA303E" w:rsidP="000B3877">
            <w:pPr>
              <w:spacing w:line="240" w:lineRule="auto"/>
              <w:contextualSpacing/>
              <w:jc w:val="center"/>
              <w:rPr>
                <w:sz w:val="20"/>
              </w:rPr>
            </w:pPr>
            <w:r w:rsidRPr="00A67C76">
              <w:rPr>
                <w:sz w:val="20"/>
              </w:rPr>
              <w:t>0.567</w:t>
            </w:r>
          </w:p>
        </w:tc>
        <w:tc>
          <w:tcPr>
            <w:tcW w:w="2268" w:type="dxa"/>
          </w:tcPr>
          <w:p w:rsidR="00EA303E" w:rsidRPr="00A67C76" w:rsidRDefault="00EA303E" w:rsidP="000B3877">
            <w:pPr>
              <w:spacing w:line="240" w:lineRule="auto"/>
              <w:contextualSpacing/>
              <w:jc w:val="center"/>
              <w:rPr>
                <w:sz w:val="20"/>
              </w:rPr>
            </w:pPr>
            <w:r w:rsidRPr="00A67C76">
              <w:rPr>
                <w:sz w:val="20"/>
              </w:rPr>
              <w:t>0.459</w:t>
            </w:r>
          </w:p>
          <w:p w:rsidR="00EA303E" w:rsidRPr="00A67C76" w:rsidRDefault="00EA303E" w:rsidP="000B3877">
            <w:pPr>
              <w:spacing w:line="240" w:lineRule="auto"/>
              <w:contextualSpacing/>
              <w:jc w:val="center"/>
              <w:rPr>
                <w:sz w:val="20"/>
              </w:rPr>
            </w:pPr>
            <w:r w:rsidRPr="00A67C76">
              <w:rPr>
                <w:sz w:val="20"/>
              </w:rPr>
              <w:t>0.489</w:t>
            </w:r>
          </w:p>
          <w:p w:rsidR="00EA303E" w:rsidRPr="00A67C76" w:rsidRDefault="00EA303E" w:rsidP="000B3877">
            <w:pPr>
              <w:spacing w:line="240" w:lineRule="auto"/>
              <w:contextualSpacing/>
              <w:jc w:val="center"/>
              <w:rPr>
                <w:sz w:val="20"/>
              </w:rPr>
            </w:pPr>
            <w:r w:rsidRPr="00A67C76">
              <w:rPr>
                <w:sz w:val="20"/>
              </w:rPr>
              <w:t>0.53</w:t>
            </w:r>
          </w:p>
          <w:p w:rsidR="00EA303E" w:rsidRPr="00A67C76" w:rsidRDefault="00EA303E" w:rsidP="000B3877">
            <w:pPr>
              <w:spacing w:line="240" w:lineRule="auto"/>
              <w:contextualSpacing/>
              <w:jc w:val="center"/>
              <w:rPr>
                <w:sz w:val="20"/>
              </w:rPr>
            </w:pPr>
            <w:r w:rsidRPr="00A67C76">
              <w:rPr>
                <w:sz w:val="20"/>
              </w:rPr>
              <w:t>0.568</w:t>
            </w:r>
          </w:p>
          <w:p w:rsidR="00EA303E" w:rsidRPr="00A67C76" w:rsidRDefault="00EA303E" w:rsidP="000B3877">
            <w:pPr>
              <w:spacing w:line="240" w:lineRule="auto"/>
              <w:contextualSpacing/>
              <w:jc w:val="center"/>
              <w:rPr>
                <w:sz w:val="20"/>
              </w:rPr>
            </w:pPr>
            <w:r w:rsidRPr="00A67C76">
              <w:rPr>
                <w:sz w:val="20"/>
              </w:rPr>
              <w:t>0.599</w:t>
            </w:r>
          </w:p>
          <w:p w:rsidR="00EA303E" w:rsidRPr="00A67C76" w:rsidRDefault="00EA303E" w:rsidP="000B3877">
            <w:pPr>
              <w:spacing w:line="240" w:lineRule="auto"/>
              <w:contextualSpacing/>
              <w:jc w:val="center"/>
              <w:rPr>
                <w:sz w:val="20"/>
              </w:rPr>
            </w:pPr>
            <w:r w:rsidRPr="00A67C76">
              <w:rPr>
                <w:sz w:val="20"/>
              </w:rPr>
              <w:t>0.631</w:t>
            </w:r>
          </w:p>
          <w:p w:rsidR="00EA303E" w:rsidRPr="00A67C76" w:rsidRDefault="00EA303E" w:rsidP="000B3877">
            <w:pPr>
              <w:spacing w:line="240" w:lineRule="auto"/>
              <w:contextualSpacing/>
              <w:jc w:val="center"/>
              <w:rPr>
                <w:sz w:val="20"/>
              </w:rPr>
            </w:pPr>
            <w:r w:rsidRPr="00A67C76">
              <w:rPr>
                <w:sz w:val="20"/>
              </w:rPr>
              <w:t>0.64</w:t>
            </w:r>
          </w:p>
        </w:tc>
      </w:tr>
      <w:tr w:rsidR="00EA303E" w:rsidRPr="00A67C76" w:rsidTr="00EF5FE6">
        <w:trPr>
          <w:trHeight w:val="1751"/>
        </w:trPr>
        <w:tc>
          <w:tcPr>
            <w:tcW w:w="1135" w:type="dxa"/>
          </w:tcPr>
          <w:p w:rsidR="00EA303E" w:rsidRPr="00A67C76" w:rsidRDefault="00EA303E" w:rsidP="00EF5FE6">
            <w:pPr>
              <w:spacing w:before="0" w:after="0" w:line="240" w:lineRule="auto"/>
              <w:contextualSpacing/>
              <w:rPr>
                <w:b/>
                <w:sz w:val="20"/>
              </w:rPr>
            </w:pPr>
            <w:r w:rsidRPr="00A67C76">
              <w:rPr>
                <w:b/>
                <w:sz w:val="20"/>
              </w:rPr>
              <w:t>Kroehns</w:t>
            </w:r>
          </w:p>
        </w:tc>
        <w:tc>
          <w:tcPr>
            <w:tcW w:w="2410" w:type="dxa"/>
          </w:tcPr>
          <w:p w:rsidR="00EA303E" w:rsidRPr="00A67C76" w:rsidRDefault="00EA303E" w:rsidP="00EF5FE6">
            <w:pPr>
              <w:spacing w:before="0" w:after="0" w:line="240" w:lineRule="auto"/>
              <w:contextualSpacing/>
              <w:rPr>
                <w:sz w:val="20"/>
              </w:rPr>
            </w:pPr>
            <w:r w:rsidRPr="00A67C76">
              <w:rPr>
                <w:sz w:val="20"/>
              </w:rPr>
              <w:t>Relative water level</w:t>
            </w:r>
          </w:p>
          <w:p w:rsidR="00EA303E" w:rsidRPr="00A67C76" w:rsidRDefault="00EA303E" w:rsidP="00EF5FE6">
            <w:pPr>
              <w:spacing w:before="0" w:after="0" w:line="240" w:lineRule="auto"/>
              <w:contextualSpacing/>
              <w:rPr>
                <w:sz w:val="20"/>
              </w:rPr>
            </w:pPr>
            <w:r w:rsidRPr="00A67C76">
              <w:rPr>
                <w:sz w:val="20"/>
              </w:rPr>
              <w:t>pH</w:t>
            </w:r>
          </w:p>
          <w:p w:rsidR="00EA303E" w:rsidRPr="00A67C76" w:rsidRDefault="00EA303E" w:rsidP="00EF5FE6">
            <w:pPr>
              <w:spacing w:before="0" w:after="0" w:line="240" w:lineRule="auto"/>
              <w:contextualSpacing/>
              <w:rPr>
                <w:sz w:val="20"/>
              </w:rPr>
            </w:pPr>
            <w:r w:rsidRPr="00A67C76">
              <w:rPr>
                <w:sz w:val="20"/>
              </w:rPr>
              <w:t>Dissolved oxygen</w:t>
            </w:r>
          </w:p>
          <w:p w:rsidR="00EA303E" w:rsidRPr="00A67C76" w:rsidRDefault="00EA303E" w:rsidP="00EF5FE6">
            <w:pPr>
              <w:spacing w:before="0" w:after="0" w:line="240" w:lineRule="auto"/>
              <w:contextualSpacing/>
              <w:rPr>
                <w:sz w:val="20"/>
              </w:rPr>
            </w:pPr>
            <w:r w:rsidRPr="00A67C76">
              <w:rPr>
                <w:sz w:val="20"/>
              </w:rPr>
              <w:t>Conductivity</w:t>
            </w:r>
          </w:p>
          <w:p w:rsidR="00EA303E" w:rsidRPr="00A67C76" w:rsidRDefault="00EA303E" w:rsidP="00EF5FE6">
            <w:pPr>
              <w:spacing w:before="0" w:after="0" w:line="240" w:lineRule="auto"/>
              <w:contextualSpacing/>
              <w:rPr>
                <w:sz w:val="20"/>
              </w:rPr>
            </w:pPr>
            <w:r w:rsidRPr="00A67C76">
              <w:rPr>
                <w:sz w:val="20"/>
              </w:rPr>
              <w:t>Temperature</w:t>
            </w:r>
          </w:p>
          <w:p w:rsidR="00EA303E" w:rsidRPr="00A67C76" w:rsidRDefault="00EA303E" w:rsidP="00EF5FE6">
            <w:pPr>
              <w:spacing w:before="0" w:after="0" w:line="240" w:lineRule="auto"/>
              <w:contextualSpacing/>
              <w:rPr>
                <w:sz w:val="20"/>
              </w:rPr>
            </w:pPr>
            <w:r w:rsidRPr="00A67C76">
              <w:rPr>
                <w:sz w:val="20"/>
              </w:rPr>
              <w:t>Flow discharge</w:t>
            </w:r>
          </w:p>
          <w:p w:rsidR="00EA303E" w:rsidRPr="00A67C76" w:rsidRDefault="00EA303E" w:rsidP="00EF5FE6">
            <w:pPr>
              <w:spacing w:before="0" w:after="0" w:line="240" w:lineRule="auto"/>
              <w:contextualSpacing/>
              <w:rPr>
                <w:sz w:val="20"/>
              </w:rPr>
            </w:pPr>
            <w:r w:rsidRPr="00A67C76">
              <w:rPr>
                <w:sz w:val="20"/>
              </w:rPr>
              <w:t>Wetland surface area</w:t>
            </w:r>
          </w:p>
        </w:tc>
        <w:tc>
          <w:tcPr>
            <w:tcW w:w="1843" w:type="dxa"/>
          </w:tcPr>
          <w:p w:rsidR="00EA303E" w:rsidRPr="00A67C76" w:rsidRDefault="00EA303E" w:rsidP="00EF5FE6">
            <w:pPr>
              <w:spacing w:before="0" w:after="0" w:line="240" w:lineRule="auto"/>
              <w:contextualSpacing/>
              <w:jc w:val="center"/>
              <w:rPr>
                <w:sz w:val="20"/>
              </w:rPr>
            </w:pPr>
            <w:r w:rsidRPr="00A67C76">
              <w:rPr>
                <w:sz w:val="20"/>
              </w:rPr>
              <w:t>31.562</w:t>
            </w:r>
          </w:p>
          <w:p w:rsidR="00EA303E" w:rsidRPr="00A67C76" w:rsidRDefault="00EA303E" w:rsidP="00EF5FE6">
            <w:pPr>
              <w:spacing w:before="0" w:after="0" w:line="240" w:lineRule="auto"/>
              <w:contextualSpacing/>
              <w:jc w:val="center"/>
              <w:rPr>
                <w:sz w:val="20"/>
              </w:rPr>
            </w:pPr>
            <w:r w:rsidRPr="00A67C76">
              <w:rPr>
                <w:sz w:val="20"/>
              </w:rPr>
              <w:t>4.447</w:t>
            </w:r>
          </w:p>
          <w:p w:rsidR="00EA303E" w:rsidRPr="00A67C76" w:rsidRDefault="00EA303E" w:rsidP="00EF5FE6">
            <w:pPr>
              <w:spacing w:before="0" w:after="0" w:line="240" w:lineRule="auto"/>
              <w:contextualSpacing/>
              <w:jc w:val="center"/>
              <w:rPr>
                <w:sz w:val="20"/>
              </w:rPr>
            </w:pPr>
            <w:r w:rsidRPr="00A67C76">
              <w:rPr>
                <w:sz w:val="20"/>
              </w:rPr>
              <w:t>5.399</w:t>
            </w:r>
          </w:p>
          <w:p w:rsidR="00EA303E" w:rsidRPr="00A67C76" w:rsidRDefault="00EA303E" w:rsidP="00EF5FE6">
            <w:pPr>
              <w:spacing w:before="0" w:after="0" w:line="240" w:lineRule="auto"/>
              <w:contextualSpacing/>
              <w:jc w:val="center"/>
              <w:rPr>
                <w:sz w:val="20"/>
              </w:rPr>
            </w:pPr>
            <w:r w:rsidRPr="00A67C76">
              <w:rPr>
                <w:sz w:val="20"/>
              </w:rPr>
              <w:t>4.256</w:t>
            </w:r>
          </w:p>
          <w:p w:rsidR="00EA303E" w:rsidRPr="00A67C76" w:rsidRDefault="00EA303E" w:rsidP="00EF5FE6">
            <w:pPr>
              <w:spacing w:before="0" w:after="0" w:line="240" w:lineRule="auto"/>
              <w:contextualSpacing/>
              <w:jc w:val="center"/>
              <w:rPr>
                <w:sz w:val="20"/>
              </w:rPr>
            </w:pPr>
            <w:r w:rsidRPr="00A67C76">
              <w:rPr>
                <w:sz w:val="20"/>
              </w:rPr>
              <w:t>3.065</w:t>
            </w:r>
          </w:p>
          <w:p w:rsidR="00EA303E" w:rsidRPr="00A67C76" w:rsidRDefault="00EA303E" w:rsidP="00EF5FE6">
            <w:pPr>
              <w:spacing w:before="0" w:after="0" w:line="240" w:lineRule="auto"/>
              <w:contextualSpacing/>
              <w:jc w:val="center"/>
              <w:rPr>
                <w:sz w:val="20"/>
              </w:rPr>
            </w:pPr>
            <w:r w:rsidRPr="00A67C76">
              <w:rPr>
                <w:sz w:val="20"/>
              </w:rPr>
              <w:t>1.49</w:t>
            </w:r>
          </w:p>
          <w:p w:rsidR="00EA303E" w:rsidRPr="00A67C76" w:rsidRDefault="00EA303E" w:rsidP="00EF5FE6">
            <w:pPr>
              <w:spacing w:before="0" w:after="0" w:line="240" w:lineRule="auto"/>
              <w:contextualSpacing/>
              <w:jc w:val="center"/>
              <w:rPr>
                <w:sz w:val="20"/>
              </w:rPr>
            </w:pPr>
            <w:r w:rsidRPr="00A67C76">
              <w:rPr>
                <w:sz w:val="20"/>
              </w:rPr>
              <w:t>0.399</w:t>
            </w:r>
          </w:p>
        </w:tc>
        <w:tc>
          <w:tcPr>
            <w:tcW w:w="1842" w:type="dxa"/>
          </w:tcPr>
          <w:p w:rsidR="00EA303E" w:rsidRPr="00A67C76" w:rsidRDefault="00EA303E" w:rsidP="00EF5FE6">
            <w:pPr>
              <w:spacing w:before="0" w:after="0" w:line="240" w:lineRule="auto"/>
              <w:contextualSpacing/>
              <w:jc w:val="center"/>
              <w:rPr>
                <w:b/>
                <w:sz w:val="20"/>
              </w:rPr>
            </w:pPr>
            <w:r w:rsidRPr="00A67C76">
              <w:rPr>
                <w:b/>
                <w:sz w:val="20"/>
              </w:rPr>
              <w:t>0.001</w:t>
            </w:r>
          </w:p>
          <w:p w:rsidR="00EA303E" w:rsidRPr="00A67C76" w:rsidRDefault="00EA303E" w:rsidP="00EF5FE6">
            <w:pPr>
              <w:spacing w:before="0" w:after="0" w:line="240" w:lineRule="auto"/>
              <w:contextualSpacing/>
              <w:jc w:val="center"/>
              <w:rPr>
                <w:b/>
                <w:sz w:val="20"/>
              </w:rPr>
            </w:pPr>
            <w:r w:rsidRPr="00A67C76">
              <w:rPr>
                <w:b/>
                <w:sz w:val="20"/>
              </w:rPr>
              <w:t>0.003</w:t>
            </w:r>
          </w:p>
          <w:p w:rsidR="00EA303E" w:rsidRPr="00A67C76" w:rsidRDefault="00EA303E" w:rsidP="00EF5FE6">
            <w:pPr>
              <w:spacing w:before="0" w:after="0" w:line="240" w:lineRule="auto"/>
              <w:contextualSpacing/>
              <w:jc w:val="center"/>
              <w:rPr>
                <w:b/>
                <w:sz w:val="20"/>
              </w:rPr>
            </w:pPr>
            <w:r w:rsidRPr="00A67C76">
              <w:rPr>
                <w:b/>
                <w:sz w:val="20"/>
              </w:rPr>
              <w:t>0.001</w:t>
            </w:r>
          </w:p>
          <w:p w:rsidR="00EA303E" w:rsidRPr="00A67C76" w:rsidRDefault="00EA303E" w:rsidP="00EF5FE6">
            <w:pPr>
              <w:spacing w:before="0" w:after="0" w:line="240" w:lineRule="auto"/>
              <w:contextualSpacing/>
              <w:jc w:val="center"/>
              <w:rPr>
                <w:b/>
                <w:sz w:val="20"/>
              </w:rPr>
            </w:pPr>
            <w:r w:rsidRPr="00A67C76">
              <w:rPr>
                <w:b/>
                <w:sz w:val="20"/>
              </w:rPr>
              <w:t>0.001</w:t>
            </w:r>
          </w:p>
          <w:p w:rsidR="00EA303E" w:rsidRPr="00A67C76" w:rsidRDefault="00EA303E" w:rsidP="00EF5FE6">
            <w:pPr>
              <w:spacing w:before="0" w:after="0" w:line="240" w:lineRule="auto"/>
              <w:contextualSpacing/>
              <w:jc w:val="center"/>
              <w:rPr>
                <w:b/>
                <w:sz w:val="20"/>
              </w:rPr>
            </w:pPr>
            <w:r w:rsidRPr="00A67C76">
              <w:rPr>
                <w:b/>
                <w:sz w:val="20"/>
              </w:rPr>
              <w:t>0.021</w:t>
            </w:r>
          </w:p>
          <w:p w:rsidR="00EA303E" w:rsidRPr="00A67C76" w:rsidRDefault="00EA303E" w:rsidP="00EF5FE6">
            <w:pPr>
              <w:spacing w:before="0" w:after="0" w:line="240" w:lineRule="auto"/>
              <w:contextualSpacing/>
              <w:jc w:val="center"/>
              <w:rPr>
                <w:sz w:val="20"/>
              </w:rPr>
            </w:pPr>
            <w:r w:rsidRPr="00A67C76">
              <w:rPr>
                <w:sz w:val="20"/>
              </w:rPr>
              <w:t>0.22</w:t>
            </w:r>
          </w:p>
          <w:p w:rsidR="00EA303E" w:rsidRPr="00A67C76" w:rsidRDefault="00EA303E" w:rsidP="00EF5FE6">
            <w:pPr>
              <w:spacing w:before="0" w:after="0" w:line="240" w:lineRule="auto"/>
              <w:contextualSpacing/>
              <w:jc w:val="center"/>
              <w:rPr>
                <w:sz w:val="20"/>
              </w:rPr>
            </w:pPr>
            <w:r w:rsidRPr="00A67C76">
              <w:rPr>
                <w:sz w:val="20"/>
              </w:rPr>
              <w:t>0.789</w:t>
            </w:r>
          </w:p>
        </w:tc>
        <w:tc>
          <w:tcPr>
            <w:tcW w:w="2268" w:type="dxa"/>
          </w:tcPr>
          <w:p w:rsidR="00EA303E" w:rsidRPr="00A67C76" w:rsidRDefault="00EA303E" w:rsidP="00EF5FE6">
            <w:pPr>
              <w:spacing w:before="0" w:after="0" w:line="240" w:lineRule="auto"/>
              <w:contextualSpacing/>
              <w:jc w:val="center"/>
              <w:rPr>
                <w:sz w:val="20"/>
              </w:rPr>
            </w:pPr>
            <w:r w:rsidRPr="00A67C76">
              <w:rPr>
                <w:sz w:val="20"/>
              </w:rPr>
              <w:t>0.481</w:t>
            </w:r>
          </w:p>
          <w:p w:rsidR="00EA303E" w:rsidRPr="00A67C76" w:rsidRDefault="00EA303E" w:rsidP="00EF5FE6">
            <w:pPr>
              <w:spacing w:before="0" w:after="0" w:line="240" w:lineRule="auto"/>
              <w:contextualSpacing/>
              <w:jc w:val="center"/>
              <w:rPr>
                <w:sz w:val="20"/>
              </w:rPr>
            </w:pPr>
            <w:r w:rsidRPr="00A67C76">
              <w:rPr>
                <w:sz w:val="20"/>
              </w:rPr>
              <w:t>0.543</w:t>
            </w:r>
          </w:p>
          <w:p w:rsidR="00EA303E" w:rsidRPr="00A67C76" w:rsidRDefault="00EA303E" w:rsidP="00EF5FE6">
            <w:pPr>
              <w:spacing w:before="0" w:after="0" w:line="240" w:lineRule="auto"/>
              <w:contextualSpacing/>
              <w:jc w:val="center"/>
              <w:rPr>
                <w:sz w:val="20"/>
              </w:rPr>
            </w:pPr>
            <w:r w:rsidRPr="00A67C76">
              <w:rPr>
                <w:sz w:val="20"/>
              </w:rPr>
              <w:t>0.609</w:t>
            </w:r>
          </w:p>
          <w:p w:rsidR="00EA303E" w:rsidRPr="00A67C76" w:rsidRDefault="00EA303E" w:rsidP="00EF5FE6">
            <w:pPr>
              <w:spacing w:before="0" w:after="0" w:line="240" w:lineRule="auto"/>
              <w:contextualSpacing/>
              <w:jc w:val="center"/>
              <w:rPr>
                <w:sz w:val="20"/>
              </w:rPr>
            </w:pPr>
            <w:r w:rsidRPr="00A67C76">
              <w:rPr>
                <w:sz w:val="20"/>
              </w:rPr>
              <w:t>0.656</w:t>
            </w:r>
          </w:p>
          <w:p w:rsidR="00EA303E" w:rsidRPr="00A67C76" w:rsidRDefault="00EA303E" w:rsidP="00EF5FE6">
            <w:pPr>
              <w:spacing w:before="0" w:after="0" w:line="240" w:lineRule="auto"/>
              <w:contextualSpacing/>
              <w:jc w:val="center"/>
              <w:rPr>
                <w:sz w:val="20"/>
              </w:rPr>
            </w:pPr>
            <w:r w:rsidRPr="00A67C76">
              <w:rPr>
                <w:sz w:val="20"/>
              </w:rPr>
              <w:t>0.688</w:t>
            </w:r>
          </w:p>
          <w:p w:rsidR="00EA303E" w:rsidRPr="00A67C76" w:rsidRDefault="00EA303E" w:rsidP="00EF5FE6">
            <w:pPr>
              <w:spacing w:before="0" w:after="0" w:line="240" w:lineRule="auto"/>
              <w:contextualSpacing/>
              <w:jc w:val="center"/>
              <w:rPr>
                <w:sz w:val="20"/>
              </w:rPr>
            </w:pPr>
            <w:r w:rsidRPr="00A67C76">
              <w:rPr>
                <w:sz w:val="20"/>
              </w:rPr>
              <w:t>0.703</w:t>
            </w:r>
          </w:p>
          <w:p w:rsidR="00EA303E" w:rsidRPr="00A67C76" w:rsidRDefault="00EA303E" w:rsidP="00EF5FE6">
            <w:pPr>
              <w:spacing w:before="0" w:after="0" w:line="240" w:lineRule="auto"/>
              <w:contextualSpacing/>
              <w:jc w:val="center"/>
              <w:rPr>
                <w:sz w:val="20"/>
              </w:rPr>
            </w:pPr>
            <w:r w:rsidRPr="00A67C76">
              <w:rPr>
                <w:sz w:val="20"/>
              </w:rPr>
              <w:t>0.707</w:t>
            </w:r>
          </w:p>
        </w:tc>
      </w:tr>
    </w:tbl>
    <w:p w:rsidR="007C3F42" w:rsidRPr="00A67C76" w:rsidRDefault="009E401F" w:rsidP="009E401F">
      <w:pPr>
        <w:pStyle w:val="Caption"/>
      </w:pPr>
      <w:bookmarkStart w:id="241" w:name="_Ref387841567"/>
      <w:proofErr w:type="gramStart"/>
      <w:r w:rsidRPr="00A67C76">
        <w:t xml:space="preserve">Appendix </w:t>
      </w:r>
      <w:proofErr w:type="gramEnd"/>
      <w:r w:rsidR="002E6077" w:rsidRPr="00A67C76">
        <w:fldChar w:fldCharType="begin"/>
      </w:r>
      <w:r w:rsidR="00621CBB" w:rsidRPr="00A67C76">
        <w:instrText xml:space="preserve"> SEQ Appendix \* ROMAN </w:instrText>
      </w:r>
      <w:r w:rsidR="002E6077" w:rsidRPr="00A67C76">
        <w:fldChar w:fldCharType="separate"/>
      </w:r>
      <w:r w:rsidR="009659F2">
        <w:rPr>
          <w:noProof/>
        </w:rPr>
        <w:t>VIII</w:t>
      </w:r>
      <w:r w:rsidR="002E6077" w:rsidRPr="00A67C76">
        <w:rPr>
          <w:noProof/>
        </w:rPr>
        <w:fldChar w:fldCharType="end"/>
      </w:r>
      <w:bookmarkEnd w:id="241"/>
      <w:proofErr w:type="gramStart"/>
      <w:r w:rsidRPr="00A67C76">
        <w:t>.</w:t>
      </w:r>
      <w:proofErr w:type="gramEnd"/>
      <w:r w:rsidRPr="00A67C76">
        <w:t xml:space="preserve"> </w:t>
      </w:r>
      <w:proofErr w:type="gramStart"/>
      <w:r w:rsidR="007C3F42" w:rsidRPr="00A67C76">
        <w:t>Results of t-tests comparing frog species richness and frog calling abundance in spring and summer.</w:t>
      </w:r>
      <w:proofErr w:type="gramEnd"/>
    </w:p>
    <w:tbl>
      <w:tblPr>
        <w:tblStyle w:val="LightShading1"/>
        <w:tblpPr w:leftFromText="181" w:rightFromText="181" w:vertAnchor="text" w:horzAnchor="margin" w:tblpY="1"/>
        <w:tblW w:w="0" w:type="auto"/>
        <w:tblLook w:val="04A0"/>
      </w:tblPr>
      <w:tblGrid>
        <w:gridCol w:w="2802"/>
        <w:gridCol w:w="1053"/>
        <w:gridCol w:w="1053"/>
        <w:gridCol w:w="1053"/>
        <w:gridCol w:w="1053"/>
        <w:gridCol w:w="1053"/>
        <w:gridCol w:w="960"/>
      </w:tblGrid>
      <w:tr w:rsidR="007C3F42" w:rsidRPr="00A67C76" w:rsidTr="000B21EF">
        <w:trPr>
          <w:cnfStyle w:val="100000000000"/>
          <w:trHeight w:val="227"/>
        </w:trPr>
        <w:tc>
          <w:tcPr>
            <w:cnfStyle w:val="001000000000"/>
            <w:tcW w:w="2802" w:type="dxa"/>
            <w:tcBorders>
              <w:bottom w:val="nil"/>
            </w:tcBorders>
            <w:noWrap/>
            <w:hideMark/>
          </w:tcPr>
          <w:p w:rsidR="007C3F42" w:rsidRPr="00A67C76" w:rsidRDefault="007C3F42" w:rsidP="000B3877">
            <w:pPr>
              <w:spacing w:line="240" w:lineRule="auto"/>
              <w:contextualSpacing/>
              <w:rPr>
                <w:sz w:val="20"/>
                <w:lang w:val="en-AU"/>
              </w:rPr>
            </w:pPr>
          </w:p>
        </w:tc>
        <w:tc>
          <w:tcPr>
            <w:tcW w:w="2106" w:type="dxa"/>
            <w:gridSpan w:val="2"/>
            <w:tcBorders>
              <w:bottom w:val="single" w:sz="4" w:space="0" w:color="auto"/>
            </w:tcBorders>
            <w:noWrap/>
            <w:hideMark/>
          </w:tcPr>
          <w:p w:rsidR="007C3F42" w:rsidRPr="00A67C76" w:rsidRDefault="007C3F42" w:rsidP="000B3877">
            <w:pPr>
              <w:spacing w:line="240" w:lineRule="auto"/>
              <w:contextualSpacing/>
              <w:cnfStyle w:val="100000000000"/>
              <w:rPr>
                <w:sz w:val="20"/>
                <w:lang w:val="en-AU"/>
              </w:rPr>
            </w:pPr>
            <w:r w:rsidRPr="00A67C76">
              <w:rPr>
                <w:sz w:val="20"/>
                <w:lang w:val="en-AU"/>
              </w:rPr>
              <w:t>Spring</w:t>
            </w:r>
          </w:p>
        </w:tc>
        <w:tc>
          <w:tcPr>
            <w:tcW w:w="2106" w:type="dxa"/>
            <w:gridSpan w:val="2"/>
            <w:tcBorders>
              <w:bottom w:val="single" w:sz="4" w:space="0" w:color="auto"/>
            </w:tcBorders>
            <w:noWrap/>
            <w:hideMark/>
          </w:tcPr>
          <w:p w:rsidR="007C3F42" w:rsidRPr="00A67C76" w:rsidRDefault="007C3F42" w:rsidP="000B3877">
            <w:pPr>
              <w:spacing w:line="240" w:lineRule="auto"/>
              <w:contextualSpacing/>
              <w:cnfStyle w:val="100000000000"/>
              <w:rPr>
                <w:sz w:val="20"/>
                <w:lang w:val="en-AU"/>
              </w:rPr>
            </w:pPr>
            <w:r w:rsidRPr="00A67C76">
              <w:rPr>
                <w:sz w:val="20"/>
                <w:lang w:val="en-AU"/>
              </w:rPr>
              <w:t>Summer</w:t>
            </w:r>
          </w:p>
        </w:tc>
        <w:tc>
          <w:tcPr>
            <w:tcW w:w="1053" w:type="dxa"/>
            <w:tcBorders>
              <w:bottom w:val="nil"/>
            </w:tcBorders>
            <w:noWrap/>
            <w:hideMark/>
          </w:tcPr>
          <w:p w:rsidR="007C3F42" w:rsidRPr="00A67C76" w:rsidRDefault="007C3F42" w:rsidP="000B3877">
            <w:pPr>
              <w:spacing w:line="240" w:lineRule="auto"/>
              <w:contextualSpacing/>
              <w:cnfStyle w:val="100000000000"/>
              <w:rPr>
                <w:sz w:val="20"/>
                <w:lang w:val="en-AU"/>
              </w:rPr>
            </w:pPr>
          </w:p>
        </w:tc>
        <w:tc>
          <w:tcPr>
            <w:tcW w:w="960" w:type="dxa"/>
            <w:tcBorders>
              <w:bottom w:val="nil"/>
            </w:tcBorders>
            <w:noWrap/>
            <w:hideMark/>
          </w:tcPr>
          <w:p w:rsidR="007C3F42" w:rsidRPr="00A67C76" w:rsidRDefault="007C3F42" w:rsidP="000B3877">
            <w:pPr>
              <w:spacing w:line="240" w:lineRule="auto"/>
              <w:contextualSpacing/>
              <w:cnfStyle w:val="100000000000"/>
              <w:rPr>
                <w:sz w:val="20"/>
                <w:lang w:val="en-AU"/>
              </w:rPr>
            </w:pPr>
          </w:p>
        </w:tc>
      </w:tr>
      <w:tr w:rsidR="007C3F42" w:rsidRPr="00A67C76" w:rsidTr="000B21EF">
        <w:trPr>
          <w:cnfStyle w:val="000000100000"/>
          <w:trHeight w:val="300"/>
        </w:trPr>
        <w:tc>
          <w:tcPr>
            <w:cnfStyle w:val="001000000000"/>
            <w:tcW w:w="2802" w:type="dxa"/>
            <w:tcBorders>
              <w:top w:val="nil"/>
              <w:bottom w:val="single" w:sz="4" w:space="0" w:color="auto"/>
            </w:tcBorders>
            <w:shd w:val="clear" w:color="auto" w:fill="auto"/>
            <w:noWrap/>
            <w:hideMark/>
          </w:tcPr>
          <w:p w:rsidR="007C3F42" w:rsidRPr="00A67C76" w:rsidRDefault="007C3F42" w:rsidP="000B3877">
            <w:pPr>
              <w:spacing w:line="240" w:lineRule="auto"/>
              <w:ind w:hanging="284"/>
              <w:contextualSpacing/>
              <w:rPr>
                <w:sz w:val="20"/>
                <w:lang w:val="en-AU"/>
              </w:rPr>
            </w:pPr>
          </w:p>
        </w:tc>
        <w:tc>
          <w:tcPr>
            <w:tcW w:w="1053" w:type="dxa"/>
            <w:tcBorders>
              <w:top w:val="single" w:sz="4" w:space="0" w:color="auto"/>
              <w:bottom w:val="single" w:sz="4" w:space="0" w:color="auto"/>
            </w:tcBorders>
            <w:shd w:val="clear" w:color="auto" w:fill="auto"/>
            <w:noWrap/>
            <w:hideMark/>
          </w:tcPr>
          <w:p w:rsidR="007C3F42" w:rsidRPr="00A67C76" w:rsidRDefault="007C3F42" w:rsidP="000B3877">
            <w:pPr>
              <w:spacing w:line="240" w:lineRule="auto"/>
              <w:contextualSpacing/>
              <w:cnfStyle w:val="000000100000"/>
              <w:rPr>
                <w:b/>
                <w:sz w:val="20"/>
                <w:lang w:val="en-AU"/>
              </w:rPr>
            </w:pPr>
            <w:r w:rsidRPr="00A67C76">
              <w:rPr>
                <w:b/>
                <w:sz w:val="20"/>
                <w:lang w:val="en-AU"/>
              </w:rPr>
              <w:t>Mean</w:t>
            </w:r>
          </w:p>
        </w:tc>
        <w:tc>
          <w:tcPr>
            <w:tcW w:w="1053" w:type="dxa"/>
            <w:tcBorders>
              <w:top w:val="single" w:sz="4" w:space="0" w:color="auto"/>
              <w:bottom w:val="single" w:sz="4" w:space="0" w:color="auto"/>
            </w:tcBorders>
            <w:shd w:val="clear" w:color="auto" w:fill="auto"/>
            <w:noWrap/>
            <w:hideMark/>
          </w:tcPr>
          <w:p w:rsidR="007C3F42" w:rsidRPr="00A67C76" w:rsidRDefault="007C3F42" w:rsidP="000B3877">
            <w:pPr>
              <w:spacing w:line="240" w:lineRule="auto"/>
              <w:contextualSpacing/>
              <w:cnfStyle w:val="000000100000"/>
              <w:rPr>
                <w:b/>
                <w:sz w:val="20"/>
                <w:lang w:val="en-AU"/>
              </w:rPr>
            </w:pPr>
            <w:r w:rsidRPr="00A67C76">
              <w:rPr>
                <w:b/>
                <w:sz w:val="20"/>
                <w:lang w:val="en-AU"/>
              </w:rPr>
              <w:t>Std. Dev</w:t>
            </w:r>
          </w:p>
        </w:tc>
        <w:tc>
          <w:tcPr>
            <w:tcW w:w="1053" w:type="dxa"/>
            <w:tcBorders>
              <w:top w:val="single" w:sz="4" w:space="0" w:color="auto"/>
              <w:bottom w:val="single" w:sz="4" w:space="0" w:color="auto"/>
            </w:tcBorders>
            <w:shd w:val="clear" w:color="auto" w:fill="auto"/>
            <w:noWrap/>
            <w:hideMark/>
          </w:tcPr>
          <w:p w:rsidR="007C3F42" w:rsidRPr="00A67C76" w:rsidRDefault="007C3F42" w:rsidP="000B3877">
            <w:pPr>
              <w:spacing w:line="240" w:lineRule="auto"/>
              <w:contextualSpacing/>
              <w:cnfStyle w:val="000000100000"/>
              <w:rPr>
                <w:b/>
                <w:sz w:val="20"/>
                <w:lang w:val="en-AU"/>
              </w:rPr>
            </w:pPr>
            <w:r w:rsidRPr="00A67C76">
              <w:rPr>
                <w:b/>
                <w:sz w:val="20"/>
                <w:lang w:val="en-AU"/>
              </w:rPr>
              <w:t>Mean</w:t>
            </w:r>
          </w:p>
        </w:tc>
        <w:tc>
          <w:tcPr>
            <w:tcW w:w="1053" w:type="dxa"/>
            <w:tcBorders>
              <w:top w:val="single" w:sz="4" w:space="0" w:color="auto"/>
              <w:bottom w:val="single" w:sz="4" w:space="0" w:color="auto"/>
            </w:tcBorders>
            <w:shd w:val="clear" w:color="auto" w:fill="auto"/>
            <w:noWrap/>
            <w:hideMark/>
          </w:tcPr>
          <w:p w:rsidR="007C3F42" w:rsidRPr="00A67C76" w:rsidRDefault="007C3F42" w:rsidP="000B3877">
            <w:pPr>
              <w:spacing w:line="240" w:lineRule="auto"/>
              <w:contextualSpacing/>
              <w:cnfStyle w:val="000000100000"/>
              <w:rPr>
                <w:b/>
                <w:sz w:val="20"/>
                <w:lang w:val="en-AU"/>
              </w:rPr>
            </w:pPr>
            <w:r w:rsidRPr="00A67C76">
              <w:rPr>
                <w:b/>
                <w:sz w:val="20"/>
                <w:lang w:val="en-AU"/>
              </w:rPr>
              <w:t>Std. Dev</w:t>
            </w:r>
          </w:p>
        </w:tc>
        <w:tc>
          <w:tcPr>
            <w:tcW w:w="1053" w:type="dxa"/>
            <w:tcBorders>
              <w:top w:val="nil"/>
              <w:bottom w:val="single" w:sz="4" w:space="0" w:color="auto"/>
            </w:tcBorders>
            <w:shd w:val="clear" w:color="auto" w:fill="auto"/>
            <w:noWrap/>
            <w:hideMark/>
          </w:tcPr>
          <w:p w:rsidR="007C3F42" w:rsidRPr="00A67C76" w:rsidRDefault="007C3F42" w:rsidP="000B3877">
            <w:pPr>
              <w:spacing w:line="240" w:lineRule="auto"/>
              <w:contextualSpacing/>
              <w:cnfStyle w:val="000000100000"/>
              <w:rPr>
                <w:b/>
                <w:sz w:val="20"/>
                <w:lang w:val="en-AU"/>
              </w:rPr>
            </w:pPr>
            <w:r w:rsidRPr="00A67C76">
              <w:rPr>
                <w:b/>
                <w:sz w:val="20"/>
                <w:lang w:val="en-AU"/>
              </w:rPr>
              <w:t>t-value</w:t>
            </w:r>
          </w:p>
        </w:tc>
        <w:tc>
          <w:tcPr>
            <w:tcW w:w="960" w:type="dxa"/>
            <w:tcBorders>
              <w:top w:val="nil"/>
              <w:bottom w:val="single" w:sz="4" w:space="0" w:color="auto"/>
            </w:tcBorders>
            <w:shd w:val="clear" w:color="auto" w:fill="auto"/>
            <w:noWrap/>
            <w:hideMark/>
          </w:tcPr>
          <w:p w:rsidR="007C3F42" w:rsidRPr="00A67C76" w:rsidRDefault="007C3F42" w:rsidP="000B3877">
            <w:pPr>
              <w:spacing w:line="240" w:lineRule="auto"/>
              <w:contextualSpacing/>
              <w:cnfStyle w:val="000000100000"/>
              <w:rPr>
                <w:b/>
                <w:sz w:val="20"/>
                <w:lang w:val="en-AU"/>
              </w:rPr>
            </w:pPr>
            <w:r w:rsidRPr="00A67C76">
              <w:rPr>
                <w:b/>
                <w:sz w:val="20"/>
                <w:lang w:val="en-AU"/>
              </w:rPr>
              <w:t>P</w:t>
            </w:r>
          </w:p>
        </w:tc>
      </w:tr>
      <w:tr w:rsidR="007C3F42" w:rsidRPr="00A67C76" w:rsidTr="000B21EF">
        <w:trPr>
          <w:trHeight w:val="300"/>
        </w:trPr>
        <w:tc>
          <w:tcPr>
            <w:cnfStyle w:val="001000000000"/>
            <w:tcW w:w="2802" w:type="dxa"/>
            <w:tcBorders>
              <w:top w:val="single" w:sz="4" w:space="0" w:color="auto"/>
            </w:tcBorders>
            <w:shd w:val="clear" w:color="auto" w:fill="auto"/>
            <w:noWrap/>
            <w:hideMark/>
          </w:tcPr>
          <w:p w:rsidR="007C3F42" w:rsidRPr="00A67C76" w:rsidRDefault="007C3F42" w:rsidP="000B3877">
            <w:pPr>
              <w:spacing w:line="240" w:lineRule="auto"/>
              <w:contextualSpacing/>
              <w:rPr>
                <w:sz w:val="20"/>
                <w:lang w:val="en-AU"/>
              </w:rPr>
            </w:pPr>
            <w:r w:rsidRPr="00A67C76">
              <w:rPr>
                <w:sz w:val="20"/>
                <w:lang w:val="en-AU"/>
              </w:rPr>
              <w:t>Frog species richness</w:t>
            </w:r>
          </w:p>
        </w:tc>
        <w:tc>
          <w:tcPr>
            <w:tcW w:w="1053" w:type="dxa"/>
            <w:tcBorders>
              <w:top w:val="single" w:sz="4" w:space="0" w:color="auto"/>
            </w:tcBorders>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2.348148</w:t>
            </w:r>
          </w:p>
        </w:tc>
        <w:tc>
          <w:tcPr>
            <w:tcW w:w="1053" w:type="dxa"/>
            <w:tcBorders>
              <w:top w:val="single" w:sz="4" w:space="0" w:color="auto"/>
            </w:tcBorders>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1.188412</w:t>
            </w:r>
          </w:p>
        </w:tc>
        <w:tc>
          <w:tcPr>
            <w:tcW w:w="1053" w:type="dxa"/>
            <w:tcBorders>
              <w:top w:val="single" w:sz="4" w:space="0" w:color="auto"/>
            </w:tcBorders>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0.42963</w:t>
            </w:r>
          </w:p>
        </w:tc>
        <w:tc>
          <w:tcPr>
            <w:tcW w:w="1053" w:type="dxa"/>
            <w:tcBorders>
              <w:top w:val="single" w:sz="4" w:space="0" w:color="auto"/>
            </w:tcBorders>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0.63365</w:t>
            </w:r>
          </w:p>
        </w:tc>
        <w:tc>
          <w:tcPr>
            <w:tcW w:w="1053" w:type="dxa"/>
            <w:tcBorders>
              <w:top w:val="single" w:sz="4" w:space="0" w:color="auto"/>
            </w:tcBorders>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4.273546</w:t>
            </w:r>
          </w:p>
        </w:tc>
        <w:tc>
          <w:tcPr>
            <w:tcW w:w="960" w:type="dxa"/>
            <w:tcBorders>
              <w:top w:val="single" w:sz="4" w:space="0" w:color="auto"/>
            </w:tcBorders>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0.001</w:t>
            </w:r>
          </w:p>
        </w:tc>
      </w:tr>
      <w:tr w:rsidR="007C3F42" w:rsidRPr="00A67C76" w:rsidTr="000B21EF">
        <w:trPr>
          <w:cnfStyle w:val="000000100000"/>
          <w:trHeight w:val="300"/>
        </w:trPr>
        <w:tc>
          <w:tcPr>
            <w:cnfStyle w:val="001000000000"/>
            <w:tcW w:w="2802" w:type="dxa"/>
            <w:shd w:val="clear" w:color="auto" w:fill="auto"/>
            <w:noWrap/>
            <w:hideMark/>
          </w:tcPr>
          <w:p w:rsidR="007C3F42" w:rsidRPr="00A67C76" w:rsidRDefault="007C3F42" w:rsidP="000B3877">
            <w:pPr>
              <w:spacing w:line="240" w:lineRule="auto"/>
              <w:contextualSpacing/>
              <w:rPr>
                <w:sz w:val="20"/>
                <w:lang w:val="en-AU"/>
              </w:rPr>
            </w:pPr>
            <w:r w:rsidRPr="00A67C76">
              <w:rPr>
                <w:sz w:val="20"/>
                <w:lang w:val="en-AU"/>
              </w:rPr>
              <w:t>Frog calling abundance</w:t>
            </w:r>
          </w:p>
        </w:tc>
        <w:tc>
          <w:tcPr>
            <w:tcW w:w="1053"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42.09259</w:t>
            </w:r>
          </w:p>
        </w:tc>
        <w:tc>
          <w:tcPr>
            <w:tcW w:w="1053"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28.68386</w:t>
            </w:r>
          </w:p>
        </w:tc>
        <w:tc>
          <w:tcPr>
            <w:tcW w:w="1053"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5.883333</w:t>
            </w:r>
          </w:p>
        </w:tc>
        <w:tc>
          <w:tcPr>
            <w:tcW w:w="1053"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13.97757</w:t>
            </w:r>
          </w:p>
        </w:tc>
        <w:tc>
          <w:tcPr>
            <w:tcW w:w="1053"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3.404379</w:t>
            </w:r>
          </w:p>
        </w:tc>
        <w:tc>
          <w:tcPr>
            <w:tcW w:w="960"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0.005</w:t>
            </w:r>
          </w:p>
        </w:tc>
      </w:tr>
    </w:tbl>
    <w:p w:rsidR="000B3877" w:rsidRPr="00A67C76" w:rsidRDefault="000B3877" w:rsidP="00F914C8">
      <w:pPr>
        <w:pStyle w:val="Captions"/>
        <w:rPr>
          <w:highlight w:val="yellow"/>
        </w:rPr>
      </w:pPr>
    </w:p>
    <w:p w:rsidR="00EF09B5" w:rsidRDefault="00EF09B5">
      <w:pPr>
        <w:spacing w:before="0" w:after="200" w:line="276" w:lineRule="auto"/>
        <w:rPr>
          <w:b/>
          <w:bCs/>
          <w:color w:val="auto"/>
          <w:sz w:val="20"/>
          <w:szCs w:val="18"/>
        </w:rPr>
      </w:pPr>
      <w:bookmarkStart w:id="242" w:name="_Ref387841631"/>
      <w:bookmarkStart w:id="243" w:name="_Toc377124154"/>
      <w:r>
        <w:br w:type="page"/>
      </w:r>
    </w:p>
    <w:p w:rsidR="007C3F42" w:rsidRPr="00A67C76" w:rsidRDefault="009E401F" w:rsidP="009E401F">
      <w:pPr>
        <w:pStyle w:val="Caption"/>
      </w:pPr>
      <w:proofErr w:type="gramStart"/>
      <w:r w:rsidRPr="00A67C76">
        <w:t xml:space="preserve">Appendix </w:t>
      </w:r>
      <w:proofErr w:type="gramEnd"/>
      <w:r w:rsidR="002E6077" w:rsidRPr="00A67C76">
        <w:fldChar w:fldCharType="begin"/>
      </w:r>
      <w:r w:rsidR="00621CBB" w:rsidRPr="00A67C76">
        <w:instrText xml:space="preserve"> SEQ Appendix \* ROMAN </w:instrText>
      </w:r>
      <w:r w:rsidR="002E6077" w:rsidRPr="00A67C76">
        <w:fldChar w:fldCharType="separate"/>
      </w:r>
      <w:r w:rsidR="009659F2">
        <w:rPr>
          <w:noProof/>
        </w:rPr>
        <w:t>IX</w:t>
      </w:r>
      <w:r w:rsidR="002E6077" w:rsidRPr="00A67C76">
        <w:rPr>
          <w:noProof/>
        </w:rPr>
        <w:fldChar w:fldCharType="end"/>
      </w:r>
      <w:bookmarkEnd w:id="242"/>
      <w:proofErr w:type="gramStart"/>
      <w:r w:rsidRPr="00A67C76">
        <w:t>.</w:t>
      </w:r>
      <w:proofErr w:type="gramEnd"/>
      <w:r w:rsidR="007C3F42" w:rsidRPr="00A67C76">
        <w:t xml:space="preserve"> Influence of environmental variables on frog species call richness at wetlands in spring and summer 2012.</w:t>
      </w:r>
      <w:bookmarkEnd w:id="243"/>
      <w:r w:rsidR="007C3F42" w:rsidRPr="00A67C76">
        <w:t xml:space="preserve"> </w:t>
      </w:r>
    </w:p>
    <w:tbl>
      <w:tblPr>
        <w:tblStyle w:val="LightShading1"/>
        <w:tblW w:w="8267" w:type="dxa"/>
        <w:tblLook w:val="00A0"/>
      </w:tblPr>
      <w:tblGrid>
        <w:gridCol w:w="2567"/>
        <w:gridCol w:w="1417"/>
        <w:gridCol w:w="1310"/>
        <w:gridCol w:w="1125"/>
        <w:gridCol w:w="1080"/>
        <w:gridCol w:w="768"/>
      </w:tblGrid>
      <w:tr w:rsidR="007C3F42" w:rsidRPr="00A67C76" w:rsidTr="003B591A">
        <w:trPr>
          <w:cnfStyle w:val="100000000000"/>
          <w:trHeight w:val="20"/>
        </w:trPr>
        <w:tc>
          <w:tcPr>
            <w:cnfStyle w:val="001000000000"/>
            <w:tcW w:w="0" w:type="auto"/>
            <w:shd w:val="clear" w:color="auto" w:fill="auto"/>
            <w:noWrap/>
            <w:vAlign w:val="center"/>
          </w:tcPr>
          <w:p w:rsidR="007C3F42" w:rsidRPr="00A67C76" w:rsidRDefault="007C3F42" w:rsidP="003B591A">
            <w:pPr>
              <w:spacing w:before="100" w:beforeAutospacing="1" w:after="100" w:afterAutospacing="1" w:line="240" w:lineRule="auto"/>
              <w:contextualSpacing/>
              <w:rPr>
                <w:b w:val="0"/>
                <w:lang w:val="en-AU"/>
              </w:rPr>
            </w:pPr>
            <w:r w:rsidRPr="00A67C76">
              <w:rPr>
                <w:lang w:val="en-AU"/>
              </w:rPr>
              <w:t>Variable</w:t>
            </w:r>
          </w:p>
        </w:tc>
        <w:tc>
          <w:tcPr>
            <w:cnfStyle w:val="000010000000"/>
            <w:tcW w:w="1417" w:type="dxa"/>
            <w:shd w:val="clear" w:color="auto" w:fill="auto"/>
            <w:noWrap/>
            <w:vAlign w:val="center"/>
          </w:tcPr>
          <w:p w:rsidR="007C3F42" w:rsidRPr="00A67C76" w:rsidRDefault="007C3F42" w:rsidP="003B591A">
            <w:pPr>
              <w:spacing w:before="100" w:beforeAutospacing="1" w:after="100" w:afterAutospacing="1" w:line="240" w:lineRule="auto"/>
              <w:contextualSpacing/>
              <w:rPr>
                <w:rFonts w:cs="Segoe UI"/>
                <w:b w:val="0"/>
                <w:sz w:val="20"/>
                <w:lang w:val="en-AU"/>
              </w:rPr>
            </w:pPr>
            <w:r w:rsidRPr="00A67C76">
              <w:rPr>
                <w:rFonts w:cs="Segoe UI"/>
                <w:sz w:val="20"/>
                <w:lang w:val="en-AU"/>
              </w:rPr>
              <w:t>Estimate</w:t>
            </w:r>
          </w:p>
        </w:tc>
        <w:tc>
          <w:tcPr>
            <w:tcW w:w="1310" w:type="dxa"/>
            <w:shd w:val="clear" w:color="auto" w:fill="auto"/>
            <w:noWrap/>
            <w:vAlign w:val="center"/>
          </w:tcPr>
          <w:p w:rsidR="007C3F42" w:rsidRPr="00A67C76" w:rsidRDefault="007C3F42" w:rsidP="003B591A">
            <w:pPr>
              <w:spacing w:before="100" w:beforeAutospacing="1" w:after="100" w:afterAutospacing="1" w:line="240" w:lineRule="auto"/>
              <w:contextualSpacing/>
              <w:cnfStyle w:val="100000000000"/>
              <w:rPr>
                <w:rFonts w:cs="Segoe UI"/>
                <w:b w:val="0"/>
                <w:sz w:val="20"/>
                <w:lang w:val="en-AU"/>
              </w:rPr>
            </w:pPr>
            <w:r w:rsidRPr="00A67C76">
              <w:rPr>
                <w:rFonts w:cs="Segoe UI"/>
                <w:sz w:val="20"/>
                <w:lang w:val="en-AU"/>
              </w:rPr>
              <w:t>Std. Error</w:t>
            </w:r>
          </w:p>
        </w:tc>
        <w:tc>
          <w:tcPr>
            <w:cnfStyle w:val="000010000000"/>
            <w:tcW w:w="1125" w:type="dxa"/>
            <w:shd w:val="clear" w:color="auto" w:fill="auto"/>
            <w:noWrap/>
            <w:vAlign w:val="center"/>
          </w:tcPr>
          <w:p w:rsidR="007C3F42" w:rsidRPr="00A67C76" w:rsidRDefault="007C3F42" w:rsidP="003B591A">
            <w:pPr>
              <w:spacing w:before="100" w:beforeAutospacing="1" w:after="100" w:afterAutospacing="1" w:line="240" w:lineRule="auto"/>
              <w:contextualSpacing/>
              <w:rPr>
                <w:rFonts w:cs="Segoe UI"/>
                <w:b w:val="0"/>
                <w:sz w:val="20"/>
                <w:lang w:val="en-AU"/>
              </w:rPr>
            </w:pPr>
            <w:r w:rsidRPr="00A67C76">
              <w:rPr>
                <w:rFonts w:cs="Segoe UI"/>
                <w:sz w:val="20"/>
                <w:lang w:val="en-AU"/>
              </w:rPr>
              <w:t>t-value</w:t>
            </w:r>
          </w:p>
        </w:tc>
        <w:tc>
          <w:tcPr>
            <w:tcW w:w="1080" w:type="dxa"/>
            <w:shd w:val="clear" w:color="auto" w:fill="auto"/>
            <w:noWrap/>
            <w:vAlign w:val="center"/>
          </w:tcPr>
          <w:p w:rsidR="007C3F42" w:rsidRPr="00A67C76" w:rsidRDefault="007C3F42" w:rsidP="003B591A">
            <w:pPr>
              <w:spacing w:before="100" w:beforeAutospacing="1" w:after="100" w:afterAutospacing="1" w:line="240" w:lineRule="auto"/>
              <w:contextualSpacing/>
              <w:cnfStyle w:val="100000000000"/>
              <w:rPr>
                <w:rFonts w:cs="Segoe UI"/>
                <w:b w:val="0"/>
                <w:sz w:val="20"/>
                <w:lang w:val="en-AU"/>
              </w:rPr>
            </w:pPr>
            <w:r w:rsidRPr="00A67C76">
              <w:rPr>
                <w:rFonts w:cs="Segoe UI"/>
                <w:sz w:val="20"/>
                <w:lang w:val="en-AU"/>
              </w:rPr>
              <w:t>P</w:t>
            </w:r>
          </w:p>
        </w:tc>
        <w:tc>
          <w:tcPr>
            <w:cnfStyle w:val="000010000000"/>
            <w:tcW w:w="768" w:type="dxa"/>
            <w:shd w:val="clear" w:color="auto" w:fill="auto"/>
            <w:noWrap/>
            <w:vAlign w:val="center"/>
          </w:tcPr>
          <w:p w:rsidR="007C3F42" w:rsidRPr="00A67C76" w:rsidRDefault="007C3F42" w:rsidP="003B591A">
            <w:pPr>
              <w:spacing w:line="240" w:lineRule="auto"/>
              <w:contextualSpacing/>
              <w:rPr>
                <w:rFonts w:cs="Segoe UI"/>
                <w:b w:val="0"/>
                <w:sz w:val="20"/>
                <w:lang w:val="en-AU"/>
              </w:rPr>
            </w:pPr>
          </w:p>
        </w:tc>
      </w:tr>
      <w:tr w:rsidR="007C3F42" w:rsidRPr="00A67C76" w:rsidTr="000B21EF">
        <w:trPr>
          <w:cnfStyle w:val="000000100000"/>
          <w:trHeight w:val="300"/>
        </w:trPr>
        <w:tc>
          <w:tcPr>
            <w:cnfStyle w:val="001000000000"/>
            <w:tcW w:w="2567" w:type="dxa"/>
            <w:shd w:val="clear" w:color="auto" w:fill="auto"/>
            <w:noWrap/>
          </w:tcPr>
          <w:p w:rsidR="007C3F42" w:rsidRPr="00A67C76" w:rsidRDefault="007C3F42" w:rsidP="000B3877">
            <w:pPr>
              <w:spacing w:line="240" w:lineRule="auto"/>
              <w:contextualSpacing/>
              <w:rPr>
                <w:rFonts w:cs="Segoe UI"/>
                <w:sz w:val="20"/>
                <w:lang w:val="en-AU"/>
              </w:rPr>
            </w:pPr>
            <w:r w:rsidRPr="00A67C76">
              <w:rPr>
                <w:rFonts w:cs="Segoe UI"/>
                <w:sz w:val="20"/>
                <w:lang w:val="en-AU"/>
              </w:rPr>
              <w:t>(Intercept)</w:t>
            </w:r>
          </w:p>
        </w:tc>
        <w:tc>
          <w:tcPr>
            <w:cnfStyle w:val="000010000000"/>
            <w:tcW w:w="1417" w:type="dxa"/>
            <w:shd w:val="clear" w:color="auto" w:fill="auto"/>
            <w:noWrap/>
          </w:tcPr>
          <w:p w:rsidR="007C3F42" w:rsidRPr="00A67C76" w:rsidRDefault="007C3F42" w:rsidP="000B3877">
            <w:pPr>
              <w:spacing w:line="240" w:lineRule="auto"/>
              <w:contextualSpacing/>
              <w:jc w:val="center"/>
              <w:rPr>
                <w:rFonts w:cs="Segoe UI"/>
                <w:sz w:val="20"/>
                <w:lang w:val="en-AU"/>
              </w:rPr>
            </w:pPr>
            <w:r w:rsidRPr="00A67C76">
              <w:rPr>
                <w:rFonts w:cs="Segoe UI"/>
                <w:sz w:val="20"/>
                <w:lang w:val="en-AU"/>
              </w:rPr>
              <w:t>-1.49E+00</w:t>
            </w:r>
          </w:p>
        </w:tc>
        <w:tc>
          <w:tcPr>
            <w:tcW w:w="1310" w:type="dxa"/>
            <w:shd w:val="clear" w:color="auto" w:fill="auto"/>
            <w:noWrap/>
          </w:tcPr>
          <w:p w:rsidR="007C3F42" w:rsidRPr="00A67C76" w:rsidRDefault="007C3F42" w:rsidP="000B3877">
            <w:pPr>
              <w:spacing w:line="240" w:lineRule="auto"/>
              <w:contextualSpacing/>
              <w:jc w:val="center"/>
              <w:cnfStyle w:val="000000100000"/>
              <w:rPr>
                <w:rFonts w:cs="Segoe UI"/>
                <w:sz w:val="20"/>
                <w:lang w:val="en-AU"/>
              </w:rPr>
            </w:pPr>
            <w:r w:rsidRPr="00A67C76">
              <w:rPr>
                <w:rFonts w:cs="Segoe UI"/>
                <w:sz w:val="20"/>
                <w:lang w:val="en-AU"/>
              </w:rPr>
              <w:t>1.40E+00</w:t>
            </w:r>
          </w:p>
        </w:tc>
        <w:tc>
          <w:tcPr>
            <w:cnfStyle w:val="000010000000"/>
            <w:tcW w:w="1125" w:type="dxa"/>
            <w:shd w:val="clear" w:color="auto" w:fill="auto"/>
            <w:noWrap/>
          </w:tcPr>
          <w:p w:rsidR="007C3F42" w:rsidRPr="00A67C76" w:rsidRDefault="007C3F42" w:rsidP="000B3877">
            <w:pPr>
              <w:spacing w:line="240" w:lineRule="auto"/>
              <w:contextualSpacing/>
              <w:jc w:val="center"/>
              <w:rPr>
                <w:rFonts w:cs="Segoe UI"/>
                <w:sz w:val="20"/>
                <w:lang w:val="en-AU"/>
              </w:rPr>
            </w:pPr>
            <w:r w:rsidRPr="00A67C76">
              <w:rPr>
                <w:rFonts w:cs="Segoe UI"/>
                <w:sz w:val="20"/>
                <w:lang w:val="en-AU"/>
              </w:rPr>
              <w:t>-1.064</w:t>
            </w:r>
          </w:p>
        </w:tc>
        <w:tc>
          <w:tcPr>
            <w:tcW w:w="1080" w:type="dxa"/>
            <w:shd w:val="clear" w:color="auto" w:fill="auto"/>
            <w:noWrap/>
          </w:tcPr>
          <w:p w:rsidR="007C3F42" w:rsidRPr="00A67C76" w:rsidRDefault="007C3F42" w:rsidP="000B3877">
            <w:pPr>
              <w:spacing w:line="240" w:lineRule="auto"/>
              <w:contextualSpacing/>
              <w:jc w:val="center"/>
              <w:cnfStyle w:val="000000100000"/>
              <w:rPr>
                <w:rFonts w:cs="Segoe UI"/>
                <w:sz w:val="20"/>
                <w:lang w:val="en-AU"/>
              </w:rPr>
            </w:pPr>
            <w:r w:rsidRPr="00A67C76">
              <w:rPr>
                <w:rFonts w:cs="Segoe UI"/>
                <w:sz w:val="20"/>
                <w:lang w:val="en-AU"/>
              </w:rPr>
              <w:t>0.292</w:t>
            </w:r>
          </w:p>
        </w:tc>
        <w:tc>
          <w:tcPr>
            <w:cnfStyle w:val="000010000000"/>
            <w:tcW w:w="768" w:type="dxa"/>
            <w:shd w:val="clear" w:color="auto" w:fill="auto"/>
            <w:noWrap/>
          </w:tcPr>
          <w:p w:rsidR="007C3F42" w:rsidRPr="00A67C76" w:rsidRDefault="007C3F42" w:rsidP="000B3877">
            <w:pPr>
              <w:spacing w:line="240" w:lineRule="auto"/>
              <w:contextualSpacing/>
              <w:rPr>
                <w:rFonts w:cs="Segoe UI"/>
                <w:sz w:val="20"/>
                <w:lang w:val="en-AU"/>
              </w:rPr>
            </w:pPr>
          </w:p>
        </w:tc>
      </w:tr>
      <w:tr w:rsidR="007C3F42" w:rsidRPr="00A67C76" w:rsidTr="000B21EF">
        <w:trPr>
          <w:trHeight w:val="300"/>
        </w:trPr>
        <w:tc>
          <w:tcPr>
            <w:cnfStyle w:val="001000000000"/>
            <w:tcW w:w="2567" w:type="dxa"/>
            <w:shd w:val="clear" w:color="auto" w:fill="auto"/>
            <w:noWrap/>
          </w:tcPr>
          <w:p w:rsidR="007C3F42" w:rsidRPr="00A67C76" w:rsidRDefault="007C3F42" w:rsidP="000B3877">
            <w:pPr>
              <w:spacing w:line="240" w:lineRule="auto"/>
              <w:contextualSpacing/>
              <w:rPr>
                <w:rFonts w:cs="Segoe UI"/>
                <w:sz w:val="20"/>
                <w:lang w:val="en-AU"/>
              </w:rPr>
            </w:pPr>
            <w:r w:rsidRPr="00A67C76">
              <w:rPr>
                <w:rFonts w:cs="Segoe UI"/>
                <w:sz w:val="20"/>
                <w:lang w:val="en-AU"/>
              </w:rPr>
              <w:t>Flow to SA</w:t>
            </w:r>
          </w:p>
        </w:tc>
        <w:tc>
          <w:tcPr>
            <w:cnfStyle w:val="000010000000"/>
            <w:tcW w:w="1417" w:type="dxa"/>
            <w:shd w:val="clear" w:color="auto" w:fill="auto"/>
            <w:noWrap/>
          </w:tcPr>
          <w:p w:rsidR="007C3F42" w:rsidRPr="00A67C76" w:rsidRDefault="007C3F42" w:rsidP="000B3877">
            <w:pPr>
              <w:spacing w:line="240" w:lineRule="auto"/>
              <w:contextualSpacing/>
              <w:jc w:val="center"/>
              <w:rPr>
                <w:rFonts w:cs="Segoe UI"/>
                <w:sz w:val="20"/>
                <w:lang w:val="en-AU"/>
              </w:rPr>
            </w:pPr>
            <w:r w:rsidRPr="00A67C76">
              <w:rPr>
                <w:rFonts w:cs="Segoe UI"/>
                <w:sz w:val="20"/>
                <w:lang w:val="en-AU"/>
              </w:rPr>
              <w:t>7.01E-05</w:t>
            </w:r>
          </w:p>
        </w:tc>
        <w:tc>
          <w:tcPr>
            <w:tcW w:w="1310" w:type="dxa"/>
            <w:shd w:val="clear" w:color="auto" w:fill="auto"/>
            <w:noWrap/>
          </w:tcPr>
          <w:p w:rsidR="007C3F42" w:rsidRPr="00A67C76" w:rsidRDefault="007C3F42" w:rsidP="000B3877">
            <w:pPr>
              <w:spacing w:line="240" w:lineRule="auto"/>
              <w:contextualSpacing/>
              <w:jc w:val="center"/>
              <w:cnfStyle w:val="000000000000"/>
              <w:rPr>
                <w:rFonts w:cs="Segoe UI"/>
                <w:sz w:val="20"/>
                <w:lang w:val="en-AU"/>
              </w:rPr>
            </w:pPr>
            <w:r w:rsidRPr="00A67C76">
              <w:rPr>
                <w:rFonts w:cs="Segoe UI"/>
                <w:sz w:val="20"/>
                <w:lang w:val="en-AU"/>
              </w:rPr>
              <w:t>1.72E-05</w:t>
            </w:r>
          </w:p>
        </w:tc>
        <w:tc>
          <w:tcPr>
            <w:cnfStyle w:val="000010000000"/>
            <w:tcW w:w="1125" w:type="dxa"/>
            <w:shd w:val="clear" w:color="auto" w:fill="auto"/>
            <w:noWrap/>
          </w:tcPr>
          <w:p w:rsidR="007C3F42" w:rsidRPr="00A67C76" w:rsidRDefault="007C3F42" w:rsidP="000B3877">
            <w:pPr>
              <w:spacing w:line="240" w:lineRule="auto"/>
              <w:contextualSpacing/>
              <w:jc w:val="center"/>
              <w:rPr>
                <w:rFonts w:cs="Segoe UI"/>
                <w:sz w:val="20"/>
                <w:lang w:val="en-AU"/>
              </w:rPr>
            </w:pPr>
            <w:r w:rsidRPr="00A67C76">
              <w:rPr>
                <w:rFonts w:cs="Segoe UI"/>
                <w:sz w:val="20"/>
                <w:lang w:val="en-AU"/>
              </w:rPr>
              <w:t>4.087</w:t>
            </w:r>
          </w:p>
        </w:tc>
        <w:tc>
          <w:tcPr>
            <w:tcW w:w="1080" w:type="dxa"/>
            <w:shd w:val="clear" w:color="auto" w:fill="auto"/>
            <w:noWrap/>
          </w:tcPr>
          <w:p w:rsidR="007C3F42" w:rsidRPr="00A67C76" w:rsidRDefault="007C3F42" w:rsidP="000B3877">
            <w:pPr>
              <w:spacing w:line="240" w:lineRule="auto"/>
              <w:contextualSpacing/>
              <w:jc w:val="center"/>
              <w:cnfStyle w:val="000000000000"/>
              <w:rPr>
                <w:rFonts w:cs="Segoe UI"/>
                <w:sz w:val="20"/>
                <w:lang w:val="en-AU"/>
              </w:rPr>
            </w:pPr>
            <w:r w:rsidRPr="00A67C76">
              <w:rPr>
                <w:rFonts w:cs="Segoe UI"/>
                <w:sz w:val="20"/>
                <w:lang w:val="en-AU"/>
              </w:rPr>
              <w:t>&lt;0.001</w:t>
            </w:r>
          </w:p>
        </w:tc>
        <w:tc>
          <w:tcPr>
            <w:cnfStyle w:val="000010000000"/>
            <w:tcW w:w="768" w:type="dxa"/>
            <w:shd w:val="clear" w:color="auto" w:fill="auto"/>
            <w:noWrap/>
          </w:tcPr>
          <w:p w:rsidR="007C3F42" w:rsidRPr="00A67C76" w:rsidRDefault="007C3F42" w:rsidP="000B3877">
            <w:pPr>
              <w:spacing w:line="240" w:lineRule="auto"/>
              <w:contextualSpacing/>
              <w:rPr>
                <w:rFonts w:cs="Segoe UI"/>
                <w:sz w:val="20"/>
                <w:lang w:val="en-AU"/>
              </w:rPr>
            </w:pPr>
            <w:r w:rsidRPr="00A67C76">
              <w:rPr>
                <w:rFonts w:cs="Segoe UI"/>
                <w:sz w:val="20"/>
                <w:lang w:val="en-AU"/>
              </w:rPr>
              <w:t>***</w:t>
            </w:r>
          </w:p>
        </w:tc>
      </w:tr>
      <w:tr w:rsidR="007C3F42" w:rsidRPr="00A67C76" w:rsidTr="000B21EF">
        <w:trPr>
          <w:cnfStyle w:val="000000100000"/>
          <w:trHeight w:val="300"/>
        </w:trPr>
        <w:tc>
          <w:tcPr>
            <w:cnfStyle w:val="001000000000"/>
            <w:tcW w:w="2567" w:type="dxa"/>
            <w:shd w:val="clear" w:color="auto" w:fill="auto"/>
            <w:noWrap/>
          </w:tcPr>
          <w:p w:rsidR="007C3F42" w:rsidRPr="00A67C76" w:rsidRDefault="007C3F42" w:rsidP="000B3877">
            <w:pPr>
              <w:spacing w:line="240" w:lineRule="auto"/>
              <w:contextualSpacing/>
              <w:rPr>
                <w:rFonts w:cs="Segoe UI"/>
                <w:sz w:val="20"/>
                <w:lang w:val="en-AU"/>
              </w:rPr>
            </w:pPr>
            <w:r w:rsidRPr="00A67C76">
              <w:rPr>
                <w:rFonts w:cs="Segoe UI"/>
                <w:sz w:val="20"/>
                <w:lang w:val="en-AU"/>
              </w:rPr>
              <w:t>Electrical conductivity</w:t>
            </w:r>
          </w:p>
        </w:tc>
        <w:tc>
          <w:tcPr>
            <w:cnfStyle w:val="000010000000"/>
            <w:tcW w:w="1417" w:type="dxa"/>
            <w:shd w:val="clear" w:color="auto" w:fill="auto"/>
            <w:noWrap/>
          </w:tcPr>
          <w:p w:rsidR="007C3F42" w:rsidRPr="00A67C76" w:rsidRDefault="007C3F42" w:rsidP="000B3877">
            <w:pPr>
              <w:spacing w:line="240" w:lineRule="auto"/>
              <w:contextualSpacing/>
              <w:jc w:val="center"/>
              <w:rPr>
                <w:rFonts w:cs="Segoe UI"/>
                <w:sz w:val="20"/>
                <w:lang w:val="en-AU"/>
              </w:rPr>
            </w:pPr>
            <w:r w:rsidRPr="00A67C76">
              <w:rPr>
                <w:rFonts w:cs="Segoe UI"/>
                <w:sz w:val="20"/>
                <w:lang w:val="en-AU"/>
              </w:rPr>
              <w:t>5.86E-05</w:t>
            </w:r>
          </w:p>
        </w:tc>
        <w:tc>
          <w:tcPr>
            <w:tcW w:w="1310" w:type="dxa"/>
            <w:shd w:val="clear" w:color="auto" w:fill="auto"/>
            <w:noWrap/>
          </w:tcPr>
          <w:p w:rsidR="007C3F42" w:rsidRPr="00A67C76" w:rsidRDefault="007C3F42" w:rsidP="000B3877">
            <w:pPr>
              <w:spacing w:line="240" w:lineRule="auto"/>
              <w:contextualSpacing/>
              <w:jc w:val="center"/>
              <w:cnfStyle w:val="000000100000"/>
              <w:rPr>
                <w:rFonts w:cs="Segoe UI"/>
                <w:sz w:val="20"/>
                <w:lang w:val="en-AU"/>
              </w:rPr>
            </w:pPr>
            <w:r w:rsidRPr="00A67C76">
              <w:rPr>
                <w:rFonts w:cs="Segoe UI"/>
                <w:sz w:val="20"/>
                <w:lang w:val="en-AU"/>
              </w:rPr>
              <w:t>8.34E-05</w:t>
            </w:r>
          </w:p>
        </w:tc>
        <w:tc>
          <w:tcPr>
            <w:cnfStyle w:val="000010000000"/>
            <w:tcW w:w="1125" w:type="dxa"/>
            <w:shd w:val="clear" w:color="auto" w:fill="auto"/>
            <w:noWrap/>
          </w:tcPr>
          <w:p w:rsidR="007C3F42" w:rsidRPr="00A67C76" w:rsidRDefault="007C3F42" w:rsidP="000B3877">
            <w:pPr>
              <w:spacing w:line="240" w:lineRule="auto"/>
              <w:contextualSpacing/>
              <w:jc w:val="center"/>
              <w:rPr>
                <w:rFonts w:cs="Segoe UI"/>
                <w:sz w:val="20"/>
                <w:lang w:val="en-AU"/>
              </w:rPr>
            </w:pPr>
            <w:r w:rsidRPr="00A67C76">
              <w:rPr>
                <w:rFonts w:cs="Segoe UI"/>
                <w:sz w:val="20"/>
                <w:lang w:val="en-AU"/>
              </w:rPr>
              <w:t>0.703</w:t>
            </w:r>
          </w:p>
        </w:tc>
        <w:tc>
          <w:tcPr>
            <w:tcW w:w="1080" w:type="dxa"/>
            <w:shd w:val="clear" w:color="auto" w:fill="auto"/>
            <w:noWrap/>
          </w:tcPr>
          <w:p w:rsidR="007C3F42" w:rsidRPr="00A67C76" w:rsidRDefault="007C3F42" w:rsidP="000B3877">
            <w:pPr>
              <w:spacing w:line="240" w:lineRule="auto"/>
              <w:contextualSpacing/>
              <w:jc w:val="center"/>
              <w:cnfStyle w:val="000000100000"/>
              <w:rPr>
                <w:rFonts w:cs="Segoe UI"/>
                <w:sz w:val="20"/>
                <w:lang w:val="en-AU"/>
              </w:rPr>
            </w:pPr>
            <w:r w:rsidRPr="00A67C76">
              <w:rPr>
                <w:rFonts w:cs="Segoe UI"/>
                <w:sz w:val="20"/>
                <w:lang w:val="en-AU"/>
              </w:rPr>
              <w:t>0.485</w:t>
            </w:r>
          </w:p>
        </w:tc>
        <w:tc>
          <w:tcPr>
            <w:cnfStyle w:val="000010000000"/>
            <w:tcW w:w="768" w:type="dxa"/>
            <w:shd w:val="clear" w:color="auto" w:fill="auto"/>
            <w:noWrap/>
          </w:tcPr>
          <w:p w:rsidR="007C3F42" w:rsidRPr="00A67C76" w:rsidRDefault="007C3F42" w:rsidP="000B3877">
            <w:pPr>
              <w:spacing w:line="240" w:lineRule="auto"/>
              <w:contextualSpacing/>
              <w:rPr>
                <w:rFonts w:cs="Segoe UI"/>
                <w:sz w:val="20"/>
                <w:lang w:val="en-AU"/>
              </w:rPr>
            </w:pPr>
          </w:p>
        </w:tc>
      </w:tr>
      <w:tr w:rsidR="007C3F42" w:rsidRPr="00A67C76" w:rsidTr="000B21EF">
        <w:trPr>
          <w:trHeight w:val="300"/>
        </w:trPr>
        <w:tc>
          <w:tcPr>
            <w:cnfStyle w:val="001000000000"/>
            <w:tcW w:w="2567" w:type="dxa"/>
            <w:shd w:val="clear" w:color="auto" w:fill="auto"/>
            <w:noWrap/>
          </w:tcPr>
          <w:p w:rsidR="007C3F42" w:rsidRPr="00A67C76" w:rsidRDefault="007C3F42" w:rsidP="000B3877">
            <w:pPr>
              <w:spacing w:line="240" w:lineRule="auto"/>
              <w:contextualSpacing/>
              <w:rPr>
                <w:rFonts w:cs="Segoe UI"/>
                <w:sz w:val="20"/>
                <w:lang w:val="en-AU"/>
              </w:rPr>
            </w:pPr>
            <w:r w:rsidRPr="00A67C76">
              <w:rPr>
                <w:rFonts w:cs="Segoe UI"/>
                <w:sz w:val="20"/>
                <w:lang w:val="en-AU"/>
              </w:rPr>
              <w:t>Air temperature</w:t>
            </w:r>
          </w:p>
        </w:tc>
        <w:tc>
          <w:tcPr>
            <w:cnfStyle w:val="000010000000"/>
            <w:tcW w:w="1417" w:type="dxa"/>
            <w:shd w:val="clear" w:color="auto" w:fill="auto"/>
            <w:noWrap/>
          </w:tcPr>
          <w:p w:rsidR="007C3F42" w:rsidRPr="00A67C76" w:rsidRDefault="007C3F42" w:rsidP="000B3877">
            <w:pPr>
              <w:spacing w:line="240" w:lineRule="auto"/>
              <w:contextualSpacing/>
              <w:jc w:val="center"/>
              <w:rPr>
                <w:rFonts w:cs="Segoe UI"/>
                <w:sz w:val="20"/>
                <w:lang w:val="en-AU"/>
              </w:rPr>
            </w:pPr>
            <w:r w:rsidRPr="00A67C76">
              <w:rPr>
                <w:rFonts w:cs="Segoe UI"/>
                <w:sz w:val="20"/>
                <w:lang w:val="en-AU"/>
              </w:rPr>
              <w:t>-3.36E-02</w:t>
            </w:r>
          </w:p>
        </w:tc>
        <w:tc>
          <w:tcPr>
            <w:tcW w:w="1310" w:type="dxa"/>
            <w:shd w:val="clear" w:color="auto" w:fill="auto"/>
            <w:noWrap/>
          </w:tcPr>
          <w:p w:rsidR="007C3F42" w:rsidRPr="00A67C76" w:rsidRDefault="007C3F42" w:rsidP="000B3877">
            <w:pPr>
              <w:spacing w:line="240" w:lineRule="auto"/>
              <w:contextualSpacing/>
              <w:jc w:val="center"/>
              <w:cnfStyle w:val="000000000000"/>
              <w:rPr>
                <w:rFonts w:cs="Segoe UI"/>
                <w:sz w:val="20"/>
                <w:lang w:val="en-AU"/>
              </w:rPr>
            </w:pPr>
            <w:r w:rsidRPr="00A67C76">
              <w:rPr>
                <w:rFonts w:cs="Segoe UI"/>
                <w:sz w:val="20"/>
                <w:lang w:val="en-AU"/>
              </w:rPr>
              <w:t>3.56E-02</w:t>
            </w:r>
          </w:p>
        </w:tc>
        <w:tc>
          <w:tcPr>
            <w:cnfStyle w:val="000010000000"/>
            <w:tcW w:w="1125" w:type="dxa"/>
            <w:shd w:val="clear" w:color="auto" w:fill="auto"/>
            <w:noWrap/>
          </w:tcPr>
          <w:p w:rsidR="007C3F42" w:rsidRPr="00A67C76" w:rsidRDefault="007C3F42" w:rsidP="000B3877">
            <w:pPr>
              <w:spacing w:line="240" w:lineRule="auto"/>
              <w:contextualSpacing/>
              <w:jc w:val="center"/>
              <w:rPr>
                <w:rFonts w:cs="Segoe UI"/>
                <w:sz w:val="20"/>
                <w:lang w:val="en-AU"/>
              </w:rPr>
            </w:pPr>
            <w:r w:rsidRPr="00A67C76">
              <w:rPr>
                <w:rFonts w:cs="Segoe UI"/>
                <w:sz w:val="20"/>
                <w:lang w:val="en-AU"/>
              </w:rPr>
              <w:t>-0.944</w:t>
            </w:r>
          </w:p>
        </w:tc>
        <w:tc>
          <w:tcPr>
            <w:tcW w:w="1080" w:type="dxa"/>
            <w:shd w:val="clear" w:color="auto" w:fill="auto"/>
            <w:noWrap/>
          </w:tcPr>
          <w:p w:rsidR="007C3F42" w:rsidRPr="00A67C76" w:rsidRDefault="007C3F42" w:rsidP="000B3877">
            <w:pPr>
              <w:spacing w:line="240" w:lineRule="auto"/>
              <w:contextualSpacing/>
              <w:jc w:val="center"/>
              <w:cnfStyle w:val="000000000000"/>
              <w:rPr>
                <w:rFonts w:cs="Segoe UI"/>
                <w:sz w:val="20"/>
                <w:lang w:val="en-AU"/>
              </w:rPr>
            </w:pPr>
            <w:r w:rsidRPr="00A67C76">
              <w:rPr>
                <w:rFonts w:cs="Segoe UI"/>
                <w:sz w:val="20"/>
                <w:lang w:val="en-AU"/>
              </w:rPr>
              <w:t>0.349</w:t>
            </w:r>
          </w:p>
        </w:tc>
        <w:tc>
          <w:tcPr>
            <w:cnfStyle w:val="000010000000"/>
            <w:tcW w:w="768" w:type="dxa"/>
            <w:shd w:val="clear" w:color="auto" w:fill="auto"/>
            <w:noWrap/>
          </w:tcPr>
          <w:p w:rsidR="007C3F42" w:rsidRPr="00A67C76" w:rsidRDefault="007C3F42" w:rsidP="000B3877">
            <w:pPr>
              <w:spacing w:line="240" w:lineRule="auto"/>
              <w:contextualSpacing/>
              <w:rPr>
                <w:rFonts w:cs="Segoe UI"/>
                <w:sz w:val="20"/>
                <w:lang w:val="en-AU"/>
              </w:rPr>
            </w:pPr>
          </w:p>
        </w:tc>
      </w:tr>
      <w:tr w:rsidR="007C3F42" w:rsidRPr="00A67C76" w:rsidTr="000B21EF">
        <w:trPr>
          <w:cnfStyle w:val="000000100000"/>
          <w:trHeight w:val="300"/>
        </w:trPr>
        <w:tc>
          <w:tcPr>
            <w:cnfStyle w:val="001000000000"/>
            <w:tcW w:w="2567" w:type="dxa"/>
            <w:shd w:val="clear" w:color="auto" w:fill="auto"/>
            <w:noWrap/>
          </w:tcPr>
          <w:p w:rsidR="007C3F42" w:rsidRPr="00A67C76" w:rsidRDefault="007C3F42" w:rsidP="000B3877">
            <w:pPr>
              <w:spacing w:line="240" w:lineRule="auto"/>
              <w:contextualSpacing/>
              <w:rPr>
                <w:rFonts w:cs="Segoe UI"/>
                <w:sz w:val="20"/>
                <w:lang w:val="en-AU"/>
              </w:rPr>
            </w:pPr>
            <w:r w:rsidRPr="00A67C76">
              <w:rPr>
                <w:rFonts w:cs="Segoe UI"/>
                <w:sz w:val="20"/>
                <w:lang w:val="en-AU"/>
              </w:rPr>
              <w:t>Humidity</w:t>
            </w:r>
          </w:p>
        </w:tc>
        <w:tc>
          <w:tcPr>
            <w:cnfStyle w:val="000010000000"/>
            <w:tcW w:w="1417" w:type="dxa"/>
            <w:shd w:val="clear" w:color="auto" w:fill="auto"/>
            <w:noWrap/>
          </w:tcPr>
          <w:p w:rsidR="007C3F42" w:rsidRPr="00A67C76" w:rsidRDefault="007C3F42" w:rsidP="000B3877">
            <w:pPr>
              <w:spacing w:line="240" w:lineRule="auto"/>
              <w:contextualSpacing/>
              <w:jc w:val="center"/>
              <w:rPr>
                <w:rFonts w:cs="Segoe UI"/>
                <w:sz w:val="20"/>
                <w:lang w:val="en-AU"/>
              </w:rPr>
            </w:pPr>
            <w:r w:rsidRPr="00A67C76">
              <w:rPr>
                <w:rFonts w:cs="Segoe UI"/>
                <w:sz w:val="20"/>
                <w:lang w:val="en-AU"/>
              </w:rPr>
              <w:t>-2.12E-02</w:t>
            </w:r>
          </w:p>
        </w:tc>
        <w:tc>
          <w:tcPr>
            <w:tcW w:w="1310" w:type="dxa"/>
            <w:shd w:val="clear" w:color="auto" w:fill="auto"/>
            <w:noWrap/>
          </w:tcPr>
          <w:p w:rsidR="007C3F42" w:rsidRPr="00A67C76" w:rsidRDefault="007C3F42" w:rsidP="000B3877">
            <w:pPr>
              <w:spacing w:line="240" w:lineRule="auto"/>
              <w:contextualSpacing/>
              <w:jc w:val="center"/>
              <w:cnfStyle w:val="000000100000"/>
              <w:rPr>
                <w:rFonts w:cs="Segoe UI"/>
                <w:sz w:val="20"/>
                <w:lang w:val="en-AU"/>
              </w:rPr>
            </w:pPr>
            <w:r w:rsidRPr="00A67C76">
              <w:rPr>
                <w:rFonts w:cs="Segoe UI"/>
                <w:sz w:val="20"/>
                <w:lang w:val="en-AU"/>
              </w:rPr>
              <w:t>1.29E-02</w:t>
            </w:r>
          </w:p>
        </w:tc>
        <w:tc>
          <w:tcPr>
            <w:cnfStyle w:val="000010000000"/>
            <w:tcW w:w="1125" w:type="dxa"/>
            <w:shd w:val="clear" w:color="auto" w:fill="auto"/>
            <w:noWrap/>
          </w:tcPr>
          <w:p w:rsidR="007C3F42" w:rsidRPr="00A67C76" w:rsidRDefault="007C3F42" w:rsidP="000B3877">
            <w:pPr>
              <w:spacing w:line="240" w:lineRule="auto"/>
              <w:contextualSpacing/>
              <w:jc w:val="center"/>
              <w:rPr>
                <w:rFonts w:cs="Segoe UI"/>
                <w:sz w:val="20"/>
                <w:lang w:val="en-AU"/>
              </w:rPr>
            </w:pPr>
            <w:r w:rsidRPr="00A67C76">
              <w:rPr>
                <w:rFonts w:cs="Segoe UI"/>
                <w:sz w:val="20"/>
                <w:lang w:val="en-AU"/>
              </w:rPr>
              <w:t>-1.643</w:t>
            </w:r>
          </w:p>
        </w:tc>
        <w:tc>
          <w:tcPr>
            <w:tcW w:w="1080" w:type="dxa"/>
            <w:shd w:val="clear" w:color="auto" w:fill="auto"/>
            <w:noWrap/>
          </w:tcPr>
          <w:p w:rsidR="007C3F42" w:rsidRPr="00A67C76" w:rsidRDefault="007C3F42" w:rsidP="000B3877">
            <w:pPr>
              <w:spacing w:line="240" w:lineRule="auto"/>
              <w:contextualSpacing/>
              <w:jc w:val="center"/>
              <w:cnfStyle w:val="000000100000"/>
              <w:rPr>
                <w:rFonts w:cs="Segoe UI"/>
                <w:sz w:val="20"/>
                <w:lang w:val="en-AU"/>
              </w:rPr>
            </w:pPr>
            <w:r w:rsidRPr="00A67C76">
              <w:rPr>
                <w:rFonts w:cs="Segoe UI"/>
                <w:sz w:val="20"/>
                <w:lang w:val="en-AU"/>
              </w:rPr>
              <w:t>0.106</w:t>
            </w:r>
          </w:p>
        </w:tc>
        <w:tc>
          <w:tcPr>
            <w:cnfStyle w:val="000010000000"/>
            <w:tcW w:w="768" w:type="dxa"/>
            <w:shd w:val="clear" w:color="auto" w:fill="auto"/>
            <w:noWrap/>
          </w:tcPr>
          <w:p w:rsidR="007C3F42" w:rsidRPr="00A67C76" w:rsidRDefault="007C3F42" w:rsidP="000B3877">
            <w:pPr>
              <w:spacing w:line="240" w:lineRule="auto"/>
              <w:contextualSpacing/>
              <w:rPr>
                <w:rFonts w:cs="Segoe UI"/>
                <w:sz w:val="20"/>
                <w:lang w:val="en-AU"/>
              </w:rPr>
            </w:pPr>
          </w:p>
        </w:tc>
      </w:tr>
      <w:tr w:rsidR="007C3F42" w:rsidRPr="00A67C76" w:rsidTr="000B21EF">
        <w:trPr>
          <w:trHeight w:val="300"/>
        </w:trPr>
        <w:tc>
          <w:tcPr>
            <w:cnfStyle w:val="001000000000"/>
            <w:tcW w:w="2567" w:type="dxa"/>
            <w:shd w:val="clear" w:color="auto" w:fill="auto"/>
            <w:noWrap/>
          </w:tcPr>
          <w:p w:rsidR="007C3F42" w:rsidRPr="00A67C76" w:rsidRDefault="007C3F42" w:rsidP="000B3877">
            <w:pPr>
              <w:spacing w:line="240" w:lineRule="auto"/>
              <w:contextualSpacing/>
              <w:rPr>
                <w:rFonts w:cs="Segoe UI"/>
                <w:sz w:val="20"/>
                <w:lang w:val="en-AU"/>
              </w:rPr>
            </w:pPr>
            <w:r w:rsidRPr="00A67C76">
              <w:rPr>
                <w:rFonts w:cs="Segoe UI"/>
                <w:sz w:val="20"/>
                <w:lang w:val="en-AU"/>
              </w:rPr>
              <w:t>Emergent vegetation</w:t>
            </w:r>
          </w:p>
        </w:tc>
        <w:tc>
          <w:tcPr>
            <w:cnfStyle w:val="000010000000"/>
            <w:tcW w:w="1417" w:type="dxa"/>
            <w:shd w:val="clear" w:color="auto" w:fill="auto"/>
            <w:noWrap/>
          </w:tcPr>
          <w:p w:rsidR="007C3F42" w:rsidRPr="00A67C76" w:rsidRDefault="007C3F42" w:rsidP="000B3877">
            <w:pPr>
              <w:spacing w:line="240" w:lineRule="auto"/>
              <w:contextualSpacing/>
              <w:jc w:val="center"/>
              <w:rPr>
                <w:rFonts w:cs="Segoe UI"/>
                <w:sz w:val="20"/>
                <w:lang w:val="en-AU"/>
              </w:rPr>
            </w:pPr>
            <w:r w:rsidRPr="00A67C76">
              <w:rPr>
                <w:rFonts w:cs="Segoe UI"/>
                <w:sz w:val="20"/>
                <w:lang w:val="en-AU"/>
              </w:rPr>
              <w:t>1.50E-02</w:t>
            </w:r>
          </w:p>
        </w:tc>
        <w:tc>
          <w:tcPr>
            <w:tcW w:w="1310" w:type="dxa"/>
            <w:shd w:val="clear" w:color="auto" w:fill="auto"/>
            <w:noWrap/>
          </w:tcPr>
          <w:p w:rsidR="007C3F42" w:rsidRPr="00A67C76" w:rsidRDefault="007C3F42" w:rsidP="000B3877">
            <w:pPr>
              <w:spacing w:line="240" w:lineRule="auto"/>
              <w:contextualSpacing/>
              <w:jc w:val="center"/>
              <w:cnfStyle w:val="000000000000"/>
              <w:rPr>
                <w:rFonts w:cs="Segoe UI"/>
                <w:sz w:val="20"/>
                <w:lang w:val="en-AU"/>
              </w:rPr>
            </w:pPr>
            <w:r w:rsidRPr="00A67C76">
              <w:rPr>
                <w:rFonts w:cs="Segoe UI"/>
                <w:sz w:val="20"/>
                <w:lang w:val="en-AU"/>
              </w:rPr>
              <w:t>5.52E-03</w:t>
            </w:r>
          </w:p>
        </w:tc>
        <w:tc>
          <w:tcPr>
            <w:cnfStyle w:val="000010000000"/>
            <w:tcW w:w="1125" w:type="dxa"/>
            <w:shd w:val="clear" w:color="auto" w:fill="auto"/>
            <w:noWrap/>
          </w:tcPr>
          <w:p w:rsidR="007C3F42" w:rsidRPr="00A67C76" w:rsidRDefault="007C3F42" w:rsidP="000B3877">
            <w:pPr>
              <w:spacing w:line="240" w:lineRule="auto"/>
              <w:contextualSpacing/>
              <w:jc w:val="center"/>
              <w:rPr>
                <w:rFonts w:cs="Segoe UI"/>
                <w:sz w:val="20"/>
                <w:lang w:val="en-AU"/>
              </w:rPr>
            </w:pPr>
            <w:r w:rsidRPr="00A67C76">
              <w:rPr>
                <w:rFonts w:cs="Segoe UI"/>
                <w:sz w:val="20"/>
                <w:lang w:val="en-AU"/>
              </w:rPr>
              <w:t>2.724</w:t>
            </w:r>
          </w:p>
        </w:tc>
        <w:tc>
          <w:tcPr>
            <w:tcW w:w="1080" w:type="dxa"/>
            <w:shd w:val="clear" w:color="auto" w:fill="auto"/>
            <w:noWrap/>
          </w:tcPr>
          <w:p w:rsidR="007C3F42" w:rsidRPr="00A67C76" w:rsidRDefault="007C3F42" w:rsidP="000B3877">
            <w:pPr>
              <w:spacing w:line="240" w:lineRule="auto"/>
              <w:contextualSpacing/>
              <w:jc w:val="center"/>
              <w:cnfStyle w:val="000000000000"/>
              <w:rPr>
                <w:rFonts w:cs="Segoe UI"/>
                <w:sz w:val="20"/>
                <w:lang w:val="en-AU"/>
              </w:rPr>
            </w:pPr>
            <w:r w:rsidRPr="00A67C76">
              <w:rPr>
                <w:rFonts w:cs="Segoe UI"/>
                <w:sz w:val="20"/>
                <w:lang w:val="en-AU"/>
              </w:rPr>
              <w:t>0.008</w:t>
            </w:r>
          </w:p>
        </w:tc>
        <w:tc>
          <w:tcPr>
            <w:cnfStyle w:val="000010000000"/>
            <w:tcW w:w="768" w:type="dxa"/>
            <w:shd w:val="clear" w:color="auto" w:fill="auto"/>
            <w:noWrap/>
          </w:tcPr>
          <w:p w:rsidR="007C3F42" w:rsidRPr="00A67C76" w:rsidRDefault="007C3F42" w:rsidP="000B3877">
            <w:pPr>
              <w:spacing w:line="240" w:lineRule="auto"/>
              <w:contextualSpacing/>
              <w:rPr>
                <w:rFonts w:cs="Segoe UI"/>
                <w:sz w:val="20"/>
                <w:lang w:val="en-AU"/>
              </w:rPr>
            </w:pPr>
            <w:r w:rsidRPr="00A67C76">
              <w:rPr>
                <w:rFonts w:cs="Segoe UI"/>
                <w:sz w:val="20"/>
                <w:lang w:val="en-AU"/>
              </w:rPr>
              <w:t>**</w:t>
            </w:r>
          </w:p>
        </w:tc>
      </w:tr>
      <w:tr w:rsidR="007C3F42" w:rsidRPr="00A67C76" w:rsidTr="000B21EF">
        <w:trPr>
          <w:cnfStyle w:val="000000100000"/>
          <w:trHeight w:val="300"/>
        </w:trPr>
        <w:tc>
          <w:tcPr>
            <w:cnfStyle w:val="001000000000"/>
            <w:tcW w:w="2567" w:type="dxa"/>
            <w:shd w:val="clear" w:color="auto" w:fill="auto"/>
            <w:noWrap/>
          </w:tcPr>
          <w:p w:rsidR="007C3F42" w:rsidRPr="00A67C76" w:rsidRDefault="007C3F42" w:rsidP="000B3877">
            <w:pPr>
              <w:spacing w:line="240" w:lineRule="auto"/>
              <w:contextualSpacing/>
              <w:rPr>
                <w:rFonts w:cs="Segoe UI"/>
                <w:sz w:val="20"/>
                <w:lang w:val="en-AU"/>
              </w:rPr>
            </w:pPr>
            <w:r w:rsidRPr="00A67C76">
              <w:rPr>
                <w:rFonts w:cs="Segoe UI"/>
                <w:sz w:val="20"/>
                <w:lang w:val="en-AU"/>
              </w:rPr>
              <w:t>Submerged vegetation</w:t>
            </w:r>
          </w:p>
        </w:tc>
        <w:tc>
          <w:tcPr>
            <w:cnfStyle w:val="000010000000"/>
            <w:tcW w:w="1417" w:type="dxa"/>
            <w:shd w:val="clear" w:color="auto" w:fill="auto"/>
            <w:noWrap/>
          </w:tcPr>
          <w:p w:rsidR="007C3F42" w:rsidRPr="00A67C76" w:rsidRDefault="007C3F42" w:rsidP="000B3877">
            <w:pPr>
              <w:spacing w:line="240" w:lineRule="auto"/>
              <w:contextualSpacing/>
              <w:jc w:val="center"/>
              <w:rPr>
                <w:rFonts w:cs="Segoe UI"/>
                <w:sz w:val="20"/>
                <w:lang w:val="en-AU"/>
              </w:rPr>
            </w:pPr>
            <w:r w:rsidRPr="00A67C76">
              <w:rPr>
                <w:rFonts w:cs="Segoe UI"/>
                <w:sz w:val="20"/>
                <w:lang w:val="en-AU"/>
              </w:rPr>
              <w:t>1.49E-01</w:t>
            </w:r>
          </w:p>
        </w:tc>
        <w:tc>
          <w:tcPr>
            <w:tcW w:w="1310" w:type="dxa"/>
            <w:shd w:val="clear" w:color="auto" w:fill="auto"/>
            <w:noWrap/>
          </w:tcPr>
          <w:p w:rsidR="007C3F42" w:rsidRPr="00A67C76" w:rsidRDefault="007C3F42" w:rsidP="000B3877">
            <w:pPr>
              <w:spacing w:line="240" w:lineRule="auto"/>
              <w:contextualSpacing/>
              <w:jc w:val="center"/>
              <w:cnfStyle w:val="000000100000"/>
              <w:rPr>
                <w:rFonts w:cs="Segoe UI"/>
                <w:sz w:val="20"/>
                <w:lang w:val="en-AU"/>
              </w:rPr>
            </w:pPr>
            <w:r w:rsidRPr="00A67C76">
              <w:rPr>
                <w:rFonts w:cs="Segoe UI"/>
                <w:sz w:val="20"/>
                <w:lang w:val="en-AU"/>
              </w:rPr>
              <w:t>2.07E-01</w:t>
            </w:r>
          </w:p>
        </w:tc>
        <w:tc>
          <w:tcPr>
            <w:cnfStyle w:val="000010000000"/>
            <w:tcW w:w="1125" w:type="dxa"/>
            <w:shd w:val="clear" w:color="auto" w:fill="auto"/>
            <w:noWrap/>
          </w:tcPr>
          <w:p w:rsidR="007C3F42" w:rsidRPr="00A67C76" w:rsidRDefault="007C3F42" w:rsidP="000B3877">
            <w:pPr>
              <w:spacing w:line="240" w:lineRule="auto"/>
              <w:contextualSpacing/>
              <w:jc w:val="center"/>
              <w:rPr>
                <w:rFonts w:cs="Segoe UI"/>
                <w:sz w:val="20"/>
                <w:lang w:val="en-AU"/>
              </w:rPr>
            </w:pPr>
            <w:r w:rsidRPr="00A67C76">
              <w:rPr>
                <w:rFonts w:cs="Segoe UI"/>
                <w:sz w:val="20"/>
                <w:lang w:val="en-AU"/>
              </w:rPr>
              <w:t>0.723</w:t>
            </w:r>
          </w:p>
        </w:tc>
        <w:tc>
          <w:tcPr>
            <w:tcW w:w="1080" w:type="dxa"/>
            <w:shd w:val="clear" w:color="auto" w:fill="auto"/>
            <w:noWrap/>
          </w:tcPr>
          <w:p w:rsidR="007C3F42" w:rsidRPr="00A67C76" w:rsidRDefault="007C3F42" w:rsidP="000B3877">
            <w:pPr>
              <w:spacing w:line="240" w:lineRule="auto"/>
              <w:contextualSpacing/>
              <w:jc w:val="center"/>
              <w:cnfStyle w:val="000000100000"/>
              <w:rPr>
                <w:rFonts w:cs="Segoe UI"/>
                <w:sz w:val="20"/>
                <w:lang w:val="en-AU"/>
              </w:rPr>
            </w:pPr>
            <w:r w:rsidRPr="00A67C76">
              <w:rPr>
                <w:rFonts w:cs="Segoe UI"/>
                <w:sz w:val="20"/>
                <w:lang w:val="en-AU"/>
              </w:rPr>
              <w:t>0.472</w:t>
            </w:r>
          </w:p>
        </w:tc>
        <w:tc>
          <w:tcPr>
            <w:cnfStyle w:val="000010000000"/>
            <w:tcW w:w="768" w:type="dxa"/>
            <w:shd w:val="clear" w:color="auto" w:fill="auto"/>
            <w:noWrap/>
          </w:tcPr>
          <w:p w:rsidR="007C3F42" w:rsidRPr="00A67C76" w:rsidRDefault="007C3F42" w:rsidP="000B3877">
            <w:pPr>
              <w:spacing w:line="240" w:lineRule="auto"/>
              <w:contextualSpacing/>
              <w:rPr>
                <w:rFonts w:cs="Segoe UI"/>
                <w:sz w:val="20"/>
                <w:lang w:val="en-AU"/>
              </w:rPr>
            </w:pPr>
          </w:p>
        </w:tc>
      </w:tr>
    </w:tbl>
    <w:p w:rsidR="007C3F42" w:rsidRPr="00A67C76" w:rsidRDefault="009E401F" w:rsidP="009E401F">
      <w:pPr>
        <w:pStyle w:val="Caption"/>
      </w:pPr>
      <w:bookmarkStart w:id="244" w:name="_Ref387842180"/>
      <w:bookmarkStart w:id="245" w:name="_Toc377124155"/>
      <w:proofErr w:type="gramStart"/>
      <w:r w:rsidRPr="00A67C76">
        <w:t xml:space="preserve">Appendix </w:t>
      </w:r>
      <w:proofErr w:type="gramEnd"/>
      <w:r w:rsidR="002E6077" w:rsidRPr="00A67C76">
        <w:fldChar w:fldCharType="begin"/>
      </w:r>
      <w:r w:rsidR="00621CBB" w:rsidRPr="00A67C76">
        <w:instrText xml:space="preserve"> SEQ Appendix \* ROMAN </w:instrText>
      </w:r>
      <w:r w:rsidR="002E6077" w:rsidRPr="00A67C76">
        <w:fldChar w:fldCharType="separate"/>
      </w:r>
      <w:r w:rsidR="009659F2">
        <w:rPr>
          <w:noProof/>
        </w:rPr>
        <w:t>X</w:t>
      </w:r>
      <w:r w:rsidR="002E6077" w:rsidRPr="00A67C76">
        <w:rPr>
          <w:noProof/>
        </w:rPr>
        <w:fldChar w:fldCharType="end"/>
      </w:r>
      <w:bookmarkEnd w:id="244"/>
      <w:proofErr w:type="gramStart"/>
      <w:r w:rsidRPr="00A67C76">
        <w:t>.</w:t>
      </w:r>
      <w:proofErr w:type="gramEnd"/>
      <w:r w:rsidR="007C3F42" w:rsidRPr="00A67C76">
        <w:t xml:space="preserve"> Influence of environmental variables on frog call abundance at wetlands in spring and summer 2012.</w:t>
      </w:r>
      <w:bookmarkEnd w:id="245"/>
    </w:p>
    <w:tbl>
      <w:tblPr>
        <w:tblStyle w:val="LightShading1"/>
        <w:tblW w:w="8219" w:type="dxa"/>
        <w:tblLook w:val="00A0"/>
      </w:tblPr>
      <w:tblGrid>
        <w:gridCol w:w="2567"/>
        <w:gridCol w:w="1422"/>
        <w:gridCol w:w="1350"/>
        <w:gridCol w:w="1080"/>
        <w:gridCol w:w="1080"/>
        <w:gridCol w:w="720"/>
      </w:tblGrid>
      <w:tr w:rsidR="007C3F42" w:rsidRPr="00A67C76" w:rsidTr="00EF5FE6">
        <w:trPr>
          <w:cnfStyle w:val="100000000000"/>
          <w:trHeight w:val="307"/>
        </w:trPr>
        <w:tc>
          <w:tcPr>
            <w:cnfStyle w:val="001000000000"/>
            <w:tcW w:w="2567" w:type="dxa"/>
            <w:shd w:val="clear" w:color="auto" w:fill="auto"/>
            <w:noWrap/>
          </w:tcPr>
          <w:p w:rsidR="007C3F42" w:rsidRPr="00EF5FE6" w:rsidRDefault="007C3F42" w:rsidP="00EF5FE6">
            <w:pPr>
              <w:spacing w:before="0" w:after="0" w:line="240" w:lineRule="auto"/>
              <w:contextualSpacing/>
              <w:rPr>
                <w:b w:val="0"/>
                <w:sz w:val="20"/>
                <w:lang w:val="en-AU"/>
              </w:rPr>
            </w:pPr>
            <w:r w:rsidRPr="00EF5FE6">
              <w:rPr>
                <w:sz w:val="20"/>
                <w:lang w:val="en-AU"/>
              </w:rPr>
              <w:t>Variable</w:t>
            </w:r>
          </w:p>
        </w:tc>
        <w:tc>
          <w:tcPr>
            <w:cnfStyle w:val="000010000000"/>
            <w:tcW w:w="1422" w:type="dxa"/>
            <w:shd w:val="clear" w:color="auto" w:fill="auto"/>
            <w:noWrap/>
          </w:tcPr>
          <w:p w:rsidR="007C3F42" w:rsidRPr="00A67C76" w:rsidRDefault="007C3F42" w:rsidP="00EF5FE6">
            <w:pPr>
              <w:spacing w:before="0" w:after="0" w:line="240" w:lineRule="auto"/>
              <w:contextualSpacing/>
              <w:jc w:val="center"/>
              <w:rPr>
                <w:b w:val="0"/>
                <w:sz w:val="20"/>
                <w:lang w:val="en-AU"/>
              </w:rPr>
            </w:pPr>
            <w:r w:rsidRPr="00A67C76">
              <w:rPr>
                <w:sz w:val="20"/>
                <w:lang w:val="en-AU"/>
              </w:rPr>
              <w:t>Estimate</w:t>
            </w:r>
          </w:p>
        </w:tc>
        <w:tc>
          <w:tcPr>
            <w:tcW w:w="1350" w:type="dxa"/>
            <w:shd w:val="clear" w:color="auto" w:fill="auto"/>
            <w:noWrap/>
          </w:tcPr>
          <w:p w:rsidR="007C3F42" w:rsidRPr="00A67C76" w:rsidRDefault="007C3F42" w:rsidP="00EF5FE6">
            <w:pPr>
              <w:spacing w:before="0" w:after="0" w:line="240" w:lineRule="auto"/>
              <w:contextualSpacing/>
              <w:jc w:val="center"/>
              <w:cnfStyle w:val="100000000000"/>
              <w:rPr>
                <w:b w:val="0"/>
                <w:sz w:val="20"/>
                <w:lang w:val="en-AU"/>
              </w:rPr>
            </w:pPr>
            <w:r w:rsidRPr="00A67C76">
              <w:rPr>
                <w:sz w:val="20"/>
                <w:lang w:val="en-AU"/>
              </w:rPr>
              <w:t>Std. Error</w:t>
            </w:r>
          </w:p>
        </w:tc>
        <w:tc>
          <w:tcPr>
            <w:cnfStyle w:val="000010000000"/>
            <w:tcW w:w="1080" w:type="dxa"/>
            <w:shd w:val="clear" w:color="auto" w:fill="auto"/>
            <w:noWrap/>
          </w:tcPr>
          <w:p w:rsidR="007C3F42" w:rsidRPr="00A67C76" w:rsidRDefault="007C3F42" w:rsidP="00EF5FE6">
            <w:pPr>
              <w:spacing w:before="0" w:after="0" w:line="240" w:lineRule="auto"/>
              <w:contextualSpacing/>
              <w:jc w:val="center"/>
              <w:rPr>
                <w:b w:val="0"/>
                <w:sz w:val="20"/>
                <w:lang w:val="en-AU"/>
              </w:rPr>
            </w:pPr>
            <w:r w:rsidRPr="00A67C76">
              <w:rPr>
                <w:sz w:val="20"/>
                <w:lang w:val="en-AU"/>
              </w:rPr>
              <w:t>t-value</w:t>
            </w:r>
          </w:p>
        </w:tc>
        <w:tc>
          <w:tcPr>
            <w:tcW w:w="1080" w:type="dxa"/>
            <w:shd w:val="clear" w:color="auto" w:fill="auto"/>
            <w:noWrap/>
          </w:tcPr>
          <w:p w:rsidR="007C3F42" w:rsidRPr="00A67C76" w:rsidRDefault="007C3F42" w:rsidP="00EF5FE6">
            <w:pPr>
              <w:spacing w:before="0" w:after="0" w:line="240" w:lineRule="auto"/>
              <w:contextualSpacing/>
              <w:jc w:val="center"/>
              <w:cnfStyle w:val="100000000000"/>
              <w:rPr>
                <w:b w:val="0"/>
                <w:sz w:val="20"/>
                <w:lang w:val="en-AU"/>
              </w:rPr>
            </w:pPr>
            <w:r w:rsidRPr="00A67C76">
              <w:rPr>
                <w:sz w:val="20"/>
                <w:lang w:val="en-AU"/>
              </w:rPr>
              <w:t>P</w:t>
            </w:r>
          </w:p>
        </w:tc>
        <w:tc>
          <w:tcPr>
            <w:cnfStyle w:val="000010000000"/>
            <w:tcW w:w="720" w:type="dxa"/>
            <w:shd w:val="clear" w:color="auto" w:fill="auto"/>
            <w:noWrap/>
          </w:tcPr>
          <w:p w:rsidR="007C3F42" w:rsidRPr="00A67C76" w:rsidRDefault="007C3F42" w:rsidP="000B3877">
            <w:pPr>
              <w:spacing w:line="240" w:lineRule="auto"/>
              <w:contextualSpacing/>
              <w:jc w:val="right"/>
              <w:rPr>
                <w:b w:val="0"/>
                <w:sz w:val="20"/>
                <w:lang w:val="en-AU"/>
              </w:rPr>
            </w:pPr>
          </w:p>
        </w:tc>
      </w:tr>
      <w:tr w:rsidR="007C3F42" w:rsidRPr="00A67C76" w:rsidTr="000B21EF">
        <w:trPr>
          <w:cnfStyle w:val="000000100000"/>
          <w:trHeight w:val="300"/>
        </w:trPr>
        <w:tc>
          <w:tcPr>
            <w:cnfStyle w:val="001000000000"/>
            <w:tcW w:w="2567" w:type="dxa"/>
            <w:shd w:val="clear" w:color="auto" w:fill="auto"/>
            <w:noWrap/>
          </w:tcPr>
          <w:p w:rsidR="007C3F42" w:rsidRPr="00A67C76" w:rsidRDefault="007C3F42" w:rsidP="000B3877">
            <w:pPr>
              <w:spacing w:line="240" w:lineRule="auto"/>
              <w:contextualSpacing/>
              <w:rPr>
                <w:sz w:val="20"/>
                <w:lang w:val="en-AU"/>
              </w:rPr>
            </w:pPr>
            <w:r w:rsidRPr="00A67C76">
              <w:rPr>
                <w:sz w:val="20"/>
                <w:lang w:val="en-AU"/>
              </w:rPr>
              <w:t>(Intercept)</w:t>
            </w:r>
          </w:p>
        </w:tc>
        <w:tc>
          <w:tcPr>
            <w:cnfStyle w:val="000010000000"/>
            <w:tcW w:w="1422" w:type="dxa"/>
            <w:shd w:val="clear" w:color="auto" w:fill="auto"/>
            <w:noWrap/>
          </w:tcPr>
          <w:p w:rsidR="007C3F42" w:rsidRPr="00A67C76" w:rsidRDefault="007C3F42" w:rsidP="000B3877">
            <w:pPr>
              <w:spacing w:line="240" w:lineRule="auto"/>
              <w:contextualSpacing/>
              <w:jc w:val="center"/>
              <w:rPr>
                <w:sz w:val="20"/>
                <w:lang w:val="en-AU"/>
              </w:rPr>
            </w:pPr>
            <w:r w:rsidRPr="00A67C76">
              <w:rPr>
                <w:sz w:val="20"/>
                <w:lang w:val="en-AU"/>
              </w:rPr>
              <w:t>-7.91E-01</w:t>
            </w:r>
          </w:p>
        </w:tc>
        <w:tc>
          <w:tcPr>
            <w:tcW w:w="1350" w:type="dxa"/>
            <w:shd w:val="clear" w:color="auto" w:fill="auto"/>
            <w:noWrap/>
          </w:tcPr>
          <w:p w:rsidR="007C3F42" w:rsidRPr="00A67C76" w:rsidRDefault="007C3F42" w:rsidP="000B3877">
            <w:pPr>
              <w:spacing w:line="240" w:lineRule="auto"/>
              <w:contextualSpacing/>
              <w:jc w:val="center"/>
              <w:cnfStyle w:val="000000100000"/>
              <w:rPr>
                <w:sz w:val="20"/>
                <w:lang w:val="en-AU"/>
              </w:rPr>
            </w:pPr>
            <w:r w:rsidRPr="00A67C76">
              <w:rPr>
                <w:sz w:val="20"/>
                <w:lang w:val="en-AU"/>
              </w:rPr>
              <w:t>1.68E+00</w:t>
            </w:r>
          </w:p>
        </w:tc>
        <w:tc>
          <w:tcPr>
            <w:cnfStyle w:val="000010000000"/>
            <w:tcW w:w="1080" w:type="dxa"/>
            <w:shd w:val="clear" w:color="auto" w:fill="auto"/>
            <w:noWrap/>
          </w:tcPr>
          <w:p w:rsidR="007C3F42" w:rsidRPr="00A67C76" w:rsidRDefault="007C3F42" w:rsidP="000B3877">
            <w:pPr>
              <w:spacing w:line="240" w:lineRule="auto"/>
              <w:contextualSpacing/>
              <w:jc w:val="center"/>
              <w:rPr>
                <w:sz w:val="20"/>
                <w:lang w:val="en-AU"/>
              </w:rPr>
            </w:pPr>
            <w:r w:rsidRPr="00A67C76">
              <w:rPr>
                <w:sz w:val="20"/>
                <w:lang w:val="en-AU"/>
              </w:rPr>
              <w:t>-0.47</w:t>
            </w:r>
          </w:p>
        </w:tc>
        <w:tc>
          <w:tcPr>
            <w:tcW w:w="1080" w:type="dxa"/>
            <w:shd w:val="clear" w:color="auto" w:fill="auto"/>
            <w:noWrap/>
          </w:tcPr>
          <w:p w:rsidR="007C3F42" w:rsidRPr="00A67C76" w:rsidRDefault="007C3F42" w:rsidP="000B3877">
            <w:pPr>
              <w:spacing w:line="240" w:lineRule="auto"/>
              <w:contextualSpacing/>
              <w:jc w:val="center"/>
              <w:cnfStyle w:val="000000100000"/>
              <w:rPr>
                <w:sz w:val="20"/>
                <w:lang w:val="en-AU"/>
              </w:rPr>
            </w:pPr>
            <w:r w:rsidRPr="00A67C76">
              <w:rPr>
                <w:sz w:val="20"/>
                <w:lang w:val="en-AU"/>
              </w:rPr>
              <w:t>0.640</w:t>
            </w:r>
          </w:p>
        </w:tc>
        <w:tc>
          <w:tcPr>
            <w:cnfStyle w:val="000010000000"/>
            <w:tcW w:w="720" w:type="dxa"/>
            <w:shd w:val="clear" w:color="auto" w:fill="auto"/>
            <w:noWrap/>
          </w:tcPr>
          <w:p w:rsidR="007C3F42" w:rsidRPr="00A67C76" w:rsidRDefault="007C3F42" w:rsidP="000B3877">
            <w:pPr>
              <w:spacing w:line="240" w:lineRule="auto"/>
              <w:contextualSpacing/>
              <w:rPr>
                <w:sz w:val="20"/>
                <w:lang w:val="en-AU"/>
              </w:rPr>
            </w:pPr>
          </w:p>
        </w:tc>
      </w:tr>
      <w:tr w:rsidR="007C3F42" w:rsidRPr="00A67C76" w:rsidTr="000B21EF">
        <w:trPr>
          <w:trHeight w:val="300"/>
        </w:trPr>
        <w:tc>
          <w:tcPr>
            <w:cnfStyle w:val="001000000000"/>
            <w:tcW w:w="2567" w:type="dxa"/>
            <w:shd w:val="clear" w:color="auto" w:fill="auto"/>
            <w:noWrap/>
          </w:tcPr>
          <w:p w:rsidR="007C3F42" w:rsidRPr="00A67C76" w:rsidRDefault="007C3F42" w:rsidP="000B3877">
            <w:pPr>
              <w:spacing w:line="240" w:lineRule="auto"/>
              <w:contextualSpacing/>
              <w:rPr>
                <w:sz w:val="20"/>
                <w:lang w:val="en-AU"/>
              </w:rPr>
            </w:pPr>
            <w:r w:rsidRPr="00A67C76">
              <w:rPr>
                <w:sz w:val="20"/>
                <w:lang w:val="en-AU"/>
              </w:rPr>
              <w:t>Flow to SA</w:t>
            </w:r>
          </w:p>
        </w:tc>
        <w:tc>
          <w:tcPr>
            <w:cnfStyle w:val="000010000000"/>
            <w:tcW w:w="1422" w:type="dxa"/>
            <w:shd w:val="clear" w:color="auto" w:fill="auto"/>
            <w:noWrap/>
          </w:tcPr>
          <w:p w:rsidR="007C3F42" w:rsidRPr="00A67C76" w:rsidRDefault="007C3F42" w:rsidP="000B3877">
            <w:pPr>
              <w:spacing w:line="240" w:lineRule="auto"/>
              <w:contextualSpacing/>
              <w:jc w:val="center"/>
              <w:rPr>
                <w:sz w:val="20"/>
                <w:lang w:val="en-AU"/>
              </w:rPr>
            </w:pPr>
            <w:r w:rsidRPr="00A67C76">
              <w:rPr>
                <w:sz w:val="20"/>
                <w:lang w:val="en-AU"/>
              </w:rPr>
              <w:t>1.00E-04</w:t>
            </w:r>
          </w:p>
        </w:tc>
        <w:tc>
          <w:tcPr>
            <w:tcW w:w="1350" w:type="dxa"/>
            <w:shd w:val="clear" w:color="auto" w:fill="auto"/>
            <w:noWrap/>
          </w:tcPr>
          <w:p w:rsidR="007C3F42" w:rsidRPr="00A67C76" w:rsidRDefault="007C3F42" w:rsidP="000B3877">
            <w:pPr>
              <w:spacing w:line="240" w:lineRule="auto"/>
              <w:contextualSpacing/>
              <w:jc w:val="center"/>
              <w:cnfStyle w:val="000000000000"/>
              <w:rPr>
                <w:sz w:val="20"/>
                <w:lang w:val="en-AU"/>
              </w:rPr>
            </w:pPr>
            <w:r w:rsidRPr="00A67C76">
              <w:rPr>
                <w:sz w:val="20"/>
                <w:lang w:val="en-AU"/>
              </w:rPr>
              <w:t>2.70E-05</w:t>
            </w:r>
          </w:p>
        </w:tc>
        <w:tc>
          <w:tcPr>
            <w:cnfStyle w:val="000010000000"/>
            <w:tcW w:w="1080" w:type="dxa"/>
            <w:shd w:val="clear" w:color="auto" w:fill="auto"/>
            <w:noWrap/>
          </w:tcPr>
          <w:p w:rsidR="007C3F42" w:rsidRPr="00A67C76" w:rsidRDefault="007C3F42" w:rsidP="000B3877">
            <w:pPr>
              <w:spacing w:line="240" w:lineRule="auto"/>
              <w:contextualSpacing/>
              <w:jc w:val="center"/>
              <w:rPr>
                <w:sz w:val="20"/>
                <w:lang w:val="en-AU"/>
              </w:rPr>
            </w:pPr>
            <w:r w:rsidRPr="00A67C76">
              <w:rPr>
                <w:sz w:val="20"/>
                <w:lang w:val="en-AU"/>
              </w:rPr>
              <w:t>3.716</w:t>
            </w:r>
          </w:p>
        </w:tc>
        <w:tc>
          <w:tcPr>
            <w:tcW w:w="1080" w:type="dxa"/>
            <w:shd w:val="clear" w:color="auto" w:fill="auto"/>
            <w:noWrap/>
          </w:tcPr>
          <w:p w:rsidR="007C3F42" w:rsidRPr="00A67C76" w:rsidRDefault="007C3F42" w:rsidP="000B3877">
            <w:pPr>
              <w:spacing w:line="240" w:lineRule="auto"/>
              <w:contextualSpacing/>
              <w:jc w:val="center"/>
              <w:cnfStyle w:val="000000000000"/>
              <w:rPr>
                <w:sz w:val="20"/>
                <w:lang w:val="en-AU"/>
              </w:rPr>
            </w:pPr>
            <w:r w:rsidRPr="00A67C76">
              <w:rPr>
                <w:sz w:val="20"/>
                <w:lang w:val="en-AU"/>
              </w:rPr>
              <w:t>&lt;0.001</w:t>
            </w:r>
          </w:p>
        </w:tc>
        <w:tc>
          <w:tcPr>
            <w:cnfStyle w:val="000010000000"/>
            <w:tcW w:w="720" w:type="dxa"/>
            <w:shd w:val="clear" w:color="auto" w:fill="auto"/>
            <w:noWrap/>
          </w:tcPr>
          <w:p w:rsidR="007C3F42" w:rsidRPr="00A67C76" w:rsidRDefault="007C3F42" w:rsidP="000B3877">
            <w:pPr>
              <w:spacing w:line="240" w:lineRule="auto"/>
              <w:contextualSpacing/>
              <w:rPr>
                <w:sz w:val="20"/>
                <w:lang w:val="en-AU"/>
              </w:rPr>
            </w:pPr>
            <w:r w:rsidRPr="00A67C76">
              <w:rPr>
                <w:sz w:val="20"/>
                <w:lang w:val="en-AU"/>
              </w:rPr>
              <w:t>***</w:t>
            </w:r>
          </w:p>
        </w:tc>
      </w:tr>
      <w:tr w:rsidR="007C3F42" w:rsidRPr="00A67C76" w:rsidTr="000B21EF">
        <w:trPr>
          <w:cnfStyle w:val="000000100000"/>
          <w:trHeight w:val="300"/>
        </w:trPr>
        <w:tc>
          <w:tcPr>
            <w:cnfStyle w:val="001000000000"/>
            <w:tcW w:w="2567" w:type="dxa"/>
            <w:shd w:val="clear" w:color="auto" w:fill="auto"/>
            <w:noWrap/>
          </w:tcPr>
          <w:p w:rsidR="007C3F42" w:rsidRPr="00A67C76" w:rsidRDefault="007C3F42" w:rsidP="000B3877">
            <w:pPr>
              <w:spacing w:line="240" w:lineRule="auto"/>
              <w:contextualSpacing/>
              <w:rPr>
                <w:sz w:val="20"/>
                <w:lang w:val="en-AU"/>
              </w:rPr>
            </w:pPr>
            <w:r w:rsidRPr="00A67C76">
              <w:rPr>
                <w:sz w:val="20"/>
                <w:lang w:val="en-AU"/>
              </w:rPr>
              <w:t>Electrical conductivity</w:t>
            </w:r>
          </w:p>
        </w:tc>
        <w:tc>
          <w:tcPr>
            <w:cnfStyle w:val="000010000000"/>
            <w:tcW w:w="1422" w:type="dxa"/>
            <w:shd w:val="clear" w:color="auto" w:fill="auto"/>
            <w:noWrap/>
          </w:tcPr>
          <w:p w:rsidR="007C3F42" w:rsidRPr="00A67C76" w:rsidRDefault="007C3F42" w:rsidP="000B3877">
            <w:pPr>
              <w:spacing w:line="240" w:lineRule="auto"/>
              <w:contextualSpacing/>
              <w:jc w:val="center"/>
              <w:rPr>
                <w:sz w:val="20"/>
                <w:lang w:val="en-AU"/>
              </w:rPr>
            </w:pPr>
            <w:r w:rsidRPr="00A67C76">
              <w:rPr>
                <w:sz w:val="20"/>
                <w:lang w:val="en-AU"/>
              </w:rPr>
              <w:t>2.31E-05</w:t>
            </w:r>
          </w:p>
        </w:tc>
        <w:tc>
          <w:tcPr>
            <w:tcW w:w="1350" w:type="dxa"/>
            <w:shd w:val="clear" w:color="auto" w:fill="auto"/>
            <w:noWrap/>
          </w:tcPr>
          <w:p w:rsidR="007C3F42" w:rsidRPr="00A67C76" w:rsidRDefault="007C3F42" w:rsidP="000B3877">
            <w:pPr>
              <w:spacing w:line="240" w:lineRule="auto"/>
              <w:contextualSpacing/>
              <w:jc w:val="center"/>
              <w:cnfStyle w:val="000000100000"/>
              <w:rPr>
                <w:sz w:val="20"/>
                <w:lang w:val="en-AU"/>
              </w:rPr>
            </w:pPr>
            <w:r w:rsidRPr="00A67C76">
              <w:rPr>
                <w:sz w:val="20"/>
                <w:lang w:val="en-AU"/>
              </w:rPr>
              <w:t>1.65E-04</w:t>
            </w:r>
          </w:p>
        </w:tc>
        <w:tc>
          <w:tcPr>
            <w:cnfStyle w:val="000010000000"/>
            <w:tcW w:w="1080" w:type="dxa"/>
            <w:shd w:val="clear" w:color="auto" w:fill="auto"/>
            <w:noWrap/>
          </w:tcPr>
          <w:p w:rsidR="007C3F42" w:rsidRPr="00A67C76" w:rsidRDefault="007C3F42" w:rsidP="000B3877">
            <w:pPr>
              <w:spacing w:line="240" w:lineRule="auto"/>
              <w:contextualSpacing/>
              <w:jc w:val="center"/>
              <w:rPr>
                <w:sz w:val="20"/>
                <w:lang w:val="en-AU"/>
              </w:rPr>
            </w:pPr>
            <w:r w:rsidRPr="00A67C76">
              <w:rPr>
                <w:sz w:val="20"/>
                <w:lang w:val="en-AU"/>
              </w:rPr>
              <w:t>0.14</w:t>
            </w:r>
          </w:p>
        </w:tc>
        <w:tc>
          <w:tcPr>
            <w:tcW w:w="1080" w:type="dxa"/>
            <w:shd w:val="clear" w:color="auto" w:fill="auto"/>
            <w:noWrap/>
          </w:tcPr>
          <w:p w:rsidR="007C3F42" w:rsidRPr="00A67C76" w:rsidRDefault="007C3F42" w:rsidP="000B3877">
            <w:pPr>
              <w:spacing w:line="240" w:lineRule="auto"/>
              <w:contextualSpacing/>
              <w:jc w:val="center"/>
              <w:cnfStyle w:val="000000100000"/>
              <w:rPr>
                <w:sz w:val="20"/>
                <w:lang w:val="en-AU"/>
              </w:rPr>
            </w:pPr>
            <w:r w:rsidRPr="00A67C76">
              <w:rPr>
                <w:sz w:val="20"/>
                <w:lang w:val="en-AU"/>
              </w:rPr>
              <w:t>0.889</w:t>
            </w:r>
          </w:p>
        </w:tc>
        <w:tc>
          <w:tcPr>
            <w:cnfStyle w:val="000010000000"/>
            <w:tcW w:w="720" w:type="dxa"/>
            <w:shd w:val="clear" w:color="auto" w:fill="auto"/>
            <w:noWrap/>
          </w:tcPr>
          <w:p w:rsidR="007C3F42" w:rsidRPr="00A67C76" w:rsidRDefault="007C3F42" w:rsidP="000B3877">
            <w:pPr>
              <w:spacing w:line="240" w:lineRule="auto"/>
              <w:contextualSpacing/>
              <w:rPr>
                <w:sz w:val="20"/>
                <w:lang w:val="en-AU"/>
              </w:rPr>
            </w:pPr>
          </w:p>
        </w:tc>
      </w:tr>
      <w:tr w:rsidR="007C3F42" w:rsidRPr="00A67C76" w:rsidTr="000B21EF">
        <w:trPr>
          <w:trHeight w:val="300"/>
        </w:trPr>
        <w:tc>
          <w:tcPr>
            <w:cnfStyle w:val="001000000000"/>
            <w:tcW w:w="2567" w:type="dxa"/>
            <w:shd w:val="clear" w:color="auto" w:fill="auto"/>
            <w:noWrap/>
          </w:tcPr>
          <w:p w:rsidR="007C3F42" w:rsidRPr="00A67C76" w:rsidRDefault="007C3F42" w:rsidP="000B3877">
            <w:pPr>
              <w:spacing w:line="240" w:lineRule="auto"/>
              <w:contextualSpacing/>
              <w:rPr>
                <w:sz w:val="20"/>
                <w:lang w:val="en-AU"/>
              </w:rPr>
            </w:pPr>
            <w:r w:rsidRPr="00A67C76">
              <w:rPr>
                <w:sz w:val="20"/>
                <w:lang w:val="en-AU"/>
              </w:rPr>
              <w:t>Air temperature</w:t>
            </w:r>
          </w:p>
        </w:tc>
        <w:tc>
          <w:tcPr>
            <w:cnfStyle w:val="000010000000"/>
            <w:tcW w:w="1422" w:type="dxa"/>
            <w:shd w:val="clear" w:color="auto" w:fill="auto"/>
            <w:noWrap/>
          </w:tcPr>
          <w:p w:rsidR="007C3F42" w:rsidRPr="00A67C76" w:rsidRDefault="007C3F42" w:rsidP="000B3877">
            <w:pPr>
              <w:spacing w:line="240" w:lineRule="auto"/>
              <w:contextualSpacing/>
              <w:jc w:val="center"/>
              <w:rPr>
                <w:sz w:val="20"/>
                <w:lang w:val="en-AU"/>
              </w:rPr>
            </w:pPr>
            <w:r w:rsidRPr="00A67C76">
              <w:rPr>
                <w:sz w:val="20"/>
                <w:lang w:val="en-AU"/>
              </w:rPr>
              <w:t>-3.78E-02</w:t>
            </w:r>
          </w:p>
        </w:tc>
        <w:tc>
          <w:tcPr>
            <w:tcW w:w="1350" w:type="dxa"/>
            <w:shd w:val="clear" w:color="auto" w:fill="auto"/>
            <w:noWrap/>
          </w:tcPr>
          <w:p w:rsidR="007C3F42" w:rsidRPr="00A67C76" w:rsidRDefault="007C3F42" w:rsidP="000B3877">
            <w:pPr>
              <w:spacing w:line="240" w:lineRule="auto"/>
              <w:contextualSpacing/>
              <w:jc w:val="center"/>
              <w:cnfStyle w:val="000000000000"/>
              <w:rPr>
                <w:sz w:val="20"/>
                <w:lang w:val="en-AU"/>
              </w:rPr>
            </w:pPr>
            <w:r w:rsidRPr="00A67C76">
              <w:rPr>
                <w:sz w:val="20"/>
                <w:lang w:val="en-AU"/>
              </w:rPr>
              <w:t>4.35E-02</w:t>
            </w:r>
          </w:p>
        </w:tc>
        <w:tc>
          <w:tcPr>
            <w:cnfStyle w:val="000010000000"/>
            <w:tcW w:w="1080" w:type="dxa"/>
            <w:shd w:val="clear" w:color="auto" w:fill="auto"/>
            <w:noWrap/>
          </w:tcPr>
          <w:p w:rsidR="007C3F42" w:rsidRPr="00A67C76" w:rsidRDefault="007C3F42" w:rsidP="000B3877">
            <w:pPr>
              <w:spacing w:line="240" w:lineRule="auto"/>
              <w:contextualSpacing/>
              <w:jc w:val="center"/>
              <w:rPr>
                <w:sz w:val="20"/>
                <w:lang w:val="en-AU"/>
              </w:rPr>
            </w:pPr>
            <w:r w:rsidRPr="00A67C76">
              <w:rPr>
                <w:sz w:val="20"/>
                <w:lang w:val="en-AU"/>
              </w:rPr>
              <w:t>-0.87</w:t>
            </w:r>
          </w:p>
        </w:tc>
        <w:tc>
          <w:tcPr>
            <w:tcW w:w="1080" w:type="dxa"/>
            <w:shd w:val="clear" w:color="auto" w:fill="auto"/>
            <w:noWrap/>
          </w:tcPr>
          <w:p w:rsidR="007C3F42" w:rsidRPr="00A67C76" w:rsidRDefault="007C3F42" w:rsidP="000B3877">
            <w:pPr>
              <w:spacing w:line="240" w:lineRule="auto"/>
              <w:contextualSpacing/>
              <w:jc w:val="center"/>
              <w:cnfStyle w:val="000000000000"/>
              <w:rPr>
                <w:sz w:val="20"/>
                <w:lang w:val="en-AU"/>
              </w:rPr>
            </w:pPr>
            <w:r w:rsidRPr="00A67C76">
              <w:rPr>
                <w:sz w:val="20"/>
                <w:lang w:val="en-AU"/>
              </w:rPr>
              <w:t>0.388</w:t>
            </w:r>
          </w:p>
        </w:tc>
        <w:tc>
          <w:tcPr>
            <w:cnfStyle w:val="000010000000"/>
            <w:tcW w:w="720" w:type="dxa"/>
            <w:shd w:val="clear" w:color="auto" w:fill="auto"/>
            <w:noWrap/>
          </w:tcPr>
          <w:p w:rsidR="007C3F42" w:rsidRPr="00A67C76" w:rsidRDefault="007C3F42" w:rsidP="000B3877">
            <w:pPr>
              <w:spacing w:line="240" w:lineRule="auto"/>
              <w:contextualSpacing/>
              <w:rPr>
                <w:sz w:val="20"/>
                <w:lang w:val="en-AU"/>
              </w:rPr>
            </w:pPr>
          </w:p>
        </w:tc>
      </w:tr>
      <w:tr w:rsidR="007C3F42" w:rsidRPr="00A67C76" w:rsidTr="000B21EF">
        <w:trPr>
          <w:cnfStyle w:val="000000100000"/>
          <w:trHeight w:val="300"/>
        </w:trPr>
        <w:tc>
          <w:tcPr>
            <w:cnfStyle w:val="001000000000"/>
            <w:tcW w:w="2567" w:type="dxa"/>
            <w:shd w:val="clear" w:color="auto" w:fill="auto"/>
            <w:noWrap/>
          </w:tcPr>
          <w:p w:rsidR="007C3F42" w:rsidRPr="00A67C76" w:rsidRDefault="007C3F42" w:rsidP="000B3877">
            <w:pPr>
              <w:spacing w:line="240" w:lineRule="auto"/>
              <w:contextualSpacing/>
              <w:rPr>
                <w:sz w:val="20"/>
                <w:lang w:val="en-AU"/>
              </w:rPr>
            </w:pPr>
            <w:r w:rsidRPr="00A67C76">
              <w:rPr>
                <w:sz w:val="20"/>
                <w:lang w:val="en-AU"/>
              </w:rPr>
              <w:t>Humidity</w:t>
            </w:r>
          </w:p>
        </w:tc>
        <w:tc>
          <w:tcPr>
            <w:cnfStyle w:val="000010000000"/>
            <w:tcW w:w="1422" w:type="dxa"/>
            <w:shd w:val="clear" w:color="auto" w:fill="auto"/>
            <w:noWrap/>
          </w:tcPr>
          <w:p w:rsidR="007C3F42" w:rsidRPr="00A67C76" w:rsidRDefault="007C3F42" w:rsidP="000B3877">
            <w:pPr>
              <w:spacing w:line="240" w:lineRule="auto"/>
              <w:contextualSpacing/>
              <w:jc w:val="center"/>
              <w:rPr>
                <w:sz w:val="20"/>
                <w:lang w:val="en-AU"/>
              </w:rPr>
            </w:pPr>
            <w:r w:rsidRPr="00A67C76">
              <w:rPr>
                <w:sz w:val="20"/>
                <w:lang w:val="en-AU"/>
              </w:rPr>
              <w:t>-1.23E-02</w:t>
            </w:r>
          </w:p>
        </w:tc>
        <w:tc>
          <w:tcPr>
            <w:tcW w:w="1350" w:type="dxa"/>
            <w:shd w:val="clear" w:color="auto" w:fill="auto"/>
            <w:noWrap/>
          </w:tcPr>
          <w:p w:rsidR="007C3F42" w:rsidRPr="00A67C76" w:rsidRDefault="007C3F42" w:rsidP="000B3877">
            <w:pPr>
              <w:spacing w:line="240" w:lineRule="auto"/>
              <w:contextualSpacing/>
              <w:jc w:val="center"/>
              <w:cnfStyle w:val="000000100000"/>
              <w:rPr>
                <w:sz w:val="20"/>
                <w:lang w:val="en-AU"/>
              </w:rPr>
            </w:pPr>
            <w:r w:rsidRPr="00A67C76">
              <w:rPr>
                <w:sz w:val="20"/>
                <w:lang w:val="en-AU"/>
              </w:rPr>
              <w:t>1.29E-02</w:t>
            </w:r>
          </w:p>
        </w:tc>
        <w:tc>
          <w:tcPr>
            <w:cnfStyle w:val="000010000000"/>
            <w:tcW w:w="1080" w:type="dxa"/>
            <w:shd w:val="clear" w:color="auto" w:fill="auto"/>
            <w:noWrap/>
          </w:tcPr>
          <w:p w:rsidR="007C3F42" w:rsidRPr="00A67C76" w:rsidRDefault="007C3F42" w:rsidP="000B3877">
            <w:pPr>
              <w:spacing w:line="240" w:lineRule="auto"/>
              <w:contextualSpacing/>
              <w:jc w:val="center"/>
              <w:rPr>
                <w:sz w:val="20"/>
                <w:lang w:val="en-AU"/>
              </w:rPr>
            </w:pPr>
            <w:r w:rsidRPr="00A67C76">
              <w:rPr>
                <w:sz w:val="20"/>
                <w:lang w:val="en-AU"/>
              </w:rPr>
              <w:t>-0.955</w:t>
            </w:r>
          </w:p>
        </w:tc>
        <w:tc>
          <w:tcPr>
            <w:tcW w:w="1080" w:type="dxa"/>
            <w:shd w:val="clear" w:color="auto" w:fill="auto"/>
            <w:noWrap/>
          </w:tcPr>
          <w:p w:rsidR="007C3F42" w:rsidRPr="00A67C76" w:rsidRDefault="007C3F42" w:rsidP="000B3877">
            <w:pPr>
              <w:spacing w:line="240" w:lineRule="auto"/>
              <w:contextualSpacing/>
              <w:jc w:val="center"/>
              <w:cnfStyle w:val="000000100000"/>
              <w:rPr>
                <w:sz w:val="20"/>
                <w:lang w:val="en-AU"/>
              </w:rPr>
            </w:pPr>
            <w:r w:rsidRPr="00A67C76">
              <w:rPr>
                <w:sz w:val="20"/>
                <w:lang w:val="en-AU"/>
              </w:rPr>
              <w:t>0.343</w:t>
            </w:r>
          </w:p>
        </w:tc>
        <w:tc>
          <w:tcPr>
            <w:cnfStyle w:val="000010000000"/>
            <w:tcW w:w="720" w:type="dxa"/>
            <w:shd w:val="clear" w:color="auto" w:fill="auto"/>
            <w:noWrap/>
          </w:tcPr>
          <w:p w:rsidR="007C3F42" w:rsidRPr="00A67C76" w:rsidRDefault="007C3F42" w:rsidP="000B3877">
            <w:pPr>
              <w:spacing w:line="240" w:lineRule="auto"/>
              <w:contextualSpacing/>
              <w:rPr>
                <w:sz w:val="20"/>
                <w:lang w:val="en-AU"/>
              </w:rPr>
            </w:pPr>
          </w:p>
        </w:tc>
      </w:tr>
      <w:tr w:rsidR="007C3F42" w:rsidRPr="00A67C76" w:rsidTr="000B21EF">
        <w:trPr>
          <w:trHeight w:val="300"/>
        </w:trPr>
        <w:tc>
          <w:tcPr>
            <w:cnfStyle w:val="001000000000"/>
            <w:tcW w:w="2567" w:type="dxa"/>
            <w:shd w:val="clear" w:color="auto" w:fill="auto"/>
            <w:noWrap/>
          </w:tcPr>
          <w:p w:rsidR="007C3F42" w:rsidRPr="00A67C76" w:rsidRDefault="007C3F42" w:rsidP="000B3877">
            <w:pPr>
              <w:spacing w:line="240" w:lineRule="auto"/>
              <w:contextualSpacing/>
              <w:rPr>
                <w:sz w:val="20"/>
                <w:lang w:val="en-AU"/>
              </w:rPr>
            </w:pPr>
            <w:r w:rsidRPr="00A67C76">
              <w:rPr>
                <w:sz w:val="20"/>
                <w:lang w:val="en-AU"/>
              </w:rPr>
              <w:t>Emergent vegetation</w:t>
            </w:r>
          </w:p>
        </w:tc>
        <w:tc>
          <w:tcPr>
            <w:cnfStyle w:val="000010000000"/>
            <w:tcW w:w="1422" w:type="dxa"/>
            <w:shd w:val="clear" w:color="auto" w:fill="auto"/>
            <w:noWrap/>
          </w:tcPr>
          <w:p w:rsidR="007C3F42" w:rsidRPr="00A67C76" w:rsidRDefault="007C3F42" w:rsidP="000B3877">
            <w:pPr>
              <w:spacing w:line="240" w:lineRule="auto"/>
              <w:contextualSpacing/>
              <w:jc w:val="center"/>
              <w:rPr>
                <w:sz w:val="20"/>
                <w:lang w:val="en-AU"/>
              </w:rPr>
            </w:pPr>
            <w:r w:rsidRPr="00A67C76">
              <w:rPr>
                <w:sz w:val="20"/>
                <w:lang w:val="en-AU"/>
              </w:rPr>
              <w:t>2.74E-02</w:t>
            </w:r>
          </w:p>
        </w:tc>
        <w:tc>
          <w:tcPr>
            <w:tcW w:w="1350" w:type="dxa"/>
            <w:shd w:val="clear" w:color="auto" w:fill="auto"/>
            <w:noWrap/>
          </w:tcPr>
          <w:p w:rsidR="007C3F42" w:rsidRPr="00A67C76" w:rsidRDefault="007C3F42" w:rsidP="000B3877">
            <w:pPr>
              <w:spacing w:line="240" w:lineRule="auto"/>
              <w:contextualSpacing/>
              <w:jc w:val="center"/>
              <w:cnfStyle w:val="000000000000"/>
              <w:rPr>
                <w:sz w:val="20"/>
                <w:lang w:val="en-AU"/>
              </w:rPr>
            </w:pPr>
            <w:r w:rsidRPr="00A67C76">
              <w:rPr>
                <w:sz w:val="20"/>
                <w:lang w:val="en-AU"/>
              </w:rPr>
              <w:t>6.14E-03</w:t>
            </w:r>
          </w:p>
        </w:tc>
        <w:tc>
          <w:tcPr>
            <w:cnfStyle w:val="000010000000"/>
            <w:tcW w:w="1080" w:type="dxa"/>
            <w:shd w:val="clear" w:color="auto" w:fill="auto"/>
            <w:noWrap/>
          </w:tcPr>
          <w:p w:rsidR="007C3F42" w:rsidRPr="00A67C76" w:rsidRDefault="007C3F42" w:rsidP="000B3877">
            <w:pPr>
              <w:spacing w:line="240" w:lineRule="auto"/>
              <w:contextualSpacing/>
              <w:jc w:val="center"/>
              <w:rPr>
                <w:sz w:val="20"/>
                <w:lang w:val="en-AU"/>
              </w:rPr>
            </w:pPr>
            <w:r w:rsidRPr="00A67C76">
              <w:rPr>
                <w:sz w:val="20"/>
                <w:lang w:val="en-AU"/>
              </w:rPr>
              <w:t>4.467</w:t>
            </w:r>
          </w:p>
        </w:tc>
        <w:tc>
          <w:tcPr>
            <w:tcW w:w="1080" w:type="dxa"/>
            <w:shd w:val="clear" w:color="auto" w:fill="auto"/>
            <w:noWrap/>
          </w:tcPr>
          <w:p w:rsidR="007C3F42" w:rsidRPr="00A67C76" w:rsidRDefault="007C3F42" w:rsidP="000B3877">
            <w:pPr>
              <w:spacing w:line="240" w:lineRule="auto"/>
              <w:contextualSpacing/>
              <w:jc w:val="center"/>
              <w:cnfStyle w:val="000000000000"/>
              <w:rPr>
                <w:sz w:val="20"/>
                <w:lang w:val="en-AU"/>
              </w:rPr>
            </w:pPr>
            <w:r w:rsidRPr="00A67C76">
              <w:rPr>
                <w:sz w:val="20"/>
                <w:lang w:val="en-AU"/>
              </w:rPr>
              <w:t>&lt;0.001</w:t>
            </w:r>
          </w:p>
        </w:tc>
        <w:tc>
          <w:tcPr>
            <w:cnfStyle w:val="000010000000"/>
            <w:tcW w:w="720" w:type="dxa"/>
            <w:shd w:val="clear" w:color="auto" w:fill="auto"/>
            <w:noWrap/>
          </w:tcPr>
          <w:p w:rsidR="007C3F42" w:rsidRPr="00A67C76" w:rsidRDefault="007C3F42" w:rsidP="000B3877">
            <w:pPr>
              <w:spacing w:line="240" w:lineRule="auto"/>
              <w:contextualSpacing/>
              <w:rPr>
                <w:sz w:val="20"/>
                <w:lang w:val="en-AU"/>
              </w:rPr>
            </w:pPr>
            <w:r w:rsidRPr="00A67C76">
              <w:rPr>
                <w:sz w:val="20"/>
                <w:lang w:val="en-AU"/>
              </w:rPr>
              <w:t>***</w:t>
            </w:r>
          </w:p>
        </w:tc>
      </w:tr>
      <w:tr w:rsidR="007C3F42" w:rsidRPr="00A67C76" w:rsidTr="000B21EF">
        <w:trPr>
          <w:cnfStyle w:val="000000100000"/>
          <w:trHeight w:val="300"/>
        </w:trPr>
        <w:tc>
          <w:tcPr>
            <w:cnfStyle w:val="001000000000"/>
            <w:tcW w:w="2567" w:type="dxa"/>
            <w:shd w:val="clear" w:color="auto" w:fill="auto"/>
            <w:noWrap/>
          </w:tcPr>
          <w:p w:rsidR="007C3F42" w:rsidRPr="00A67C76" w:rsidRDefault="007C3F42" w:rsidP="000B3877">
            <w:pPr>
              <w:spacing w:line="240" w:lineRule="auto"/>
              <w:contextualSpacing/>
              <w:rPr>
                <w:sz w:val="20"/>
                <w:lang w:val="en-AU"/>
              </w:rPr>
            </w:pPr>
            <w:r w:rsidRPr="00A67C76">
              <w:rPr>
                <w:sz w:val="20"/>
                <w:lang w:val="en-AU"/>
              </w:rPr>
              <w:t>Submerged vegetation</w:t>
            </w:r>
          </w:p>
        </w:tc>
        <w:tc>
          <w:tcPr>
            <w:cnfStyle w:val="000010000000"/>
            <w:tcW w:w="1422" w:type="dxa"/>
            <w:shd w:val="clear" w:color="auto" w:fill="auto"/>
            <w:noWrap/>
          </w:tcPr>
          <w:p w:rsidR="007C3F42" w:rsidRPr="00A67C76" w:rsidRDefault="007C3F42" w:rsidP="000B3877">
            <w:pPr>
              <w:spacing w:line="240" w:lineRule="auto"/>
              <w:contextualSpacing/>
              <w:jc w:val="center"/>
              <w:rPr>
                <w:sz w:val="20"/>
                <w:lang w:val="en-AU"/>
              </w:rPr>
            </w:pPr>
            <w:r w:rsidRPr="00A67C76">
              <w:rPr>
                <w:sz w:val="20"/>
                <w:lang w:val="en-AU"/>
              </w:rPr>
              <w:t>1.68E-01</w:t>
            </w:r>
          </w:p>
        </w:tc>
        <w:tc>
          <w:tcPr>
            <w:tcW w:w="1350" w:type="dxa"/>
            <w:shd w:val="clear" w:color="auto" w:fill="auto"/>
            <w:noWrap/>
          </w:tcPr>
          <w:p w:rsidR="007C3F42" w:rsidRPr="00A67C76" w:rsidRDefault="007C3F42" w:rsidP="000B3877">
            <w:pPr>
              <w:spacing w:line="240" w:lineRule="auto"/>
              <w:contextualSpacing/>
              <w:jc w:val="center"/>
              <w:cnfStyle w:val="000000100000"/>
              <w:rPr>
                <w:sz w:val="20"/>
                <w:lang w:val="en-AU"/>
              </w:rPr>
            </w:pPr>
            <w:r w:rsidRPr="00A67C76">
              <w:rPr>
                <w:sz w:val="20"/>
                <w:lang w:val="en-AU"/>
              </w:rPr>
              <w:t>2.83E-01</w:t>
            </w:r>
          </w:p>
        </w:tc>
        <w:tc>
          <w:tcPr>
            <w:cnfStyle w:val="000010000000"/>
            <w:tcW w:w="1080" w:type="dxa"/>
            <w:shd w:val="clear" w:color="auto" w:fill="auto"/>
            <w:noWrap/>
          </w:tcPr>
          <w:p w:rsidR="007C3F42" w:rsidRPr="00A67C76" w:rsidRDefault="007C3F42" w:rsidP="000B3877">
            <w:pPr>
              <w:spacing w:line="240" w:lineRule="auto"/>
              <w:contextualSpacing/>
              <w:jc w:val="center"/>
              <w:rPr>
                <w:sz w:val="20"/>
                <w:lang w:val="en-AU"/>
              </w:rPr>
            </w:pPr>
            <w:r w:rsidRPr="00A67C76">
              <w:rPr>
                <w:sz w:val="20"/>
                <w:lang w:val="en-AU"/>
              </w:rPr>
              <w:t>0.594</w:t>
            </w:r>
          </w:p>
        </w:tc>
        <w:tc>
          <w:tcPr>
            <w:tcW w:w="1080" w:type="dxa"/>
            <w:shd w:val="clear" w:color="auto" w:fill="auto"/>
            <w:noWrap/>
          </w:tcPr>
          <w:p w:rsidR="007C3F42" w:rsidRPr="00A67C76" w:rsidRDefault="007C3F42" w:rsidP="000B3877">
            <w:pPr>
              <w:spacing w:line="240" w:lineRule="auto"/>
              <w:contextualSpacing/>
              <w:jc w:val="center"/>
              <w:cnfStyle w:val="000000100000"/>
              <w:rPr>
                <w:sz w:val="20"/>
                <w:lang w:val="en-AU"/>
              </w:rPr>
            </w:pPr>
            <w:r w:rsidRPr="00A67C76">
              <w:rPr>
                <w:sz w:val="20"/>
                <w:lang w:val="en-AU"/>
              </w:rPr>
              <w:t>0.555</w:t>
            </w:r>
          </w:p>
        </w:tc>
        <w:tc>
          <w:tcPr>
            <w:cnfStyle w:val="000010000000"/>
            <w:tcW w:w="720" w:type="dxa"/>
            <w:shd w:val="clear" w:color="auto" w:fill="auto"/>
            <w:noWrap/>
          </w:tcPr>
          <w:p w:rsidR="007C3F42" w:rsidRPr="00A67C76" w:rsidRDefault="007C3F42" w:rsidP="000B3877">
            <w:pPr>
              <w:spacing w:line="240" w:lineRule="auto"/>
              <w:contextualSpacing/>
              <w:rPr>
                <w:sz w:val="20"/>
                <w:lang w:val="en-AU"/>
              </w:rPr>
            </w:pPr>
          </w:p>
        </w:tc>
      </w:tr>
    </w:tbl>
    <w:p w:rsidR="007C3F42" w:rsidRPr="00A67C76" w:rsidRDefault="009E401F" w:rsidP="009E401F">
      <w:pPr>
        <w:pStyle w:val="Caption"/>
      </w:pPr>
      <w:bookmarkStart w:id="246" w:name="_Ref387841798"/>
      <w:r w:rsidRPr="00A67C76">
        <w:t xml:space="preserve">Appendix </w:t>
      </w:r>
      <w:r w:rsidR="002E6077" w:rsidRPr="00A67C76">
        <w:fldChar w:fldCharType="begin"/>
      </w:r>
      <w:r w:rsidR="001A438F" w:rsidRPr="00A67C76">
        <w:instrText xml:space="preserve"> SEQ Appendix \* ROMAN </w:instrText>
      </w:r>
      <w:r w:rsidR="002E6077" w:rsidRPr="00A67C76">
        <w:fldChar w:fldCharType="separate"/>
      </w:r>
      <w:r w:rsidR="009659F2">
        <w:rPr>
          <w:noProof/>
        </w:rPr>
        <w:t>XI</w:t>
      </w:r>
      <w:r w:rsidR="002E6077" w:rsidRPr="00A67C76">
        <w:rPr>
          <w:noProof/>
        </w:rPr>
        <w:fldChar w:fldCharType="end"/>
      </w:r>
      <w:bookmarkEnd w:id="246"/>
      <w:r w:rsidRPr="00A67C76">
        <w:t>.</w:t>
      </w:r>
      <w:r w:rsidR="007C3F42" w:rsidRPr="00A67C76">
        <w:t>Post-hoc comparisons of average mean rank</w:t>
      </w:r>
      <w:r w:rsidR="00A41CC6">
        <w:t xml:space="preserve"> abundance of calling male frogs</w:t>
      </w:r>
      <w:r w:rsidR="007C3F42" w:rsidRPr="00A67C76">
        <w:t xml:space="preserve"> across years at managed wetlands. Significant p values highlighted in bold.</w:t>
      </w:r>
    </w:p>
    <w:tbl>
      <w:tblPr>
        <w:tblStyle w:val="LightShading1"/>
        <w:tblW w:w="0" w:type="auto"/>
        <w:tblLook w:val="04A0"/>
      </w:tblPr>
      <w:tblGrid>
        <w:gridCol w:w="2700"/>
        <w:gridCol w:w="1212"/>
        <w:gridCol w:w="1226"/>
        <w:gridCol w:w="1491"/>
        <w:gridCol w:w="1057"/>
      </w:tblGrid>
      <w:tr w:rsidR="007C3F42" w:rsidRPr="00A67C76" w:rsidTr="000B21EF">
        <w:trPr>
          <w:cnfStyle w:val="100000000000"/>
          <w:trHeight w:val="300"/>
        </w:trPr>
        <w:tc>
          <w:tcPr>
            <w:cnfStyle w:val="001000000000"/>
            <w:tcW w:w="2700" w:type="dxa"/>
            <w:tcBorders>
              <w:bottom w:val="nil"/>
            </w:tcBorders>
            <w:noWrap/>
            <w:hideMark/>
          </w:tcPr>
          <w:p w:rsidR="007C3F42" w:rsidRPr="00A67C76" w:rsidRDefault="007C3F42" w:rsidP="000B3877">
            <w:pPr>
              <w:spacing w:line="240" w:lineRule="auto"/>
              <w:contextualSpacing/>
              <w:rPr>
                <w:sz w:val="20"/>
                <w:lang w:val="en-AU"/>
              </w:rPr>
            </w:pPr>
          </w:p>
        </w:tc>
        <w:tc>
          <w:tcPr>
            <w:tcW w:w="1212" w:type="dxa"/>
            <w:tcBorders>
              <w:bottom w:val="nil"/>
            </w:tcBorders>
            <w:noWrap/>
            <w:hideMark/>
          </w:tcPr>
          <w:p w:rsidR="007C3F42" w:rsidRPr="00A67C76" w:rsidRDefault="007C3F42" w:rsidP="000B3877">
            <w:pPr>
              <w:spacing w:line="240" w:lineRule="auto"/>
              <w:contextualSpacing/>
              <w:cnfStyle w:val="100000000000"/>
              <w:rPr>
                <w:sz w:val="20"/>
                <w:lang w:val="en-AU"/>
              </w:rPr>
            </w:pPr>
          </w:p>
        </w:tc>
        <w:tc>
          <w:tcPr>
            <w:tcW w:w="2717" w:type="dxa"/>
            <w:gridSpan w:val="2"/>
            <w:tcBorders>
              <w:bottom w:val="single" w:sz="4" w:space="0" w:color="auto"/>
            </w:tcBorders>
            <w:noWrap/>
            <w:hideMark/>
          </w:tcPr>
          <w:p w:rsidR="007C3F42" w:rsidRPr="00A67C76" w:rsidRDefault="007C3F42" w:rsidP="000B3877">
            <w:pPr>
              <w:spacing w:line="240" w:lineRule="auto"/>
              <w:contextualSpacing/>
              <w:jc w:val="center"/>
              <w:cnfStyle w:val="100000000000"/>
              <w:rPr>
                <w:sz w:val="20"/>
                <w:lang w:val="en-AU"/>
              </w:rPr>
            </w:pPr>
            <w:r w:rsidRPr="00A67C76">
              <w:rPr>
                <w:sz w:val="20"/>
                <w:lang w:val="en-AU"/>
              </w:rPr>
              <w:t>95% Confidence Interval</w:t>
            </w:r>
          </w:p>
        </w:tc>
        <w:tc>
          <w:tcPr>
            <w:tcW w:w="1057" w:type="dxa"/>
            <w:tcBorders>
              <w:bottom w:val="nil"/>
            </w:tcBorders>
            <w:noWrap/>
            <w:hideMark/>
          </w:tcPr>
          <w:p w:rsidR="007C3F42" w:rsidRPr="00A67C76" w:rsidRDefault="007C3F42" w:rsidP="000B3877">
            <w:pPr>
              <w:spacing w:line="240" w:lineRule="auto"/>
              <w:contextualSpacing/>
              <w:cnfStyle w:val="100000000000"/>
              <w:rPr>
                <w:sz w:val="20"/>
                <w:lang w:val="en-AU"/>
              </w:rPr>
            </w:pPr>
          </w:p>
        </w:tc>
      </w:tr>
      <w:tr w:rsidR="007C3F42" w:rsidRPr="00A67C76" w:rsidTr="000B21EF">
        <w:trPr>
          <w:cnfStyle w:val="000000100000"/>
          <w:trHeight w:val="300"/>
        </w:trPr>
        <w:tc>
          <w:tcPr>
            <w:cnfStyle w:val="001000000000"/>
            <w:tcW w:w="2700" w:type="dxa"/>
            <w:tcBorders>
              <w:top w:val="nil"/>
              <w:bottom w:val="single" w:sz="4" w:space="0" w:color="auto"/>
            </w:tcBorders>
            <w:shd w:val="clear" w:color="auto" w:fill="auto"/>
            <w:noWrap/>
            <w:hideMark/>
          </w:tcPr>
          <w:p w:rsidR="007C3F42" w:rsidRPr="00A67C76" w:rsidRDefault="007C3F42" w:rsidP="000B3877">
            <w:pPr>
              <w:spacing w:line="240" w:lineRule="auto"/>
              <w:contextualSpacing/>
              <w:rPr>
                <w:sz w:val="20"/>
                <w:lang w:val="en-AU"/>
              </w:rPr>
            </w:pPr>
            <w:r w:rsidRPr="00A67C76">
              <w:rPr>
                <w:sz w:val="20"/>
                <w:lang w:val="en-AU"/>
              </w:rPr>
              <w:t>Years</w:t>
            </w:r>
          </w:p>
        </w:tc>
        <w:tc>
          <w:tcPr>
            <w:tcW w:w="1212" w:type="dxa"/>
            <w:tcBorders>
              <w:top w:val="nil"/>
              <w:bottom w:val="single" w:sz="4" w:space="0" w:color="auto"/>
            </w:tcBorders>
            <w:shd w:val="clear" w:color="auto" w:fill="auto"/>
            <w:noWrap/>
            <w:hideMark/>
          </w:tcPr>
          <w:p w:rsidR="007C3F42" w:rsidRPr="00A67C76" w:rsidRDefault="007C3F42" w:rsidP="000B3877">
            <w:pPr>
              <w:spacing w:line="240" w:lineRule="auto"/>
              <w:contextualSpacing/>
              <w:cnfStyle w:val="000000100000"/>
              <w:rPr>
                <w:b/>
                <w:sz w:val="20"/>
                <w:lang w:val="en-AU"/>
              </w:rPr>
            </w:pPr>
            <w:r w:rsidRPr="00A67C76">
              <w:rPr>
                <w:b/>
                <w:sz w:val="20"/>
                <w:lang w:val="en-AU"/>
              </w:rPr>
              <w:t>Difference</w:t>
            </w:r>
          </w:p>
        </w:tc>
        <w:tc>
          <w:tcPr>
            <w:tcW w:w="1226" w:type="dxa"/>
            <w:tcBorders>
              <w:top w:val="single" w:sz="4" w:space="0" w:color="auto"/>
              <w:bottom w:val="single" w:sz="4" w:space="0" w:color="auto"/>
            </w:tcBorders>
            <w:shd w:val="clear" w:color="auto" w:fill="auto"/>
            <w:noWrap/>
            <w:hideMark/>
          </w:tcPr>
          <w:p w:rsidR="007C3F42" w:rsidRPr="00A67C76" w:rsidRDefault="007C3F42" w:rsidP="000B3877">
            <w:pPr>
              <w:spacing w:line="240" w:lineRule="auto"/>
              <w:contextualSpacing/>
              <w:cnfStyle w:val="000000100000"/>
              <w:rPr>
                <w:b/>
                <w:sz w:val="20"/>
                <w:lang w:val="en-AU"/>
              </w:rPr>
            </w:pPr>
            <w:r w:rsidRPr="00A67C76">
              <w:rPr>
                <w:b/>
                <w:sz w:val="20"/>
                <w:lang w:val="en-AU"/>
              </w:rPr>
              <w:t>Lower</w:t>
            </w:r>
          </w:p>
        </w:tc>
        <w:tc>
          <w:tcPr>
            <w:tcW w:w="1491" w:type="dxa"/>
            <w:tcBorders>
              <w:top w:val="single" w:sz="4" w:space="0" w:color="auto"/>
              <w:bottom w:val="single" w:sz="4" w:space="0" w:color="auto"/>
            </w:tcBorders>
            <w:shd w:val="clear" w:color="auto" w:fill="auto"/>
            <w:noWrap/>
            <w:hideMark/>
          </w:tcPr>
          <w:p w:rsidR="007C3F42" w:rsidRPr="00A67C76" w:rsidRDefault="007C3F42" w:rsidP="000B3877">
            <w:pPr>
              <w:spacing w:line="240" w:lineRule="auto"/>
              <w:contextualSpacing/>
              <w:cnfStyle w:val="000000100000"/>
              <w:rPr>
                <w:b/>
                <w:sz w:val="20"/>
                <w:lang w:val="en-AU"/>
              </w:rPr>
            </w:pPr>
            <w:r w:rsidRPr="00A67C76">
              <w:rPr>
                <w:b/>
                <w:sz w:val="20"/>
                <w:lang w:val="en-AU"/>
              </w:rPr>
              <w:t>Upper</w:t>
            </w:r>
          </w:p>
        </w:tc>
        <w:tc>
          <w:tcPr>
            <w:tcW w:w="1057" w:type="dxa"/>
            <w:tcBorders>
              <w:top w:val="nil"/>
              <w:bottom w:val="single" w:sz="4" w:space="0" w:color="auto"/>
            </w:tcBorders>
            <w:shd w:val="clear" w:color="auto" w:fill="auto"/>
            <w:noWrap/>
            <w:hideMark/>
          </w:tcPr>
          <w:p w:rsidR="007C3F42" w:rsidRPr="00A67C76" w:rsidRDefault="007C3F42" w:rsidP="000B3877">
            <w:pPr>
              <w:spacing w:line="240" w:lineRule="auto"/>
              <w:contextualSpacing/>
              <w:cnfStyle w:val="000000100000"/>
              <w:rPr>
                <w:b/>
                <w:sz w:val="20"/>
                <w:lang w:val="en-AU"/>
              </w:rPr>
            </w:pPr>
            <w:r w:rsidRPr="00A67C76">
              <w:rPr>
                <w:b/>
                <w:sz w:val="20"/>
                <w:lang w:val="en-AU"/>
              </w:rPr>
              <w:t>P-value</w:t>
            </w:r>
          </w:p>
        </w:tc>
      </w:tr>
      <w:tr w:rsidR="007C3F42" w:rsidRPr="00A67C76" w:rsidTr="000B21EF">
        <w:trPr>
          <w:trHeight w:val="300"/>
        </w:trPr>
        <w:tc>
          <w:tcPr>
            <w:cnfStyle w:val="001000000000"/>
            <w:tcW w:w="2700" w:type="dxa"/>
            <w:tcBorders>
              <w:top w:val="single" w:sz="4" w:space="0" w:color="auto"/>
            </w:tcBorders>
            <w:shd w:val="clear" w:color="auto" w:fill="auto"/>
            <w:noWrap/>
            <w:hideMark/>
          </w:tcPr>
          <w:p w:rsidR="007C3F42" w:rsidRPr="00A67C76" w:rsidRDefault="007C3F42" w:rsidP="000B3877">
            <w:pPr>
              <w:spacing w:line="240" w:lineRule="auto"/>
              <w:contextualSpacing/>
              <w:rPr>
                <w:sz w:val="20"/>
                <w:lang w:val="en-AU"/>
              </w:rPr>
            </w:pPr>
            <w:r w:rsidRPr="00A67C76">
              <w:rPr>
                <w:sz w:val="20"/>
                <w:lang w:val="en-AU"/>
              </w:rPr>
              <w:t>2005-2006</w:t>
            </w:r>
          </w:p>
        </w:tc>
        <w:tc>
          <w:tcPr>
            <w:tcW w:w="1212" w:type="dxa"/>
            <w:tcBorders>
              <w:top w:val="single" w:sz="4" w:space="0" w:color="auto"/>
            </w:tcBorders>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8.81579</w:t>
            </w:r>
          </w:p>
        </w:tc>
        <w:tc>
          <w:tcPr>
            <w:tcW w:w="1226" w:type="dxa"/>
            <w:tcBorders>
              <w:top w:val="single" w:sz="4" w:space="0" w:color="auto"/>
            </w:tcBorders>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-47.9991</w:t>
            </w:r>
          </w:p>
        </w:tc>
        <w:tc>
          <w:tcPr>
            <w:tcW w:w="1491" w:type="dxa"/>
            <w:tcBorders>
              <w:top w:val="single" w:sz="4" w:space="0" w:color="auto"/>
            </w:tcBorders>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65.63066</w:t>
            </w:r>
          </w:p>
        </w:tc>
        <w:tc>
          <w:tcPr>
            <w:tcW w:w="1057" w:type="dxa"/>
            <w:tcBorders>
              <w:top w:val="single" w:sz="4" w:space="0" w:color="auto"/>
            </w:tcBorders>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1</w:t>
            </w:r>
          </w:p>
        </w:tc>
      </w:tr>
      <w:tr w:rsidR="007C3F42" w:rsidRPr="00A67C76" w:rsidTr="000B21EF">
        <w:trPr>
          <w:cnfStyle w:val="000000100000"/>
          <w:trHeight w:val="300"/>
        </w:trPr>
        <w:tc>
          <w:tcPr>
            <w:cnfStyle w:val="001000000000"/>
            <w:tcW w:w="2700" w:type="dxa"/>
            <w:shd w:val="clear" w:color="auto" w:fill="auto"/>
            <w:noWrap/>
            <w:hideMark/>
          </w:tcPr>
          <w:p w:rsidR="007C3F42" w:rsidRPr="00A67C76" w:rsidRDefault="007C3F42" w:rsidP="000B3877">
            <w:pPr>
              <w:spacing w:line="240" w:lineRule="auto"/>
              <w:contextualSpacing/>
              <w:rPr>
                <w:sz w:val="20"/>
                <w:lang w:val="en-AU"/>
              </w:rPr>
            </w:pPr>
            <w:r w:rsidRPr="00A67C76">
              <w:rPr>
                <w:sz w:val="20"/>
                <w:lang w:val="en-AU"/>
              </w:rPr>
              <w:t>2005-2009</w:t>
            </w:r>
          </w:p>
        </w:tc>
        <w:tc>
          <w:tcPr>
            <w:tcW w:w="1212"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17.85425</w:t>
            </w:r>
          </w:p>
        </w:tc>
        <w:tc>
          <w:tcPr>
            <w:tcW w:w="1226"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-41.3525</w:t>
            </w:r>
          </w:p>
        </w:tc>
        <w:tc>
          <w:tcPr>
            <w:tcW w:w="1491"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77.06104</w:t>
            </w:r>
          </w:p>
        </w:tc>
        <w:tc>
          <w:tcPr>
            <w:tcW w:w="1057"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1</w:t>
            </w:r>
          </w:p>
        </w:tc>
      </w:tr>
      <w:tr w:rsidR="007C3F42" w:rsidRPr="00A67C76" w:rsidTr="000B21EF">
        <w:trPr>
          <w:trHeight w:val="300"/>
        </w:trPr>
        <w:tc>
          <w:tcPr>
            <w:cnfStyle w:val="001000000000"/>
            <w:tcW w:w="2700" w:type="dxa"/>
            <w:shd w:val="clear" w:color="auto" w:fill="auto"/>
            <w:noWrap/>
            <w:hideMark/>
          </w:tcPr>
          <w:p w:rsidR="007C3F42" w:rsidRPr="00A67C76" w:rsidRDefault="007C3F42" w:rsidP="000B3877">
            <w:pPr>
              <w:spacing w:line="240" w:lineRule="auto"/>
              <w:contextualSpacing/>
              <w:rPr>
                <w:sz w:val="20"/>
                <w:lang w:val="en-AU"/>
              </w:rPr>
            </w:pPr>
            <w:r w:rsidRPr="00A67C76">
              <w:rPr>
                <w:sz w:val="20"/>
                <w:lang w:val="en-AU"/>
              </w:rPr>
              <w:t>2006-2009</w:t>
            </w:r>
          </w:p>
        </w:tc>
        <w:tc>
          <w:tcPr>
            <w:tcW w:w="1212"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9.03846</w:t>
            </w:r>
          </w:p>
        </w:tc>
        <w:tc>
          <w:tcPr>
            <w:tcW w:w="1226"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-53.2929</w:t>
            </w:r>
          </w:p>
        </w:tc>
        <w:tc>
          <w:tcPr>
            <w:tcW w:w="1491"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71.36984</w:t>
            </w:r>
          </w:p>
        </w:tc>
        <w:tc>
          <w:tcPr>
            <w:tcW w:w="1057"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1</w:t>
            </w:r>
          </w:p>
        </w:tc>
      </w:tr>
      <w:tr w:rsidR="007C3F42" w:rsidRPr="00A67C76" w:rsidTr="000B21EF">
        <w:trPr>
          <w:cnfStyle w:val="000000100000"/>
          <w:trHeight w:val="300"/>
        </w:trPr>
        <w:tc>
          <w:tcPr>
            <w:cnfStyle w:val="001000000000"/>
            <w:tcW w:w="2700" w:type="dxa"/>
            <w:shd w:val="clear" w:color="auto" w:fill="auto"/>
            <w:noWrap/>
            <w:hideMark/>
          </w:tcPr>
          <w:p w:rsidR="007C3F42" w:rsidRPr="00A67C76" w:rsidRDefault="007C3F42" w:rsidP="000B3877">
            <w:pPr>
              <w:spacing w:line="240" w:lineRule="auto"/>
              <w:contextualSpacing/>
              <w:rPr>
                <w:sz w:val="20"/>
                <w:lang w:val="en-AU"/>
              </w:rPr>
            </w:pPr>
            <w:r w:rsidRPr="00A67C76">
              <w:rPr>
                <w:sz w:val="20"/>
                <w:lang w:val="en-AU"/>
              </w:rPr>
              <w:t>2005-2010</w:t>
            </w:r>
          </w:p>
        </w:tc>
        <w:tc>
          <w:tcPr>
            <w:tcW w:w="1212"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-1.61278</w:t>
            </w:r>
          </w:p>
        </w:tc>
        <w:tc>
          <w:tcPr>
            <w:tcW w:w="1226"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-45.285</w:t>
            </w:r>
          </w:p>
        </w:tc>
        <w:tc>
          <w:tcPr>
            <w:tcW w:w="1491"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42.05939</w:t>
            </w:r>
          </w:p>
        </w:tc>
        <w:tc>
          <w:tcPr>
            <w:tcW w:w="1057"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1</w:t>
            </w:r>
          </w:p>
        </w:tc>
      </w:tr>
      <w:tr w:rsidR="007C3F42" w:rsidRPr="00A67C76" w:rsidTr="000B21EF">
        <w:trPr>
          <w:trHeight w:val="300"/>
        </w:trPr>
        <w:tc>
          <w:tcPr>
            <w:cnfStyle w:val="001000000000"/>
            <w:tcW w:w="2700" w:type="dxa"/>
            <w:shd w:val="clear" w:color="auto" w:fill="auto"/>
            <w:noWrap/>
            <w:hideMark/>
          </w:tcPr>
          <w:p w:rsidR="007C3F42" w:rsidRPr="00A67C76" w:rsidRDefault="007C3F42" w:rsidP="000B3877">
            <w:pPr>
              <w:spacing w:line="240" w:lineRule="auto"/>
              <w:contextualSpacing/>
              <w:rPr>
                <w:sz w:val="20"/>
                <w:lang w:val="en-AU"/>
              </w:rPr>
            </w:pPr>
            <w:r w:rsidRPr="00A67C76">
              <w:rPr>
                <w:sz w:val="20"/>
                <w:lang w:val="en-AU"/>
              </w:rPr>
              <w:t>2006-2010</w:t>
            </w:r>
          </w:p>
        </w:tc>
        <w:tc>
          <w:tcPr>
            <w:tcW w:w="1212"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-10.4286</w:t>
            </w:r>
          </w:p>
        </w:tc>
        <w:tc>
          <w:tcPr>
            <w:tcW w:w="1226"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-58.2513</w:t>
            </w:r>
          </w:p>
        </w:tc>
        <w:tc>
          <w:tcPr>
            <w:tcW w:w="1491"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37.39418</w:t>
            </w:r>
          </w:p>
        </w:tc>
        <w:tc>
          <w:tcPr>
            <w:tcW w:w="1057"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1</w:t>
            </w:r>
          </w:p>
        </w:tc>
      </w:tr>
      <w:tr w:rsidR="007C3F42" w:rsidRPr="00A67C76" w:rsidTr="000B21EF">
        <w:trPr>
          <w:cnfStyle w:val="000000100000"/>
          <w:trHeight w:val="300"/>
        </w:trPr>
        <w:tc>
          <w:tcPr>
            <w:cnfStyle w:val="001000000000"/>
            <w:tcW w:w="2700" w:type="dxa"/>
            <w:shd w:val="clear" w:color="auto" w:fill="auto"/>
            <w:noWrap/>
            <w:hideMark/>
          </w:tcPr>
          <w:p w:rsidR="007C3F42" w:rsidRPr="00A67C76" w:rsidRDefault="007C3F42" w:rsidP="000B3877">
            <w:pPr>
              <w:spacing w:line="240" w:lineRule="auto"/>
              <w:contextualSpacing/>
              <w:rPr>
                <w:sz w:val="20"/>
                <w:lang w:val="en-AU"/>
              </w:rPr>
            </w:pPr>
            <w:r w:rsidRPr="00A67C76">
              <w:rPr>
                <w:sz w:val="20"/>
                <w:lang w:val="en-AU"/>
              </w:rPr>
              <w:t>2009-2010</w:t>
            </w:r>
          </w:p>
        </w:tc>
        <w:tc>
          <w:tcPr>
            <w:tcW w:w="1212"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-19.467</w:t>
            </w:r>
          </w:p>
        </w:tc>
        <w:tc>
          <w:tcPr>
            <w:tcW w:w="1226"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-70.1082</w:t>
            </w:r>
          </w:p>
        </w:tc>
        <w:tc>
          <w:tcPr>
            <w:tcW w:w="1491"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31.17415</w:t>
            </w:r>
          </w:p>
        </w:tc>
        <w:tc>
          <w:tcPr>
            <w:tcW w:w="1057"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1</w:t>
            </w:r>
          </w:p>
        </w:tc>
      </w:tr>
      <w:tr w:rsidR="007C3F42" w:rsidRPr="00A67C76" w:rsidTr="000B21EF">
        <w:trPr>
          <w:trHeight w:val="300"/>
        </w:trPr>
        <w:tc>
          <w:tcPr>
            <w:cnfStyle w:val="001000000000"/>
            <w:tcW w:w="2700" w:type="dxa"/>
            <w:shd w:val="clear" w:color="auto" w:fill="auto"/>
            <w:noWrap/>
            <w:hideMark/>
          </w:tcPr>
          <w:p w:rsidR="007C3F42" w:rsidRPr="00A67C76" w:rsidRDefault="007C3F42" w:rsidP="000B3877">
            <w:pPr>
              <w:spacing w:line="240" w:lineRule="auto"/>
              <w:contextualSpacing/>
              <w:rPr>
                <w:sz w:val="20"/>
                <w:lang w:val="en-AU"/>
              </w:rPr>
            </w:pPr>
            <w:r w:rsidRPr="00A67C76">
              <w:rPr>
                <w:sz w:val="20"/>
                <w:lang w:val="en-AU"/>
              </w:rPr>
              <w:t>2005-2011</w:t>
            </w:r>
          </w:p>
        </w:tc>
        <w:tc>
          <w:tcPr>
            <w:tcW w:w="1212"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46.85865</w:t>
            </w:r>
          </w:p>
        </w:tc>
        <w:tc>
          <w:tcPr>
            <w:tcW w:w="1226"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-0.01525</w:t>
            </w:r>
          </w:p>
        </w:tc>
        <w:tc>
          <w:tcPr>
            <w:tcW w:w="1491"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93.73254</w:t>
            </w:r>
          </w:p>
        </w:tc>
        <w:tc>
          <w:tcPr>
            <w:tcW w:w="1057"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0.050154</w:t>
            </w:r>
          </w:p>
        </w:tc>
      </w:tr>
      <w:tr w:rsidR="007C3F42" w:rsidRPr="00A67C76" w:rsidTr="000B21EF">
        <w:trPr>
          <w:cnfStyle w:val="000000100000"/>
          <w:trHeight w:val="300"/>
        </w:trPr>
        <w:tc>
          <w:tcPr>
            <w:cnfStyle w:val="001000000000"/>
            <w:tcW w:w="2700" w:type="dxa"/>
            <w:shd w:val="clear" w:color="auto" w:fill="auto"/>
            <w:noWrap/>
            <w:hideMark/>
          </w:tcPr>
          <w:p w:rsidR="007C3F42" w:rsidRPr="00A67C76" w:rsidRDefault="007C3F42" w:rsidP="000B3877">
            <w:pPr>
              <w:spacing w:line="240" w:lineRule="auto"/>
              <w:contextualSpacing/>
              <w:rPr>
                <w:sz w:val="20"/>
                <w:lang w:val="en-AU"/>
              </w:rPr>
            </w:pPr>
            <w:r w:rsidRPr="00A67C76">
              <w:rPr>
                <w:sz w:val="20"/>
                <w:lang w:val="en-AU"/>
              </w:rPr>
              <w:t>2006-2011</w:t>
            </w:r>
          </w:p>
        </w:tc>
        <w:tc>
          <w:tcPr>
            <w:tcW w:w="1212"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38.04286</w:t>
            </w:r>
          </w:p>
        </w:tc>
        <w:tc>
          <w:tcPr>
            <w:tcW w:w="1226"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-12.7205</w:t>
            </w:r>
          </w:p>
        </w:tc>
        <w:tc>
          <w:tcPr>
            <w:tcW w:w="1491"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88.80622</w:t>
            </w:r>
          </w:p>
        </w:tc>
        <w:tc>
          <w:tcPr>
            <w:tcW w:w="1057"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0.417439</w:t>
            </w:r>
          </w:p>
        </w:tc>
      </w:tr>
      <w:tr w:rsidR="007C3F42" w:rsidRPr="00A67C76" w:rsidTr="000B21EF">
        <w:trPr>
          <w:trHeight w:val="300"/>
        </w:trPr>
        <w:tc>
          <w:tcPr>
            <w:cnfStyle w:val="001000000000"/>
            <w:tcW w:w="2700" w:type="dxa"/>
            <w:shd w:val="clear" w:color="auto" w:fill="auto"/>
            <w:noWrap/>
            <w:hideMark/>
          </w:tcPr>
          <w:p w:rsidR="007C3F42" w:rsidRPr="00A67C76" w:rsidRDefault="007C3F42" w:rsidP="000B3877">
            <w:pPr>
              <w:spacing w:line="240" w:lineRule="auto"/>
              <w:contextualSpacing/>
              <w:rPr>
                <w:sz w:val="20"/>
                <w:lang w:val="en-AU"/>
              </w:rPr>
            </w:pPr>
            <w:r w:rsidRPr="00A67C76">
              <w:rPr>
                <w:sz w:val="20"/>
                <w:lang w:val="en-AU"/>
              </w:rPr>
              <w:t>2009-2011</w:t>
            </w:r>
          </w:p>
        </w:tc>
        <w:tc>
          <w:tcPr>
            <w:tcW w:w="1212"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29.0044</w:t>
            </w:r>
          </w:p>
        </w:tc>
        <w:tc>
          <w:tcPr>
            <w:tcW w:w="1226"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-24.4225</w:t>
            </w:r>
          </w:p>
        </w:tc>
        <w:tc>
          <w:tcPr>
            <w:tcW w:w="1491"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82.43129</w:t>
            </w:r>
          </w:p>
        </w:tc>
        <w:tc>
          <w:tcPr>
            <w:tcW w:w="1057"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1</w:t>
            </w:r>
          </w:p>
        </w:tc>
      </w:tr>
      <w:tr w:rsidR="007C3F42" w:rsidRPr="00A67C76" w:rsidTr="000B21EF">
        <w:trPr>
          <w:cnfStyle w:val="000000100000"/>
          <w:trHeight w:val="300"/>
        </w:trPr>
        <w:tc>
          <w:tcPr>
            <w:cnfStyle w:val="001000000000"/>
            <w:tcW w:w="2700" w:type="dxa"/>
            <w:shd w:val="clear" w:color="auto" w:fill="auto"/>
            <w:noWrap/>
            <w:hideMark/>
          </w:tcPr>
          <w:p w:rsidR="007C3F42" w:rsidRPr="00A67C76" w:rsidRDefault="007C3F42" w:rsidP="000B3877">
            <w:pPr>
              <w:spacing w:line="240" w:lineRule="auto"/>
              <w:contextualSpacing/>
              <w:rPr>
                <w:sz w:val="20"/>
                <w:lang w:val="en-AU"/>
              </w:rPr>
            </w:pPr>
            <w:r w:rsidRPr="00A67C76">
              <w:rPr>
                <w:sz w:val="20"/>
                <w:lang w:val="en-AU"/>
              </w:rPr>
              <w:t>2010-2011</w:t>
            </w:r>
          </w:p>
        </w:tc>
        <w:tc>
          <w:tcPr>
            <w:tcW w:w="1212"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48.47143</w:t>
            </w:r>
          </w:p>
        </w:tc>
        <w:tc>
          <w:tcPr>
            <w:tcW w:w="1226"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13.02784</w:t>
            </w:r>
          </w:p>
        </w:tc>
        <w:tc>
          <w:tcPr>
            <w:tcW w:w="1491"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83.91501</w:t>
            </w:r>
          </w:p>
        </w:tc>
        <w:tc>
          <w:tcPr>
            <w:tcW w:w="1057" w:type="dxa"/>
            <w:shd w:val="clear" w:color="auto" w:fill="auto"/>
            <w:noWrap/>
            <w:hideMark/>
          </w:tcPr>
          <w:p w:rsidR="007C3F42" w:rsidRPr="00A67C76" w:rsidRDefault="007C3F42" w:rsidP="000B3877">
            <w:pPr>
              <w:spacing w:line="240" w:lineRule="auto"/>
              <w:contextualSpacing/>
              <w:cnfStyle w:val="000000100000"/>
              <w:rPr>
                <w:b/>
                <w:sz w:val="20"/>
                <w:lang w:val="en-AU"/>
              </w:rPr>
            </w:pPr>
            <w:r w:rsidRPr="00A67C76">
              <w:rPr>
                <w:b/>
                <w:sz w:val="20"/>
                <w:lang w:val="en-AU"/>
              </w:rPr>
              <w:t>0.000895</w:t>
            </w:r>
          </w:p>
        </w:tc>
      </w:tr>
      <w:tr w:rsidR="007C3F42" w:rsidRPr="00A67C76" w:rsidTr="000B21EF">
        <w:trPr>
          <w:trHeight w:val="300"/>
        </w:trPr>
        <w:tc>
          <w:tcPr>
            <w:cnfStyle w:val="001000000000"/>
            <w:tcW w:w="2700" w:type="dxa"/>
            <w:shd w:val="clear" w:color="auto" w:fill="auto"/>
            <w:noWrap/>
            <w:hideMark/>
          </w:tcPr>
          <w:p w:rsidR="007C3F42" w:rsidRPr="00A67C76" w:rsidRDefault="007C3F42" w:rsidP="000B3877">
            <w:pPr>
              <w:spacing w:line="240" w:lineRule="auto"/>
              <w:contextualSpacing/>
              <w:rPr>
                <w:sz w:val="20"/>
                <w:lang w:val="en-AU"/>
              </w:rPr>
            </w:pPr>
            <w:r w:rsidRPr="00A67C76">
              <w:rPr>
                <w:sz w:val="20"/>
                <w:lang w:val="en-AU"/>
              </w:rPr>
              <w:t>2005-2012</w:t>
            </w:r>
          </w:p>
        </w:tc>
        <w:tc>
          <w:tcPr>
            <w:tcW w:w="1212"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71.13475</w:t>
            </w:r>
          </w:p>
        </w:tc>
        <w:tc>
          <w:tcPr>
            <w:tcW w:w="1226"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27.65375</w:t>
            </w:r>
          </w:p>
        </w:tc>
        <w:tc>
          <w:tcPr>
            <w:tcW w:w="1491"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114.6158</w:t>
            </w:r>
          </w:p>
        </w:tc>
        <w:tc>
          <w:tcPr>
            <w:tcW w:w="1057" w:type="dxa"/>
            <w:shd w:val="clear" w:color="auto" w:fill="auto"/>
            <w:noWrap/>
            <w:hideMark/>
          </w:tcPr>
          <w:p w:rsidR="007C3F42" w:rsidRPr="00A67C76" w:rsidRDefault="007C3F42" w:rsidP="000B3877">
            <w:pPr>
              <w:spacing w:line="240" w:lineRule="auto"/>
              <w:contextualSpacing/>
              <w:cnfStyle w:val="000000000000"/>
              <w:rPr>
                <w:b/>
                <w:sz w:val="20"/>
                <w:lang w:val="en-AU"/>
              </w:rPr>
            </w:pPr>
            <w:r w:rsidRPr="00A67C76">
              <w:rPr>
                <w:b/>
                <w:sz w:val="20"/>
                <w:lang w:val="en-AU"/>
              </w:rPr>
              <w:t>2.40E-05</w:t>
            </w:r>
          </w:p>
        </w:tc>
      </w:tr>
      <w:tr w:rsidR="007C3F42" w:rsidRPr="00A67C76" w:rsidTr="000B21EF">
        <w:trPr>
          <w:cnfStyle w:val="000000100000"/>
          <w:trHeight w:val="300"/>
        </w:trPr>
        <w:tc>
          <w:tcPr>
            <w:cnfStyle w:val="001000000000"/>
            <w:tcW w:w="2700" w:type="dxa"/>
            <w:shd w:val="clear" w:color="auto" w:fill="auto"/>
            <w:noWrap/>
            <w:hideMark/>
          </w:tcPr>
          <w:p w:rsidR="007C3F42" w:rsidRPr="00A67C76" w:rsidRDefault="007C3F42" w:rsidP="000B3877">
            <w:pPr>
              <w:spacing w:line="240" w:lineRule="auto"/>
              <w:contextualSpacing/>
              <w:rPr>
                <w:sz w:val="20"/>
                <w:lang w:val="en-AU"/>
              </w:rPr>
            </w:pPr>
            <w:r w:rsidRPr="00A67C76">
              <w:rPr>
                <w:sz w:val="20"/>
                <w:lang w:val="en-AU"/>
              </w:rPr>
              <w:t>2006-2012</w:t>
            </w:r>
          </w:p>
        </w:tc>
        <w:tc>
          <w:tcPr>
            <w:tcW w:w="1212"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62.31897</w:t>
            </w:r>
          </w:p>
        </w:tc>
        <w:tc>
          <w:tcPr>
            <w:tcW w:w="1226"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14.67073</w:t>
            </w:r>
          </w:p>
        </w:tc>
        <w:tc>
          <w:tcPr>
            <w:tcW w:w="1491"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109.9672</w:t>
            </w:r>
          </w:p>
        </w:tc>
        <w:tc>
          <w:tcPr>
            <w:tcW w:w="1057" w:type="dxa"/>
            <w:shd w:val="clear" w:color="auto" w:fill="auto"/>
            <w:noWrap/>
            <w:hideMark/>
          </w:tcPr>
          <w:p w:rsidR="007C3F42" w:rsidRPr="00A67C76" w:rsidRDefault="007C3F42" w:rsidP="000B3877">
            <w:pPr>
              <w:spacing w:line="240" w:lineRule="auto"/>
              <w:contextualSpacing/>
              <w:cnfStyle w:val="000000100000"/>
              <w:rPr>
                <w:b/>
                <w:sz w:val="20"/>
                <w:lang w:val="en-AU"/>
              </w:rPr>
            </w:pPr>
            <w:r w:rsidRPr="00A67C76">
              <w:rPr>
                <w:b/>
                <w:sz w:val="20"/>
                <w:lang w:val="en-AU"/>
              </w:rPr>
              <w:t>0.001854</w:t>
            </w:r>
          </w:p>
        </w:tc>
      </w:tr>
      <w:tr w:rsidR="007C3F42" w:rsidRPr="00A67C76" w:rsidTr="000B21EF">
        <w:trPr>
          <w:trHeight w:val="300"/>
        </w:trPr>
        <w:tc>
          <w:tcPr>
            <w:cnfStyle w:val="001000000000"/>
            <w:tcW w:w="2700" w:type="dxa"/>
            <w:shd w:val="clear" w:color="auto" w:fill="auto"/>
            <w:noWrap/>
            <w:hideMark/>
          </w:tcPr>
          <w:p w:rsidR="007C3F42" w:rsidRPr="00A67C76" w:rsidRDefault="007C3F42" w:rsidP="000B3877">
            <w:pPr>
              <w:spacing w:line="240" w:lineRule="auto"/>
              <w:contextualSpacing/>
              <w:rPr>
                <w:sz w:val="20"/>
                <w:lang w:val="en-AU"/>
              </w:rPr>
            </w:pPr>
            <w:r w:rsidRPr="00A67C76">
              <w:rPr>
                <w:sz w:val="20"/>
                <w:lang w:val="en-AU"/>
              </w:rPr>
              <w:t>2009-2012</w:t>
            </w:r>
          </w:p>
        </w:tc>
        <w:tc>
          <w:tcPr>
            <w:tcW w:w="1212"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53.2805</w:t>
            </w:r>
          </w:p>
        </w:tc>
        <w:tc>
          <w:tcPr>
            <w:tcW w:w="1226"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2.80409</w:t>
            </w:r>
          </w:p>
        </w:tc>
        <w:tc>
          <w:tcPr>
            <w:tcW w:w="1491"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103.7569</w:t>
            </w:r>
          </w:p>
        </w:tc>
        <w:tc>
          <w:tcPr>
            <w:tcW w:w="1057" w:type="dxa"/>
            <w:shd w:val="clear" w:color="auto" w:fill="auto"/>
            <w:noWrap/>
            <w:hideMark/>
          </w:tcPr>
          <w:p w:rsidR="007C3F42" w:rsidRPr="00A67C76" w:rsidRDefault="007C3F42" w:rsidP="000B3877">
            <w:pPr>
              <w:spacing w:line="240" w:lineRule="auto"/>
              <w:contextualSpacing/>
              <w:cnfStyle w:val="000000000000"/>
              <w:rPr>
                <w:b/>
                <w:sz w:val="20"/>
                <w:lang w:val="en-AU"/>
              </w:rPr>
            </w:pPr>
            <w:r w:rsidRPr="00A67C76">
              <w:rPr>
                <w:b/>
                <w:sz w:val="20"/>
                <w:lang w:val="en-AU"/>
              </w:rPr>
              <w:t>0.029199</w:t>
            </w:r>
          </w:p>
        </w:tc>
      </w:tr>
      <w:tr w:rsidR="007C3F42" w:rsidRPr="00A67C76" w:rsidTr="000B21EF">
        <w:trPr>
          <w:cnfStyle w:val="000000100000"/>
          <w:trHeight w:val="300"/>
        </w:trPr>
        <w:tc>
          <w:tcPr>
            <w:cnfStyle w:val="001000000000"/>
            <w:tcW w:w="2700" w:type="dxa"/>
            <w:shd w:val="clear" w:color="auto" w:fill="auto"/>
            <w:noWrap/>
            <w:hideMark/>
          </w:tcPr>
          <w:p w:rsidR="007C3F42" w:rsidRPr="00A67C76" w:rsidRDefault="007C3F42" w:rsidP="000B3877">
            <w:pPr>
              <w:spacing w:line="240" w:lineRule="auto"/>
              <w:contextualSpacing/>
              <w:rPr>
                <w:sz w:val="20"/>
                <w:lang w:val="en-AU"/>
              </w:rPr>
            </w:pPr>
            <w:r w:rsidRPr="00A67C76">
              <w:rPr>
                <w:sz w:val="20"/>
                <w:lang w:val="en-AU"/>
              </w:rPr>
              <w:t>2010-2012</w:t>
            </w:r>
          </w:p>
        </w:tc>
        <w:tc>
          <w:tcPr>
            <w:tcW w:w="1212"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72.74754</w:t>
            </w:r>
          </w:p>
        </w:tc>
        <w:tc>
          <w:tcPr>
            <w:tcW w:w="1226"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41.9306</w:t>
            </w:r>
          </w:p>
        </w:tc>
        <w:tc>
          <w:tcPr>
            <w:tcW w:w="1491"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103.5645</w:t>
            </w:r>
          </w:p>
        </w:tc>
        <w:tc>
          <w:tcPr>
            <w:tcW w:w="1057" w:type="dxa"/>
            <w:shd w:val="clear" w:color="auto" w:fill="auto"/>
            <w:noWrap/>
            <w:hideMark/>
          </w:tcPr>
          <w:p w:rsidR="007C3F42" w:rsidRPr="00A67C76" w:rsidRDefault="007C3F42" w:rsidP="000B3877">
            <w:pPr>
              <w:spacing w:line="240" w:lineRule="auto"/>
              <w:contextualSpacing/>
              <w:cnfStyle w:val="000000100000"/>
              <w:rPr>
                <w:b/>
                <w:sz w:val="20"/>
                <w:lang w:val="en-AU"/>
              </w:rPr>
            </w:pPr>
            <w:r w:rsidRPr="00A67C76">
              <w:rPr>
                <w:b/>
                <w:sz w:val="20"/>
                <w:lang w:val="en-AU"/>
              </w:rPr>
              <w:t>0</w:t>
            </w:r>
          </w:p>
        </w:tc>
      </w:tr>
      <w:tr w:rsidR="007C3F42" w:rsidRPr="00A67C76" w:rsidTr="000B21EF">
        <w:trPr>
          <w:trHeight w:val="300"/>
        </w:trPr>
        <w:tc>
          <w:tcPr>
            <w:cnfStyle w:val="001000000000"/>
            <w:tcW w:w="2700" w:type="dxa"/>
            <w:shd w:val="clear" w:color="auto" w:fill="auto"/>
            <w:noWrap/>
            <w:hideMark/>
          </w:tcPr>
          <w:p w:rsidR="007C3F42" w:rsidRPr="00A67C76" w:rsidRDefault="007C3F42" w:rsidP="000B3877">
            <w:pPr>
              <w:spacing w:line="240" w:lineRule="auto"/>
              <w:contextualSpacing/>
              <w:rPr>
                <w:sz w:val="20"/>
                <w:lang w:val="en-AU"/>
              </w:rPr>
            </w:pPr>
            <w:r w:rsidRPr="00A67C76">
              <w:rPr>
                <w:sz w:val="20"/>
                <w:lang w:val="en-AU"/>
              </w:rPr>
              <w:t>2011-2012</w:t>
            </w:r>
          </w:p>
        </w:tc>
        <w:tc>
          <w:tcPr>
            <w:tcW w:w="1212"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24.27611</w:t>
            </w:r>
          </w:p>
        </w:tc>
        <w:tc>
          <w:tcPr>
            <w:tcW w:w="1226"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-10.9317</w:t>
            </w:r>
          </w:p>
        </w:tc>
        <w:tc>
          <w:tcPr>
            <w:tcW w:w="1491"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59.48387</w:t>
            </w:r>
          </w:p>
        </w:tc>
        <w:tc>
          <w:tcPr>
            <w:tcW w:w="1057"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0.644784</w:t>
            </w:r>
          </w:p>
        </w:tc>
      </w:tr>
    </w:tbl>
    <w:p w:rsidR="006E1BDD" w:rsidRDefault="006E1BDD">
      <w:pPr>
        <w:spacing w:before="0" w:after="200" w:line="276" w:lineRule="auto"/>
        <w:rPr>
          <w:b/>
          <w:bCs/>
          <w:color w:val="auto"/>
          <w:sz w:val="20"/>
          <w:szCs w:val="18"/>
        </w:rPr>
      </w:pPr>
      <w:bookmarkStart w:id="247" w:name="_Ref387841834"/>
      <w:r>
        <w:br w:type="page"/>
      </w:r>
    </w:p>
    <w:p w:rsidR="007C3F42" w:rsidRPr="00A67C76" w:rsidRDefault="009E401F" w:rsidP="009E401F">
      <w:pPr>
        <w:pStyle w:val="Caption"/>
      </w:pPr>
      <w:proofErr w:type="gramStart"/>
      <w:r w:rsidRPr="00A67C76">
        <w:t xml:space="preserve">Appendix </w:t>
      </w:r>
      <w:proofErr w:type="gramEnd"/>
      <w:r w:rsidR="002E6077" w:rsidRPr="00A67C76">
        <w:fldChar w:fldCharType="begin"/>
      </w:r>
      <w:r w:rsidR="00621CBB" w:rsidRPr="00A67C76">
        <w:instrText xml:space="preserve"> SEQ Appendix \* ROMAN </w:instrText>
      </w:r>
      <w:r w:rsidR="002E6077" w:rsidRPr="00A67C76">
        <w:fldChar w:fldCharType="separate"/>
      </w:r>
      <w:r w:rsidR="009659F2">
        <w:rPr>
          <w:noProof/>
        </w:rPr>
        <w:t>XII</w:t>
      </w:r>
      <w:r w:rsidR="002E6077" w:rsidRPr="00A67C76">
        <w:rPr>
          <w:noProof/>
        </w:rPr>
        <w:fldChar w:fldCharType="end"/>
      </w:r>
      <w:bookmarkEnd w:id="247"/>
      <w:proofErr w:type="gramStart"/>
      <w:r w:rsidRPr="00A67C76">
        <w:t>.</w:t>
      </w:r>
      <w:proofErr w:type="gramEnd"/>
      <w:r w:rsidRPr="00A67C76">
        <w:t xml:space="preserve"> </w:t>
      </w:r>
      <w:r w:rsidR="007C3F42" w:rsidRPr="00A67C76">
        <w:t>Post-hoc comparisons of average mean</w:t>
      </w:r>
      <w:r w:rsidR="00A41CC6">
        <w:t xml:space="preserve"> rank abundance of calling male frogs</w:t>
      </w:r>
      <w:r w:rsidR="007C3F42" w:rsidRPr="00A67C76">
        <w:t xml:space="preserve"> across years at permanent wetlands. Significant p values highlighted in bold.</w:t>
      </w:r>
    </w:p>
    <w:tbl>
      <w:tblPr>
        <w:tblStyle w:val="LightShading1"/>
        <w:tblW w:w="0" w:type="auto"/>
        <w:tblLook w:val="04A0"/>
      </w:tblPr>
      <w:tblGrid>
        <w:gridCol w:w="2700"/>
        <w:gridCol w:w="1212"/>
        <w:gridCol w:w="1226"/>
        <w:gridCol w:w="1053"/>
        <w:gridCol w:w="1057"/>
      </w:tblGrid>
      <w:tr w:rsidR="007C3F42" w:rsidRPr="00A67C76" w:rsidTr="000B21EF">
        <w:trPr>
          <w:cnfStyle w:val="100000000000"/>
          <w:trHeight w:val="300"/>
        </w:trPr>
        <w:tc>
          <w:tcPr>
            <w:cnfStyle w:val="001000000000"/>
            <w:tcW w:w="2700" w:type="dxa"/>
            <w:tcBorders>
              <w:bottom w:val="nil"/>
            </w:tcBorders>
            <w:shd w:val="clear" w:color="auto" w:fill="auto"/>
            <w:noWrap/>
            <w:hideMark/>
          </w:tcPr>
          <w:p w:rsidR="007C3F42" w:rsidRPr="00A67C76" w:rsidRDefault="007C3F42" w:rsidP="000B3877">
            <w:pPr>
              <w:spacing w:line="240" w:lineRule="auto"/>
              <w:contextualSpacing/>
              <w:rPr>
                <w:sz w:val="20"/>
                <w:lang w:val="en-AU"/>
              </w:rPr>
            </w:pPr>
          </w:p>
        </w:tc>
        <w:tc>
          <w:tcPr>
            <w:tcW w:w="1150" w:type="dxa"/>
            <w:tcBorders>
              <w:bottom w:val="nil"/>
            </w:tcBorders>
            <w:shd w:val="clear" w:color="auto" w:fill="auto"/>
            <w:noWrap/>
            <w:hideMark/>
          </w:tcPr>
          <w:p w:rsidR="007C3F42" w:rsidRPr="00A67C76" w:rsidRDefault="007C3F42" w:rsidP="000B3877">
            <w:pPr>
              <w:spacing w:line="240" w:lineRule="auto"/>
              <w:contextualSpacing/>
              <w:cnfStyle w:val="100000000000"/>
              <w:rPr>
                <w:sz w:val="20"/>
                <w:lang w:val="en-AU"/>
              </w:rPr>
            </w:pPr>
          </w:p>
        </w:tc>
        <w:tc>
          <w:tcPr>
            <w:tcW w:w="2279" w:type="dxa"/>
            <w:gridSpan w:val="2"/>
            <w:tcBorders>
              <w:bottom w:val="single" w:sz="4" w:space="0" w:color="auto"/>
            </w:tcBorders>
            <w:shd w:val="clear" w:color="auto" w:fill="auto"/>
            <w:noWrap/>
            <w:hideMark/>
          </w:tcPr>
          <w:p w:rsidR="007C3F42" w:rsidRPr="00A67C76" w:rsidRDefault="007C3F42" w:rsidP="000B3877">
            <w:pPr>
              <w:spacing w:line="240" w:lineRule="auto"/>
              <w:contextualSpacing/>
              <w:jc w:val="center"/>
              <w:cnfStyle w:val="100000000000"/>
              <w:rPr>
                <w:sz w:val="20"/>
                <w:lang w:val="en-AU"/>
              </w:rPr>
            </w:pPr>
            <w:r w:rsidRPr="00A67C76">
              <w:rPr>
                <w:sz w:val="20"/>
                <w:lang w:val="en-AU"/>
              </w:rPr>
              <w:t>95% Confidence Interval</w:t>
            </w:r>
          </w:p>
        </w:tc>
        <w:tc>
          <w:tcPr>
            <w:tcW w:w="925" w:type="dxa"/>
            <w:tcBorders>
              <w:bottom w:val="nil"/>
            </w:tcBorders>
            <w:shd w:val="clear" w:color="auto" w:fill="auto"/>
            <w:noWrap/>
            <w:hideMark/>
          </w:tcPr>
          <w:p w:rsidR="007C3F42" w:rsidRPr="00A67C76" w:rsidRDefault="007C3F42" w:rsidP="000B3877">
            <w:pPr>
              <w:spacing w:line="240" w:lineRule="auto"/>
              <w:contextualSpacing/>
              <w:cnfStyle w:val="100000000000"/>
              <w:rPr>
                <w:sz w:val="20"/>
                <w:lang w:val="en-AU"/>
              </w:rPr>
            </w:pPr>
          </w:p>
        </w:tc>
      </w:tr>
      <w:tr w:rsidR="007C3F42" w:rsidRPr="00A67C76" w:rsidTr="000B21EF">
        <w:trPr>
          <w:cnfStyle w:val="000000100000"/>
          <w:trHeight w:val="300"/>
        </w:trPr>
        <w:tc>
          <w:tcPr>
            <w:cnfStyle w:val="001000000000"/>
            <w:tcW w:w="2700" w:type="dxa"/>
            <w:tcBorders>
              <w:top w:val="nil"/>
              <w:bottom w:val="single" w:sz="4" w:space="0" w:color="auto"/>
            </w:tcBorders>
            <w:shd w:val="clear" w:color="auto" w:fill="auto"/>
            <w:noWrap/>
            <w:hideMark/>
          </w:tcPr>
          <w:p w:rsidR="007C3F42" w:rsidRPr="00A67C76" w:rsidRDefault="007C3F42" w:rsidP="000B3877">
            <w:pPr>
              <w:spacing w:line="240" w:lineRule="auto"/>
              <w:contextualSpacing/>
              <w:rPr>
                <w:sz w:val="20"/>
                <w:lang w:val="en-AU"/>
              </w:rPr>
            </w:pPr>
            <w:r w:rsidRPr="00A67C76">
              <w:rPr>
                <w:sz w:val="20"/>
                <w:lang w:val="en-AU"/>
              </w:rPr>
              <w:t>Years</w:t>
            </w:r>
          </w:p>
        </w:tc>
        <w:tc>
          <w:tcPr>
            <w:tcW w:w="1150" w:type="dxa"/>
            <w:tcBorders>
              <w:top w:val="nil"/>
              <w:bottom w:val="single" w:sz="4" w:space="0" w:color="auto"/>
            </w:tcBorders>
            <w:shd w:val="clear" w:color="auto" w:fill="auto"/>
            <w:noWrap/>
            <w:hideMark/>
          </w:tcPr>
          <w:p w:rsidR="007C3F42" w:rsidRPr="00A67C76" w:rsidRDefault="007C3F42" w:rsidP="000B3877">
            <w:pPr>
              <w:spacing w:line="240" w:lineRule="auto"/>
              <w:contextualSpacing/>
              <w:cnfStyle w:val="000000100000"/>
              <w:rPr>
                <w:b/>
                <w:sz w:val="20"/>
                <w:lang w:val="en-AU"/>
              </w:rPr>
            </w:pPr>
            <w:r w:rsidRPr="00A67C76">
              <w:rPr>
                <w:b/>
                <w:sz w:val="20"/>
                <w:lang w:val="en-AU"/>
              </w:rPr>
              <w:t>Difference</w:t>
            </w:r>
          </w:p>
        </w:tc>
        <w:tc>
          <w:tcPr>
            <w:tcW w:w="1226" w:type="dxa"/>
            <w:tcBorders>
              <w:top w:val="single" w:sz="4" w:space="0" w:color="auto"/>
              <w:bottom w:val="single" w:sz="4" w:space="0" w:color="auto"/>
            </w:tcBorders>
            <w:shd w:val="clear" w:color="auto" w:fill="auto"/>
            <w:noWrap/>
            <w:hideMark/>
          </w:tcPr>
          <w:p w:rsidR="007C3F42" w:rsidRPr="00A67C76" w:rsidRDefault="007C3F42" w:rsidP="000B3877">
            <w:pPr>
              <w:spacing w:line="240" w:lineRule="auto"/>
              <w:contextualSpacing/>
              <w:cnfStyle w:val="000000100000"/>
              <w:rPr>
                <w:b/>
                <w:sz w:val="20"/>
                <w:lang w:val="en-AU"/>
              </w:rPr>
            </w:pPr>
            <w:r w:rsidRPr="00A67C76">
              <w:rPr>
                <w:b/>
                <w:sz w:val="20"/>
                <w:lang w:val="en-AU"/>
              </w:rPr>
              <w:t>Lower</w:t>
            </w:r>
          </w:p>
        </w:tc>
        <w:tc>
          <w:tcPr>
            <w:tcW w:w="1053" w:type="dxa"/>
            <w:tcBorders>
              <w:top w:val="single" w:sz="4" w:space="0" w:color="auto"/>
              <w:bottom w:val="single" w:sz="4" w:space="0" w:color="auto"/>
            </w:tcBorders>
            <w:shd w:val="clear" w:color="auto" w:fill="auto"/>
            <w:noWrap/>
            <w:hideMark/>
          </w:tcPr>
          <w:p w:rsidR="007C3F42" w:rsidRPr="00A67C76" w:rsidRDefault="007C3F42" w:rsidP="000B3877">
            <w:pPr>
              <w:spacing w:line="240" w:lineRule="auto"/>
              <w:contextualSpacing/>
              <w:cnfStyle w:val="000000100000"/>
              <w:rPr>
                <w:b/>
                <w:sz w:val="20"/>
                <w:lang w:val="en-AU"/>
              </w:rPr>
            </w:pPr>
            <w:r w:rsidRPr="00A67C76">
              <w:rPr>
                <w:b/>
                <w:sz w:val="20"/>
                <w:lang w:val="en-AU"/>
              </w:rPr>
              <w:t>Upper</w:t>
            </w:r>
          </w:p>
        </w:tc>
        <w:tc>
          <w:tcPr>
            <w:tcW w:w="925" w:type="dxa"/>
            <w:tcBorders>
              <w:top w:val="nil"/>
              <w:bottom w:val="single" w:sz="4" w:space="0" w:color="auto"/>
            </w:tcBorders>
            <w:shd w:val="clear" w:color="auto" w:fill="auto"/>
            <w:noWrap/>
            <w:hideMark/>
          </w:tcPr>
          <w:p w:rsidR="007C3F42" w:rsidRPr="00A67C76" w:rsidRDefault="007C3F42" w:rsidP="000B3877">
            <w:pPr>
              <w:spacing w:line="240" w:lineRule="auto"/>
              <w:contextualSpacing/>
              <w:cnfStyle w:val="000000100000"/>
              <w:rPr>
                <w:b/>
                <w:sz w:val="20"/>
                <w:lang w:val="en-AU"/>
              </w:rPr>
            </w:pPr>
            <w:r w:rsidRPr="00A67C76">
              <w:rPr>
                <w:b/>
                <w:sz w:val="20"/>
                <w:lang w:val="en-AU"/>
              </w:rPr>
              <w:t>P-value</w:t>
            </w:r>
          </w:p>
        </w:tc>
      </w:tr>
      <w:tr w:rsidR="007C3F42" w:rsidRPr="00A67C76" w:rsidTr="000B21EF">
        <w:trPr>
          <w:trHeight w:val="300"/>
        </w:trPr>
        <w:tc>
          <w:tcPr>
            <w:cnfStyle w:val="001000000000"/>
            <w:tcW w:w="2700" w:type="dxa"/>
            <w:tcBorders>
              <w:top w:val="single" w:sz="4" w:space="0" w:color="auto"/>
            </w:tcBorders>
            <w:shd w:val="clear" w:color="auto" w:fill="auto"/>
            <w:noWrap/>
            <w:hideMark/>
          </w:tcPr>
          <w:p w:rsidR="007C3F42" w:rsidRPr="00A67C76" w:rsidRDefault="007C3F42" w:rsidP="000B3877">
            <w:pPr>
              <w:spacing w:line="240" w:lineRule="auto"/>
              <w:contextualSpacing/>
              <w:rPr>
                <w:sz w:val="20"/>
                <w:lang w:val="en-AU"/>
              </w:rPr>
            </w:pPr>
            <w:r w:rsidRPr="00A67C76">
              <w:rPr>
                <w:sz w:val="20"/>
                <w:lang w:val="en-AU"/>
              </w:rPr>
              <w:t>2007-2009</w:t>
            </w:r>
          </w:p>
        </w:tc>
        <w:tc>
          <w:tcPr>
            <w:tcW w:w="1150" w:type="dxa"/>
            <w:tcBorders>
              <w:top w:val="single" w:sz="4" w:space="0" w:color="auto"/>
            </w:tcBorders>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8.58929</w:t>
            </w:r>
          </w:p>
        </w:tc>
        <w:tc>
          <w:tcPr>
            <w:tcW w:w="1226" w:type="dxa"/>
            <w:tcBorders>
              <w:top w:val="single" w:sz="4" w:space="0" w:color="auto"/>
            </w:tcBorders>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-27.3094</w:t>
            </w:r>
          </w:p>
        </w:tc>
        <w:tc>
          <w:tcPr>
            <w:tcW w:w="1053" w:type="dxa"/>
            <w:tcBorders>
              <w:top w:val="single" w:sz="4" w:space="0" w:color="auto"/>
            </w:tcBorders>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44.48798</w:t>
            </w:r>
          </w:p>
        </w:tc>
        <w:tc>
          <w:tcPr>
            <w:tcW w:w="925" w:type="dxa"/>
            <w:tcBorders>
              <w:top w:val="single" w:sz="4" w:space="0" w:color="auto"/>
            </w:tcBorders>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1</w:t>
            </w:r>
          </w:p>
        </w:tc>
      </w:tr>
      <w:tr w:rsidR="007C3F42" w:rsidRPr="00A67C76" w:rsidTr="000B21EF">
        <w:trPr>
          <w:cnfStyle w:val="000000100000"/>
          <w:trHeight w:val="300"/>
        </w:trPr>
        <w:tc>
          <w:tcPr>
            <w:cnfStyle w:val="001000000000"/>
            <w:tcW w:w="2700" w:type="dxa"/>
            <w:shd w:val="clear" w:color="auto" w:fill="auto"/>
            <w:noWrap/>
            <w:hideMark/>
          </w:tcPr>
          <w:p w:rsidR="007C3F42" w:rsidRPr="00A67C76" w:rsidRDefault="007C3F42" w:rsidP="000B3877">
            <w:pPr>
              <w:spacing w:line="240" w:lineRule="auto"/>
              <w:contextualSpacing/>
              <w:rPr>
                <w:sz w:val="20"/>
                <w:lang w:val="en-AU"/>
              </w:rPr>
            </w:pPr>
            <w:r w:rsidRPr="00A67C76">
              <w:rPr>
                <w:sz w:val="20"/>
                <w:lang w:val="en-AU"/>
              </w:rPr>
              <w:t>2007-2010</w:t>
            </w:r>
          </w:p>
        </w:tc>
        <w:tc>
          <w:tcPr>
            <w:tcW w:w="1150"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6.33333</w:t>
            </w:r>
          </w:p>
        </w:tc>
        <w:tc>
          <w:tcPr>
            <w:tcW w:w="1226"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-24.4819</w:t>
            </w:r>
          </w:p>
        </w:tc>
        <w:tc>
          <w:tcPr>
            <w:tcW w:w="1053"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37.14859</w:t>
            </w:r>
          </w:p>
        </w:tc>
        <w:tc>
          <w:tcPr>
            <w:tcW w:w="925"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1</w:t>
            </w:r>
          </w:p>
        </w:tc>
      </w:tr>
      <w:tr w:rsidR="007C3F42" w:rsidRPr="00A67C76" w:rsidTr="000B21EF">
        <w:trPr>
          <w:trHeight w:val="300"/>
        </w:trPr>
        <w:tc>
          <w:tcPr>
            <w:cnfStyle w:val="001000000000"/>
            <w:tcW w:w="2700" w:type="dxa"/>
            <w:shd w:val="clear" w:color="auto" w:fill="auto"/>
            <w:noWrap/>
            <w:hideMark/>
          </w:tcPr>
          <w:p w:rsidR="007C3F42" w:rsidRPr="00A67C76" w:rsidRDefault="007C3F42" w:rsidP="000B3877">
            <w:pPr>
              <w:spacing w:line="240" w:lineRule="auto"/>
              <w:contextualSpacing/>
              <w:rPr>
                <w:sz w:val="20"/>
                <w:lang w:val="en-AU"/>
              </w:rPr>
            </w:pPr>
            <w:r w:rsidRPr="00A67C76">
              <w:rPr>
                <w:sz w:val="20"/>
                <w:lang w:val="en-AU"/>
              </w:rPr>
              <w:t>2009-2010</w:t>
            </w:r>
          </w:p>
        </w:tc>
        <w:tc>
          <w:tcPr>
            <w:tcW w:w="1150"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-2.25595</w:t>
            </w:r>
          </w:p>
        </w:tc>
        <w:tc>
          <w:tcPr>
            <w:tcW w:w="1226"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-38.1546</w:t>
            </w:r>
          </w:p>
        </w:tc>
        <w:tc>
          <w:tcPr>
            <w:tcW w:w="1053"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33.64274</w:t>
            </w:r>
          </w:p>
        </w:tc>
        <w:tc>
          <w:tcPr>
            <w:tcW w:w="925"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1</w:t>
            </w:r>
          </w:p>
        </w:tc>
      </w:tr>
      <w:tr w:rsidR="007C3F42" w:rsidRPr="00A67C76" w:rsidTr="000B21EF">
        <w:trPr>
          <w:cnfStyle w:val="000000100000"/>
          <w:trHeight w:val="300"/>
        </w:trPr>
        <w:tc>
          <w:tcPr>
            <w:cnfStyle w:val="001000000000"/>
            <w:tcW w:w="2700" w:type="dxa"/>
            <w:shd w:val="clear" w:color="auto" w:fill="auto"/>
            <w:noWrap/>
            <w:hideMark/>
          </w:tcPr>
          <w:p w:rsidR="007C3F42" w:rsidRPr="00A67C76" w:rsidRDefault="007C3F42" w:rsidP="000B3877">
            <w:pPr>
              <w:spacing w:line="240" w:lineRule="auto"/>
              <w:contextualSpacing/>
              <w:rPr>
                <w:sz w:val="20"/>
                <w:lang w:val="en-AU"/>
              </w:rPr>
            </w:pPr>
            <w:r w:rsidRPr="00A67C76">
              <w:rPr>
                <w:sz w:val="20"/>
                <w:lang w:val="en-AU"/>
              </w:rPr>
              <w:t>2007-2011</w:t>
            </w:r>
          </w:p>
        </w:tc>
        <w:tc>
          <w:tcPr>
            <w:tcW w:w="1150"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40.8109</w:t>
            </w:r>
          </w:p>
        </w:tc>
        <w:tc>
          <w:tcPr>
            <w:tcW w:w="1226"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13.1167</w:t>
            </w:r>
          </w:p>
        </w:tc>
        <w:tc>
          <w:tcPr>
            <w:tcW w:w="1053"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68.5051</w:t>
            </w:r>
          </w:p>
        </w:tc>
        <w:tc>
          <w:tcPr>
            <w:tcW w:w="925" w:type="dxa"/>
            <w:shd w:val="clear" w:color="auto" w:fill="auto"/>
            <w:noWrap/>
            <w:hideMark/>
          </w:tcPr>
          <w:p w:rsidR="007C3F42" w:rsidRPr="00A67C76" w:rsidRDefault="007C3F42" w:rsidP="000B3877">
            <w:pPr>
              <w:spacing w:line="240" w:lineRule="auto"/>
              <w:contextualSpacing/>
              <w:cnfStyle w:val="000000100000"/>
              <w:rPr>
                <w:b/>
                <w:sz w:val="20"/>
                <w:lang w:val="en-AU"/>
              </w:rPr>
            </w:pPr>
            <w:r w:rsidRPr="00A67C76">
              <w:rPr>
                <w:b/>
                <w:sz w:val="20"/>
                <w:lang w:val="en-AU"/>
              </w:rPr>
              <w:t>0.000353</w:t>
            </w:r>
          </w:p>
        </w:tc>
      </w:tr>
      <w:tr w:rsidR="007C3F42" w:rsidRPr="00A67C76" w:rsidTr="000B21EF">
        <w:trPr>
          <w:trHeight w:val="300"/>
        </w:trPr>
        <w:tc>
          <w:tcPr>
            <w:cnfStyle w:val="001000000000"/>
            <w:tcW w:w="2700" w:type="dxa"/>
            <w:shd w:val="clear" w:color="auto" w:fill="auto"/>
            <w:noWrap/>
            <w:hideMark/>
          </w:tcPr>
          <w:p w:rsidR="007C3F42" w:rsidRPr="00A67C76" w:rsidRDefault="007C3F42" w:rsidP="000B3877">
            <w:pPr>
              <w:spacing w:line="240" w:lineRule="auto"/>
              <w:contextualSpacing/>
              <w:rPr>
                <w:sz w:val="20"/>
                <w:lang w:val="en-AU"/>
              </w:rPr>
            </w:pPr>
            <w:r w:rsidRPr="00A67C76">
              <w:rPr>
                <w:sz w:val="20"/>
                <w:lang w:val="en-AU"/>
              </w:rPr>
              <w:t>2009-2011</w:t>
            </w:r>
          </w:p>
        </w:tc>
        <w:tc>
          <w:tcPr>
            <w:tcW w:w="1150"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32.22161</w:t>
            </w:r>
          </w:p>
        </w:tc>
        <w:tc>
          <w:tcPr>
            <w:tcW w:w="1226"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-1.03654</w:t>
            </w:r>
          </w:p>
        </w:tc>
        <w:tc>
          <w:tcPr>
            <w:tcW w:w="1053"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65.47976</w:t>
            </w:r>
          </w:p>
        </w:tc>
        <w:tc>
          <w:tcPr>
            <w:tcW w:w="925"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0.065371</w:t>
            </w:r>
          </w:p>
        </w:tc>
      </w:tr>
      <w:tr w:rsidR="007C3F42" w:rsidRPr="00A67C76" w:rsidTr="000B21EF">
        <w:trPr>
          <w:cnfStyle w:val="000000100000"/>
          <w:trHeight w:val="300"/>
        </w:trPr>
        <w:tc>
          <w:tcPr>
            <w:cnfStyle w:val="001000000000"/>
            <w:tcW w:w="2700" w:type="dxa"/>
            <w:shd w:val="clear" w:color="auto" w:fill="auto"/>
            <w:noWrap/>
            <w:hideMark/>
          </w:tcPr>
          <w:p w:rsidR="007C3F42" w:rsidRPr="00A67C76" w:rsidRDefault="007C3F42" w:rsidP="000B3877">
            <w:pPr>
              <w:spacing w:line="240" w:lineRule="auto"/>
              <w:contextualSpacing/>
              <w:rPr>
                <w:sz w:val="20"/>
                <w:lang w:val="en-AU"/>
              </w:rPr>
            </w:pPr>
            <w:r w:rsidRPr="00A67C76">
              <w:rPr>
                <w:sz w:val="20"/>
                <w:lang w:val="en-AU"/>
              </w:rPr>
              <w:t>2010-2011</w:t>
            </w:r>
          </w:p>
        </w:tc>
        <w:tc>
          <w:tcPr>
            <w:tcW w:w="1150"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34.47756</w:t>
            </w:r>
          </w:p>
        </w:tc>
        <w:tc>
          <w:tcPr>
            <w:tcW w:w="1226"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6.78337</w:t>
            </w:r>
          </w:p>
        </w:tc>
        <w:tc>
          <w:tcPr>
            <w:tcW w:w="1053"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62.17176</w:t>
            </w:r>
          </w:p>
        </w:tc>
        <w:tc>
          <w:tcPr>
            <w:tcW w:w="925" w:type="dxa"/>
            <w:shd w:val="clear" w:color="auto" w:fill="auto"/>
            <w:noWrap/>
            <w:hideMark/>
          </w:tcPr>
          <w:p w:rsidR="007C3F42" w:rsidRPr="00A67C76" w:rsidRDefault="007C3F42" w:rsidP="000B3877">
            <w:pPr>
              <w:spacing w:line="240" w:lineRule="auto"/>
              <w:contextualSpacing/>
              <w:cnfStyle w:val="000000100000"/>
              <w:rPr>
                <w:b/>
                <w:sz w:val="20"/>
                <w:lang w:val="en-AU"/>
              </w:rPr>
            </w:pPr>
            <w:r w:rsidRPr="00A67C76">
              <w:rPr>
                <w:b/>
                <w:sz w:val="20"/>
                <w:lang w:val="en-AU"/>
              </w:rPr>
              <w:t>0.004748</w:t>
            </w:r>
          </w:p>
        </w:tc>
      </w:tr>
      <w:tr w:rsidR="007C3F42" w:rsidRPr="00A67C76" w:rsidTr="000B21EF">
        <w:trPr>
          <w:trHeight w:val="300"/>
        </w:trPr>
        <w:tc>
          <w:tcPr>
            <w:cnfStyle w:val="001000000000"/>
            <w:tcW w:w="2700" w:type="dxa"/>
            <w:shd w:val="clear" w:color="auto" w:fill="auto"/>
            <w:noWrap/>
            <w:hideMark/>
          </w:tcPr>
          <w:p w:rsidR="007C3F42" w:rsidRPr="00A67C76" w:rsidRDefault="007C3F42" w:rsidP="000B3877">
            <w:pPr>
              <w:spacing w:line="240" w:lineRule="auto"/>
              <w:contextualSpacing/>
              <w:rPr>
                <w:sz w:val="20"/>
                <w:lang w:val="en-AU"/>
              </w:rPr>
            </w:pPr>
            <w:r w:rsidRPr="00A67C76">
              <w:rPr>
                <w:sz w:val="20"/>
                <w:lang w:val="en-AU"/>
              </w:rPr>
              <w:t>2007-2012</w:t>
            </w:r>
          </w:p>
        </w:tc>
        <w:tc>
          <w:tcPr>
            <w:tcW w:w="1150"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36.00735</w:t>
            </w:r>
          </w:p>
        </w:tc>
        <w:tc>
          <w:tcPr>
            <w:tcW w:w="1226"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7.54798</w:t>
            </w:r>
          </w:p>
        </w:tc>
        <w:tc>
          <w:tcPr>
            <w:tcW w:w="1053"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64.46673</w:t>
            </w:r>
          </w:p>
        </w:tc>
        <w:tc>
          <w:tcPr>
            <w:tcW w:w="925" w:type="dxa"/>
            <w:shd w:val="clear" w:color="auto" w:fill="auto"/>
            <w:noWrap/>
            <w:hideMark/>
          </w:tcPr>
          <w:p w:rsidR="007C3F42" w:rsidRPr="00A67C76" w:rsidRDefault="007C3F42" w:rsidP="000B3877">
            <w:pPr>
              <w:spacing w:line="240" w:lineRule="auto"/>
              <w:contextualSpacing/>
              <w:cnfStyle w:val="000000000000"/>
              <w:rPr>
                <w:b/>
                <w:sz w:val="20"/>
                <w:lang w:val="en-AU"/>
              </w:rPr>
            </w:pPr>
            <w:r w:rsidRPr="00A67C76">
              <w:rPr>
                <w:b/>
                <w:sz w:val="20"/>
                <w:lang w:val="en-AU"/>
              </w:rPr>
              <w:t>0.00383</w:t>
            </w:r>
          </w:p>
        </w:tc>
      </w:tr>
      <w:tr w:rsidR="007C3F42" w:rsidRPr="00A67C76" w:rsidTr="000B21EF">
        <w:trPr>
          <w:cnfStyle w:val="000000100000"/>
          <w:trHeight w:val="300"/>
        </w:trPr>
        <w:tc>
          <w:tcPr>
            <w:cnfStyle w:val="001000000000"/>
            <w:tcW w:w="2700" w:type="dxa"/>
            <w:shd w:val="clear" w:color="auto" w:fill="auto"/>
            <w:noWrap/>
            <w:hideMark/>
          </w:tcPr>
          <w:p w:rsidR="007C3F42" w:rsidRPr="00A67C76" w:rsidRDefault="007C3F42" w:rsidP="000B3877">
            <w:pPr>
              <w:spacing w:line="240" w:lineRule="auto"/>
              <w:contextualSpacing/>
              <w:rPr>
                <w:sz w:val="20"/>
                <w:lang w:val="en-AU"/>
              </w:rPr>
            </w:pPr>
            <w:r w:rsidRPr="00A67C76">
              <w:rPr>
                <w:sz w:val="20"/>
                <w:lang w:val="en-AU"/>
              </w:rPr>
              <w:t>2009-2012</w:t>
            </w:r>
          </w:p>
        </w:tc>
        <w:tc>
          <w:tcPr>
            <w:tcW w:w="1150"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27.41807</w:t>
            </w:r>
          </w:p>
        </w:tc>
        <w:tc>
          <w:tcPr>
            <w:tcW w:w="1226"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-6.47989</w:t>
            </w:r>
          </w:p>
        </w:tc>
        <w:tc>
          <w:tcPr>
            <w:tcW w:w="1053"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61.31603</w:t>
            </w:r>
          </w:p>
        </w:tc>
        <w:tc>
          <w:tcPr>
            <w:tcW w:w="925"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0.231806</w:t>
            </w:r>
          </w:p>
        </w:tc>
      </w:tr>
      <w:tr w:rsidR="007C3F42" w:rsidRPr="00A67C76" w:rsidTr="000B21EF">
        <w:trPr>
          <w:trHeight w:val="300"/>
        </w:trPr>
        <w:tc>
          <w:tcPr>
            <w:cnfStyle w:val="001000000000"/>
            <w:tcW w:w="2700" w:type="dxa"/>
            <w:shd w:val="clear" w:color="auto" w:fill="auto"/>
            <w:noWrap/>
            <w:hideMark/>
          </w:tcPr>
          <w:p w:rsidR="007C3F42" w:rsidRPr="00A67C76" w:rsidRDefault="007C3F42" w:rsidP="000B3877">
            <w:pPr>
              <w:spacing w:line="240" w:lineRule="auto"/>
              <w:contextualSpacing/>
              <w:rPr>
                <w:sz w:val="20"/>
                <w:lang w:val="en-AU"/>
              </w:rPr>
            </w:pPr>
            <w:r w:rsidRPr="00A67C76">
              <w:rPr>
                <w:sz w:val="20"/>
                <w:lang w:val="en-AU"/>
              </w:rPr>
              <w:t>2010-2012</w:t>
            </w:r>
          </w:p>
        </w:tc>
        <w:tc>
          <w:tcPr>
            <w:tcW w:w="1150"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29.67402</w:t>
            </w:r>
          </w:p>
        </w:tc>
        <w:tc>
          <w:tcPr>
            <w:tcW w:w="1226"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1.21464</w:t>
            </w:r>
          </w:p>
        </w:tc>
        <w:tc>
          <w:tcPr>
            <w:tcW w:w="1053" w:type="dxa"/>
            <w:shd w:val="clear" w:color="auto" w:fill="auto"/>
            <w:noWrap/>
            <w:hideMark/>
          </w:tcPr>
          <w:p w:rsidR="007C3F42" w:rsidRPr="00A67C76" w:rsidRDefault="007C3F42" w:rsidP="000B3877">
            <w:pPr>
              <w:spacing w:line="240" w:lineRule="auto"/>
              <w:contextualSpacing/>
              <w:cnfStyle w:val="000000000000"/>
              <w:rPr>
                <w:sz w:val="20"/>
                <w:lang w:val="en-AU"/>
              </w:rPr>
            </w:pPr>
            <w:r w:rsidRPr="00A67C76">
              <w:rPr>
                <w:sz w:val="20"/>
                <w:lang w:val="en-AU"/>
              </w:rPr>
              <w:t>58.13339</w:t>
            </w:r>
          </w:p>
        </w:tc>
        <w:tc>
          <w:tcPr>
            <w:tcW w:w="925" w:type="dxa"/>
            <w:shd w:val="clear" w:color="auto" w:fill="auto"/>
            <w:noWrap/>
            <w:hideMark/>
          </w:tcPr>
          <w:p w:rsidR="007C3F42" w:rsidRPr="00A67C76" w:rsidRDefault="007C3F42" w:rsidP="000B3877">
            <w:pPr>
              <w:spacing w:line="240" w:lineRule="auto"/>
              <w:contextualSpacing/>
              <w:cnfStyle w:val="000000000000"/>
              <w:rPr>
                <w:b/>
                <w:sz w:val="20"/>
                <w:lang w:val="en-AU"/>
              </w:rPr>
            </w:pPr>
            <w:r w:rsidRPr="00A67C76">
              <w:rPr>
                <w:b/>
                <w:sz w:val="20"/>
                <w:lang w:val="en-AU"/>
              </w:rPr>
              <w:t>0.034243</w:t>
            </w:r>
          </w:p>
        </w:tc>
      </w:tr>
      <w:tr w:rsidR="007C3F42" w:rsidRPr="00A67C76" w:rsidTr="000B21EF">
        <w:trPr>
          <w:cnfStyle w:val="000000100000"/>
          <w:trHeight w:val="300"/>
        </w:trPr>
        <w:tc>
          <w:tcPr>
            <w:cnfStyle w:val="001000000000"/>
            <w:tcW w:w="2700" w:type="dxa"/>
            <w:shd w:val="clear" w:color="auto" w:fill="auto"/>
            <w:noWrap/>
            <w:hideMark/>
          </w:tcPr>
          <w:p w:rsidR="007C3F42" w:rsidRPr="00A67C76" w:rsidRDefault="007C3F42" w:rsidP="000B3877">
            <w:pPr>
              <w:spacing w:line="240" w:lineRule="auto"/>
              <w:contextualSpacing/>
              <w:rPr>
                <w:sz w:val="20"/>
                <w:lang w:val="en-AU"/>
              </w:rPr>
            </w:pPr>
            <w:r w:rsidRPr="00A67C76">
              <w:rPr>
                <w:sz w:val="20"/>
                <w:lang w:val="en-AU"/>
              </w:rPr>
              <w:t>2011-2012</w:t>
            </w:r>
          </w:p>
        </w:tc>
        <w:tc>
          <w:tcPr>
            <w:tcW w:w="1150"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-4.80354</w:t>
            </w:r>
          </w:p>
        </w:tc>
        <w:tc>
          <w:tcPr>
            <w:tcW w:w="1226"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-29.85</w:t>
            </w:r>
          </w:p>
        </w:tc>
        <w:tc>
          <w:tcPr>
            <w:tcW w:w="1053"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20.2429</w:t>
            </w:r>
          </w:p>
        </w:tc>
        <w:tc>
          <w:tcPr>
            <w:tcW w:w="925" w:type="dxa"/>
            <w:shd w:val="clear" w:color="auto" w:fill="auto"/>
            <w:noWrap/>
            <w:hideMark/>
          </w:tcPr>
          <w:p w:rsidR="007C3F42" w:rsidRPr="00A67C76" w:rsidRDefault="007C3F42" w:rsidP="000B3877">
            <w:pPr>
              <w:spacing w:line="240" w:lineRule="auto"/>
              <w:contextualSpacing/>
              <w:cnfStyle w:val="000000100000"/>
              <w:rPr>
                <w:sz w:val="20"/>
                <w:lang w:val="en-AU"/>
              </w:rPr>
            </w:pPr>
            <w:r w:rsidRPr="00A67C76">
              <w:rPr>
                <w:sz w:val="20"/>
                <w:lang w:val="en-AU"/>
              </w:rPr>
              <w:t>1</w:t>
            </w:r>
          </w:p>
        </w:tc>
      </w:tr>
    </w:tbl>
    <w:p w:rsidR="00EF5FE6" w:rsidRDefault="00EF5FE6" w:rsidP="009E401F">
      <w:pPr>
        <w:pStyle w:val="Caption"/>
      </w:pPr>
    </w:p>
    <w:p w:rsidR="007C3F42" w:rsidRPr="00A67C76" w:rsidRDefault="009E401F" w:rsidP="009E401F">
      <w:pPr>
        <w:pStyle w:val="Caption"/>
      </w:pPr>
      <w:proofErr w:type="gramStart"/>
      <w:r w:rsidRPr="00A67C76">
        <w:t xml:space="preserve">Appendix </w:t>
      </w:r>
      <w:proofErr w:type="gramEnd"/>
      <w:r w:rsidR="002E6077" w:rsidRPr="00A67C76">
        <w:fldChar w:fldCharType="begin"/>
      </w:r>
      <w:r w:rsidR="00621CBB" w:rsidRPr="00A67C76">
        <w:instrText xml:space="preserve"> SEQ Appendix \* ROMAN </w:instrText>
      </w:r>
      <w:r w:rsidR="002E6077" w:rsidRPr="00A67C76">
        <w:fldChar w:fldCharType="separate"/>
      </w:r>
      <w:r w:rsidR="009659F2">
        <w:rPr>
          <w:noProof/>
        </w:rPr>
        <w:t>XIII</w:t>
      </w:r>
      <w:r w:rsidR="002E6077" w:rsidRPr="00A67C76">
        <w:rPr>
          <w:noProof/>
        </w:rPr>
        <w:fldChar w:fldCharType="end"/>
      </w:r>
      <w:proofErr w:type="gramStart"/>
      <w:r w:rsidRPr="00A67C76">
        <w:t>.</w:t>
      </w:r>
      <w:proofErr w:type="gramEnd"/>
      <w:r w:rsidRPr="00A67C76">
        <w:t xml:space="preserve"> </w:t>
      </w:r>
      <w:r w:rsidR="007C3F42" w:rsidRPr="00A67C76">
        <w:t>Post-hoc comparisons of average mean</w:t>
      </w:r>
      <w:r w:rsidR="00A41CC6">
        <w:t xml:space="preserve"> rank abundance of calling male frogs</w:t>
      </w:r>
      <w:r w:rsidR="007C3F42" w:rsidRPr="00A67C76">
        <w:t xml:space="preserve"> across years at temporary wetlands. Significant p values highlighted in bold.</w:t>
      </w:r>
    </w:p>
    <w:tbl>
      <w:tblPr>
        <w:tblStyle w:val="LightShading1"/>
        <w:tblW w:w="0" w:type="auto"/>
        <w:tblLook w:val="04A0"/>
      </w:tblPr>
      <w:tblGrid>
        <w:gridCol w:w="2700"/>
        <w:gridCol w:w="1212"/>
        <w:gridCol w:w="1226"/>
        <w:gridCol w:w="1633"/>
        <w:gridCol w:w="960"/>
      </w:tblGrid>
      <w:tr w:rsidR="007C3F42" w:rsidRPr="00A67C76" w:rsidTr="00055709">
        <w:trPr>
          <w:cnfStyle w:val="100000000000"/>
          <w:trHeight w:val="260"/>
        </w:trPr>
        <w:tc>
          <w:tcPr>
            <w:cnfStyle w:val="001000000000"/>
            <w:tcW w:w="2700" w:type="dxa"/>
            <w:tcBorders>
              <w:bottom w:val="nil"/>
            </w:tcBorders>
            <w:shd w:val="clear" w:color="auto" w:fill="auto"/>
            <w:noWrap/>
            <w:hideMark/>
          </w:tcPr>
          <w:p w:rsidR="007C3F42" w:rsidRPr="00A67C76" w:rsidRDefault="007C3F42" w:rsidP="00055709">
            <w:pPr>
              <w:spacing w:before="0" w:after="0" w:line="240" w:lineRule="auto"/>
              <w:contextualSpacing/>
              <w:rPr>
                <w:sz w:val="20"/>
                <w:lang w:val="en-AU"/>
              </w:rPr>
            </w:pPr>
          </w:p>
        </w:tc>
        <w:tc>
          <w:tcPr>
            <w:tcW w:w="1212" w:type="dxa"/>
            <w:tcBorders>
              <w:bottom w:val="nil"/>
            </w:tcBorders>
            <w:shd w:val="clear" w:color="auto" w:fill="auto"/>
            <w:noWrap/>
            <w:hideMark/>
          </w:tcPr>
          <w:p w:rsidR="007C3F42" w:rsidRPr="00A67C76" w:rsidRDefault="007C3F42" w:rsidP="00055709">
            <w:pPr>
              <w:spacing w:before="0" w:after="0" w:line="240" w:lineRule="auto"/>
              <w:contextualSpacing/>
              <w:cnfStyle w:val="100000000000"/>
              <w:rPr>
                <w:sz w:val="20"/>
                <w:lang w:val="en-AU"/>
              </w:rPr>
            </w:pPr>
          </w:p>
        </w:tc>
        <w:tc>
          <w:tcPr>
            <w:tcW w:w="2859" w:type="dxa"/>
            <w:gridSpan w:val="2"/>
            <w:tcBorders>
              <w:bottom w:val="single" w:sz="4" w:space="0" w:color="auto"/>
            </w:tcBorders>
            <w:shd w:val="clear" w:color="auto" w:fill="auto"/>
            <w:noWrap/>
            <w:hideMark/>
          </w:tcPr>
          <w:p w:rsidR="007C3F42" w:rsidRPr="00A67C76" w:rsidRDefault="007C3F42" w:rsidP="00055709">
            <w:pPr>
              <w:spacing w:before="0" w:after="0" w:line="240" w:lineRule="auto"/>
              <w:contextualSpacing/>
              <w:jc w:val="center"/>
              <w:cnfStyle w:val="100000000000"/>
              <w:rPr>
                <w:sz w:val="20"/>
                <w:lang w:val="en-AU"/>
              </w:rPr>
            </w:pPr>
            <w:r w:rsidRPr="00A67C76">
              <w:rPr>
                <w:sz w:val="20"/>
                <w:lang w:val="en-AU"/>
              </w:rPr>
              <w:t>95% Confidence Interval</w:t>
            </w:r>
          </w:p>
        </w:tc>
        <w:tc>
          <w:tcPr>
            <w:tcW w:w="960" w:type="dxa"/>
            <w:tcBorders>
              <w:bottom w:val="nil"/>
            </w:tcBorders>
            <w:shd w:val="clear" w:color="auto" w:fill="auto"/>
            <w:noWrap/>
            <w:hideMark/>
          </w:tcPr>
          <w:p w:rsidR="007C3F42" w:rsidRPr="00A67C76" w:rsidRDefault="007C3F42" w:rsidP="000B21EF">
            <w:pPr>
              <w:spacing w:line="240" w:lineRule="auto"/>
              <w:contextualSpacing/>
              <w:cnfStyle w:val="100000000000"/>
              <w:rPr>
                <w:sz w:val="20"/>
                <w:lang w:val="en-AU"/>
              </w:rPr>
            </w:pPr>
          </w:p>
        </w:tc>
      </w:tr>
      <w:tr w:rsidR="007C3F42" w:rsidRPr="00A67C76" w:rsidTr="00055709">
        <w:trPr>
          <w:cnfStyle w:val="000000100000"/>
          <w:trHeight w:val="300"/>
        </w:trPr>
        <w:tc>
          <w:tcPr>
            <w:cnfStyle w:val="001000000000"/>
            <w:tcW w:w="2700" w:type="dxa"/>
            <w:tcBorders>
              <w:top w:val="nil"/>
              <w:bottom w:val="single" w:sz="4" w:space="0" w:color="auto"/>
            </w:tcBorders>
            <w:shd w:val="clear" w:color="auto" w:fill="auto"/>
            <w:noWrap/>
            <w:hideMark/>
          </w:tcPr>
          <w:p w:rsidR="007C3F42" w:rsidRPr="00A67C76" w:rsidRDefault="007C3F42" w:rsidP="000B21EF">
            <w:pPr>
              <w:spacing w:line="240" w:lineRule="auto"/>
              <w:contextualSpacing/>
              <w:rPr>
                <w:sz w:val="20"/>
                <w:lang w:val="en-AU"/>
              </w:rPr>
            </w:pPr>
            <w:r w:rsidRPr="00A67C76">
              <w:rPr>
                <w:sz w:val="20"/>
                <w:lang w:val="en-AU"/>
              </w:rPr>
              <w:t>Years</w:t>
            </w:r>
          </w:p>
        </w:tc>
        <w:tc>
          <w:tcPr>
            <w:tcW w:w="1212" w:type="dxa"/>
            <w:tcBorders>
              <w:top w:val="nil"/>
              <w:bottom w:val="single" w:sz="4" w:space="0" w:color="auto"/>
            </w:tcBorders>
            <w:shd w:val="clear" w:color="auto" w:fill="auto"/>
            <w:noWrap/>
            <w:hideMark/>
          </w:tcPr>
          <w:p w:rsidR="007C3F42" w:rsidRPr="00A67C76" w:rsidRDefault="007C3F42" w:rsidP="000B21EF">
            <w:pPr>
              <w:spacing w:line="240" w:lineRule="auto"/>
              <w:contextualSpacing/>
              <w:cnfStyle w:val="000000100000"/>
              <w:rPr>
                <w:b/>
                <w:sz w:val="20"/>
                <w:lang w:val="en-AU"/>
              </w:rPr>
            </w:pPr>
            <w:r w:rsidRPr="00A67C76">
              <w:rPr>
                <w:b/>
                <w:sz w:val="20"/>
                <w:lang w:val="en-AU"/>
              </w:rPr>
              <w:t>Difference</w:t>
            </w:r>
          </w:p>
        </w:tc>
        <w:tc>
          <w:tcPr>
            <w:tcW w:w="1226" w:type="dxa"/>
            <w:tcBorders>
              <w:top w:val="single" w:sz="4" w:space="0" w:color="auto"/>
              <w:bottom w:val="single" w:sz="4" w:space="0" w:color="auto"/>
            </w:tcBorders>
            <w:shd w:val="clear" w:color="auto" w:fill="auto"/>
            <w:noWrap/>
            <w:hideMark/>
          </w:tcPr>
          <w:p w:rsidR="007C3F42" w:rsidRPr="00A67C76" w:rsidRDefault="007C3F42" w:rsidP="000B21EF">
            <w:pPr>
              <w:spacing w:line="240" w:lineRule="auto"/>
              <w:contextualSpacing/>
              <w:cnfStyle w:val="000000100000"/>
              <w:rPr>
                <w:b/>
                <w:sz w:val="20"/>
                <w:lang w:val="en-AU"/>
              </w:rPr>
            </w:pPr>
            <w:r w:rsidRPr="00A67C76">
              <w:rPr>
                <w:b/>
                <w:sz w:val="20"/>
                <w:lang w:val="en-AU"/>
              </w:rPr>
              <w:t>Lower</w:t>
            </w:r>
          </w:p>
        </w:tc>
        <w:tc>
          <w:tcPr>
            <w:tcW w:w="1633" w:type="dxa"/>
            <w:tcBorders>
              <w:top w:val="single" w:sz="4" w:space="0" w:color="auto"/>
              <w:bottom w:val="single" w:sz="4" w:space="0" w:color="auto"/>
            </w:tcBorders>
            <w:shd w:val="clear" w:color="auto" w:fill="auto"/>
            <w:noWrap/>
            <w:hideMark/>
          </w:tcPr>
          <w:p w:rsidR="007C3F42" w:rsidRPr="00A67C76" w:rsidRDefault="007C3F42" w:rsidP="000B21EF">
            <w:pPr>
              <w:spacing w:line="240" w:lineRule="auto"/>
              <w:contextualSpacing/>
              <w:cnfStyle w:val="000000100000"/>
              <w:rPr>
                <w:b/>
                <w:sz w:val="20"/>
                <w:lang w:val="en-AU"/>
              </w:rPr>
            </w:pPr>
            <w:r w:rsidRPr="00A67C76">
              <w:rPr>
                <w:b/>
                <w:sz w:val="20"/>
                <w:lang w:val="en-AU"/>
              </w:rPr>
              <w:t>Upper</w:t>
            </w:r>
          </w:p>
        </w:tc>
        <w:tc>
          <w:tcPr>
            <w:tcW w:w="960" w:type="dxa"/>
            <w:tcBorders>
              <w:top w:val="nil"/>
              <w:bottom w:val="single" w:sz="4" w:space="0" w:color="auto"/>
            </w:tcBorders>
            <w:shd w:val="clear" w:color="auto" w:fill="auto"/>
            <w:noWrap/>
            <w:hideMark/>
          </w:tcPr>
          <w:p w:rsidR="007C3F42" w:rsidRPr="00A67C76" w:rsidRDefault="007C3F42" w:rsidP="000B21EF">
            <w:pPr>
              <w:spacing w:line="240" w:lineRule="auto"/>
              <w:contextualSpacing/>
              <w:cnfStyle w:val="000000100000"/>
              <w:rPr>
                <w:b/>
                <w:sz w:val="20"/>
                <w:lang w:val="en-AU"/>
              </w:rPr>
            </w:pPr>
            <w:r w:rsidRPr="00A67C76">
              <w:rPr>
                <w:b/>
                <w:sz w:val="20"/>
                <w:lang w:val="en-AU"/>
              </w:rPr>
              <w:t>P-value</w:t>
            </w:r>
          </w:p>
        </w:tc>
      </w:tr>
      <w:tr w:rsidR="007C3F42" w:rsidRPr="00A67C76" w:rsidTr="00055709">
        <w:trPr>
          <w:trHeight w:val="300"/>
        </w:trPr>
        <w:tc>
          <w:tcPr>
            <w:cnfStyle w:val="001000000000"/>
            <w:tcW w:w="2700" w:type="dxa"/>
            <w:tcBorders>
              <w:top w:val="single" w:sz="4" w:space="0" w:color="auto"/>
            </w:tcBorders>
            <w:shd w:val="clear" w:color="auto" w:fill="auto"/>
            <w:noWrap/>
            <w:hideMark/>
          </w:tcPr>
          <w:p w:rsidR="007C3F42" w:rsidRPr="00A67C76" w:rsidRDefault="007C3F42" w:rsidP="000B21EF">
            <w:pPr>
              <w:spacing w:line="240" w:lineRule="auto"/>
              <w:contextualSpacing/>
              <w:rPr>
                <w:sz w:val="20"/>
                <w:lang w:val="en-AU"/>
              </w:rPr>
            </w:pPr>
            <w:r w:rsidRPr="00A67C76">
              <w:rPr>
                <w:sz w:val="20"/>
                <w:lang w:val="en-AU"/>
              </w:rPr>
              <w:t>2010-2011</w:t>
            </w:r>
          </w:p>
        </w:tc>
        <w:tc>
          <w:tcPr>
            <w:tcW w:w="1212" w:type="dxa"/>
            <w:tcBorders>
              <w:top w:val="single" w:sz="4" w:space="0" w:color="auto"/>
            </w:tcBorders>
            <w:shd w:val="clear" w:color="auto" w:fill="auto"/>
            <w:noWrap/>
            <w:hideMark/>
          </w:tcPr>
          <w:p w:rsidR="007C3F42" w:rsidRPr="00A67C76" w:rsidRDefault="007C3F42" w:rsidP="000B21EF">
            <w:pPr>
              <w:spacing w:line="240" w:lineRule="auto"/>
              <w:contextualSpacing/>
              <w:cnfStyle w:val="000000000000"/>
              <w:rPr>
                <w:sz w:val="20"/>
                <w:lang w:val="en-AU"/>
              </w:rPr>
            </w:pPr>
            <w:r w:rsidRPr="00A67C76">
              <w:rPr>
                <w:sz w:val="20"/>
                <w:lang w:val="en-AU"/>
              </w:rPr>
              <w:t>52.34524</w:t>
            </w:r>
          </w:p>
        </w:tc>
        <w:tc>
          <w:tcPr>
            <w:tcW w:w="1226" w:type="dxa"/>
            <w:tcBorders>
              <w:top w:val="single" w:sz="4" w:space="0" w:color="auto"/>
            </w:tcBorders>
            <w:shd w:val="clear" w:color="auto" w:fill="auto"/>
            <w:noWrap/>
            <w:hideMark/>
          </w:tcPr>
          <w:p w:rsidR="007C3F42" w:rsidRPr="00A67C76" w:rsidRDefault="007C3F42" w:rsidP="000B21EF">
            <w:pPr>
              <w:spacing w:line="240" w:lineRule="auto"/>
              <w:contextualSpacing/>
              <w:cnfStyle w:val="000000000000"/>
              <w:rPr>
                <w:sz w:val="20"/>
                <w:lang w:val="en-AU"/>
              </w:rPr>
            </w:pPr>
            <w:r w:rsidRPr="00A67C76">
              <w:rPr>
                <w:sz w:val="20"/>
                <w:lang w:val="en-AU"/>
              </w:rPr>
              <w:t>34.52197</w:t>
            </w:r>
          </w:p>
        </w:tc>
        <w:tc>
          <w:tcPr>
            <w:tcW w:w="1633" w:type="dxa"/>
            <w:tcBorders>
              <w:top w:val="single" w:sz="4" w:space="0" w:color="auto"/>
            </w:tcBorders>
            <w:shd w:val="clear" w:color="auto" w:fill="auto"/>
            <w:noWrap/>
            <w:hideMark/>
          </w:tcPr>
          <w:p w:rsidR="007C3F42" w:rsidRPr="00A67C76" w:rsidRDefault="007C3F42" w:rsidP="000B21EF">
            <w:pPr>
              <w:spacing w:line="240" w:lineRule="auto"/>
              <w:contextualSpacing/>
              <w:cnfStyle w:val="000000000000"/>
              <w:rPr>
                <w:sz w:val="20"/>
                <w:lang w:val="en-AU"/>
              </w:rPr>
            </w:pPr>
            <w:r w:rsidRPr="00A67C76">
              <w:rPr>
                <w:sz w:val="20"/>
                <w:lang w:val="en-AU"/>
              </w:rPr>
              <w:t>70.1685</w:t>
            </w:r>
          </w:p>
        </w:tc>
        <w:tc>
          <w:tcPr>
            <w:tcW w:w="960" w:type="dxa"/>
            <w:tcBorders>
              <w:top w:val="single" w:sz="4" w:space="0" w:color="auto"/>
            </w:tcBorders>
            <w:shd w:val="clear" w:color="auto" w:fill="auto"/>
            <w:noWrap/>
            <w:hideMark/>
          </w:tcPr>
          <w:p w:rsidR="007C3F42" w:rsidRPr="00A67C76" w:rsidRDefault="007C3F42" w:rsidP="000B21EF">
            <w:pPr>
              <w:spacing w:line="240" w:lineRule="auto"/>
              <w:contextualSpacing/>
              <w:cnfStyle w:val="000000000000"/>
              <w:rPr>
                <w:b/>
                <w:sz w:val="20"/>
                <w:lang w:val="en-AU"/>
              </w:rPr>
            </w:pPr>
            <w:r w:rsidRPr="00A67C76">
              <w:rPr>
                <w:b/>
                <w:sz w:val="20"/>
                <w:lang w:val="en-AU"/>
              </w:rPr>
              <w:t>0</w:t>
            </w:r>
          </w:p>
        </w:tc>
      </w:tr>
      <w:tr w:rsidR="007C3F42" w:rsidRPr="00A67C76" w:rsidTr="00055709">
        <w:trPr>
          <w:cnfStyle w:val="000000100000"/>
          <w:trHeight w:val="300"/>
        </w:trPr>
        <w:tc>
          <w:tcPr>
            <w:cnfStyle w:val="001000000000"/>
            <w:tcW w:w="2700" w:type="dxa"/>
            <w:shd w:val="clear" w:color="auto" w:fill="auto"/>
            <w:noWrap/>
            <w:hideMark/>
          </w:tcPr>
          <w:p w:rsidR="007C3F42" w:rsidRPr="00A67C76" w:rsidRDefault="007C3F42" w:rsidP="000B21EF">
            <w:pPr>
              <w:spacing w:line="240" w:lineRule="auto"/>
              <w:contextualSpacing/>
              <w:rPr>
                <w:sz w:val="20"/>
                <w:lang w:val="en-AU"/>
              </w:rPr>
            </w:pPr>
            <w:r w:rsidRPr="00A67C76">
              <w:rPr>
                <w:sz w:val="20"/>
                <w:lang w:val="en-AU"/>
              </w:rPr>
              <w:t>2010-2012</w:t>
            </w:r>
          </w:p>
        </w:tc>
        <w:tc>
          <w:tcPr>
            <w:tcW w:w="1212" w:type="dxa"/>
            <w:shd w:val="clear" w:color="auto" w:fill="auto"/>
            <w:noWrap/>
            <w:hideMark/>
          </w:tcPr>
          <w:p w:rsidR="007C3F42" w:rsidRPr="00A67C76" w:rsidRDefault="007C3F42" w:rsidP="000B21EF">
            <w:pPr>
              <w:spacing w:line="240" w:lineRule="auto"/>
              <w:contextualSpacing/>
              <w:cnfStyle w:val="000000100000"/>
              <w:rPr>
                <w:sz w:val="20"/>
                <w:lang w:val="en-AU"/>
              </w:rPr>
            </w:pPr>
            <w:r w:rsidRPr="00A67C76">
              <w:rPr>
                <w:sz w:val="20"/>
                <w:lang w:val="en-AU"/>
              </w:rPr>
              <w:t>49.91667</w:t>
            </w:r>
          </w:p>
        </w:tc>
        <w:tc>
          <w:tcPr>
            <w:tcW w:w="1226" w:type="dxa"/>
            <w:shd w:val="clear" w:color="auto" w:fill="auto"/>
            <w:noWrap/>
            <w:hideMark/>
          </w:tcPr>
          <w:p w:rsidR="007C3F42" w:rsidRPr="00A67C76" w:rsidRDefault="007C3F42" w:rsidP="000B21EF">
            <w:pPr>
              <w:spacing w:line="240" w:lineRule="auto"/>
              <w:contextualSpacing/>
              <w:cnfStyle w:val="000000100000"/>
              <w:rPr>
                <w:sz w:val="20"/>
                <w:lang w:val="en-AU"/>
              </w:rPr>
            </w:pPr>
            <w:r w:rsidRPr="00A67C76">
              <w:rPr>
                <w:sz w:val="20"/>
                <w:lang w:val="en-AU"/>
              </w:rPr>
              <w:t>33.04432</w:t>
            </w:r>
          </w:p>
        </w:tc>
        <w:tc>
          <w:tcPr>
            <w:tcW w:w="1633" w:type="dxa"/>
            <w:shd w:val="clear" w:color="auto" w:fill="auto"/>
            <w:noWrap/>
            <w:hideMark/>
          </w:tcPr>
          <w:p w:rsidR="007C3F42" w:rsidRPr="00A67C76" w:rsidRDefault="007C3F42" w:rsidP="000B21EF">
            <w:pPr>
              <w:spacing w:line="240" w:lineRule="auto"/>
              <w:contextualSpacing/>
              <w:cnfStyle w:val="000000100000"/>
              <w:rPr>
                <w:sz w:val="20"/>
                <w:lang w:val="en-AU"/>
              </w:rPr>
            </w:pPr>
            <w:r w:rsidRPr="00A67C76">
              <w:rPr>
                <w:sz w:val="20"/>
                <w:lang w:val="en-AU"/>
              </w:rPr>
              <w:t>66.78902</w:t>
            </w:r>
          </w:p>
        </w:tc>
        <w:tc>
          <w:tcPr>
            <w:tcW w:w="960" w:type="dxa"/>
            <w:shd w:val="clear" w:color="auto" w:fill="auto"/>
            <w:noWrap/>
            <w:hideMark/>
          </w:tcPr>
          <w:p w:rsidR="007C3F42" w:rsidRPr="00A67C76" w:rsidRDefault="007C3F42" w:rsidP="000B21EF">
            <w:pPr>
              <w:spacing w:line="240" w:lineRule="auto"/>
              <w:contextualSpacing/>
              <w:cnfStyle w:val="000000100000"/>
              <w:rPr>
                <w:b/>
                <w:sz w:val="20"/>
                <w:lang w:val="en-AU"/>
              </w:rPr>
            </w:pPr>
            <w:r w:rsidRPr="00A67C76">
              <w:rPr>
                <w:b/>
                <w:sz w:val="20"/>
                <w:lang w:val="en-AU"/>
              </w:rPr>
              <w:t>0</w:t>
            </w:r>
          </w:p>
        </w:tc>
      </w:tr>
      <w:tr w:rsidR="007C3F42" w:rsidRPr="00A67C76" w:rsidTr="00055709">
        <w:trPr>
          <w:trHeight w:val="300"/>
        </w:trPr>
        <w:tc>
          <w:tcPr>
            <w:cnfStyle w:val="001000000000"/>
            <w:tcW w:w="2700" w:type="dxa"/>
            <w:shd w:val="clear" w:color="auto" w:fill="auto"/>
            <w:noWrap/>
            <w:hideMark/>
          </w:tcPr>
          <w:p w:rsidR="007C3F42" w:rsidRPr="00A67C76" w:rsidRDefault="007C3F42" w:rsidP="000B21EF">
            <w:pPr>
              <w:spacing w:line="240" w:lineRule="auto"/>
              <w:contextualSpacing/>
              <w:rPr>
                <w:sz w:val="20"/>
                <w:lang w:val="en-AU"/>
              </w:rPr>
            </w:pPr>
            <w:r w:rsidRPr="00A67C76">
              <w:rPr>
                <w:sz w:val="20"/>
                <w:lang w:val="en-AU"/>
              </w:rPr>
              <w:t>2011-2012</w:t>
            </w:r>
          </w:p>
        </w:tc>
        <w:tc>
          <w:tcPr>
            <w:tcW w:w="1212" w:type="dxa"/>
            <w:shd w:val="clear" w:color="auto" w:fill="auto"/>
            <w:noWrap/>
            <w:hideMark/>
          </w:tcPr>
          <w:p w:rsidR="007C3F42" w:rsidRPr="00A67C76" w:rsidRDefault="007C3F42" w:rsidP="000B21EF">
            <w:pPr>
              <w:spacing w:line="240" w:lineRule="auto"/>
              <w:contextualSpacing/>
              <w:cnfStyle w:val="000000000000"/>
              <w:rPr>
                <w:sz w:val="20"/>
                <w:lang w:val="en-AU"/>
              </w:rPr>
            </w:pPr>
            <w:r w:rsidRPr="00A67C76">
              <w:rPr>
                <w:sz w:val="20"/>
                <w:lang w:val="en-AU"/>
              </w:rPr>
              <w:t>-2.42857</w:t>
            </w:r>
          </w:p>
        </w:tc>
        <w:tc>
          <w:tcPr>
            <w:tcW w:w="1226" w:type="dxa"/>
            <w:shd w:val="clear" w:color="auto" w:fill="auto"/>
            <w:noWrap/>
            <w:hideMark/>
          </w:tcPr>
          <w:p w:rsidR="007C3F42" w:rsidRPr="00A67C76" w:rsidRDefault="007C3F42" w:rsidP="000B21EF">
            <w:pPr>
              <w:spacing w:line="240" w:lineRule="auto"/>
              <w:contextualSpacing/>
              <w:cnfStyle w:val="000000000000"/>
              <w:rPr>
                <w:sz w:val="20"/>
                <w:lang w:val="en-AU"/>
              </w:rPr>
            </w:pPr>
            <w:r w:rsidRPr="00A67C76">
              <w:rPr>
                <w:sz w:val="20"/>
                <w:lang w:val="en-AU"/>
              </w:rPr>
              <w:t>-17.4436</w:t>
            </w:r>
          </w:p>
        </w:tc>
        <w:tc>
          <w:tcPr>
            <w:tcW w:w="1633" w:type="dxa"/>
            <w:shd w:val="clear" w:color="auto" w:fill="auto"/>
            <w:noWrap/>
            <w:hideMark/>
          </w:tcPr>
          <w:p w:rsidR="007C3F42" w:rsidRPr="00A67C76" w:rsidRDefault="007C3F42" w:rsidP="000B21EF">
            <w:pPr>
              <w:spacing w:line="240" w:lineRule="auto"/>
              <w:contextualSpacing/>
              <w:cnfStyle w:val="000000000000"/>
              <w:rPr>
                <w:sz w:val="20"/>
                <w:lang w:val="en-AU"/>
              </w:rPr>
            </w:pPr>
            <w:r w:rsidRPr="00A67C76">
              <w:rPr>
                <w:sz w:val="20"/>
                <w:lang w:val="en-AU"/>
              </w:rPr>
              <w:t>12.58641</w:t>
            </w:r>
          </w:p>
        </w:tc>
        <w:tc>
          <w:tcPr>
            <w:tcW w:w="960" w:type="dxa"/>
            <w:shd w:val="clear" w:color="auto" w:fill="auto"/>
            <w:noWrap/>
            <w:hideMark/>
          </w:tcPr>
          <w:p w:rsidR="007C3F42" w:rsidRPr="00A67C76" w:rsidRDefault="007C3F42" w:rsidP="000B21EF">
            <w:pPr>
              <w:spacing w:line="240" w:lineRule="auto"/>
              <w:contextualSpacing/>
              <w:cnfStyle w:val="000000000000"/>
              <w:rPr>
                <w:sz w:val="20"/>
                <w:lang w:val="en-AU"/>
              </w:rPr>
            </w:pPr>
            <w:r w:rsidRPr="00A67C76">
              <w:rPr>
                <w:sz w:val="20"/>
                <w:lang w:val="en-AU"/>
              </w:rPr>
              <w:t>1</w:t>
            </w:r>
          </w:p>
        </w:tc>
      </w:tr>
    </w:tbl>
    <w:p w:rsidR="007C3F42" w:rsidRPr="00A67C76" w:rsidRDefault="007C3F42" w:rsidP="007C3F42">
      <w:pPr>
        <w:spacing w:line="240" w:lineRule="auto"/>
        <w:rPr>
          <w:sz w:val="20"/>
        </w:rPr>
      </w:pPr>
    </w:p>
    <w:p w:rsidR="00262EDD" w:rsidRPr="00A67C76" w:rsidRDefault="00262EDD">
      <w:pPr>
        <w:spacing w:before="0" w:after="200" w:line="276" w:lineRule="auto"/>
        <w:rPr>
          <w:b/>
          <w:bCs/>
          <w:color w:val="auto"/>
          <w:sz w:val="20"/>
          <w:szCs w:val="18"/>
        </w:rPr>
      </w:pPr>
      <w:r w:rsidRPr="00A67C76">
        <w:br w:type="page"/>
      </w:r>
    </w:p>
    <w:p w:rsidR="00FD3B4A" w:rsidRPr="00A67C76" w:rsidRDefault="00FD3B4A" w:rsidP="00FD3B4A">
      <w:pPr>
        <w:pStyle w:val="Caption"/>
      </w:pPr>
      <w:proofErr w:type="gramStart"/>
      <w:r w:rsidRPr="00A67C76">
        <w:t xml:space="preserve">Appendix </w:t>
      </w:r>
      <w:proofErr w:type="gramEnd"/>
      <w:r w:rsidR="002E6077" w:rsidRPr="00A67C76">
        <w:fldChar w:fldCharType="begin"/>
      </w:r>
      <w:r w:rsidR="00621CBB" w:rsidRPr="00A67C76">
        <w:instrText xml:space="preserve"> SEQ Appendix \* ROMAN </w:instrText>
      </w:r>
      <w:r w:rsidR="002E6077" w:rsidRPr="00A67C76">
        <w:fldChar w:fldCharType="separate"/>
      </w:r>
      <w:r w:rsidR="009659F2">
        <w:rPr>
          <w:noProof/>
        </w:rPr>
        <w:t>XIV</w:t>
      </w:r>
      <w:r w:rsidR="002E6077" w:rsidRPr="00A67C76">
        <w:rPr>
          <w:noProof/>
        </w:rPr>
        <w:fldChar w:fldCharType="end"/>
      </w:r>
      <w:proofErr w:type="gramStart"/>
      <w:r w:rsidRPr="00A67C76">
        <w:t>.</w:t>
      </w:r>
      <w:proofErr w:type="gramEnd"/>
      <w:r w:rsidRPr="00A67C76">
        <w:t xml:space="preserve"> Photographs of frog species recorded in wetlands</w:t>
      </w:r>
    </w:p>
    <w:p w:rsidR="00FD3B4A" w:rsidRPr="00A67C76" w:rsidRDefault="00FD3B4A" w:rsidP="00FD3B4A">
      <w:pPr>
        <w:rPr>
          <w:sz w:val="24"/>
          <w:szCs w:val="24"/>
        </w:rPr>
      </w:pPr>
      <w:r w:rsidRPr="00A67C76">
        <w:rPr>
          <w:noProof/>
          <w:sz w:val="24"/>
          <w:szCs w:val="24"/>
          <w:lang w:eastAsia="en-AU"/>
        </w:rPr>
        <w:drawing>
          <wp:inline distT="0" distB="0" distL="0" distR="0">
            <wp:extent cx="3599234" cy="2607013"/>
            <wp:effectExtent l="19050" t="0" r="1216" b="0"/>
            <wp:docPr id="51" name="Picture 11"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Image"/>
                    <pic:cNvPicPr>
                      <a:picLocks noChangeAspect="1" noChangeArrowheads="1"/>
                    </pic:cNvPicPr>
                  </pic:nvPicPr>
                  <pic:blipFill>
                    <a:blip r:embed="rId97" cstate="email"/>
                    <a:srcRect/>
                    <a:stretch>
                      <a:fillRect/>
                    </a:stretch>
                  </pic:blipFill>
                  <pic:spPr bwMode="auto">
                    <a:xfrm>
                      <a:off x="0" y="0"/>
                      <a:ext cx="3599234" cy="2607013"/>
                    </a:xfrm>
                    <a:prstGeom prst="rect">
                      <a:avLst/>
                    </a:prstGeom>
                    <a:noFill/>
                    <a:ln w="9525">
                      <a:noFill/>
                      <a:miter lim="800000"/>
                      <a:headEnd/>
                      <a:tailEnd/>
                    </a:ln>
                  </pic:spPr>
                </pic:pic>
              </a:graphicData>
            </a:graphic>
          </wp:inline>
        </w:drawing>
      </w:r>
    </w:p>
    <w:p w:rsidR="00FD3B4A" w:rsidRPr="00A67C76" w:rsidRDefault="00FD3B4A" w:rsidP="00FD3B4A">
      <w:pPr>
        <w:rPr>
          <w:b/>
        </w:rPr>
      </w:pPr>
      <w:proofErr w:type="gramStart"/>
      <w:r w:rsidRPr="00A67C76">
        <w:rPr>
          <w:b/>
          <w:i/>
        </w:rPr>
        <w:t>Crinia signifera.</w:t>
      </w:r>
      <w:proofErr w:type="gramEnd"/>
      <w:r w:rsidRPr="00A67C76">
        <w:rPr>
          <w:b/>
          <w:i/>
        </w:rPr>
        <w:t xml:space="preserve"> </w:t>
      </w:r>
      <w:r w:rsidRPr="00A67C76">
        <w:t>Common Name: Common Froglet/ Common Eastern Froglet.</w:t>
      </w:r>
    </w:p>
    <w:p w:rsidR="00FD3B4A" w:rsidRPr="00A67C76" w:rsidRDefault="00FD3B4A" w:rsidP="00FD3B4A">
      <w:pPr>
        <w:rPr>
          <w:sz w:val="24"/>
          <w:szCs w:val="24"/>
        </w:rPr>
      </w:pPr>
      <w:r w:rsidRPr="00A67C76">
        <w:rPr>
          <w:noProof/>
          <w:sz w:val="24"/>
          <w:szCs w:val="24"/>
          <w:lang w:eastAsia="en-AU"/>
        </w:rPr>
        <w:drawing>
          <wp:inline distT="0" distB="0" distL="0" distR="0">
            <wp:extent cx="3420000" cy="2522869"/>
            <wp:effectExtent l="19050" t="0" r="9000" b="0"/>
            <wp:docPr id="54" name="Picture 12" descr="Eastern Sign Bearing Froglet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stern Sign Bearing Frogletsmall"/>
                    <pic:cNvPicPr>
                      <a:picLocks noChangeAspect="1" noChangeArrowheads="1"/>
                    </pic:cNvPicPr>
                  </pic:nvPicPr>
                  <pic:blipFill>
                    <a:blip r:embed="rId98" cstate="email"/>
                    <a:srcRect/>
                    <a:stretch>
                      <a:fillRect/>
                    </a:stretch>
                  </pic:blipFill>
                  <pic:spPr bwMode="auto">
                    <a:xfrm>
                      <a:off x="0" y="0"/>
                      <a:ext cx="3420000" cy="2522869"/>
                    </a:xfrm>
                    <a:prstGeom prst="rect">
                      <a:avLst/>
                    </a:prstGeom>
                    <a:noFill/>
                    <a:ln w="9525">
                      <a:noFill/>
                      <a:miter lim="800000"/>
                      <a:headEnd/>
                      <a:tailEnd/>
                    </a:ln>
                  </pic:spPr>
                </pic:pic>
              </a:graphicData>
            </a:graphic>
          </wp:inline>
        </w:drawing>
      </w:r>
    </w:p>
    <w:p w:rsidR="00FD3B4A" w:rsidRPr="00A67C76" w:rsidRDefault="00FD3B4A" w:rsidP="00FD3B4A">
      <w:proofErr w:type="gramStart"/>
      <w:r w:rsidRPr="00A67C76">
        <w:rPr>
          <w:b/>
          <w:i/>
        </w:rPr>
        <w:t>Crinia parinsignifera.</w:t>
      </w:r>
      <w:proofErr w:type="gramEnd"/>
      <w:r w:rsidRPr="00A67C76">
        <w:rPr>
          <w:b/>
          <w:i/>
        </w:rPr>
        <w:t xml:space="preserve"> </w:t>
      </w:r>
      <w:r w:rsidRPr="00A67C76">
        <w:t>Common Name: Murray Valley Froglet/ Eastern Sign-bearing Froglet.</w:t>
      </w:r>
    </w:p>
    <w:p w:rsidR="00FD3B4A" w:rsidRPr="00A67C76" w:rsidRDefault="00FD3B4A" w:rsidP="00FD3B4A">
      <w:pPr>
        <w:rPr>
          <w:sz w:val="24"/>
          <w:szCs w:val="24"/>
        </w:rPr>
      </w:pPr>
      <w:r w:rsidRPr="00A67C76">
        <w:rPr>
          <w:noProof/>
          <w:sz w:val="24"/>
          <w:szCs w:val="24"/>
          <w:lang w:eastAsia="en-AU"/>
        </w:rPr>
        <w:drawing>
          <wp:inline distT="0" distB="0" distL="0" distR="0">
            <wp:extent cx="3599004" cy="2607489"/>
            <wp:effectExtent l="19050" t="0" r="1446" b="0"/>
            <wp:docPr id="55" name="Picture 5" descr="fro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og4"/>
                    <pic:cNvPicPr>
                      <a:picLocks noChangeAspect="1" noChangeArrowheads="1"/>
                    </pic:cNvPicPr>
                  </pic:nvPicPr>
                  <pic:blipFill>
                    <a:blip r:embed="rId99" cstate="email"/>
                    <a:srcRect/>
                    <a:stretch>
                      <a:fillRect/>
                    </a:stretch>
                  </pic:blipFill>
                  <pic:spPr bwMode="auto">
                    <a:xfrm>
                      <a:off x="0" y="0"/>
                      <a:ext cx="3599004" cy="2607489"/>
                    </a:xfrm>
                    <a:prstGeom prst="rect">
                      <a:avLst/>
                    </a:prstGeom>
                    <a:noFill/>
                    <a:ln w="9525">
                      <a:noFill/>
                      <a:miter lim="800000"/>
                      <a:headEnd/>
                      <a:tailEnd/>
                    </a:ln>
                  </pic:spPr>
                </pic:pic>
              </a:graphicData>
            </a:graphic>
          </wp:inline>
        </w:drawing>
      </w:r>
    </w:p>
    <w:p w:rsidR="00FD3B4A" w:rsidRPr="00A67C76" w:rsidRDefault="00FD3B4A" w:rsidP="00FD3B4A">
      <w:proofErr w:type="gramStart"/>
      <w:r w:rsidRPr="00A67C76">
        <w:rPr>
          <w:b/>
          <w:i/>
        </w:rPr>
        <w:t>Limnodynastes dumerili.</w:t>
      </w:r>
      <w:proofErr w:type="gramEnd"/>
      <w:r w:rsidRPr="00A67C76">
        <w:rPr>
          <w:b/>
          <w:i/>
        </w:rPr>
        <w:t xml:space="preserve"> </w:t>
      </w:r>
      <w:r w:rsidRPr="00A67C76">
        <w:t>Common Name: Eastern Banjo Frog/ Eastern Pobblebonk.</w:t>
      </w:r>
    </w:p>
    <w:p w:rsidR="00FD3B4A" w:rsidRPr="00A67C76" w:rsidRDefault="00FD3B4A" w:rsidP="00FD3B4A">
      <w:pPr>
        <w:rPr>
          <w:sz w:val="24"/>
          <w:szCs w:val="24"/>
        </w:rPr>
      </w:pPr>
      <w:r w:rsidRPr="00A67C76">
        <w:rPr>
          <w:noProof/>
          <w:sz w:val="24"/>
          <w:szCs w:val="24"/>
          <w:lang w:eastAsia="en-AU"/>
        </w:rPr>
        <w:drawing>
          <wp:inline distT="0" distB="0" distL="0" distR="0">
            <wp:extent cx="3600000" cy="2527580"/>
            <wp:effectExtent l="19050" t="0" r="450" b="0"/>
            <wp:docPr id="56" name="Picture 14" descr="Long Thumbed Loveday Lago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ng Thumbed Loveday Lagoon 19"/>
                    <pic:cNvPicPr>
                      <a:picLocks noChangeAspect="1" noChangeArrowheads="1"/>
                    </pic:cNvPicPr>
                  </pic:nvPicPr>
                  <pic:blipFill>
                    <a:blip r:embed="rId100" cstate="email"/>
                    <a:srcRect/>
                    <a:stretch>
                      <a:fillRect/>
                    </a:stretch>
                  </pic:blipFill>
                  <pic:spPr bwMode="auto">
                    <a:xfrm>
                      <a:off x="0" y="0"/>
                      <a:ext cx="3600000" cy="2527580"/>
                    </a:xfrm>
                    <a:prstGeom prst="rect">
                      <a:avLst/>
                    </a:prstGeom>
                    <a:noFill/>
                    <a:ln w="9525">
                      <a:noFill/>
                      <a:miter lim="800000"/>
                      <a:headEnd/>
                      <a:tailEnd/>
                    </a:ln>
                  </pic:spPr>
                </pic:pic>
              </a:graphicData>
            </a:graphic>
          </wp:inline>
        </w:drawing>
      </w:r>
    </w:p>
    <w:p w:rsidR="00FD3B4A" w:rsidRPr="00A67C76" w:rsidRDefault="00FD3B4A" w:rsidP="00262EDD">
      <w:pPr>
        <w:rPr>
          <w:noProof/>
        </w:rPr>
      </w:pPr>
      <w:proofErr w:type="gramStart"/>
      <w:r w:rsidRPr="00A67C76">
        <w:rPr>
          <w:b/>
          <w:i/>
        </w:rPr>
        <w:t>Limnodynastes fletcheri.</w:t>
      </w:r>
      <w:proofErr w:type="gramEnd"/>
      <w:r w:rsidRPr="00A67C76">
        <w:rPr>
          <w:b/>
          <w:i/>
        </w:rPr>
        <w:t xml:space="preserve"> </w:t>
      </w:r>
      <w:r w:rsidRPr="00A67C76">
        <w:t>Common Name: Long-thumbed Frog/ Barking Marsh Frog.</w:t>
      </w:r>
    </w:p>
    <w:p w:rsidR="00FD3B4A" w:rsidRPr="00A67C76" w:rsidRDefault="00FD3B4A" w:rsidP="00FD3B4A">
      <w:pPr>
        <w:rPr>
          <w:sz w:val="24"/>
          <w:szCs w:val="24"/>
        </w:rPr>
      </w:pPr>
      <w:r w:rsidRPr="00A67C76">
        <w:rPr>
          <w:noProof/>
          <w:sz w:val="24"/>
          <w:szCs w:val="24"/>
          <w:lang w:eastAsia="en-AU"/>
        </w:rPr>
        <w:drawing>
          <wp:inline distT="0" distB="0" distL="0" distR="0">
            <wp:extent cx="3240000" cy="2589703"/>
            <wp:effectExtent l="19050" t="0" r="0" b="0"/>
            <wp:docPr id="57" name="Picture 15" descr="Spotted Grass Frogs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otted Grass Frogssmall"/>
                    <pic:cNvPicPr>
                      <a:picLocks noChangeAspect="1" noChangeArrowheads="1"/>
                    </pic:cNvPicPr>
                  </pic:nvPicPr>
                  <pic:blipFill>
                    <a:blip r:embed="rId101" cstate="email"/>
                    <a:srcRect/>
                    <a:stretch>
                      <a:fillRect/>
                    </a:stretch>
                  </pic:blipFill>
                  <pic:spPr bwMode="auto">
                    <a:xfrm>
                      <a:off x="0" y="0"/>
                      <a:ext cx="3240000" cy="2589703"/>
                    </a:xfrm>
                    <a:prstGeom prst="rect">
                      <a:avLst/>
                    </a:prstGeom>
                    <a:noFill/>
                    <a:ln w="9525">
                      <a:noFill/>
                      <a:miter lim="800000"/>
                      <a:headEnd/>
                      <a:tailEnd/>
                    </a:ln>
                  </pic:spPr>
                </pic:pic>
              </a:graphicData>
            </a:graphic>
          </wp:inline>
        </w:drawing>
      </w:r>
    </w:p>
    <w:p w:rsidR="00FD3B4A" w:rsidRPr="00A67C76" w:rsidRDefault="00FD3B4A" w:rsidP="00262EDD">
      <w:proofErr w:type="gramStart"/>
      <w:r w:rsidRPr="00A67C76">
        <w:rPr>
          <w:b/>
          <w:i/>
        </w:rPr>
        <w:t>Limnodynastes tasmaniensis.</w:t>
      </w:r>
      <w:proofErr w:type="gramEnd"/>
      <w:r w:rsidRPr="00A67C76">
        <w:rPr>
          <w:b/>
          <w:i/>
        </w:rPr>
        <w:t xml:space="preserve"> </w:t>
      </w:r>
      <w:r w:rsidRPr="00A67C76">
        <w:t>Common Name: Spotted Grass Frog/ Spotted Marsh Frog.</w:t>
      </w:r>
    </w:p>
    <w:p w:rsidR="00FD3B4A" w:rsidRPr="00A67C76" w:rsidRDefault="00FD3B4A" w:rsidP="00FD3B4A">
      <w:pPr>
        <w:rPr>
          <w:b/>
          <w:i/>
          <w:sz w:val="24"/>
          <w:szCs w:val="24"/>
        </w:rPr>
      </w:pPr>
      <w:r w:rsidRPr="00A67C76">
        <w:rPr>
          <w:noProof/>
          <w:sz w:val="24"/>
          <w:szCs w:val="24"/>
          <w:lang w:eastAsia="en-AU"/>
        </w:rPr>
        <w:drawing>
          <wp:inline distT="0" distB="0" distL="0" distR="0">
            <wp:extent cx="3240000" cy="2520775"/>
            <wp:effectExtent l="19050" t="0" r="0" b="0"/>
            <wp:docPr id="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cstate="email"/>
                    <a:srcRect/>
                    <a:stretch>
                      <a:fillRect/>
                    </a:stretch>
                  </pic:blipFill>
                  <pic:spPr bwMode="auto">
                    <a:xfrm>
                      <a:off x="0" y="0"/>
                      <a:ext cx="3240000" cy="2520775"/>
                    </a:xfrm>
                    <a:prstGeom prst="rect">
                      <a:avLst/>
                    </a:prstGeom>
                    <a:noFill/>
                    <a:ln w="9525">
                      <a:noFill/>
                      <a:miter lim="800000"/>
                      <a:headEnd/>
                      <a:tailEnd/>
                    </a:ln>
                  </pic:spPr>
                </pic:pic>
              </a:graphicData>
            </a:graphic>
          </wp:inline>
        </w:drawing>
      </w:r>
      <w:r w:rsidRPr="00A67C76">
        <w:rPr>
          <w:b/>
          <w:i/>
          <w:sz w:val="24"/>
          <w:szCs w:val="24"/>
        </w:rPr>
        <w:t xml:space="preserve"> </w:t>
      </w:r>
    </w:p>
    <w:p w:rsidR="00FD3B4A" w:rsidRPr="00A67C76" w:rsidRDefault="00FD3B4A" w:rsidP="00262EDD">
      <w:proofErr w:type="gramStart"/>
      <w:r w:rsidRPr="00A67C76">
        <w:rPr>
          <w:b/>
          <w:i/>
        </w:rPr>
        <w:t>Litoria ewingii.</w:t>
      </w:r>
      <w:proofErr w:type="gramEnd"/>
      <w:r w:rsidRPr="00A67C76">
        <w:rPr>
          <w:b/>
          <w:i/>
        </w:rPr>
        <w:t xml:space="preserve"> </w:t>
      </w:r>
      <w:r w:rsidRPr="00A67C76">
        <w:t>Common Name: Brown Tree Frog.</w:t>
      </w:r>
    </w:p>
    <w:p w:rsidR="00FD3B4A" w:rsidRPr="00A67C76" w:rsidRDefault="00FD3B4A" w:rsidP="00FD3B4A">
      <w:pPr>
        <w:rPr>
          <w:sz w:val="24"/>
          <w:szCs w:val="24"/>
        </w:rPr>
      </w:pPr>
      <w:r w:rsidRPr="00A67C76">
        <w:rPr>
          <w:noProof/>
          <w:sz w:val="24"/>
          <w:szCs w:val="24"/>
          <w:lang w:eastAsia="en-AU"/>
        </w:rPr>
        <w:drawing>
          <wp:inline distT="0" distB="0" distL="0" distR="0">
            <wp:extent cx="3600000" cy="2566921"/>
            <wp:effectExtent l="19050" t="0" r="450" b="0"/>
            <wp:docPr id="60" name="Picture 9" descr="Perons Loveday Lago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ons Loveday Lagoon 19"/>
                    <pic:cNvPicPr>
                      <a:picLocks noChangeAspect="1" noChangeArrowheads="1"/>
                    </pic:cNvPicPr>
                  </pic:nvPicPr>
                  <pic:blipFill>
                    <a:blip r:embed="rId103" cstate="email"/>
                    <a:srcRect/>
                    <a:stretch>
                      <a:fillRect/>
                    </a:stretch>
                  </pic:blipFill>
                  <pic:spPr bwMode="auto">
                    <a:xfrm>
                      <a:off x="0" y="0"/>
                      <a:ext cx="3600000" cy="2566921"/>
                    </a:xfrm>
                    <a:prstGeom prst="rect">
                      <a:avLst/>
                    </a:prstGeom>
                    <a:noFill/>
                    <a:ln w="9525">
                      <a:noFill/>
                      <a:miter lim="800000"/>
                      <a:headEnd/>
                      <a:tailEnd/>
                    </a:ln>
                  </pic:spPr>
                </pic:pic>
              </a:graphicData>
            </a:graphic>
          </wp:inline>
        </w:drawing>
      </w:r>
    </w:p>
    <w:p w:rsidR="00FD3B4A" w:rsidRPr="00A67C76" w:rsidRDefault="00FD3B4A" w:rsidP="00262EDD">
      <w:proofErr w:type="gramStart"/>
      <w:r w:rsidRPr="00A67C76">
        <w:rPr>
          <w:b/>
          <w:i/>
        </w:rPr>
        <w:t>Litoria peronii.</w:t>
      </w:r>
      <w:proofErr w:type="gramEnd"/>
      <w:r w:rsidRPr="00A67C76">
        <w:rPr>
          <w:b/>
          <w:i/>
        </w:rPr>
        <w:t xml:space="preserve"> </w:t>
      </w:r>
      <w:r w:rsidRPr="00A67C76">
        <w:t>Common Name: Peron’s Tree Frog.</w:t>
      </w:r>
    </w:p>
    <w:p w:rsidR="00FD3B4A" w:rsidRPr="00A67C76" w:rsidRDefault="00FD3B4A" w:rsidP="00FD3B4A">
      <w:pPr>
        <w:rPr>
          <w:sz w:val="24"/>
          <w:szCs w:val="24"/>
        </w:rPr>
      </w:pPr>
      <w:r w:rsidRPr="00A67C76">
        <w:rPr>
          <w:noProof/>
          <w:sz w:val="24"/>
          <w:szCs w:val="24"/>
          <w:lang w:eastAsia="en-AU"/>
        </w:rPr>
        <w:drawing>
          <wp:inline distT="0" distB="0" distL="0" distR="0">
            <wp:extent cx="3600000" cy="2252202"/>
            <wp:effectExtent l="19050" t="0" r="450" b="0"/>
            <wp:docPr id="61" name="Picture 10" descr="SBF O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BF OC 11"/>
                    <pic:cNvPicPr>
                      <a:picLocks noChangeAspect="1" noChangeArrowheads="1"/>
                    </pic:cNvPicPr>
                  </pic:nvPicPr>
                  <pic:blipFill>
                    <a:blip r:embed="rId104" cstate="email"/>
                    <a:srcRect/>
                    <a:stretch>
                      <a:fillRect/>
                    </a:stretch>
                  </pic:blipFill>
                  <pic:spPr bwMode="auto">
                    <a:xfrm>
                      <a:off x="0" y="0"/>
                      <a:ext cx="3600000" cy="2252202"/>
                    </a:xfrm>
                    <a:prstGeom prst="rect">
                      <a:avLst/>
                    </a:prstGeom>
                    <a:noFill/>
                    <a:ln w="9525">
                      <a:noFill/>
                      <a:miter lim="800000"/>
                      <a:headEnd/>
                      <a:tailEnd/>
                    </a:ln>
                  </pic:spPr>
                </pic:pic>
              </a:graphicData>
            </a:graphic>
          </wp:inline>
        </w:drawing>
      </w:r>
    </w:p>
    <w:p w:rsidR="00FD3B4A" w:rsidRPr="00A67C76" w:rsidRDefault="00FD3B4A" w:rsidP="00262EDD">
      <w:proofErr w:type="gramStart"/>
      <w:r w:rsidRPr="00A67C76">
        <w:rPr>
          <w:b/>
          <w:i/>
        </w:rPr>
        <w:t>Litoria raniformis.</w:t>
      </w:r>
      <w:proofErr w:type="gramEnd"/>
      <w:r w:rsidRPr="00A67C76">
        <w:rPr>
          <w:b/>
          <w:i/>
        </w:rPr>
        <w:t xml:space="preserve"> </w:t>
      </w:r>
      <w:r w:rsidRPr="00A67C76">
        <w:t>Common Name: Southern Bell Frog/ Growling Grass Frog.</w:t>
      </w:r>
    </w:p>
    <w:p w:rsidR="00806C82" w:rsidRDefault="00806C82">
      <w:pPr>
        <w:spacing w:before="0" w:after="200" w:line="276" w:lineRule="auto"/>
      </w:pPr>
      <w:r>
        <w:br w:type="page"/>
      </w:r>
    </w:p>
    <w:p w:rsidR="00806C82" w:rsidRDefault="00806C82" w:rsidP="00806C82">
      <w:pPr>
        <w:pStyle w:val="Caption"/>
      </w:pPr>
      <w:r>
        <w:t>Appendix XV</w:t>
      </w:r>
    </w:p>
    <w:p w:rsidR="00806C82" w:rsidRPr="00892040" w:rsidRDefault="00806C82" w:rsidP="00806C82">
      <w:pPr>
        <w:spacing w:before="0" w:after="200" w:line="276" w:lineRule="auto"/>
        <w:rPr>
          <w:rFonts w:asciiTheme="minorHAnsi" w:eastAsiaTheme="minorHAnsi" w:hAnsiTheme="minorHAnsi" w:cstheme="minorBidi"/>
          <w:color w:val="auto"/>
          <w:kern w:val="0"/>
          <w:szCs w:val="22"/>
        </w:rPr>
      </w:pPr>
      <w:r w:rsidRPr="00A67C76">
        <w:rPr>
          <w:rFonts w:asciiTheme="minorHAnsi" w:eastAsiaTheme="minorHAnsi" w:hAnsiTheme="minorHAnsi" w:cstheme="minorBidi"/>
          <w:noProof/>
          <w:color w:val="auto"/>
          <w:kern w:val="0"/>
          <w:szCs w:val="22"/>
          <w:lang w:eastAsia="en-AU"/>
        </w:rPr>
        <w:drawing>
          <wp:inline distT="0" distB="0" distL="0" distR="0">
            <wp:extent cx="5478996" cy="7356143"/>
            <wp:effectExtent l="0" t="0" r="0" b="0"/>
            <wp:docPr id="43" name="Picture 3" descr="GFshThr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shThr1.wmf"/>
                    <pic:cNvPicPr/>
                  </pic:nvPicPr>
                  <pic:blipFill rotWithShape="1">
                    <a:blip r:embed="rId105" cstate="email"/>
                    <a:srcRect t="3640"/>
                    <a:stretch/>
                  </pic:blipFill>
                  <pic:spPr bwMode="auto">
                    <a:xfrm>
                      <a:off x="0" y="0"/>
                      <a:ext cx="5482567" cy="736093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bookmarkStart w:id="248" w:name="_Toc387843092"/>
      <w:r w:rsidRPr="00892040">
        <w:rPr>
          <w:rStyle w:val="CaptionChar"/>
        </w:rPr>
        <w:t xml:space="preserve"> </w:t>
      </w:r>
      <w:bookmarkEnd w:id="248"/>
      <w:r w:rsidR="00E07293" w:rsidRPr="00892040">
        <w:rPr>
          <w:rStyle w:val="CaptionChar"/>
        </w:rPr>
        <w:t xml:space="preserve">Habitat suitability for fish </w:t>
      </w:r>
      <w:r w:rsidR="00E07293" w:rsidRPr="00E07293">
        <w:rPr>
          <w:rStyle w:val="CaptionChar"/>
        </w:rPr>
        <w:t>along the Coorong from mouth (0 km) to Salt Creek (102 km) calculated for the whole simulation period 1963-2013</w:t>
      </w:r>
      <w:r w:rsidR="00E07293">
        <w:t xml:space="preserve"> </w:t>
      </w:r>
      <w:r w:rsidR="00E07293" w:rsidRPr="00892040">
        <w:rPr>
          <w:rStyle w:val="CaptionChar"/>
        </w:rPr>
        <w:t>on a daily basis</w:t>
      </w:r>
      <w:r w:rsidR="00E07293">
        <w:rPr>
          <w:rStyle w:val="CaptionChar"/>
        </w:rPr>
        <w:t xml:space="preserve"> using salinity tolerance thresholds</w:t>
      </w:r>
      <w:r w:rsidR="00E07293" w:rsidRPr="00892040">
        <w:rPr>
          <w:rStyle w:val="CaptionChar"/>
        </w:rPr>
        <w:t>. The horizontal black line indicates the border between North (0-55 km) and South (55-102 km) Lagoon.</w:t>
      </w:r>
      <w:r w:rsidR="00E07293" w:rsidRPr="00A67C76">
        <w:t xml:space="preserve"> </w:t>
      </w:r>
    </w:p>
    <w:p w:rsidR="00806C82" w:rsidRPr="00A67C76" w:rsidRDefault="00806C82" w:rsidP="00806C82">
      <w:pPr>
        <w:spacing w:before="0" w:after="60" w:line="240" w:lineRule="auto"/>
        <w:rPr>
          <w:rFonts w:asciiTheme="minorHAnsi" w:eastAsiaTheme="minorHAnsi" w:hAnsiTheme="minorHAnsi" w:cstheme="minorBidi"/>
          <w:color w:val="auto"/>
          <w:kern w:val="0"/>
          <w:szCs w:val="22"/>
        </w:rPr>
      </w:pPr>
      <w:r w:rsidRPr="00A67C76">
        <w:rPr>
          <w:rFonts w:asciiTheme="minorHAnsi" w:eastAsiaTheme="minorHAnsi" w:hAnsiTheme="minorHAnsi" w:cstheme="minorBidi"/>
          <w:noProof/>
          <w:color w:val="auto"/>
          <w:kern w:val="0"/>
          <w:szCs w:val="22"/>
          <w:lang w:eastAsia="en-AU"/>
        </w:rPr>
        <w:drawing>
          <wp:inline distT="0" distB="0" distL="0" distR="0">
            <wp:extent cx="5479200" cy="5755927"/>
            <wp:effectExtent l="0" t="0" r="0" b="0"/>
            <wp:docPr id="44" name="Picture 4" descr="GFshThr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shThr2.wmf"/>
                    <pic:cNvPicPr/>
                  </pic:nvPicPr>
                  <pic:blipFill>
                    <a:blip r:embed="rId106" cstate="email"/>
                    <a:stretch>
                      <a:fillRect/>
                    </a:stretch>
                  </pic:blipFill>
                  <pic:spPr>
                    <a:xfrm>
                      <a:off x="0" y="0"/>
                      <a:ext cx="5479200" cy="5755927"/>
                    </a:xfrm>
                    <a:prstGeom prst="rect">
                      <a:avLst/>
                    </a:prstGeom>
                  </pic:spPr>
                </pic:pic>
              </a:graphicData>
            </a:graphic>
          </wp:inline>
        </w:drawing>
      </w:r>
    </w:p>
    <w:p w:rsidR="00806C82" w:rsidRPr="00A67C76" w:rsidRDefault="00E07293" w:rsidP="00806C82">
      <w:pPr>
        <w:pStyle w:val="Caption"/>
        <w:rPr>
          <w:rFonts w:asciiTheme="minorHAnsi" w:eastAsiaTheme="minorHAnsi" w:hAnsiTheme="minorHAnsi" w:cstheme="minorBidi"/>
          <w:kern w:val="0"/>
          <w:szCs w:val="22"/>
        </w:rPr>
      </w:pPr>
      <w:proofErr w:type="gramStart"/>
      <w:r>
        <w:t>continued</w:t>
      </w:r>
      <w:proofErr w:type="gramEnd"/>
      <w:r>
        <w:t>:</w:t>
      </w:r>
      <w:r w:rsidRPr="00A67C76">
        <w:t xml:space="preserve"> Habitat suitability for fish species</w:t>
      </w:r>
      <w:r>
        <w:t xml:space="preserve"> along</w:t>
      </w:r>
      <w:r w:rsidRPr="00A67C76">
        <w:t xml:space="preserve"> the Coorong </w:t>
      </w:r>
      <w:r>
        <w:t xml:space="preserve">from mouth (0 km) to Salt Creek (102 km) </w:t>
      </w:r>
      <w:r w:rsidRPr="00A67C76">
        <w:t xml:space="preserve">calculated </w:t>
      </w:r>
      <w:r>
        <w:t xml:space="preserve">for the whole simulation period 1963-2013 </w:t>
      </w:r>
      <w:r w:rsidRPr="00A67C76">
        <w:t>on a</w:t>
      </w:r>
      <w:r>
        <w:t xml:space="preserve"> daily</w:t>
      </w:r>
      <w:r w:rsidRPr="00A67C76">
        <w:t xml:space="preserve"> basis</w:t>
      </w:r>
      <w:r>
        <w:t xml:space="preserve"> using salinity tolerance thresholds</w:t>
      </w:r>
      <w:r w:rsidRPr="00A67C76">
        <w:t xml:space="preserve">. The horizontal black line indicates the border between North </w:t>
      </w:r>
      <w:r>
        <w:t xml:space="preserve">(0-55 km) </w:t>
      </w:r>
      <w:r w:rsidRPr="00A67C76">
        <w:t xml:space="preserve">and South </w:t>
      </w:r>
      <w:r>
        <w:t xml:space="preserve">(55-102 km) </w:t>
      </w:r>
      <w:r w:rsidRPr="00A67C76">
        <w:t xml:space="preserve">Lagoon. </w:t>
      </w:r>
      <w:r w:rsidR="00806C82" w:rsidRPr="00A67C76">
        <w:rPr>
          <w:rFonts w:asciiTheme="minorHAnsi" w:eastAsiaTheme="minorHAnsi" w:hAnsiTheme="minorHAnsi" w:cstheme="minorBidi"/>
          <w:kern w:val="0"/>
          <w:szCs w:val="22"/>
        </w:rPr>
        <w:br w:type="page"/>
      </w:r>
    </w:p>
    <w:p w:rsidR="00EA303E" w:rsidRPr="00A67C76" w:rsidRDefault="001D5D76" w:rsidP="00806C82">
      <w:pPr>
        <w:spacing w:before="0" w:after="200" w:line="276" w:lineRule="auto"/>
        <w:rPr>
          <w:b/>
          <w:i/>
          <w:sz w:val="24"/>
          <w:szCs w:val="24"/>
        </w:rPr>
      </w:pPr>
      <w:r w:rsidRPr="00A67C76">
        <w:rPr>
          <w:b/>
          <w:i/>
          <w:sz w:val="24"/>
          <w:szCs w:val="24"/>
        </w:rPr>
        <w:t>Acronyms</w:t>
      </w:r>
    </w:p>
    <w:tbl>
      <w:tblPr>
        <w:tblW w:w="0" w:type="auto"/>
        <w:tblInd w:w="91" w:type="dxa"/>
        <w:tblLook w:val="04A0"/>
      </w:tblPr>
      <w:tblGrid>
        <w:gridCol w:w="1264"/>
        <w:gridCol w:w="6943"/>
      </w:tblGrid>
      <w:tr w:rsidR="001D5D76" w:rsidRPr="00A67C76" w:rsidTr="001D5D76">
        <w:trPr>
          <w:trHeight w:val="300"/>
        </w:trPr>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b/>
                <w:bCs/>
                <w:color w:val="E46D0A"/>
              </w:rPr>
            </w:pPr>
            <w:r w:rsidRPr="00A67C76">
              <w:rPr>
                <w:rFonts w:cs="Calibri"/>
                <w:b/>
                <w:bCs/>
                <w:color w:val="E46D0A"/>
              </w:rPr>
              <w:t>AHD</w:t>
            </w:r>
          </w:p>
        </w:tc>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color w:val="222222"/>
              </w:rPr>
            </w:pPr>
            <w:r w:rsidRPr="00A67C76">
              <w:rPr>
                <w:rFonts w:cs="Calibri"/>
                <w:color w:val="222222"/>
              </w:rPr>
              <w:t>Australian Height Datum</w:t>
            </w:r>
          </w:p>
        </w:tc>
      </w:tr>
      <w:tr w:rsidR="001D5D76" w:rsidRPr="00A67C76" w:rsidTr="001D5D76">
        <w:trPr>
          <w:trHeight w:val="300"/>
        </w:trPr>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b/>
                <w:bCs/>
                <w:color w:val="E46D0A"/>
              </w:rPr>
            </w:pPr>
            <w:r w:rsidRPr="00A67C76">
              <w:rPr>
                <w:rFonts w:cs="Calibri"/>
                <w:b/>
                <w:bCs/>
                <w:color w:val="E46D0A"/>
              </w:rPr>
              <w:t>CEW</w:t>
            </w:r>
          </w:p>
        </w:tc>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rPr>
            </w:pPr>
            <w:r w:rsidRPr="00A67C76">
              <w:rPr>
                <w:rFonts w:cs="Calibri"/>
              </w:rPr>
              <w:t>Commonwealth Environmental Water</w:t>
            </w:r>
          </w:p>
        </w:tc>
      </w:tr>
      <w:tr w:rsidR="001D5D76" w:rsidRPr="00A67C76" w:rsidTr="001D5D76">
        <w:trPr>
          <w:trHeight w:val="300"/>
        </w:trPr>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b/>
                <w:bCs/>
                <w:color w:val="E46D0A"/>
              </w:rPr>
            </w:pPr>
            <w:r w:rsidRPr="00A67C76">
              <w:rPr>
                <w:rFonts w:cs="Calibri"/>
                <w:b/>
                <w:bCs/>
                <w:color w:val="E46D0A"/>
              </w:rPr>
              <w:t>CSIRO</w:t>
            </w:r>
          </w:p>
        </w:tc>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rPr>
            </w:pPr>
            <w:r w:rsidRPr="00A67C76">
              <w:rPr>
                <w:rFonts w:cs="Calibri"/>
              </w:rPr>
              <w:t>Commonwealth Scientific and Industrial Research Organisation</w:t>
            </w:r>
          </w:p>
        </w:tc>
      </w:tr>
      <w:tr w:rsidR="001D5D76" w:rsidRPr="00A67C76" w:rsidTr="001D5D76">
        <w:trPr>
          <w:trHeight w:val="300"/>
        </w:trPr>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b/>
                <w:bCs/>
                <w:color w:val="E46D0A"/>
              </w:rPr>
            </w:pPr>
            <w:r w:rsidRPr="00A67C76">
              <w:rPr>
                <w:rFonts w:cs="Calibri"/>
                <w:b/>
                <w:bCs/>
                <w:color w:val="E46D0A"/>
              </w:rPr>
              <w:t>DEWNR</w:t>
            </w:r>
          </w:p>
        </w:tc>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rPr>
            </w:pPr>
            <w:r w:rsidRPr="00A67C76">
              <w:rPr>
                <w:rFonts w:cs="Calibri"/>
              </w:rPr>
              <w:t>Department of Environment, Water and Natural Resources</w:t>
            </w:r>
          </w:p>
        </w:tc>
      </w:tr>
      <w:tr w:rsidR="001D5D76" w:rsidRPr="00A67C76" w:rsidTr="001D5D76">
        <w:trPr>
          <w:trHeight w:val="300"/>
        </w:trPr>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b/>
                <w:bCs/>
                <w:color w:val="E46D0A"/>
              </w:rPr>
            </w:pPr>
            <w:r w:rsidRPr="00A67C76">
              <w:rPr>
                <w:rFonts w:cs="Calibri"/>
                <w:b/>
                <w:bCs/>
                <w:color w:val="E46D0A"/>
              </w:rPr>
              <w:t>EPA</w:t>
            </w:r>
            <w:r w:rsidR="00D31C3C" w:rsidRPr="00A67C76">
              <w:rPr>
                <w:rFonts w:cs="Calibri"/>
                <w:b/>
                <w:bCs/>
                <w:color w:val="E46D0A"/>
              </w:rPr>
              <w:t xml:space="preserve"> (org.)</w:t>
            </w:r>
          </w:p>
        </w:tc>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rPr>
            </w:pPr>
            <w:r w:rsidRPr="00A67C76">
              <w:rPr>
                <w:rFonts w:cs="Calibri"/>
              </w:rPr>
              <w:t>Environment Protection Authority</w:t>
            </w:r>
          </w:p>
        </w:tc>
      </w:tr>
      <w:tr w:rsidR="001D5D76" w:rsidRPr="00A67C76" w:rsidTr="001D5D76">
        <w:trPr>
          <w:trHeight w:val="300"/>
        </w:trPr>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b/>
                <w:bCs/>
                <w:color w:val="E46D0A"/>
              </w:rPr>
            </w:pPr>
            <w:r w:rsidRPr="00A67C76">
              <w:rPr>
                <w:rFonts w:cs="Calibri"/>
                <w:b/>
                <w:bCs/>
                <w:color w:val="E46D0A"/>
              </w:rPr>
              <w:t>EW</w:t>
            </w:r>
          </w:p>
        </w:tc>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rPr>
            </w:pPr>
            <w:r w:rsidRPr="00A67C76">
              <w:rPr>
                <w:rFonts w:cs="Calibri"/>
              </w:rPr>
              <w:t>Environmental water</w:t>
            </w:r>
          </w:p>
        </w:tc>
      </w:tr>
      <w:tr w:rsidR="001D5D76" w:rsidRPr="00A67C76" w:rsidTr="001D5D76">
        <w:trPr>
          <w:trHeight w:val="300"/>
        </w:trPr>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b/>
                <w:bCs/>
                <w:color w:val="E46D0A"/>
              </w:rPr>
            </w:pPr>
            <w:r w:rsidRPr="00A67C76">
              <w:rPr>
                <w:rFonts w:cs="Calibri"/>
                <w:b/>
                <w:bCs/>
                <w:color w:val="E46D0A"/>
              </w:rPr>
              <w:t>FRM</w:t>
            </w:r>
          </w:p>
        </w:tc>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rPr>
            </w:pPr>
            <w:r w:rsidRPr="00A67C76">
              <w:rPr>
                <w:rFonts w:cs="Calibri"/>
              </w:rPr>
              <w:t>Flood recruitment model</w:t>
            </w:r>
          </w:p>
        </w:tc>
      </w:tr>
      <w:tr w:rsidR="001D5D76" w:rsidRPr="00A67C76" w:rsidTr="001D5D76">
        <w:trPr>
          <w:trHeight w:val="300"/>
        </w:trPr>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b/>
                <w:bCs/>
                <w:color w:val="E46D0A"/>
              </w:rPr>
            </w:pPr>
            <w:r w:rsidRPr="00A67C76">
              <w:rPr>
                <w:rFonts w:cs="Calibri"/>
                <w:b/>
                <w:bCs/>
                <w:color w:val="E46D0A"/>
              </w:rPr>
              <w:t>LK-1</w:t>
            </w:r>
          </w:p>
        </w:tc>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rPr>
            </w:pPr>
            <w:r w:rsidRPr="00A67C76">
              <w:rPr>
                <w:rFonts w:cs="Calibri"/>
              </w:rPr>
              <w:t>Lock 1</w:t>
            </w:r>
          </w:p>
        </w:tc>
      </w:tr>
      <w:tr w:rsidR="001D5D76" w:rsidRPr="00A67C76" w:rsidTr="001D5D76">
        <w:trPr>
          <w:trHeight w:val="300"/>
        </w:trPr>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b/>
                <w:bCs/>
                <w:color w:val="E46D0A"/>
              </w:rPr>
            </w:pPr>
            <w:r w:rsidRPr="00A67C76">
              <w:rPr>
                <w:rFonts w:cs="Calibri"/>
                <w:b/>
                <w:bCs/>
                <w:color w:val="E46D0A"/>
              </w:rPr>
              <w:t>LK-6</w:t>
            </w:r>
          </w:p>
        </w:tc>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rPr>
            </w:pPr>
            <w:r w:rsidRPr="00A67C76">
              <w:rPr>
                <w:rFonts w:cs="Calibri"/>
              </w:rPr>
              <w:t>Lock 6</w:t>
            </w:r>
          </w:p>
        </w:tc>
      </w:tr>
      <w:tr w:rsidR="001D5D76" w:rsidRPr="00A67C76" w:rsidTr="001D5D76">
        <w:trPr>
          <w:trHeight w:val="300"/>
        </w:trPr>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b/>
                <w:bCs/>
                <w:color w:val="E46D0A"/>
              </w:rPr>
            </w:pPr>
            <w:r w:rsidRPr="00A67C76">
              <w:rPr>
                <w:rFonts w:cs="Calibri"/>
                <w:b/>
                <w:bCs/>
                <w:color w:val="E46D0A"/>
              </w:rPr>
              <w:t>LK-6A</w:t>
            </w:r>
          </w:p>
        </w:tc>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rPr>
            </w:pPr>
            <w:r w:rsidRPr="00A67C76">
              <w:rPr>
                <w:rFonts w:cs="Calibri"/>
              </w:rPr>
              <w:t>Lock 6 anabranch</w:t>
            </w:r>
          </w:p>
        </w:tc>
      </w:tr>
      <w:tr w:rsidR="001D5D76" w:rsidRPr="00A67C76" w:rsidTr="001D5D76">
        <w:trPr>
          <w:trHeight w:val="300"/>
        </w:trPr>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b/>
                <w:bCs/>
                <w:color w:val="E46D0A"/>
              </w:rPr>
            </w:pPr>
            <w:r w:rsidRPr="00A67C76">
              <w:rPr>
                <w:rFonts w:cs="Calibri"/>
                <w:b/>
                <w:bCs/>
                <w:color w:val="E46D0A"/>
              </w:rPr>
              <w:t>LMR</w:t>
            </w:r>
          </w:p>
        </w:tc>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rPr>
            </w:pPr>
            <w:r w:rsidRPr="00A67C76">
              <w:rPr>
                <w:rFonts w:cs="Calibri"/>
              </w:rPr>
              <w:t>Lower Murray River</w:t>
            </w:r>
          </w:p>
        </w:tc>
      </w:tr>
      <w:tr w:rsidR="001D5D76" w:rsidRPr="00A67C76" w:rsidTr="001D5D76">
        <w:trPr>
          <w:trHeight w:val="300"/>
        </w:trPr>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b/>
                <w:bCs/>
                <w:color w:val="E46D0A"/>
              </w:rPr>
            </w:pPr>
            <w:r w:rsidRPr="00A67C76">
              <w:rPr>
                <w:rFonts w:cs="Calibri"/>
                <w:b/>
                <w:bCs/>
                <w:color w:val="E46D0A"/>
              </w:rPr>
              <w:t>LFRH</w:t>
            </w:r>
          </w:p>
        </w:tc>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rPr>
            </w:pPr>
            <w:r w:rsidRPr="00A67C76">
              <w:rPr>
                <w:rFonts w:cs="Calibri"/>
              </w:rPr>
              <w:t>Low-flow recruitment model</w:t>
            </w:r>
          </w:p>
        </w:tc>
      </w:tr>
      <w:tr w:rsidR="001D5D76" w:rsidRPr="00A67C76" w:rsidTr="001D5D76">
        <w:trPr>
          <w:trHeight w:val="300"/>
        </w:trPr>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b/>
                <w:bCs/>
                <w:color w:val="E46D0A"/>
              </w:rPr>
            </w:pPr>
            <w:r w:rsidRPr="00A67C76">
              <w:rPr>
                <w:rFonts w:cs="Calibri"/>
                <w:b/>
                <w:bCs/>
                <w:color w:val="E46D0A"/>
              </w:rPr>
              <w:t>MDB</w:t>
            </w:r>
          </w:p>
        </w:tc>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rPr>
            </w:pPr>
            <w:r w:rsidRPr="00A67C76">
              <w:rPr>
                <w:rFonts w:cs="Calibri"/>
              </w:rPr>
              <w:t>Murray-Darling Basin</w:t>
            </w:r>
          </w:p>
        </w:tc>
      </w:tr>
      <w:tr w:rsidR="001D5D76" w:rsidRPr="00A67C76" w:rsidTr="001D5D76">
        <w:trPr>
          <w:trHeight w:val="300"/>
        </w:trPr>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b/>
                <w:bCs/>
                <w:color w:val="E46D0A"/>
              </w:rPr>
            </w:pPr>
            <w:r w:rsidRPr="00A67C76">
              <w:rPr>
                <w:rFonts w:cs="Calibri"/>
                <w:b/>
                <w:bCs/>
                <w:color w:val="E46D0A"/>
              </w:rPr>
              <w:t>NRMB</w:t>
            </w:r>
          </w:p>
        </w:tc>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rPr>
            </w:pPr>
            <w:r w:rsidRPr="00A67C76">
              <w:rPr>
                <w:rFonts w:cs="Calibri"/>
              </w:rPr>
              <w:t>Natural Resources Management Board</w:t>
            </w:r>
          </w:p>
        </w:tc>
      </w:tr>
      <w:tr w:rsidR="001D5D76" w:rsidRPr="00A67C76" w:rsidTr="001D5D76">
        <w:trPr>
          <w:trHeight w:val="300"/>
        </w:trPr>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b/>
                <w:bCs/>
                <w:color w:val="E46D0A"/>
              </w:rPr>
            </w:pPr>
            <w:r w:rsidRPr="00A67C76">
              <w:rPr>
                <w:rFonts w:cs="Calibri"/>
                <w:b/>
                <w:bCs/>
                <w:color w:val="E46D0A"/>
              </w:rPr>
              <w:t>Rim-FIM</w:t>
            </w:r>
          </w:p>
        </w:tc>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rPr>
            </w:pPr>
            <w:r w:rsidRPr="00A67C76">
              <w:rPr>
                <w:rFonts w:cs="Calibri"/>
              </w:rPr>
              <w:t>River Murray Flood Inundation Model</w:t>
            </w:r>
          </w:p>
        </w:tc>
      </w:tr>
      <w:tr w:rsidR="001D5D76" w:rsidRPr="00A67C76" w:rsidTr="001D5D76">
        <w:trPr>
          <w:trHeight w:val="300"/>
        </w:trPr>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b/>
                <w:bCs/>
                <w:color w:val="E46D0A"/>
              </w:rPr>
            </w:pPr>
            <w:r w:rsidRPr="00A67C76">
              <w:rPr>
                <w:rFonts w:cs="Calibri"/>
                <w:b/>
                <w:bCs/>
                <w:color w:val="E46D0A"/>
              </w:rPr>
              <w:t>TLM</w:t>
            </w:r>
          </w:p>
        </w:tc>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rPr>
            </w:pPr>
            <w:r w:rsidRPr="00A67C76">
              <w:rPr>
                <w:rFonts w:cs="Calibri"/>
              </w:rPr>
              <w:t>The Living Murray</w:t>
            </w:r>
          </w:p>
        </w:tc>
      </w:tr>
      <w:tr w:rsidR="001D5D76" w:rsidRPr="00A67C76" w:rsidTr="001D5D76">
        <w:trPr>
          <w:trHeight w:val="300"/>
        </w:trPr>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b/>
                <w:bCs/>
                <w:color w:val="E46D0A"/>
              </w:rPr>
            </w:pPr>
            <w:r w:rsidRPr="00A67C76">
              <w:rPr>
                <w:rFonts w:cs="Calibri"/>
                <w:b/>
                <w:bCs/>
                <w:color w:val="E46D0A"/>
              </w:rPr>
              <w:t>TLMW</w:t>
            </w:r>
          </w:p>
        </w:tc>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rPr>
            </w:pPr>
            <w:r w:rsidRPr="00A67C76">
              <w:rPr>
                <w:rFonts w:cs="Calibri"/>
              </w:rPr>
              <w:t>The Living Murray Water</w:t>
            </w:r>
          </w:p>
        </w:tc>
      </w:tr>
      <w:tr w:rsidR="001D5D76" w:rsidRPr="00A67C76" w:rsidTr="001D5D76">
        <w:trPr>
          <w:trHeight w:val="300"/>
        </w:trPr>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b/>
                <w:bCs/>
                <w:color w:val="E46D0A"/>
              </w:rPr>
            </w:pPr>
            <w:r w:rsidRPr="00A67C76">
              <w:rPr>
                <w:rFonts w:cs="Calibri"/>
                <w:b/>
                <w:bCs/>
                <w:color w:val="E46D0A"/>
              </w:rPr>
              <w:t>SAMDB</w:t>
            </w:r>
          </w:p>
        </w:tc>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rPr>
            </w:pPr>
            <w:r w:rsidRPr="00A67C76">
              <w:rPr>
                <w:rFonts w:cs="Calibri"/>
              </w:rPr>
              <w:t>South Australian Murray-Darling Basin</w:t>
            </w:r>
          </w:p>
        </w:tc>
      </w:tr>
      <w:tr w:rsidR="001D5D76" w:rsidRPr="00A67C76" w:rsidTr="001D5D76">
        <w:trPr>
          <w:trHeight w:val="300"/>
        </w:trPr>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b/>
                <w:bCs/>
                <w:color w:val="E46D0A"/>
              </w:rPr>
            </w:pPr>
            <w:r w:rsidRPr="00A67C76">
              <w:rPr>
                <w:rFonts w:cs="Calibri"/>
                <w:b/>
                <w:bCs/>
                <w:color w:val="E46D0A"/>
              </w:rPr>
              <w:t>SARDI</w:t>
            </w:r>
          </w:p>
        </w:tc>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rPr>
            </w:pPr>
            <w:r w:rsidRPr="00A67C76">
              <w:rPr>
                <w:rFonts w:cs="Calibri"/>
              </w:rPr>
              <w:t>South Australian Research and Development Institute</w:t>
            </w:r>
          </w:p>
        </w:tc>
      </w:tr>
      <w:tr w:rsidR="001D5D76" w:rsidRPr="00A67C76" w:rsidTr="001D5D76">
        <w:trPr>
          <w:trHeight w:val="300"/>
        </w:trPr>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b/>
                <w:bCs/>
                <w:color w:val="E46D0A"/>
              </w:rPr>
            </w:pPr>
            <w:r w:rsidRPr="00A67C76">
              <w:rPr>
                <w:rFonts w:cs="Calibri"/>
                <w:b/>
                <w:bCs/>
                <w:color w:val="E46D0A"/>
              </w:rPr>
              <w:t>TL</w:t>
            </w:r>
          </w:p>
        </w:tc>
        <w:tc>
          <w:tcPr>
            <w:tcW w:w="0" w:type="auto"/>
            <w:tcBorders>
              <w:top w:val="nil"/>
              <w:left w:val="nil"/>
              <w:bottom w:val="nil"/>
              <w:right w:val="nil"/>
            </w:tcBorders>
            <w:shd w:val="clear" w:color="auto" w:fill="auto"/>
            <w:noWrap/>
            <w:vAlign w:val="bottom"/>
            <w:hideMark/>
          </w:tcPr>
          <w:p w:rsidR="001D5D76" w:rsidRPr="00A67C76" w:rsidRDefault="001D5D76" w:rsidP="000B3877">
            <w:pPr>
              <w:spacing w:line="240" w:lineRule="auto"/>
              <w:contextualSpacing/>
              <w:rPr>
                <w:rFonts w:cs="Calibri"/>
              </w:rPr>
            </w:pPr>
            <w:r w:rsidRPr="00A67C76">
              <w:rPr>
                <w:rFonts w:cs="Calibri"/>
              </w:rPr>
              <w:t>Total length</w:t>
            </w:r>
          </w:p>
        </w:tc>
      </w:tr>
    </w:tbl>
    <w:p w:rsidR="00262EDD" w:rsidRPr="00A67C76" w:rsidRDefault="00262EDD" w:rsidP="00262EDD">
      <w:pPr>
        <w:pStyle w:val="Heading3"/>
      </w:pPr>
    </w:p>
    <w:p w:rsidR="001D5D76" w:rsidRPr="00A67C76" w:rsidRDefault="00D31C3C" w:rsidP="00262EDD">
      <w:pPr>
        <w:rPr>
          <w:b/>
          <w:i/>
          <w:sz w:val="24"/>
          <w:szCs w:val="24"/>
        </w:rPr>
      </w:pPr>
      <w:r w:rsidRPr="00A67C76">
        <w:rPr>
          <w:b/>
          <w:i/>
          <w:sz w:val="24"/>
          <w:szCs w:val="24"/>
        </w:rPr>
        <w:t>Genetics abbreviations</w:t>
      </w:r>
    </w:p>
    <w:tbl>
      <w:tblPr>
        <w:tblW w:w="0" w:type="auto"/>
        <w:tblInd w:w="91" w:type="dxa"/>
        <w:tblLook w:val="04A0"/>
      </w:tblPr>
      <w:tblGrid>
        <w:gridCol w:w="1330"/>
        <w:gridCol w:w="3192"/>
      </w:tblGrid>
      <w:tr w:rsidR="00D31C3C" w:rsidRPr="00A67C76" w:rsidTr="0015634E">
        <w:trPr>
          <w:trHeight w:val="300"/>
        </w:trPr>
        <w:tc>
          <w:tcPr>
            <w:tcW w:w="0" w:type="auto"/>
            <w:tcBorders>
              <w:top w:val="nil"/>
              <w:left w:val="nil"/>
              <w:bottom w:val="nil"/>
              <w:right w:val="nil"/>
            </w:tcBorders>
            <w:shd w:val="clear" w:color="auto" w:fill="auto"/>
            <w:noWrap/>
            <w:vAlign w:val="bottom"/>
            <w:hideMark/>
          </w:tcPr>
          <w:p w:rsidR="00D31C3C" w:rsidRPr="00A67C76" w:rsidRDefault="00D31C3C" w:rsidP="000B3877">
            <w:pPr>
              <w:spacing w:line="240" w:lineRule="auto"/>
              <w:contextualSpacing/>
              <w:rPr>
                <w:rFonts w:cs="Calibri"/>
                <w:b/>
                <w:bCs/>
                <w:color w:val="E46D0A"/>
                <w:szCs w:val="22"/>
              </w:rPr>
            </w:pPr>
            <w:r w:rsidRPr="00A67C76">
              <w:rPr>
                <w:rFonts w:cs="Calibri"/>
                <w:b/>
                <w:bCs/>
                <w:color w:val="E46D0A"/>
                <w:szCs w:val="22"/>
              </w:rPr>
              <w:t>ALA</w:t>
            </w:r>
          </w:p>
        </w:tc>
        <w:tc>
          <w:tcPr>
            <w:tcW w:w="0" w:type="auto"/>
            <w:tcBorders>
              <w:top w:val="nil"/>
              <w:left w:val="nil"/>
              <w:bottom w:val="nil"/>
              <w:right w:val="nil"/>
            </w:tcBorders>
            <w:shd w:val="clear" w:color="auto" w:fill="auto"/>
            <w:noWrap/>
            <w:vAlign w:val="bottom"/>
            <w:hideMark/>
          </w:tcPr>
          <w:p w:rsidR="00D31C3C" w:rsidRPr="00A67C76" w:rsidRDefault="00D31C3C" w:rsidP="000B3877">
            <w:pPr>
              <w:spacing w:line="240" w:lineRule="auto"/>
              <w:contextualSpacing/>
              <w:rPr>
                <w:rFonts w:cs="Calibri"/>
                <w:szCs w:val="22"/>
              </w:rPr>
            </w:pPr>
            <w:r w:rsidRPr="00A67C76">
              <w:rPr>
                <w:rFonts w:cs="Arial"/>
                <w:szCs w:val="22"/>
              </w:rPr>
              <w:t>α-Linoleic acid</w:t>
            </w:r>
          </w:p>
        </w:tc>
      </w:tr>
      <w:tr w:rsidR="00D31C3C" w:rsidRPr="00A67C76" w:rsidTr="0015634E">
        <w:trPr>
          <w:trHeight w:val="300"/>
        </w:trPr>
        <w:tc>
          <w:tcPr>
            <w:tcW w:w="0" w:type="auto"/>
            <w:tcBorders>
              <w:top w:val="nil"/>
              <w:left w:val="nil"/>
              <w:bottom w:val="nil"/>
              <w:right w:val="nil"/>
            </w:tcBorders>
            <w:shd w:val="clear" w:color="auto" w:fill="auto"/>
            <w:noWrap/>
            <w:vAlign w:val="bottom"/>
            <w:hideMark/>
          </w:tcPr>
          <w:p w:rsidR="00D31C3C" w:rsidRPr="00A67C76" w:rsidRDefault="00D31C3C" w:rsidP="000B3877">
            <w:pPr>
              <w:spacing w:line="240" w:lineRule="auto"/>
              <w:contextualSpacing/>
              <w:rPr>
                <w:rFonts w:cs="Calibri"/>
                <w:b/>
                <w:bCs/>
                <w:color w:val="E46D0A"/>
                <w:szCs w:val="22"/>
              </w:rPr>
            </w:pPr>
            <w:r w:rsidRPr="00A67C76">
              <w:rPr>
                <w:rFonts w:cs="Calibri"/>
                <w:b/>
                <w:bCs/>
                <w:color w:val="E46D0A"/>
                <w:szCs w:val="22"/>
              </w:rPr>
              <w:t>ARA</w:t>
            </w:r>
          </w:p>
        </w:tc>
        <w:tc>
          <w:tcPr>
            <w:tcW w:w="0" w:type="auto"/>
            <w:tcBorders>
              <w:top w:val="nil"/>
              <w:left w:val="nil"/>
              <w:bottom w:val="nil"/>
              <w:right w:val="nil"/>
            </w:tcBorders>
            <w:shd w:val="clear" w:color="auto" w:fill="auto"/>
            <w:noWrap/>
            <w:vAlign w:val="bottom"/>
            <w:hideMark/>
          </w:tcPr>
          <w:p w:rsidR="00D31C3C" w:rsidRPr="00A67C76" w:rsidRDefault="00D31C3C" w:rsidP="000B3877">
            <w:pPr>
              <w:spacing w:line="240" w:lineRule="auto"/>
              <w:contextualSpacing/>
              <w:rPr>
                <w:rFonts w:cs="Calibri"/>
                <w:szCs w:val="22"/>
              </w:rPr>
            </w:pPr>
            <w:r w:rsidRPr="00A67C76">
              <w:rPr>
                <w:rStyle w:val="st"/>
                <w:rFonts w:cs="Arial"/>
                <w:color w:val="222222"/>
                <w:szCs w:val="22"/>
              </w:rPr>
              <w:t>Arachidonic acid</w:t>
            </w:r>
          </w:p>
        </w:tc>
      </w:tr>
      <w:tr w:rsidR="00D31C3C" w:rsidRPr="00A67C76" w:rsidTr="0015634E">
        <w:trPr>
          <w:trHeight w:val="300"/>
        </w:trPr>
        <w:tc>
          <w:tcPr>
            <w:tcW w:w="0" w:type="auto"/>
            <w:tcBorders>
              <w:top w:val="nil"/>
              <w:left w:val="nil"/>
              <w:bottom w:val="nil"/>
              <w:right w:val="nil"/>
            </w:tcBorders>
            <w:shd w:val="clear" w:color="auto" w:fill="auto"/>
            <w:noWrap/>
            <w:vAlign w:val="bottom"/>
            <w:hideMark/>
          </w:tcPr>
          <w:p w:rsidR="00D31C3C" w:rsidRPr="00A67C76" w:rsidRDefault="00D31C3C" w:rsidP="000B3877">
            <w:pPr>
              <w:spacing w:line="240" w:lineRule="auto"/>
              <w:contextualSpacing/>
              <w:rPr>
                <w:rFonts w:cs="Calibri"/>
                <w:b/>
                <w:bCs/>
                <w:color w:val="E46D0A"/>
                <w:szCs w:val="22"/>
              </w:rPr>
            </w:pPr>
            <w:r w:rsidRPr="00A67C76">
              <w:rPr>
                <w:rFonts w:cs="Calibri"/>
                <w:b/>
                <w:bCs/>
                <w:color w:val="E46D0A"/>
                <w:szCs w:val="22"/>
              </w:rPr>
              <w:t>EPA (acid)</w:t>
            </w:r>
          </w:p>
        </w:tc>
        <w:tc>
          <w:tcPr>
            <w:tcW w:w="0" w:type="auto"/>
            <w:tcBorders>
              <w:top w:val="nil"/>
              <w:left w:val="nil"/>
              <w:bottom w:val="nil"/>
              <w:right w:val="nil"/>
            </w:tcBorders>
            <w:shd w:val="clear" w:color="auto" w:fill="auto"/>
            <w:noWrap/>
            <w:vAlign w:val="bottom"/>
            <w:hideMark/>
          </w:tcPr>
          <w:p w:rsidR="00D31C3C" w:rsidRPr="00A67C76" w:rsidRDefault="00D31C3C" w:rsidP="000B3877">
            <w:pPr>
              <w:spacing w:line="240" w:lineRule="auto"/>
              <w:contextualSpacing/>
              <w:rPr>
                <w:rFonts w:cs="Calibri"/>
                <w:szCs w:val="22"/>
              </w:rPr>
            </w:pPr>
            <w:r w:rsidRPr="00A67C76">
              <w:rPr>
                <w:szCs w:val="22"/>
              </w:rPr>
              <w:t>Eicosapentaenoic acid</w:t>
            </w:r>
          </w:p>
        </w:tc>
      </w:tr>
      <w:tr w:rsidR="00D31C3C" w:rsidRPr="00A67C76" w:rsidTr="0015634E">
        <w:trPr>
          <w:trHeight w:val="300"/>
        </w:trPr>
        <w:tc>
          <w:tcPr>
            <w:tcW w:w="0" w:type="auto"/>
            <w:tcBorders>
              <w:top w:val="nil"/>
              <w:left w:val="nil"/>
              <w:bottom w:val="nil"/>
              <w:right w:val="nil"/>
            </w:tcBorders>
            <w:shd w:val="clear" w:color="auto" w:fill="auto"/>
            <w:noWrap/>
            <w:vAlign w:val="bottom"/>
            <w:hideMark/>
          </w:tcPr>
          <w:p w:rsidR="00D31C3C" w:rsidRPr="00A67C76" w:rsidRDefault="00D31C3C" w:rsidP="000B3877">
            <w:pPr>
              <w:spacing w:line="240" w:lineRule="auto"/>
              <w:contextualSpacing/>
              <w:rPr>
                <w:rFonts w:cs="Calibri"/>
                <w:b/>
                <w:bCs/>
                <w:color w:val="E46D0A"/>
                <w:szCs w:val="22"/>
              </w:rPr>
            </w:pPr>
            <w:r w:rsidRPr="00A67C76">
              <w:rPr>
                <w:rFonts w:cs="Calibri"/>
                <w:b/>
                <w:bCs/>
                <w:color w:val="E46D0A"/>
                <w:szCs w:val="22"/>
              </w:rPr>
              <w:t>DHA</w:t>
            </w:r>
          </w:p>
        </w:tc>
        <w:tc>
          <w:tcPr>
            <w:tcW w:w="0" w:type="auto"/>
            <w:tcBorders>
              <w:top w:val="nil"/>
              <w:left w:val="nil"/>
              <w:bottom w:val="nil"/>
              <w:right w:val="nil"/>
            </w:tcBorders>
            <w:shd w:val="clear" w:color="auto" w:fill="auto"/>
            <w:noWrap/>
            <w:vAlign w:val="bottom"/>
            <w:hideMark/>
          </w:tcPr>
          <w:p w:rsidR="00D31C3C" w:rsidRPr="00A67C76" w:rsidRDefault="00D31C3C" w:rsidP="000B3877">
            <w:pPr>
              <w:spacing w:line="240" w:lineRule="auto"/>
              <w:contextualSpacing/>
              <w:rPr>
                <w:rFonts w:cs="Calibri"/>
                <w:szCs w:val="22"/>
              </w:rPr>
            </w:pPr>
            <w:r w:rsidRPr="00A67C76">
              <w:rPr>
                <w:rStyle w:val="Emphasis"/>
                <w:rFonts w:cs="Arial"/>
                <w:color w:val="222222"/>
                <w:szCs w:val="22"/>
              </w:rPr>
              <w:t>Docosahexaenoic</w:t>
            </w:r>
            <w:r w:rsidRPr="00A67C76">
              <w:rPr>
                <w:rStyle w:val="st"/>
                <w:rFonts w:cs="Arial"/>
                <w:color w:val="222222"/>
                <w:szCs w:val="22"/>
              </w:rPr>
              <w:t xml:space="preserve"> acid</w:t>
            </w:r>
          </w:p>
        </w:tc>
      </w:tr>
      <w:tr w:rsidR="00D31C3C" w:rsidRPr="00A67C76" w:rsidTr="0015634E">
        <w:trPr>
          <w:trHeight w:val="300"/>
        </w:trPr>
        <w:tc>
          <w:tcPr>
            <w:tcW w:w="0" w:type="auto"/>
            <w:tcBorders>
              <w:top w:val="nil"/>
              <w:left w:val="nil"/>
              <w:bottom w:val="nil"/>
              <w:right w:val="nil"/>
            </w:tcBorders>
            <w:shd w:val="clear" w:color="auto" w:fill="auto"/>
            <w:noWrap/>
            <w:vAlign w:val="bottom"/>
            <w:hideMark/>
          </w:tcPr>
          <w:p w:rsidR="00D31C3C" w:rsidRPr="00A67C76" w:rsidRDefault="00D31C3C" w:rsidP="000B3877">
            <w:pPr>
              <w:spacing w:line="240" w:lineRule="auto"/>
              <w:contextualSpacing/>
              <w:rPr>
                <w:rFonts w:cs="Calibri"/>
                <w:b/>
                <w:bCs/>
                <w:color w:val="E46D0A"/>
                <w:szCs w:val="22"/>
              </w:rPr>
            </w:pPr>
            <w:r w:rsidRPr="00A67C76">
              <w:rPr>
                <w:rFonts w:cs="Calibri"/>
                <w:b/>
                <w:bCs/>
                <w:color w:val="E46D0A"/>
                <w:szCs w:val="22"/>
              </w:rPr>
              <w:t>LA</w:t>
            </w:r>
          </w:p>
        </w:tc>
        <w:tc>
          <w:tcPr>
            <w:tcW w:w="0" w:type="auto"/>
            <w:tcBorders>
              <w:top w:val="nil"/>
              <w:left w:val="nil"/>
              <w:bottom w:val="nil"/>
              <w:right w:val="nil"/>
            </w:tcBorders>
            <w:shd w:val="clear" w:color="auto" w:fill="auto"/>
            <w:noWrap/>
            <w:vAlign w:val="bottom"/>
            <w:hideMark/>
          </w:tcPr>
          <w:p w:rsidR="00D31C3C" w:rsidRPr="00A67C76" w:rsidRDefault="00D31C3C" w:rsidP="000B3877">
            <w:pPr>
              <w:spacing w:line="240" w:lineRule="auto"/>
              <w:contextualSpacing/>
              <w:rPr>
                <w:rFonts w:cs="Calibri"/>
                <w:szCs w:val="22"/>
              </w:rPr>
            </w:pPr>
            <w:r w:rsidRPr="00A67C76">
              <w:rPr>
                <w:szCs w:val="22"/>
              </w:rPr>
              <w:t>Linoleic acid</w:t>
            </w:r>
          </w:p>
        </w:tc>
      </w:tr>
      <w:tr w:rsidR="00D31C3C" w:rsidRPr="00A67C76" w:rsidTr="0015634E">
        <w:trPr>
          <w:trHeight w:val="300"/>
        </w:trPr>
        <w:tc>
          <w:tcPr>
            <w:tcW w:w="0" w:type="auto"/>
            <w:tcBorders>
              <w:top w:val="nil"/>
              <w:left w:val="nil"/>
              <w:bottom w:val="nil"/>
              <w:right w:val="nil"/>
            </w:tcBorders>
            <w:shd w:val="clear" w:color="auto" w:fill="auto"/>
            <w:noWrap/>
            <w:vAlign w:val="bottom"/>
            <w:hideMark/>
          </w:tcPr>
          <w:p w:rsidR="00D31C3C" w:rsidRPr="00A67C76" w:rsidRDefault="00D31C3C" w:rsidP="000B3877">
            <w:pPr>
              <w:spacing w:line="240" w:lineRule="auto"/>
              <w:contextualSpacing/>
              <w:rPr>
                <w:rFonts w:cs="Calibri"/>
                <w:b/>
                <w:bCs/>
                <w:color w:val="E46D0A"/>
                <w:szCs w:val="22"/>
              </w:rPr>
            </w:pPr>
            <w:r w:rsidRPr="00A67C76">
              <w:rPr>
                <w:rFonts w:cs="Calibri"/>
                <w:b/>
                <w:bCs/>
                <w:color w:val="E46D0A"/>
                <w:szCs w:val="22"/>
              </w:rPr>
              <w:t>OTU</w:t>
            </w:r>
          </w:p>
        </w:tc>
        <w:tc>
          <w:tcPr>
            <w:tcW w:w="0" w:type="auto"/>
            <w:tcBorders>
              <w:top w:val="nil"/>
              <w:left w:val="nil"/>
              <w:bottom w:val="nil"/>
              <w:right w:val="nil"/>
            </w:tcBorders>
            <w:shd w:val="clear" w:color="auto" w:fill="auto"/>
            <w:noWrap/>
            <w:vAlign w:val="bottom"/>
            <w:hideMark/>
          </w:tcPr>
          <w:p w:rsidR="00D31C3C" w:rsidRPr="00A67C76" w:rsidRDefault="00D31C3C" w:rsidP="000B3877">
            <w:pPr>
              <w:spacing w:line="240" w:lineRule="auto"/>
              <w:contextualSpacing/>
              <w:rPr>
                <w:rFonts w:cs="Calibri"/>
                <w:szCs w:val="22"/>
              </w:rPr>
            </w:pPr>
            <w:r w:rsidRPr="00A67C76">
              <w:rPr>
                <w:rFonts w:cs="Calibri"/>
                <w:szCs w:val="22"/>
              </w:rPr>
              <w:t>Operational Taxonomic Unit</w:t>
            </w:r>
          </w:p>
        </w:tc>
      </w:tr>
      <w:tr w:rsidR="00D31C3C" w:rsidRPr="00A67C76" w:rsidTr="0015634E">
        <w:trPr>
          <w:trHeight w:val="300"/>
        </w:trPr>
        <w:tc>
          <w:tcPr>
            <w:tcW w:w="0" w:type="auto"/>
            <w:tcBorders>
              <w:top w:val="nil"/>
              <w:left w:val="nil"/>
              <w:bottom w:val="nil"/>
              <w:right w:val="nil"/>
            </w:tcBorders>
            <w:shd w:val="clear" w:color="auto" w:fill="auto"/>
            <w:noWrap/>
            <w:vAlign w:val="bottom"/>
            <w:hideMark/>
          </w:tcPr>
          <w:p w:rsidR="00D31C3C" w:rsidRPr="00A67C76" w:rsidRDefault="00D31C3C" w:rsidP="000B3877">
            <w:pPr>
              <w:spacing w:line="240" w:lineRule="auto"/>
              <w:contextualSpacing/>
              <w:rPr>
                <w:rFonts w:cs="Calibri"/>
                <w:b/>
                <w:bCs/>
                <w:color w:val="E46D0A"/>
                <w:szCs w:val="22"/>
              </w:rPr>
            </w:pPr>
            <w:r w:rsidRPr="00A67C76">
              <w:rPr>
                <w:rFonts w:cs="Calibri"/>
                <w:b/>
                <w:bCs/>
                <w:color w:val="E46D0A"/>
                <w:szCs w:val="22"/>
              </w:rPr>
              <w:t>PCR</w:t>
            </w:r>
          </w:p>
        </w:tc>
        <w:tc>
          <w:tcPr>
            <w:tcW w:w="0" w:type="auto"/>
            <w:tcBorders>
              <w:top w:val="nil"/>
              <w:left w:val="nil"/>
              <w:bottom w:val="nil"/>
              <w:right w:val="nil"/>
            </w:tcBorders>
            <w:shd w:val="clear" w:color="auto" w:fill="auto"/>
            <w:noWrap/>
            <w:vAlign w:val="bottom"/>
            <w:hideMark/>
          </w:tcPr>
          <w:p w:rsidR="00D31C3C" w:rsidRPr="00A67C76" w:rsidRDefault="00D31C3C" w:rsidP="000B3877">
            <w:pPr>
              <w:spacing w:line="240" w:lineRule="auto"/>
              <w:contextualSpacing/>
              <w:rPr>
                <w:rFonts w:cs="Calibri"/>
                <w:szCs w:val="22"/>
              </w:rPr>
            </w:pPr>
            <w:r w:rsidRPr="00A67C76">
              <w:rPr>
                <w:szCs w:val="22"/>
              </w:rPr>
              <w:t>Polymerase Chain Reaction</w:t>
            </w:r>
          </w:p>
        </w:tc>
      </w:tr>
    </w:tbl>
    <w:p w:rsidR="00F43F9C" w:rsidRPr="00A67C76" w:rsidRDefault="00F43F9C">
      <w:pPr>
        <w:spacing w:before="0" w:after="200" w:line="276" w:lineRule="auto"/>
        <w:rPr>
          <w:rFonts w:eastAsiaTheme="majorEastAsia" w:cstheme="majorBidi"/>
          <w:b/>
          <w:bCs/>
          <w:caps/>
          <w:color w:val="1F497D" w:themeColor="text2"/>
          <w:sz w:val="32"/>
          <w:szCs w:val="28"/>
        </w:rPr>
      </w:pPr>
    </w:p>
    <w:sectPr w:rsidR="00F43F9C" w:rsidRPr="00A67C76" w:rsidSect="00F020E5">
      <w:footerReference w:type="default" r:id="rId107"/>
      <w:pgSz w:w="11900" w:h="16840"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79DB" w:rsidRDefault="00F879DB" w:rsidP="00E66522">
      <w:r>
        <w:separator/>
      </w:r>
    </w:p>
  </w:endnote>
  <w:endnote w:type="continuationSeparator" w:id="0">
    <w:p w:rsidR="00F879DB" w:rsidRDefault="00F879DB" w:rsidP="00E665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ill Sans MT">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Frutiger LT Std 45 Light">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TSYN">
    <w:altName w:val="Arial Unicode MS"/>
    <w:panose1 w:val="00000000000000000000"/>
    <w:charset w:val="81"/>
    <w:family w:val="auto"/>
    <w:notTrueType/>
    <w:pitch w:val="default"/>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AdvP41153C">
    <w:altName w:val="Arial Unicode MS"/>
    <w:panose1 w:val="00000000000000000000"/>
    <w:charset w:val="81"/>
    <w:family w:val="auto"/>
    <w:notTrueType/>
    <w:pitch w:val="default"/>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A3B" w:rsidRDefault="00C03A3B">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871" w:rsidRDefault="00461871">
    <w:pPr>
      <w:pStyle w:val="Footer"/>
      <w:jc w:val="right"/>
    </w:pPr>
    <w:r w:rsidRPr="00B07D23">
      <w:t xml:space="preserve">Ye </w:t>
    </w:r>
    <w:r w:rsidRPr="00B07D23">
      <w:rPr>
        <w:i/>
      </w:rPr>
      <w:t>et al.</w:t>
    </w:r>
    <w:r w:rsidRPr="00B07D23">
      <w:t xml:space="preserve"> 2014</w:t>
    </w:r>
    <w:r>
      <w:tab/>
    </w:r>
    <w:r w:rsidRPr="00B07D23">
      <w:t xml:space="preserve">CEW Report 2. </w:t>
    </w:r>
    <w:r w:rsidRPr="00B07D23">
      <w:rPr>
        <w:i/>
      </w:rPr>
      <w:t>Lower Murray River, 2012</w:t>
    </w:r>
    <w:r>
      <w:rPr>
        <w:i/>
      </w:rPr>
      <w:t>–</w:t>
    </w:r>
    <w:r w:rsidRPr="00B07D23">
      <w:rPr>
        <w:i/>
      </w:rPr>
      <w:t>13</w:t>
    </w:r>
    <w:sdt>
      <w:sdtPr>
        <w:id w:val="-464039142"/>
        <w:docPartObj>
          <w:docPartGallery w:val="Page Numbers (Bottom of Page)"/>
          <w:docPartUnique/>
        </w:docPartObj>
      </w:sdtPr>
      <w:sdtContent>
        <w:r>
          <w:tab/>
        </w:r>
        <w:r w:rsidR="002E6077">
          <w:fldChar w:fldCharType="begin"/>
        </w:r>
        <w:r>
          <w:instrText xml:space="preserve"> PAGE   \* MERGEFORMAT </w:instrText>
        </w:r>
        <w:r w:rsidR="002E6077">
          <w:fldChar w:fldCharType="separate"/>
        </w:r>
        <w:r w:rsidR="00C03A3B">
          <w:rPr>
            <w:noProof/>
          </w:rPr>
          <w:t>39</w:t>
        </w:r>
        <w:r w:rsidR="002E6077">
          <w:rPr>
            <w:noProof/>
          </w:rPr>
          <w:fldChar w:fldCharType="end"/>
        </w:r>
      </w:sdtContent>
    </w:sdt>
  </w:p>
  <w:p w:rsidR="00461871" w:rsidRDefault="00461871">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871" w:rsidRDefault="00461871">
    <w:pPr>
      <w:pStyle w:val="Footer"/>
      <w:jc w:val="right"/>
    </w:pPr>
    <w:r w:rsidRPr="00B07D23">
      <w:t xml:space="preserve">Ye </w:t>
    </w:r>
    <w:r w:rsidRPr="00B07D23">
      <w:rPr>
        <w:i/>
      </w:rPr>
      <w:t>et al.</w:t>
    </w:r>
    <w:r w:rsidRPr="00B07D23">
      <w:t xml:space="preserve"> 2014</w:t>
    </w:r>
    <w:r>
      <w:tab/>
    </w:r>
    <w:r w:rsidRPr="00B07D23">
      <w:t xml:space="preserve">CEW Report 2. </w:t>
    </w:r>
    <w:r w:rsidRPr="00B07D23">
      <w:rPr>
        <w:i/>
      </w:rPr>
      <w:t>Lower Murray River, 2012</w:t>
    </w:r>
    <w:r>
      <w:rPr>
        <w:i/>
      </w:rPr>
      <w:t>–</w:t>
    </w:r>
    <w:r w:rsidRPr="00B07D23">
      <w:rPr>
        <w:i/>
      </w:rPr>
      <w:t>13</w:t>
    </w:r>
    <w:sdt>
      <w:sdtPr>
        <w:id w:val="1575779369"/>
        <w:docPartObj>
          <w:docPartGallery w:val="Page Numbers (Bottom of Page)"/>
          <w:docPartUnique/>
        </w:docPartObj>
      </w:sdtPr>
      <w:sdtContent>
        <w:r>
          <w:tab/>
        </w:r>
        <w:r w:rsidR="002E6077">
          <w:fldChar w:fldCharType="begin"/>
        </w:r>
        <w:r>
          <w:instrText xml:space="preserve"> PAGE   \* MERGEFORMAT </w:instrText>
        </w:r>
        <w:r w:rsidR="002E6077">
          <w:fldChar w:fldCharType="separate"/>
        </w:r>
        <w:r w:rsidR="00C03A3B">
          <w:rPr>
            <w:noProof/>
          </w:rPr>
          <w:t>72</w:t>
        </w:r>
        <w:r w:rsidR="002E6077">
          <w:rPr>
            <w:noProof/>
          </w:rPr>
          <w:fldChar w:fldCharType="end"/>
        </w:r>
      </w:sdtContent>
    </w:sdt>
  </w:p>
  <w:p w:rsidR="00461871" w:rsidRDefault="00461871">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871" w:rsidRDefault="00461871">
    <w:pPr>
      <w:pStyle w:val="Footer"/>
      <w:jc w:val="right"/>
    </w:pPr>
    <w:r w:rsidRPr="00B07D23">
      <w:t xml:space="preserve">Ye </w:t>
    </w:r>
    <w:r w:rsidRPr="00B07D23">
      <w:rPr>
        <w:i/>
      </w:rPr>
      <w:t>et al.</w:t>
    </w:r>
    <w:r w:rsidRPr="00B07D23">
      <w:t xml:space="preserve"> 2014</w:t>
    </w:r>
    <w:r>
      <w:tab/>
    </w:r>
    <w:r>
      <w:tab/>
    </w:r>
    <w:r w:rsidRPr="00B07D23">
      <w:t xml:space="preserve">CEW Report 2. </w:t>
    </w:r>
    <w:r w:rsidRPr="00B07D23">
      <w:rPr>
        <w:i/>
      </w:rPr>
      <w:t>Lower Murray River, 2012</w:t>
    </w:r>
    <w:r>
      <w:rPr>
        <w:i/>
      </w:rPr>
      <w:t>–</w:t>
    </w:r>
    <w:r w:rsidRPr="00B07D23">
      <w:rPr>
        <w:i/>
      </w:rPr>
      <w:t>13</w:t>
    </w:r>
    <w:sdt>
      <w:sdtPr>
        <w:id w:val="-1896890290"/>
        <w:docPartObj>
          <w:docPartGallery w:val="Page Numbers (Bottom of Page)"/>
          <w:docPartUnique/>
        </w:docPartObj>
      </w:sdtPr>
      <w:sdtContent>
        <w:r>
          <w:tab/>
        </w:r>
        <w:r>
          <w:tab/>
        </w:r>
        <w:r>
          <w:tab/>
        </w:r>
        <w:r>
          <w:tab/>
        </w:r>
        <w:r>
          <w:tab/>
        </w:r>
        <w:r w:rsidR="002E6077">
          <w:fldChar w:fldCharType="begin"/>
        </w:r>
        <w:r>
          <w:instrText xml:space="preserve"> PAGE   \* MERGEFORMAT </w:instrText>
        </w:r>
        <w:r w:rsidR="002E6077">
          <w:fldChar w:fldCharType="separate"/>
        </w:r>
        <w:r w:rsidR="00C03A3B">
          <w:rPr>
            <w:noProof/>
          </w:rPr>
          <w:t>73</w:t>
        </w:r>
        <w:r w:rsidR="002E6077">
          <w:rPr>
            <w:noProof/>
          </w:rPr>
          <w:fldChar w:fldCharType="end"/>
        </w:r>
      </w:sdtContent>
    </w:sdt>
  </w:p>
  <w:p w:rsidR="00461871" w:rsidRDefault="00461871">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871" w:rsidRDefault="00461871">
    <w:pPr>
      <w:pStyle w:val="Footer"/>
      <w:jc w:val="right"/>
    </w:pPr>
    <w:r w:rsidRPr="00B07D23">
      <w:t xml:space="preserve">Ye </w:t>
    </w:r>
    <w:r w:rsidRPr="00B07D23">
      <w:rPr>
        <w:i/>
      </w:rPr>
      <w:t>et al.</w:t>
    </w:r>
    <w:r w:rsidRPr="00B07D23">
      <w:t xml:space="preserve"> 2014</w:t>
    </w:r>
    <w:r>
      <w:tab/>
    </w:r>
    <w:r>
      <w:tab/>
    </w:r>
    <w:r w:rsidRPr="00B07D23">
      <w:t xml:space="preserve">CEW Report 2. </w:t>
    </w:r>
    <w:r w:rsidRPr="00B07D23">
      <w:rPr>
        <w:i/>
      </w:rPr>
      <w:t>Lower Murray River, 2012</w:t>
    </w:r>
    <w:r>
      <w:rPr>
        <w:i/>
      </w:rPr>
      <w:t>–</w:t>
    </w:r>
    <w:r w:rsidRPr="00B07D23">
      <w:rPr>
        <w:i/>
      </w:rPr>
      <w:t>13</w:t>
    </w:r>
    <w:sdt>
      <w:sdtPr>
        <w:id w:val="-500052927"/>
        <w:docPartObj>
          <w:docPartGallery w:val="Page Numbers (Bottom of Page)"/>
          <w:docPartUnique/>
        </w:docPartObj>
      </w:sdtPr>
      <w:sdtContent>
        <w:r>
          <w:tab/>
        </w:r>
        <w:r>
          <w:tab/>
        </w:r>
        <w:r>
          <w:tab/>
        </w:r>
        <w:r>
          <w:tab/>
        </w:r>
        <w:r>
          <w:tab/>
        </w:r>
        <w:r w:rsidR="002E6077">
          <w:fldChar w:fldCharType="begin"/>
        </w:r>
        <w:r>
          <w:instrText xml:space="preserve"> PAGE   \* MERGEFORMAT </w:instrText>
        </w:r>
        <w:r w:rsidR="002E6077">
          <w:fldChar w:fldCharType="separate"/>
        </w:r>
        <w:r w:rsidR="00C03A3B">
          <w:rPr>
            <w:noProof/>
          </w:rPr>
          <w:t>76</w:t>
        </w:r>
        <w:r w:rsidR="002E6077">
          <w:rPr>
            <w:noProof/>
          </w:rPr>
          <w:fldChar w:fldCharType="end"/>
        </w:r>
      </w:sdtContent>
    </w:sdt>
  </w:p>
  <w:p w:rsidR="00461871" w:rsidRDefault="00461871">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871" w:rsidRDefault="00461871">
    <w:pPr>
      <w:pStyle w:val="Footer"/>
      <w:jc w:val="right"/>
    </w:pPr>
    <w:r w:rsidRPr="00B07D23">
      <w:t xml:space="preserve">Ye </w:t>
    </w:r>
    <w:r w:rsidRPr="00B07D23">
      <w:rPr>
        <w:i/>
      </w:rPr>
      <w:t>et al.</w:t>
    </w:r>
    <w:r w:rsidRPr="00B07D23">
      <w:t xml:space="preserve"> 2014</w:t>
    </w:r>
    <w:r>
      <w:tab/>
    </w:r>
    <w:r w:rsidRPr="00B07D23">
      <w:t xml:space="preserve">CEW Report 2. </w:t>
    </w:r>
    <w:r w:rsidRPr="00B07D23">
      <w:rPr>
        <w:i/>
      </w:rPr>
      <w:t>Lower Murray River, 2012</w:t>
    </w:r>
    <w:r>
      <w:rPr>
        <w:i/>
      </w:rPr>
      <w:t>–</w:t>
    </w:r>
    <w:r w:rsidRPr="00B07D23">
      <w:rPr>
        <w:i/>
      </w:rPr>
      <w:t>13</w:t>
    </w:r>
    <w:sdt>
      <w:sdtPr>
        <w:id w:val="932862685"/>
        <w:docPartObj>
          <w:docPartGallery w:val="Page Numbers (Bottom of Page)"/>
          <w:docPartUnique/>
        </w:docPartObj>
      </w:sdtPr>
      <w:sdtContent>
        <w:r>
          <w:tab/>
        </w:r>
        <w:r w:rsidR="002E6077">
          <w:fldChar w:fldCharType="begin"/>
        </w:r>
        <w:r>
          <w:instrText xml:space="preserve"> PAGE   \* MERGEFORMAT </w:instrText>
        </w:r>
        <w:r w:rsidR="002E6077">
          <w:fldChar w:fldCharType="separate"/>
        </w:r>
        <w:r w:rsidR="00C03A3B">
          <w:rPr>
            <w:noProof/>
          </w:rPr>
          <w:t>77</w:t>
        </w:r>
        <w:r w:rsidR="002E6077">
          <w:rPr>
            <w:noProof/>
          </w:rPr>
          <w:fldChar w:fldCharType="end"/>
        </w:r>
      </w:sdtContent>
    </w:sdt>
  </w:p>
  <w:p w:rsidR="00461871" w:rsidRDefault="00461871">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871" w:rsidRDefault="00461871">
    <w:pPr>
      <w:pStyle w:val="Footer"/>
      <w:jc w:val="right"/>
    </w:pPr>
    <w:r w:rsidRPr="00B07D23">
      <w:t xml:space="preserve">Ye </w:t>
    </w:r>
    <w:r w:rsidRPr="00B07D23">
      <w:rPr>
        <w:i/>
      </w:rPr>
      <w:t>et al.</w:t>
    </w:r>
    <w:r w:rsidRPr="00B07D23">
      <w:t xml:space="preserve"> 2014</w:t>
    </w:r>
    <w:r>
      <w:tab/>
    </w:r>
    <w:r>
      <w:tab/>
    </w:r>
    <w:r w:rsidRPr="00B07D23">
      <w:t xml:space="preserve">CEW Report 2. </w:t>
    </w:r>
    <w:r w:rsidRPr="00B07D23">
      <w:rPr>
        <w:i/>
      </w:rPr>
      <w:t>Lower Murray River, 2012</w:t>
    </w:r>
    <w:r>
      <w:rPr>
        <w:i/>
      </w:rPr>
      <w:t>–</w:t>
    </w:r>
    <w:r w:rsidRPr="00B07D23">
      <w:rPr>
        <w:i/>
      </w:rPr>
      <w:t>13</w:t>
    </w:r>
    <w:sdt>
      <w:sdtPr>
        <w:id w:val="497160036"/>
        <w:docPartObj>
          <w:docPartGallery w:val="Page Numbers (Bottom of Page)"/>
          <w:docPartUnique/>
        </w:docPartObj>
      </w:sdtPr>
      <w:sdtContent>
        <w:r>
          <w:tab/>
        </w:r>
        <w:r>
          <w:tab/>
        </w:r>
        <w:r>
          <w:tab/>
        </w:r>
        <w:r>
          <w:tab/>
        </w:r>
        <w:r>
          <w:tab/>
        </w:r>
        <w:r>
          <w:tab/>
        </w:r>
        <w:r w:rsidR="002E6077">
          <w:fldChar w:fldCharType="begin"/>
        </w:r>
        <w:r>
          <w:instrText xml:space="preserve"> PAGE   \* MERGEFORMAT </w:instrText>
        </w:r>
        <w:r w:rsidR="002E6077">
          <w:fldChar w:fldCharType="separate"/>
        </w:r>
        <w:r w:rsidR="00C03A3B">
          <w:rPr>
            <w:noProof/>
          </w:rPr>
          <w:t>79</w:t>
        </w:r>
        <w:r w:rsidR="002E6077">
          <w:rPr>
            <w:noProof/>
          </w:rPr>
          <w:fldChar w:fldCharType="end"/>
        </w:r>
      </w:sdtContent>
    </w:sdt>
  </w:p>
  <w:p w:rsidR="00461871" w:rsidRDefault="00461871">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871" w:rsidRDefault="00461871">
    <w:pPr>
      <w:pStyle w:val="Footer"/>
      <w:jc w:val="right"/>
    </w:pPr>
    <w:r w:rsidRPr="00B07D23">
      <w:t xml:space="preserve">Ye </w:t>
    </w:r>
    <w:r w:rsidRPr="00B07D23">
      <w:rPr>
        <w:i/>
      </w:rPr>
      <w:t>et al.</w:t>
    </w:r>
    <w:r w:rsidRPr="00B07D23">
      <w:t xml:space="preserve"> 2014</w:t>
    </w:r>
    <w:r>
      <w:tab/>
    </w:r>
    <w:r w:rsidRPr="00B07D23">
      <w:t xml:space="preserve">CEW Report 2. </w:t>
    </w:r>
    <w:r w:rsidRPr="00B07D23">
      <w:rPr>
        <w:i/>
      </w:rPr>
      <w:t>Lower Murray River, 2012</w:t>
    </w:r>
    <w:r>
      <w:rPr>
        <w:i/>
      </w:rPr>
      <w:t>–</w:t>
    </w:r>
    <w:r w:rsidRPr="00B07D23">
      <w:rPr>
        <w:i/>
      </w:rPr>
      <w:t>13</w:t>
    </w:r>
    <w:sdt>
      <w:sdtPr>
        <w:id w:val="-1260143536"/>
        <w:docPartObj>
          <w:docPartGallery w:val="Page Numbers (Bottom of Page)"/>
          <w:docPartUnique/>
        </w:docPartObj>
      </w:sdtPr>
      <w:sdtContent>
        <w:r>
          <w:tab/>
        </w:r>
        <w:r w:rsidR="002E6077">
          <w:fldChar w:fldCharType="begin"/>
        </w:r>
        <w:r>
          <w:instrText xml:space="preserve"> PAGE   \* MERGEFORMAT </w:instrText>
        </w:r>
        <w:r w:rsidR="002E6077">
          <w:fldChar w:fldCharType="separate"/>
        </w:r>
        <w:r w:rsidR="00C03A3B">
          <w:rPr>
            <w:noProof/>
          </w:rPr>
          <w:t>81</w:t>
        </w:r>
        <w:r w:rsidR="002E6077">
          <w:rPr>
            <w:noProof/>
          </w:rPr>
          <w:fldChar w:fldCharType="end"/>
        </w:r>
      </w:sdtContent>
    </w:sdt>
  </w:p>
  <w:p w:rsidR="00461871" w:rsidRDefault="00461871">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871" w:rsidRDefault="00461871">
    <w:pPr>
      <w:pStyle w:val="Footer"/>
      <w:jc w:val="right"/>
    </w:pPr>
    <w:r w:rsidRPr="00B07D23">
      <w:t xml:space="preserve">Ye </w:t>
    </w:r>
    <w:r w:rsidRPr="00B07D23">
      <w:rPr>
        <w:i/>
      </w:rPr>
      <w:t>et al.</w:t>
    </w:r>
    <w:r w:rsidRPr="00B07D23">
      <w:t xml:space="preserve"> 2014</w:t>
    </w:r>
    <w:r>
      <w:tab/>
    </w:r>
    <w:r>
      <w:tab/>
    </w:r>
    <w:r w:rsidRPr="00B07D23">
      <w:t xml:space="preserve">CEW Report 2. </w:t>
    </w:r>
    <w:r w:rsidRPr="00B07D23">
      <w:rPr>
        <w:i/>
      </w:rPr>
      <w:t>Lower Murray River, 2012</w:t>
    </w:r>
    <w:r>
      <w:rPr>
        <w:i/>
      </w:rPr>
      <w:t>–</w:t>
    </w:r>
    <w:r w:rsidRPr="00B07D23">
      <w:rPr>
        <w:i/>
      </w:rPr>
      <w:t>13</w:t>
    </w:r>
    <w:sdt>
      <w:sdtPr>
        <w:id w:val="-1116513071"/>
        <w:docPartObj>
          <w:docPartGallery w:val="Page Numbers (Bottom of Page)"/>
          <w:docPartUnique/>
        </w:docPartObj>
      </w:sdtPr>
      <w:sdtContent>
        <w:r>
          <w:tab/>
        </w:r>
        <w:r>
          <w:tab/>
        </w:r>
        <w:r>
          <w:tab/>
        </w:r>
        <w:r>
          <w:tab/>
        </w:r>
        <w:r>
          <w:tab/>
        </w:r>
        <w:r>
          <w:tab/>
        </w:r>
        <w:r w:rsidR="002E6077">
          <w:fldChar w:fldCharType="begin"/>
        </w:r>
        <w:r>
          <w:instrText xml:space="preserve"> PAGE   \* MERGEFORMAT </w:instrText>
        </w:r>
        <w:r w:rsidR="002E6077">
          <w:fldChar w:fldCharType="separate"/>
        </w:r>
        <w:r w:rsidR="00C03A3B">
          <w:rPr>
            <w:noProof/>
          </w:rPr>
          <w:t>82</w:t>
        </w:r>
        <w:r w:rsidR="002E6077">
          <w:rPr>
            <w:noProof/>
          </w:rPr>
          <w:fldChar w:fldCharType="end"/>
        </w:r>
      </w:sdtContent>
    </w:sdt>
  </w:p>
  <w:p w:rsidR="00461871" w:rsidRDefault="00461871">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871" w:rsidRDefault="00461871">
    <w:pPr>
      <w:pStyle w:val="Footer"/>
      <w:jc w:val="right"/>
    </w:pPr>
    <w:r w:rsidRPr="00B07D23">
      <w:t xml:space="preserve">Ye </w:t>
    </w:r>
    <w:r w:rsidRPr="00B07D23">
      <w:rPr>
        <w:i/>
      </w:rPr>
      <w:t>et al.</w:t>
    </w:r>
    <w:r w:rsidRPr="00B07D23">
      <w:t xml:space="preserve"> 2014</w:t>
    </w:r>
    <w:r>
      <w:tab/>
    </w:r>
    <w:r w:rsidRPr="00B07D23">
      <w:t xml:space="preserve">CEW Report 2. </w:t>
    </w:r>
    <w:r w:rsidRPr="00B07D23">
      <w:rPr>
        <w:i/>
      </w:rPr>
      <w:t>Lower Murray River, 2012</w:t>
    </w:r>
    <w:r>
      <w:rPr>
        <w:i/>
      </w:rPr>
      <w:t>–</w:t>
    </w:r>
    <w:r w:rsidRPr="00B07D23">
      <w:rPr>
        <w:i/>
      </w:rPr>
      <w:t>13</w:t>
    </w:r>
    <w:sdt>
      <w:sdtPr>
        <w:id w:val="612479463"/>
        <w:docPartObj>
          <w:docPartGallery w:val="Page Numbers (Bottom of Page)"/>
          <w:docPartUnique/>
        </w:docPartObj>
      </w:sdtPr>
      <w:sdtContent>
        <w:r>
          <w:tab/>
        </w:r>
        <w:r w:rsidR="002E6077">
          <w:fldChar w:fldCharType="begin"/>
        </w:r>
        <w:r>
          <w:instrText xml:space="preserve"> PAGE   \* MERGEFORMAT </w:instrText>
        </w:r>
        <w:r w:rsidR="002E6077">
          <w:fldChar w:fldCharType="separate"/>
        </w:r>
        <w:r w:rsidR="00C03A3B">
          <w:rPr>
            <w:noProof/>
          </w:rPr>
          <w:t>85</w:t>
        </w:r>
        <w:r w:rsidR="002E6077">
          <w:rPr>
            <w:noProof/>
          </w:rPr>
          <w:fldChar w:fldCharType="end"/>
        </w:r>
      </w:sdtContent>
    </w:sdt>
  </w:p>
  <w:p w:rsidR="00461871" w:rsidRDefault="00461871">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871" w:rsidRDefault="00461871">
    <w:pPr>
      <w:pStyle w:val="Footer"/>
      <w:jc w:val="right"/>
    </w:pPr>
    <w:r w:rsidRPr="00B07D23">
      <w:t xml:space="preserve">Ye </w:t>
    </w:r>
    <w:r w:rsidRPr="00B07D23">
      <w:rPr>
        <w:i/>
      </w:rPr>
      <w:t>et al.</w:t>
    </w:r>
    <w:r w:rsidRPr="00B07D23">
      <w:t xml:space="preserve"> 2014</w:t>
    </w:r>
    <w:r>
      <w:tab/>
    </w:r>
    <w:r>
      <w:tab/>
    </w:r>
    <w:r w:rsidRPr="00B07D23">
      <w:t xml:space="preserve">CEW Report 2. </w:t>
    </w:r>
    <w:r w:rsidRPr="00B07D23">
      <w:rPr>
        <w:i/>
      </w:rPr>
      <w:t>Lower Murray River, 2012</w:t>
    </w:r>
    <w:r>
      <w:rPr>
        <w:i/>
      </w:rPr>
      <w:t>–</w:t>
    </w:r>
    <w:r w:rsidRPr="00B07D23">
      <w:rPr>
        <w:i/>
      </w:rPr>
      <w:t>13</w:t>
    </w:r>
    <w:sdt>
      <w:sdtPr>
        <w:id w:val="1372424167"/>
        <w:docPartObj>
          <w:docPartGallery w:val="Page Numbers (Bottom of Page)"/>
          <w:docPartUnique/>
        </w:docPartObj>
      </w:sdtPr>
      <w:sdtContent>
        <w:r>
          <w:tab/>
        </w:r>
        <w:r>
          <w:tab/>
        </w:r>
        <w:r>
          <w:tab/>
        </w:r>
        <w:r>
          <w:tab/>
        </w:r>
        <w:r>
          <w:tab/>
        </w:r>
        <w:r>
          <w:tab/>
        </w:r>
        <w:r w:rsidR="002E6077">
          <w:fldChar w:fldCharType="begin"/>
        </w:r>
        <w:r>
          <w:instrText xml:space="preserve"> PAGE   \* MERGEFORMAT </w:instrText>
        </w:r>
        <w:r w:rsidR="002E6077">
          <w:fldChar w:fldCharType="separate"/>
        </w:r>
        <w:r w:rsidR="00C03A3B">
          <w:rPr>
            <w:noProof/>
          </w:rPr>
          <w:t>86</w:t>
        </w:r>
        <w:r w:rsidR="002E6077">
          <w:rPr>
            <w:noProof/>
          </w:rPr>
          <w:fldChar w:fldCharType="end"/>
        </w:r>
      </w:sdtContent>
    </w:sdt>
  </w:p>
  <w:p w:rsidR="00461871" w:rsidRDefault="0046187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871" w:rsidRDefault="00461871" w:rsidP="00D93DAE">
    <w:pPr>
      <w:pStyle w:val="Footer"/>
    </w:pPr>
    <w:r w:rsidRPr="00A62C74">
      <w:t xml:space="preserve">CEW Report 2. </w:t>
    </w:r>
    <w:r w:rsidRPr="00627C14">
      <w:rPr>
        <w:i/>
      </w:rPr>
      <w:t>Lower Murray River, 2012</w:t>
    </w:r>
    <w:r>
      <w:rPr>
        <w:i/>
      </w:rPr>
      <w:t>–</w:t>
    </w:r>
    <w:r w:rsidRPr="00627C14">
      <w:rPr>
        <w:i/>
      </w:rPr>
      <w:t>13</w:t>
    </w:r>
    <w:r>
      <w:tab/>
    </w:r>
    <w:r>
      <w:tab/>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871" w:rsidRDefault="00461871">
    <w:pPr>
      <w:pStyle w:val="Footer"/>
      <w:jc w:val="right"/>
    </w:pPr>
    <w:r w:rsidRPr="00B07D23">
      <w:t xml:space="preserve">Ye </w:t>
    </w:r>
    <w:r w:rsidRPr="00B07D23">
      <w:rPr>
        <w:i/>
      </w:rPr>
      <w:t>et al.</w:t>
    </w:r>
    <w:r w:rsidRPr="00B07D23">
      <w:t xml:space="preserve"> 2014</w:t>
    </w:r>
    <w:r>
      <w:tab/>
    </w:r>
    <w:r w:rsidRPr="00B07D23">
      <w:t xml:space="preserve">CEW Report 2. </w:t>
    </w:r>
    <w:r w:rsidRPr="00B07D23">
      <w:rPr>
        <w:i/>
      </w:rPr>
      <w:t>Lower Murray River, 2012</w:t>
    </w:r>
    <w:r>
      <w:rPr>
        <w:i/>
      </w:rPr>
      <w:t>–</w:t>
    </w:r>
    <w:r w:rsidRPr="00B07D23">
      <w:rPr>
        <w:i/>
      </w:rPr>
      <w:t>13</w:t>
    </w:r>
    <w:sdt>
      <w:sdtPr>
        <w:id w:val="91441332"/>
        <w:docPartObj>
          <w:docPartGallery w:val="Page Numbers (Bottom of Page)"/>
          <w:docPartUnique/>
        </w:docPartObj>
      </w:sdtPr>
      <w:sdtContent>
        <w:r>
          <w:tab/>
        </w:r>
        <w:r w:rsidR="002E6077">
          <w:fldChar w:fldCharType="begin"/>
        </w:r>
        <w:r>
          <w:instrText xml:space="preserve"> PAGE   \* MERGEFORMAT </w:instrText>
        </w:r>
        <w:r w:rsidR="002E6077">
          <w:fldChar w:fldCharType="separate"/>
        </w:r>
        <w:r w:rsidR="00C03A3B">
          <w:rPr>
            <w:noProof/>
          </w:rPr>
          <w:t>155</w:t>
        </w:r>
        <w:r w:rsidR="002E6077">
          <w:rPr>
            <w:noProof/>
          </w:rPr>
          <w:fldChar w:fldCharType="end"/>
        </w:r>
      </w:sdtContent>
    </w:sdt>
  </w:p>
  <w:p w:rsidR="00461871" w:rsidRDefault="00461871">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871" w:rsidRDefault="00461871">
    <w:pPr>
      <w:pStyle w:val="Footer"/>
      <w:jc w:val="right"/>
    </w:pPr>
    <w:r w:rsidRPr="00B07D23">
      <w:t xml:space="preserve">Ye </w:t>
    </w:r>
    <w:r w:rsidRPr="00B07D23">
      <w:rPr>
        <w:i/>
      </w:rPr>
      <w:t>et al.</w:t>
    </w:r>
    <w:r w:rsidRPr="00B07D23">
      <w:t xml:space="preserve"> 2014</w:t>
    </w:r>
    <w:r>
      <w:tab/>
    </w:r>
    <w:r w:rsidRPr="00B07D23">
      <w:t xml:space="preserve">CEW Report 2. </w:t>
    </w:r>
    <w:r w:rsidRPr="00B07D23">
      <w:rPr>
        <w:i/>
      </w:rPr>
      <w:t>Lower Murray River, 2012</w:t>
    </w:r>
    <w:r>
      <w:rPr>
        <w:i/>
      </w:rPr>
      <w:t>–</w:t>
    </w:r>
    <w:r w:rsidRPr="00B07D23">
      <w:rPr>
        <w:i/>
      </w:rPr>
      <w:t>13</w:t>
    </w:r>
    <w:sdt>
      <w:sdtPr>
        <w:id w:val="30116709"/>
        <w:docPartObj>
          <w:docPartGallery w:val="Page Numbers (Bottom of Page)"/>
          <w:docPartUnique/>
        </w:docPartObj>
      </w:sdtPr>
      <w:sdtContent>
        <w:r>
          <w:tab/>
        </w:r>
        <w:r w:rsidR="002E6077">
          <w:fldChar w:fldCharType="begin"/>
        </w:r>
        <w:r>
          <w:instrText xml:space="preserve"> PAGE   \* MERGEFORMAT </w:instrText>
        </w:r>
        <w:r w:rsidR="002E6077">
          <w:fldChar w:fldCharType="separate"/>
        </w:r>
        <w:r w:rsidR="00C03A3B">
          <w:rPr>
            <w:noProof/>
          </w:rPr>
          <w:t>156</w:t>
        </w:r>
        <w:r w:rsidR="002E6077">
          <w:rPr>
            <w:noProof/>
          </w:rPr>
          <w:fldChar w:fldCharType="end"/>
        </w:r>
      </w:sdtContent>
    </w:sdt>
  </w:p>
  <w:p w:rsidR="00461871" w:rsidRDefault="0046187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A3B" w:rsidRDefault="00C03A3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871" w:rsidRDefault="00461871" w:rsidP="00D93DAE">
    <w:pPr>
      <w:pStyle w:val="Footer"/>
    </w:pPr>
    <w:r>
      <w:t xml:space="preserve">Ye </w:t>
    </w:r>
    <w:r w:rsidRPr="00FA5207">
      <w:rPr>
        <w:i/>
      </w:rPr>
      <w:t>et al.</w:t>
    </w:r>
    <w:r>
      <w:t xml:space="preserve"> 2014</w:t>
    </w:r>
    <w:r>
      <w:tab/>
    </w:r>
    <w:r w:rsidRPr="00A62C74">
      <w:t xml:space="preserve">CEW Report 2. </w:t>
    </w:r>
    <w:r w:rsidRPr="00627C14">
      <w:rPr>
        <w:i/>
      </w:rPr>
      <w:t>Lower Murray River, 2012</w:t>
    </w:r>
    <w:r>
      <w:rPr>
        <w:i/>
      </w:rPr>
      <w:t>–</w:t>
    </w:r>
    <w:r w:rsidRPr="00627C14">
      <w:rPr>
        <w:i/>
      </w:rPr>
      <w:t>13</w:t>
    </w:r>
    <w:r>
      <w:tab/>
    </w:r>
    <w:r>
      <w:tab/>
    </w:r>
    <w:r w:rsidR="002E6077">
      <w:fldChar w:fldCharType="begin"/>
    </w:r>
    <w:r>
      <w:instrText xml:space="preserve"> PAGE   \* MERGEFORMAT </w:instrText>
    </w:r>
    <w:r w:rsidR="002E6077">
      <w:fldChar w:fldCharType="separate"/>
    </w:r>
    <w:r w:rsidR="00C03A3B">
      <w:rPr>
        <w:noProof/>
      </w:rPr>
      <w:t>x</w:t>
    </w:r>
    <w:r w:rsidR="002E6077">
      <w:rPr>
        <w:noProof/>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871" w:rsidRDefault="00461871" w:rsidP="00D93DAE">
    <w:pPr>
      <w:pStyle w:val="Footer"/>
    </w:pPr>
    <w:r>
      <w:t xml:space="preserve">Ye </w:t>
    </w:r>
    <w:r w:rsidRPr="00FA5207">
      <w:rPr>
        <w:i/>
      </w:rPr>
      <w:t>et al.</w:t>
    </w:r>
    <w:r>
      <w:t xml:space="preserve"> 2014</w:t>
    </w:r>
    <w:r>
      <w:tab/>
    </w:r>
    <w:r w:rsidRPr="00A62C74">
      <w:t xml:space="preserve">CEW Report 2. </w:t>
    </w:r>
    <w:r w:rsidRPr="00627C14">
      <w:rPr>
        <w:i/>
      </w:rPr>
      <w:t>Lower Murray River, 2012</w:t>
    </w:r>
    <w:r>
      <w:rPr>
        <w:i/>
      </w:rPr>
      <w:t>–</w:t>
    </w:r>
    <w:r w:rsidRPr="00627C14">
      <w:rPr>
        <w:i/>
      </w:rPr>
      <w:t>13</w:t>
    </w:r>
    <w:r>
      <w:tab/>
    </w:r>
    <w:r w:rsidR="002E6077">
      <w:fldChar w:fldCharType="begin"/>
    </w:r>
    <w:r>
      <w:instrText xml:space="preserve"> PAGE   \* MERGEFORMAT </w:instrText>
    </w:r>
    <w:r w:rsidR="002E6077">
      <w:fldChar w:fldCharType="separate"/>
    </w:r>
    <w:r w:rsidR="00C03A3B">
      <w:rPr>
        <w:noProof/>
      </w:rPr>
      <w:t>2</w:t>
    </w:r>
    <w:r w:rsidR="002E6077">
      <w:rPr>
        <w:noProof/>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871" w:rsidRDefault="00461871" w:rsidP="00D93DAE">
    <w:pPr>
      <w:pStyle w:val="Footer"/>
    </w:pPr>
    <w:r>
      <w:t xml:space="preserve">Ye </w:t>
    </w:r>
    <w:r w:rsidRPr="00FA5207">
      <w:rPr>
        <w:i/>
      </w:rPr>
      <w:t>et al.</w:t>
    </w:r>
    <w:r>
      <w:t xml:space="preserve"> 2014</w:t>
    </w:r>
    <w:r>
      <w:tab/>
    </w:r>
    <w:r w:rsidRPr="00A62C74">
      <w:t xml:space="preserve">CEW Report 2. </w:t>
    </w:r>
    <w:r w:rsidRPr="00627C14">
      <w:rPr>
        <w:i/>
      </w:rPr>
      <w:t>Lower Murray River, 2012</w:t>
    </w:r>
    <w:r>
      <w:rPr>
        <w:i/>
      </w:rPr>
      <w:t>–</w:t>
    </w:r>
    <w:r w:rsidRPr="00627C14">
      <w:rPr>
        <w:i/>
      </w:rPr>
      <w:t>13</w:t>
    </w:r>
    <w:r>
      <w:rPr>
        <w:i/>
      </w:rPr>
      <w:tab/>
    </w:r>
    <w:r>
      <w:rPr>
        <w:i/>
      </w:rPr>
      <w:tab/>
    </w:r>
    <w:r>
      <w:rPr>
        <w:i/>
      </w:rPr>
      <w:tab/>
    </w:r>
    <w:r>
      <w:rPr>
        <w:i/>
      </w:rPr>
      <w:tab/>
    </w:r>
    <w:r>
      <w:rPr>
        <w:i/>
      </w:rPr>
      <w:tab/>
    </w:r>
    <w:r>
      <w:rPr>
        <w:i/>
      </w:rPr>
      <w:tab/>
    </w:r>
    <w:r>
      <w:tab/>
    </w:r>
    <w:r w:rsidR="002E6077">
      <w:fldChar w:fldCharType="begin"/>
    </w:r>
    <w:r>
      <w:instrText xml:space="preserve"> PAGE   \* MERGEFORMAT </w:instrText>
    </w:r>
    <w:r w:rsidR="002E6077">
      <w:fldChar w:fldCharType="separate"/>
    </w:r>
    <w:r w:rsidR="00C03A3B">
      <w:rPr>
        <w:noProof/>
      </w:rPr>
      <w:t>6</w:t>
    </w:r>
    <w:r w:rsidR="002E6077">
      <w:rPr>
        <w:noProof/>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871" w:rsidRDefault="00461871" w:rsidP="00D93DAE">
    <w:pPr>
      <w:pStyle w:val="Footer"/>
    </w:pPr>
    <w:r>
      <w:t xml:space="preserve">Ye </w:t>
    </w:r>
    <w:r w:rsidRPr="00FA5207">
      <w:rPr>
        <w:i/>
      </w:rPr>
      <w:t>et al.</w:t>
    </w:r>
    <w:r>
      <w:t xml:space="preserve"> 2014</w:t>
    </w:r>
    <w:r>
      <w:tab/>
    </w:r>
    <w:r w:rsidRPr="00A62C74">
      <w:t xml:space="preserve">CEW Report 2. </w:t>
    </w:r>
    <w:r w:rsidRPr="00627C14">
      <w:rPr>
        <w:i/>
      </w:rPr>
      <w:t>Lower Murray River, 2012</w:t>
    </w:r>
    <w:r>
      <w:rPr>
        <w:i/>
      </w:rPr>
      <w:t>–</w:t>
    </w:r>
    <w:r w:rsidRPr="00627C14">
      <w:rPr>
        <w:i/>
      </w:rPr>
      <w:t>13</w:t>
    </w:r>
    <w:r>
      <w:rPr>
        <w:i/>
      </w:rPr>
      <w:tab/>
    </w:r>
    <w:r w:rsidR="002E6077">
      <w:fldChar w:fldCharType="begin"/>
    </w:r>
    <w:r>
      <w:instrText xml:space="preserve"> PAGE   \* MERGEFORMAT </w:instrText>
    </w:r>
    <w:r w:rsidR="002E6077">
      <w:fldChar w:fldCharType="separate"/>
    </w:r>
    <w:r w:rsidR="00C03A3B">
      <w:rPr>
        <w:noProof/>
      </w:rPr>
      <w:t>31</w:t>
    </w:r>
    <w:r w:rsidR="002E6077">
      <w:rPr>
        <w:noProof/>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871" w:rsidRDefault="00461871">
    <w:pPr>
      <w:pStyle w:val="Footer"/>
      <w:jc w:val="right"/>
    </w:pPr>
    <w:r w:rsidRPr="00B07D23">
      <w:t xml:space="preserve">Ye </w:t>
    </w:r>
    <w:r w:rsidRPr="00B07D23">
      <w:rPr>
        <w:i/>
      </w:rPr>
      <w:t>et al.</w:t>
    </w:r>
    <w:r w:rsidRPr="00B07D23">
      <w:t xml:space="preserve"> 2014</w:t>
    </w:r>
    <w:r>
      <w:tab/>
    </w:r>
    <w:r>
      <w:tab/>
    </w:r>
    <w:r w:rsidRPr="00B07D23">
      <w:t xml:space="preserve">CEW Report 2. </w:t>
    </w:r>
    <w:r w:rsidRPr="00B07D23">
      <w:rPr>
        <w:i/>
      </w:rPr>
      <w:t>Lower Murray River, 2012</w:t>
    </w:r>
    <w:r>
      <w:rPr>
        <w:i/>
      </w:rPr>
      <w:t>–</w:t>
    </w:r>
    <w:r w:rsidRPr="00B07D23">
      <w:rPr>
        <w:i/>
      </w:rPr>
      <w:t>13</w:t>
    </w:r>
    <w:sdt>
      <w:sdtPr>
        <w:id w:val="1935005264"/>
        <w:docPartObj>
          <w:docPartGallery w:val="Page Numbers (Bottom of Page)"/>
          <w:docPartUnique/>
        </w:docPartObj>
      </w:sdtPr>
      <w:sdtContent>
        <w:r>
          <w:tab/>
        </w:r>
        <w:r>
          <w:tab/>
        </w:r>
        <w:r>
          <w:tab/>
        </w:r>
        <w:r>
          <w:tab/>
        </w:r>
        <w:r>
          <w:tab/>
        </w:r>
        <w:r w:rsidR="002E6077">
          <w:fldChar w:fldCharType="begin"/>
        </w:r>
        <w:r>
          <w:instrText xml:space="preserve"> PAGE   \* MERGEFORMAT </w:instrText>
        </w:r>
        <w:r w:rsidR="002E6077">
          <w:fldChar w:fldCharType="separate"/>
        </w:r>
        <w:r w:rsidR="00C03A3B">
          <w:rPr>
            <w:noProof/>
          </w:rPr>
          <w:t>34</w:t>
        </w:r>
        <w:r w:rsidR="002E6077">
          <w:rPr>
            <w:noProof/>
          </w:rPr>
          <w:fldChar w:fldCharType="end"/>
        </w:r>
      </w:sdtContent>
    </w:sdt>
  </w:p>
  <w:p w:rsidR="00461871" w:rsidRDefault="00461871">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871" w:rsidRDefault="00461871">
    <w:pPr>
      <w:pStyle w:val="Footer"/>
      <w:jc w:val="right"/>
    </w:pPr>
    <w:r w:rsidRPr="00B07D23">
      <w:t xml:space="preserve">Ye </w:t>
    </w:r>
    <w:r w:rsidRPr="00B07D23">
      <w:rPr>
        <w:i/>
      </w:rPr>
      <w:t>et al.</w:t>
    </w:r>
    <w:r w:rsidRPr="00B07D23">
      <w:t xml:space="preserve"> 2014</w:t>
    </w:r>
    <w:r>
      <w:tab/>
    </w:r>
    <w:r w:rsidRPr="00B07D23">
      <w:t xml:space="preserve">CEW Report 2. </w:t>
    </w:r>
    <w:r w:rsidRPr="00B07D23">
      <w:rPr>
        <w:i/>
      </w:rPr>
      <w:t>Lower Murray River, 2012</w:t>
    </w:r>
    <w:r>
      <w:rPr>
        <w:i/>
      </w:rPr>
      <w:t>–</w:t>
    </w:r>
    <w:r w:rsidRPr="00B07D23">
      <w:rPr>
        <w:i/>
      </w:rPr>
      <w:t>13</w:t>
    </w:r>
    <w:sdt>
      <w:sdtPr>
        <w:id w:val="744387854"/>
        <w:docPartObj>
          <w:docPartGallery w:val="Page Numbers (Bottom of Page)"/>
          <w:docPartUnique/>
        </w:docPartObj>
      </w:sdtPr>
      <w:sdtContent>
        <w:r>
          <w:tab/>
        </w:r>
        <w:r w:rsidR="002E6077">
          <w:fldChar w:fldCharType="begin"/>
        </w:r>
        <w:r>
          <w:instrText xml:space="preserve"> PAGE   \* MERGEFORMAT </w:instrText>
        </w:r>
        <w:r w:rsidR="002E6077">
          <w:fldChar w:fldCharType="separate"/>
        </w:r>
        <w:r w:rsidR="00C03A3B">
          <w:rPr>
            <w:noProof/>
          </w:rPr>
          <w:t>36</w:t>
        </w:r>
        <w:r w:rsidR="002E6077">
          <w:rPr>
            <w:noProof/>
          </w:rPr>
          <w:fldChar w:fldCharType="end"/>
        </w:r>
      </w:sdtContent>
    </w:sdt>
  </w:p>
  <w:p w:rsidR="00461871" w:rsidRDefault="004618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79DB" w:rsidRDefault="00F879DB" w:rsidP="00E66522">
      <w:r>
        <w:separator/>
      </w:r>
    </w:p>
  </w:footnote>
  <w:footnote w:type="continuationSeparator" w:id="0">
    <w:p w:rsidR="00F879DB" w:rsidRDefault="00F879DB" w:rsidP="00E665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A3B" w:rsidRDefault="00C03A3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A3B" w:rsidRDefault="00C03A3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A3B" w:rsidRDefault="00C03A3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83DAB"/>
    <w:multiLevelType w:val="hybridMultilevel"/>
    <w:tmpl w:val="F0D01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136512"/>
    <w:multiLevelType w:val="hybridMultilevel"/>
    <w:tmpl w:val="6EB48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8D0F11"/>
    <w:multiLevelType w:val="hybridMultilevel"/>
    <w:tmpl w:val="F6CCA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2382905"/>
    <w:multiLevelType w:val="hybridMultilevel"/>
    <w:tmpl w:val="B608E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3042685"/>
    <w:multiLevelType w:val="hybridMultilevel"/>
    <w:tmpl w:val="8B2A32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112D5B"/>
    <w:multiLevelType w:val="hybridMultilevel"/>
    <w:tmpl w:val="6CBE37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4121C40"/>
    <w:multiLevelType w:val="hybridMultilevel"/>
    <w:tmpl w:val="0FC8E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6097DE7"/>
    <w:multiLevelType w:val="singleLevel"/>
    <w:tmpl w:val="9B94E4FC"/>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8">
    <w:nsid w:val="1E4B5DA2"/>
    <w:multiLevelType w:val="hybridMultilevel"/>
    <w:tmpl w:val="DEE8E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2ED1E5D"/>
    <w:multiLevelType w:val="hybridMultilevel"/>
    <w:tmpl w:val="F2CE82F6"/>
    <w:lvl w:ilvl="0" w:tplc="B46ABC10">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D89123D"/>
    <w:multiLevelType w:val="hybridMultilevel"/>
    <w:tmpl w:val="33EA06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121011"/>
    <w:multiLevelType w:val="hybridMultilevel"/>
    <w:tmpl w:val="32148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52C1380"/>
    <w:multiLevelType w:val="hybridMultilevel"/>
    <w:tmpl w:val="85CED0F0"/>
    <w:lvl w:ilvl="0" w:tplc="04090001">
      <w:start w:val="1"/>
      <w:numFmt w:val="bullet"/>
      <w:lvlText w:val=""/>
      <w:lvlJc w:val="left"/>
      <w:pPr>
        <w:ind w:left="731" w:hanging="360"/>
      </w:pPr>
      <w:rPr>
        <w:rFonts w:ascii="Symbol" w:hAnsi="Symbol"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13">
    <w:nsid w:val="37F9129B"/>
    <w:multiLevelType w:val="hybridMultilevel"/>
    <w:tmpl w:val="10B686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A3118D8"/>
    <w:multiLevelType w:val="multilevel"/>
    <w:tmpl w:val="22BA912C"/>
    <w:lvl w:ilvl="0">
      <w:start w:val="1"/>
      <w:numFmt w:val="decimal"/>
      <w:pStyle w:val="ListNumb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A57514F"/>
    <w:multiLevelType w:val="hybridMultilevel"/>
    <w:tmpl w:val="EFCE4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E917DB0"/>
    <w:multiLevelType w:val="hybridMultilevel"/>
    <w:tmpl w:val="54942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3E277FE"/>
    <w:multiLevelType w:val="hybridMultilevel"/>
    <w:tmpl w:val="4A761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C5737D"/>
    <w:multiLevelType w:val="hybridMultilevel"/>
    <w:tmpl w:val="9FFE3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3B18F3"/>
    <w:multiLevelType w:val="hybridMultilevel"/>
    <w:tmpl w:val="84808098"/>
    <w:lvl w:ilvl="0" w:tplc="CF2ED404">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C9706EC"/>
    <w:multiLevelType w:val="hybridMultilevel"/>
    <w:tmpl w:val="907670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872" w:hanging="360"/>
      </w:pPr>
      <w:rPr>
        <w:rFonts w:ascii="Courier New" w:hAnsi="Courier New" w:cs="Courier New" w:hint="default"/>
      </w:rPr>
    </w:lvl>
    <w:lvl w:ilvl="2" w:tplc="0C090005" w:tentative="1">
      <w:start w:val="1"/>
      <w:numFmt w:val="bullet"/>
      <w:lvlText w:val=""/>
      <w:lvlJc w:val="left"/>
      <w:pPr>
        <w:ind w:left="1592" w:hanging="360"/>
      </w:pPr>
      <w:rPr>
        <w:rFonts w:ascii="Wingdings" w:hAnsi="Wingdings" w:hint="default"/>
      </w:rPr>
    </w:lvl>
    <w:lvl w:ilvl="3" w:tplc="0C090001" w:tentative="1">
      <w:start w:val="1"/>
      <w:numFmt w:val="bullet"/>
      <w:lvlText w:val=""/>
      <w:lvlJc w:val="left"/>
      <w:pPr>
        <w:ind w:left="2312" w:hanging="360"/>
      </w:pPr>
      <w:rPr>
        <w:rFonts w:ascii="Symbol" w:hAnsi="Symbol" w:hint="default"/>
      </w:rPr>
    </w:lvl>
    <w:lvl w:ilvl="4" w:tplc="0C090003" w:tentative="1">
      <w:start w:val="1"/>
      <w:numFmt w:val="bullet"/>
      <w:lvlText w:val="o"/>
      <w:lvlJc w:val="left"/>
      <w:pPr>
        <w:ind w:left="3032" w:hanging="360"/>
      </w:pPr>
      <w:rPr>
        <w:rFonts w:ascii="Courier New" w:hAnsi="Courier New" w:cs="Courier New" w:hint="default"/>
      </w:rPr>
    </w:lvl>
    <w:lvl w:ilvl="5" w:tplc="0C090005" w:tentative="1">
      <w:start w:val="1"/>
      <w:numFmt w:val="bullet"/>
      <w:lvlText w:val=""/>
      <w:lvlJc w:val="left"/>
      <w:pPr>
        <w:ind w:left="3752" w:hanging="360"/>
      </w:pPr>
      <w:rPr>
        <w:rFonts w:ascii="Wingdings" w:hAnsi="Wingdings" w:hint="default"/>
      </w:rPr>
    </w:lvl>
    <w:lvl w:ilvl="6" w:tplc="0C090001" w:tentative="1">
      <w:start w:val="1"/>
      <w:numFmt w:val="bullet"/>
      <w:lvlText w:val=""/>
      <w:lvlJc w:val="left"/>
      <w:pPr>
        <w:ind w:left="4472" w:hanging="360"/>
      </w:pPr>
      <w:rPr>
        <w:rFonts w:ascii="Symbol" w:hAnsi="Symbol" w:hint="default"/>
      </w:rPr>
    </w:lvl>
    <w:lvl w:ilvl="7" w:tplc="0C090003" w:tentative="1">
      <w:start w:val="1"/>
      <w:numFmt w:val="bullet"/>
      <w:lvlText w:val="o"/>
      <w:lvlJc w:val="left"/>
      <w:pPr>
        <w:ind w:left="5192" w:hanging="360"/>
      </w:pPr>
      <w:rPr>
        <w:rFonts w:ascii="Courier New" w:hAnsi="Courier New" w:cs="Courier New" w:hint="default"/>
      </w:rPr>
    </w:lvl>
    <w:lvl w:ilvl="8" w:tplc="0C090005" w:tentative="1">
      <w:start w:val="1"/>
      <w:numFmt w:val="bullet"/>
      <w:lvlText w:val=""/>
      <w:lvlJc w:val="left"/>
      <w:pPr>
        <w:ind w:left="5912" w:hanging="360"/>
      </w:pPr>
      <w:rPr>
        <w:rFonts w:ascii="Wingdings" w:hAnsi="Wingdings" w:hint="default"/>
      </w:rPr>
    </w:lvl>
  </w:abstractNum>
  <w:abstractNum w:abstractNumId="22">
    <w:nsid w:val="4EE440C2"/>
    <w:multiLevelType w:val="hybridMultilevel"/>
    <w:tmpl w:val="2286E88A"/>
    <w:lvl w:ilvl="0" w:tplc="CB32EDFE">
      <w:start w:val="1"/>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581AC7"/>
    <w:multiLevelType w:val="hybridMultilevel"/>
    <w:tmpl w:val="BCB62ADC"/>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0B57C41"/>
    <w:multiLevelType w:val="hybridMultilevel"/>
    <w:tmpl w:val="2758E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154E91"/>
    <w:multiLevelType w:val="multilevel"/>
    <w:tmpl w:val="45EAB2A6"/>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702" w:hanging="851"/>
      </w:pPr>
      <w:rPr>
        <w:rFonts w:hint="default"/>
      </w:rPr>
    </w:lvl>
    <w:lvl w:ilvl="2">
      <w:start w:val="1"/>
      <w:numFmt w:val="decimal"/>
      <w:lvlText w:val="%1.%2.%3"/>
      <w:lvlJc w:val="left"/>
      <w:pPr>
        <w:ind w:left="2552" w:hanging="850"/>
      </w:pPr>
      <w:rPr>
        <w:rFonts w:hint="default"/>
      </w:rPr>
    </w:lvl>
    <w:lvl w:ilvl="3">
      <w:start w:val="1"/>
      <w:numFmt w:val="none"/>
      <w:pStyle w:val="Heading4"/>
      <w:lvlText w:val=""/>
      <w:lvlJc w:val="left"/>
      <w:pPr>
        <w:ind w:left="1701" w:firstLine="0"/>
      </w:pPr>
      <w:rPr>
        <w:rFonts w:hint="default"/>
      </w:rPr>
    </w:lvl>
    <w:lvl w:ilvl="4">
      <w:start w:val="1"/>
      <w:numFmt w:val="none"/>
      <w:pStyle w:val="Heading5"/>
      <w:lvlText w:val=""/>
      <w:lvlJc w:val="left"/>
      <w:pPr>
        <w:ind w:left="1701" w:firstLine="0"/>
      </w:pPr>
      <w:rPr>
        <w:rFonts w:hint="default"/>
      </w:rPr>
    </w:lvl>
    <w:lvl w:ilvl="5">
      <w:start w:val="1"/>
      <w:numFmt w:val="none"/>
      <w:pStyle w:val="Heading6"/>
      <w:lvlText w:val=""/>
      <w:lvlJc w:val="left"/>
      <w:pPr>
        <w:ind w:left="1701" w:firstLine="0"/>
      </w:pPr>
      <w:rPr>
        <w:rFonts w:hint="default"/>
      </w:rPr>
    </w:lvl>
    <w:lvl w:ilvl="6">
      <w:start w:val="1"/>
      <w:numFmt w:val="none"/>
      <w:pStyle w:val="Heading7"/>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26">
    <w:nsid w:val="591C5511"/>
    <w:multiLevelType w:val="hybridMultilevel"/>
    <w:tmpl w:val="311C60B8"/>
    <w:lvl w:ilvl="0" w:tplc="A7306A0E">
      <w:start w:val="1"/>
      <w:numFmt w:val="bullet"/>
      <w:lvlText w:val=""/>
      <w:lvlJc w:val="left"/>
      <w:pPr>
        <w:ind w:left="1440" w:hanging="360"/>
      </w:pPr>
      <w:rPr>
        <w:rFonts w:ascii="Symbol" w:hAnsi="Symbol" w:hint="default"/>
      </w:rPr>
    </w:lvl>
    <w:lvl w:ilvl="1" w:tplc="26A4EB5E" w:tentative="1">
      <w:start w:val="1"/>
      <w:numFmt w:val="bullet"/>
      <w:lvlText w:val="o"/>
      <w:lvlJc w:val="left"/>
      <w:pPr>
        <w:ind w:left="2160" w:hanging="360"/>
      </w:pPr>
      <w:rPr>
        <w:rFonts w:ascii="Courier New" w:hAnsi="Courier New" w:cs="Courier New" w:hint="default"/>
      </w:rPr>
    </w:lvl>
    <w:lvl w:ilvl="2" w:tplc="1810A4B4" w:tentative="1">
      <w:start w:val="1"/>
      <w:numFmt w:val="bullet"/>
      <w:lvlText w:val=""/>
      <w:lvlJc w:val="left"/>
      <w:pPr>
        <w:ind w:left="2880" w:hanging="360"/>
      </w:pPr>
      <w:rPr>
        <w:rFonts w:ascii="Wingdings" w:hAnsi="Wingdings" w:hint="default"/>
      </w:rPr>
    </w:lvl>
    <w:lvl w:ilvl="3" w:tplc="37262F20" w:tentative="1">
      <w:start w:val="1"/>
      <w:numFmt w:val="bullet"/>
      <w:lvlText w:val=""/>
      <w:lvlJc w:val="left"/>
      <w:pPr>
        <w:ind w:left="3600" w:hanging="360"/>
      </w:pPr>
      <w:rPr>
        <w:rFonts w:ascii="Symbol" w:hAnsi="Symbol" w:hint="default"/>
      </w:rPr>
    </w:lvl>
    <w:lvl w:ilvl="4" w:tplc="328A2B88" w:tentative="1">
      <w:start w:val="1"/>
      <w:numFmt w:val="bullet"/>
      <w:lvlText w:val="o"/>
      <w:lvlJc w:val="left"/>
      <w:pPr>
        <w:ind w:left="4320" w:hanging="360"/>
      </w:pPr>
      <w:rPr>
        <w:rFonts w:ascii="Courier New" w:hAnsi="Courier New" w:cs="Courier New" w:hint="default"/>
      </w:rPr>
    </w:lvl>
    <w:lvl w:ilvl="5" w:tplc="578CE9A8" w:tentative="1">
      <w:start w:val="1"/>
      <w:numFmt w:val="bullet"/>
      <w:lvlText w:val=""/>
      <w:lvlJc w:val="left"/>
      <w:pPr>
        <w:ind w:left="5040" w:hanging="360"/>
      </w:pPr>
      <w:rPr>
        <w:rFonts w:ascii="Wingdings" w:hAnsi="Wingdings" w:hint="default"/>
      </w:rPr>
    </w:lvl>
    <w:lvl w:ilvl="6" w:tplc="6E981D7E" w:tentative="1">
      <w:start w:val="1"/>
      <w:numFmt w:val="bullet"/>
      <w:lvlText w:val=""/>
      <w:lvlJc w:val="left"/>
      <w:pPr>
        <w:ind w:left="5760" w:hanging="360"/>
      </w:pPr>
      <w:rPr>
        <w:rFonts w:ascii="Symbol" w:hAnsi="Symbol" w:hint="default"/>
      </w:rPr>
    </w:lvl>
    <w:lvl w:ilvl="7" w:tplc="CFB60668" w:tentative="1">
      <w:start w:val="1"/>
      <w:numFmt w:val="bullet"/>
      <w:lvlText w:val="o"/>
      <w:lvlJc w:val="left"/>
      <w:pPr>
        <w:ind w:left="6480" w:hanging="360"/>
      </w:pPr>
      <w:rPr>
        <w:rFonts w:ascii="Courier New" w:hAnsi="Courier New" w:cs="Courier New" w:hint="default"/>
      </w:rPr>
    </w:lvl>
    <w:lvl w:ilvl="8" w:tplc="1B38B68E" w:tentative="1">
      <w:start w:val="1"/>
      <w:numFmt w:val="bullet"/>
      <w:lvlText w:val=""/>
      <w:lvlJc w:val="left"/>
      <w:pPr>
        <w:ind w:left="7200" w:hanging="360"/>
      </w:pPr>
      <w:rPr>
        <w:rFonts w:ascii="Wingdings" w:hAnsi="Wingdings" w:hint="default"/>
      </w:rPr>
    </w:lvl>
  </w:abstractNum>
  <w:abstractNum w:abstractNumId="27">
    <w:nsid w:val="592771A2"/>
    <w:multiLevelType w:val="hybridMultilevel"/>
    <w:tmpl w:val="51CECEBA"/>
    <w:lvl w:ilvl="0" w:tplc="D8AA71FE">
      <w:start w:val="1"/>
      <w:numFmt w:val="decimal"/>
      <w:lvlText w:val="%1."/>
      <w:lvlJc w:val="left"/>
      <w:pPr>
        <w:ind w:left="1440" w:hanging="360"/>
      </w:pPr>
    </w:lvl>
    <w:lvl w:ilvl="1" w:tplc="A704E4FA" w:tentative="1">
      <w:start w:val="1"/>
      <w:numFmt w:val="lowerLetter"/>
      <w:lvlText w:val="%2."/>
      <w:lvlJc w:val="left"/>
      <w:pPr>
        <w:ind w:left="2160" w:hanging="360"/>
      </w:pPr>
    </w:lvl>
    <w:lvl w:ilvl="2" w:tplc="DDF80062" w:tentative="1">
      <w:start w:val="1"/>
      <w:numFmt w:val="lowerRoman"/>
      <w:lvlText w:val="%3."/>
      <w:lvlJc w:val="right"/>
      <w:pPr>
        <w:ind w:left="2880" w:hanging="180"/>
      </w:pPr>
    </w:lvl>
    <w:lvl w:ilvl="3" w:tplc="FC865C6A" w:tentative="1">
      <w:start w:val="1"/>
      <w:numFmt w:val="decimal"/>
      <w:lvlText w:val="%4."/>
      <w:lvlJc w:val="left"/>
      <w:pPr>
        <w:ind w:left="3600" w:hanging="360"/>
      </w:pPr>
    </w:lvl>
    <w:lvl w:ilvl="4" w:tplc="E28813CE" w:tentative="1">
      <w:start w:val="1"/>
      <w:numFmt w:val="lowerLetter"/>
      <w:lvlText w:val="%5."/>
      <w:lvlJc w:val="left"/>
      <w:pPr>
        <w:ind w:left="4320" w:hanging="360"/>
      </w:pPr>
    </w:lvl>
    <w:lvl w:ilvl="5" w:tplc="213691D2" w:tentative="1">
      <w:start w:val="1"/>
      <w:numFmt w:val="lowerRoman"/>
      <w:lvlText w:val="%6."/>
      <w:lvlJc w:val="right"/>
      <w:pPr>
        <w:ind w:left="5040" w:hanging="180"/>
      </w:pPr>
    </w:lvl>
    <w:lvl w:ilvl="6" w:tplc="97F88EF2" w:tentative="1">
      <w:start w:val="1"/>
      <w:numFmt w:val="decimal"/>
      <w:lvlText w:val="%7."/>
      <w:lvlJc w:val="left"/>
      <w:pPr>
        <w:ind w:left="5760" w:hanging="360"/>
      </w:pPr>
    </w:lvl>
    <w:lvl w:ilvl="7" w:tplc="3EE66E38" w:tentative="1">
      <w:start w:val="1"/>
      <w:numFmt w:val="lowerLetter"/>
      <w:lvlText w:val="%8."/>
      <w:lvlJc w:val="left"/>
      <w:pPr>
        <w:ind w:left="6480" w:hanging="360"/>
      </w:pPr>
    </w:lvl>
    <w:lvl w:ilvl="8" w:tplc="BE485E28" w:tentative="1">
      <w:start w:val="1"/>
      <w:numFmt w:val="lowerRoman"/>
      <w:lvlText w:val="%9."/>
      <w:lvlJc w:val="right"/>
      <w:pPr>
        <w:ind w:left="7200" w:hanging="180"/>
      </w:pPr>
    </w:lvl>
  </w:abstractNum>
  <w:abstractNum w:abstractNumId="28">
    <w:nsid w:val="5B3C57A7"/>
    <w:multiLevelType w:val="hybridMultilevel"/>
    <w:tmpl w:val="B33A2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C2549C4"/>
    <w:multiLevelType w:val="hybridMultilevel"/>
    <w:tmpl w:val="4C2209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6006118B"/>
    <w:multiLevelType w:val="hybridMultilevel"/>
    <w:tmpl w:val="5A2E0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26C0EB5"/>
    <w:multiLevelType w:val="hybridMultilevel"/>
    <w:tmpl w:val="AB3C9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0F13A6"/>
    <w:multiLevelType w:val="hybridMultilevel"/>
    <w:tmpl w:val="CF3CACFC"/>
    <w:lvl w:ilvl="0" w:tplc="A8F09B4C">
      <w:start w:val="1"/>
      <w:numFmt w:val="bullet"/>
      <w:lvlText w:val=""/>
      <w:lvlJc w:val="left"/>
      <w:pPr>
        <w:ind w:left="720" w:hanging="360"/>
      </w:pPr>
      <w:rPr>
        <w:rFonts w:ascii="Symbol" w:hAnsi="Symbol" w:hint="default"/>
      </w:rPr>
    </w:lvl>
    <w:lvl w:ilvl="1" w:tplc="37B68B88">
      <w:start w:val="1"/>
      <w:numFmt w:val="bullet"/>
      <w:lvlText w:val="o"/>
      <w:lvlJc w:val="left"/>
      <w:pPr>
        <w:ind w:left="1440" w:hanging="360"/>
      </w:pPr>
      <w:rPr>
        <w:rFonts w:ascii="Courier New" w:hAnsi="Courier New" w:cs="Courier New" w:hint="default"/>
      </w:rPr>
    </w:lvl>
    <w:lvl w:ilvl="2" w:tplc="77A46B78" w:tentative="1">
      <w:start w:val="1"/>
      <w:numFmt w:val="bullet"/>
      <w:lvlText w:val=""/>
      <w:lvlJc w:val="left"/>
      <w:pPr>
        <w:ind w:left="2160" w:hanging="360"/>
      </w:pPr>
      <w:rPr>
        <w:rFonts w:ascii="Wingdings" w:hAnsi="Wingdings" w:hint="default"/>
      </w:rPr>
    </w:lvl>
    <w:lvl w:ilvl="3" w:tplc="670E06E2" w:tentative="1">
      <w:start w:val="1"/>
      <w:numFmt w:val="bullet"/>
      <w:lvlText w:val=""/>
      <w:lvlJc w:val="left"/>
      <w:pPr>
        <w:ind w:left="2880" w:hanging="360"/>
      </w:pPr>
      <w:rPr>
        <w:rFonts w:ascii="Symbol" w:hAnsi="Symbol" w:hint="default"/>
      </w:rPr>
    </w:lvl>
    <w:lvl w:ilvl="4" w:tplc="71064CD8" w:tentative="1">
      <w:start w:val="1"/>
      <w:numFmt w:val="bullet"/>
      <w:lvlText w:val="o"/>
      <w:lvlJc w:val="left"/>
      <w:pPr>
        <w:ind w:left="3600" w:hanging="360"/>
      </w:pPr>
      <w:rPr>
        <w:rFonts w:ascii="Courier New" w:hAnsi="Courier New" w:cs="Courier New" w:hint="default"/>
      </w:rPr>
    </w:lvl>
    <w:lvl w:ilvl="5" w:tplc="5A9A30B8" w:tentative="1">
      <w:start w:val="1"/>
      <w:numFmt w:val="bullet"/>
      <w:lvlText w:val=""/>
      <w:lvlJc w:val="left"/>
      <w:pPr>
        <w:ind w:left="4320" w:hanging="360"/>
      </w:pPr>
      <w:rPr>
        <w:rFonts w:ascii="Wingdings" w:hAnsi="Wingdings" w:hint="default"/>
      </w:rPr>
    </w:lvl>
    <w:lvl w:ilvl="6" w:tplc="81AE64EC" w:tentative="1">
      <w:start w:val="1"/>
      <w:numFmt w:val="bullet"/>
      <w:lvlText w:val=""/>
      <w:lvlJc w:val="left"/>
      <w:pPr>
        <w:ind w:left="5040" w:hanging="360"/>
      </w:pPr>
      <w:rPr>
        <w:rFonts w:ascii="Symbol" w:hAnsi="Symbol" w:hint="default"/>
      </w:rPr>
    </w:lvl>
    <w:lvl w:ilvl="7" w:tplc="4C908A80" w:tentative="1">
      <w:start w:val="1"/>
      <w:numFmt w:val="bullet"/>
      <w:lvlText w:val="o"/>
      <w:lvlJc w:val="left"/>
      <w:pPr>
        <w:ind w:left="5760" w:hanging="360"/>
      </w:pPr>
      <w:rPr>
        <w:rFonts w:ascii="Courier New" w:hAnsi="Courier New" w:cs="Courier New" w:hint="default"/>
      </w:rPr>
    </w:lvl>
    <w:lvl w:ilvl="8" w:tplc="F3689C6A" w:tentative="1">
      <w:start w:val="1"/>
      <w:numFmt w:val="bullet"/>
      <w:lvlText w:val=""/>
      <w:lvlJc w:val="left"/>
      <w:pPr>
        <w:ind w:left="6480" w:hanging="360"/>
      </w:pPr>
      <w:rPr>
        <w:rFonts w:ascii="Wingdings" w:hAnsi="Wingdings" w:hint="default"/>
      </w:rPr>
    </w:lvl>
  </w:abstractNum>
  <w:abstractNum w:abstractNumId="33">
    <w:nsid w:val="66690894"/>
    <w:multiLevelType w:val="hybridMultilevel"/>
    <w:tmpl w:val="68C00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AD11A86"/>
    <w:multiLevelType w:val="hybridMultilevel"/>
    <w:tmpl w:val="84E4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096EBD"/>
    <w:multiLevelType w:val="hybridMultilevel"/>
    <w:tmpl w:val="2ABCD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01827D3"/>
    <w:multiLevelType w:val="hybridMultilevel"/>
    <w:tmpl w:val="B33CBC9C"/>
    <w:lvl w:ilvl="0" w:tplc="CB32EDFE">
      <w:start w:val="1"/>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03C7225"/>
    <w:multiLevelType w:val="hybridMultilevel"/>
    <w:tmpl w:val="A83483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75951801"/>
    <w:multiLevelType w:val="singleLevel"/>
    <w:tmpl w:val="35F45D7C"/>
    <w:lvl w:ilvl="0">
      <w:start w:val="1"/>
      <w:numFmt w:val="bullet"/>
      <w:pStyle w:val="Bullet"/>
      <w:lvlText w:val=""/>
      <w:lvlJc w:val="left"/>
      <w:pPr>
        <w:tabs>
          <w:tab w:val="num" w:pos="567"/>
        </w:tabs>
        <w:ind w:left="567" w:hanging="567"/>
      </w:pPr>
      <w:rPr>
        <w:rFonts w:ascii="Symbol" w:hAnsi="Symbol" w:hint="default"/>
        <w:sz w:val="16"/>
      </w:rPr>
    </w:lvl>
  </w:abstractNum>
  <w:abstractNum w:abstractNumId="39">
    <w:nsid w:val="75B272E5"/>
    <w:multiLevelType w:val="hybridMultilevel"/>
    <w:tmpl w:val="B864747C"/>
    <w:lvl w:ilvl="0" w:tplc="4336F568">
      <w:start w:val="1"/>
      <w:numFmt w:val="decimal"/>
      <w:lvlText w:val="%1."/>
      <w:lvlJc w:val="left"/>
      <w:pPr>
        <w:ind w:left="720" w:hanging="360"/>
      </w:pPr>
      <w:rPr>
        <w:rFonts w:hint="default"/>
      </w:rPr>
    </w:lvl>
    <w:lvl w:ilvl="1" w:tplc="24543266" w:tentative="1">
      <w:start w:val="1"/>
      <w:numFmt w:val="lowerLetter"/>
      <w:lvlText w:val="%2."/>
      <w:lvlJc w:val="left"/>
      <w:pPr>
        <w:ind w:left="1440" w:hanging="360"/>
      </w:pPr>
    </w:lvl>
    <w:lvl w:ilvl="2" w:tplc="E910B0A0" w:tentative="1">
      <w:start w:val="1"/>
      <w:numFmt w:val="lowerRoman"/>
      <w:lvlText w:val="%3."/>
      <w:lvlJc w:val="right"/>
      <w:pPr>
        <w:ind w:left="2160" w:hanging="180"/>
      </w:pPr>
    </w:lvl>
    <w:lvl w:ilvl="3" w:tplc="73526C3C" w:tentative="1">
      <w:start w:val="1"/>
      <w:numFmt w:val="decimal"/>
      <w:lvlText w:val="%4."/>
      <w:lvlJc w:val="left"/>
      <w:pPr>
        <w:ind w:left="2880" w:hanging="360"/>
      </w:pPr>
    </w:lvl>
    <w:lvl w:ilvl="4" w:tplc="D66EB6EC" w:tentative="1">
      <w:start w:val="1"/>
      <w:numFmt w:val="lowerLetter"/>
      <w:lvlText w:val="%5."/>
      <w:lvlJc w:val="left"/>
      <w:pPr>
        <w:ind w:left="3600" w:hanging="360"/>
      </w:pPr>
    </w:lvl>
    <w:lvl w:ilvl="5" w:tplc="02DE65B2" w:tentative="1">
      <w:start w:val="1"/>
      <w:numFmt w:val="lowerRoman"/>
      <w:lvlText w:val="%6."/>
      <w:lvlJc w:val="right"/>
      <w:pPr>
        <w:ind w:left="4320" w:hanging="180"/>
      </w:pPr>
    </w:lvl>
    <w:lvl w:ilvl="6" w:tplc="DF94E71C" w:tentative="1">
      <w:start w:val="1"/>
      <w:numFmt w:val="decimal"/>
      <w:lvlText w:val="%7."/>
      <w:lvlJc w:val="left"/>
      <w:pPr>
        <w:ind w:left="5040" w:hanging="360"/>
      </w:pPr>
    </w:lvl>
    <w:lvl w:ilvl="7" w:tplc="9D401D2C" w:tentative="1">
      <w:start w:val="1"/>
      <w:numFmt w:val="lowerLetter"/>
      <w:lvlText w:val="%8."/>
      <w:lvlJc w:val="left"/>
      <w:pPr>
        <w:ind w:left="5760" w:hanging="360"/>
      </w:pPr>
    </w:lvl>
    <w:lvl w:ilvl="8" w:tplc="A93048B0" w:tentative="1">
      <w:start w:val="1"/>
      <w:numFmt w:val="lowerRoman"/>
      <w:lvlText w:val="%9."/>
      <w:lvlJc w:val="right"/>
      <w:pPr>
        <w:ind w:left="6480" w:hanging="180"/>
      </w:pPr>
    </w:lvl>
  </w:abstractNum>
  <w:abstractNum w:abstractNumId="40">
    <w:nsid w:val="77251BA4"/>
    <w:multiLevelType w:val="hybridMultilevel"/>
    <w:tmpl w:val="0D48FF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795509AD"/>
    <w:multiLevelType w:val="hybridMultilevel"/>
    <w:tmpl w:val="DB5AB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A88150C"/>
    <w:multiLevelType w:val="hybridMultilevel"/>
    <w:tmpl w:val="24A63D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B9B342D"/>
    <w:multiLevelType w:val="hybridMultilevel"/>
    <w:tmpl w:val="F0081724"/>
    <w:lvl w:ilvl="0" w:tplc="04090001">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EC1108B"/>
    <w:multiLevelType w:val="hybridMultilevel"/>
    <w:tmpl w:val="9EC8C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15"/>
  </w:num>
  <w:num w:numId="3">
    <w:abstractNumId w:val="14"/>
  </w:num>
  <w:num w:numId="4">
    <w:abstractNumId w:val="25"/>
  </w:num>
  <w:num w:numId="5">
    <w:abstractNumId w:val="7"/>
  </w:num>
  <w:num w:numId="6">
    <w:abstractNumId w:val="20"/>
  </w:num>
  <w:num w:numId="7">
    <w:abstractNumId w:val="27"/>
  </w:num>
  <w:num w:numId="8">
    <w:abstractNumId w:val="32"/>
  </w:num>
  <w:num w:numId="9">
    <w:abstractNumId w:val="43"/>
  </w:num>
  <w:num w:numId="10">
    <w:abstractNumId w:val="26"/>
  </w:num>
  <w:num w:numId="11">
    <w:abstractNumId w:val="42"/>
  </w:num>
  <w:num w:numId="12">
    <w:abstractNumId w:val="39"/>
  </w:num>
  <w:num w:numId="13">
    <w:abstractNumId w:val="19"/>
  </w:num>
  <w:num w:numId="14">
    <w:abstractNumId w:val="10"/>
  </w:num>
  <w:num w:numId="15">
    <w:abstractNumId w:val="18"/>
  </w:num>
  <w:num w:numId="16">
    <w:abstractNumId w:val="34"/>
  </w:num>
  <w:num w:numId="17">
    <w:abstractNumId w:val="12"/>
  </w:num>
  <w:num w:numId="18">
    <w:abstractNumId w:val="17"/>
  </w:num>
  <w:num w:numId="19">
    <w:abstractNumId w:val="16"/>
  </w:num>
  <w:num w:numId="20">
    <w:abstractNumId w:val="44"/>
  </w:num>
  <w:num w:numId="21">
    <w:abstractNumId w:val="21"/>
  </w:num>
  <w:num w:numId="22">
    <w:abstractNumId w:val="5"/>
  </w:num>
  <w:num w:numId="23">
    <w:abstractNumId w:val="38"/>
  </w:num>
  <w:num w:numId="24">
    <w:abstractNumId w:val="31"/>
  </w:num>
  <w:num w:numId="25">
    <w:abstractNumId w:val="2"/>
  </w:num>
  <w:num w:numId="26">
    <w:abstractNumId w:val="1"/>
  </w:num>
  <w:num w:numId="27">
    <w:abstractNumId w:val="28"/>
  </w:num>
  <w:num w:numId="28">
    <w:abstractNumId w:val="35"/>
  </w:num>
  <w:num w:numId="29">
    <w:abstractNumId w:val="3"/>
  </w:num>
  <w:num w:numId="30">
    <w:abstractNumId w:val="11"/>
  </w:num>
  <w:num w:numId="31">
    <w:abstractNumId w:val="40"/>
  </w:num>
  <w:num w:numId="32">
    <w:abstractNumId w:val="13"/>
  </w:num>
  <w:num w:numId="33">
    <w:abstractNumId w:val="29"/>
  </w:num>
  <w:num w:numId="34">
    <w:abstractNumId w:val="37"/>
  </w:num>
  <w:num w:numId="35">
    <w:abstractNumId w:val="41"/>
  </w:num>
  <w:num w:numId="36">
    <w:abstractNumId w:val="9"/>
  </w:num>
  <w:num w:numId="37">
    <w:abstractNumId w:val="0"/>
  </w:num>
  <w:num w:numId="38">
    <w:abstractNumId w:val="8"/>
  </w:num>
  <w:num w:numId="39">
    <w:abstractNumId w:val="33"/>
  </w:num>
  <w:num w:numId="40">
    <w:abstractNumId w:val="6"/>
  </w:num>
  <w:num w:numId="41">
    <w:abstractNumId w:val="30"/>
  </w:num>
  <w:num w:numId="42">
    <w:abstractNumId w:val="4"/>
  </w:num>
  <w:num w:numId="43">
    <w:abstractNumId w:val="36"/>
  </w:num>
  <w:num w:numId="44">
    <w:abstractNumId w:val="22"/>
  </w:num>
  <w:num w:numId="45">
    <w:abstractNumId w:val="24"/>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grammar="clean"/>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rsids>
    <w:rsidRoot w:val="00704222"/>
    <w:rsid w:val="000028CA"/>
    <w:rsid w:val="00002919"/>
    <w:rsid w:val="00002A15"/>
    <w:rsid w:val="00003137"/>
    <w:rsid w:val="00003A8D"/>
    <w:rsid w:val="0000453A"/>
    <w:rsid w:val="00004B54"/>
    <w:rsid w:val="00005EC5"/>
    <w:rsid w:val="00010255"/>
    <w:rsid w:val="00010A49"/>
    <w:rsid w:val="00010C0D"/>
    <w:rsid w:val="00011BE4"/>
    <w:rsid w:val="00012423"/>
    <w:rsid w:val="000151E5"/>
    <w:rsid w:val="00015390"/>
    <w:rsid w:val="000154BC"/>
    <w:rsid w:val="00016307"/>
    <w:rsid w:val="000170FD"/>
    <w:rsid w:val="00020A50"/>
    <w:rsid w:val="0002190B"/>
    <w:rsid w:val="00021FC6"/>
    <w:rsid w:val="0002259B"/>
    <w:rsid w:val="0002439B"/>
    <w:rsid w:val="00024C58"/>
    <w:rsid w:val="00024CD9"/>
    <w:rsid w:val="0002558B"/>
    <w:rsid w:val="0002598C"/>
    <w:rsid w:val="00026337"/>
    <w:rsid w:val="00026448"/>
    <w:rsid w:val="00026FC5"/>
    <w:rsid w:val="000277AC"/>
    <w:rsid w:val="00027AF6"/>
    <w:rsid w:val="00030157"/>
    <w:rsid w:val="00030FC1"/>
    <w:rsid w:val="0003130A"/>
    <w:rsid w:val="00031E2A"/>
    <w:rsid w:val="000348BA"/>
    <w:rsid w:val="00034B51"/>
    <w:rsid w:val="00035A0A"/>
    <w:rsid w:val="00040C56"/>
    <w:rsid w:val="00040D98"/>
    <w:rsid w:val="00041C31"/>
    <w:rsid w:val="000423E2"/>
    <w:rsid w:val="00044DB2"/>
    <w:rsid w:val="00046340"/>
    <w:rsid w:val="000477DA"/>
    <w:rsid w:val="00050703"/>
    <w:rsid w:val="0005075F"/>
    <w:rsid w:val="00050F8D"/>
    <w:rsid w:val="00052638"/>
    <w:rsid w:val="00053AE7"/>
    <w:rsid w:val="00053F15"/>
    <w:rsid w:val="000549C3"/>
    <w:rsid w:val="00055709"/>
    <w:rsid w:val="000570C4"/>
    <w:rsid w:val="000571EA"/>
    <w:rsid w:val="0006187B"/>
    <w:rsid w:val="00062ECB"/>
    <w:rsid w:val="000648B9"/>
    <w:rsid w:val="00067352"/>
    <w:rsid w:val="00072593"/>
    <w:rsid w:val="00072885"/>
    <w:rsid w:val="000738B4"/>
    <w:rsid w:val="0007522C"/>
    <w:rsid w:val="00076E6C"/>
    <w:rsid w:val="00085B8F"/>
    <w:rsid w:val="00086A67"/>
    <w:rsid w:val="00086F60"/>
    <w:rsid w:val="0008723E"/>
    <w:rsid w:val="00087EAC"/>
    <w:rsid w:val="000910F6"/>
    <w:rsid w:val="00091D7D"/>
    <w:rsid w:val="00093634"/>
    <w:rsid w:val="0009531A"/>
    <w:rsid w:val="00095B8C"/>
    <w:rsid w:val="00096C60"/>
    <w:rsid w:val="000974C4"/>
    <w:rsid w:val="000A0299"/>
    <w:rsid w:val="000A0832"/>
    <w:rsid w:val="000A32E0"/>
    <w:rsid w:val="000A353C"/>
    <w:rsid w:val="000A6DAE"/>
    <w:rsid w:val="000A708F"/>
    <w:rsid w:val="000B01BD"/>
    <w:rsid w:val="000B0392"/>
    <w:rsid w:val="000B183F"/>
    <w:rsid w:val="000B21EF"/>
    <w:rsid w:val="000B31E3"/>
    <w:rsid w:val="000B3877"/>
    <w:rsid w:val="000B4054"/>
    <w:rsid w:val="000B6A42"/>
    <w:rsid w:val="000B7E74"/>
    <w:rsid w:val="000C029D"/>
    <w:rsid w:val="000C03B0"/>
    <w:rsid w:val="000C3910"/>
    <w:rsid w:val="000C440C"/>
    <w:rsid w:val="000C50A6"/>
    <w:rsid w:val="000C5D93"/>
    <w:rsid w:val="000C76E0"/>
    <w:rsid w:val="000C7A03"/>
    <w:rsid w:val="000C7AB8"/>
    <w:rsid w:val="000C7DEF"/>
    <w:rsid w:val="000C7EBA"/>
    <w:rsid w:val="000D0D9C"/>
    <w:rsid w:val="000D349B"/>
    <w:rsid w:val="000D3C4E"/>
    <w:rsid w:val="000D4C02"/>
    <w:rsid w:val="000D4CBB"/>
    <w:rsid w:val="000D70F3"/>
    <w:rsid w:val="000D7735"/>
    <w:rsid w:val="000D7908"/>
    <w:rsid w:val="000E08D5"/>
    <w:rsid w:val="000E1464"/>
    <w:rsid w:val="000E14C1"/>
    <w:rsid w:val="000E15E2"/>
    <w:rsid w:val="000E29E9"/>
    <w:rsid w:val="000E313A"/>
    <w:rsid w:val="000E3AA9"/>
    <w:rsid w:val="000E3BE7"/>
    <w:rsid w:val="000E746E"/>
    <w:rsid w:val="000E7701"/>
    <w:rsid w:val="000E7E14"/>
    <w:rsid w:val="000F04BE"/>
    <w:rsid w:val="000F11FC"/>
    <w:rsid w:val="000F1496"/>
    <w:rsid w:val="000F19ED"/>
    <w:rsid w:val="000F1B32"/>
    <w:rsid w:val="000F1C78"/>
    <w:rsid w:val="000F1E3F"/>
    <w:rsid w:val="000F230D"/>
    <w:rsid w:val="000F32D6"/>
    <w:rsid w:val="000F3437"/>
    <w:rsid w:val="000F418F"/>
    <w:rsid w:val="000F5BE4"/>
    <w:rsid w:val="000F5C28"/>
    <w:rsid w:val="000F6315"/>
    <w:rsid w:val="000F7144"/>
    <w:rsid w:val="000F728B"/>
    <w:rsid w:val="000F7884"/>
    <w:rsid w:val="0010073E"/>
    <w:rsid w:val="0010077F"/>
    <w:rsid w:val="001007AE"/>
    <w:rsid w:val="00100C79"/>
    <w:rsid w:val="00102564"/>
    <w:rsid w:val="001041D4"/>
    <w:rsid w:val="00106874"/>
    <w:rsid w:val="00106BE7"/>
    <w:rsid w:val="00110CB9"/>
    <w:rsid w:val="00116D97"/>
    <w:rsid w:val="00117C7C"/>
    <w:rsid w:val="00120452"/>
    <w:rsid w:val="0012174F"/>
    <w:rsid w:val="0012215B"/>
    <w:rsid w:val="00122279"/>
    <w:rsid w:val="00122788"/>
    <w:rsid w:val="00122B44"/>
    <w:rsid w:val="00122CD9"/>
    <w:rsid w:val="001231A7"/>
    <w:rsid w:val="0012367F"/>
    <w:rsid w:val="00123A48"/>
    <w:rsid w:val="001248AB"/>
    <w:rsid w:val="00124DC6"/>
    <w:rsid w:val="00124E79"/>
    <w:rsid w:val="00124F8D"/>
    <w:rsid w:val="00125108"/>
    <w:rsid w:val="001254F8"/>
    <w:rsid w:val="00126C8C"/>
    <w:rsid w:val="00131057"/>
    <w:rsid w:val="00133CA5"/>
    <w:rsid w:val="00134759"/>
    <w:rsid w:val="00135FE8"/>
    <w:rsid w:val="001360D3"/>
    <w:rsid w:val="00136242"/>
    <w:rsid w:val="0013675B"/>
    <w:rsid w:val="001414EA"/>
    <w:rsid w:val="00141ACD"/>
    <w:rsid w:val="001438D5"/>
    <w:rsid w:val="00145774"/>
    <w:rsid w:val="00146AE8"/>
    <w:rsid w:val="001500E1"/>
    <w:rsid w:val="0015063F"/>
    <w:rsid w:val="00150A79"/>
    <w:rsid w:val="001515FF"/>
    <w:rsid w:val="001527EB"/>
    <w:rsid w:val="001536C9"/>
    <w:rsid w:val="001537A7"/>
    <w:rsid w:val="00153FCF"/>
    <w:rsid w:val="00154660"/>
    <w:rsid w:val="0015634E"/>
    <w:rsid w:val="00157D3B"/>
    <w:rsid w:val="00160D37"/>
    <w:rsid w:val="001610FD"/>
    <w:rsid w:val="0016174C"/>
    <w:rsid w:val="00162D90"/>
    <w:rsid w:val="001641DC"/>
    <w:rsid w:val="00164335"/>
    <w:rsid w:val="001676A9"/>
    <w:rsid w:val="00167831"/>
    <w:rsid w:val="00167CA7"/>
    <w:rsid w:val="00171AF5"/>
    <w:rsid w:val="001728D9"/>
    <w:rsid w:val="00172975"/>
    <w:rsid w:val="00172C02"/>
    <w:rsid w:val="0017336A"/>
    <w:rsid w:val="00173632"/>
    <w:rsid w:val="001739FE"/>
    <w:rsid w:val="00173B85"/>
    <w:rsid w:val="00176094"/>
    <w:rsid w:val="00180711"/>
    <w:rsid w:val="001811C4"/>
    <w:rsid w:val="001828C9"/>
    <w:rsid w:val="00185A4C"/>
    <w:rsid w:val="00185F85"/>
    <w:rsid w:val="00186478"/>
    <w:rsid w:val="001913C3"/>
    <w:rsid w:val="001953E4"/>
    <w:rsid w:val="001956F0"/>
    <w:rsid w:val="001A0964"/>
    <w:rsid w:val="001A0AA6"/>
    <w:rsid w:val="001A1C2C"/>
    <w:rsid w:val="001A1EF5"/>
    <w:rsid w:val="001A35CE"/>
    <w:rsid w:val="001A438F"/>
    <w:rsid w:val="001A546F"/>
    <w:rsid w:val="001A6EAA"/>
    <w:rsid w:val="001A7E3A"/>
    <w:rsid w:val="001B0C98"/>
    <w:rsid w:val="001B1431"/>
    <w:rsid w:val="001B3305"/>
    <w:rsid w:val="001B34DF"/>
    <w:rsid w:val="001B3632"/>
    <w:rsid w:val="001B383E"/>
    <w:rsid w:val="001B396B"/>
    <w:rsid w:val="001B39C3"/>
    <w:rsid w:val="001B4394"/>
    <w:rsid w:val="001B4552"/>
    <w:rsid w:val="001B4806"/>
    <w:rsid w:val="001B5476"/>
    <w:rsid w:val="001B6AF9"/>
    <w:rsid w:val="001B7462"/>
    <w:rsid w:val="001C046B"/>
    <w:rsid w:val="001C05B2"/>
    <w:rsid w:val="001C09E8"/>
    <w:rsid w:val="001C1A3F"/>
    <w:rsid w:val="001C2224"/>
    <w:rsid w:val="001C22A2"/>
    <w:rsid w:val="001C3595"/>
    <w:rsid w:val="001C4736"/>
    <w:rsid w:val="001C5EF6"/>
    <w:rsid w:val="001C7157"/>
    <w:rsid w:val="001C7894"/>
    <w:rsid w:val="001D04CE"/>
    <w:rsid w:val="001D13BD"/>
    <w:rsid w:val="001D2238"/>
    <w:rsid w:val="001D2283"/>
    <w:rsid w:val="001D2521"/>
    <w:rsid w:val="001D3046"/>
    <w:rsid w:val="001D38B0"/>
    <w:rsid w:val="001D3E74"/>
    <w:rsid w:val="001D45FB"/>
    <w:rsid w:val="001D4B63"/>
    <w:rsid w:val="001D5640"/>
    <w:rsid w:val="001D5D76"/>
    <w:rsid w:val="001D5F6D"/>
    <w:rsid w:val="001D685C"/>
    <w:rsid w:val="001E131A"/>
    <w:rsid w:val="001E1462"/>
    <w:rsid w:val="001E3176"/>
    <w:rsid w:val="001E3890"/>
    <w:rsid w:val="001E663C"/>
    <w:rsid w:val="001E6D44"/>
    <w:rsid w:val="001F0669"/>
    <w:rsid w:val="001F08E6"/>
    <w:rsid w:val="001F13F9"/>
    <w:rsid w:val="001F1ADE"/>
    <w:rsid w:val="001F3ED5"/>
    <w:rsid w:val="001F47C2"/>
    <w:rsid w:val="001F570D"/>
    <w:rsid w:val="001F65D4"/>
    <w:rsid w:val="001F685A"/>
    <w:rsid w:val="001F6FDC"/>
    <w:rsid w:val="0020035C"/>
    <w:rsid w:val="00202929"/>
    <w:rsid w:val="00203158"/>
    <w:rsid w:val="00203295"/>
    <w:rsid w:val="00204F47"/>
    <w:rsid w:val="00205461"/>
    <w:rsid w:val="0020742D"/>
    <w:rsid w:val="00207A32"/>
    <w:rsid w:val="00207FEE"/>
    <w:rsid w:val="002111C8"/>
    <w:rsid w:val="00211774"/>
    <w:rsid w:val="00211C31"/>
    <w:rsid w:val="00211D10"/>
    <w:rsid w:val="002143B8"/>
    <w:rsid w:val="002149F8"/>
    <w:rsid w:val="00215D05"/>
    <w:rsid w:val="00216545"/>
    <w:rsid w:val="0022032A"/>
    <w:rsid w:val="0022038D"/>
    <w:rsid w:val="0022191D"/>
    <w:rsid w:val="0022230A"/>
    <w:rsid w:val="0022317F"/>
    <w:rsid w:val="00224F34"/>
    <w:rsid w:val="002302A6"/>
    <w:rsid w:val="00231558"/>
    <w:rsid w:val="0023292C"/>
    <w:rsid w:val="002336C3"/>
    <w:rsid w:val="00233CAC"/>
    <w:rsid w:val="002405EA"/>
    <w:rsid w:val="00241377"/>
    <w:rsid w:val="00242709"/>
    <w:rsid w:val="00242D24"/>
    <w:rsid w:val="0024420C"/>
    <w:rsid w:val="002447EE"/>
    <w:rsid w:val="00244D24"/>
    <w:rsid w:val="002454C3"/>
    <w:rsid w:val="00245EA5"/>
    <w:rsid w:val="00246064"/>
    <w:rsid w:val="0024729D"/>
    <w:rsid w:val="00247B6C"/>
    <w:rsid w:val="00250504"/>
    <w:rsid w:val="002525B1"/>
    <w:rsid w:val="00255918"/>
    <w:rsid w:val="00256EBD"/>
    <w:rsid w:val="00256ECC"/>
    <w:rsid w:val="00257536"/>
    <w:rsid w:val="002605EC"/>
    <w:rsid w:val="002608AF"/>
    <w:rsid w:val="00261E8D"/>
    <w:rsid w:val="00262EDD"/>
    <w:rsid w:val="00263F26"/>
    <w:rsid w:val="00265CDE"/>
    <w:rsid w:val="00265D49"/>
    <w:rsid w:val="00266090"/>
    <w:rsid w:val="002669FC"/>
    <w:rsid w:val="00266FD4"/>
    <w:rsid w:val="00267F8E"/>
    <w:rsid w:val="00270795"/>
    <w:rsid w:val="00271A0A"/>
    <w:rsid w:val="00271F31"/>
    <w:rsid w:val="00272D1F"/>
    <w:rsid w:val="00272EFB"/>
    <w:rsid w:val="00274141"/>
    <w:rsid w:val="00274897"/>
    <w:rsid w:val="002762AA"/>
    <w:rsid w:val="0027725B"/>
    <w:rsid w:val="0028064D"/>
    <w:rsid w:val="00282997"/>
    <w:rsid w:val="002844E5"/>
    <w:rsid w:val="00285554"/>
    <w:rsid w:val="002904CC"/>
    <w:rsid w:val="00291A6B"/>
    <w:rsid w:val="00292976"/>
    <w:rsid w:val="00293C03"/>
    <w:rsid w:val="00293EFC"/>
    <w:rsid w:val="00293FD2"/>
    <w:rsid w:val="00294180"/>
    <w:rsid w:val="002945B3"/>
    <w:rsid w:val="00295927"/>
    <w:rsid w:val="0029690F"/>
    <w:rsid w:val="002A0D74"/>
    <w:rsid w:val="002A358C"/>
    <w:rsid w:val="002A3874"/>
    <w:rsid w:val="002A441D"/>
    <w:rsid w:val="002A4737"/>
    <w:rsid w:val="002A606B"/>
    <w:rsid w:val="002B4BE7"/>
    <w:rsid w:val="002B581A"/>
    <w:rsid w:val="002B777C"/>
    <w:rsid w:val="002C05F2"/>
    <w:rsid w:val="002C0B8B"/>
    <w:rsid w:val="002C278A"/>
    <w:rsid w:val="002C57E9"/>
    <w:rsid w:val="002C5FFF"/>
    <w:rsid w:val="002C6474"/>
    <w:rsid w:val="002D1680"/>
    <w:rsid w:val="002D193E"/>
    <w:rsid w:val="002D1D21"/>
    <w:rsid w:val="002D1E81"/>
    <w:rsid w:val="002D1FCF"/>
    <w:rsid w:val="002D2037"/>
    <w:rsid w:val="002D24CD"/>
    <w:rsid w:val="002D2FF0"/>
    <w:rsid w:val="002D348D"/>
    <w:rsid w:val="002D3845"/>
    <w:rsid w:val="002D4501"/>
    <w:rsid w:val="002D669F"/>
    <w:rsid w:val="002D7DE0"/>
    <w:rsid w:val="002E0701"/>
    <w:rsid w:val="002E07A0"/>
    <w:rsid w:val="002E1128"/>
    <w:rsid w:val="002E1727"/>
    <w:rsid w:val="002E1B6A"/>
    <w:rsid w:val="002E264C"/>
    <w:rsid w:val="002E2B04"/>
    <w:rsid w:val="002E3202"/>
    <w:rsid w:val="002E405E"/>
    <w:rsid w:val="002E4C58"/>
    <w:rsid w:val="002E4CB5"/>
    <w:rsid w:val="002E4FEC"/>
    <w:rsid w:val="002E6077"/>
    <w:rsid w:val="002E6680"/>
    <w:rsid w:val="002E71D0"/>
    <w:rsid w:val="002E78A6"/>
    <w:rsid w:val="002F2A64"/>
    <w:rsid w:val="002F2E5F"/>
    <w:rsid w:val="002F2F17"/>
    <w:rsid w:val="002F3009"/>
    <w:rsid w:val="002F32CC"/>
    <w:rsid w:val="002F4098"/>
    <w:rsid w:val="002F41A0"/>
    <w:rsid w:val="002F52BC"/>
    <w:rsid w:val="002F6C6D"/>
    <w:rsid w:val="002F6EAA"/>
    <w:rsid w:val="002F7DED"/>
    <w:rsid w:val="0030057E"/>
    <w:rsid w:val="00300A40"/>
    <w:rsid w:val="003012FC"/>
    <w:rsid w:val="00304134"/>
    <w:rsid w:val="0030422F"/>
    <w:rsid w:val="00306A8A"/>
    <w:rsid w:val="00307035"/>
    <w:rsid w:val="003102D7"/>
    <w:rsid w:val="00311ADC"/>
    <w:rsid w:val="003122A9"/>
    <w:rsid w:val="00312AED"/>
    <w:rsid w:val="00314FFC"/>
    <w:rsid w:val="0031605C"/>
    <w:rsid w:val="003175A6"/>
    <w:rsid w:val="00317768"/>
    <w:rsid w:val="003177B4"/>
    <w:rsid w:val="00320889"/>
    <w:rsid w:val="00321753"/>
    <w:rsid w:val="00322693"/>
    <w:rsid w:val="00323B2B"/>
    <w:rsid w:val="00325280"/>
    <w:rsid w:val="00325C6C"/>
    <w:rsid w:val="00325DAF"/>
    <w:rsid w:val="00326A57"/>
    <w:rsid w:val="003270BB"/>
    <w:rsid w:val="00332FF5"/>
    <w:rsid w:val="00333041"/>
    <w:rsid w:val="00333476"/>
    <w:rsid w:val="00334957"/>
    <w:rsid w:val="00335454"/>
    <w:rsid w:val="00336C3D"/>
    <w:rsid w:val="00336F38"/>
    <w:rsid w:val="003377BA"/>
    <w:rsid w:val="00337C2B"/>
    <w:rsid w:val="003414CC"/>
    <w:rsid w:val="00342816"/>
    <w:rsid w:val="00342C51"/>
    <w:rsid w:val="00344007"/>
    <w:rsid w:val="00345653"/>
    <w:rsid w:val="003457C7"/>
    <w:rsid w:val="00345ED6"/>
    <w:rsid w:val="003478C7"/>
    <w:rsid w:val="00347A66"/>
    <w:rsid w:val="00350978"/>
    <w:rsid w:val="00352650"/>
    <w:rsid w:val="00352D12"/>
    <w:rsid w:val="00353162"/>
    <w:rsid w:val="003537D3"/>
    <w:rsid w:val="00353AEB"/>
    <w:rsid w:val="00357F6D"/>
    <w:rsid w:val="00360AE5"/>
    <w:rsid w:val="0036119B"/>
    <w:rsid w:val="00361746"/>
    <w:rsid w:val="00362136"/>
    <w:rsid w:val="003623BB"/>
    <w:rsid w:val="00362532"/>
    <w:rsid w:val="003626AB"/>
    <w:rsid w:val="00362805"/>
    <w:rsid w:val="003639CA"/>
    <w:rsid w:val="003639F6"/>
    <w:rsid w:val="00363E1B"/>
    <w:rsid w:val="00364A2D"/>
    <w:rsid w:val="00365768"/>
    <w:rsid w:val="00367095"/>
    <w:rsid w:val="00367170"/>
    <w:rsid w:val="003700B5"/>
    <w:rsid w:val="003701EB"/>
    <w:rsid w:val="00371000"/>
    <w:rsid w:val="003716ED"/>
    <w:rsid w:val="00372B5A"/>
    <w:rsid w:val="00373E64"/>
    <w:rsid w:val="003770B6"/>
    <w:rsid w:val="0037713F"/>
    <w:rsid w:val="0038010C"/>
    <w:rsid w:val="0038015B"/>
    <w:rsid w:val="00380F58"/>
    <w:rsid w:val="00380F67"/>
    <w:rsid w:val="00381911"/>
    <w:rsid w:val="00381A0B"/>
    <w:rsid w:val="00381ED9"/>
    <w:rsid w:val="00381FFF"/>
    <w:rsid w:val="00382D43"/>
    <w:rsid w:val="00382D87"/>
    <w:rsid w:val="0038369F"/>
    <w:rsid w:val="00384F49"/>
    <w:rsid w:val="00385118"/>
    <w:rsid w:val="003853BE"/>
    <w:rsid w:val="0038576E"/>
    <w:rsid w:val="003864A5"/>
    <w:rsid w:val="00386D12"/>
    <w:rsid w:val="00390206"/>
    <w:rsid w:val="00390B79"/>
    <w:rsid w:val="00390F70"/>
    <w:rsid w:val="00391627"/>
    <w:rsid w:val="00391819"/>
    <w:rsid w:val="0039220D"/>
    <w:rsid w:val="00392541"/>
    <w:rsid w:val="003927DB"/>
    <w:rsid w:val="00392F74"/>
    <w:rsid w:val="00393218"/>
    <w:rsid w:val="00394A5F"/>
    <w:rsid w:val="00394EFE"/>
    <w:rsid w:val="00396DC2"/>
    <w:rsid w:val="0039719A"/>
    <w:rsid w:val="003A097B"/>
    <w:rsid w:val="003A0FB4"/>
    <w:rsid w:val="003A5AE2"/>
    <w:rsid w:val="003A627F"/>
    <w:rsid w:val="003A66FB"/>
    <w:rsid w:val="003B03A2"/>
    <w:rsid w:val="003B25D4"/>
    <w:rsid w:val="003B2EF8"/>
    <w:rsid w:val="003B36C2"/>
    <w:rsid w:val="003B4C1B"/>
    <w:rsid w:val="003B4DB2"/>
    <w:rsid w:val="003B5299"/>
    <w:rsid w:val="003B591A"/>
    <w:rsid w:val="003B7C2C"/>
    <w:rsid w:val="003C1285"/>
    <w:rsid w:val="003C2EBB"/>
    <w:rsid w:val="003C3C40"/>
    <w:rsid w:val="003C4DCD"/>
    <w:rsid w:val="003C5A47"/>
    <w:rsid w:val="003C5E8D"/>
    <w:rsid w:val="003C6D5C"/>
    <w:rsid w:val="003C74E1"/>
    <w:rsid w:val="003D04ED"/>
    <w:rsid w:val="003D05C0"/>
    <w:rsid w:val="003D0CDB"/>
    <w:rsid w:val="003D0F94"/>
    <w:rsid w:val="003D1AC3"/>
    <w:rsid w:val="003D229F"/>
    <w:rsid w:val="003D26EA"/>
    <w:rsid w:val="003D2D43"/>
    <w:rsid w:val="003D398E"/>
    <w:rsid w:val="003D67EE"/>
    <w:rsid w:val="003D70FC"/>
    <w:rsid w:val="003D75D5"/>
    <w:rsid w:val="003E07FF"/>
    <w:rsid w:val="003E13E7"/>
    <w:rsid w:val="003E17C8"/>
    <w:rsid w:val="003E29FD"/>
    <w:rsid w:val="003E2B6B"/>
    <w:rsid w:val="003E2DD9"/>
    <w:rsid w:val="003E4E4F"/>
    <w:rsid w:val="003E529F"/>
    <w:rsid w:val="003E625D"/>
    <w:rsid w:val="003E6EA5"/>
    <w:rsid w:val="003E7529"/>
    <w:rsid w:val="003F077F"/>
    <w:rsid w:val="003F2446"/>
    <w:rsid w:val="003F2A35"/>
    <w:rsid w:val="003F3B87"/>
    <w:rsid w:val="003F4ADD"/>
    <w:rsid w:val="003F6DA8"/>
    <w:rsid w:val="003F7FFD"/>
    <w:rsid w:val="00400539"/>
    <w:rsid w:val="004034FF"/>
    <w:rsid w:val="004045E3"/>
    <w:rsid w:val="00404780"/>
    <w:rsid w:val="00404A95"/>
    <w:rsid w:val="00404B64"/>
    <w:rsid w:val="00406766"/>
    <w:rsid w:val="004115C6"/>
    <w:rsid w:val="00414376"/>
    <w:rsid w:val="00415164"/>
    <w:rsid w:val="004151FA"/>
    <w:rsid w:val="00417E8C"/>
    <w:rsid w:val="00420984"/>
    <w:rsid w:val="00421FBD"/>
    <w:rsid w:val="00422264"/>
    <w:rsid w:val="004223DB"/>
    <w:rsid w:val="004230BE"/>
    <w:rsid w:val="0042330E"/>
    <w:rsid w:val="00425BB5"/>
    <w:rsid w:val="00426AA9"/>
    <w:rsid w:val="00426BFA"/>
    <w:rsid w:val="004270BE"/>
    <w:rsid w:val="004272DE"/>
    <w:rsid w:val="0043356B"/>
    <w:rsid w:val="00433A94"/>
    <w:rsid w:val="00433EBF"/>
    <w:rsid w:val="00433FC8"/>
    <w:rsid w:val="00434964"/>
    <w:rsid w:val="0043543B"/>
    <w:rsid w:val="004360C3"/>
    <w:rsid w:val="0043620F"/>
    <w:rsid w:val="0043623E"/>
    <w:rsid w:val="004362B4"/>
    <w:rsid w:val="004403B3"/>
    <w:rsid w:val="0044133F"/>
    <w:rsid w:val="00442182"/>
    <w:rsid w:val="0044351B"/>
    <w:rsid w:val="0044683E"/>
    <w:rsid w:val="004506CF"/>
    <w:rsid w:val="00450980"/>
    <w:rsid w:val="00450AC4"/>
    <w:rsid w:val="0045176B"/>
    <w:rsid w:val="004521D1"/>
    <w:rsid w:val="0045300A"/>
    <w:rsid w:val="00454A54"/>
    <w:rsid w:val="00456636"/>
    <w:rsid w:val="0046024F"/>
    <w:rsid w:val="00461871"/>
    <w:rsid w:val="00461EC2"/>
    <w:rsid w:val="00462046"/>
    <w:rsid w:val="00462076"/>
    <w:rsid w:val="004625A3"/>
    <w:rsid w:val="0046277E"/>
    <w:rsid w:val="00462C02"/>
    <w:rsid w:val="00464280"/>
    <w:rsid w:val="00466752"/>
    <w:rsid w:val="0047140B"/>
    <w:rsid w:val="00471560"/>
    <w:rsid w:val="00471B58"/>
    <w:rsid w:val="004752E7"/>
    <w:rsid w:val="00475BC7"/>
    <w:rsid w:val="00477845"/>
    <w:rsid w:val="00477A4D"/>
    <w:rsid w:val="004812DB"/>
    <w:rsid w:val="00485500"/>
    <w:rsid w:val="00485F50"/>
    <w:rsid w:val="004864FE"/>
    <w:rsid w:val="00486BC1"/>
    <w:rsid w:val="00487D2D"/>
    <w:rsid w:val="00490FD2"/>
    <w:rsid w:val="00491123"/>
    <w:rsid w:val="00492462"/>
    <w:rsid w:val="00493BD9"/>
    <w:rsid w:val="0049549E"/>
    <w:rsid w:val="004961CF"/>
    <w:rsid w:val="00496A58"/>
    <w:rsid w:val="00496F2F"/>
    <w:rsid w:val="00497938"/>
    <w:rsid w:val="00497976"/>
    <w:rsid w:val="004A033D"/>
    <w:rsid w:val="004A3AC7"/>
    <w:rsid w:val="004A4C70"/>
    <w:rsid w:val="004A4F4B"/>
    <w:rsid w:val="004A4FD1"/>
    <w:rsid w:val="004A5232"/>
    <w:rsid w:val="004A5351"/>
    <w:rsid w:val="004A5763"/>
    <w:rsid w:val="004A6146"/>
    <w:rsid w:val="004A6FD5"/>
    <w:rsid w:val="004A7F24"/>
    <w:rsid w:val="004B0ACD"/>
    <w:rsid w:val="004B55B3"/>
    <w:rsid w:val="004C2285"/>
    <w:rsid w:val="004C3395"/>
    <w:rsid w:val="004C3AB5"/>
    <w:rsid w:val="004C423E"/>
    <w:rsid w:val="004C44ED"/>
    <w:rsid w:val="004C54BE"/>
    <w:rsid w:val="004C628E"/>
    <w:rsid w:val="004C63B8"/>
    <w:rsid w:val="004C6B44"/>
    <w:rsid w:val="004D090A"/>
    <w:rsid w:val="004D36CD"/>
    <w:rsid w:val="004D3AE1"/>
    <w:rsid w:val="004D40EB"/>
    <w:rsid w:val="004D5BFA"/>
    <w:rsid w:val="004D60C0"/>
    <w:rsid w:val="004D70BA"/>
    <w:rsid w:val="004D749A"/>
    <w:rsid w:val="004E0976"/>
    <w:rsid w:val="004E0DF8"/>
    <w:rsid w:val="004E1404"/>
    <w:rsid w:val="004E197E"/>
    <w:rsid w:val="004E2490"/>
    <w:rsid w:val="004E25CF"/>
    <w:rsid w:val="004E2827"/>
    <w:rsid w:val="004E3546"/>
    <w:rsid w:val="004E3986"/>
    <w:rsid w:val="004E51D5"/>
    <w:rsid w:val="004E618F"/>
    <w:rsid w:val="004E7C07"/>
    <w:rsid w:val="004E7F2F"/>
    <w:rsid w:val="004F0B93"/>
    <w:rsid w:val="004F22E9"/>
    <w:rsid w:val="004F26FA"/>
    <w:rsid w:val="004F29B6"/>
    <w:rsid w:val="004F3872"/>
    <w:rsid w:val="004F3BFB"/>
    <w:rsid w:val="004F3F2D"/>
    <w:rsid w:val="004F60FD"/>
    <w:rsid w:val="004F72D2"/>
    <w:rsid w:val="004F7D52"/>
    <w:rsid w:val="004F7F83"/>
    <w:rsid w:val="005009CE"/>
    <w:rsid w:val="005016DC"/>
    <w:rsid w:val="005019E4"/>
    <w:rsid w:val="00501B40"/>
    <w:rsid w:val="00503F17"/>
    <w:rsid w:val="00506AC9"/>
    <w:rsid w:val="0051031F"/>
    <w:rsid w:val="00510325"/>
    <w:rsid w:val="005111A8"/>
    <w:rsid w:val="0051322A"/>
    <w:rsid w:val="00513341"/>
    <w:rsid w:val="00513815"/>
    <w:rsid w:val="005141FB"/>
    <w:rsid w:val="00517405"/>
    <w:rsid w:val="005178B0"/>
    <w:rsid w:val="00520A8C"/>
    <w:rsid w:val="005218C2"/>
    <w:rsid w:val="00521C33"/>
    <w:rsid w:val="00522ACA"/>
    <w:rsid w:val="00523779"/>
    <w:rsid w:val="00523D6F"/>
    <w:rsid w:val="00525A7F"/>
    <w:rsid w:val="00525D2C"/>
    <w:rsid w:val="00525DF8"/>
    <w:rsid w:val="005262F0"/>
    <w:rsid w:val="00526E3E"/>
    <w:rsid w:val="00527203"/>
    <w:rsid w:val="00527616"/>
    <w:rsid w:val="005332EB"/>
    <w:rsid w:val="00533508"/>
    <w:rsid w:val="00534849"/>
    <w:rsid w:val="00535E64"/>
    <w:rsid w:val="00536073"/>
    <w:rsid w:val="005373C3"/>
    <w:rsid w:val="005374AA"/>
    <w:rsid w:val="00537940"/>
    <w:rsid w:val="00537BBD"/>
    <w:rsid w:val="00537EB0"/>
    <w:rsid w:val="005416AD"/>
    <w:rsid w:val="0054172E"/>
    <w:rsid w:val="005427D3"/>
    <w:rsid w:val="00544876"/>
    <w:rsid w:val="005466BA"/>
    <w:rsid w:val="005474E2"/>
    <w:rsid w:val="0054776C"/>
    <w:rsid w:val="00551005"/>
    <w:rsid w:val="0055149A"/>
    <w:rsid w:val="005526FD"/>
    <w:rsid w:val="00553CA5"/>
    <w:rsid w:val="00554B7A"/>
    <w:rsid w:val="00555A4C"/>
    <w:rsid w:val="00556322"/>
    <w:rsid w:val="00556F82"/>
    <w:rsid w:val="005573F7"/>
    <w:rsid w:val="00557A86"/>
    <w:rsid w:val="00561534"/>
    <w:rsid w:val="00561B12"/>
    <w:rsid w:val="00563EBD"/>
    <w:rsid w:val="00564CEC"/>
    <w:rsid w:val="00566174"/>
    <w:rsid w:val="005663F9"/>
    <w:rsid w:val="00566451"/>
    <w:rsid w:val="00571413"/>
    <w:rsid w:val="005725A8"/>
    <w:rsid w:val="005742F9"/>
    <w:rsid w:val="00574B08"/>
    <w:rsid w:val="00574E99"/>
    <w:rsid w:val="00575309"/>
    <w:rsid w:val="005760C3"/>
    <w:rsid w:val="00580E73"/>
    <w:rsid w:val="00580F8A"/>
    <w:rsid w:val="005811D8"/>
    <w:rsid w:val="00581352"/>
    <w:rsid w:val="005837A8"/>
    <w:rsid w:val="00583910"/>
    <w:rsid w:val="00583D0B"/>
    <w:rsid w:val="00584408"/>
    <w:rsid w:val="00585102"/>
    <w:rsid w:val="005857AF"/>
    <w:rsid w:val="00585957"/>
    <w:rsid w:val="00585CF3"/>
    <w:rsid w:val="00586023"/>
    <w:rsid w:val="0059058A"/>
    <w:rsid w:val="0059403A"/>
    <w:rsid w:val="005956E8"/>
    <w:rsid w:val="005A11B2"/>
    <w:rsid w:val="005A147C"/>
    <w:rsid w:val="005A1FFE"/>
    <w:rsid w:val="005A23F5"/>
    <w:rsid w:val="005A359C"/>
    <w:rsid w:val="005A417F"/>
    <w:rsid w:val="005A4666"/>
    <w:rsid w:val="005A4A84"/>
    <w:rsid w:val="005A5828"/>
    <w:rsid w:val="005A5C56"/>
    <w:rsid w:val="005A5DFF"/>
    <w:rsid w:val="005A5FBE"/>
    <w:rsid w:val="005A606B"/>
    <w:rsid w:val="005A61FE"/>
    <w:rsid w:val="005A6D1B"/>
    <w:rsid w:val="005A6E1E"/>
    <w:rsid w:val="005A778E"/>
    <w:rsid w:val="005A7F8B"/>
    <w:rsid w:val="005B07C2"/>
    <w:rsid w:val="005B16FD"/>
    <w:rsid w:val="005B179D"/>
    <w:rsid w:val="005B19BA"/>
    <w:rsid w:val="005B2080"/>
    <w:rsid w:val="005B2895"/>
    <w:rsid w:val="005B30E5"/>
    <w:rsid w:val="005B38FD"/>
    <w:rsid w:val="005B4025"/>
    <w:rsid w:val="005B4D2E"/>
    <w:rsid w:val="005B5CF5"/>
    <w:rsid w:val="005C06C3"/>
    <w:rsid w:val="005C1033"/>
    <w:rsid w:val="005C173D"/>
    <w:rsid w:val="005C23EF"/>
    <w:rsid w:val="005C2536"/>
    <w:rsid w:val="005C4821"/>
    <w:rsid w:val="005C4AEB"/>
    <w:rsid w:val="005C630C"/>
    <w:rsid w:val="005C75EF"/>
    <w:rsid w:val="005D1482"/>
    <w:rsid w:val="005D1601"/>
    <w:rsid w:val="005D1E8F"/>
    <w:rsid w:val="005D39BE"/>
    <w:rsid w:val="005D449F"/>
    <w:rsid w:val="005D610F"/>
    <w:rsid w:val="005D6177"/>
    <w:rsid w:val="005D6299"/>
    <w:rsid w:val="005D65BF"/>
    <w:rsid w:val="005D6819"/>
    <w:rsid w:val="005D703E"/>
    <w:rsid w:val="005D7365"/>
    <w:rsid w:val="005D7D9F"/>
    <w:rsid w:val="005E0247"/>
    <w:rsid w:val="005E1C54"/>
    <w:rsid w:val="005E1FC9"/>
    <w:rsid w:val="005E3104"/>
    <w:rsid w:val="005E36C0"/>
    <w:rsid w:val="005E3828"/>
    <w:rsid w:val="005E5EF5"/>
    <w:rsid w:val="005E6AC7"/>
    <w:rsid w:val="005E792B"/>
    <w:rsid w:val="005F0A1D"/>
    <w:rsid w:val="005F254A"/>
    <w:rsid w:val="005F2E96"/>
    <w:rsid w:val="005F379F"/>
    <w:rsid w:val="005F51EA"/>
    <w:rsid w:val="00600DA9"/>
    <w:rsid w:val="00601496"/>
    <w:rsid w:val="006037B6"/>
    <w:rsid w:val="006044AC"/>
    <w:rsid w:val="00606176"/>
    <w:rsid w:val="00606915"/>
    <w:rsid w:val="006072C5"/>
    <w:rsid w:val="00610A43"/>
    <w:rsid w:val="00611834"/>
    <w:rsid w:val="006121C6"/>
    <w:rsid w:val="00612CC8"/>
    <w:rsid w:val="0061300A"/>
    <w:rsid w:val="006130DC"/>
    <w:rsid w:val="0061354E"/>
    <w:rsid w:val="006136E7"/>
    <w:rsid w:val="00613BD6"/>
    <w:rsid w:val="00617553"/>
    <w:rsid w:val="00621CBB"/>
    <w:rsid w:val="00621D29"/>
    <w:rsid w:val="006245D7"/>
    <w:rsid w:val="00624F34"/>
    <w:rsid w:val="006254CA"/>
    <w:rsid w:val="006258AF"/>
    <w:rsid w:val="00625D4C"/>
    <w:rsid w:val="00627C14"/>
    <w:rsid w:val="0063018D"/>
    <w:rsid w:val="00630B91"/>
    <w:rsid w:val="0063140F"/>
    <w:rsid w:val="00632C65"/>
    <w:rsid w:val="006335C0"/>
    <w:rsid w:val="00633CB5"/>
    <w:rsid w:val="00634033"/>
    <w:rsid w:val="00634FFB"/>
    <w:rsid w:val="00635154"/>
    <w:rsid w:val="00635AD2"/>
    <w:rsid w:val="00636DE8"/>
    <w:rsid w:val="00637B54"/>
    <w:rsid w:val="006408C7"/>
    <w:rsid w:val="00641358"/>
    <w:rsid w:val="006414C8"/>
    <w:rsid w:val="006465AF"/>
    <w:rsid w:val="006466EE"/>
    <w:rsid w:val="00647032"/>
    <w:rsid w:val="006472B0"/>
    <w:rsid w:val="00651DD9"/>
    <w:rsid w:val="006523F1"/>
    <w:rsid w:val="006526B9"/>
    <w:rsid w:val="0065481E"/>
    <w:rsid w:val="006553D7"/>
    <w:rsid w:val="00657C2E"/>
    <w:rsid w:val="00657CB7"/>
    <w:rsid w:val="006600FE"/>
    <w:rsid w:val="00660EFA"/>
    <w:rsid w:val="006618F8"/>
    <w:rsid w:val="00661BA6"/>
    <w:rsid w:val="00662DD5"/>
    <w:rsid w:val="00663625"/>
    <w:rsid w:val="00664A7B"/>
    <w:rsid w:val="006652CA"/>
    <w:rsid w:val="006655EB"/>
    <w:rsid w:val="00667D8F"/>
    <w:rsid w:val="00670428"/>
    <w:rsid w:val="00670810"/>
    <w:rsid w:val="00671237"/>
    <w:rsid w:val="0067204A"/>
    <w:rsid w:val="0067231F"/>
    <w:rsid w:val="0067242F"/>
    <w:rsid w:val="00672793"/>
    <w:rsid w:val="00673446"/>
    <w:rsid w:val="00674145"/>
    <w:rsid w:val="006741F9"/>
    <w:rsid w:val="0067444F"/>
    <w:rsid w:val="006756AE"/>
    <w:rsid w:val="00677B85"/>
    <w:rsid w:val="006826F5"/>
    <w:rsid w:val="006827F7"/>
    <w:rsid w:val="00682F1A"/>
    <w:rsid w:val="006830CA"/>
    <w:rsid w:val="00683D44"/>
    <w:rsid w:val="00684972"/>
    <w:rsid w:val="00684FA9"/>
    <w:rsid w:val="00685CAC"/>
    <w:rsid w:val="006865D9"/>
    <w:rsid w:val="00686AAC"/>
    <w:rsid w:val="00691268"/>
    <w:rsid w:val="006917E4"/>
    <w:rsid w:val="00691A5E"/>
    <w:rsid w:val="006921D0"/>
    <w:rsid w:val="006935AF"/>
    <w:rsid w:val="00693B89"/>
    <w:rsid w:val="006940BF"/>
    <w:rsid w:val="006940F7"/>
    <w:rsid w:val="00694AD2"/>
    <w:rsid w:val="00696B79"/>
    <w:rsid w:val="006973FB"/>
    <w:rsid w:val="00697DAE"/>
    <w:rsid w:val="006A25F2"/>
    <w:rsid w:val="006A2FDC"/>
    <w:rsid w:val="006A3F89"/>
    <w:rsid w:val="006A4A98"/>
    <w:rsid w:val="006A4BD4"/>
    <w:rsid w:val="006A598D"/>
    <w:rsid w:val="006A5DE2"/>
    <w:rsid w:val="006A6B80"/>
    <w:rsid w:val="006B062F"/>
    <w:rsid w:val="006B3407"/>
    <w:rsid w:val="006B47CB"/>
    <w:rsid w:val="006B4D99"/>
    <w:rsid w:val="006B6C89"/>
    <w:rsid w:val="006B75F1"/>
    <w:rsid w:val="006C12AC"/>
    <w:rsid w:val="006C1FC8"/>
    <w:rsid w:val="006C3233"/>
    <w:rsid w:val="006C4306"/>
    <w:rsid w:val="006C4DE4"/>
    <w:rsid w:val="006C50D1"/>
    <w:rsid w:val="006D2CBA"/>
    <w:rsid w:val="006D31DC"/>
    <w:rsid w:val="006D3CF8"/>
    <w:rsid w:val="006D5EC3"/>
    <w:rsid w:val="006E135E"/>
    <w:rsid w:val="006E14B5"/>
    <w:rsid w:val="006E1BDD"/>
    <w:rsid w:val="006E1C7F"/>
    <w:rsid w:val="006E261A"/>
    <w:rsid w:val="006E2A2E"/>
    <w:rsid w:val="006E2A7B"/>
    <w:rsid w:val="006E366F"/>
    <w:rsid w:val="006E4167"/>
    <w:rsid w:val="006E4595"/>
    <w:rsid w:val="006E526F"/>
    <w:rsid w:val="006E74BB"/>
    <w:rsid w:val="006F4135"/>
    <w:rsid w:val="006F4580"/>
    <w:rsid w:val="006F5C00"/>
    <w:rsid w:val="006F69D6"/>
    <w:rsid w:val="006F73C5"/>
    <w:rsid w:val="007023F3"/>
    <w:rsid w:val="00703D17"/>
    <w:rsid w:val="00704222"/>
    <w:rsid w:val="007055DF"/>
    <w:rsid w:val="0070730E"/>
    <w:rsid w:val="0071062E"/>
    <w:rsid w:val="00711230"/>
    <w:rsid w:val="007112AE"/>
    <w:rsid w:val="00712855"/>
    <w:rsid w:val="00713697"/>
    <w:rsid w:val="00713D30"/>
    <w:rsid w:val="0071539B"/>
    <w:rsid w:val="007154D8"/>
    <w:rsid w:val="00716C6B"/>
    <w:rsid w:val="00716C7B"/>
    <w:rsid w:val="00716E5C"/>
    <w:rsid w:val="00717669"/>
    <w:rsid w:val="007209E8"/>
    <w:rsid w:val="00720BDA"/>
    <w:rsid w:val="00722BA0"/>
    <w:rsid w:val="0072370A"/>
    <w:rsid w:val="00723DD6"/>
    <w:rsid w:val="00726091"/>
    <w:rsid w:val="007261AA"/>
    <w:rsid w:val="00726321"/>
    <w:rsid w:val="007278A8"/>
    <w:rsid w:val="00727B54"/>
    <w:rsid w:val="00727B9F"/>
    <w:rsid w:val="0073056C"/>
    <w:rsid w:val="00732C57"/>
    <w:rsid w:val="00741530"/>
    <w:rsid w:val="0074301A"/>
    <w:rsid w:val="00744573"/>
    <w:rsid w:val="007459F8"/>
    <w:rsid w:val="007465DB"/>
    <w:rsid w:val="00747FC0"/>
    <w:rsid w:val="007507D4"/>
    <w:rsid w:val="00750B86"/>
    <w:rsid w:val="00753458"/>
    <w:rsid w:val="0075365E"/>
    <w:rsid w:val="00753F94"/>
    <w:rsid w:val="00755F68"/>
    <w:rsid w:val="00756168"/>
    <w:rsid w:val="007565B5"/>
    <w:rsid w:val="0075677A"/>
    <w:rsid w:val="0075750E"/>
    <w:rsid w:val="00761D77"/>
    <w:rsid w:val="007639BC"/>
    <w:rsid w:val="00764883"/>
    <w:rsid w:val="00764A06"/>
    <w:rsid w:val="007653AE"/>
    <w:rsid w:val="00766362"/>
    <w:rsid w:val="00767159"/>
    <w:rsid w:val="00770D82"/>
    <w:rsid w:val="00771D50"/>
    <w:rsid w:val="00772F7D"/>
    <w:rsid w:val="00772FC7"/>
    <w:rsid w:val="00774C29"/>
    <w:rsid w:val="00775330"/>
    <w:rsid w:val="0077571F"/>
    <w:rsid w:val="007778D7"/>
    <w:rsid w:val="00777A54"/>
    <w:rsid w:val="00777ADA"/>
    <w:rsid w:val="00781089"/>
    <w:rsid w:val="00782D00"/>
    <w:rsid w:val="00783063"/>
    <w:rsid w:val="007842A8"/>
    <w:rsid w:val="00785F1F"/>
    <w:rsid w:val="00786ADE"/>
    <w:rsid w:val="007874A2"/>
    <w:rsid w:val="00790E86"/>
    <w:rsid w:val="00791224"/>
    <w:rsid w:val="00791B5F"/>
    <w:rsid w:val="00791CE3"/>
    <w:rsid w:val="00792535"/>
    <w:rsid w:val="00792E65"/>
    <w:rsid w:val="007933B4"/>
    <w:rsid w:val="00794ED6"/>
    <w:rsid w:val="00795FA4"/>
    <w:rsid w:val="0079764F"/>
    <w:rsid w:val="007A0379"/>
    <w:rsid w:val="007A20A8"/>
    <w:rsid w:val="007A51B4"/>
    <w:rsid w:val="007A72D8"/>
    <w:rsid w:val="007B0487"/>
    <w:rsid w:val="007B0649"/>
    <w:rsid w:val="007B13D0"/>
    <w:rsid w:val="007C02DD"/>
    <w:rsid w:val="007C1182"/>
    <w:rsid w:val="007C3E46"/>
    <w:rsid w:val="007C3F42"/>
    <w:rsid w:val="007C3FA7"/>
    <w:rsid w:val="007C4328"/>
    <w:rsid w:val="007C653F"/>
    <w:rsid w:val="007C6EE2"/>
    <w:rsid w:val="007D02E0"/>
    <w:rsid w:val="007D0A13"/>
    <w:rsid w:val="007D2CCE"/>
    <w:rsid w:val="007D4BBB"/>
    <w:rsid w:val="007D53C1"/>
    <w:rsid w:val="007D6129"/>
    <w:rsid w:val="007D775F"/>
    <w:rsid w:val="007E0704"/>
    <w:rsid w:val="007E0B7B"/>
    <w:rsid w:val="007E1A3E"/>
    <w:rsid w:val="007E22BA"/>
    <w:rsid w:val="007E2629"/>
    <w:rsid w:val="007E4001"/>
    <w:rsid w:val="007E4B27"/>
    <w:rsid w:val="007E5ACB"/>
    <w:rsid w:val="007E6192"/>
    <w:rsid w:val="007F0CEC"/>
    <w:rsid w:val="007F13FC"/>
    <w:rsid w:val="007F1EE3"/>
    <w:rsid w:val="007F34B8"/>
    <w:rsid w:val="007F67A3"/>
    <w:rsid w:val="007F7D06"/>
    <w:rsid w:val="00800B27"/>
    <w:rsid w:val="00801607"/>
    <w:rsid w:val="00803D5D"/>
    <w:rsid w:val="0080639A"/>
    <w:rsid w:val="00806C82"/>
    <w:rsid w:val="00807938"/>
    <w:rsid w:val="00807D59"/>
    <w:rsid w:val="00810055"/>
    <w:rsid w:val="0081125D"/>
    <w:rsid w:val="008117F2"/>
    <w:rsid w:val="008126DD"/>
    <w:rsid w:val="0081353A"/>
    <w:rsid w:val="008143BA"/>
    <w:rsid w:val="008150A9"/>
    <w:rsid w:val="008161E9"/>
    <w:rsid w:val="00816566"/>
    <w:rsid w:val="008170C3"/>
    <w:rsid w:val="00817569"/>
    <w:rsid w:val="00820434"/>
    <w:rsid w:val="008229EE"/>
    <w:rsid w:val="00823CDE"/>
    <w:rsid w:val="00827BD2"/>
    <w:rsid w:val="0083048A"/>
    <w:rsid w:val="00830D65"/>
    <w:rsid w:val="00831919"/>
    <w:rsid w:val="00831E08"/>
    <w:rsid w:val="0083415A"/>
    <w:rsid w:val="00834896"/>
    <w:rsid w:val="00835E4C"/>
    <w:rsid w:val="008368A0"/>
    <w:rsid w:val="00836C04"/>
    <w:rsid w:val="00837F1E"/>
    <w:rsid w:val="008411D7"/>
    <w:rsid w:val="008431EC"/>
    <w:rsid w:val="00843757"/>
    <w:rsid w:val="00844B54"/>
    <w:rsid w:val="008455FC"/>
    <w:rsid w:val="00845A69"/>
    <w:rsid w:val="00846DCC"/>
    <w:rsid w:val="00846DD4"/>
    <w:rsid w:val="008474A6"/>
    <w:rsid w:val="00847F8E"/>
    <w:rsid w:val="00850498"/>
    <w:rsid w:val="0085088F"/>
    <w:rsid w:val="008508AD"/>
    <w:rsid w:val="00851664"/>
    <w:rsid w:val="0085222D"/>
    <w:rsid w:val="00853A0E"/>
    <w:rsid w:val="0085498D"/>
    <w:rsid w:val="00854E04"/>
    <w:rsid w:val="00855114"/>
    <w:rsid w:val="00855273"/>
    <w:rsid w:val="00856D2E"/>
    <w:rsid w:val="00856F04"/>
    <w:rsid w:val="008602B1"/>
    <w:rsid w:val="00860E0D"/>
    <w:rsid w:val="008618A2"/>
    <w:rsid w:val="00864E69"/>
    <w:rsid w:val="008677A3"/>
    <w:rsid w:val="00870256"/>
    <w:rsid w:val="00871864"/>
    <w:rsid w:val="00871F8A"/>
    <w:rsid w:val="00873898"/>
    <w:rsid w:val="00873A26"/>
    <w:rsid w:val="00873EFE"/>
    <w:rsid w:val="00875099"/>
    <w:rsid w:val="008756E5"/>
    <w:rsid w:val="00876D96"/>
    <w:rsid w:val="008770C6"/>
    <w:rsid w:val="00877E3F"/>
    <w:rsid w:val="00884D2A"/>
    <w:rsid w:val="0088528B"/>
    <w:rsid w:val="00886351"/>
    <w:rsid w:val="008874DE"/>
    <w:rsid w:val="0088799E"/>
    <w:rsid w:val="00892040"/>
    <w:rsid w:val="0089330F"/>
    <w:rsid w:val="0089537D"/>
    <w:rsid w:val="00895E0F"/>
    <w:rsid w:val="008960AB"/>
    <w:rsid w:val="00897427"/>
    <w:rsid w:val="008A1B51"/>
    <w:rsid w:val="008A5037"/>
    <w:rsid w:val="008A70CF"/>
    <w:rsid w:val="008A7C61"/>
    <w:rsid w:val="008A7CF1"/>
    <w:rsid w:val="008B200C"/>
    <w:rsid w:val="008B25AE"/>
    <w:rsid w:val="008B4BAB"/>
    <w:rsid w:val="008B7EB6"/>
    <w:rsid w:val="008C0E95"/>
    <w:rsid w:val="008C1D6C"/>
    <w:rsid w:val="008C1F57"/>
    <w:rsid w:val="008C3B72"/>
    <w:rsid w:val="008C3BC0"/>
    <w:rsid w:val="008C455E"/>
    <w:rsid w:val="008C4F9F"/>
    <w:rsid w:val="008C5045"/>
    <w:rsid w:val="008C5C5A"/>
    <w:rsid w:val="008D04C1"/>
    <w:rsid w:val="008D0671"/>
    <w:rsid w:val="008D27B2"/>
    <w:rsid w:val="008D33DD"/>
    <w:rsid w:val="008D49DA"/>
    <w:rsid w:val="008D67CA"/>
    <w:rsid w:val="008D7694"/>
    <w:rsid w:val="008E0DE6"/>
    <w:rsid w:val="008E1295"/>
    <w:rsid w:val="008E1310"/>
    <w:rsid w:val="008E3CF2"/>
    <w:rsid w:val="008E3FF9"/>
    <w:rsid w:val="008E53C8"/>
    <w:rsid w:val="008E601B"/>
    <w:rsid w:val="008E7A1D"/>
    <w:rsid w:val="008E7AE7"/>
    <w:rsid w:val="008F0A76"/>
    <w:rsid w:val="008F2924"/>
    <w:rsid w:val="008F2ED6"/>
    <w:rsid w:val="008F2F9E"/>
    <w:rsid w:val="008F40EC"/>
    <w:rsid w:val="008F425B"/>
    <w:rsid w:val="008F467B"/>
    <w:rsid w:val="008F5C04"/>
    <w:rsid w:val="008F6435"/>
    <w:rsid w:val="0090193E"/>
    <w:rsid w:val="00901F58"/>
    <w:rsid w:val="00903DD3"/>
    <w:rsid w:val="009041B2"/>
    <w:rsid w:val="0090719F"/>
    <w:rsid w:val="00907D94"/>
    <w:rsid w:val="009100BA"/>
    <w:rsid w:val="00911705"/>
    <w:rsid w:val="00916115"/>
    <w:rsid w:val="009178AF"/>
    <w:rsid w:val="00917D36"/>
    <w:rsid w:val="00920D52"/>
    <w:rsid w:val="0092133A"/>
    <w:rsid w:val="009234D4"/>
    <w:rsid w:val="00923951"/>
    <w:rsid w:val="009243FC"/>
    <w:rsid w:val="0092492C"/>
    <w:rsid w:val="00925259"/>
    <w:rsid w:val="00927096"/>
    <w:rsid w:val="0093075D"/>
    <w:rsid w:val="00931070"/>
    <w:rsid w:val="00932287"/>
    <w:rsid w:val="00932543"/>
    <w:rsid w:val="0093300C"/>
    <w:rsid w:val="009335F3"/>
    <w:rsid w:val="009347FC"/>
    <w:rsid w:val="00934E75"/>
    <w:rsid w:val="009354B9"/>
    <w:rsid w:val="009356DB"/>
    <w:rsid w:val="00935E68"/>
    <w:rsid w:val="00936721"/>
    <w:rsid w:val="00936D24"/>
    <w:rsid w:val="00936F6E"/>
    <w:rsid w:val="00937123"/>
    <w:rsid w:val="0094043E"/>
    <w:rsid w:val="00940DE2"/>
    <w:rsid w:val="009411AB"/>
    <w:rsid w:val="00941340"/>
    <w:rsid w:val="00941A3F"/>
    <w:rsid w:val="0094382A"/>
    <w:rsid w:val="0094525D"/>
    <w:rsid w:val="00945900"/>
    <w:rsid w:val="00945ECD"/>
    <w:rsid w:val="0094627F"/>
    <w:rsid w:val="0094778C"/>
    <w:rsid w:val="00947C70"/>
    <w:rsid w:val="009510E0"/>
    <w:rsid w:val="00951665"/>
    <w:rsid w:val="009566D4"/>
    <w:rsid w:val="0095796E"/>
    <w:rsid w:val="00960409"/>
    <w:rsid w:val="00960953"/>
    <w:rsid w:val="00961315"/>
    <w:rsid w:val="009617BC"/>
    <w:rsid w:val="009639A9"/>
    <w:rsid w:val="009643B7"/>
    <w:rsid w:val="009659F2"/>
    <w:rsid w:val="00965F1E"/>
    <w:rsid w:val="00966300"/>
    <w:rsid w:val="00966FF3"/>
    <w:rsid w:val="009673C4"/>
    <w:rsid w:val="009704AF"/>
    <w:rsid w:val="009704F6"/>
    <w:rsid w:val="009711CC"/>
    <w:rsid w:val="00971B29"/>
    <w:rsid w:val="009724D7"/>
    <w:rsid w:val="009731C5"/>
    <w:rsid w:val="009733EB"/>
    <w:rsid w:val="00974BD3"/>
    <w:rsid w:val="00976695"/>
    <w:rsid w:val="0097738B"/>
    <w:rsid w:val="00981050"/>
    <w:rsid w:val="00981B26"/>
    <w:rsid w:val="00983616"/>
    <w:rsid w:val="00984896"/>
    <w:rsid w:val="00984952"/>
    <w:rsid w:val="00984FDB"/>
    <w:rsid w:val="009850AB"/>
    <w:rsid w:val="0098545C"/>
    <w:rsid w:val="0098588A"/>
    <w:rsid w:val="00985F69"/>
    <w:rsid w:val="00987A31"/>
    <w:rsid w:val="00987FB4"/>
    <w:rsid w:val="00990ED7"/>
    <w:rsid w:val="009910A2"/>
    <w:rsid w:val="00992C7A"/>
    <w:rsid w:val="00993081"/>
    <w:rsid w:val="00993BDD"/>
    <w:rsid w:val="0099439F"/>
    <w:rsid w:val="00994F68"/>
    <w:rsid w:val="0099578B"/>
    <w:rsid w:val="009965D1"/>
    <w:rsid w:val="00996B96"/>
    <w:rsid w:val="00997861"/>
    <w:rsid w:val="009979CB"/>
    <w:rsid w:val="009A075C"/>
    <w:rsid w:val="009A0967"/>
    <w:rsid w:val="009A0D22"/>
    <w:rsid w:val="009A1165"/>
    <w:rsid w:val="009A1EE2"/>
    <w:rsid w:val="009A2B88"/>
    <w:rsid w:val="009A3E36"/>
    <w:rsid w:val="009A42BE"/>
    <w:rsid w:val="009A4CAE"/>
    <w:rsid w:val="009A5352"/>
    <w:rsid w:val="009A6C7E"/>
    <w:rsid w:val="009A7745"/>
    <w:rsid w:val="009B05C1"/>
    <w:rsid w:val="009B0993"/>
    <w:rsid w:val="009B160A"/>
    <w:rsid w:val="009B384E"/>
    <w:rsid w:val="009B3FD6"/>
    <w:rsid w:val="009B5F8B"/>
    <w:rsid w:val="009B6A4E"/>
    <w:rsid w:val="009C1504"/>
    <w:rsid w:val="009C437E"/>
    <w:rsid w:val="009C4A7B"/>
    <w:rsid w:val="009C5F10"/>
    <w:rsid w:val="009C7677"/>
    <w:rsid w:val="009D0F32"/>
    <w:rsid w:val="009D1F5A"/>
    <w:rsid w:val="009D2505"/>
    <w:rsid w:val="009D2D7C"/>
    <w:rsid w:val="009D35EC"/>
    <w:rsid w:val="009D67D2"/>
    <w:rsid w:val="009D6965"/>
    <w:rsid w:val="009D6C63"/>
    <w:rsid w:val="009E0275"/>
    <w:rsid w:val="009E0A7A"/>
    <w:rsid w:val="009E227D"/>
    <w:rsid w:val="009E2F52"/>
    <w:rsid w:val="009E401F"/>
    <w:rsid w:val="009E6B27"/>
    <w:rsid w:val="009E716B"/>
    <w:rsid w:val="009F07FF"/>
    <w:rsid w:val="009F0F00"/>
    <w:rsid w:val="009F1F7A"/>
    <w:rsid w:val="009F240C"/>
    <w:rsid w:val="009F2B2F"/>
    <w:rsid w:val="009F2DCC"/>
    <w:rsid w:val="009F33CC"/>
    <w:rsid w:val="009F3643"/>
    <w:rsid w:val="009F53C2"/>
    <w:rsid w:val="009F5CC5"/>
    <w:rsid w:val="009F6798"/>
    <w:rsid w:val="009F69D3"/>
    <w:rsid w:val="009F711D"/>
    <w:rsid w:val="00A01168"/>
    <w:rsid w:val="00A02042"/>
    <w:rsid w:val="00A046D2"/>
    <w:rsid w:val="00A055CC"/>
    <w:rsid w:val="00A05A2E"/>
    <w:rsid w:val="00A06128"/>
    <w:rsid w:val="00A06C3B"/>
    <w:rsid w:val="00A076AE"/>
    <w:rsid w:val="00A12A95"/>
    <w:rsid w:val="00A1402B"/>
    <w:rsid w:val="00A14AFE"/>
    <w:rsid w:val="00A14E06"/>
    <w:rsid w:val="00A16134"/>
    <w:rsid w:val="00A16980"/>
    <w:rsid w:val="00A16EEF"/>
    <w:rsid w:val="00A179BC"/>
    <w:rsid w:val="00A17B42"/>
    <w:rsid w:val="00A17CE1"/>
    <w:rsid w:val="00A20063"/>
    <w:rsid w:val="00A21631"/>
    <w:rsid w:val="00A2199F"/>
    <w:rsid w:val="00A2236A"/>
    <w:rsid w:val="00A23775"/>
    <w:rsid w:val="00A24F08"/>
    <w:rsid w:val="00A25027"/>
    <w:rsid w:val="00A25D76"/>
    <w:rsid w:val="00A26488"/>
    <w:rsid w:val="00A26D01"/>
    <w:rsid w:val="00A27B4E"/>
    <w:rsid w:val="00A302EF"/>
    <w:rsid w:val="00A31086"/>
    <w:rsid w:val="00A31093"/>
    <w:rsid w:val="00A32D23"/>
    <w:rsid w:val="00A33496"/>
    <w:rsid w:val="00A3579A"/>
    <w:rsid w:val="00A36E2E"/>
    <w:rsid w:val="00A4077A"/>
    <w:rsid w:val="00A41CC6"/>
    <w:rsid w:val="00A42AA5"/>
    <w:rsid w:val="00A43213"/>
    <w:rsid w:val="00A438B6"/>
    <w:rsid w:val="00A45069"/>
    <w:rsid w:val="00A45D7B"/>
    <w:rsid w:val="00A46994"/>
    <w:rsid w:val="00A4702E"/>
    <w:rsid w:val="00A47359"/>
    <w:rsid w:val="00A47585"/>
    <w:rsid w:val="00A50B0B"/>
    <w:rsid w:val="00A5273A"/>
    <w:rsid w:val="00A52786"/>
    <w:rsid w:val="00A53F27"/>
    <w:rsid w:val="00A54206"/>
    <w:rsid w:val="00A5455A"/>
    <w:rsid w:val="00A55C07"/>
    <w:rsid w:val="00A572BE"/>
    <w:rsid w:val="00A610F1"/>
    <w:rsid w:val="00A61330"/>
    <w:rsid w:val="00A62739"/>
    <w:rsid w:val="00A62C42"/>
    <w:rsid w:val="00A62C74"/>
    <w:rsid w:val="00A64B62"/>
    <w:rsid w:val="00A661C9"/>
    <w:rsid w:val="00A674F7"/>
    <w:rsid w:val="00A677F8"/>
    <w:rsid w:val="00A67C76"/>
    <w:rsid w:val="00A70150"/>
    <w:rsid w:val="00A710C5"/>
    <w:rsid w:val="00A71538"/>
    <w:rsid w:val="00A815A0"/>
    <w:rsid w:val="00A8162F"/>
    <w:rsid w:val="00A837B2"/>
    <w:rsid w:val="00A8398F"/>
    <w:rsid w:val="00A843FD"/>
    <w:rsid w:val="00A84677"/>
    <w:rsid w:val="00A8532C"/>
    <w:rsid w:val="00A87DE8"/>
    <w:rsid w:val="00A90599"/>
    <w:rsid w:val="00A9083D"/>
    <w:rsid w:val="00A908A0"/>
    <w:rsid w:val="00A91070"/>
    <w:rsid w:val="00A914BA"/>
    <w:rsid w:val="00A91655"/>
    <w:rsid w:val="00A9295C"/>
    <w:rsid w:val="00A92DF5"/>
    <w:rsid w:val="00A93F48"/>
    <w:rsid w:val="00A943EB"/>
    <w:rsid w:val="00A95667"/>
    <w:rsid w:val="00A957E3"/>
    <w:rsid w:val="00A962AC"/>
    <w:rsid w:val="00AA021F"/>
    <w:rsid w:val="00AA11CE"/>
    <w:rsid w:val="00AA448C"/>
    <w:rsid w:val="00AA4783"/>
    <w:rsid w:val="00AA6471"/>
    <w:rsid w:val="00AA7996"/>
    <w:rsid w:val="00AA7A01"/>
    <w:rsid w:val="00AB078D"/>
    <w:rsid w:val="00AB0ECD"/>
    <w:rsid w:val="00AB254A"/>
    <w:rsid w:val="00AB4B14"/>
    <w:rsid w:val="00AB4FEF"/>
    <w:rsid w:val="00AC14F1"/>
    <w:rsid w:val="00AC2605"/>
    <w:rsid w:val="00AC3564"/>
    <w:rsid w:val="00AC4C11"/>
    <w:rsid w:val="00AC583A"/>
    <w:rsid w:val="00AC683D"/>
    <w:rsid w:val="00AD1701"/>
    <w:rsid w:val="00AD1CEE"/>
    <w:rsid w:val="00AD3B7F"/>
    <w:rsid w:val="00AD3CD2"/>
    <w:rsid w:val="00AD48ED"/>
    <w:rsid w:val="00AD55BB"/>
    <w:rsid w:val="00AD6162"/>
    <w:rsid w:val="00AD67AF"/>
    <w:rsid w:val="00AD76DC"/>
    <w:rsid w:val="00AE052A"/>
    <w:rsid w:val="00AE178B"/>
    <w:rsid w:val="00AE1991"/>
    <w:rsid w:val="00AE1A13"/>
    <w:rsid w:val="00AE2F27"/>
    <w:rsid w:val="00AE2FD1"/>
    <w:rsid w:val="00AE3087"/>
    <w:rsid w:val="00AE4820"/>
    <w:rsid w:val="00AE730E"/>
    <w:rsid w:val="00AE7311"/>
    <w:rsid w:val="00AE7F32"/>
    <w:rsid w:val="00AF0B1C"/>
    <w:rsid w:val="00AF2048"/>
    <w:rsid w:val="00AF2811"/>
    <w:rsid w:val="00AF4C26"/>
    <w:rsid w:val="00AF556B"/>
    <w:rsid w:val="00AF6338"/>
    <w:rsid w:val="00AF675C"/>
    <w:rsid w:val="00AF7BF1"/>
    <w:rsid w:val="00B00203"/>
    <w:rsid w:val="00B0090E"/>
    <w:rsid w:val="00B00C2D"/>
    <w:rsid w:val="00B00C48"/>
    <w:rsid w:val="00B0214A"/>
    <w:rsid w:val="00B02401"/>
    <w:rsid w:val="00B0408D"/>
    <w:rsid w:val="00B0510F"/>
    <w:rsid w:val="00B051FD"/>
    <w:rsid w:val="00B05F08"/>
    <w:rsid w:val="00B05FEA"/>
    <w:rsid w:val="00B06B33"/>
    <w:rsid w:val="00B07D23"/>
    <w:rsid w:val="00B12DF1"/>
    <w:rsid w:val="00B13036"/>
    <w:rsid w:val="00B139EC"/>
    <w:rsid w:val="00B1576A"/>
    <w:rsid w:val="00B15FF3"/>
    <w:rsid w:val="00B16147"/>
    <w:rsid w:val="00B16BE6"/>
    <w:rsid w:val="00B16F83"/>
    <w:rsid w:val="00B1773C"/>
    <w:rsid w:val="00B20164"/>
    <w:rsid w:val="00B2229D"/>
    <w:rsid w:val="00B22DEF"/>
    <w:rsid w:val="00B2346E"/>
    <w:rsid w:val="00B2394F"/>
    <w:rsid w:val="00B245B9"/>
    <w:rsid w:val="00B24CB0"/>
    <w:rsid w:val="00B263E6"/>
    <w:rsid w:val="00B300D1"/>
    <w:rsid w:val="00B30B92"/>
    <w:rsid w:val="00B31FA2"/>
    <w:rsid w:val="00B35580"/>
    <w:rsid w:val="00B3634A"/>
    <w:rsid w:val="00B36381"/>
    <w:rsid w:val="00B37B26"/>
    <w:rsid w:val="00B37C94"/>
    <w:rsid w:val="00B4174D"/>
    <w:rsid w:val="00B4191D"/>
    <w:rsid w:val="00B424D4"/>
    <w:rsid w:val="00B42D40"/>
    <w:rsid w:val="00B446FB"/>
    <w:rsid w:val="00B458A4"/>
    <w:rsid w:val="00B45CAC"/>
    <w:rsid w:val="00B460C8"/>
    <w:rsid w:val="00B460D1"/>
    <w:rsid w:val="00B461ED"/>
    <w:rsid w:val="00B467A7"/>
    <w:rsid w:val="00B504C3"/>
    <w:rsid w:val="00B50C12"/>
    <w:rsid w:val="00B50DDC"/>
    <w:rsid w:val="00B50F1E"/>
    <w:rsid w:val="00B51D88"/>
    <w:rsid w:val="00B52631"/>
    <w:rsid w:val="00B53712"/>
    <w:rsid w:val="00B53E7A"/>
    <w:rsid w:val="00B54230"/>
    <w:rsid w:val="00B5542A"/>
    <w:rsid w:val="00B5733E"/>
    <w:rsid w:val="00B62359"/>
    <w:rsid w:val="00B65BCE"/>
    <w:rsid w:val="00B65C7A"/>
    <w:rsid w:val="00B66A76"/>
    <w:rsid w:val="00B6708A"/>
    <w:rsid w:val="00B706B8"/>
    <w:rsid w:val="00B70AA6"/>
    <w:rsid w:val="00B71745"/>
    <w:rsid w:val="00B724FF"/>
    <w:rsid w:val="00B72EC6"/>
    <w:rsid w:val="00B7340D"/>
    <w:rsid w:val="00B742E4"/>
    <w:rsid w:val="00B74809"/>
    <w:rsid w:val="00B74919"/>
    <w:rsid w:val="00B753AE"/>
    <w:rsid w:val="00B75600"/>
    <w:rsid w:val="00B7637A"/>
    <w:rsid w:val="00B76837"/>
    <w:rsid w:val="00B777FC"/>
    <w:rsid w:val="00B8016C"/>
    <w:rsid w:val="00B801D0"/>
    <w:rsid w:val="00B80BF4"/>
    <w:rsid w:val="00B822F7"/>
    <w:rsid w:val="00B8536F"/>
    <w:rsid w:val="00B86289"/>
    <w:rsid w:val="00B9117E"/>
    <w:rsid w:val="00B93939"/>
    <w:rsid w:val="00B9421B"/>
    <w:rsid w:val="00B956A9"/>
    <w:rsid w:val="00B96890"/>
    <w:rsid w:val="00B96C04"/>
    <w:rsid w:val="00B97897"/>
    <w:rsid w:val="00BA0CAC"/>
    <w:rsid w:val="00BA1317"/>
    <w:rsid w:val="00BA2E28"/>
    <w:rsid w:val="00BA3A81"/>
    <w:rsid w:val="00BA3F31"/>
    <w:rsid w:val="00BA4D66"/>
    <w:rsid w:val="00BA5E14"/>
    <w:rsid w:val="00BA6389"/>
    <w:rsid w:val="00BA67B7"/>
    <w:rsid w:val="00BA6D15"/>
    <w:rsid w:val="00BB16A9"/>
    <w:rsid w:val="00BB178A"/>
    <w:rsid w:val="00BB2BEF"/>
    <w:rsid w:val="00BB3C2D"/>
    <w:rsid w:val="00BB3C8A"/>
    <w:rsid w:val="00BB69CD"/>
    <w:rsid w:val="00BB7517"/>
    <w:rsid w:val="00BB76AC"/>
    <w:rsid w:val="00BB78FA"/>
    <w:rsid w:val="00BB7EAB"/>
    <w:rsid w:val="00BC124E"/>
    <w:rsid w:val="00BC1A53"/>
    <w:rsid w:val="00BC28BB"/>
    <w:rsid w:val="00BC30A8"/>
    <w:rsid w:val="00BC4A40"/>
    <w:rsid w:val="00BC73C6"/>
    <w:rsid w:val="00BD0525"/>
    <w:rsid w:val="00BD06F8"/>
    <w:rsid w:val="00BD10D1"/>
    <w:rsid w:val="00BD1BDD"/>
    <w:rsid w:val="00BD1DE5"/>
    <w:rsid w:val="00BD2EF1"/>
    <w:rsid w:val="00BD4499"/>
    <w:rsid w:val="00BD4C78"/>
    <w:rsid w:val="00BD61BC"/>
    <w:rsid w:val="00BD625D"/>
    <w:rsid w:val="00BD679E"/>
    <w:rsid w:val="00BE083E"/>
    <w:rsid w:val="00BE1D7A"/>
    <w:rsid w:val="00BE2218"/>
    <w:rsid w:val="00BE238E"/>
    <w:rsid w:val="00BE2830"/>
    <w:rsid w:val="00BE2B4B"/>
    <w:rsid w:val="00BE40AE"/>
    <w:rsid w:val="00BE6BC6"/>
    <w:rsid w:val="00BE6FA7"/>
    <w:rsid w:val="00BE7980"/>
    <w:rsid w:val="00BF0FA3"/>
    <w:rsid w:val="00BF11B4"/>
    <w:rsid w:val="00BF1499"/>
    <w:rsid w:val="00BF1C21"/>
    <w:rsid w:val="00BF347F"/>
    <w:rsid w:val="00BF39E9"/>
    <w:rsid w:val="00BF4523"/>
    <w:rsid w:val="00BF457E"/>
    <w:rsid w:val="00BF6767"/>
    <w:rsid w:val="00BF6D13"/>
    <w:rsid w:val="00C0075D"/>
    <w:rsid w:val="00C02117"/>
    <w:rsid w:val="00C02E59"/>
    <w:rsid w:val="00C0363B"/>
    <w:rsid w:val="00C03A3B"/>
    <w:rsid w:val="00C110FF"/>
    <w:rsid w:val="00C12CB4"/>
    <w:rsid w:val="00C1375C"/>
    <w:rsid w:val="00C1453C"/>
    <w:rsid w:val="00C14932"/>
    <w:rsid w:val="00C15692"/>
    <w:rsid w:val="00C159C5"/>
    <w:rsid w:val="00C16ECF"/>
    <w:rsid w:val="00C17A7A"/>
    <w:rsid w:val="00C2218A"/>
    <w:rsid w:val="00C2253B"/>
    <w:rsid w:val="00C2333C"/>
    <w:rsid w:val="00C242A2"/>
    <w:rsid w:val="00C26E3D"/>
    <w:rsid w:val="00C30504"/>
    <w:rsid w:val="00C31C8B"/>
    <w:rsid w:val="00C34E00"/>
    <w:rsid w:val="00C3544A"/>
    <w:rsid w:val="00C354C4"/>
    <w:rsid w:val="00C376FA"/>
    <w:rsid w:val="00C37D29"/>
    <w:rsid w:val="00C40276"/>
    <w:rsid w:val="00C40A04"/>
    <w:rsid w:val="00C41794"/>
    <w:rsid w:val="00C41E6A"/>
    <w:rsid w:val="00C42E92"/>
    <w:rsid w:val="00C42F88"/>
    <w:rsid w:val="00C43936"/>
    <w:rsid w:val="00C43ED9"/>
    <w:rsid w:val="00C441D2"/>
    <w:rsid w:val="00C44E4D"/>
    <w:rsid w:val="00C46F32"/>
    <w:rsid w:val="00C507B1"/>
    <w:rsid w:val="00C50CBA"/>
    <w:rsid w:val="00C50F38"/>
    <w:rsid w:val="00C51CB5"/>
    <w:rsid w:val="00C52607"/>
    <w:rsid w:val="00C52DB6"/>
    <w:rsid w:val="00C530D6"/>
    <w:rsid w:val="00C54FC3"/>
    <w:rsid w:val="00C562A4"/>
    <w:rsid w:val="00C56635"/>
    <w:rsid w:val="00C576F0"/>
    <w:rsid w:val="00C57C23"/>
    <w:rsid w:val="00C57D2F"/>
    <w:rsid w:val="00C611CA"/>
    <w:rsid w:val="00C62B00"/>
    <w:rsid w:val="00C64268"/>
    <w:rsid w:val="00C64B80"/>
    <w:rsid w:val="00C66B26"/>
    <w:rsid w:val="00C70076"/>
    <w:rsid w:val="00C70A31"/>
    <w:rsid w:val="00C717D1"/>
    <w:rsid w:val="00C71DB1"/>
    <w:rsid w:val="00C755FF"/>
    <w:rsid w:val="00C75DBE"/>
    <w:rsid w:val="00C7683F"/>
    <w:rsid w:val="00C81065"/>
    <w:rsid w:val="00C82287"/>
    <w:rsid w:val="00C824DA"/>
    <w:rsid w:val="00C82D76"/>
    <w:rsid w:val="00C83642"/>
    <w:rsid w:val="00C83781"/>
    <w:rsid w:val="00C847EE"/>
    <w:rsid w:val="00C84B4E"/>
    <w:rsid w:val="00C85BDD"/>
    <w:rsid w:val="00C87D5F"/>
    <w:rsid w:val="00C91D23"/>
    <w:rsid w:val="00C93C57"/>
    <w:rsid w:val="00C9466E"/>
    <w:rsid w:val="00C9481F"/>
    <w:rsid w:val="00C94B07"/>
    <w:rsid w:val="00C950B9"/>
    <w:rsid w:val="00C957FC"/>
    <w:rsid w:val="00C9646E"/>
    <w:rsid w:val="00C96A59"/>
    <w:rsid w:val="00C96FAC"/>
    <w:rsid w:val="00CA0C0B"/>
    <w:rsid w:val="00CA0DEC"/>
    <w:rsid w:val="00CA1461"/>
    <w:rsid w:val="00CA17F4"/>
    <w:rsid w:val="00CA1EA5"/>
    <w:rsid w:val="00CA2DBD"/>
    <w:rsid w:val="00CA3054"/>
    <w:rsid w:val="00CA4A57"/>
    <w:rsid w:val="00CA538D"/>
    <w:rsid w:val="00CA7D76"/>
    <w:rsid w:val="00CB1255"/>
    <w:rsid w:val="00CB353D"/>
    <w:rsid w:val="00CB3AA9"/>
    <w:rsid w:val="00CB4657"/>
    <w:rsid w:val="00CB46F3"/>
    <w:rsid w:val="00CB4BE5"/>
    <w:rsid w:val="00CB4CA6"/>
    <w:rsid w:val="00CB5140"/>
    <w:rsid w:val="00CB5B33"/>
    <w:rsid w:val="00CB5BB9"/>
    <w:rsid w:val="00CB6384"/>
    <w:rsid w:val="00CB77D0"/>
    <w:rsid w:val="00CB7D0A"/>
    <w:rsid w:val="00CB7E8D"/>
    <w:rsid w:val="00CC1649"/>
    <w:rsid w:val="00CC1B3F"/>
    <w:rsid w:val="00CC4B06"/>
    <w:rsid w:val="00CC6DFE"/>
    <w:rsid w:val="00CC7AB0"/>
    <w:rsid w:val="00CC7D8B"/>
    <w:rsid w:val="00CD13D5"/>
    <w:rsid w:val="00CD16EB"/>
    <w:rsid w:val="00CD2747"/>
    <w:rsid w:val="00CD287B"/>
    <w:rsid w:val="00CD2B1B"/>
    <w:rsid w:val="00CD3678"/>
    <w:rsid w:val="00CD3DBC"/>
    <w:rsid w:val="00CD4B40"/>
    <w:rsid w:val="00CD4C77"/>
    <w:rsid w:val="00CD5477"/>
    <w:rsid w:val="00CD60B2"/>
    <w:rsid w:val="00CD61BF"/>
    <w:rsid w:val="00CD768F"/>
    <w:rsid w:val="00CD7A59"/>
    <w:rsid w:val="00CD7FE5"/>
    <w:rsid w:val="00CE32F6"/>
    <w:rsid w:val="00CE3C4A"/>
    <w:rsid w:val="00CE4FB5"/>
    <w:rsid w:val="00CE704D"/>
    <w:rsid w:val="00CE71C3"/>
    <w:rsid w:val="00CF0160"/>
    <w:rsid w:val="00CF0926"/>
    <w:rsid w:val="00CF1DAA"/>
    <w:rsid w:val="00CF2686"/>
    <w:rsid w:val="00CF42C5"/>
    <w:rsid w:val="00CF4603"/>
    <w:rsid w:val="00CF4851"/>
    <w:rsid w:val="00CF60CA"/>
    <w:rsid w:val="00CF66A1"/>
    <w:rsid w:val="00CF6C3C"/>
    <w:rsid w:val="00CF7120"/>
    <w:rsid w:val="00CF735D"/>
    <w:rsid w:val="00D01032"/>
    <w:rsid w:val="00D04185"/>
    <w:rsid w:val="00D0423A"/>
    <w:rsid w:val="00D04D1B"/>
    <w:rsid w:val="00D0528B"/>
    <w:rsid w:val="00D05A7B"/>
    <w:rsid w:val="00D07ABC"/>
    <w:rsid w:val="00D10DCF"/>
    <w:rsid w:val="00D12C75"/>
    <w:rsid w:val="00D13481"/>
    <w:rsid w:val="00D13808"/>
    <w:rsid w:val="00D15817"/>
    <w:rsid w:val="00D15E23"/>
    <w:rsid w:val="00D16236"/>
    <w:rsid w:val="00D20A2C"/>
    <w:rsid w:val="00D21839"/>
    <w:rsid w:val="00D223A8"/>
    <w:rsid w:val="00D23700"/>
    <w:rsid w:val="00D253FB"/>
    <w:rsid w:val="00D25697"/>
    <w:rsid w:val="00D26BA2"/>
    <w:rsid w:val="00D26D14"/>
    <w:rsid w:val="00D26DA3"/>
    <w:rsid w:val="00D301C6"/>
    <w:rsid w:val="00D3113C"/>
    <w:rsid w:val="00D31758"/>
    <w:rsid w:val="00D31C3C"/>
    <w:rsid w:val="00D33A1B"/>
    <w:rsid w:val="00D3693D"/>
    <w:rsid w:val="00D410DD"/>
    <w:rsid w:val="00D41323"/>
    <w:rsid w:val="00D42F91"/>
    <w:rsid w:val="00D43B22"/>
    <w:rsid w:val="00D44AC2"/>
    <w:rsid w:val="00D44CD7"/>
    <w:rsid w:val="00D44DE1"/>
    <w:rsid w:val="00D45896"/>
    <w:rsid w:val="00D45C99"/>
    <w:rsid w:val="00D464BE"/>
    <w:rsid w:val="00D46D04"/>
    <w:rsid w:val="00D47328"/>
    <w:rsid w:val="00D51E37"/>
    <w:rsid w:val="00D524E2"/>
    <w:rsid w:val="00D52509"/>
    <w:rsid w:val="00D52C53"/>
    <w:rsid w:val="00D5354D"/>
    <w:rsid w:val="00D53D39"/>
    <w:rsid w:val="00D53E8C"/>
    <w:rsid w:val="00D54254"/>
    <w:rsid w:val="00D5491C"/>
    <w:rsid w:val="00D55C76"/>
    <w:rsid w:val="00D569DD"/>
    <w:rsid w:val="00D57E19"/>
    <w:rsid w:val="00D613BF"/>
    <w:rsid w:val="00D61D14"/>
    <w:rsid w:val="00D62B29"/>
    <w:rsid w:val="00D62E22"/>
    <w:rsid w:val="00D62E68"/>
    <w:rsid w:val="00D63333"/>
    <w:rsid w:val="00D63B5C"/>
    <w:rsid w:val="00D65504"/>
    <w:rsid w:val="00D66412"/>
    <w:rsid w:val="00D66F91"/>
    <w:rsid w:val="00D67CCC"/>
    <w:rsid w:val="00D67F02"/>
    <w:rsid w:val="00D72255"/>
    <w:rsid w:val="00D72DB2"/>
    <w:rsid w:val="00D858F6"/>
    <w:rsid w:val="00D867C5"/>
    <w:rsid w:val="00D903D6"/>
    <w:rsid w:val="00D9175B"/>
    <w:rsid w:val="00D92737"/>
    <w:rsid w:val="00D93046"/>
    <w:rsid w:val="00D93633"/>
    <w:rsid w:val="00D93DAE"/>
    <w:rsid w:val="00D96ADE"/>
    <w:rsid w:val="00D97743"/>
    <w:rsid w:val="00DA0774"/>
    <w:rsid w:val="00DA19EB"/>
    <w:rsid w:val="00DA204F"/>
    <w:rsid w:val="00DA2E0A"/>
    <w:rsid w:val="00DA2E67"/>
    <w:rsid w:val="00DA3027"/>
    <w:rsid w:val="00DA36A9"/>
    <w:rsid w:val="00DA3EDD"/>
    <w:rsid w:val="00DA6CE9"/>
    <w:rsid w:val="00DB0929"/>
    <w:rsid w:val="00DB1488"/>
    <w:rsid w:val="00DB1E2E"/>
    <w:rsid w:val="00DB21D5"/>
    <w:rsid w:val="00DB3E13"/>
    <w:rsid w:val="00DB6985"/>
    <w:rsid w:val="00DB7B0C"/>
    <w:rsid w:val="00DC04BD"/>
    <w:rsid w:val="00DC0CF3"/>
    <w:rsid w:val="00DC1261"/>
    <w:rsid w:val="00DC2A4D"/>
    <w:rsid w:val="00DC4121"/>
    <w:rsid w:val="00DC46AA"/>
    <w:rsid w:val="00DC5550"/>
    <w:rsid w:val="00DC5727"/>
    <w:rsid w:val="00DC5C19"/>
    <w:rsid w:val="00DC7725"/>
    <w:rsid w:val="00DD0D50"/>
    <w:rsid w:val="00DD2767"/>
    <w:rsid w:val="00DD30DF"/>
    <w:rsid w:val="00DD3411"/>
    <w:rsid w:val="00DD5006"/>
    <w:rsid w:val="00DD53E3"/>
    <w:rsid w:val="00DD6010"/>
    <w:rsid w:val="00DD71E8"/>
    <w:rsid w:val="00DD7242"/>
    <w:rsid w:val="00DE01CB"/>
    <w:rsid w:val="00DE0892"/>
    <w:rsid w:val="00DE1A37"/>
    <w:rsid w:val="00DE1D10"/>
    <w:rsid w:val="00DE3BD8"/>
    <w:rsid w:val="00DE61AE"/>
    <w:rsid w:val="00DE6357"/>
    <w:rsid w:val="00DE65EF"/>
    <w:rsid w:val="00DF2DCB"/>
    <w:rsid w:val="00DF3B14"/>
    <w:rsid w:val="00DF5ED5"/>
    <w:rsid w:val="00DF6287"/>
    <w:rsid w:val="00E0062E"/>
    <w:rsid w:val="00E013CD"/>
    <w:rsid w:val="00E016EE"/>
    <w:rsid w:val="00E02400"/>
    <w:rsid w:val="00E0513A"/>
    <w:rsid w:val="00E0537E"/>
    <w:rsid w:val="00E05EE7"/>
    <w:rsid w:val="00E07034"/>
    <w:rsid w:val="00E07293"/>
    <w:rsid w:val="00E07B89"/>
    <w:rsid w:val="00E1146A"/>
    <w:rsid w:val="00E116AA"/>
    <w:rsid w:val="00E12C50"/>
    <w:rsid w:val="00E13ACB"/>
    <w:rsid w:val="00E149FE"/>
    <w:rsid w:val="00E15785"/>
    <w:rsid w:val="00E165A1"/>
    <w:rsid w:val="00E169DB"/>
    <w:rsid w:val="00E16A94"/>
    <w:rsid w:val="00E16E32"/>
    <w:rsid w:val="00E2078A"/>
    <w:rsid w:val="00E20F49"/>
    <w:rsid w:val="00E217FB"/>
    <w:rsid w:val="00E222A8"/>
    <w:rsid w:val="00E26E81"/>
    <w:rsid w:val="00E270C0"/>
    <w:rsid w:val="00E30FC7"/>
    <w:rsid w:val="00E311B7"/>
    <w:rsid w:val="00E31448"/>
    <w:rsid w:val="00E3197F"/>
    <w:rsid w:val="00E35C9A"/>
    <w:rsid w:val="00E36B94"/>
    <w:rsid w:val="00E3776B"/>
    <w:rsid w:val="00E4008E"/>
    <w:rsid w:val="00E4049C"/>
    <w:rsid w:val="00E413D4"/>
    <w:rsid w:val="00E41741"/>
    <w:rsid w:val="00E42486"/>
    <w:rsid w:val="00E43D10"/>
    <w:rsid w:val="00E44FD3"/>
    <w:rsid w:val="00E451F6"/>
    <w:rsid w:val="00E45494"/>
    <w:rsid w:val="00E45E3C"/>
    <w:rsid w:val="00E4678B"/>
    <w:rsid w:val="00E47CB7"/>
    <w:rsid w:val="00E47DDE"/>
    <w:rsid w:val="00E50623"/>
    <w:rsid w:val="00E51D8C"/>
    <w:rsid w:val="00E51F3E"/>
    <w:rsid w:val="00E520D9"/>
    <w:rsid w:val="00E52124"/>
    <w:rsid w:val="00E52215"/>
    <w:rsid w:val="00E537CE"/>
    <w:rsid w:val="00E53DF4"/>
    <w:rsid w:val="00E53EA0"/>
    <w:rsid w:val="00E571BB"/>
    <w:rsid w:val="00E61382"/>
    <w:rsid w:val="00E61FBD"/>
    <w:rsid w:val="00E64607"/>
    <w:rsid w:val="00E64686"/>
    <w:rsid w:val="00E65135"/>
    <w:rsid w:val="00E66522"/>
    <w:rsid w:val="00E669A0"/>
    <w:rsid w:val="00E669BF"/>
    <w:rsid w:val="00E70D2F"/>
    <w:rsid w:val="00E70EB4"/>
    <w:rsid w:val="00E71E02"/>
    <w:rsid w:val="00E724BC"/>
    <w:rsid w:val="00E72D17"/>
    <w:rsid w:val="00E737CA"/>
    <w:rsid w:val="00E75263"/>
    <w:rsid w:val="00E75DC1"/>
    <w:rsid w:val="00E761A3"/>
    <w:rsid w:val="00E82E6D"/>
    <w:rsid w:val="00E83256"/>
    <w:rsid w:val="00E84BC2"/>
    <w:rsid w:val="00E854D7"/>
    <w:rsid w:val="00E861AD"/>
    <w:rsid w:val="00E86437"/>
    <w:rsid w:val="00E86446"/>
    <w:rsid w:val="00E86903"/>
    <w:rsid w:val="00E87B80"/>
    <w:rsid w:val="00E90832"/>
    <w:rsid w:val="00E90EFC"/>
    <w:rsid w:val="00E92AA9"/>
    <w:rsid w:val="00E940A3"/>
    <w:rsid w:val="00E9431C"/>
    <w:rsid w:val="00E943EB"/>
    <w:rsid w:val="00E95C89"/>
    <w:rsid w:val="00E95ED4"/>
    <w:rsid w:val="00E96790"/>
    <w:rsid w:val="00EA0ECF"/>
    <w:rsid w:val="00EA1A8B"/>
    <w:rsid w:val="00EA2F4D"/>
    <w:rsid w:val="00EA303E"/>
    <w:rsid w:val="00EA3B19"/>
    <w:rsid w:val="00EA43E4"/>
    <w:rsid w:val="00EA493F"/>
    <w:rsid w:val="00EA546A"/>
    <w:rsid w:val="00EA5CFA"/>
    <w:rsid w:val="00EA5E8C"/>
    <w:rsid w:val="00EA600E"/>
    <w:rsid w:val="00EA6233"/>
    <w:rsid w:val="00EA7510"/>
    <w:rsid w:val="00EA7EC9"/>
    <w:rsid w:val="00EB0F42"/>
    <w:rsid w:val="00EB1375"/>
    <w:rsid w:val="00EB1995"/>
    <w:rsid w:val="00EB21E2"/>
    <w:rsid w:val="00EB2976"/>
    <w:rsid w:val="00EB3656"/>
    <w:rsid w:val="00EB39BD"/>
    <w:rsid w:val="00EB3C34"/>
    <w:rsid w:val="00EB3FFA"/>
    <w:rsid w:val="00EB4C34"/>
    <w:rsid w:val="00EB4F58"/>
    <w:rsid w:val="00EB6229"/>
    <w:rsid w:val="00EB692B"/>
    <w:rsid w:val="00EC4024"/>
    <w:rsid w:val="00EC43FB"/>
    <w:rsid w:val="00EC4929"/>
    <w:rsid w:val="00EC4B71"/>
    <w:rsid w:val="00EC5B8A"/>
    <w:rsid w:val="00EC6202"/>
    <w:rsid w:val="00EC6344"/>
    <w:rsid w:val="00EC6540"/>
    <w:rsid w:val="00EC718B"/>
    <w:rsid w:val="00EC7316"/>
    <w:rsid w:val="00EC7B84"/>
    <w:rsid w:val="00EC7C1B"/>
    <w:rsid w:val="00ED180B"/>
    <w:rsid w:val="00ED2332"/>
    <w:rsid w:val="00ED2647"/>
    <w:rsid w:val="00ED4BA5"/>
    <w:rsid w:val="00ED68FF"/>
    <w:rsid w:val="00ED75AB"/>
    <w:rsid w:val="00EE0058"/>
    <w:rsid w:val="00EE0B4B"/>
    <w:rsid w:val="00EE1266"/>
    <w:rsid w:val="00EE1434"/>
    <w:rsid w:val="00EE2048"/>
    <w:rsid w:val="00EE3170"/>
    <w:rsid w:val="00EE478A"/>
    <w:rsid w:val="00EE6B16"/>
    <w:rsid w:val="00EE7128"/>
    <w:rsid w:val="00EE7D26"/>
    <w:rsid w:val="00EF017C"/>
    <w:rsid w:val="00EF09B5"/>
    <w:rsid w:val="00EF0C4D"/>
    <w:rsid w:val="00EF180F"/>
    <w:rsid w:val="00EF1F1E"/>
    <w:rsid w:val="00EF1F50"/>
    <w:rsid w:val="00EF2D43"/>
    <w:rsid w:val="00EF5FE6"/>
    <w:rsid w:val="00EF7862"/>
    <w:rsid w:val="00F020E5"/>
    <w:rsid w:val="00F02584"/>
    <w:rsid w:val="00F02F79"/>
    <w:rsid w:val="00F0300B"/>
    <w:rsid w:val="00F03AA2"/>
    <w:rsid w:val="00F04ABA"/>
    <w:rsid w:val="00F05052"/>
    <w:rsid w:val="00F06EFD"/>
    <w:rsid w:val="00F07368"/>
    <w:rsid w:val="00F07673"/>
    <w:rsid w:val="00F1011C"/>
    <w:rsid w:val="00F103A5"/>
    <w:rsid w:val="00F10B95"/>
    <w:rsid w:val="00F10BA0"/>
    <w:rsid w:val="00F117A1"/>
    <w:rsid w:val="00F11FEF"/>
    <w:rsid w:val="00F120EF"/>
    <w:rsid w:val="00F13701"/>
    <w:rsid w:val="00F15BFA"/>
    <w:rsid w:val="00F160D2"/>
    <w:rsid w:val="00F1710A"/>
    <w:rsid w:val="00F17333"/>
    <w:rsid w:val="00F2011C"/>
    <w:rsid w:val="00F2033B"/>
    <w:rsid w:val="00F2077F"/>
    <w:rsid w:val="00F21FE9"/>
    <w:rsid w:val="00F23CA5"/>
    <w:rsid w:val="00F23D56"/>
    <w:rsid w:val="00F24480"/>
    <w:rsid w:val="00F24A4D"/>
    <w:rsid w:val="00F26C5F"/>
    <w:rsid w:val="00F271CE"/>
    <w:rsid w:val="00F30053"/>
    <w:rsid w:val="00F31505"/>
    <w:rsid w:val="00F317D9"/>
    <w:rsid w:val="00F31FA0"/>
    <w:rsid w:val="00F32509"/>
    <w:rsid w:val="00F35178"/>
    <w:rsid w:val="00F358AD"/>
    <w:rsid w:val="00F35C18"/>
    <w:rsid w:val="00F36765"/>
    <w:rsid w:val="00F373AE"/>
    <w:rsid w:val="00F37777"/>
    <w:rsid w:val="00F4062A"/>
    <w:rsid w:val="00F4091C"/>
    <w:rsid w:val="00F41737"/>
    <w:rsid w:val="00F42F0F"/>
    <w:rsid w:val="00F43F9C"/>
    <w:rsid w:val="00F45222"/>
    <w:rsid w:val="00F51F27"/>
    <w:rsid w:val="00F53672"/>
    <w:rsid w:val="00F5496D"/>
    <w:rsid w:val="00F55A44"/>
    <w:rsid w:val="00F56630"/>
    <w:rsid w:val="00F5664C"/>
    <w:rsid w:val="00F56A48"/>
    <w:rsid w:val="00F57101"/>
    <w:rsid w:val="00F60B90"/>
    <w:rsid w:val="00F60CEB"/>
    <w:rsid w:val="00F61234"/>
    <w:rsid w:val="00F63AA9"/>
    <w:rsid w:val="00F642ED"/>
    <w:rsid w:val="00F656BE"/>
    <w:rsid w:val="00F65A6F"/>
    <w:rsid w:val="00F65F0E"/>
    <w:rsid w:val="00F66754"/>
    <w:rsid w:val="00F667EE"/>
    <w:rsid w:val="00F6728F"/>
    <w:rsid w:val="00F707FD"/>
    <w:rsid w:val="00F712ED"/>
    <w:rsid w:val="00F718DE"/>
    <w:rsid w:val="00F721E5"/>
    <w:rsid w:val="00F73991"/>
    <w:rsid w:val="00F73CC1"/>
    <w:rsid w:val="00F7470C"/>
    <w:rsid w:val="00F7543E"/>
    <w:rsid w:val="00F75D78"/>
    <w:rsid w:val="00F76084"/>
    <w:rsid w:val="00F76502"/>
    <w:rsid w:val="00F766AB"/>
    <w:rsid w:val="00F76C53"/>
    <w:rsid w:val="00F76EBC"/>
    <w:rsid w:val="00F80FFD"/>
    <w:rsid w:val="00F81ACD"/>
    <w:rsid w:val="00F81E26"/>
    <w:rsid w:val="00F820FD"/>
    <w:rsid w:val="00F8356B"/>
    <w:rsid w:val="00F83A73"/>
    <w:rsid w:val="00F83B0E"/>
    <w:rsid w:val="00F83B9E"/>
    <w:rsid w:val="00F83FB0"/>
    <w:rsid w:val="00F847D7"/>
    <w:rsid w:val="00F868D5"/>
    <w:rsid w:val="00F87534"/>
    <w:rsid w:val="00F8784A"/>
    <w:rsid w:val="00F879DB"/>
    <w:rsid w:val="00F87EC1"/>
    <w:rsid w:val="00F901D6"/>
    <w:rsid w:val="00F9076D"/>
    <w:rsid w:val="00F90B43"/>
    <w:rsid w:val="00F914C8"/>
    <w:rsid w:val="00F9170F"/>
    <w:rsid w:val="00F918D0"/>
    <w:rsid w:val="00F9219B"/>
    <w:rsid w:val="00F92446"/>
    <w:rsid w:val="00F926BC"/>
    <w:rsid w:val="00F9290F"/>
    <w:rsid w:val="00F93183"/>
    <w:rsid w:val="00F94C12"/>
    <w:rsid w:val="00F97767"/>
    <w:rsid w:val="00F97875"/>
    <w:rsid w:val="00F9788D"/>
    <w:rsid w:val="00F97A83"/>
    <w:rsid w:val="00FA00C2"/>
    <w:rsid w:val="00FA02B7"/>
    <w:rsid w:val="00FA0411"/>
    <w:rsid w:val="00FA07F7"/>
    <w:rsid w:val="00FA1451"/>
    <w:rsid w:val="00FA2F6B"/>
    <w:rsid w:val="00FA5207"/>
    <w:rsid w:val="00FA52DF"/>
    <w:rsid w:val="00FA68B8"/>
    <w:rsid w:val="00FA6D77"/>
    <w:rsid w:val="00FA6ED8"/>
    <w:rsid w:val="00FA6F77"/>
    <w:rsid w:val="00FA7B84"/>
    <w:rsid w:val="00FB40B2"/>
    <w:rsid w:val="00FB5CB0"/>
    <w:rsid w:val="00FB63B7"/>
    <w:rsid w:val="00FB6CD1"/>
    <w:rsid w:val="00FB7306"/>
    <w:rsid w:val="00FC1628"/>
    <w:rsid w:val="00FC423A"/>
    <w:rsid w:val="00FC5214"/>
    <w:rsid w:val="00FC62F7"/>
    <w:rsid w:val="00FC702B"/>
    <w:rsid w:val="00FD0E3D"/>
    <w:rsid w:val="00FD328A"/>
    <w:rsid w:val="00FD371E"/>
    <w:rsid w:val="00FD3B4A"/>
    <w:rsid w:val="00FD4B00"/>
    <w:rsid w:val="00FD637C"/>
    <w:rsid w:val="00FD6636"/>
    <w:rsid w:val="00FE10B4"/>
    <w:rsid w:val="00FE1456"/>
    <w:rsid w:val="00FE16DC"/>
    <w:rsid w:val="00FE1827"/>
    <w:rsid w:val="00FE2AF9"/>
    <w:rsid w:val="00FE3FE9"/>
    <w:rsid w:val="00FE5736"/>
    <w:rsid w:val="00FE64E1"/>
    <w:rsid w:val="00FE7921"/>
    <w:rsid w:val="00FF0B70"/>
    <w:rsid w:val="00FF167F"/>
    <w:rsid w:val="00FF1E7E"/>
    <w:rsid w:val="00FF227F"/>
    <w:rsid w:val="00FF272C"/>
    <w:rsid w:val="00FF34A6"/>
    <w:rsid w:val="00FF3A6E"/>
    <w:rsid w:val="00FF5EA6"/>
    <w:rsid w:val="00FF78DF"/>
    <w:rsid w:val="00FF7F9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uiPriority="6" w:qFormat="1"/>
    <w:lsdException w:name="heading 3" w:uiPriority="8" w:qFormat="1"/>
    <w:lsdException w:name="heading 4" w:uiPriority="9" w:qFormat="1"/>
    <w:lsdException w:name="heading 5" w:semiHidden="0" w:uiPriority="10" w:unhideWhenUsed="0" w:qFormat="1"/>
    <w:lsdException w:name="heading 6" w:uiPriority="11" w:qFormat="1"/>
    <w:lsdException w:name="heading 7"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Title" w:semiHidden="0" w:uiPriority="10" w:unhideWhenUsed="0" w:qFormat="1"/>
    <w:lsdException w:name="Default Paragraph Font" w:uiPriority="1"/>
    <w:lsdException w:name="Subtitle" w:uiPriority="11"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latentStyles>
  <w:style w:type="paragraph" w:default="1" w:styleId="Normal">
    <w:name w:val="Normal"/>
    <w:qFormat/>
    <w:rsid w:val="005178B0"/>
    <w:pPr>
      <w:spacing w:before="240" w:after="120" w:line="360" w:lineRule="auto"/>
    </w:pPr>
    <w:rPr>
      <w:rFonts w:ascii="Century Gothic" w:eastAsia="Times New Roman" w:hAnsi="Century Gothic" w:cs="Times New Roman"/>
      <w:color w:val="000000"/>
      <w:kern w:val="28"/>
      <w:szCs w:val="20"/>
    </w:rPr>
  </w:style>
  <w:style w:type="paragraph" w:styleId="Heading1">
    <w:name w:val="heading 1"/>
    <w:aliases w:val="H1"/>
    <w:basedOn w:val="Normal"/>
    <w:next w:val="Normal"/>
    <w:link w:val="Heading1Char"/>
    <w:uiPriority w:val="4"/>
    <w:qFormat/>
    <w:rsid w:val="00846DCC"/>
    <w:pPr>
      <w:keepNext/>
      <w:keepLines/>
      <w:numPr>
        <w:numId w:val="4"/>
      </w:numPr>
      <w:spacing w:after="240"/>
      <w:outlineLvl w:val="0"/>
    </w:pPr>
    <w:rPr>
      <w:rFonts w:eastAsiaTheme="majorEastAsia" w:cstheme="majorBidi"/>
      <w:b/>
      <w:bCs/>
      <w:caps/>
      <w:color w:val="1F497D" w:themeColor="text2"/>
      <w:sz w:val="32"/>
      <w:szCs w:val="28"/>
    </w:rPr>
  </w:style>
  <w:style w:type="paragraph" w:styleId="Heading2">
    <w:name w:val="heading 2"/>
    <w:aliases w:val="H2"/>
    <w:basedOn w:val="Normal"/>
    <w:next w:val="Normal"/>
    <w:link w:val="Heading2Char"/>
    <w:uiPriority w:val="6"/>
    <w:qFormat/>
    <w:rsid w:val="006B75F1"/>
    <w:pPr>
      <w:keepNext/>
      <w:keepLines/>
      <w:numPr>
        <w:ilvl w:val="1"/>
        <w:numId w:val="4"/>
      </w:numPr>
      <w:spacing w:before="360"/>
      <w:ind w:left="851"/>
      <w:outlineLvl w:val="1"/>
    </w:pPr>
    <w:rPr>
      <w:rFonts w:eastAsiaTheme="majorEastAsia" w:cstheme="majorBidi"/>
      <w:b/>
      <w:bCs/>
      <w:color w:val="1F497D" w:themeColor="text2"/>
      <w:sz w:val="26"/>
      <w:szCs w:val="26"/>
    </w:rPr>
  </w:style>
  <w:style w:type="paragraph" w:styleId="Heading3">
    <w:name w:val="heading 3"/>
    <w:aliases w:val="H3"/>
    <w:basedOn w:val="Normal"/>
    <w:next w:val="Normal"/>
    <w:link w:val="Heading3Char"/>
    <w:uiPriority w:val="8"/>
    <w:qFormat/>
    <w:rsid w:val="009731C5"/>
    <w:pPr>
      <w:keepNext/>
      <w:keepLines/>
      <w:spacing w:before="200"/>
      <w:outlineLvl w:val="2"/>
    </w:pPr>
    <w:rPr>
      <w:rFonts w:eastAsiaTheme="majorEastAsia" w:cstheme="majorBidi"/>
      <w:b/>
      <w:bCs/>
      <w:i/>
      <w:color w:val="1F497D" w:themeColor="text2"/>
      <w:sz w:val="24"/>
    </w:rPr>
  </w:style>
  <w:style w:type="paragraph" w:styleId="Heading4">
    <w:name w:val="heading 4"/>
    <w:aliases w:val="H4"/>
    <w:basedOn w:val="Normal"/>
    <w:next w:val="Normal"/>
    <w:link w:val="Heading4Char"/>
    <w:uiPriority w:val="9"/>
    <w:qFormat/>
    <w:rsid w:val="00D26D14"/>
    <w:pPr>
      <w:keepNext/>
      <w:keepLines/>
      <w:numPr>
        <w:ilvl w:val="3"/>
        <w:numId w:val="4"/>
      </w:numPr>
      <w:spacing w:before="160"/>
      <w:ind w:left="0"/>
      <w:outlineLvl w:val="3"/>
    </w:pPr>
    <w:rPr>
      <w:rFonts w:eastAsiaTheme="majorEastAsia" w:cstheme="majorBidi"/>
      <w:bCs/>
      <w:i/>
      <w:iCs/>
      <w:color w:val="auto"/>
      <w:sz w:val="24"/>
    </w:rPr>
  </w:style>
  <w:style w:type="paragraph" w:styleId="Heading5">
    <w:name w:val="heading 5"/>
    <w:aliases w:val="H5"/>
    <w:basedOn w:val="Normal"/>
    <w:next w:val="Normal"/>
    <w:link w:val="Heading5Char"/>
    <w:uiPriority w:val="10"/>
    <w:qFormat/>
    <w:rsid w:val="00835E4C"/>
    <w:pPr>
      <w:keepNext/>
      <w:keepLines/>
      <w:numPr>
        <w:ilvl w:val="4"/>
        <w:numId w:val="4"/>
      </w:numPr>
      <w:spacing w:before="200" w:after="0"/>
      <w:ind w:left="0"/>
      <w:outlineLvl w:val="4"/>
    </w:pPr>
    <w:rPr>
      <w:rFonts w:eastAsiaTheme="majorEastAsia" w:cstheme="majorBidi"/>
      <w:color w:val="243F60" w:themeColor="accent1" w:themeShade="7F"/>
    </w:rPr>
  </w:style>
  <w:style w:type="paragraph" w:styleId="Heading6">
    <w:name w:val="heading 6"/>
    <w:aliases w:val="H6"/>
    <w:basedOn w:val="Normal"/>
    <w:next w:val="Normal"/>
    <w:link w:val="Heading6Char"/>
    <w:uiPriority w:val="11"/>
    <w:semiHidden/>
    <w:unhideWhenUsed/>
    <w:qFormat/>
    <w:rsid w:val="00835E4C"/>
    <w:pPr>
      <w:keepNext/>
      <w:keepLines/>
      <w:numPr>
        <w:ilvl w:val="5"/>
        <w:numId w:val="4"/>
      </w:numPr>
      <w:spacing w:before="200" w:after="0"/>
      <w:ind w:left="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C715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basedOn w:val="Normal"/>
    <w:link w:val="ListParagraphChar"/>
    <w:uiPriority w:val="34"/>
    <w:unhideWhenUsed/>
    <w:qFormat/>
    <w:rsid w:val="007D6129"/>
    <w:pPr>
      <w:numPr>
        <w:numId w:val="6"/>
      </w:numPr>
    </w:pPr>
    <w:rPr>
      <w:lang w:eastAsia="en-AU"/>
    </w:rPr>
  </w:style>
  <w:style w:type="character" w:customStyle="1" w:styleId="Heading1Char">
    <w:name w:val="Heading 1 Char"/>
    <w:aliases w:val="H1 Char"/>
    <w:basedOn w:val="DefaultParagraphFont"/>
    <w:link w:val="Heading1"/>
    <w:uiPriority w:val="4"/>
    <w:rsid w:val="00846DCC"/>
    <w:rPr>
      <w:rFonts w:ascii="Century Gothic" w:eastAsiaTheme="majorEastAsia" w:hAnsi="Century Gothic" w:cstheme="majorBidi"/>
      <w:b/>
      <w:bCs/>
      <w:caps/>
      <w:color w:val="1F497D" w:themeColor="text2"/>
      <w:kern w:val="28"/>
      <w:sz w:val="32"/>
      <w:szCs w:val="28"/>
    </w:rPr>
  </w:style>
  <w:style w:type="character" w:customStyle="1" w:styleId="Heading2Char">
    <w:name w:val="Heading 2 Char"/>
    <w:aliases w:val="H2 Char"/>
    <w:basedOn w:val="DefaultParagraphFont"/>
    <w:link w:val="Heading2"/>
    <w:uiPriority w:val="6"/>
    <w:rsid w:val="006B75F1"/>
    <w:rPr>
      <w:rFonts w:ascii="Century Gothic" w:eastAsiaTheme="majorEastAsia" w:hAnsi="Century Gothic" w:cstheme="majorBidi"/>
      <w:b/>
      <w:bCs/>
      <w:color w:val="1F497D" w:themeColor="text2"/>
      <w:kern w:val="28"/>
      <w:sz w:val="26"/>
      <w:szCs w:val="26"/>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character" w:customStyle="1" w:styleId="Heading3Char">
    <w:name w:val="Heading 3 Char"/>
    <w:aliases w:val="H3 Char"/>
    <w:basedOn w:val="DefaultParagraphFont"/>
    <w:link w:val="Heading3"/>
    <w:uiPriority w:val="8"/>
    <w:rsid w:val="009731C5"/>
    <w:rPr>
      <w:rFonts w:ascii="Century Gothic" w:eastAsiaTheme="majorEastAsia" w:hAnsi="Century Gothic" w:cstheme="majorBidi"/>
      <w:b/>
      <w:bCs/>
      <w:i/>
      <w:color w:val="1F497D" w:themeColor="text2"/>
      <w:kern w:val="28"/>
      <w:sz w:val="24"/>
      <w:szCs w:val="20"/>
    </w:rPr>
  </w:style>
  <w:style w:type="character" w:customStyle="1" w:styleId="Heading4Char">
    <w:name w:val="Heading 4 Char"/>
    <w:aliases w:val="H4 Char"/>
    <w:basedOn w:val="DefaultParagraphFont"/>
    <w:link w:val="Heading4"/>
    <w:uiPriority w:val="9"/>
    <w:rsid w:val="00D26D14"/>
    <w:rPr>
      <w:rFonts w:ascii="Century Gothic" w:eastAsiaTheme="majorEastAsia" w:hAnsi="Century Gothic" w:cstheme="majorBidi"/>
      <w:bCs/>
      <w:i/>
      <w:iCs/>
      <w:kern w:val="28"/>
      <w:sz w:val="24"/>
      <w:szCs w:val="20"/>
    </w:rPr>
  </w:style>
  <w:style w:type="paragraph" w:styleId="TOCHeading">
    <w:name w:val="TOC Heading"/>
    <w:basedOn w:val="Heading1"/>
    <w:next w:val="Normal"/>
    <w:uiPriority w:val="39"/>
    <w:unhideWhenUsed/>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rsid w:val="00525D2C"/>
    <w:pPr>
      <w:spacing w:after="100"/>
    </w:pPr>
    <w:rPr>
      <w:rFonts w:ascii="Calibri" w:hAnsi="Calibri"/>
      <w:b/>
      <w:caps/>
      <w:sz w:val="20"/>
    </w:rPr>
  </w:style>
  <w:style w:type="paragraph" w:styleId="TOC2">
    <w:name w:val="toc 2"/>
    <w:basedOn w:val="Normal"/>
    <w:next w:val="Normal"/>
    <w:autoRedefine/>
    <w:uiPriority w:val="39"/>
    <w:unhideWhenUsed/>
    <w:rsid w:val="00817569"/>
    <w:pPr>
      <w:tabs>
        <w:tab w:val="left" w:pos="660"/>
        <w:tab w:val="right" w:leader="dot" w:pos="9010"/>
      </w:tabs>
      <w:spacing w:before="120" w:after="100"/>
      <w:contextualSpacing/>
    </w:pPr>
    <w:rPr>
      <w:rFonts w:ascii="Calibri" w:hAnsi="Calibri"/>
      <w:noProof/>
      <w:sz w:val="20"/>
    </w:rPr>
  </w:style>
  <w:style w:type="paragraph" w:styleId="TOC3">
    <w:name w:val="toc 3"/>
    <w:basedOn w:val="Normal"/>
    <w:next w:val="Normal"/>
    <w:autoRedefine/>
    <w:uiPriority w:val="39"/>
    <w:unhideWhenUsed/>
    <w:rsid w:val="00203158"/>
    <w:pPr>
      <w:tabs>
        <w:tab w:val="left" w:pos="660"/>
        <w:tab w:val="right" w:leader="dot" w:pos="9010"/>
      </w:tabs>
      <w:spacing w:after="100"/>
    </w:pPr>
    <w:rPr>
      <w:rFonts w:ascii="Calibri" w:hAnsi="Calibri"/>
      <w:i/>
      <w:sz w:val="18"/>
    </w:rPr>
  </w:style>
  <w:style w:type="paragraph" w:styleId="Header">
    <w:name w:val="header"/>
    <w:basedOn w:val="Normal"/>
    <w:link w:val="HeaderChar"/>
    <w:uiPriority w:val="21"/>
    <w:unhideWhenUsed/>
    <w:rsid w:val="00E66522"/>
    <w:pPr>
      <w:tabs>
        <w:tab w:val="center" w:pos="4513"/>
        <w:tab w:val="right" w:pos="9026"/>
      </w:tabs>
    </w:pPr>
  </w:style>
  <w:style w:type="character" w:customStyle="1" w:styleId="HeaderChar">
    <w:name w:val="Header Char"/>
    <w:basedOn w:val="DefaultParagraphFont"/>
    <w:link w:val="Header"/>
    <w:uiPriority w:val="21"/>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2E4C58"/>
    <w:pPr>
      <w:spacing w:after="960"/>
    </w:pPr>
    <w:rPr>
      <w:rFonts w:cs="Arial"/>
      <w:b/>
      <w:color w:val="0070C0"/>
      <w:sz w:val="40"/>
      <w:szCs w:val="43"/>
    </w:rPr>
  </w:style>
  <w:style w:type="character" w:customStyle="1" w:styleId="TitleChar">
    <w:name w:val="Title Char"/>
    <w:basedOn w:val="DefaultParagraphFont"/>
    <w:link w:val="Title"/>
    <w:uiPriority w:val="17"/>
    <w:rsid w:val="00325C6C"/>
    <w:rPr>
      <w:rFonts w:eastAsia="Times New Roman" w:cs="Arial"/>
      <w:b/>
      <w:color w:val="0070C0"/>
      <w:kern w:val="28"/>
      <w:sz w:val="40"/>
      <w:szCs w:val="43"/>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character" w:customStyle="1" w:styleId="Heading5Char">
    <w:name w:val="Heading 5 Char"/>
    <w:aliases w:val="H5 Char"/>
    <w:basedOn w:val="DefaultParagraphFont"/>
    <w:link w:val="Heading5"/>
    <w:uiPriority w:val="10"/>
    <w:rsid w:val="00835E4C"/>
    <w:rPr>
      <w:rFonts w:ascii="Century Gothic" w:eastAsiaTheme="majorEastAsia" w:hAnsi="Century Gothic" w:cstheme="majorBidi"/>
      <w:color w:val="243F60" w:themeColor="accent1" w:themeShade="7F"/>
      <w:kern w:val="28"/>
      <w:szCs w:val="20"/>
    </w:rPr>
  </w:style>
  <w:style w:type="paragraph" w:customStyle="1" w:styleId="TableHeading">
    <w:name w:val="TableHeading"/>
    <w:basedOn w:val="Normal"/>
    <w:uiPriority w:val="13"/>
    <w:qFormat/>
    <w:rsid w:val="008A7C61"/>
    <w:pPr>
      <w:jc w:val="both"/>
    </w:pPr>
    <w:rPr>
      <w:rFonts w:cs="Arial"/>
      <w:b/>
      <w:sz w:val="20"/>
      <w:szCs w:val="22"/>
    </w:rPr>
  </w:style>
  <w:style w:type="paragraph" w:customStyle="1" w:styleId="TableText">
    <w:name w:val="TableText"/>
    <w:basedOn w:val="Normal"/>
    <w:next w:val="Normal"/>
    <w:uiPriority w:val="14"/>
    <w:qFormat/>
    <w:rsid w:val="008A7C61"/>
    <w:pPr>
      <w:jc w:val="both"/>
    </w:pPr>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22"/>
    <w:qFormat/>
    <w:rsid w:val="00F60CEB"/>
    <w:rPr>
      <w:b/>
      <w:bCs/>
    </w:rPr>
  </w:style>
  <w:style w:type="paragraph" w:customStyle="1" w:styleId="PrelimHeadings">
    <w:name w:val="PrelimHeadings"/>
    <w:basedOn w:val="Normal"/>
    <w:next w:val="Normal"/>
    <w:uiPriority w:val="99"/>
    <w:rsid w:val="00F60CEB"/>
    <w:pPr>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6D31DC"/>
    <w:rPr>
      <w:rFonts w:ascii="Arial Bold" w:hAnsi="Arial Bold"/>
      <w:color w:val="0070C0"/>
      <w:sz w:val="36"/>
    </w:rPr>
  </w:style>
  <w:style w:type="paragraph" w:customStyle="1" w:styleId="Authors">
    <w:name w:val="Authors"/>
    <w:basedOn w:val="Normal"/>
    <w:uiPriority w:val="19"/>
    <w:qFormat/>
    <w:rsid w:val="002E4C58"/>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CF6C3C"/>
    <w:pPr>
      <w:keepLines w:val="0"/>
      <w:numPr>
        <w:numId w:val="0"/>
      </w:numPr>
      <w:spacing w:before="0"/>
      <w:outlineLvl w:val="9"/>
    </w:pPr>
    <w:rPr>
      <w:rFonts w:eastAsia="Times New Roman" w:cs="Arial"/>
      <w:color w:val="000000"/>
      <w:spacing w:val="4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6C3233"/>
    <w:pPr>
      <w:tabs>
        <w:tab w:val="left" w:pos="1080"/>
        <w:tab w:val="right" w:leader="dot" w:pos="9000"/>
      </w:tabs>
      <w:ind w:left="1038" w:hanging="1038"/>
    </w:pPr>
    <w:rPr>
      <w:kern w:val="0"/>
      <w:sz w:val="20"/>
      <w:lang w:eastAsia="en-AU"/>
    </w:rPr>
  </w:style>
  <w:style w:type="paragraph" w:styleId="ListBullet">
    <w:name w:val="List Bullet"/>
    <w:basedOn w:val="ListParagraph"/>
    <w:uiPriority w:val="22"/>
    <w:qFormat/>
    <w:rsid w:val="00835E4C"/>
    <w:pPr>
      <w:numPr>
        <w:numId w:val="1"/>
      </w:numPr>
    </w:pPr>
    <w:rPr>
      <w:rFonts w:cs="Arial"/>
      <w:szCs w:val="22"/>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C34E00"/>
    <w:pPr>
      <w:numPr>
        <w:numId w:val="2"/>
      </w:numPr>
    </w:pPr>
    <w:rPr>
      <w:rFonts w:cs="Arial"/>
      <w:szCs w:val="22"/>
    </w:rPr>
  </w:style>
  <w:style w:type="paragraph" w:customStyle="1" w:styleId="TableCaption">
    <w:name w:val="TableCaption"/>
    <w:basedOn w:val="Normal"/>
    <w:next w:val="Normal"/>
    <w:uiPriority w:val="12"/>
    <w:qFormat/>
    <w:rsid w:val="008C3BC0"/>
    <w:rPr>
      <w:b/>
      <w:sz w:val="20"/>
    </w:rPr>
  </w:style>
  <w:style w:type="paragraph" w:customStyle="1" w:styleId="FigureCaption">
    <w:name w:val="FigureCaption"/>
    <w:basedOn w:val="Normal"/>
    <w:uiPriority w:val="15"/>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274897"/>
    <w:rPr>
      <w:b/>
      <w:color w:val="0070C0"/>
      <w:sz w:val="28"/>
      <w:szCs w:val="28"/>
    </w:rPr>
  </w:style>
  <w:style w:type="paragraph" w:customStyle="1" w:styleId="Default">
    <w:name w:val="Default"/>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510325"/>
    <w:rPr>
      <w:i/>
      <w:iCs/>
    </w:rPr>
  </w:style>
  <w:style w:type="paragraph" w:customStyle="1" w:styleId="H2anotincinTOC">
    <w:name w:val="H2a not inc. in TOC"/>
    <w:basedOn w:val="Heading2"/>
    <w:uiPriority w:val="7"/>
    <w:rsid w:val="00BA3F31"/>
    <w:pPr>
      <w:numPr>
        <w:ilvl w:val="0"/>
        <w:numId w:val="0"/>
      </w:numPr>
    </w:pPr>
  </w:style>
  <w:style w:type="character" w:customStyle="1" w:styleId="Heading6Char">
    <w:name w:val="Heading 6 Char"/>
    <w:aliases w:val="H6 Char"/>
    <w:basedOn w:val="DefaultParagraphFont"/>
    <w:link w:val="Heading6"/>
    <w:uiPriority w:val="11"/>
    <w:semiHidden/>
    <w:rsid w:val="00835E4C"/>
    <w:rPr>
      <w:rFonts w:asciiTheme="majorHAnsi" w:eastAsiaTheme="majorEastAsia" w:hAnsiTheme="majorHAnsi" w:cstheme="majorBidi"/>
      <w:i/>
      <w:iCs/>
      <w:color w:val="243F60" w:themeColor="accent1" w:themeShade="7F"/>
      <w:kern w:val="28"/>
      <w:szCs w:val="20"/>
    </w:rPr>
  </w:style>
  <w:style w:type="character" w:customStyle="1" w:styleId="Heading7Char">
    <w:name w:val="Heading 7 Char"/>
    <w:basedOn w:val="DefaultParagraphFont"/>
    <w:link w:val="Heading7"/>
    <w:uiPriority w:val="9"/>
    <w:semiHidden/>
    <w:rsid w:val="001C7157"/>
    <w:rPr>
      <w:rFonts w:asciiTheme="majorHAnsi" w:eastAsiaTheme="majorEastAsia" w:hAnsiTheme="majorHAnsi" w:cstheme="majorBidi"/>
      <w:i/>
      <w:iCs/>
      <w:color w:val="404040" w:themeColor="text1" w:themeTint="BF"/>
      <w:kern w:val="28"/>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link w:val="CaptionChar"/>
    <w:uiPriority w:val="35"/>
    <w:unhideWhenUsed/>
    <w:qFormat/>
    <w:rsid w:val="003175A6"/>
    <w:pPr>
      <w:spacing w:after="200" w:line="240" w:lineRule="auto"/>
    </w:pPr>
    <w:rPr>
      <w:b/>
      <w:bCs/>
      <w:color w:val="auto"/>
      <w:sz w:val="20"/>
      <w:szCs w:val="18"/>
    </w:rPr>
  </w:style>
  <w:style w:type="paragraph" w:styleId="FootnoteText">
    <w:name w:val="footnote text"/>
    <w:basedOn w:val="Normal"/>
    <w:link w:val="FootnoteTextChar"/>
    <w:uiPriority w:val="99"/>
    <w:semiHidden/>
    <w:unhideWhenUsed/>
    <w:rsid w:val="009B6A4E"/>
    <w:pPr>
      <w:spacing w:after="0"/>
    </w:pPr>
    <w:rPr>
      <w:sz w:val="24"/>
      <w:szCs w:val="24"/>
    </w:rPr>
  </w:style>
  <w:style w:type="character" w:customStyle="1" w:styleId="FootnoteTextChar">
    <w:name w:val="Footnote Text Char"/>
    <w:basedOn w:val="DefaultParagraphFont"/>
    <w:link w:val="FootnoteText"/>
    <w:uiPriority w:val="99"/>
    <w:semiHidden/>
    <w:rsid w:val="009B6A4E"/>
    <w:rPr>
      <w:rFonts w:eastAsia="Times New Roman" w:cs="Times New Roman"/>
      <w:color w:val="000000"/>
      <w:kern w:val="28"/>
      <w:sz w:val="24"/>
      <w:szCs w:val="24"/>
    </w:rPr>
  </w:style>
  <w:style w:type="character" w:styleId="FootnoteReference">
    <w:name w:val="footnote reference"/>
    <w:uiPriority w:val="99"/>
    <w:unhideWhenUsed/>
    <w:rsid w:val="009B6A4E"/>
    <w:rPr>
      <w:vertAlign w:val="superscript"/>
    </w:rPr>
  </w:style>
  <w:style w:type="character" w:styleId="FollowedHyperlink">
    <w:name w:val="FollowedHyperlink"/>
    <w:basedOn w:val="DefaultParagraphFont"/>
    <w:uiPriority w:val="99"/>
    <w:semiHidden/>
    <w:unhideWhenUsed/>
    <w:rsid w:val="00CE3C4A"/>
    <w:rPr>
      <w:color w:val="800080" w:themeColor="followedHyperlink"/>
      <w:u w:val="single"/>
    </w:rPr>
  </w:style>
  <w:style w:type="paragraph" w:styleId="DocumentMap">
    <w:name w:val="Document Map"/>
    <w:basedOn w:val="Normal"/>
    <w:link w:val="DocumentMapChar"/>
    <w:uiPriority w:val="99"/>
    <w:semiHidden/>
    <w:unhideWhenUsed/>
    <w:rsid w:val="0054776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54776C"/>
    <w:rPr>
      <w:rFonts w:ascii="Tahoma" w:eastAsia="Times New Roman" w:hAnsi="Tahoma" w:cs="Tahoma"/>
      <w:color w:val="000000"/>
      <w:kern w:val="28"/>
      <w:sz w:val="16"/>
      <w:szCs w:val="16"/>
    </w:rPr>
  </w:style>
  <w:style w:type="table" w:styleId="TableGrid">
    <w:name w:val="Table Grid"/>
    <w:basedOn w:val="TableNormal"/>
    <w:uiPriority w:val="59"/>
    <w:rsid w:val="003836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Heading2"/>
    <w:next w:val="Normal"/>
    <w:link w:val="SubtitleChar"/>
    <w:uiPriority w:val="11"/>
    <w:qFormat/>
    <w:rsid w:val="00231558"/>
    <w:pPr>
      <w:numPr>
        <w:ilvl w:val="0"/>
        <w:numId w:val="0"/>
      </w:numPr>
      <w:spacing w:before="200" w:after="0"/>
      <w:jc w:val="center"/>
    </w:pPr>
    <w:rPr>
      <w:kern w:val="0"/>
      <w:sz w:val="28"/>
    </w:rPr>
  </w:style>
  <w:style w:type="character" w:customStyle="1" w:styleId="SubtitleChar">
    <w:name w:val="Subtitle Char"/>
    <w:basedOn w:val="DefaultParagraphFont"/>
    <w:link w:val="Subtitle"/>
    <w:uiPriority w:val="11"/>
    <w:rsid w:val="00231558"/>
    <w:rPr>
      <w:rFonts w:ascii="Century Gothic" w:eastAsiaTheme="majorEastAsia" w:hAnsi="Century Gothic" w:cstheme="majorBidi"/>
      <w:b/>
      <w:bCs/>
      <w:color w:val="1F497D" w:themeColor="text2"/>
      <w:sz w:val="28"/>
      <w:szCs w:val="26"/>
    </w:rPr>
  </w:style>
  <w:style w:type="character" w:customStyle="1" w:styleId="ListParagraphChar">
    <w:name w:val="List Paragraph Char"/>
    <w:link w:val="ListParagraph"/>
    <w:uiPriority w:val="34"/>
    <w:rsid w:val="007D6129"/>
    <w:rPr>
      <w:rFonts w:ascii="Century Gothic" w:eastAsia="Times New Roman" w:hAnsi="Century Gothic" w:cs="Times New Roman"/>
      <w:color w:val="000000"/>
      <w:kern w:val="28"/>
      <w:szCs w:val="20"/>
      <w:lang w:eastAsia="en-AU"/>
    </w:rPr>
  </w:style>
  <w:style w:type="paragraph" w:customStyle="1" w:styleId="Para0">
    <w:name w:val="Para 0"/>
    <w:basedOn w:val="Normal"/>
    <w:rsid w:val="008C3B72"/>
    <w:pPr>
      <w:spacing w:after="220" w:line="300" w:lineRule="auto"/>
    </w:pPr>
    <w:rPr>
      <w:rFonts w:ascii="Arial" w:hAnsi="Arial"/>
      <w:kern w:val="0"/>
      <w:sz w:val="20"/>
      <w:lang w:val="en-GB"/>
    </w:rPr>
  </w:style>
  <w:style w:type="paragraph" w:customStyle="1" w:styleId="Para0bullet">
    <w:name w:val="Para 0 bullet"/>
    <w:basedOn w:val="Para0"/>
    <w:link w:val="Para0bulletChar"/>
    <w:rsid w:val="00610A43"/>
    <w:pPr>
      <w:numPr>
        <w:numId w:val="5"/>
      </w:numPr>
      <w:spacing w:after="60"/>
    </w:pPr>
  </w:style>
  <w:style w:type="character" w:customStyle="1" w:styleId="Para0bulletChar">
    <w:name w:val="Para 0 bullet Char"/>
    <w:link w:val="Para0bullet"/>
    <w:rsid w:val="00610A43"/>
    <w:rPr>
      <w:rFonts w:ascii="Arial" w:eastAsia="Times New Roman" w:hAnsi="Arial" w:cs="Times New Roman"/>
      <w:color w:val="000000"/>
      <w:sz w:val="20"/>
      <w:szCs w:val="20"/>
      <w:lang w:val="en-GB"/>
    </w:rPr>
  </w:style>
  <w:style w:type="paragraph" w:styleId="Revision">
    <w:name w:val="Revision"/>
    <w:hidden/>
    <w:uiPriority w:val="99"/>
    <w:semiHidden/>
    <w:rsid w:val="00B52631"/>
    <w:pPr>
      <w:spacing w:after="0" w:line="240" w:lineRule="auto"/>
    </w:pPr>
    <w:rPr>
      <w:rFonts w:eastAsia="Times New Roman" w:cs="Times New Roman"/>
      <w:color w:val="000000"/>
      <w:kern w:val="28"/>
      <w:szCs w:val="20"/>
    </w:rPr>
  </w:style>
  <w:style w:type="paragraph" w:customStyle="1" w:styleId="Reporttext">
    <w:name w:val="Report text"/>
    <w:basedOn w:val="Normal"/>
    <w:rsid w:val="00F83A73"/>
    <w:pPr>
      <w:spacing w:after="170" w:line="260" w:lineRule="atLeast"/>
    </w:pPr>
    <w:rPr>
      <w:rFonts w:ascii="Segoe UI" w:eastAsia="MS Mincho" w:hAnsi="Segoe UI"/>
      <w:color w:val="auto"/>
      <w:kern w:val="0"/>
      <w:sz w:val="18"/>
      <w:szCs w:val="18"/>
      <w:lang w:eastAsia="en-AU"/>
    </w:rPr>
  </w:style>
  <w:style w:type="paragraph" w:customStyle="1" w:styleId="EndNoteBibliography">
    <w:name w:val="EndNote Bibliography"/>
    <w:basedOn w:val="Normal"/>
    <w:link w:val="EndNoteBibliographyChar"/>
    <w:rsid w:val="00786ADE"/>
    <w:pPr>
      <w:spacing w:after="200"/>
    </w:pPr>
    <w:rPr>
      <w:rFonts w:ascii="Calibri" w:eastAsiaTheme="minorHAnsi" w:hAnsi="Calibri" w:cs="Calibri"/>
      <w:noProof/>
      <w:color w:val="auto"/>
      <w:kern w:val="0"/>
      <w:szCs w:val="22"/>
      <w:lang w:val="en-US"/>
    </w:rPr>
  </w:style>
  <w:style w:type="character" w:customStyle="1" w:styleId="EndNoteBibliographyChar">
    <w:name w:val="EndNote Bibliography Char"/>
    <w:basedOn w:val="DefaultParagraphFont"/>
    <w:link w:val="EndNoteBibliography"/>
    <w:rsid w:val="00786ADE"/>
    <w:rPr>
      <w:rFonts w:ascii="Calibri" w:hAnsi="Calibri" w:cs="Calibri"/>
      <w:noProof/>
      <w:lang w:val="en-US"/>
    </w:rPr>
  </w:style>
  <w:style w:type="paragraph" w:customStyle="1" w:styleId="BodyText1">
    <w:name w:val="Body Text1"/>
    <w:basedOn w:val="BodyText"/>
    <w:link w:val="BodytextChar0"/>
    <w:rsid w:val="00534849"/>
    <w:pPr>
      <w:spacing w:before="120" w:after="240"/>
      <w:jc w:val="both"/>
    </w:pPr>
    <w:rPr>
      <w:rFonts w:ascii="Arial" w:eastAsia="Calibri" w:hAnsi="Arial"/>
      <w:color w:val="auto"/>
      <w:kern w:val="0"/>
      <w:sz w:val="20"/>
      <w:szCs w:val="20"/>
      <w:lang w:val="en-AU"/>
    </w:rPr>
  </w:style>
  <w:style w:type="character" w:customStyle="1" w:styleId="BodytextChar0">
    <w:name w:val="Body text Char"/>
    <w:basedOn w:val="DefaultParagraphFont"/>
    <w:link w:val="BodyText1"/>
    <w:locked/>
    <w:rsid w:val="00534849"/>
    <w:rPr>
      <w:rFonts w:ascii="Arial" w:eastAsia="Calibri" w:hAnsi="Arial" w:cs="Times New Roman"/>
      <w:sz w:val="20"/>
      <w:szCs w:val="20"/>
    </w:rPr>
  </w:style>
  <w:style w:type="character" w:customStyle="1" w:styleId="CharChar7">
    <w:name w:val="Char Char7"/>
    <w:uiPriority w:val="99"/>
    <w:locked/>
    <w:rsid w:val="00011BE4"/>
    <w:rPr>
      <w:rFonts w:ascii="Frutiger LT Std 45 Light" w:hAnsi="Frutiger LT Std 45 Light" w:cs="Frutiger LT Std 45 Light"/>
      <w:color w:val="548DD4"/>
      <w:spacing w:val="5"/>
      <w:kern w:val="28"/>
      <w:sz w:val="28"/>
      <w:szCs w:val="28"/>
      <w:lang w:val="en-AU" w:eastAsia="en-US" w:bidi="ar-SA"/>
    </w:rPr>
  </w:style>
  <w:style w:type="paragraph" w:styleId="NormalWeb">
    <w:name w:val="Normal (Web)"/>
    <w:basedOn w:val="Normal"/>
    <w:uiPriority w:val="99"/>
    <w:semiHidden/>
    <w:unhideWhenUsed/>
    <w:rsid w:val="002B581A"/>
    <w:pPr>
      <w:spacing w:before="100" w:beforeAutospacing="1" w:after="100" w:afterAutospacing="1"/>
    </w:pPr>
    <w:rPr>
      <w:rFonts w:ascii="Times New Roman" w:hAnsi="Times New Roman"/>
      <w:color w:val="auto"/>
      <w:kern w:val="0"/>
      <w:sz w:val="24"/>
      <w:szCs w:val="24"/>
      <w:lang w:val="en-US"/>
    </w:rPr>
  </w:style>
  <w:style w:type="paragraph" w:customStyle="1" w:styleId="Captions">
    <w:name w:val="Captions"/>
    <w:basedOn w:val="Normal"/>
    <w:next w:val="Normal"/>
    <w:autoRedefine/>
    <w:qFormat/>
    <w:rsid w:val="00F914C8"/>
    <w:pPr>
      <w:spacing w:before="120" w:line="240" w:lineRule="auto"/>
    </w:pPr>
    <w:rPr>
      <w:rFonts w:eastAsia="MS Mincho" w:cs="Arial"/>
      <w:b/>
      <w:bCs/>
      <w:color w:val="auto"/>
      <w:kern w:val="0"/>
      <w:sz w:val="20"/>
      <w:lang w:val="en-US"/>
    </w:rPr>
  </w:style>
  <w:style w:type="character" w:customStyle="1" w:styleId="st">
    <w:name w:val="st"/>
    <w:basedOn w:val="DefaultParagraphFont"/>
    <w:rsid w:val="009C5F10"/>
  </w:style>
  <w:style w:type="character" w:customStyle="1" w:styleId="CaptionChar">
    <w:name w:val="Caption Char"/>
    <w:link w:val="Caption"/>
    <w:rsid w:val="003175A6"/>
    <w:rPr>
      <w:rFonts w:ascii="Century Gothic" w:eastAsia="Times New Roman" w:hAnsi="Century Gothic" w:cs="Times New Roman"/>
      <w:b/>
      <w:bCs/>
      <w:kern w:val="28"/>
      <w:sz w:val="20"/>
      <w:szCs w:val="18"/>
    </w:rPr>
  </w:style>
  <w:style w:type="table" w:customStyle="1" w:styleId="LightList-Accent11">
    <w:name w:val="Light List - Accent 11"/>
    <w:basedOn w:val="TableNormal"/>
    <w:uiPriority w:val="61"/>
    <w:rsid w:val="008770C6"/>
    <w:pPr>
      <w:spacing w:after="0" w:line="240" w:lineRule="auto"/>
    </w:pPr>
    <w:rPr>
      <w:rFonts w:ascii="Calibri" w:eastAsia="Calibri" w:hAnsi="Calibri" w:cs="Times New Roman"/>
      <w:sz w:val="20"/>
      <w:szCs w:val="20"/>
      <w:lang w:eastAsia="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IntenseEmphasis">
    <w:name w:val="Intense Emphasis"/>
    <w:basedOn w:val="DefaultParagraphFont"/>
    <w:uiPriority w:val="21"/>
    <w:qFormat/>
    <w:rsid w:val="00EB3C34"/>
    <w:rPr>
      <w:rFonts w:ascii="Century Gothic" w:hAnsi="Century Gothic"/>
      <w:i/>
      <w:iCs/>
      <w:color w:val="auto"/>
    </w:rPr>
  </w:style>
  <w:style w:type="paragraph" w:customStyle="1" w:styleId="IWCEBodytext15spacing">
    <w:name w:val="IWCE Body text 1.5 spacing"/>
    <w:basedOn w:val="Normal"/>
    <w:link w:val="IWCEBodytext15spacingChar"/>
    <w:uiPriority w:val="99"/>
    <w:rsid w:val="00D0528B"/>
    <w:pPr>
      <w:spacing w:before="0" w:after="200"/>
      <w:jc w:val="both"/>
    </w:pPr>
    <w:rPr>
      <w:rFonts w:ascii="Garamond" w:eastAsia="Calibri" w:hAnsi="Garamond"/>
      <w:color w:val="auto"/>
      <w:kern w:val="0"/>
      <w:szCs w:val="22"/>
      <w:lang w:val="en-US"/>
    </w:rPr>
  </w:style>
  <w:style w:type="character" w:customStyle="1" w:styleId="IWCEBodytext15spacingChar">
    <w:name w:val="IWCE Body text 1.5 spacing Char"/>
    <w:basedOn w:val="DefaultParagraphFont"/>
    <w:link w:val="IWCEBodytext15spacing"/>
    <w:uiPriority w:val="99"/>
    <w:rsid w:val="00D0528B"/>
    <w:rPr>
      <w:rFonts w:ascii="Garamond" w:eastAsia="Calibri" w:hAnsi="Garamond" w:cs="Times New Roman"/>
      <w:lang w:val="en-US"/>
    </w:rPr>
  </w:style>
  <w:style w:type="paragraph" w:styleId="BodyTextIndent3">
    <w:name w:val="Body Text Indent 3"/>
    <w:basedOn w:val="Normal"/>
    <w:link w:val="BodyTextIndent3Char"/>
    <w:rsid w:val="00D0528B"/>
    <w:pPr>
      <w:spacing w:before="0" w:line="240" w:lineRule="auto"/>
      <w:ind w:left="283"/>
    </w:pPr>
    <w:rPr>
      <w:rFonts w:ascii="Times New Roman" w:hAnsi="Times New Roman"/>
      <w:color w:val="auto"/>
      <w:kern w:val="0"/>
      <w:sz w:val="16"/>
      <w:szCs w:val="16"/>
    </w:rPr>
  </w:style>
  <w:style w:type="character" w:customStyle="1" w:styleId="BodyTextIndent3Char">
    <w:name w:val="Body Text Indent 3 Char"/>
    <w:basedOn w:val="DefaultParagraphFont"/>
    <w:link w:val="BodyTextIndent3"/>
    <w:rsid w:val="00D0528B"/>
    <w:rPr>
      <w:rFonts w:ascii="Times New Roman" w:eastAsia="Times New Roman" w:hAnsi="Times New Roman" w:cs="Times New Roman"/>
      <w:sz w:val="16"/>
      <w:szCs w:val="16"/>
    </w:rPr>
  </w:style>
  <w:style w:type="table" w:customStyle="1" w:styleId="LightShading1">
    <w:name w:val="Light Shading1"/>
    <w:basedOn w:val="TableNormal"/>
    <w:uiPriority w:val="60"/>
    <w:rsid w:val="00F43F9C"/>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WCEBodytextsinglespacing">
    <w:name w:val="IWCE Body text single spacing"/>
    <w:basedOn w:val="Default"/>
    <w:rsid w:val="007459F8"/>
    <w:pPr>
      <w:jc w:val="both"/>
    </w:pPr>
    <w:rPr>
      <w:rFonts w:eastAsia="Times New Roman" w:cs="Times New Roman"/>
      <w:sz w:val="22"/>
      <w:szCs w:val="20"/>
      <w:lang w:eastAsia="en-AU"/>
    </w:rPr>
  </w:style>
  <w:style w:type="paragraph" w:customStyle="1" w:styleId="IWCEReferencelist">
    <w:name w:val="IWCE Reference list"/>
    <w:basedOn w:val="Normal"/>
    <w:link w:val="IWCEReferencelistChar"/>
    <w:uiPriority w:val="99"/>
    <w:rsid w:val="007459F8"/>
    <w:pPr>
      <w:spacing w:before="0" w:after="240" w:line="240" w:lineRule="auto"/>
      <w:jc w:val="both"/>
    </w:pPr>
    <w:rPr>
      <w:rFonts w:ascii="Arial" w:eastAsia="Calibri" w:hAnsi="Arial"/>
      <w:color w:val="auto"/>
      <w:kern w:val="0"/>
      <w:szCs w:val="22"/>
      <w:lang w:val="en-US"/>
    </w:rPr>
  </w:style>
  <w:style w:type="character" w:customStyle="1" w:styleId="IWCEReferencelistChar">
    <w:name w:val="IWCE Reference list Char"/>
    <w:basedOn w:val="DefaultParagraphFont"/>
    <w:link w:val="IWCEReferencelist"/>
    <w:uiPriority w:val="99"/>
    <w:rsid w:val="007459F8"/>
    <w:rPr>
      <w:rFonts w:ascii="Arial" w:eastAsia="Calibri" w:hAnsi="Arial" w:cs="Times New Roman"/>
      <w:lang w:val="en-US"/>
    </w:rPr>
  </w:style>
  <w:style w:type="paragraph" w:customStyle="1" w:styleId="Bullet">
    <w:name w:val="Bullet"/>
    <w:basedOn w:val="Normal"/>
    <w:uiPriority w:val="99"/>
    <w:rsid w:val="00414376"/>
    <w:pPr>
      <w:numPr>
        <w:numId w:val="23"/>
      </w:numPr>
      <w:spacing w:before="0" w:line="240" w:lineRule="auto"/>
    </w:pPr>
    <w:rPr>
      <w:rFonts w:ascii="Times New Roman" w:hAnsi="Times New Roman"/>
      <w:color w:val="auto"/>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560522">
      <w:bodyDiv w:val="1"/>
      <w:marLeft w:val="0"/>
      <w:marRight w:val="0"/>
      <w:marTop w:val="0"/>
      <w:marBottom w:val="0"/>
      <w:divBdr>
        <w:top w:val="none" w:sz="0" w:space="0" w:color="auto"/>
        <w:left w:val="none" w:sz="0" w:space="0" w:color="auto"/>
        <w:bottom w:val="none" w:sz="0" w:space="0" w:color="auto"/>
        <w:right w:val="none" w:sz="0" w:space="0" w:color="auto"/>
      </w:divBdr>
    </w:div>
    <w:div w:id="65886730">
      <w:bodyDiv w:val="1"/>
      <w:marLeft w:val="0"/>
      <w:marRight w:val="0"/>
      <w:marTop w:val="0"/>
      <w:marBottom w:val="0"/>
      <w:divBdr>
        <w:top w:val="none" w:sz="0" w:space="0" w:color="auto"/>
        <w:left w:val="none" w:sz="0" w:space="0" w:color="auto"/>
        <w:bottom w:val="none" w:sz="0" w:space="0" w:color="auto"/>
        <w:right w:val="none" w:sz="0" w:space="0" w:color="auto"/>
      </w:divBdr>
    </w:div>
    <w:div w:id="125199176">
      <w:bodyDiv w:val="1"/>
      <w:marLeft w:val="0"/>
      <w:marRight w:val="0"/>
      <w:marTop w:val="0"/>
      <w:marBottom w:val="0"/>
      <w:divBdr>
        <w:top w:val="none" w:sz="0" w:space="0" w:color="auto"/>
        <w:left w:val="none" w:sz="0" w:space="0" w:color="auto"/>
        <w:bottom w:val="none" w:sz="0" w:space="0" w:color="auto"/>
        <w:right w:val="none" w:sz="0" w:space="0" w:color="auto"/>
      </w:divBdr>
    </w:div>
    <w:div w:id="173230080">
      <w:bodyDiv w:val="1"/>
      <w:marLeft w:val="0"/>
      <w:marRight w:val="0"/>
      <w:marTop w:val="0"/>
      <w:marBottom w:val="0"/>
      <w:divBdr>
        <w:top w:val="none" w:sz="0" w:space="0" w:color="auto"/>
        <w:left w:val="none" w:sz="0" w:space="0" w:color="auto"/>
        <w:bottom w:val="none" w:sz="0" w:space="0" w:color="auto"/>
        <w:right w:val="none" w:sz="0" w:space="0" w:color="auto"/>
      </w:divBdr>
    </w:div>
    <w:div w:id="213586874">
      <w:bodyDiv w:val="1"/>
      <w:marLeft w:val="0"/>
      <w:marRight w:val="0"/>
      <w:marTop w:val="0"/>
      <w:marBottom w:val="0"/>
      <w:divBdr>
        <w:top w:val="none" w:sz="0" w:space="0" w:color="auto"/>
        <w:left w:val="none" w:sz="0" w:space="0" w:color="auto"/>
        <w:bottom w:val="none" w:sz="0" w:space="0" w:color="auto"/>
        <w:right w:val="none" w:sz="0" w:space="0" w:color="auto"/>
      </w:divBdr>
    </w:div>
    <w:div w:id="221209588">
      <w:bodyDiv w:val="1"/>
      <w:marLeft w:val="0"/>
      <w:marRight w:val="0"/>
      <w:marTop w:val="0"/>
      <w:marBottom w:val="0"/>
      <w:divBdr>
        <w:top w:val="none" w:sz="0" w:space="0" w:color="auto"/>
        <w:left w:val="none" w:sz="0" w:space="0" w:color="auto"/>
        <w:bottom w:val="none" w:sz="0" w:space="0" w:color="auto"/>
        <w:right w:val="none" w:sz="0" w:space="0" w:color="auto"/>
      </w:divBdr>
    </w:div>
    <w:div w:id="238251633">
      <w:bodyDiv w:val="1"/>
      <w:marLeft w:val="0"/>
      <w:marRight w:val="0"/>
      <w:marTop w:val="0"/>
      <w:marBottom w:val="0"/>
      <w:divBdr>
        <w:top w:val="none" w:sz="0" w:space="0" w:color="auto"/>
        <w:left w:val="none" w:sz="0" w:space="0" w:color="auto"/>
        <w:bottom w:val="none" w:sz="0" w:space="0" w:color="auto"/>
        <w:right w:val="none" w:sz="0" w:space="0" w:color="auto"/>
      </w:divBdr>
    </w:div>
    <w:div w:id="334189597">
      <w:bodyDiv w:val="1"/>
      <w:marLeft w:val="0"/>
      <w:marRight w:val="0"/>
      <w:marTop w:val="0"/>
      <w:marBottom w:val="0"/>
      <w:divBdr>
        <w:top w:val="none" w:sz="0" w:space="0" w:color="auto"/>
        <w:left w:val="none" w:sz="0" w:space="0" w:color="auto"/>
        <w:bottom w:val="none" w:sz="0" w:space="0" w:color="auto"/>
        <w:right w:val="none" w:sz="0" w:space="0" w:color="auto"/>
      </w:divBdr>
      <w:divsChild>
        <w:div w:id="336269616">
          <w:marLeft w:val="0"/>
          <w:marRight w:val="0"/>
          <w:marTop w:val="0"/>
          <w:marBottom w:val="0"/>
          <w:divBdr>
            <w:top w:val="none" w:sz="0" w:space="0" w:color="auto"/>
            <w:left w:val="none" w:sz="0" w:space="0" w:color="auto"/>
            <w:bottom w:val="none" w:sz="0" w:space="0" w:color="auto"/>
            <w:right w:val="none" w:sz="0" w:space="0" w:color="auto"/>
          </w:divBdr>
        </w:div>
        <w:div w:id="601257495">
          <w:marLeft w:val="0"/>
          <w:marRight w:val="0"/>
          <w:marTop w:val="0"/>
          <w:marBottom w:val="0"/>
          <w:divBdr>
            <w:top w:val="none" w:sz="0" w:space="0" w:color="auto"/>
            <w:left w:val="none" w:sz="0" w:space="0" w:color="auto"/>
            <w:bottom w:val="none" w:sz="0" w:space="0" w:color="auto"/>
            <w:right w:val="none" w:sz="0" w:space="0" w:color="auto"/>
          </w:divBdr>
        </w:div>
        <w:div w:id="898981999">
          <w:marLeft w:val="0"/>
          <w:marRight w:val="0"/>
          <w:marTop w:val="0"/>
          <w:marBottom w:val="0"/>
          <w:divBdr>
            <w:top w:val="none" w:sz="0" w:space="0" w:color="auto"/>
            <w:left w:val="none" w:sz="0" w:space="0" w:color="auto"/>
            <w:bottom w:val="none" w:sz="0" w:space="0" w:color="auto"/>
            <w:right w:val="none" w:sz="0" w:space="0" w:color="auto"/>
          </w:divBdr>
        </w:div>
        <w:div w:id="930773927">
          <w:marLeft w:val="0"/>
          <w:marRight w:val="0"/>
          <w:marTop w:val="0"/>
          <w:marBottom w:val="0"/>
          <w:divBdr>
            <w:top w:val="none" w:sz="0" w:space="0" w:color="auto"/>
            <w:left w:val="none" w:sz="0" w:space="0" w:color="auto"/>
            <w:bottom w:val="none" w:sz="0" w:space="0" w:color="auto"/>
            <w:right w:val="none" w:sz="0" w:space="0" w:color="auto"/>
          </w:divBdr>
        </w:div>
        <w:div w:id="1143809906">
          <w:marLeft w:val="0"/>
          <w:marRight w:val="0"/>
          <w:marTop w:val="0"/>
          <w:marBottom w:val="0"/>
          <w:divBdr>
            <w:top w:val="none" w:sz="0" w:space="0" w:color="auto"/>
            <w:left w:val="none" w:sz="0" w:space="0" w:color="auto"/>
            <w:bottom w:val="none" w:sz="0" w:space="0" w:color="auto"/>
            <w:right w:val="none" w:sz="0" w:space="0" w:color="auto"/>
          </w:divBdr>
        </w:div>
        <w:div w:id="1383670462">
          <w:marLeft w:val="0"/>
          <w:marRight w:val="0"/>
          <w:marTop w:val="0"/>
          <w:marBottom w:val="0"/>
          <w:divBdr>
            <w:top w:val="none" w:sz="0" w:space="0" w:color="auto"/>
            <w:left w:val="none" w:sz="0" w:space="0" w:color="auto"/>
            <w:bottom w:val="none" w:sz="0" w:space="0" w:color="auto"/>
            <w:right w:val="none" w:sz="0" w:space="0" w:color="auto"/>
          </w:divBdr>
        </w:div>
        <w:div w:id="1489907177">
          <w:marLeft w:val="0"/>
          <w:marRight w:val="0"/>
          <w:marTop w:val="0"/>
          <w:marBottom w:val="0"/>
          <w:divBdr>
            <w:top w:val="none" w:sz="0" w:space="0" w:color="auto"/>
            <w:left w:val="none" w:sz="0" w:space="0" w:color="auto"/>
            <w:bottom w:val="none" w:sz="0" w:space="0" w:color="auto"/>
            <w:right w:val="none" w:sz="0" w:space="0" w:color="auto"/>
          </w:divBdr>
        </w:div>
        <w:div w:id="1545099822">
          <w:marLeft w:val="0"/>
          <w:marRight w:val="0"/>
          <w:marTop w:val="0"/>
          <w:marBottom w:val="0"/>
          <w:divBdr>
            <w:top w:val="none" w:sz="0" w:space="0" w:color="auto"/>
            <w:left w:val="none" w:sz="0" w:space="0" w:color="auto"/>
            <w:bottom w:val="none" w:sz="0" w:space="0" w:color="auto"/>
            <w:right w:val="none" w:sz="0" w:space="0" w:color="auto"/>
          </w:divBdr>
        </w:div>
        <w:div w:id="1791507964">
          <w:marLeft w:val="0"/>
          <w:marRight w:val="0"/>
          <w:marTop w:val="0"/>
          <w:marBottom w:val="0"/>
          <w:divBdr>
            <w:top w:val="none" w:sz="0" w:space="0" w:color="auto"/>
            <w:left w:val="none" w:sz="0" w:space="0" w:color="auto"/>
            <w:bottom w:val="none" w:sz="0" w:space="0" w:color="auto"/>
            <w:right w:val="none" w:sz="0" w:space="0" w:color="auto"/>
          </w:divBdr>
        </w:div>
        <w:div w:id="2019234522">
          <w:marLeft w:val="0"/>
          <w:marRight w:val="0"/>
          <w:marTop w:val="0"/>
          <w:marBottom w:val="0"/>
          <w:divBdr>
            <w:top w:val="none" w:sz="0" w:space="0" w:color="auto"/>
            <w:left w:val="none" w:sz="0" w:space="0" w:color="auto"/>
            <w:bottom w:val="none" w:sz="0" w:space="0" w:color="auto"/>
            <w:right w:val="none" w:sz="0" w:space="0" w:color="auto"/>
          </w:divBdr>
        </w:div>
        <w:div w:id="2119445087">
          <w:marLeft w:val="0"/>
          <w:marRight w:val="0"/>
          <w:marTop w:val="0"/>
          <w:marBottom w:val="0"/>
          <w:divBdr>
            <w:top w:val="none" w:sz="0" w:space="0" w:color="auto"/>
            <w:left w:val="none" w:sz="0" w:space="0" w:color="auto"/>
            <w:bottom w:val="none" w:sz="0" w:space="0" w:color="auto"/>
            <w:right w:val="none" w:sz="0" w:space="0" w:color="auto"/>
          </w:divBdr>
        </w:div>
      </w:divsChild>
    </w:div>
    <w:div w:id="457183386">
      <w:bodyDiv w:val="1"/>
      <w:marLeft w:val="0"/>
      <w:marRight w:val="0"/>
      <w:marTop w:val="0"/>
      <w:marBottom w:val="0"/>
      <w:divBdr>
        <w:top w:val="none" w:sz="0" w:space="0" w:color="auto"/>
        <w:left w:val="none" w:sz="0" w:space="0" w:color="auto"/>
        <w:bottom w:val="none" w:sz="0" w:space="0" w:color="auto"/>
        <w:right w:val="none" w:sz="0" w:space="0" w:color="auto"/>
      </w:divBdr>
    </w:div>
    <w:div w:id="514005817">
      <w:bodyDiv w:val="1"/>
      <w:marLeft w:val="0"/>
      <w:marRight w:val="0"/>
      <w:marTop w:val="0"/>
      <w:marBottom w:val="0"/>
      <w:divBdr>
        <w:top w:val="none" w:sz="0" w:space="0" w:color="auto"/>
        <w:left w:val="none" w:sz="0" w:space="0" w:color="auto"/>
        <w:bottom w:val="none" w:sz="0" w:space="0" w:color="auto"/>
        <w:right w:val="none" w:sz="0" w:space="0" w:color="auto"/>
      </w:divBdr>
    </w:div>
    <w:div w:id="522598329">
      <w:bodyDiv w:val="1"/>
      <w:marLeft w:val="0"/>
      <w:marRight w:val="0"/>
      <w:marTop w:val="0"/>
      <w:marBottom w:val="0"/>
      <w:divBdr>
        <w:top w:val="none" w:sz="0" w:space="0" w:color="auto"/>
        <w:left w:val="none" w:sz="0" w:space="0" w:color="auto"/>
        <w:bottom w:val="none" w:sz="0" w:space="0" w:color="auto"/>
        <w:right w:val="none" w:sz="0" w:space="0" w:color="auto"/>
      </w:divBdr>
    </w:div>
    <w:div w:id="582253727">
      <w:bodyDiv w:val="1"/>
      <w:marLeft w:val="0"/>
      <w:marRight w:val="0"/>
      <w:marTop w:val="0"/>
      <w:marBottom w:val="0"/>
      <w:divBdr>
        <w:top w:val="none" w:sz="0" w:space="0" w:color="auto"/>
        <w:left w:val="none" w:sz="0" w:space="0" w:color="auto"/>
        <w:bottom w:val="none" w:sz="0" w:space="0" w:color="auto"/>
        <w:right w:val="none" w:sz="0" w:space="0" w:color="auto"/>
      </w:divBdr>
    </w:div>
    <w:div w:id="592205259">
      <w:bodyDiv w:val="1"/>
      <w:marLeft w:val="0"/>
      <w:marRight w:val="0"/>
      <w:marTop w:val="0"/>
      <w:marBottom w:val="0"/>
      <w:divBdr>
        <w:top w:val="none" w:sz="0" w:space="0" w:color="auto"/>
        <w:left w:val="none" w:sz="0" w:space="0" w:color="auto"/>
        <w:bottom w:val="none" w:sz="0" w:space="0" w:color="auto"/>
        <w:right w:val="none" w:sz="0" w:space="0" w:color="auto"/>
      </w:divBdr>
    </w:div>
    <w:div w:id="623341710">
      <w:bodyDiv w:val="1"/>
      <w:marLeft w:val="0"/>
      <w:marRight w:val="0"/>
      <w:marTop w:val="0"/>
      <w:marBottom w:val="0"/>
      <w:divBdr>
        <w:top w:val="none" w:sz="0" w:space="0" w:color="auto"/>
        <w:left w:val="none" w:sz="0" w:space="0" w:color="auto"/>
        <w:bottom w:val="none" w:sz="0" w:space="0" w:color="auto"/>
        <w:right w:val="none" w:sz="0" w:space="0" w:color="auto"/>
      </w:divBdr>
    </w:div>
    <w:div w:id="655885981">
      <w:bodyDiv w:val="1"/>
      <w:marLeft w:val="0"/>
      <w:marRight w:val="0"/>
      <w:marTop w:val="0"/>
      <w:marBottom w:val="0"/>
      <w:divBdr>
        <w:top w:val="none" w:sz="0" w:space="0" w:color="auto"/>
        <w:left w:val="none" w:sz="0" w:space="0" w:color="auto"/>
        <w:bottom w:val="none" w:sz="0" w:space="0" w:color="auto"/>
        <w:right w:val="none" w:sz="0" w:space="0" w:color="auto"/>
      </w:divBdr>
      <w:divsChild>
        <w:div w:id="112332853">
          <w:marLeft w:val="0"/>
          <w:marRight w:val="0"/>
          <w:marTop w:val="0"/>
          <w:marBottom w:val="0"/>
          <w:divBdr>
            <w:top w:val="none" w:sz="0" w:space="0" w:color="auto"/>
            <w:left w:val="none" w:sz="0" w:space="0" w:color="auto"/>
            <w:bottom w:val="none" w:sz="0" w:space="0" w:color="auto"/>
            <w:right w:val="none" w:sz="0" w:space="0" w:color="auto"/>
          </w:divBdr>
        </w:div>
        <w:div w:id="166945284">
          <w:marLeft w:val="0"/>
          <w:marRight w:val="0"/>
          <w:marTop w:val="0"/>
          <w:marBottom w:val="0"/>
          <w:divBdr>
            <w:top w:val="none" w:sz="0" w:space="0" w:color="auto"/>
            <w:left w:val="none" w:sz="0" w:space="0" w:color="auto"/>
            <w:bottom w:val="none" w:sz="0" w:space="0" w:color="auto"/>
            <w:right w:val="none" w:sz="0" w:space="0" w:color="auto"/>
          </w:divBdr>
        </w:div>
        <w:div w:id="673383680">
          <w:marLeft w:val="0"/>
          <w:marRight w:val="0"/>
          <w:marTop w:val="0"/>
          <w:marBottom w:val="0"/>
          <w:divBdr>
            <w:top w:val="none" w:sz="0" w:space="0" w:color="auto"/>
            <w:left w:val="none" w:sz="0" w:space="0" w:color="auto"/>
            <w:bottom w:val="none" w:sz="0" w:space="0" w:color="auto"/>
            <w:right w:val="none" w:sz="0" w:space="0" w:color="auto"/>
          </w:divBdr>
        </w:div>
        <w:div w:id="883827857">
          <w:marLeft w:val="0"/>
          <w:marRight w:val="0"/>
          <w:marTop w:val="0"/>
          <w:marBottom w:val="0"/>
          <w:divBdr>
            <w:top w:val="none" w:sz="0" w:space="0" w:color="auto"/>
            <w:left w:val="none" w:sz="0" w:space="0" w:color="auto"/>
            <w:bottom w:val="none" w:sz="0" w:space="0" w:color="auto"/>
            <w:right w:val="none" w:sz="0" w:space="0" w:color="auto"/>
          </w:divBdr>
        </w:div>
        <w:div w:id="1031539249">
          <w:marLeft w:val="0"/>
          <w:marRight w:val="0"/>
          <w:marTop w:val="0"/>
          <w:marBottom w:val="0"/>
          <w:divBdr>
            <w:top w:val="none" w:sz="0" w:space="0" w:color="auto"/>
            <w:left w:val="none" w:sz="0" w:space="0" w:color="auto"/>
            <w:bottom w:val="none" w:sz="0" w:space="0" w:color="auto"/>
            <w:right w:val="none" w:sz="0" w:space="0" w:color="auto"/>
          </w:divBdr>
        </w:div>
        <w:div w:id="1400904144">
          <w:marLeft w:val="0"/>
          <w:marRight w:val="0"/>
          <w:marTop w:val="0"/>
          <w:marBottom w:val="0"/>
          <w:divBdr>
            <w:top w:val="none" w:sz="0" w:space="0" w:color="auto"/>
            <w:left w:val="none" w:sz="0" w:space="0" w:color="auto"/>
            <w:bottom w:val="none" w:sz="0" w:space="0" w:color="auto"/>
            <w:right w:val="none" w:sz="0" w:space="0" w:color="auto"/>
          </w:divBdr>
        </w:div>
        <w:div w:id="1421826895">
          <w:marLeft w:val="0"/>
          <w:marRight w:val="0"/>
          <w:marTop w:val="0"/>
          <w:marBottom w:val="0"/>
          <w:divBdr>
            <w:top w:val="none" w:sz="0" w:space="0" w:color="auto"/>
            <w:left w:val="none" w:sz="0" w:space="0" w:color="auto"/>
            <w:bottom w:val="none" w:sz="0" w:space="0" w:color="auto"/>
            <w:right w:val="none" w:sz="0" w:space="0" w:color="auto"/>
          </w:divBdr>
        </w:div>
        <w:div w:id="1653411022">
          <w:marLeft w:val="0"/>
          <w:marRight w:val="0"/>
          <w:marTop w:val="0"/>
          <w:marBottom w:val="0"/>
          <w:divBdr>
            <w:top w:val="none" w:sz="0" w:space="0" w:color="auto"/>
            <w:left w:val="none" w:sz="0" w:space="0" w:color="auto"/>
            <w:bottom w:val="none" w:sz="0" w:space="0" w:color="auto"/>
            <w:right w:val="none" w:sz="0" w:space="0" w:color="auto"/>
          </w:divBdr>
        </w:div>
        <w:div w:id="1769539324">
          <w:marLeft w:val="0"/>
          <w:marRight w:val="0"/>
          <w:marTop w:val="0"/>
          <w:marBottom w:val="0"/>
          <w:divBdr>
            <w:top w:val="none" w:sz="0" w:space="0" w:color="auto"/>
            <w:left w:val="none" w:sz="0" w:space="0" w:color="auto"/>
            <w:bottom w:val="none" w:sz="0" w:space="0" w:color="auto"/>
            <w:right w:val="none" w:sz="0" w:space="0" w:color="auto"/>
          </w:divBdr>
        </w:div>
        <w:div w:id="1779324605">
          <w:marLeft w:val="0"/>
          <w:marRight w:val="0"/>
          <w:marTop w:val="0"/>
          <w:marBottom w:val="0"/>
          <w:divBdr>
            <w:top w:val="none" w:sz="0" w:space="0" w:color="auto"/>
            <w:left w:val="none" w:sz="0" w:space="0" w:color="auto"/>
            <w:bottom w:val="none" w:sz="0" w:space="0" w:color="auto"/>
            <w:right w:val="none" w:sz="0" w:space="0" w:color="auto"/>
          </w:divBdr>
        </w:div>
        <w:div w:id="1909995568">
          <w:marLeft w:val="0"/>
          <w:marRight w:val="0"/>
          <w:marTop w:val="0"/>
          <w:marBottom w:val="0"/>
          <w:divBdr>
            <w:top w:val="none" w:sz="0" w:space="0" w:color="auto"/>
            <w:left w:val="none" w:sz="0" w:space="0" w:color="auto"/>
            <w:bottom w:val="none" w:sz="0" w:space="0" w:color="auto"/>
            <w:right w:val="none" w:sz="0" w:space="0" w:color="auto"/>
          </w:divBdr>
        </w:div>
      </w:divsChild>
    </w:div>
    <w:div w:id="669677466">
      <w:bodyDiv w:val="1"/>
      <w:marLeft w:val="0"/>
      <w:marRight w:val="0"/>
      <w:marTop w:val="0"/>
      <w:marBottom w:val="0"/>
      <w:divBdr>
        <w:top w:val="none" w:sz="0" w:space="0" w:color="auto"/>
        <w:left w:val="none" w:sz="0" w:space="0" w:color="auto"/>
        <w:bottom w:val="none" w:sz="0" w:space="0" w:color="auto"/>
        <w:right w:val="none" w:sz="0" w:space="0" w:color="auto"/>
      </w:divBdr>
    </w:div>
    <w:div w:id="707149360">
      <w:bodyDiv w:val="1"/>
      <w:marLeft w:val="0"/>
      <w:marRight w:val="0"/>
      <w:marTop w:val="0"/>
      <w:marBottom w:val="0"/>
      <w:divBdr>
        <w:top w:val="none" w:sz="0" w:space="0" w:color="auto"/>
        <w:left w:val="none" w:sz="0" w:space="0" w:color="auto"/>
        <w:bottom w:val="none" w:sz="0" w:space="0" w:color="auto"/>
        <w:right w:val="none" w:sz="0" w:space="0" w:color="auto"/>
      </w:divBdr>
    </w:div>
    <w:div w:id="727991917">
      <w:bodyDiv w:val="1"/>
      <w:marLeft w:val="0"/>
      <w:marRight w:val="0"/>
      <w:marTop w:val="0"/>
      <w:marBottom w:val="0"/>
      <w:divBdr>
        <w:top w:val="none" w:sz="0" w:space="0" w:color="auto"/>
        <w:left w:val="none" w:sz="0" w:space="0" w:color="auto"/>
        <w:bottom w:val="none" w:sz="0" w:space="0" w:color="auto"/>
        <w:right w:val="none" w:sz="0" w:space="0" w:color="auto"/>
      </w:divBdr>
    </w:div>
    <w:div w:id="756823009">
      <w:bodyDiv w:val="1"/>
      <w:marLeft w:val="0"/>
      <w:marRight w:val="0"/>
      <w:marTop w:val="0"/>
      <w:marBottom w:val="0"/>
      <w:divBdr>
        <w:top w:val="none" w:sz="0" w:space="0" w:color="auto"/>
        <w:left w:val="none" w:sz="0" w:space="0" w:color="auto"/>
        <w:bottom w:val="none" w:sz="0" w:space="0" w:color="auto"/>
        <w:right w:val="none" w:sz="0" w:space="0" w:color="auto"/>
      </w:divBdr>
    </w:div>
    <w:div w:id="789320037">
      <w:bodyDiv w:val="1"/>
      <w:marLeft w:val="0"/>
      <w:marRight w:val="0"/>
      <w:marTop w:val="0"/>
      <w:marBottom w:val="0"/>
      <w:divBdr>
        <w:top w:val="none" w:sz="0" w:space="0" w:color="auto"/>
        <w:left w:val="none" w:sz="0" w:space="0" w:color="auto"/>
        <w:bottom w:val="none" w:sz="0" w:space="0" w:color="auto"/>
        <w:right w:val="none" w:sz="0" w:space="0" w:color="auto"/>
      </w:divBdr>
    </w:div>
    <w:div w:id="824276696">
      <w:bodyDiv w:val="1"/>
      <w:marLeft w:val="0"/>
      <w:marRight w:val="0"/>
      <w:marTop w:val="0"/>
      <w:marBottom w:val="0"/>
      <w:divBdr>
        <w:top w:val="none" w:sz="0" w:space="0" w:color="auto"/>
        <w:left w:val="none" w:sz="0" w:space="0" w:color="auto"/>
        <w:bottom w:val="none" w:sz="0" w:space="0" w:color="auto"/>
        <w:right w:val="none" w:sz="0" w:space="0" w:color="auto"/>
      </w:divBdr>
    </w:div>
    <w:div w:id="926380122">
      <w:bodyDiv w:val="1"/>
      <w:marLeft w:val="0"/>
      <w:marRight w:val="0"/>
      <w:marTop w:val="0"/>
      <w:marBottom w:val="0"/>
      <w:divBdr>
        <w:top w:val="none" w:sz="0" w:space="0" w:color="auto"/>
        <w:left w:val="none" w:sz="0" w:space="0" w:color="auto"/>
        <w:bottom w:val="none" w:sz="0" w:space="0" w:color="auto"/>
        <w:right w:val="none" w:sz="0" w:space="0" w:color="auto"/>
      </w:divBdr>
    </w:div>
    <w:div w:id="942224650">
      <w:bodyDiv w:val="1"/>
      <w:marLeft w:val="0"/>
      <w:marRight w:val="0"/>
      <w:marTop w:val="0"/>
      <w:marBottom w:val="0"/>
      <w:divBdr>
        <w:top w:val="none" w:sz="0" w:space="0" w:color="auto"/>
        <w:left w:val="none" w:sz="0" w:space="0" w:color="auto"/>
        <w:bottom w:val="none" w:sz="0" w:space="0" w:color="auto"/>
        <w:right w:val="none" w:sz="0" w:space="0" w:color="auto"/>
      </w:divBdr>
    </w:div>
    <w:div w:id="1072041991">
      <w:bodyDiv w:val="1"/>
      <w:marLeft w:val="0"/>
      <w:marRight w:val="0"/>
      <w:marTop w:val="0"/>
      <w:marBottom w:val="0"/>
      <w:divBdr>
        <w:top w:val="none" w:sz="0" w:space="0" w:color="auto"/>
        <w:left w:val="none" w:sz="0" w:space="0" w:color="auto"/>
        <w:bottom w:val="none" w:sz="0" w:space="0" w:color="auto"/>
        <w:right w:val="none" w:sz="0" w:space="0" w:color="auto"/>
      </w:divBdr>
    </w:div>
    <w:div w:id="1077096296">
      <w:bodyDiv w:val="1"/>
      <w:marLeft w:val="0"/>
      <w:marRight w:val="0"/>
      <w:marTop w:val="0"/>
      <w:marBottom w:val="0"/>
      <w:divBdr>
        <w:top w:val="none" w:sz="0" w:space="0" w:color="auto"/>
        <w:left w:val="none" w:sz="0" w:space="0" w:color="auto"/>
        <w:bottom w:val="none" w:sz="0" w:space="0" w:color="auto"/>
        <w:right w:val="none" w:sz="0" w:space="0" w:color="auto"/>
      </w:divBdr>
    </w:div>
    <w:div w:id="1128280749">
      <w:bodyDiv w:val="1"/>
      <w:marLeft w:val="0"/>
      <w:marRight w:val="0"/>
      <w:marTop w:val="0"/>
      <w:marBottom w:val="0"/>
      <w:divBdr>
        <w:top w:val="none" w:sz="0" w:space="0" w:color="auto"/>
        <w:left w:val="none" w:sz="0" w:space="0" w:color="auto"/>
        <w:bottom w:val="none" w:sz="0" w:space="0" w:color="auto"/>
        <w:right w:val="none" w:sz="0" w:space="0" w:color="auto"/>
      </w:divBdr>
    </w:div>
    <w:div w:id="1144811567">
      <w:bodyDiv w:val="1"/>
      <w:marLeft w:val="0"/>
      <w:marRight w:val="0"/>
      <w:marTop w:val="0"/>
      <w:marBottom w:val="0"/>
      <w:divBdr>
        <w:top w:val="none" w:sz="0" w:space="0" w:color="auto"/>
        <w:left w:val="none" w:sz="0" w:space="0" w:color="auto"/>
        <w:bottom w:val="none" w:sz="0" w:space="0" w:color="auto"/>
        <w:right w:val="none" w:sz="0" w:space="0" w:color="auto"/>
      </w:divBdr>
    </w:div>
    <w:div w:id="1160461236">
      <w:bodyDiv w:val="1"/>
      <w:marLeft w:val="0"/>
      <w:marRight w:val="0"/>
      <w:marTop w:val="0"/>
      <w:marBottom w:val="0"/>
      <w:divBdr>
        <w:top w:val="none" w:sz="0" w:space="0" w:color="auto"/>
        <w:left w:val="none" w:sz="0" w:space="0" w:color="auto"/>
        <w:bottom w:val="none" w:sz="0" w:space="0" w:color="auto"/>
        <w:right w:val="none" w:sz="0" w:space="0" w:color="auto"/>
      </w:divBdr>
    </w:div>
    <w:div w:id="1181166020">
      <w:bodyDiv w:val="1"/>
      <w:marLeft w:val="0"/>
      <w:marRight w:val="0"/>
      <w:marTop w:val="0"/>
      <w:marBottom w:val="0"/>
      <w:divBdr>
        <w:top w:val="none" w:sz="0" w:space="0" w:color="auto"/>
        <w:left w:val="none" w:sz="0" w:space="0" w:color="auto"/>
        <w:bottom w:val="none" w:sz="0" w:space="0" w:color="auto"/>
        <w:right w:val="none" w:sz="0" w:space="0" w:color="auto"/>
      </w:divBdr>
    </w:div>
    <w:div w:id="1267075252">
      <w:bodyDiv w:val="1"/>
      <w:marLeft w:val="0"/>
      <w:marRight w:val="0"/>
      <w:marTop w:val="0"/>
      <w:marBottom w:val="0"/>
      <w:divBdr>
        <w:top w:val="none" w:sz="0" w:space="0" w:color="auto"/>
        <w:left w:val="none" w:sz="0" w:space="0" w:color="auto"/>
        <w:bottom w:val="none" w:sz="0" w:space="0" w:color="auto"/>
        <w:right w:val="none" w:sz="0" w:space="0" w:color="auto"/>
      </w:divBdr>
    </w:div>
    <w:div w:id="1267540335">
      <w:bodyDiv w:val="1"/>
      <w:marLeft w:val="0"/>
      <w:marRight w:val="0"/>
      <w:marTop w:val="0"/>
      <w:marBottom w:val="0"/>
      <w:divBdr>
        <w:top w:val="none" w:sz="0" w:space="0" w:color="auto"/>
        <w:left w:val="none" w:sz="0" w:space="0" w:color="auto"/>
        <w:bottom w:val="none" w:sz="0" w:space="0" w:color="auto"/>
        <w:right w:val="none" w:sz="0" w:space="0" w:color="auto"/>
      </w:divBdr>
    </w:div>
    <w:div w:id="1279722426">
      <w:bodyDiv w:val="1"/>
      <w:marLeft w:val="0"/>
      <w:marRight w:val="0"/>
      <w:marTop w:val="0"/>
      <w:marBottom w:val="0"/>
      <w:divBdr>
        <w:top w:val="none" w:sz="0" w:space="0" w:color="auto"/>
        <w:left w:val="none" w:sz="0" w:space="0" w:color="auto"/>
        <w:bottom w:val="none" w:sz="0" w:space="0" w:color="auto"/>
        <w:right w:val="none" w:sz="0" w:space="0" w:color="auto"/>
      </w:divBdr>
    </w:div>
    <w:div w:id="1294601667">
      <w:bodyDiv w:val="1"/>
      <w:marLeft w:val="0"/>
      <w:marRight w:val="0"/>
      <w:marTop w:val="0"/>
      <w:marBottom w:val="0"/>
      <w:divBdr>
        <w:top w:val="none" w:sz="0" w:space="0" w:color="auto"/>
        <w:left w:val="none" w:sz="0" w:space="0" w:color="auto"/>
        <w:bottom w:val="none" w:sz="0" w:space="0" w:color="auto"/>
        <w:right w:val="none" w:sz="0" w:space="0" w:color="auto"/>
      </w:divBdr>
    </w:div>
    <w:div w:id="1304188882">
      <w:bodyDiv w:val="1"/>
      <w:marLeft w:val="0"/>
      <w:marRight w:val="0"/>
      <w:marTop w:val="0"/>
      <w:marBottom w:val="0"/>
      <w:divBdr>
        <w:top w:val="none" w:sz="0" w:space="0" w:color="auto"/>
        <w:left w:val="none" w:sz="0" w:space="0" w:color="auto"/>
        <w:bottom w:val="none" w:sz="0" w:space="0" w:color="auto"/>
        <w:right w:val="none" w:sz="0" w:space="0" w:color="auto"/>
      </w:divBdr>
    </w:div>
    <w:div w:id="1310865313">
      <w:bodyDiv w:val="1"/>
      <w:marLeft w:val="0"/>
      <w:marRight w:val="0"/>
      <w:marTop w:val="0"/>
      <w:marBottom w:val="0"/>
      <w:divBdr>
        <w:top w:val="none" w:sz="0" w:space="0" w:color="auto"/>
        <w:left w:val="none" w:sz="0" w:space="0" w:color="auto"/>
        <w:bottom w:val="none" w:sz="0" w:space="0" w:color="auto"/>
        <w:right w:val="none" w:sz="0" w:space="0" w:color="auto"/>
      </w:divBdr>
    </w:div>
    <w:div w:id="1325430310">
      <w:bodyDiv w:val="1"/>
      <w:marLeft w:val="0"/>
      <w:marRight w:val="0"/>
      <w:marTop w:val="0"/>
      <w:marBottom w:val="0"/>
      <w:divBdr>
        <w:top w:val="none" w:sz="0" w:space="0" w:color="auto"/>
        <w:left w:val="none" w:sz="0" w:space="0" w:color="auto"/>
        <w:bottom w:val="none" w:sz="0" w:space="0" w:color="auto"/>
        <w:right w:val="none" w:sz="0" w:space="0" w:color="auto"/>
      </w:divBdr>
    </w:div>
    <w:div w:id="1327320699">
      <w:bodyDiv w:val="1"/>
      <w:marLeft w:val="0"/>
      <w:marRight w:val="0"/>
      <w:marTop w:val="0"/>
      <w:marBottom w:val="0"/>
      <w:divBdr>
        <w:top w:val="none" w:sz="0" w:space="0" w:color="auto"/>
        <w:left w:val="none" w:sz="0" w:space="0" w:color="auto"/>
        <w:bottom w:val="none" w:sz="0" w:space="0" w:color="auto"/>
        <w:right w:val="none" w:sz="0" w:space="0" w:color="auto"/>
      </w:divBdr>
    </w:div>
    <w:div w:id="1364598729">
      <w:bodyDiv w:val="1"/>
      <w:marLeft w:val="0"/>
      <w:marRight w:val="0"/>
      <w:marTop w:val="0"/>
      <w:marBottom w:val="0"/>
      <w:divBdr>
        <w:top w:val="none" w:sz="0" w:space="0" w:color="auto"/>
        <w:left w:val="none" w:sz="0" w:space="0" w:color="auto"/>
        <w:bottom w:val="none" w:sz="0" w:space="0" w:color="auto"/>
        <w:right w:val="none" w:sz="0" w:space="0" w:color="auto"/>
      </w:divBdr>
    </w:div>
    <w:div w:id="1380858413">
      <w:bodyDiv w:val="1"/>
      <w:marLeft w:val="0"/>
      <w:marRight w:val="0"/>
      <w:marTop w:val="0"/>
      <w:marBottom w:val="0"/>
      <w:divBdr>
        <w:top w:val="none" w:sz="0" w:space="0" w:color="auto"/>
        <w:left w:val="none" w:sz="0" w:space="0" w:color="auto"/>
        <w:bottom w:val="none" w:sz="0" w:space="0" w:color="auto"/>
        <w:right w:val="none" w:sz="0" w:space="0" w:color="auto"/>
      </w:divBdr>
    </w:div>
    <w:div w:id="1535651208">
      <w:bodyDiv w:val="1"/>
      <w:marLeft w:val="0"/>
      <w:marRight w:val="0"/>
      <w:marTop w:val="0"/>
      <w:marBottom w:val="0"/>
      <w:divBdr>
        <w:top w:val="none" w:sz="0" w:space="0" w:color="auto"/>
        <w:left w:val="none" w:sz="0" w:space="0" w:color="auto"/>
        <w:bottom w:val="none" w:sz="0" w:space="0" w:color="auto"/>
        <w:right w:val="none" w:sz="0" w:space="0" w:color="auto"/>
      </w:divBdr>
    </w:div>
    <w:div w:id="1548492450">
      <w:bodyDiv w:val="1"/>
      <w:marLeft w:val="0"/>
      <w:marRight w:val="0"/>
      <w:marTop w:val="0"/>
      <w:marBottom w:val="0"/>
      <w:divBdr>
        <w:top w:val="none" w:sz="0" w:space="0" w:color="auto"/>
        <w:left w:val="none" w:sz="0" w:space="0" w:color="auto"/>
        <w:bottom w:val="none" w:sz="0" w:space="0" w:color="auto"/>
        <w:right w:val="none" w:sz="0" w:space="0" w:color="auto"/>
      </w:divBdr>
    </w:div>
    <w:div w:id="1590848846">
      <w:bodyDiv w:val="1"/>
      <w:marLeft w:val="0"/>
      <w:marRight w:val="0"/>
      <w:marTop w:val="0"/>
      <w:marBottom w:val="0"/>
      <w:divBdr>
        <w:top w:val="none" w:sz="0" w:space="0" w:color="auto"/>
        <w:left w:val="none" w:sz="0" w:space="0" w:color="auto"/>
        <w:bottom w:val="none" w:sz="0" w:space="0" w:color="auto"/>
        <w:right w:val="none" w:sz="0" w:space="0" w:color="auto"/>
      </w:divBdr>
    </w:div>
    <w:div w:id="1595168882">
      <w:bodyDiv w:val="1"/>
      <w:marLeft w:val="0"/>
      <w:marRight w:val="0"/>
      <w:marTop w:val="0"/>
      <w:marBottom w:val="0"/>
      <w:divBdr>
        <w:top w:val="none" w:sz="0" w:space="0" w:color="auto"/>
        <w:left w:val="none" w:sz="0" w:space="0" w:color="auto"/>
        <w:bottom w:val="none" w:sz="0" w:space="0" w:color="auto"/>
        <w:right w:val="none" w:sz="0" w:space="0" w:color="auto"/>
      </w:divBdr>
    </w:div>
    <w:div w:id="1722751061">
      <w:bodyDiv w:val="1"/>
      <w:marLeft w:val="0"/>
      <w:marRight w:val="0"/>
      <w:marTop w:val="0"/>
      <w:marBottom w:val="0"/>
      <w:divBdr>
        <w:top w:val="none" w:sz="0" w:space="0" w:color="auto"/>
        <w:left w:val="none" w:sz="0" w:space="0" w:color="auto"/>
        <w:bottom w:val="none" w:sz="0" w:space="0" w:color="auto"/>
        <w:right w:val="none" w:sz="0" w:space="0" w:color="auto"/>
      </w:divBdr>
    </w:div>
    <w:div w:id="1723090212">
      <w:bodyDiv w:val="1"/>
      <w:marLeft w:val="0"/>
      <w:marRight w:val="0"/>
      <w:marTop w:val="0"/>
      <w:marBottom w:val="0"/>
      <w:divBdr>
        <w:top w:val="none" w:sz="0" w:space="0" w:color="auto"/>
        <w:left w:val="none" w:sz="0" w:space="0" w:color="auto"/>
        <w:bottom w:val="none" w:sz="0" w:space="0" w:color="auto"/>
        <w:right w:val="none" w:sz="0" w:space="0" w:color="auto"/>
      </w:divBdr>
    </w:div>
    <w:div w:id="1737360857">
      <w:bodyDiv w:val="1"/>
      <w:marLeft w:val="0"/>
      <w:marRight w:val="0"/>
      <w:marTop w:val="0"/>
      <w:marBottom w:val="0"/>
      <w:divBdr>
        <w:top w:val="none" w:sz="0" w:space="0" w:color="auto"/>
        <w:left w:val="none" w:sz="0" w:space="0" w:color="auto"/>
        <w:bottom w:val="none" w:sz="0" w:space="0" w:color="auto"/>
        <w:right w:val="none" w:sz="0" w:space="0" w:color="auto"/>
      </w:divBdr>
    </w:div>
    <w:div w:id="1744789975">
      <w:bodyDiv w:val="1"/>
      <w:marLeft w:val="0"/>
      <w:marRight w:val="0"/>
      <w:marTop w:val="0"/>
      <w:marBottom w:val="0"/>
      <w:divBdr>
        <w:top w:val="none" w:sz="0" w:space="0" w:color="auto"/>
        <w:left w:val="none" w:sz="0" w:space="0" w:color="auto"/>
        <w:bottom w:val="none" w:sz="0" w:space="0" w:color="auto"/>
        <w:right w:val="none" w:sz="0" w:space="0" w:color="auto"/>
      </w:divBdr>
    </w:div>
    <w:div w:id="1751585633">
      <w:bodyDiv w:val="1"/>
      <w:marLeft w:val="0"/>
      <w:marRight w:val="0"/>
      <w:marTop w:val="0"/>
      <w:marBottom w:val="0"/>
      <w:divBdr>
        <w:top w:val="none" w:sz="0" w:space="0" w:color="auto"/>
        <w:left w:val="none" w:sz="0" w:space="0" w:color="auto"/>
        <w:bottom w:val="none" w:sz="0" w:space="0" w:color="auto"/>
        <w:right w:val="none" w:sz="0" w:space="0" w:color="auto"/>
      </w:divBdr>
    </w:div>
    <w:div w:id="1755588293">
      <w:bodyDiv w:val="1"/>
      <w:marLeft w:val="0"/>
      <w:marRight w:val="0"/>
      <w:marTop w:val="0"/>
      <w:marBottom w:val="0"/>
      <w:divBdr>
        <w:top w:val="none" w:sz="0" w:space="0" w:color="auto"/>
        <w:left w:val="none" w:sz="0" w:space="0" w:color="auto"/>
        <w:bottom w:val="none" w:sz="0" w:space="0" w:color="auto"/>
        <w:right w:val="none" w:sz="0" w:space="0" w:color="auto"/>
      </w:divBdr>
    </w:div>
    <w:div w:id="1779370997">
      <w:bodyDiv w:val="1"/>
      <w:marLeft w:val="0"/>
      <w:marRight w:val="0"/>
      <w:marTop w:val="0"/>
      <w:marBottom w:val="0"/>
      <w:divBdr>
        <w:top w:val="none" w:sz="0" w:space="0" w:color="auto"/>
        <w:left w:val="none" w:sz="0" w:space="0" w:color="auto"/>
        <w:bottom w:val="none" w:sz="0" w:space="0" w:color="auto"/>
        <w:right w:val="none" w:sz="0" w:space="0" w:color="auto"/>
      </w:divBdr>
    </w:div>
    <w:div w:id="1803768857">
      <w:bodyDiv w:val="1"/>
      <w:marLeft w:val="0"/>
      <w:marRight w:val="0"/>
      <w:marTop w:val="0"/>
      <w:marBottom w:val="0"/>
      <w:divBdr>
        <w:top w:val="none" w:sz="0" w:space="0" w:color="auto"/>
        <w:left w:val="none" w:sz="0" w:space="0" w:color="auto"/>
        <w:bottom w:val="none" w:sz="0" w:space="0" w:color="auto"/>
        <w:right w:val="none" w:sz="0" w:space="0" w:color="auto"/>
      </w:divBdr>
    </w:div>
    <w:div w:id="1893343602">
      <w:bodyDiv w:val="1"/>
      <w:marLeft w:val="0"/>
      <w:marRight w:val="0"/>
      <w:marTop w:val="0"/>
      <w:marBottom w:val="0"/>
      <w:divBdr>
        <w:top w:val="none" w:sz="0" w:space="0" w:color="auto"/>
        <w:left w:val="none" w:sz="0" w:space="0" w:color="auto"/>
        <w:bottom w:val="none" w:sz="0" w:space="0" w:color="auto"/>
        <w:right w:val="none" w:sz="0" w:space="0" w:color="auto"/>
      </w:divBdr>
    </w:div>
    <w:div w:id="1960338836">
      <w:bodyDiv w:val="1"/>
      <w:marLeft w:val="0"/>
      <w:marRight w:val="0"/>
      <w:marTop w:val="0"/>
      <w:marBottom w:val="0"/>
      <w:divBdr>
        <w:top w:val="none" w:sz="0" w:space="0" w:color="auto"/>
        <w:left w:val="none" w:sz="0" w:space="0" w:color="auto"/>
        <w:bottom w:val="none" w:sz="0" w:space="0" w:color="auto"/>
        <w:right w:val="none" w:sz="0" w:space="0" w:color="auto"/>
      </w:divBdr>
    </w:div>
    <w:div w:id="1968777193">
      <w:bodyDiv w:val="1"/>
      <w:marLeft w:val="0"/>
      <w:marRight w:val="0"/>
      <w:marTop w:val="0"/>
      <w:marBottom w:val="0"/>
      <w:divBdr>
        <w:top w:val="none" w:sz="0" w:space="0" w:color="auto"/>
        <w:left w:val="none" w:sz="0" w:space="0" w:color="auto"/>
        <w:bottom w:val="none" w:sz="0" w:space="0" w:color="auto"/>
        <w:right w:val="none" w:sz="0" w:space="0" w:color="auto"/>
      </w:divBdr>
    </w:div>
    <w:div w:id="2001763710">
      <w:bodyDiv w:val="1"/>
      <w:marLeft w:val="0"/>
      <w:marRight w:val="0"/>
      <w:marTop w:val="0"/>
      <w:marBottom w:val="0"/>
      <w:divBdr>
        <w:top w:val="none" w:sz="0" w:space="0" w:color="auto"/>
        <w:left w:val="none" w:sz="0" w:space="0" w:color="auto"/>
        <w:bottom w:val="none" w:sz="0" w:space="0" w:color="auto"/>
        <w:right w:val="none" w:sz="0" w:space="0" w:color="auto"/>
      </w:divBdr>
    </w:div>
    <w:div w:id="2023585105">
      <w:bodyDiv w:val="1"/>
      <w:marLeft w:val="0"/>
      <w:marRight w:val="0"/>
      <w:marTop w:val="0"/>
      <w:marBottom w:val="0"/>
      <w:divBdr>
        <w:top w:val="none" w:sz="0" w:space="0" w:color="auto"/>
        <w:left w:val="none" w:sz="0" w:space="0" w:color="auto"/>
        <w:bottom w:val="none" w:sz="0" w:space="0" w:color="auto"/>
        <w:right w:val="none" w:sz="0" w:space="0" w:color="auto"/>
      </w:divBdr>
    </w:div>
    <w:div w:id="2043821282">
      <w:bodyDiv w:val="1"/>
      <w:marLeft w:val="0"/>
      <w:marRight w:val="0"/>
      <w:marTop w:val="0"/>
      <w:marBottom w:val="0"/>
      <w:divBdr>
        <w:top w:val="none" w:sz="0" w:space="0" w:color="auto"/>
        <w:left w:val="none" w:sz="0" w:space="0" w:color="auto"/>
        <w:bottom w:val="none" w:sz="0" w:space="0" w:color="auto"/>
        <w:right w:val="none" w:sz="0" w:space="0" w:color="auto"/>
      </w:divBdr>
    </w:div>
    <w:div w:id="2070491326">
      <w:bodyDiv w:val="1"/>
      <w:marLeft w:val="0"/>
      <w:marRight w:val="0"/>
      <w:marTop w:val="0"/>
      <w:marBottom w:val="0"/>
      <w:divBdr>
        <w:top w:val="none" w:sz="0" w:space="0" w:color="auto"/>
        <w:left w:val="none" w:sz="0" w:space="0" w:color="auto"/>
        <w:bottom w:val="none" w:sz="0" w:space="0" w:color="auto"/>
        <w:right w:val="none" w:sz="0" w:space="0" w:color="auto"/>
      </w:divBdr>
    </w:div>
    <w:div w:id="2096700826">
      <w:bodyDiv w:val="1"/>
      <w:marLeft w:val="0"/>
      <w:marRight w:val="0"/>
      <w:marTop w:val="0"/>
      <w:marBottom w:val="0"/>
      <w:divBdr>
        <w:top w:val="none" w:sz="0" w:space="0" w:color="auto"/>
        <w:left w:val="none" w:sz="0" w:space="0" w:color="auto"/>
        <w:bottom w:val="none" w:sz="0" w:space="0" w:color="auto"/>
        <w:right w:val="none" w:sz="0" w:space="0" w:color="auto"/>
      </w:divBdr>
      <w:divsChild>
        <w:div w:id="1408112208">
          <w:marLeft w:val="0"/>
          <w:marRight w:val="0"/>
          <w:marTop w:val="0"/>
          <w:marBottom w:val="0"/>
          <w:divBdr>
            <w:top w:val="none" w:sz="0" w:space="0" w:color="auto"/>
            <w:left w:val="none" w:sz="0" w:space="0" w:color="auto"/>
            <w:bottom w:val="none" w:sz="0" w:space="0" w:color="auto"/>
            <w:right w:val="none" w:sz="0" w:space="0" w:color="auto"/>
          </w:divBdr>
          <w:divsChild>
            <w:div w:id="126414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cid:FE1BEEAF-F41D-4B70-AE55-2D5DB82F83CB@fnas.uwa.edu.au" TargetMode="External"/><Relationship Id="rId42" Type="http://schemas.openxmlformats.org/officeDocument/2006/relationships/image" Target="media/image23.emf"/><Relationship Id="rId47" Type="http://schemas.openxmlformats.org/officeDocument/2006/relationships/image" Target="media/image27.emf"/><Relationship Id="rId63" Type="http://schemas.openxmlformats.org/officeDocument/2006/relationships/footer" Target="footer13.xml"/><Relationship Id="rId68" Type="http://schemas.openxmlformats.org/officeDocument/2006/relationships/image" Target="media/image43.emf"/><Relationship Id="rId84" Type="http://schemas.openxmlformats.org/officeDocument/2006/relationships/footer" Target="footer20.xml"/><Relationship Id="rId89" Type="http://schemas.openxmlformats.org/officeDocument/2006/relationships/image" Target="media/image57.wmf"/><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footer" Target="footer4.xml"/><Relationship Id="rId107" Type="http://schemas.openxmlformats.org/officeDocument/2006/relationships/footer" Target="footer21.xml"/><Relationship Id="rId11" Type="http://schemas.openxmlformats.org/officeDocument/2006/relationships/image" Target="media/image5.jpeg"/><Relationship Id="rId24" Type="http://schemas.openxmlformats.org/officeDocument/2006/relationships/header" Target="header2.xml"/><Relationship Id="rId32" Type="http://schemas.openxmlformats.org/officeDocument/2006/relationships/image" Target="media/image16.emf"/><Relationship Id="rId37" Type="http://schemas.openxmlformats.org/officeDocument/2006/relationships/image" Target="media/image20.emf"/><Relationship Id="rId40" Type="http://schemas.openxmlformats.org/officeDocument/2006/relationships/footer" Target="footer9.xml"/><Relationship Id="rId45" Type="http://schemas.openxmlformats.org/officeDocument/2006/relationships/image" Target="media/image25.emf"/><Relationship Id="rId53" Type="http://schemas.openxmlformats.org/officeDocument/2006/relationships/image" Target="media/image33.jpeg"/><Relationship Id="rId58" Type="http://schemas.openxmlformats.org/officeDocument/2006/relationships/image" Target="media/image37.png"/><Relationship Id="rId66" Type="http://schemas.openxmlformats.org/officeDocument/2006/relationships/image" Target="media/image42.png"/><Relationship Id="rId74" Type="http://schemas.openxmlformats.org/officeDocument/2006/relationships/image" Target="media/image45.emf"/><Relationship Id="rId79" Type="http://schemas.openxmlformats.org/officeDocument/2006/relationships/chart" Target="charts/chart1.xml"/><Relationship Id="rId87" Type="http://schemas.openxmlformats.org/officeDocument/2006/relationships/image" Target="media/image55.wmf"/><Relationship Id="rId102" Type="http://schemas.openxmlformats.org/officeDocument/2006/relationships/image" Target="media/image70.png"/><Relationship Id="rId110" Type="http://schemas.microsoft.com/office/2007/relationships/stylesWithEffects" Target="stylesWithEffects.xml"/><Relationship Id="rId5" Type="http://schemas.openxmlformats.org/officeDocument/2006/relationships/footnotes" Target="footnotes.xml"/><Relationship Id="rId61" Type="http://schemas.openxmlformats.org/officeDocument/2006/relationships/image" Target="media/image39.png"/><Relationship Id="rId82" Type="http://schemas.openxmlformats.org/officeDocument/2006/relationships/image" Target="media/image51.emf"/><Relationship Id="rId90" Type="http://schemas.openxmlformats.org/officeDocument/2006/relationships/image" Target="media/image58.wmf"/><Relationship Id="rId95" Type="http://schemas.openxmlformats.org/officeDocument/2006/relationships/image" Target="media/image63.emf"/><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footer" Target="footer10.xml"/><Relationship Id="rId48" Type="http://schemas.openxmlformats.org/officeDocument/2006/relationships/image" Target="media/image28.emf"/><Relationship Id="rId56" Type="http://schemas.openxmlformats.org/officeDocument/2006/relationships/image" Target="media/image36.png"/><Relationship Id="rId64" Type="http://schemas.openxmlformats.org/officeDocument/2006/relationships/footer" Target="footer14.xml"/><Relationship Id="rId69" Type="http://schemas.openxmlformats.org/officeDocument/2006/relationships/footer" Target="footer16.xml"/><Relationship Id="rId77" Type="http://schemas.openxmlformats.org/officeDocument/2006/relationships/image" Target="media/image48.tiff"/><Relationship Id="rId100" Type="http://schemas.openxmlformats.org/officeDocument/2006/relationships/image" Target="media/image68.jpeg"/><Relationship Id="rId105" Type="http://schemas.openxmlformats.org/officeDocument/2006/relationships/image" Target="media/image73.wmf"/><Relationship Id="rId8" Type="http://schemas.openxmlformats.org/officeDocument/2006/relationships/image" Target="media/image2.png"/><Relationship Id="rId51" Type="http://schemas.openxmlformats.org/officeDocument/2006/relationships/image" Target="media/image31.emf"/><Relationship Id="rId72" Type="http://schemas.openxmlformats.org/officeDocument/2006/relationships/footer" Target="footer18.xml"/><Relationship Id="rId80" Type="http://schemas.openxmlformats.org/officeDocument/2006/relationships/chart" Target="charts/chart2.xml"/><Relationship Id="rId85" Type="http://schemas.openxmlformats.org/officeDocument/2006/relationships/image" Target="media/image53.wmf"/><Relationship Id="rId93" Type="http://schemas.openxmlformats.org/officeDocument/2006/relationships/image" Target="media/image61.wmf"/><Relationship Id="rId98" Type="http://schemas.openxmlformats.org/officeDocument/2006/relationships/image" Target="media/image66.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1.xml"/><Relationship Id="rId33" Type="http://schemas.openxmlformats.org/officeDocument/2006/relationships/image" Target="media/image17.emf"/><Relationship Id="rId38" Type="http://schemas.openxmlformats.org/officeDocument/2006/relationships/image" Target="media/image21.emf"/><Relationship Id="rId46" Type="http://schemas.openxmlformats.org/officeDocument/2006/relationships/image" Target="media/image26.emf"/><Relationship Id="rId59" Type="http://schemas.openxmlformats.org/officeDocument/2006/relationships/footer" Target="footer12.xml"/><Relationship Id="rId67" Type="http://schemas.openxmlformats.org/officeDocument/2006/relationships/footer" Target="footer15.xml"/><Relationship Id="rId103" Type="http://schemas.openxmlformats.org/officeDocument/2006/relationships/image" Target="media/image71.jpeg"/><Relationship Id="rId108" Type="http://schemas.openxmlformats.org/officeDocument/2006/relationships/fontTable" Target="fontTable.xml"/><Relationship Id="rId20" Type="http://schemas.openxmlformats.org/officeDocument/2006/relationships/image" Target="media/image14.gif"/><Relationship Id="rId41" Type="http://schemas.openxmlformats.org/officeDocument/2006/relationships/image" Target="media/image22.emf"/><Relationship Id="rId54" Type="http://schemas.openxmlformats.org/officeDocument/2006/relationships/image" Target="media/image34.emf"/><Relationship Id="rId62" Type="http://schemas.openxmlformats.org/officeDocument/2006/relationships/image" Target="media/image40.png"/><Relationship Id="rId70" Type="http://schemas.openxmlformats.org/officeDocument/2006/relationships/footer" Target="footer17.xml"/><Relationship Id="rId75" Type="http://schemas.openxmlformats.org/officeDocument/2006/relationships/image" Target="media/image46.emf"/><Relationship Id="rId83" Type="http://schemas.openxmlformats.org/officeDocument/2006/relationships/image" Target="media/image52.emf"/><Relationship Id="rId88" Type="http://schemas.openxmlformats.org/officeDocument/2006/relationships/image" Target="media/image56.wmf"/><Relationship Id="rId91" Type="http://schemas.openxmlformats.org/officeDocument/2006/relationships/image" Target="media/image59.wmf"/><Relationship Id="rId96" Type="http://schemas.openxmlformats.org/officeDocument/2006/relationships/image" Target="media/image6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19.emf"/><Relationship Id="rId49" Type="http://schemas.openxmlformats.org/officeDocument/2006/relationships/image" Target="media/image29.emf"/><Relationship Id="rId57" Type="http://schemas.openxmlformats.org/officeDocument/2006/relationships/footer" Target="footer11.xml"/><Relationship Id="rId106" Type="http://schemas.openxmlformats.org/officeDocument/2006/relationships/image" Target="media/image74.wmf"/><Relationship Id="rId10" Type="http://schemas.openxmlformats.org/officeDocument/2006/relationships/image" Target="media/image4.png"/><Relationship Id="rId31" Type="http://schemas.openxmlformats.org/officeDocument/2006/relationships/footer" Target="footer6.xml"/><Relationship Id="rId44" Type="http://schemas.openxmlformats.org/officeDocument/2006/relationships/image" Target="media/image24.tiff"/><Relationship Id="rId52" Type="http://schemas.openxmlformats.org/officeDocument/2006/relationships/image" Target="media/image32.jpeg"/><Relationship Id="rId60" Type="http://schemas.openxmlformats.org/officeDocument/2006/relationships/image" Target="media/image38.png"/><Relationship Id="rId65" Type="http://schemas.openxmlformats.org/officeDocument/2006/relationships/image" Target="media/image41.png"/><Relationship Id="rId73" Type="http://schemas.openxmlformats.org/officeDocument/2006/relationships/footer" Target="footer19.xml"/><Relationship Id="rId78" Type="http://schemas.openxmlformats.org/officeDocument/2006/relationships/image" Target="media/image49.emf"/><Relationship Id="rId81" Type="http://schemas.openxmlformats.org/officeDocument/2006/relationships/image" Target="media/image50.emf"/><Relationship Id="rId86" Type="http://schemas.openxmlformats.org/officeDocument/2006/relationships/image" Target="media/image54.wmf"/><Relationship Id="rId94" Type="http://schemas.openxmlformats.org/officeDocument/2006/relationships/image" Target="media/image62.wmf"/><Relationship Id="rId99" Type="http://schemas.openxmlformats.org/officeDocument/2006/relationships/image" Target="media/image67.jpeg"/><Relationship Id="rId101" Type="http://schemas.openxmlformats.org/officeDocument/2006/relationships/image" Target="media/image69.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footer" Target="footer8.xml"/><Relationship Id="rId109" Type="http://schemas.openxmlformats.org/officeDocument/2006/relationships/theme" Target="theme/theme1.xml"/><Relationship Id="rId34" Type="http://schemas.openxmlformats.org/officeDocument/2006/relationships/image" Target="media/image18.emf"/><Relationship Id="rId50" Type="http://schemas.openxmlformats.org/officeDocument/2006/relationships/image" Target="media/image30.emf"/><Relationship Id="rId55" Type="http://schemas.openxmlformats.org/officeDocument/2006/relationships/image" Target="media/image35.png"/><Relationship Id="rId76" Type="http://schemas.openxmlformats.org/officeDocument/2006/relationships/image" Target="media/image47.tiff"/><Relationship Id="rId97" Type="http://schemas.openxmlformats.org/officeDocument/2006/relationships/image" Target="media/image65.jpeg"/><Relationship Id="rId104" Type="http://schemas.openxmlformats.org/officeDocument/2006/relationships/image" Target="media/image72.jpeg"/><Relationship Id="rId7" Type="http://schemas.openxmlformats.org/officeDocument/2006/relationships/image" Target="media/image1.jpeg"/><Relationship Id="rId71" Type="http://schemas.openxmlformats.org/officeDocument/2006/relationships/image" Target="media/image44.emf"/><Relationship Id="rId92" Type="http://schemas.openxmlformats.org/officeDocument/2006/relationships/image" Target="media/image60.wmf"/></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ehoffman\Desktop\Emily\Reports\CEWH\CEWH%20Frogs%20Analysis%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ehoffman\Desktop\Emily\Reports\CEWH\CEWH%20Frogs%20Analysis%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AU"/>
  <c:roundedCorners val="1"/>
  <c:chart>
    <c:autoTitleDeleted val="1"/>
    <c:plotArea>
      <c:layout>
        <c:manualLayout>
          <c:layoutTarget val="inner"/>
          <c:xMode val="edge"/>
          <c:yMode val="edge"/>
          <c:x val="0.17540571199786587"/>
          <c:y val="6.2938678119780531E-2"/>
          <c:w val="0.78564282277520003"/>
          <c:h val="0.73688397882724876"/>
        </c:manualLayout>
      </c:layout>
      <c:scatterChart>
        <c:scatterStyle val="lineMarker"/>
        <c:varyColors val="1"/>
        <c:ser>
          <c:idx val="0"/>
          <c:order val="0"/>
          <c:spPr>
            <a:ln w="28575">
              <a:noFill/>
            </a:ln>
          </c:spPr>
          <c:marker>
            <c:symbol val="diamond"/>
            <c:size val="7"/>
            <c:spPr>
              <a:solidFill>
                <a:schemeClr val="tx1">
                  <a:lumMod val="95000"/>
                  <a:lumOff val="5000"/>
                </a:schemeClr>
              </a:solidFill>
              <a:ln>
                <a:noFill/>
              </a:ln>
            </c:spPr>
          </c:marker>
          <c:trendline>
            <c:trendlineType val="linear"/>
          </c:trendline>
          <c:xVal>
            <c:numRef>
              <c:f>Regressions!$J$2:$J$69</c:f>
              <c:numCache>
                <c:formatCode>0</c:formatCode>
                <c:ptCount val="68"/>
                <c:pt idx="0">
                  <c:v>3</c:v>
                </c:pt>
                <c:pt idx="1">
                  <c:v>5</c:v>
                </c:pt>
                <c:pt idx="2">
                  <c:v>4</c:v>
                </c:pt>
                <c:pt idx="3">
                  <c:v>3</c:v>
                </c:pt>
                <c:pt idx="4">
                  <c:v>4</c:v>
                </c:pt>
                <c:pt idx="5">
                  <c:v>5</c:v>
                </c:pt>
                <c:pt idx="6">
                  <c:v>0</c:v>
                </c:pt>
                <c:pt idx="7">
                  <c:v>3</c:v>
                </c:pt>
                <c:pt idx="8">
                  <c:v>1</c:v>
                </c:pt>
                <c:pt idx="9">
                  <c:v>1</c:v>
                </c:pt>
                <c:pt idx="10">
                  <c:v>3</c:v>
                </c:pt>
                <c:pt idx="11">
                  <c:v>0</c:v>
                </c:pt>
                <c:pt idx="12">
                  <c:v>1</c:v>
                </c:pt>
                <c:pt idx="13">
                  <c:v>0</c:v>
                </c:pt>
                <c:pt idx="14">
                  <c:v>2</c:v>
                </c:pt>
                <c:pt idx="15">
                  <c:v>4</c:v>
                </c:pt>
                <c:pt idx="16">
                  <c:v>5</c:v>
                </c:pt>
                <c:pt idx="17">
                  <c:v>0</c:v>
                </c:pt>
                <c:pt idx="18">
                  <c:v>0</c:v>
                </c:pt>
                <c:pt idx="19">
                  <c:v>3</c:v>
                </c:pt>
                <c:pt idx="20">
                  <c:v>0</c:v>
                </c:pt>
                <c:pt idx="21">
                  <c:v>0</c:v>
                </c:pt>
                <c:pt idx="22">
                  <c:v>0</c:v>
                </c:pt>
                <c:pt idx="23">
                  <c:v>3</c:v>
                </c:pt>
                <c:pt idx="24">
                  <c:v>3</c:v>
                </c:pt>
                <c:pt idx="25">
                  <c:v>3</c:v>
                </c:pt>
                <c:pt idx="26">
                  <c:v>3</c:v>
                </c:pt>
                <c:pt idx="27">
                  <c:v>4</c:v>
                </c:pt>
                <c:pt idx="28">
                  <c:v>4</c:v>
                </c:pt>
                <c:pt idx="29">
                  <c:v>4</c:v>
                </c:pt>
                <c:pt idx="30">
                  <c:v>1</c:v>
                </c:pt>
                <c:pt idx="31">
                  <c:v>5</c:v>
                </c:pt>
                <c:pt idx="32">
                  <c:v>3</c:v>
                </c:pt>
                <c:pt idx="33">
                  <c:v>3</c:v>
                </c:pt>
                <c:pt idx="34">
                  <c:v>0</c:v>
                </c:pt>
                <c:pt idx="35">
                  <c:v>0</c:v>
                </c:pt>
                <c:pt idx="36">
                  <c:v>0</c:v>
                </c:pt>
                <c:pt idx="37">
                  <c:v>0</c:v>
                </c:pt>
                <c:pt idx="38">
                  <c:v>0</c:v>
                </c:pt>
                <c:pt idx="39">
                  <c:v>0</c:v>
                </c:pt>
                <c:pt idx="40">
                  <c:v>1</c:v>
                </c:pt>
                <c:pt idx="41">
                  <c:v>0</c:v>
                </c:pt>
                <c:pt idx="42">
                  <c:v>0</c:v>
                </c:pt>
                <c:pt idx="43">
                  <c:v>0</c:v>
                </c:pt>
                <c:pt idx="44">
                  <c:v>2</c:v>
                </c:pt>
                <c:pt idx="45">
                  <c:v>0</c:v>
                </c:pt>
                <c:pt idx="46">
                  <c:v>0</c:v>
                </c:pt>
                <c:pt idx="47">
                  <c:v>1</c:v>
                </c:pt>
                <c:pt idx="48">
                  <c:v>3</c:v>
                </c:pt>
                <c:pt idx="49">
                  <c:v>2</c:v>
                </c:pt>
                <c:pt idx="50">
                  <c:v>0</c:v>
                </c:pt>
                <c:pt idx="51">
                  <c:v>0</c:v>
                </c:pt>
                <c:pt idx="52">
                  <c:v>0</c:v>
                </c:pt>
                <c:pt idx="53">
                  <c:v>0</c:v>
                </c:pt>
                <c:pt idx="54">
                  <c:v>0</c:v>
                </c:pt>
                <c:pt idx="55">
                  <c:v>0</c:v>
                </c:pt>
                <c:pt idx="56">
                  <c:v>0</c:v>
                </c:pt>
                <c:pt idx="57">
                  <c:v>0</c:v>
                </c:pt>
                <c:pt idx="58">
                  <c:v>2</c:v>
                </c:pt>
                <c:pt idx="59">
                  <c:v>0</c:v>
                </c:pt>
                <c:pt idx="60">
                  <c:v>0</c:v>
                </c:pt>
                <c:pt idx="61">
                  <c:v>0</c:v>
                </c:pt>
                <c:pt idx="62">
                  <c:v>1</c:v>
                </c:pt>
                <c:pt idx="63">
                  <c:v>0</c:v>
                </c:pt>
                <c:pt idx="64">
                  <c:v>0</c:v>
                </c:pt>
                <c:pt idx="65">
                  <c:v>0</c:v>
                </c:pt>
                <c:pt idx="66">
                  <c:v>1</c:v>
                </c:pt>
                <c:pt idx="67">
                  <c:v>0</c:v>
                </c:pt>
              </c:numCache>
            </c:numRef>
          </c:xVal>
          <c:yVal>
            <c:numRef>
              <c:f>Regressions!$H$2:$H$69</c:f>
              <c:numCache>
                <c:formatCode>0.0</c:formatCode>
                <c:ptCount val="68"/>
                <c:pt idx="0">
                  <c:v>60</c:v>
                </c:pt>
                <c:pt idx="1">
                  <c:v>75</c:v>
                </c:pt>
                <c:pt idx="2">
                  <c:v>60</c:v>
                </c:pt>
                <c:pt idx="3">
                  <c:v>40</c:v>
                </c:pt>
                <c:pt idx="4">
                  <c:v>70</c:v>
                </c:pt>
                <c:pt idx="5">
                  <c:v>50</c:v>
                </c:pt>
                <c:pt idx="6">
                  <c:v>20</c:v>
                </c:pt>
                <c:pt idx="7">
                  <c:v>10</c:v>
                </c:pt>
                <c:pt idx="8">
                  <c:v>10</c:v>
                </c:pt>
                <c:pt idx="9">
                  <c:v>60</c:v>
                </c:pt>
                <c:pt idx="10">
                  <c:v>60</c:v>
                </c:pt>
                <c:pt idx="11">
                  <c:v>5</c:v>
                </c:pt>
                <c:pt idx="12">
                  <c:v>37.5</c:v>
                </c:pt>
                <c:pt idx="13">
                  <c:v>0</c:v>
                </c:pt>
                <c:pt idx="14">
                  <c:v>15</c:v>
                </c:pt>
                <c:pt idx="15">
                  <c:v>62.5</c:v>
                </c:pt>
                <c:pt idx="16">
                  <c:v>87.5</c:v>
                </c:pt>
                <c:pt idx="17">
                  <c:v>15</c:v>
                </c:pt>
                <c:pt idx="18">
                  <c:v>5</c:v>
                </c:pt>
                <c:pt idx="19" formatCode="0">
                  <c:v>85</c:v>
                </c:pt>
                <c:pt idx="20">
                  <c:v>20</c:v>
                </c:pt>
                <c:pt idx="21">
                  <c:v>10</c:v>
                </c:pt>
                <c:pt idx="22">
                  <c:v>15</c:v>
                </c:pt>
                <c:pt idx="23">
                  <c:v>15</c:v>
                </c:pt>
                <c:pt idx="24" formatCode="0">
                  <c:v>37.5</c:v>
                </c:pt>
                <c:pt idx="25" formatCode="0">
                  <c:v>15</c:v>
                </c:pt>
                <c:pt idx="26" formatCode="0">
                  <c:v>2.5</c:v>
                </c:pt>
                <c:pt idx="27">
                  <c:v>25</c:v>
                </c:pt>
                <c:pt idx="28">
                  <c:v>20</c:v>
                </c:pt>
                <c:pt idx="29">
                  <c:v>40</c:v>
                </c:pt>
                <c:pt idx="30">
                  <c:v>10</c:v>
                </c:pt>
                <c:pt idx="31">
                  <c:v>10</c:v>
                </c:pt>
                <c:pt idx="32">
                  <c:v>10</c:v>
                </c:pt>
                <c:pt idx="33">
                  <c:v>25</c:v>
                </c:pt>
                <c:pt idx="34">
                  <c:v>5</c:v>
                </c:pt>
                <c:pt idx="35">
                  <c:v>40</c:v>
                </c:pt>
                <c:pt idx="36">
                  <c:v>60</c:v>
                </c:pt>
                <c:pt idx="37">
                  <c:v>40</c:v>
                </c:pt>
                <c:pt idx="38">
                  <c:v>10</c:v>
                </c:pt>
                <c:pt idx="39">
                  <c:v>40</c:v>
                </c:pt>
                <c:pt idx="40">
                  <c:v>5</c:v>
                </c:pt>
                <c:pt idx="41">
                  <c:v>5</c:v>
                </c:pt>
                <c:pt idx="42">
                  <c:v>5</c:v>
                </c:pt>
                <c:pt idx="43">
                  <c:v>5</c:v>
                </c:pt>
                <c:pt idx="44">
                  <c:v>20</c:v>
                </c:pt>
                <c:pt idx="45">
                  <c:v>10</c:v>
                </c:pt>
                <c:pt idx="46">
                  <c:v>5</c:v>
                </c:pt>
                <c:pt idx="47">
                  <c:v>15</c:v>
                </c:pt>
                <c:pt idx="48">
                  <c:v>37.5</c:v>
                </c:pt>
                <c:pt idx="49">
                  <c:v>15</c:v>
                </c:pt>
                <c:pt idx="50">
                  <c:v>5</c:v>
                </c:pt>
                <c:pt idx="51">
                  <c:v>5</c:v>
                </c:pt>
                <c:pt idx="52">
                  <c:v>5</c:v>
                </c:pt>
                <c:pt idx="53">
                  <c:v>10</c:v>
                </c:pt>
                <c:pt idx="54">
                  <c:v>5</c:v>
                </c:pt>
                <c:pt idx="55">
                  <c:v>5</c:v>
                </c:pt>
                <c:pt idx="56">
                  <c:v>5</c:v>
                </c:pt>
                <c:pt idx="57" formatCode="0">
                  <c:v>2.5</c:v>
                </c:pt>
                <c:pt idx="58" formatCode="0">
                  <c:v>2.5</c:v>
                </c:pt>
                <c:pt idx="59" formatCode="0">
                  <c:v>15</c:v>
                </c:pt>
                <c:pt idx="60">
                  <c:v>25</c:v>
                </c:pt>
                <c:pt idx="61">
                  <c:v>3</c:v>
                </c:pt>
                <c:pt idx="62">
                  <c:v>5</c:v>
                </c:pt>
                <c:pt idx="63">
                  <c:v>40</c:v>
                </c:pt>
                <c:pt idx="64">
                  <c:v>10</c:v>
                </c:pt>
                <c:pt idx="65">
                  <c:v>3</c:v>
                </c:pt>
                <c:pt idx="66">
                  <c:v>25</c:v>
                </c:pt>
                <c:pt idx="67">
                  <c:v>2</c:v>
                </c:pt>
              </c:numCache>
            </c:numRef>
          </c:yVal>
          <c:smooth val="1"/>
        </c:ser>
        <c:axId val="54886784"/>
        <c:axId val="54888704"/>
      </c:scatterChart>
      <c:valAx>
        <c:axId val="54886784"/>
        <c:scaling>
          <c:orientation val="minMax"/>
          <c:min val="0"/>
        </c:scaling>
        <c:axPos val="b"/>
        <c:title>
          <c:tx>
            <c:rich>
              <a:bodyPr/>
              <a:lstStyle/>
              <a:p>
                <a:pPr>
                  <a:defRPr/>
                </a:pPr>
                <a:r>
                  <a:rPr lang="en-US"/>
                  <a:t>Number of frog species</a:t>
                </a:r>
              </a:p>
            </c:rich>
          </c:tx>
          <c:overlay val="1"/>
        </c:title>
        <c:numFmt formatCode="0" sourceLinked="1"/>
        <c:tickLblPos val="nextTo"/>
        <c:crossAx val="54888704"/>
        <c:crosses val="autoZero"/>
        <c:crossBetween val="midCat"/>
      </c:valAx>
      <c:valAx>
        <c:axId val="54888704"/>
        <c:scaling>
          <c:orientation val="minMax"/>
          <c:min val="0"/>
        </c:scaling>
        <c:axPos val="l"/>
        <c:title>
          <c:tx>
            <c:rich>
              <a:bodyPr rot="-5400000" vert="horz"/>
              <a:lstStyle/>
              <a:p>
                <a:pPr>
                  <a:defRPr/>
                </a:pPr>
                <a:r>
                  <a:rPr lang="en-US"/>
                  <a:t>% emergent vegetation</a:t>
                </a:r>
              </a:p>
            </c:rich>
          </c:tx>
          <c:overlay val="1"/>
        </c:title>
        <c:numFmt formatCode="0" sourceLinked="0"/>
        <c:tickLblPos val="nextTo"/>
        <c:crossAx val="54886784"/>
        <c:crosses val="autoZero"/>
        <c:crossBetween val="midCat"/>
      </c:valAx>
    </c:plotArea>
    <c:plotVisOnly val="1"/>
    <c:dispBlanksAs val="gap"/>
    <c:showDLblsOverMax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7298840769904067"/>
          <c:y val="6.2171209947393814E-2"/>
          <c:w val="0.77103237095363097"/>
          <c:h val="0.7353103100276015"/>
        </c:manualLayout>
      </c:layout>
      <c:scatterChart>
        <c:scatterStyle val="lineMarker"/>
        <c:ser>
          <c:idx val="0"/>
          <c:order val="0"/>
          <c:spPr>
            <a:ln w="28575">
              <a:noFill/>
            </a:ln>
          </c:spPr>
          <c:marker>
            <c:spPr>
              <a:solidFill>
                <a:schemeClr val="tx1">
                  <a:lumMod val="95000"/>
                  <a:lumOff val="5000"/>
                </a:schemeClr>
              </a:solidFill>
              <a:ln>
                <a:noFill/>
              </a:ln>
            </c:spPr>
          </c:marker>
          <c:trendline>
            <c:trendlineType val="linear"/>
          </c:trendline>
          <c:xVal>
            <c:numRef>
              <c:f>Regressions!$S$2:$S$69</c:f>
              <c:numCache>
                <c:formatCode>0</c:formatCode>
                <c:ptCount val="68"/>
                <c:pt idx="0">
                  <c:v>3</c:v>
                </c:pt>
                <c:pt idx="1">
                  <c:v>152</c:v>
                </c:pt>
                <c:pt idx="2">
                  <c:v>72</c:v>
                </c:pt>
                <c:pt idx="3">
                  <c:v>42</c:v>
                </c:pt>
                <c:pt idx="4">
                  <c:v>146</c:v>
                </c:pt>
                <c:pt idx="5">
                  <c:v>202</c:v>
                </c:pt>
                <c:pt idx="6">
                  <c:v>0</c:v>
                </c:pt>
                <c:pt idx="7">
                  <c:v>66</c:v>
                </c:pt>
                <c:pt idx="8">
                  <c:v>1</c:v>
                </c:pt>
                <c:pt idx="9">
                  <c:v>30</c:v>
                </c:pt>
                <c:pt idx="10">
                  <c:v>66</c:v>
                </c:pt>
                <c:pt idx="11">
                  <c:v>0</c:v>
                </c:pt>
                <c:pt idx="12">
                  <c:v>6</c:v>
                </c:pt>
                <c:pt idx="13">
                  <c:v>0</c:v>
                </c:pt>
                <c:pt idx="14">
                  <c:v>12</c:v>
                </c:pt>
                <c:pt idx="15">
                  <c:v>146</c:v>
                </c:pt>
                <c:pt idx="16">
                  <c:v>152</c:v>
                </c:pt>
                <c:pt idx="17">
                  <c:v>0</c:v>
                </c:pt>
                <c:pt idx="18">
                  <c:v>0</c:v>
                </c:pt>
                <c:pt idx="19">
                  <c:v>90</c:v>
                </c:pt>
                <c:pt idx="20">
                  <c:v>0</c:v>
                </c:pt>
                <c:pt idx="21">
                  <c:v>0</c:v>
                </c:pt>
                <c:pt idx="22">
                  <c:v>0</c:v>
                </c:pt>
                <c:pt idx="23">
                  <c:v>13</c:v>
                </c:pt>
                <c:pt idx="24">
                  <c:v>42</c:v>
                </c:pt>
                <c:pt idx="25">
                  <c:v>18</c:v>
                </c:pt>
                <c:pt idx="26">
                  <c:v>42</c:v>
                </c:pt>
                <c:pt idx="27">
                  <c:v>19</c:v>
                </c:pt>
                <c:pt idx="28">
                  <c:v>48</c:v>
                </c:pt>
                <c:pt idx="29">
                  <c:v>67</c:v>
                </c:pt>
                <c:pt idx="30">
                  <c:v>6</c:v>
                </c:pt>
                <c:pt idx="31">
                  <c:v>97</c:v>
                </c:pt>
                <c:pt idx="32">
                  <c:v>66</c:v>
                </c:pt>
                <c:pt idx="33">
                  <c:v>90</c:v>
                </c:pt>
                <c:pt idx="34">
                  <c:v>0</c:v>
                </c:pt>
                <c:pt idx="35">
                  <c:v>0</c:v>
                </c:pt>
                <c:pt idx="36">
                  <c:v>0</c:v>
                </c:pt>
                <c:pt idx="37">
                  <c:v>0</c:v>
                </c:pt>
                <c:pt idx="38">
                  <c:v>0</c:v>
                </c:pt>
                <c:pt idx="39">
                  <c:v>0</c:v>
                </c:pt>
                <c:pt idx="40">
                  <c:v>6</c:v>
                </c:pt>
                <c:pt idx="41">
                  <c:v>0</c:v>
                </c:pt>
                <c:pt idx="42">
                  <c:v>0</c:v>
                </c:pt>
                <c:pt idx="43">
                  <c:v>0</c:v>
                </c:pt>
                <c:pt idx="44">
                  <c:v>7</c:v>
                </c:pt>
                <c:pt idx="45">
                  <c:v>0</c:v>
                </c:pt>
                <c:pt idx="46">
                  <c:v>0</c:v>
                </c:pt>
                <c:pt idx="47">
                  <c:v>30</c:v>
                </c:pt>
                <c:pt idx="48">
                  <c:v>92</c:v>
                </c:pt>
                <c:pt idx="49">
                  <c:v>7</c:v>
                </c:pt>
                <c:pt idx="50">
                  <c:v>0</c:v>
                </c:pt>
                <c:pt idx="51">
                  <c:v>0</c:v>
                </c:pt>
                <c:pt idx="52">
                  <c:v>0</c:v>
                </c:pt>
                <c:pt idx="53">
                  <c:v>0</c:v>
                </c:pt>
                <c:pt idx="54">
                  <c:v>0</c:v>
                </c:pt>
                <c:pt idx="55">
                  <c:v>0</c:v>
                </c:pt>
                <c:pt idx="56">
                  <c:v>0</c:v>
                </c:pt>
                <c:pt idx="57">
                  <c:v>0</c:v>
                </c:pt>
                <c:pt idx="58">
                  <c:v>12</c:v>
                </c:pt>
                <c:pt idx="59">
                  <c:v>0</c:v>
                </c:pt>
                <c:pt idx="60">
                  <c:v>0</c:v>
                </c:pt>
                <c:pt idx="61">
                  <c:v>0</c:v>
                </c:pt>
                <c:pt idx="62">
                  <c:v>6</c:v>
                </c:pt>
                <c:pt idx="63">
                  <c:v>0</c:v>
                </c:pt>
                <c:pt idx="64">
                  <c:v>0</c:v>
                </c:pt>
                <c:pt idx="65">
                  <c:v>0</c:v>
                </c:pt>
                <c:pt idx="66">
                  <c:v>6</c:v>
                </c:pt>
                <c:pt idx="67">
                  <c:v>0</c:v>
                </c:pt>
              </c:numCache>
            </c:numRef>
          </c:xVal>
          <c:yVal>
            <c:numRef>
              <c:f>Regressions!$H$2:$H$69</c:f>
              <c:numCache>
                <c:formatCode>0.0</c:formatCode>
                <c:ptCount val="68"/>
                <c:pt idx="0">
                  <c:v>60</c:v>
                </c:pt>
                <c:pt idx="1">
                  <c:v>75</c:v>
                </c:pt>
                <c:pt idx="2">
                  <c:v>60</c:v>
                </c:pt>
                <c:pt idx="3">
                  <c:v>40</c:v>
                </c:pt>
                <c:pt idx="4">
                  <c:v>70</c:v>
                </c:pt>
                <c:pt idx="5">
                  <c:v>50</c:v>
                </c:pt>
                <c:pt idx="6">
                  <c:v>20</c:v>
                </c:pt>
                <c:pt idx="7">
                  <c:v>10</c:v>
                </c:pt>
                <c:pt idx="8">
                  <c:v>10</c:v>
                </c:pt>
                <c:pt idx="9">
                  <c:v>60</c:v>
                </c:pt>
                <c:pt idx="10">
                  <c:v>60</c:v>
                </c:pt>
                <c:pt idx="11">
                  <c:v>5</c:v>
                </c:pt>
                <c:pt idx="12">
                  <c:v>37.5</c:v>
                </c:pt>
                <c:pt idx="13">
                  <c:v>0</c:v>
                </c:pt>
                <c:pt idx="14">
                  <c:v>15</c:v>
                </c:pt>
                <c:pt idx="15">
                  <c:v>62.5</c:v>
                </c:pt>
                <c:pt idx="16">
                  <c:v>87.5</c:v>
                </c:pt>
                <c:pt idx="17">
                  <c:v>15</c:v>
                </c:pt>
                <c:pt idx="18">
                  <c:v>5</c:v>
                </c:pt>
                <c:pt idx="19" formatCode="0">
                  <c:v>85</c:v>
                </c:pt>
                <c:pt idx="20">
                  <c:v>20</c:v>
                </c:pt>
                <c:pt idx="21">
                  <c:v>10</c:v>
                </c:pt>
                <c:pt idx="22">
                  <c:v>15</c:v>
                </c:pt>
                <c:pt idx="23">
                  <c:v>15</c:v>
                </c:pt>
                <c:pt idx="24" formatCode="0">
                  <c:v>37.5</c:v>
                </c:pt>
                <c:pt idx="25" formatCode="0">
                  <c:v>15</c:v>
                </c:pt>
                <c:pt idx="26" formatCode="0">
                  <c:v>2.5</c:v>
                </c:pt>
                <c:pt idx="27">
                  <c:v>25</c:v>
                </c:pt>
                <c:pt idx="28">
                  <c:v>20</c:v>
                </c:pt>
                <c:pt idx="29">
                  <c:v>40</c:v>
                </c:pt>
                <c:pt idx="30">
                  <c:v>10</c:v>
                </c:pt>
                <c:pt idx="31">
                  <c:v>10</c:v>
                </c:pt>
                <c:pt idx="32">
                  <c:v>10</c:v>
                </c:pt>
                <c:pt idx="33">
                  <c:v>25</c:v>
                </c:pt>
                <c:pt idx="34">
                  <c:v>5</c:v>
                </c:pt>
                <c:pt idx="35">
                  <c:v>40</c:v>
                </c:pt>
                <c:pt idx="36">
                  <c:v>60</c:v>
                </c:pt>
                <c:pt idx="37">
                  <c:v>40</c:v>
                </c:pt>
                <c:pt idx="38">
                  <c:v>10</c:v>
                </c:pt>
                <c:pt idx="39">
                  <c:v>40</c:v>
                </c:pt>
                <c:pt idx="40">
                  <c:v>5</c:v>
                </c:pt>
                <c:pt idx="41">
                  <c:v>5</c:v>
                </c:pt>
                <c:pt idx="42">
                  <c:v>5</c:v>
                </c:pt>
                <c:pt idx="43">
                  <c:v>5</c:v>
                </c:pt>
                <c:pt idx="44">
                  <c:v>20</c:v>
                </c:pt>
                <c:pt idx="45">
                  <c:v>10</c:v>
                </c:pt>
                <c:pt idx="46">
                  <c:v>5</c:v>
                </c:pt>
                <c:pt idx="47">
                  <c:v>15</c:v>
                </c:pt>
                <c:pt idx="48">
                  <c:v>37.5</c:v>
                </c:pt>
                <c:pt idx="49">
                  <c:v>15</c:v>
                </c:pt>
                <c:pt idx="50">
                  <c:v>5</c:v>
                </c:pt>
                <c:pt idx="51">
                  <c:v>5</c:v>
                </c:pt>
                <c:pt idx="52">
                  <c:v>5</c:v>
                </c:pt>
                <c:pt idx="53">
                  <c:v>10</c:v>
                </c:pt>
                <c:pt idx="54">
                  <c:v>5</c:v>
                </c:pt>
                <c:pt idx="55">
                  <c:v>5</c:v>
                </c:pt>
                <c:pt idx="56">
                  <c:v>5</c:v>
                </c:pt>
                <c:pt idx="57" formatCode="0">
                  <c:v>2.5</c:v>
                </c:pt>
                <c:pt idx="58" formatCode="0">
                  <c:v>2.5</c:v>
                </c:pt>
                <c:pt idx="59" formatCode="0">
                  <c:v>15</c:v>
                </c:pt>
                <c:pt idx="60">
                  <c:v>25</c:v>
                </c:pt>
                <c:pt idx="61">
                  <c:v>3</c:v>
                </c:pt>
                <c:pt idx="62">
                  <c:v>5</c:v>
                </c:pt>
                <c:pt idx="63">
                  <c:v>40</c:v>
                </c:pt>
                <c:pt idx="64">
                  <c:v>10</c:v>
                </c:pt>
                <c:pt idx="65">
                  <c:v>3</c:v>
                </c:pt>
                <c:pt idx="66">
                  <c:v>25</c:v>
                </c:pt>
                <c:pt idx="67">
                  <c:v>2</c:v>
                </c:pt>
              </c:numCache>
            </c:numRef>
          </c:yVal>
        </c:ser>
        <c:axId val="54999680"/>
        <c:axId val="55005952"/>
      </c:scatterChart>
      <c:valAx>
        <c:axId val="54999680"/>
        <c:scaling>
          <c:orientation val="minMax"/>
        </c:scaling>
        <c:axPos val="b"/>
        <c:title>
          <c:tx>
            <c:rich>
              <a:bodyPr/>
              <a:lstStyle/>
              <a:p>
                <a:pPr>
                  <a:defRPr/>
                </a:pPr>
                <a:r>
                  <a:rPr lang="en-US"/>
                  <a:t>Number of frog individuals</a:t>
                </a:r>
              </a:p>
            </c:rich>
          </c:tx>
          <c:layout>
            <c:manualLayout>
              <c:xMode val="edge"/>
              <c:yMode val="edge"/>
              <c:x val="0.38749059492563453"/>
              <c:y val="0.93030634706573256"/>
            </c:manualLayout>
          </c:layout>
        </c:title>
        <c:numFmt formatCode="0" sourceLinked="1"/>
        <c:tickLblPos val="nextTo"/>
        <c:crossAx val="55005952"/>
        <c:crosses val="autoZero"/>
        <c:crossBetween val="midCat"/>
      </c:valAx>
      <c:valAx>
        <c:axId val="55005952"/>
        <c:scaling>
          <c:orientation val="minMax"/>
        </c:scaling>
        <c:axPos val="l"/>
        <c:title>
          <c:tx>
            <c:rich>
              <a:bodyPr rot="-5400000" vert="horz"/>
              <a:lstStyle/>
              <a:p>
                <a:pPr>
                  <a:defRPr/>
                </a:pPr>
                <a:r>
                  <a:rPr lang="en-US"/>
                  <a:t>% emergent vegetation</a:t>
                </a:r>
              </a:p>
            </c:rich>
          </c:tx>
        </c:title>
        <c:numFmt formatCode="0" sourceLinked="0"/>
        <c:tickLblPos val="nextTo"/>
        <c:crossAx val="54999680"/>
        <c:crosses val="autoZero"/>
        <c:crossBetween val="midCat"/>
      </c:valAx>
    </c:plotArea>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182</Pages>
  <Words>42010</Words>
  <Characters>239460</Characters>
  <Application>Microsoft Office Word</Application>
  <DocSecurity>4</DocSecurity>
  <Lines>1995</Lines>
  <Paragraphs>561</Paragraphs>
  <ScaleCrop>false</ScaleCrop>
  <LinksUpToDate>false</LinksUpToDate>
  <CharactersWithSpaces>280909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2 - Monitoring the ecological responses to Commonwealth environmental water delivered to the Lower Murray River in 2012-13</dc:title>
  <dc:creator/>
  <cp:lastModifiedBy/>
  <cp:revision>1</cp:revision>
  <dcterms:created xsi:type="dcterms:W3CDTF">2015-04-15T06:41:00Z</dcterms:created>
  <dcterms:modified xsi:type="dcterms:W3CDTF">2015-04-15T06:41:00Z</dcterms:modified>
</cp:coreProperties>
</file>